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F3568" w:rsidP="00171839">
            <w:pPr>
              <w:rPr>
                <w:rFonts w:ascii="Arial" w:hAnsi="Arial" w:cs="Arial"/>
                <w:b/>
                <w:color w:val="002C47"/>
                <w:sz w:val="36"/>
                <w:szCs w:val="36"/>
              </w:rPr>
            </w:pPr>
            <w:r>
              <w:rPr>
                <w:rFonts w:ascii="Arial" w:hAnsi="Arial" w:cs="Arial"/>
                <w:b/>
                <w:color w:val="002C47"/>
                <w:sz w:val="36"/>
                <w:szCs w:val="36"/>
              </w:rPr>
              <w:t>Dec</w:t>
            </w:r>
            <w:r w:rsidR="00171839">
              <w:rPr>
                <w:rFonts w:ascii="Arial" w:hAnsi="Arial" w:cs="Arial"/>
                <w:b/>
                <w:color w:val="002C47"/>
                <w:sz w:val="36"/>
                <w:szCs w:val="36"/>
              </w:rPr>
              <w:t>ember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BF3568">
            <w:pPr>
              <w:pStyle w:val="Title"/>
              <w:rPr>
                <w:color w:val="FFFFFF" w:themeColor="background1"/>
              </w:rPr>
            </w:pPr>
            <w:r w:rsidRPr="00A964D1">
              <w:rPr>
                <w:color w:val="FFFFFF" w:themeColor="background1"/>
              </w:rPr>
              <w:t xml:space="preserve">Australian Public Assessment Report for </w:t>
            </w:r>
            <w:r w:rsidR="00515DA3" w:rsidRPr="00515DA3">
              <w:rPr>
                <w:color w:val="FFFFFF" w:themeColor="background1"/>
                <w:lang w:val="en-US"/>
              </w:rPr>
              <w:t>Meningococcal (groups A,</w:t>
            </w:r>
            <w:r w:rsidR="001B7354">
              <w:rPr>
                <w:color w:val="FFFFFF" w:themeColor="background1"/>
                <w:lang w:val="en-US"/>
              </w:rPr>
              <w:t xml:space="preserve"> </w:t>
            </w:r>
            <w:r w:rsidR="00515DA3" w:rsidRPr="00515DA3">
              <w:rPr>
                <w:color w:val="FFFFFF" w:themeColor="background1"/>
                <w:lang w:val="en-US"/>
              </w:rPr>
              <w:t>C, W-135, Y) polysaccharide teta</w:t>
            </w:r>
            <w:r w:rsidR="00BF3568">
              <w:rPr>
                <w:color w:val="FFFFFF" w:themeColor="background1"/>
                <w:lang w:val="en-US"/>
              </w:rPr>
              <w:t>n</w:t>
            </w:r>
            <w:r w:rsidR="00515DA3" w:rsidRPr="00515DA3">
              <w:rPr>
                <w:color w:val="FFFFFF" w:themeColor="background1"/>
                <w:lang w:val="en-US"/>
              </w:rPr>
              <w:t xml:space="preserve">us </w:t>
            </w:r>
            <w:proofErr w:type="spellStart"/>
            <w:r w:rsidR="00515DA3" w:rsidRPr="00515DA3">
              <w:rPr>
                <w:color w:val="FFFFFF" w:themeColor="background1"/>
                <w:lang w:val="en-US"/>
              </w:rPr>
              <w:t>toxoid</w:t>
            </w:r>
            <w:proofErr w:type="spellEnd"/>
            <w:r w:rsidR="00515DA3" w:rsidRPr="00515DA3">
              <w:rPr>
                <w:color w:val="FFFFFF" w:themeColor="background1"/>
                <w:lang w:val="en-US"/>
              </w:rPr>
              <w:t xml:space="preserve"> </w:t>
            </w:r>
            <w:r w:rsidR="00515DA3" w:rsidRPr="00515DA3">
              <w:rPr>
                <w:color w:val="FFFFFF" w:themeColor="background1"/>
              </w:rPr>
              <w:t>conjugate</w:t>
            </w:r>
            <w:r w:rsidR="00515DA3" w:rsidRPr="00515DA3">
              <w:rPr>
                <w:color w:val="FFFFFF" w:themeColor="background1"/>
                <w:lang w:val="en-US"/>
              </w:rPr>
              <w:t xml:space="preserve"> vaccine</w:t>
            </w:r>
          </w:p>
        </w:tc>
      </w:tr>
      <w:tr w:rsidR="0032583B" w:rsidRPr="00B64760" w:rsidTr="0032583B">
        <w:tc>
          <w:tcPr>
            <w:tcW w:w="9079" w:type="dxa"/>
          </w:tcPr>
          <w:p w:rsidR="0032583B" w:rsidRPr="008E7846" w:rsidRDefault="0032583B" w:rsidP="00171839">
            <w:pPr>
              <w:pStyle w:val="Subtitle"/>
              <w:rPr>
                <w:color w:val="FFFFFF" w:themeColor="background1"/>
              </w:rPr>
            </w:pPr>
            <w:r w:rsidRPr="008E7846">
              <w:rPr>
                <w:color w:val="FFFFFF" w:themeColor="background1"/>
              </w:rPr>
              <w:t xml:space="preserve">Proprietary Product Name: </w:t>
            </w:r>
            <w:proofErr w:type="spellStart"/>
            <w:r w:rsidR="00171839" w:rsidRPr="00171839">
              <w:rPr>
                <w:color w:val="FFFFFF" w:themeColor="background1"/>
              </w:rPr>
              <w:t>Nimenrix</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171839" w:rsidRPr="00171839">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8433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78433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8433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8433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8433B">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78433B">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78433B">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78433B">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78433B">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78433B">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515DA3">
          <w:headerReference w:type="default" r:id="rId10"/>
          <w:footerReference w:type="default" r:id="rId11"/>
          <w:headerReference w:type="first" r:id="rId12"/>
          <w:pgSz w:w="11906" w:h="16838" w:code="9"/>
          <w:pgMar w:top="426" w:right="1701" w:bottom="0" w:left="1701" w:header="907" w:footer="142" w:gutter="0"/>
          <w:pgNumType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D1688" w:rsidRDefault="00D20A8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5119703" w:history="1">
            <w:r w:rsidR="00AD1688" w:rsidRPr="00D07A9D">
              <w:rPr>
                <w:rStyle w:val="Hyperlink"/>
                <w:noProof/>
              </w:rPr>
              <w:t>I. Introduction to product submission</w:t>
            </w:r>
            <w:r w:rsidR="00AD1688">
              <w:rPr>
                <w:noProof/>
                <w:webHidden/>
              </w:rPr>
              <w:tab/>
            </w:r>
            <w:r w:rsidR="00AD1688">
              <w:rPr>
                <w:noProof/>
                <w:webHidden/>
              </w:rPr>
              <w:fldChar w:fldCharType="begin"/>
            </w:r>
            <w:r w:rsidR="00AD1688">
              <w:rPr>
                <w:noProof/>
                <w:webHidden/>
              </w:rPr>
              <w:instrText xml:space="preserve"> PAGEREF _Toc375119703 \h </w:instrText>
            </w:r>
            <w:r w:rsidR="00AD1688">
              <w:rPr>
                <w:noProof/>
                <w:webHidden/>
              </w:rPr>
            </w:r>
            <w:r w:rsidR="00AD1688">
              <w:rPr>
                <w:noProof/>
                <w:webHidden/>
              </w:rPr>
              <w:fldChar w:fldCharType="separate"/>
            </w:r>
            <w:r w:rsidR="00AD1688">
              <w:rPr>
                <w:noProof/>
                <w:webHidden/>
              </w:rPr>
              <w:t>4</w:t>
            </w:r>
            <w:r w:rsidR="00AD1688">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04" w:history="1">
            <w:r w:rsidRPr="00D07A9D">
              <w:rPr>
                <w:rStyle w:val="Hyperlink"/>
                <w:noProof/>
                <w:lang w:eastAsia="en-AU"/>
              </w:rPr>
              <w:t>Submission details</w:t>
            </w:r>
            <w:r>
              <w:rPr>
                <w:noProof/>
                <w:webHidden/>
              </w:rPr>
              <w:tab/>
            </w:r>
            <w:r>
              <w:rPr>
                <w:noProof/>
                <w:webHidden/>
              </w:rPr>
              <w:fldChar w:fldCharType="begin"/>
            </w:r>
            <w:r>
              <w:rPr>
                <w:noProof/>
                <w:webHidden/>
              </w:rPr>
              <w:instrText xml:space="preserve"> PAGEREF _Toc375119704 \h </w:instrText>
            </w:r>
            <w:r>
              <w:rPr>
                <w:noProof/>
                <w:webHidden/>
              </w:rPr>
            </w:r>
            <w:r>
              <w:rPr>
                <w:noProof/>
                <w:webHidden/>
              </w:rPr>
              <w:fldChar w:fldCharType="separate"/>
            </w:r>
            <w:r>
              <w:rPr>
                <w:noProof/>
                <w:webHidden/>
              </w:rPr>
              <w:t>4</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05" w:history="1">
            <w:r w:rsidRPr="00D07A9D">
              <w:rPr>
                <w:rStyle w:val="Hyperlink"/>
                <w:noProof/>
              </w:rPr>
              <w:t>Product background</w:t>
            </w:r>
            <w:r>
              <w:rPr>
                <w:noProof/>
                <w:webHidden/>
              </w:rPr>
              <w:tab/>
            </w:r>
            <w:r>
              <w:rPr>
                <w:noProof/>
                <w:webHidden/>
              </w:rPr>
              <w:fldChar w:fldCharType="begin"/>
            </w:r>
            <w:r>
              <w:rPr>
                <w:noProof/>
                <w:webHidden/>
              </w:rPr>
              <w:instrText xml:space="preserve"> PAGEREF _Toc375119705 \h </w:instrText>
            </w:r>
            <w:r>
              <w:rPr>
                <w:noProof/>
                <w:webHidden/>
              </w:rPr>
            </w:r>
            <w:r>
              <w:rPr>
                <w:noProof/>
                <w:webHidden/>
              </w:rPr>
              <w:fldChar w:fldCharType="separate"/>
            </w:r>
            <w:r>
              <w:rPr>
                <w:noProof/>
                <w:webHidden/>
              </w:rPr>
              <w:t>5</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06" w:history="1">
            <w:r w:rsidRPr="00D07A9D">
              <w:rPr>
                <w:rStyle w:val="Hyperlink"/>
                <w:noProof/>
              </w:rPr>
              <w:t>Regulatory status</w:t>
            </w:r>
            <w:r>
              <w:rPr>
                <w:noProof/>
                <w:webHidden/>
              </w:rPr>
              <w:tab/>
            </w:r>
            <w:r>
              <w:rPr>
                <w:noProof/>
                <w:webHidden/>
              </w:rPr>
              <w:fldChar w:fldCharType="begin"/>
            </w:r>
            <w:r>
              <w:rPr>
                <w:noProof/>
                <w:webHidden/>
              </w:rPr>
              <w:instrText xml:space="preserve"> PAGEREF _Toc375119706 \h </w:instrText>
            </w:r>
            <w:r>
              <w:rPr>
                <w:noProof/>
                <w:webHidden/>
              </w:rPr>
            </w:r>
            <w:r>
              <w:rPr>
                <w:noProof/>
                <w:webHidden/>
              </w:rPr>
              <w:fldChar w:fldCharType="separate"/>
            </w:r>
            <w:r>
              <w:rPr>
                <w:noProof/>
                <w:webHidden/>
              </w:rPr>
              <w:t>5</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07" w:history="1">
            <w:r w:rsidRPr="00D07A9D">
              <w:rPr>
                <w:rStyle w:val="Hyperlink"/>
                <w:noProof/>
              </w:rPr>
              <w:t>Product Information</w:t>
            </w:r>
            <w:r>
              <w:rPr>
                <w:noProof/>
                <w:webHidden/>
              </w:rPr>
              <w:tab/>
            </w:r>
            <w:r>
              <w:rPr>
                <w:noProof/>
                <w:webHidden/>
              </w:rPr>
              <w:fldChar w:fldCharType="begin"/>
            </w:r>
            <w:r>
              <w:rPr>
                <w:noProof/>
                <w:webHidden/>
              </w:rPr>
              <w:instrText xml:space="preserve"> PAGEREF _Toc375119707 \h </w:instrText>
            </w:r>
            <w:r>
              <w:rPr>
                <w:noProof/>
                <w:webHidden/>
              </w:rPr>
            </w:r>
            <w:r>
              <w:rPr>
                <w:noProof/>
                <w:webHidden/>
              </w:rPr>
              <w:fldChar w:fldCharType="separate"/>
            </w:r>
            <w:r>
              <w:rPr>
                <w:noProof/>
                <w:webHidden/>
              </w:rPr>
              <w:t>5</w:t>
            </w:r>
            <w:r>
              <w:rPr>
                <w:noProof/>
                <w:webHidden/>
              </w:rPr>
              <w:fldChar w:fldCharType="end"/>
            </w:r>
          </w:hyperlink>
        </w:p>
        <w:p w:rsidR="00AD1688" w:rsidRDefault="00AD1688">
          <w:pPr>
            <w:pStyle w:val="TOC2"/>
            <w:rPr>
              <w:rFonts w:asciiTheme="minorHAnsi" w:eastAsiaTheme="minorEastAsia" w:hAnsiTheme="minorHAnsi" w:cstheme="minorBidi"/>
              <w:b w:val="0"/>
              <w:noProof/>
              <w:sz w:val="22"/>
              <w:lang w:eastAsia="en-AU"/>
            </w:rPr>
          </w:pPr>
          <w:hyperlink w:anchor="_Toc375119708" w:history="1">
            <w:r w:rsidRPr="00D07A9D">
              <w:rPr>
                <w:rStyle w:val="Hyperlink"/>
                <w:noProof/>
              </w:rPr>
              <w:t>II. Quality findings</w:t>
            </w:r>
            <w:r>
              <w:rPr>
                <w:noProof/>
                <w:webHidden/>
              </w:rPr>
              <w:tab/>
            </w:r>
            <w:r>
              <w:rPr>
                <w:noProof/>
                <w:webHidden/>
              </w:rPr>
              <w:fldChar w:fldCharType="begin"/>
            </w:r>
            <w:r>
              <w:rPr>
                <w:noProof/>
                <w:webHidden/>
              </w:rPr>
              <w:instrText xml:space="preserve"> PAGEREF _Toc375119708 \h </w:instrText>
            </w:r>
            <w:r>
              <w:rPr>
                <w:noProof/>
                <w:webHidden/>
              </w:rPr>
            </w:r>
            <w:r>
              <w:rPr>
                <w:noProof/>
                <w:webHidden/>
              </w:rPr>
              <w:fldChar w:fldCharType="separate"/>
            </w:r>
            <w:r>
              <w:rPr>
                <w:noProof/>
                <w:webHidden/>
              </w:rPr>
              <w:t>5</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09" w:history="1">
            <w:r w:rsidRPr="00D07A9D">
              <w:rPr>
                <w:rStyle w:val="Hyperlink"/>
                <w:noProof/>
              </w:rPr>
              <w:t>Drug substance (active ingredient)</w:t>
            </w:r>
            <w:r>
              <w:rPr>
                <w:noProof/>
                <w:webHidden/>
              </w:rPr>
              <w:tab/>
            </w:r>
            <w:r>
              <w:rPr>
                <w:noProof/>
                <w:webHidden/>
              </w:rPr>
              <w:fldChar w:fldCharType="begin"/>
            </w:r>
            <w:r>
              <w:rPr>
                <w:noProof/>
                <w:webHidden/>
              </w:rPr>
              <w:instrText xml:space="preserve"> PAGEREF _Toc375119709 \h </w:instrText>
            </w:r>
            <w:r>
              <w:rPr>
                <w:noProof/>
                <w:webHidden/>
              </w:rPr>
            </w:r>
            <w:r>
              <w:rPr>
                <w:noProof/>
                <w:webHidden/>
              </w:rPr>
              <w:fldChar w:fldCharType="separate"/>
            </w:r>
            <w:r>
              <w:rPr>
                <w:noProof/>
                <w:webHidden/>
              </w:rPr>
              <w:t>5</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0" w:history="1">
            <w:r w:rsidRPr="00D07A9D">
              <w:rPr>
                <w:rStyle w:val="Hyperlink"/>
                <w:noProof/>
              </w:rPr>
              <w:t>Drug product</w:t>
            </w:r>
            <w:r>
              <w:rPr>
                <w:noProof/>
                <w:webHidden/>
              </w:rPr>
              <w:tab/>
            </w:r>
            <w:r>
              <w:rPr>
                <w:noProof/>
                <w:webHidden/>
              </w:rPr>
              <w:fldChar w:fldCharType="begin"/>
            </w:r>
            <w:r>
              <w:rPr>
                <w:noProof/>
                <w:webHidden/>
              </w:rPr>
              <w:instrText xml:space="preserve"> PAGEREF _Toc375119710 \h </w:instrText>
            </w:r>
            <w:r>
              <w:rPr>
                <w:noProof/>
                <w:webHidden/>
              </w:rPr>
            </w:r>
            <w:r>
              <w:rPr>
                <w:noProof/>
                <w:webHidden/>
              </w:rPr>
              <w:fldChar w:fldCharType="separate"/>
            </w:r>
            <w:r>
              <w:rPr>
                <w:noProof/>
                <w:webHidden/>
              </w:rPr>
              <w:t>7</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1" w:history="1">
            <w:r w:rsidRPr="00D07A9D">
              <w:rPr>
                <w:rStyle w:val="Hyperlink"/>
                <w:noProof/>
              </w:rPr>
              <w:t>Biopharmaceutics</w:t>
            </w:r>
            <w:r>
              <w:rPr>
                <w:noProof/>
                <w:webHidden/>
              </w:rPr>
              <w:tab/>
            </w:r>
            <w:r>
              <w:rPr>
                <w:noProof/>
                <w:webHidden/>
              </w:rPr>
              <w:fldChar w:fldCharType="begin"/>
            </w:r>
            <w:r>
              <w:rPr>
                <w:noProof/>
                <w:webHidden/>
              </w:rPr>
              <w:instrText xml:space="preserve"> PAGEREF _Toc375119711 \h </w:instrText>
            </w:r>
            <w:r>
              <w:rPr>
                <w:noProof/>
                <w:webHidden/>
              </w:rPr>
            </w:r>
            <w:r>
              <w:rPr>
                <w:noProof/>
                <w:webHidden/>
              </w:rPr>
              <w:fldChar w:fldCharType="separate"/>
            </w:r>
            <w:r>
              <w:rPr>
                <w:noProof/>
                <w:webHidden/>
              </w:rPr>
              <w:t>7</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2" w:history="1">
            <w:r w:rsidRPr="00D07A9D">
              <w:rPr>
                <w:rStyle w:val="Hyperlink"/>
                <w:noProof/>
              </w:rPr>
              <w:t>Advisory committee considerations</w:t>
            </w:r>
            <w:r>
              <w:rPr>
                <w:noProof/>
                <w:webHidden/>
              </w:rPr>
              <w:tab/>
            </w:r>
            <w:r>
              <w:rPr>
                <w:noProof/>
                <w:webHidden/>
              </w:rPr>
              <w:fldChar w:fldCharType="begin"/>
            </w:r>
            <w:r>
              <w:rPr>
                <w:noProof/>
                <w:webHidden/>
              </w:rPr>
              <w:instrText xml:space="preserve"> PAGEREF _Toc375119712 \h </w:instrText>
            </w:r>
            <w:r>
              <w:rPr>
                <w:noProof/>
                <w:webHidden/>
              </w:rPr>
            </w:r>
            <w:r>
              <w:rPr>
                <w:noProof/>
                <w:webHidden/>
              </w:rPr>
              <w:fldChar w:fldCharType="separate"/>
            </w:r>
            <w:r>
              <w:rPr>
                <w:noProof/>
                <w:webHidden/>
              </w:rPr>
              <w:t>8</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3" w:history="1">
            <w:r w:rsidRPr="00D07A9D">
              <w:rPr>
                <w:rStyle w:val="Hyperlink"/>
                <w:noProof/>
              </w:rPr>
              <w:t>Quality summary and conclusions</w:t>
            </w:r>
            <w:r>
              <w:rPr>
                <w:noProof/>
                <w:webHidden/>
              </w:rPr>
              <w:tab/>
            </w:r>
            <w:r>
              <w:rPr>
                <w:noProof/>
                <w:webHidden/>
              </w:rPr>
              <w:fldChar w:fldCharType="begin"/>
            </w:r>
            <w:r>
              <w:rPr>
                <w:noProof/>
                <w:webHidden/>
              </w:rPr>
              <w:instrText xml:space="preserve"> PAGEREF _Toc375119713 \h </w:instrText>
            </w:r>
            <w:r>
              <w:rPr>
                <w:noProof/>
                <w:webHidden/>
              </w:rPr>
            </w:r>
            <w:r>
              <w:rPr>
                <w:noProof/>
                <w:webHidden/>
              </w:rPr>
              <w:fldChar w:fldCharType="separate"/>
            </w:r>
            <w:r>
              <w:rPr>
                <w:noProof/>
                <w:webHidden/>
              </w:rPr>
              <w:t>8</w:t>
            </w:r>
            <w:r>
              <w:rPr>
                <w:noProof/>
                <w:webHidden/>
              </w:rPr>
              <w:fldChar w:fldCharType="end"/>
            </w:r>
          </w:hyperlink>
        </w:p>
        <w:p w:rsidR="00AD1688" w:rsidRDefault="00AD1688">
          <w:pPr>
            <w:pStyle w:val="TOC2"/>
            <w:rPr>
              <w:rFonts w:asciiTheme="minorHAnsi" w:eastAsiaTheme="minorEastAsia" w:hAnsiTheme="minorHAnsi" w:cstheme="minorBidi"/>
              <w:b w:val="0"/>
              <w:noProof/>
              <w:sz w:val="22"/>
              <w:lang w:eastAsia="en-AU"/>
            </w:rPr>
          </w:pPr>
          <w:hyperlink w:anchor="_Toc375119714" w:history="1">
            <w:r w:rsidRPr="00D07A9D">
              <w:rPr>
                <w:rStyle w:val="Hyperlink"/>
                <w:noProof/>
              </w:rPr>
              <w:t>III. Nonclinical findings</w:t>
            </w:r>
            <w:r>
              <w:rPr>
                <w:noProof/>
                <w:webHidden/>
              </w:rPr>
              <w:tab/>
            </w:r>
            <w:r>
              <w:rPr>
                <w:noProof/>
                <w:webHidden/>
              </w:rPr>
              <w:fldChar w:fldCharType="begin"/>
            </w:r>
            <w:r>
              <w:rPr>
                <w:noProof/>
                <w:webHidden/>
              </w:rPr>
              <w:instrText xml:space="preserve"> PAGEREF _Toc375119714 \h </w:instrText>
            </w:r>
            <w:r>
              <w:rPr>
                <w:noProof/>
                <w:webHidden/>
              </w:rPr>
            </w:r>
            <w:r>
              <w:rPr>
                <w:noProof/>
                <w:webHidden/>
              </w:rPr>
              <w:fldChar w:fldCharType="separate"/>
            </w:r>
            <w:r>
              <w:rPr>
                <w:noProof/>
                <w:webHidden/>
              </w:rPr>
              <w:t>9</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5" w:history="1">
            <w:r w:rsidRPr="00D07A9D">
              <w:rPr>
                <w:rStyle w:val="Hyperlink"/>
                <w:noProof/>
              </w:rPr>
              <w:t>Introduction</w:t>
            </w:r>
            <w:r>
              <w:rPr>
                <w:noProof/>
                <w:webHidden/>
              </w:rPr>
              <w:tab/>
            </w:r>
            <w:r>
              <w:rPr>
                <w:noProof/>
                <w:webHidden/>
              </w:rPr>
              <w:fldChar w:fldCharType="begin"/>
            </w:r>
            <w:r>
              <w:rPr>
                <w:noProof/>
                <w:webHidden/>
              </w:rPr>
              <w:instrText xml:space="preserve"> PAGEREF _Toc375119715 \h </w:instrText>
            </w:r>
            <w:r>
              <w:rPr>
                <w:noProof/>
                <w:webHidden/>
              </w:rPr>
            </w:r>
            <w:r>
              <w:rPr>
                <w:noProof/>
                <w:webHidden/>
              </w:rPr>
              <w:fldChar w:fldCharType="separate"/>
            </w:r>
            <w:r>
              <w:rPr>
                <w:noProof/>
                <w:webHidden/>
              </w:rPr>
              <w:t>9</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6" w:history="1">
            <w:r w:rsidRPr="00D07A9D">
              <w:rPr>
                <w:rStyle w:val="Hyperlink"/>
                <w:noProof/>
              </w:rPr>
              <w:t>Pharmacology</w:t>
            </w:r>
            <w:r>
              <w:rPr>
                <w:noProof/>
                <w:webHidden/>
              </w:rPr>
              <w:tab/>
            </w:r>
            <w:r>
              <w:rPr>
                <w:noProof/>
                <w:webHidden/>
              </w:rPr>
              <w:fldChar w:fldCharType="begin"/>
            </w:r>
            <w:r>
              <w:rPr>
                <w:noProof/>
                <w:webHidden/>
              </w:rPr>
              <w:instrText xml:space="preserve"> PAGEREF _Toc375119716 \h </w:instrText>
            </w:r>
            <w:r>
              <w:rPr>
                <w:noProof/>
                <w:webHidden/>
              </w:rPr>
            </w:r>
            <w:r>
              <w:rPr>
                <w:noProof/>
                <w:webHidden/>
              </w:rPr>
              <w:fldChar w:fldCharType="separate"/>
            </w:r>
            <w:r>
              <w:rPr>
                <w:noProof/>
                <w:webHidden/>
              </w:rPr>
              <w:t>9</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7" w:history="1">
            <w:r w:rsidRPr="00D07A9D">
              <w:rPr>
                <w:rStyle w:val="Hyperlink"/>
                <w:noProof/>
              </w:rPr>
              <w:t>Pharmacokinetics</w:t>
            </w:r>
            <w:r>
              <w:rPr>
                <w:noProof/>
                <w:webHidden/>
              </w:rPr>
              <w:tab/>
            </w:r>
            <w:r>
              <w:rPr>
                <w:noProof/>
                <w:webHidden/>
              </w:rPr>
              <w:fldChar w:fldCharType="begin"/>
            </w:r>
            <w:r>
              <w:rPr>
                <w:noProof/>
                <w:webHidden/>
              </w:rPr>
              <w:instrText xml:space="preserve"> PAGEREF _Toc375119717 \h </w:instrText>
            </w:r>
            <w:r>
              <w:rPr>
                <w:noProof/>
                <w:webHidden/>
              </w:rPr>
            </w:r>
            <w:r>
              <w:rPr>
                <w:noProof/>
                <w:webHidden/>
              </w:rPr>
              <w:fldChar w:fldCharType="separate"/>
            </w:r>
            <w:r>
              <w:rPr>
                <w:noProof/>
                <w:webHidden/>
              </w:rPr>
              <w:t>10</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8" w:history="1">
            <w:r w:rsidRPr="00D07A9D">
              <w:rPr>
                <w:rStyle w:val="Hyperlink"/>
                <w:noProof/>
              </w:rPr>
              <w:t>Toxicology</w:t>
            </w:r>
            <w:r>
              <w:rPr>
                <w:noProof/>
                <w:webHidden/>
              </w:rPr>
              <w:tab/>
            </w:r>
            <w:r>
              <w:rPr>
                <w:noProof/>
                <w:webHidden/>
              </w:rPr>
              <w:fldChar w:fldCharType="begin"/>
            </w:r>
            <w:r>
              <w:rPr>
                <w:noProof/>
                <w:webHidden/>
              </w:rPr>
              <w:instrText xml:space="preserve"> PAGEREF _Toc375119718 \h </w:instrText>
            </w:r>
            <w:r>
              <w:rPr>
                <w:noProof/>
                <w:webHidden/>
              </w:rPr>
            </w:r>
            <w:r>
              <w:rPr>
                <w:noProof/>
                <w:webHidden/>
              </w:rPr>
              <w:fldChar w:fldCharType="separate"/>
            </w:r>
            <w:r>
              <w:rPr>
                <w:noProof/>
                <w:webHidden/>
              </w:rPr>
              <w:t>10</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19" w:history="1">
            <w:r w:rsidRPr="00D07A9D">
              <w:rPr>
                <w:rStyle w:val="Hyperlink"/>
                <w:noProof/>
              </w:rPr>
              <w:t>Nonclinical summary and conclusions</w:t>
            </w:r>
            <w:r>
              <w:rPr>
                <w:noProof/>
                <w:webHidden/>
              </w:rPr>
              <w:tab/>
            </w:r>
            <w:r>
              <w:rPr>
                <w:noProof/>
                <w:webHidden/>
              </w:rPr>
              <w:fldChar w:fldCharType="begin"/>
            </w:r>
            <w:r>
              <w:rPr>
                <w:noProof/>
                <w:webHidden/>
              </w:rPr>
              <w:instrText xml:space="preserve"> PAGEREF _Toc375119719 \h </w:instrText>
            </w:r>
            <w:r>
              <w:rPr>
                <w:noProof/>
                <w:webHidden/>
              </w:rPr>
            </w:r>
            <w:r>
              <w:rPr>
                <w:noProof/>
                <w:webHidden/>
              </w:rPr>
              <w:fldChar w:fldCharType="separate"/>
            </w:r>
            <w:r>
              <w:rPr>
                <w:noProof/>
                <w:webHidden/>
              </w:rPr>
              <w:t>12</w:t>
            </w:r>
            <w:r>
              <w:rPr>
                <w:noProof/>
                <w:webHidden/>
              </w:rPr>
              <w:fldChar w:fldCharType="end"/>
            </w:r>
          </w:hyperlink>
        </w:p>
        <w:p w:rsidR="00AD1688" w:rsidRDefault="00AD1688">
          <w:pPr>
            <w:pStyle w:val="TOC2"/>
            <w:rPr>
              <w:rFonts w:asciiTheme="minorHAnsi" w:eastAsiaTheme="minorEastAsia" w:hAnsiTheme="minorHAnsi" w:cstheme="minorBidi"/>
              <w:b w:val="0"/>
              <w:noProof/>
              <w:sz w:val="22"/>
              <w:lang w:eastAsia="en-AU"/>
            </w:rPr>
          </w:pPr>
          <w:hyperlink w:anchor="_Toc375119720" w:history="1">
            <w:r w:rsidRPr="00D07A9D">
              <w:rPr>
                <w:rStyle w:val="Hyperlink"/>
                <w:noProof/>
              </w:rPr>
              <w:t>IV. Clinical findings</w:t>
            </w:r>
            <w:r>
              <w:rPr>
                <w:noProof/>
                <w:webHidden/>
              </w:rPr>
              <w:tab/>
            </w:r>
            <w:r>
              <w:rPr>
                <w:noProof/>
                <w:webHidden/>
              </w:rPr>
              <w:fldChar w:fldCharType="begin"/>
            </w:r>
            <w:r>
              <w:rPr>
                <w:noProof/>
                <w:webHidden/>
              </w:rPr>
              <w:instrText xml:space="preserve"> PAGEREF _Toc375119720 \h </w:instrText>
            </w:r>
            <w:r>
              <w:rPr>
                <w:noProof/>
                <w:webHidden/>
              </w:rPr>
            </w:r>
            <w:r>
              <w:rPr>
                <w:noProof/>
                <w:webHidden/>
              </w:rPr>
              <w:fldChar w:fldCharType="separate"/>
            </w:r>
            <w:r>
              <w:rPr>
                <w:noProof/>
                <w:webHidden/>
              </w:rPr>
              <w:t>13</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1" w:history="1">
            <w:r w:rsidRPr="00D07A9D">
              <w:rPr>
                <w:rStyle w:val="Hyperlink"/>
                <w:noProof/>
              </w:rPr>
              <w:t>Introduction</w:t>
            </w:r>
            <w:r>
              <w:rPr>
                <w:noProof/>
                <w:webHidden/>
              </w:rPr>
              <w:tab/>
            </w:r>
            <w:r>
              <w:rPr>
                <w:noProof/>
                <w:webHidden/>
              </w:rPr>
              <w:fldChar w:fldCharType="begin"/>
            </w:r>
            <w:r>
              <w:rPr>
                <w:noProof/>
                <w:webHidden/>
              </w:rPr>
              <w:instrText xml:space="preserve"> PAGEREF _Toc375119721 \h </w:instrText>
            </w:r>
            <w:r>
              <w:rPr>
                <w:noProof/>
                <w:webHidden/>
              </w:rPr>
            </w:r>
            <w:r>
              <w:rPr>
                <w:noProof/>
                <w:webHidden/>
              </w:rPr>
              <w:fldChar w:fldCharType="separate"/>
            </w:r>
            <w:r>
              <w:rPr>
                <w:noProof/>
                <w:webHidden/>
              </w:rPr>
              <w:t>13</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2" w:history="1">
            <w:r w:rsidRPr="00D07A9D">
              <w:rPr>
                <w:rStyle w:val="Hyperlink"/>
                <w:noProof/>
              </w:rPr>
              <w:t>Pharmacokinetics</w:t>
            </w:r>
            <w:r>
              <w:rPr>
                <w:noProof/>
                <w:webHidden/>
              </w:rPr>
              <w:tab/>
            </w:r>
            <w:r>
              <w:rPr>
                <w:noProof/>
                <w:webHidden/>
              </w:rPr>
              <w:fldChar w:fldCharType="begin"/>
            </w:r>
            <w:r>
              <w:rPr>
                <w:noProof/>
                <w:webHidden/>
              </w:rPr>
              <w:instrText xml:space="preserve"> PAGEREF _Toc375119722 \h </w:instrText>
            </w:r>
            <w:r>
              <w:rPr>
                <w:noProof/>
                <w:webHidden/>
              </w:rPr>
            </w:r>
            <w:r>
              <w:rPr>
                <w:noProof/>
                <w:webHidden/>
              </w:rPr>
              <w:fldChar w:fldCharType="separate"/>
            </w:r>
            <w:r>
              <w:rPr>
                <w:noProof/>
                <w:webHidden/>
              </w:rPr>
              <w:t>15</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3" w:history="1">
            <w:r w:rsidRPr="00D07A9D">
              <w:rPr>
                <w:rStyle w:val="Hyperlink"/>
                <w:noProof/>
              </w:rPr>
              <w:t>Pharmacodynamics</w:t>
            </w:r>
            <w:r>
              <w:rPr>
                <w:noProof/>
                <w:webHidden/>
              </w:rPr>
              <w:tab/>
            </w:r>
            <w:r>
              <w:rPr>
                <w:noProof/>
                <w:webHidden/>
              </w:rPr>
              <w:fldChar w:fldCharType="begin"/>
            </w:r>
            <w:r>
              <w:rPr>
                <w:noProof/>
                <w:webHidden/>
              </w:rPr>
              <w:instrText xml:space="preserve"> PAGEREF _Toc375119723 \h </w:instrText>
            </w:r>
            <w:r>
              <w:rPr>
                <w:noProof/>
                <w:webHidden/>
              </w:rPr>
            </w:r>
            <w:r>
              <w:rPr>
                <w:noProof/>
                <w:webHidden/>
              </w:rPr>
              <w:fldChar w:fldCharType="separate"/>
            </w:r>
            <w:r>
              <w:rPr>
                <w:noProof/>
                <w:webHidden/>
              </w:rPr>
              <w:t>15</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4" w:history="1">
            <w:r w:rsidRPr="00D07A9D">
              <w:rPr>
                <w:rStyle w:val="Hyperlink"/>
                <w:noProof/>
              </w:rPr>
              <w:t>Dosage selection for the pivotal studies</w:t>
            </w:r>
            <w:r>
              <w:rPr>
                <w:noProof/>
                <w:webHidden/>
              </w:rPr>
              <w:tab/>
            </w:r>
            <w:r>
              <w:rPr>
                <w:noProof/>
                <w:webHidden/>
              </w:rPr>
              <w:fldChar w:fldCharType="begin"/>
            </w:r>
            <w:r>
              <w:rPr>
                <w:noProof/>
                <w:webHidden/>
              </w:rPr>
              <w:instrText xml:space="preserve"> PAGEREF _Toc375119724 \h </w:instrText>
            </w:r>
            <w:r>
              <w:rPr>
                <w:noProof/>
                <w:webHidden/>
              </w:rPr>
            </w:r>
            <w:r>
              <w:rPr>
                <w:noProof/>
                <w:webHidden/>
              </w:rPr>
              <w:fldChar w:fldCharType="separate"/>
            </w:r>
            <w:r>
              <w:rPr>
                <w:noProof/>
                <w:webHidden/>
              </w:rPr>
              <w:t>18</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5" w:history="1">
            <w:r w:rsidRPr="00D07A9D">
              <w:rPr>
                <w:rStyle w:val="Hyperlink"/>
                <w:noProof/>
              </w:rPr>
              <w:t>Efficacy</w:t>
            </w:r>
            <w:r>
              <w:rPr>
                <w:noProof/>
                <w:webHidden/>
              </w:rPr>
              <w:tab/>
            </w:r>
            <w:r>
              <w:rPr>
                <w:noProof/>
                <w:webHidden/>
              </w:rPr>
              <w:fldChar w:fldCharType="begin"/>
            </w:r>
            <w:r>
              <w:rPr>
                <w:noProof/>
                <w:webHidden/>
              </w:rPr>
              <w:instrText xml:space="preserve"> PAGEREF _Toc375119725 \h </w:instrText>
            </w:r>
            <w:r>
              <w:rPr>
                <w:noProof/>
                <w:webHidden/>
              </w:rPr>
            </w:r>
            <w:r>
              <w:rPr>
                <w:noProof/>
                <w:webHidden/>
              </w:rPr>
              <w:fldChar w:fldCharType="separate"/>
            </w:r>
            <w:r>
              <w:rPr>
                <w:noProof/>
                <w:webHidden/>
              </w:rPr>
              <w:t>18</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6" w:history="1">
            <w:r w:rsidRPr="00D07A9D">
              <w:rPr>
                <w:rStyle w:val="Hyperlink"/>
                <w:noProof/>
              </w:rPr>
              <w:t>Safety</w:t>
            </w:r>
            <w:r>
              <w:rPr>
                <w:noProof/>
                <w:webHidden/>
              </w:rPr>
              <w:tab/>
            </w:r>
            <w:r>
              <w:rPr>
                <w:noProof/>
                <w:webHidden/>
              </w:rPr>
              <w:fldChar w:fldCharType="begin"/>
            </w:r>
            <w:r>
              <w:rPr>
                <w:noProof/>
                <w:webHidden/>
              </w:rPr>
              <w:instrText xml:space="preserve"> PAGEREF _Toc375119726 \h </w:instrText>
            </w:r>
            <w:r>
              <w:rPr>
                <w:noProof/>
                <w:webHidden/>
              </w:rPr>
            </w:r>
            <w:r>
              <w:rPr>
                <w:noProof/>
                <w:webHidden/>
              </w:rPr>
              <w:fldChar w:fldCharType="separate"/>
            </w:r>
            <w:r>
              <w:rPr>
                <w:noProof/>
                <w:webHidden/>
              </w:rPr>
              <w:t>38</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7" w:history="1">
            <w:r w:rsidRPr="00D07A9D">
              <w:rPr>
                <w:rStyle w:val="Hyperlink"/>
                <w:noProof/>
              </w:rPr>
              <w:t>First round benefit-risk assessment</w:t>
            </w:r>
            <w:r>
              <w:rPr>
                <w:noProof/>
                <w:webHidden/>
              </w:rPr>
              <w:tab/>
            </w:r>
            <w:r>
              <w:rPr>
                <w:noProof/>
                <w:webHidden/>
              </w:rPr>
              <w:fldChar w:fldCharType="begin"/>
            </w:r>
            <w:r>
              <w:rPr>
                <w:noProof/>
                <w:webHidden/>
              </w:rPr>
              <w:instrText xml:space="preserve"> PAGEREF _Toc375119727 \h </w:instrText>
            </w:r>
            <w:r>
              <w:rPr>
                <w:noProof/>
                <w:webHidden/>
              </w:rPr>
            </w:r>
            <w:r>
              <w:rPr>
                <w:noProof/>
                <w:webHidden/>
              </w:rPr>
              <w:fldChar w:fldCharType="separate"/>
            </w:r>
            <w:r>
              <w:rPr>
                <w:noProof/>
                <w:webHidden/>
              </w:rPr>
              <w:t>42</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8" w:history="1">
            <w:r w:rsidRPr="00D07A9D">
              <w:rPr>
                <w:rStyle w:val="Hyperlink"/>
                <w:noProof/>
              </w:rPr>
              <w:t>First round recommendation regarding authorisation</w:t>
            </w:r>
            <w:r>
              <w:rPr>
                <w:noProof/>
                <w:webHidden/>
              </w:rPr>
              <w:tab/>
            </w:r>
            <w:r>
              <w:rPr>
                <w:noProof/>
                <w:webHidden/>
              </w:rPr>
              <w:fldChar w:fldCharType="begin"/>
            </w:r>
            <w:r>
              <w:rPr>
                <w:noProof/>
                <w:webHidden/>
              </w:rPr>
              <w:instrText xml:space="preserve"> PAGEREF _Toc375119728 \h </w:instrText>
            </w:r>
            <w:r>
              <w:rPr>
                <w:noProof/>
                <w:webHidden/>
              </w:rPr>
            </w:r>
            <w:r>
              <w:rPr>
                <w:noProof/>
                <w:webHidden/>
              </w:rPr>
              <w:fldChar w:fldCharType="separate"/>
            </w:r>
            <w:r>
              <w:rPr>
                <w:noProof/>
                <w:webHidden/>
              </w:rPr>
              <w:t>42</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29" w:history="1">
            <w:r w:rsidRPr="00D07A9D">
              <w:rPr>
                <w:rStyle w:val="Hyperlink"/>
                <w:noProof/>
              </w:rPr>
              <w:t>List of questions</w:t>
            </w:r>
            <w:r>
              <w:rPr>
                <w:noProof/>
                <w:webHidden/>
              </w:rPr>
              <w:tab/>
            </w:r>
            <w:r>
              <w:rPr>
                <w:noProof/>
                <w:webHidden/>
              </w:rPr>
              <w:fldChar w:fldCharType="begin"/>
            </w:r>
            <w:r>
              <w:rPr>
                <w:noProof/>
                <w:webHidden/>
              </w:rPr>
              <w:instrText xml:space="preserve"> PAGEREF _Toc375119729 \h </w:instrText>
            </w:r>
            <w:r>
              <w:rPr>
                <w:noProof/>
                <w:webHidden/>
              </w:rPr>
            </w:r>
            <w:r>
              <w:rPr>
                <w:noProof/>
                <w:webHidden/>
              </w:rPr>
              <w:fldChar w:fldCharType="separate"/>
            </w:r>
            <w:r>
              <w:rPr>
                <w:noProof/>
                <w:webHidden/>
              </w:rPr>
              <w:t>42</w:t>
            </w:r>
            <w:r>
              <w:rPr>
                <w:noProof/>
                <w:webHidden/>
              </w:rPr>
              <w:fldChar w:fldCharType="end"/>
            </w:r>
          </w:hyperlink>
        </w:p>
        <w:p w:rsidR="00AD1688" w:rsidRDefault="00AD1688">
          <w:pPr>
            <w:pStyle w:val="TOC2"/>
            <w:rPr>
              <w:rFonts w:asciiTheme="minorHAnsi" w:eastAsiaTheme="minorEastAsia" w:hAnsiTheme="minorHAnsi" w:cstheme="minorBidi"/>
              <w:b w:val="0"/>
              <w:noProof/>
              <w:sz w:val="22"/>
              <w:lang w:eastAsia="en-AU"/>
            </w:rPr>
          </w:pPr>
          <w:hyperlink w:anchor="_Toc375119730" w:history="1">
            <w:r w:rsidRPr="00D07A9D">
              <w:rPr>
                <w:rStyle w:val="Hyperlink"/>
                <w:noProof/>
              </w:rPr>
              <w:t>V. Pharmacovigilance findings</w:t>
            </w:r>
            <w:r>
              <w:rPr>
                <w:noProof/>
                <w:webHidden/>
              </w:rPr>
              <w:tab/>
            </w:r>
            <w:r>
              <w:rPr>
                <w:noProof/>
                <w:webHidden/>
              </w:rPr>
              <w:fldChar w:fldCharType="begin"/>
            </w:r>
            <w:r>
              <w:rPr>
                <w:noProof/>
                <w:webHidden/>
              </w:rPr>
              <w:instrText xml:space="preserve"> PAGEREF _Toc375119730 \h </w:instrText>
            </w:r>
            <w:r>
              <w:rPr>
                <w:noProof/>
                <w:webHidden/>
              </w:rPr>
            </w:r>
            <w:r>
              <w:rPr>
                <w:noProof/>
                <w:webHidden/>
              </w:rPr>
              <w:fldChar w:fldCharType="separate"/>
            </w:r>
            <w:r>
              <w:rPr>
                <w:noProof/>
                <w:webHidden/>
              </w:rPr>
              <w:t>43</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31" w:history="1">
            <w:r w:rsidRPr="00D07A9D">
              <w:rPr>
                <w:rStyle w:val="Hyperlink"/>
                <w:noProof/>
                <w:lang w:eastAsia="en-AU"/>
              </w:rPr>
              <w:t>Risk management plan</w:t>
            </w:r>
            <w:r>
              <w:rPr>
                <w:noProof/>
                <w:webHidden/>
              </w:rPr>
              <w:tab/>
            </w:r>
            <w:r>
              <w:rPr>
                <w:noProof/>
                <w:webHidden/>
              </w:rPr>
              <w:fldChar w:fldCharType="begin"/>
            </w:r>
            <w:r>
              <w:rPr>
                <w:noProof/>
                <w:webHidden/>
              </w:rPr>
              <w:instrText xml:space="preserve"> PAGEREF _Toc375119731 \h </w:instrText>
            </w:r>
            <w:r>
              <w:rPr>
                <w:noProof/>
                <w:webHidden/>
              </w:rPr>
            </w:r>
            <w:r>
              <w:rPr>
                <w:noProof/>
                <w:webHidden/>
              </w:rPr>
              <w:fldChar w:fldCharType="separate"/>
            </w:r>
            <w:r>
              <w:rPr>
                <w:noProof/>
                <w:webHidden/>
              </w:rPr>
              <w:t>43</w:t>
            </w:r>
            <w:r>
              <w:rPr>
                <w:noProof/>
                <w:webHidden/>
              </w:rPr>
              <w:fldChar w:fldCharType="end"/>
            </w:r>
          </w:hyperlink>
        </w:p>
        <w:p w:rsidR="00AD1688" w:rsidRDefault="00AD1688">
          <w:pPr>
            <w:pStyle w:val="TOC2"/>
            <w:rPr>
              <w:rFonts w:asciiTheme="minorHAnsi" w:eastAsiaTheme="minorEastAsia" w:hAnsiTheme="minorHAnsi" w:cstheme="minorBidi"/>
              <w:b w:val="0"/>
              <w:noProof/>
              <w:sz w:val="22"/>
              <w:lang w:eastAsia="en-AU"/>
            </w:rPr>
          </w:pPr>
          <w:hyperlink w:anchor="_Toc375119732" w:history="1">
            <w:r w:rsidRPr="00D07A9D">
              <w:rPr>
                <w:rStyle w:val="Hyperlink"/>
                <w:noProof/>
              </w:rPr>
              <w:t>VI. Overall conclusion and risk/benefit assessment</w:t>
            </w:r>
            <w:r>
              <w:rPr>
                <w:noProof/>
                <w:webHidden/>
              </w:rPr>
              <w:tab/>
            </w:r>
            <w:r>
              <w:rPr>
                <w:noProof/>
                <w:webHidden/>
              </w:rPr>
              <w:fldChar w:fldCharType="begin"/>
            </w:r>
            <w:r>
              <w:rPr>
                <w:noProof/>
                <w:webHidden/>
              </w:rPr>
              <w:instrText xml:space="preserve"> PAGEREF _Toc375119732 \h </w:instrText>
            </w:r>
            <w:r>
              <w:rPr>
                <w:noProof/>
                <w:webHidden/>
              </w:rPr>
            </w:r>
            <w:r>
              <w:rPr>
                <w:noProof/>
                <w:webHidden/>
              </w:rPr>
              <w:fldChar w:fldCharType="separate"/>
            </w:r>
            <w:r>
              <w:rPr>
                <w:noProof/>
                <w:webHidden/>
              </w:rPr>
              <w:t>46</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33" w:history="1">
            <w:r w:rsidRPr="00D07A9D">
              <w:rPr>
                <w:rStyle w:val="Hyperlink"/>
                <w:noProof/>
              </w:rPr>
              <w:t>Quality</w:t>
            </w:r>
            <w:r>
              <w:rPr>
                <w:noProof/>
                <w:webHidden/>
              </w:rPr>
              <w:tab/>
            </w:r>
            <w:r>
              <w:rPr>
                <w:noProof/>
                <w:webHidden/>
              </w:rPr>
              <w:fldChar w:fldCharType="begin"/>
            </w:r>
            <w:r>
              <w:rPr>
                <w:noProof/>
                <w:webHidden/>
              </w:rPr>
              <w:instrText xml:space="preserve"> PAGEREF _Toc375119733 \h </w:instrText>
            </w:r>
            <w:r>
              <w:rPr>
                <w:noProof/>
                <w:webHidden/>
              </w:rPr>
            </w:r>
            <w:r>
              <w:rPr>
                <w:noProof/>
                <w:webHidden/>
              </w:rPr>
              <w:fldChar w:fldCharType="separate"/>
            </w:r>
            <w:r>
              <w:rPr>
                <w:noProof/>
                <w:webHidden/>
              </w:rPr>
              <w:t>46</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34" w:history="1">
            <w:r w:rsidRPr="00D07A9D">
              <w:rPr>
                <w:rStyle w:val="Hyperlink"/>
                <w:noProof/>
              </w:rPr>
              <w:t>Nonclinical</w:t>
            </w:r>
            <w:r>
              <w:rPr>
                <w:noProof/>
                <w:webHidden/>
              </w:rPr>
              <w:tab/>
            </w:r>
            <w:r>
              <w:rPr>
                <w:noProof/>
                <w:webHidden/>
              </w:rPr>
              <w:fldChar w:fldCharType="begin"/>
            </w:r>
            <w:r>
              <w:rPr>
                <w:noProof/>
                <w:webHidden/>
              </w:rPr>
              <w:instrText xml:space="preserve"> PAGEREF _Toc375119734 \h </w:instrText>
            </w:r>
            <w:r>
              <w:rPr>
                <w:noProof/>
                <w:webHidden/>
              </w:rPr>
            </w:r>
            <w:r>
              <w:rPr>
                <w:noProof/>
                <w:webHidden/>
              </w:rPr>
              <w:fldChar w:fldCharType="separate"/>
            </w:r>
            <w:r>
              <w:rPr>
                <w:noProof/>
                <w:webHidden/>
              </w:rPr>
              <w:t>47</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35" w:history="1">
            <w:r w:rsidRPr="00D07A9D">
              <w:rPr>
                <w:rStyle w:val="Hyperlink"/>
                <w:noProof/>
              </w:rPr>
              <w:t>Clinical</w:t>
            </w:r>
            <w:r>
              <w:rPr>
                <w:noProof/>
                <w:webHidden/>
              </w:rPr>
              <w:tab/>
            </w:r>
            <w:r>
              <w:rPr>
                <w:noProof/>
                <w:webHidden/>
              </w:rPr>
              <w:fldChar w:fldCharType="begin"/>
            </w:r>
            <w:r>
              <w:rPr>
                <w:noProof/>
                <w:webHidden/>
              </w:rPr>
              <w:instrText xml:space="preserve"> PAGEREF _Toc375119735 \h </w:instrText>
            </w:r>
            <w:r>
              <w:rPr>
                <w:noProof/>
                <w:webHidden/>
              </w:rPr>
            </w:r>
            <w:r>
              <w:rPr>
                <w:noProof/>
                <w:webHidden/>
              </w:rPr>
              <w:fldChar w:fldCharType="separate"/>
            </w:r>
            <w:r>
              <w:rPr>
                <w:noProof/>
                <w:webHidden/>
              </w:rPr>
              <w:t>47</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36" w:history="1">
            <w:r w:rsidRPr="00D07A9D">
              <w:rPr>
                <w:rStyle w:val="Hyperlink"/>
                <w:noProof/>
                <w:lang w:eastAsia="en-AU"/>
              </w:rPr>
              <w:t>Risk management plan</w:t>
            </w:r>
            <w:r>
              <w:rPr>
                <w:noProof/>
                <w:webHidden/>
              </w:rPr>
              <w:tab/>
            </w:r>
            <w:r>
              <w:rPr>
                <w:noProof/>
                <w:webHidden/>
              </w:rPr>
              <w:fldChar w:fldCharType="begin"/>
            </w:r>
            <w:r>
              <w:rPr>
                <w:noProof/>
                <w:webHidden/>
              </w:rPr>
              <w:instrText xml:space="preserve"> PAGEREF _Toc375119736 \h </w:instrText>
            </w:r>
            <w:r>
              <w:rPr>
                <w:noProof/>
                <w:webHidden/>
              </w:rPr>
            </w:r>
            <w:r>
              <w:rPr>
                <w:noProof/>
                <w:webHidden/>
              </w:rPr>
              <w:fldChar w:fldCharType="separate"/>
            </w:r>
            <w:r>
              <w:rPr>
                <w:noProof/>
                <w:webHidden/>
              </w:rPr>
              <w:t>56</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37" w:history="1">
            <w:r w:rsidRPr="00D07A9D">
              <w:rPr>
                <w:rStyle w:val="Hyperlink"/>
                <w:noProof/>
              </w:rPr>
              <w:t>Risk-benefit analysis</w:t>
            </w:r>
            <w:r>
              <w:rPr>
                <w:noProof/>
                <w:webHidden/>
              </w:rPr>
              <w:tab/>
            </w:r>
            <w:r>
              <w:rPr>
                <w:noProof/>
                <w:webHidden/>
              </w:rPr>
              <w:fldChar w:fldCharType="begin"/>
            </w:r>
            <w:r>
              <w:rPr>
                <w:noProof/>
                <w:webHidden/>
              </w:rPr>
              <w:instrText xml:space="preserve"> PAGEREF _Toc375119737 \h </w:instrText>
            </w:r>
            <w:r>
              <w:rPr>
                <w:noProof/>
                <w:webHidden/>
              </w:rPr>
            </w:r>
            <w:r>
              <w:rPr>
                <w:noProof/>
                <w:webHidden/>
              </w:rPr>
              <w:fldChar w:fldCharType="separate"/>
            </w:r>
            <w:r>
              <w:rPr>
                <w:noProof/>
                <w:webHidden/>
              </w:rPr>
              <w:t>57</w:t>
            </w:r>
            <w:r>
              <w:rPr>
                <w:noProof/>
                <w:webHidden/>
              </w:rPr>
              <w:fldChar w:fldCharType="end"/>
            </w:r>
          </w:hyperlink>
        </w:p>
        <w:p w:rsidR="00AD1688" w:rsidRDefault="00AD1688">
          <w:pPr>
            <w:pStyle w:val="TOC3"/>
            <w:rPr>
              <w:rFonts w:asciiTheme="minorHAnsi" w:eastAsiaTheme="minorEastAsia" w:hAnsiTheme="minorHAnsi" w:cstheme="minorBidi"/>
              <w:noProof/>
              <w:lang w:eastAsia="en-AU"/>
            </w:rPr>
          </w:pPr>
          <w:hyperlink w:anchor="_Toc375119738" w:history="1">
            <w:r w:rsidRPr="00D07A9D">
              <w:rPr>
                <w:rStyle w:val="Hyperlink"/>
                <w:noProof/>
              </w:rPr>
              <w:t>Outcome</w:t>
            </w:r>
            <w:r>
              <w:rPr>
                <w:noProof/>
                <w:webHidden/>
              </w:rPr>
              <w:tab/>
            </w:r>
            <w:r>
              <w:rPr>
                <w:noProof/>
                <w:webHidden/>
              </w:rPr>
              <w:fldChar w:fldCharType="begin"/>
            </w:r>
            <w:r>
              <w:rPr>
                <w:noProof/>
                <w:webHidden/>
              </w:rPr>
              <w:instrText xml:space="preserve"> PAGEREF _Toc375119738 \h </w:instrText>
            </w:r>
            <w:r>
              <w:rPr>
                <w:noProof/>
                <w:webHidden/>
              </w:rPr>
            </w:r>
            <w:r>
              <w:rPr>
                <w:noProof/>
                <w:webHidden/>
              </w:rPr>
              <w:fldChar w:fldCharType="separate"/>
            </w:r>
            <w:r>
              <w:rPr>
                <w:noProof/>
                <w:webHidden/>
              </w:rPr>
              <w:t>63</w:t>
            </w:r>
            <w:r>
              <w:rPr>
                <w:noProof/>
                <w:webHidden/>
              </w:rPr>
              <w:fldChar w:fldCharType="end"/>
            </w:r>
          </w:hyperlink>
        </w:p>
        <w:p w:rsidR="00AD1688" w:rsidRDefault="00AD1688">
          <w:pPr>
            <w:pStyle w:val="TOC2"/>
            <w:tabs>
              <w:tab w:val="left" w:pos="2448"/>
            </w:tabs>
            <w:rPr>
              <w:rFonts w:asciiTheme="minorHAnsi" w:eastAsiaTheme="minorEastAsia" w:hAnsiTheme="minorHAnsi" w:cstheme="minorBidi"/>
              <w:b w:val="0"/>
              <w:noProof/>
              <w:sz w:val="22"/>
              <w:lang w:eastAsia="en-AU"/>
            </w:rPr>
          </w:pPr>
          <w:hyperlink w:anchor="_Toc375119739" w:history="1">
            <w:r w:rsidRPr="00D07A9D">
              <w:rPr>
                <w:rStyle w:val="Hyperlink"/>
                <w:noProof/>
              </w:rPr>
              <w:t>Attachment 1.</w:t>
            </w:r>
            <w:r>
              <w:rPr>
                <w:rFonts w:asciiTheme="minorHAnsi" w:eastAsiaTheme="minorEastAsia" w:hAnsiTheme="minorHAnsi" w:cstheme="minorBidi"/>
                <w:b w:val="0"/>
                <w:noProof/>
                <w:sz w:val="22"/>
                <w:lang w:eastAsia="en-AU"/>
              </w:rPr>
              <w:tab/>
            </w:r>
            <w:r w:rsidRPr="00D07A9D">
              <w:rPr>
                <w:rStyle w:val="Hyperlink"/>
                <w:noProof/>
              </w:rPr>
              <w:t>Product Information</w:t>
            </w:r>
            <w:r>
              <w:rPr>
                <w:noProof/>
                <w:webHidden/>
              </w:rPr>
              <w:tab/>
            </w:r>
            <w:r>
              <w:rPr>
                <w:noProof/>
                <w:webHidden/>
              </w:rPr>
              <w:fldChar w:fldCharType="begin"/>
            </w:r>
            <w:r>
              <w:rPr>
                <w:noProof/>
                <w:webHidden/>
              </w:rPr>
              <w:instrText xml:space="preserve"> PAGEREF _Toc375119739 \h </w:instrText>
            </w:r>
            <w:r>
              <w:rPr>
                <w:noProof/>
                <w:webHidden/>
              </w:rPr>
            </w:r>
            <w:r>
              <w:rPr>
                <w:noProof/>
                <w:webHidden/>
              </w:rPr>
              <w:fldChar w:fldCharType="separate"/>
            </w:r>
            <w:r>
              <w:rPr>
                <w:noProof/>
                <w:webHidden/>
              </w:rPr>
              <w:t>63</w:t>
            </w:r>
            <w:r>
              <w:rPr>
                <w:noProof/>
                <w:webHidden/>
              </w:rPr>
              <w:fldChar w:fldCharType="end"/>
            </w:r>
          </w:hyperlink>
        </w:p>
        <w:p w:rsidR="00AD1688" w:rsidRDefault="00AD1688">
          <w:pPr>
            <w:pStyle w:val="TOC2"/>
            <w:rPr>
              <w:rFonts w:asciiTheme="minorHAnsi" w:eastAsiaTheme="minorEastAsia" w:hAnsiTheme="minorHAnsi" w:cstheme="minorBidi"/>
              <w:b w:val="0"/>
              <w:noProof/>
              <w:sz w:val="22"/>
              <w:lang w:eastAsia="en-AU"/>
            </w:rPr>
          </w:pPr>
          <w:hyperlink w:anchor="_Toc375119740" w:history="1">
            <w:r w:rsidRPr="00D07A9D">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_Toc375119740 \h </w:instrText>
            </w:r>
            <w:r>
              <w:rPr>
                <w:noProof/>
                <w:webHidden/>
              </w:rPr>
            </w:r>
            <w:r>
              <w:rPr>
                <w:noProof/>
                <w:webHidden/>
              </w:rPr>
              <w:fldChar w:fldCharType="separate"/>
            </w:r>
            <w:r>
              <w:rPr>
                <w:noProof/>
                <w:webHidden/>
              </w:rPr>
              <w:t>63</w:t>
            </w:r>
            <w:r>
              <w:rPr>
                <w:noProof/>
                <w:webHidden/>
              </w:rPr>
              <w:fldChar w:fldCharType="end"/>
            </w:r>
          </w:hyperlink>
        </w:p>
        <w:p w:rsidR="003A7F6C" w:rsidRPr="00B811C6" w:rsidRDefault="00D20A82" w:rsidP="00B811C6">
          <w:pPr>
            <w:pStyle w:val="TOC2"/>
          </w:pPr>
          <w:r>
            <w:fldChar w:fldCharType="end"/>
          </w:r>
        </w:p>
      </w:sdtContent>
    </w:sdt>
    <w:bookmarkStart w:id="2" w:name="_Toc314842482" w:displacedByCustomXml="prev"/>
    <w:p w:rsidR="008E7846" w:rsidRDefault="00F53C07" w:rsidP="00901136">
      <w:pPr>
        <w:pStyle w:val="Heading2"/>
      </w:pPr>
      <w:bookmarkStart w:id="3" w:name="_Toc375119703"/>
      <w:r>
        <w:t>I.</w:t>
      </w:r>
      <w:r w:rsidR="008E7846">
        <w:t xml:space="preserve"> Introduction to product submission</w:t>
      </w:r>
      <w:bookmarkEnd w:id="2"/>
      <w:bookmarkEnd w:id="0"/>
      <w:bookmarkEnd w:id="3"/>
    </w:p>
    <w:p w:rsidR="008E7846" w:rsidRPr="00901136" w:rsidRDefault="008E7846" w:rsidP="00901136">
      <w:pPr>
        <w:pStyle w:val="Heading3"/>
      </w:pPr>
      <w:bookmarkStart w:id="4" w:name="_Toc247691502"/>
      <w:bookmarkStart w:id="5" w:name="_Toc314842483"/>
      <w:bookmarkStart w:id="6" w:name="_Toc375119704"/>
      <w:r>
        <w:rPr>
          <w:lang w:eastAsia="en-AU"/>
        </w:rPr>
        <w:t>Submission details</w:t>
      </w:r>
      <w:bookmarkEnd w:id="4"/>
      <w:bookmarkEnd w:id="5"/>
      <w:bookmarkEnd w:id="6"/>
    </w:p>
    <w:tbl>
      <w:tblPr>
        <w:tblW w:w="9214" w:type="dxa"/>
        <w:tblInd w:w="108" w:type="dxa"/>
        <w:tblLook w:val="01E0"/>
      </w:tblPr>
      <w:tblGrid>
        <w:gridCol w:w="2907"/>
        <w:gridCol w:w="6307"/>
      </w:tblGrid>
      <w:tr w:rsidR="008E7846" w:rsidRPr="003D1E62" w:rsidTr="00892EC0">
        <w:trPr>
          <w:trHeight w:hRule="exact" w:val="454"/>
        </w:trPr>
        <w:tc>
          <w:tcPr>
            <w:tcW w:w="2907" w:type="dxa"/>
          </w:tcPr>
          <w:p w:rsidR="008E7846" w:rsidRPr="003D1E62" w:rsidRDefault="008E7846" w:rsidP="00901136">
            <w:pPr>
              <w:rPr>
                <w:i/>
              </w:rPr>
            </w:pPr>
            <w:r w:rsidRPr="003D1E62">
              <w:rPr>
                <w:i/>
              </w:rPr>
              <w:t xml:space="preserve">Type of </w:t>
            </w:r>
            <w:r w:rsidR="00901136">
              <w:rPr>
                <w:i/>
              </w:rPr>
              <w:t>s</w:t>
            </w:r>
            <w:r w:rsidRPr="003D1E62">
              <w:rPr>
                <w:i/>
              </w:rPr>
              <w:t>ubmission</w:t>
            </w:r>
            <w:r w:rsidR="00901136">
              <w:rPr>
                <w:i/>
              </w:rPr>
              <w:t>:</w:t>
            </w:r>
          </w:p>
        </w:tc>
        <w:tc>
          <w:tcPr>
            <w:tcW w:w="6307" w:type="dxa"/>
          </w:tcPr>
          <w:p w:rsidR="008E7846" w:rsidRPr="003D1E62" w:rsidRDefault="008E7846" w:rsidP="00171839">
            <w:r w:rsidRPr="003D1E62">
              <w:t xml:space="preserve">New Chemical Entity </w:t>
            </w:r>
          </w:p>
        </w:tc>
      </w:tr>
      <w:tr w:rsidR="008E7846" w:rsidRPr="003D1E62" w:rsidTr="00892EC0">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7846" w:rsidP="00171839">
            <w:r w:rsidRPr="003D1E62">
              <w:t xml:space="preserve">Approved </w:t>
            </w:r>
          </w:p>
        </w:tc>
      </w:tr>
      <w:tr w:rsidR="008E7846" w:rsidRPr="003D1E62" w:rsidTr="00892EC0">
        <w:trPr>
          <w:trHeight w:hRule="exact" w:val="454"/>
        </w:trPr>
        <w:tc>
          <w:tcPr>
            <w:tcW w:w="2907" w:type="dxa"/>
          </w:tcPr>
          <w:p w:rsidR="008E7846" w:rsidRPr="003D1E62" w:rsidRDefault="008E7846" w:rsidP="00901136">
            <w:pPr>
              <w:rPr>
                <w:i/>
              </w:rPr>
            </w:pPr>
            <w:r w:rsidRPr="003D1E62">
              <w:rPr>
                <w:i/>
              </w:rPr>
              <w:t xml:space="preserve">Date of </w:t>
            </w:r>
            <w:r w:rsidR="00901136">
              <w:rPr>
                <w:i/>
              </w:rPr>
              <w:t>d</w:t>
            </w:r>
            <w:r w:rsidRPr="003D1E62">
              <w:rPr>
                <w:i/>
              </w:rPr>
              <w:t>ecision:</w:t>
            </w:r>
          </w:p>
        </w:tc>
        <w:tc>
          <w:tcPr>
            <w:tcW w:w="6307" w:type="dxa"/>
          </w:tcPr>
          <w:p w:rsidR="008E7846" w:rsidRPr="003D1E62" w:rsidRDefault="00F37819" w:rsidP="003D1E62">
            <w:r>
              <w:t>22 August 2013</w:t>
            </w:r>
          </w:p>
        </w:tc>
      </w:tr>
      <w:tr w:rsidR="008E7846" w:rsidRPr="00487162" w:rsidTr="00BF1190">
        <w:tc>
          <w:tcPr>
            <w:tcW w:w="2907" w:type="dxa"/>
          </w:tcPr>
          <w:p w:rsidR="008E7846" w:rsidRPr="00487162" w:rsidRDefault="00171839" w:rsidP="00171839">
            <w:pPr>
              <w:rPr>
                <w:i/>
              </w:rPr>
            </w:pPr>
            <w:r>
              <w:rPr>
                <w:i/>
              </w:rPr>
              <w:t>Active ingredient</w:t>
            </w:r>
            <w:r w:rsidR="008E7846" w:rsidRPr="00487162">
              <w:rPr>
                <w:i/>
              </w:rPr>
              <w:t>s:</w:t>
            </w:r>
          </w:p>
        </w:tc>
        <w:tc>
          <w:tcPr>
            <w:tcW w:w="6307" w:type="dxa"/>
          </w:tcPr>
          <w:p w:rsidR="008E7846" w:rsidRPr="00487162" w:rsidRDefault="00814613" w:rsidP="00FD0538">
            <w:r w:rsidRPr="00814613">
              <w:t xml:space="preserve">Purified capsular polysaccharides of </w:t>
            </w:r>
            <w:proofErr w:type="spellStart"/>
            <w:r w:rsidRPr="00814613">
              <w:rPr>
                <w:i/>
                <w:iCs/>
              </w:rPr>
              <w:t>Neisseria</w:t>
            </w:r>
            <w:proofErr w:type="spellEnd"/>
            <w:r w:rsidRPr="00814613">
              <w:rPr>
                <w:i/>
                <w:iCs/>
              </w:rPr>
              <w:t xml:space="preserve"> </w:t>
            </w:r>
            <w:proofErr w:type="spellStart"/>
            <w:r w:rsidRPr="00814613">
              <w:rPr>
                <w:i/>
                <w:iCs/>
              </w:rPr>
              <w:t>meningitidis</w:t>
            </w:r>
            <w:proofErr w:type="spellEnd"/>
            <w:r w:rsidRPr="00814613">
              <w:rPr>
                <w:i/>
                <w:iCs/>
              </w:rPr>
              <w:t xml:space="preserve"> </w:t>
            </w:r>
            <w:r w:rsidRPr="00814613">
              <w:t>types A, C, W</w:t>
            </w:r>
            <w:r w:rsidR="00FD0538">
              <w:t>-135</w:t>
            </w:r>
            <w:r w:rsidRPr="00814613">
              <w:t xml:space="preserve"> and Y, each conjugated to tetanus </w:t>
            </w:r>
            <w:proofErr w:type="spellStart"/>
            <w:r w:rsidRPr="00814613">
              <w:t>toxoid</w:t>
            </w:r>
            <w:proofErr w:type="spellEnd"/>
            <w:r w:rsidRPr="00814613">
              <w:t xml:space="preserve"> </w:t>
            </w:r>
            <w:r w:rsidR="00A120BC">
              <w:t>carrier protein</w:t>
            </w:r>
          </w:p>
        </w:tc>
      </w:tr>
      <w:tr w:rsidR="008E7846" w:rsidRPr="00487162" w:rsidTr="00BF1190">
        <w:tc>
          <w:tcPr>
            <w:tcW w:w="2907" w:type="dxa"/>
          </w:tcPr>
          <w:p w:rsidR="008E7846" w:rsidRPr="00487162" w:rsidRDefault="00171839" w:rsidP="00901136">
            <w:pPr>
              <w:rPr>
                <w:i/>
              </w:rPr>
            </w:pPr>
            <w:r>
              <w:rPr>
                <w:i/>
              </w:rPr>
              <w:t xml:space="preserve">Product </w:t>
            </w:r>
            <w:r w:rsidR="00901136">
              <w:rPr>
                <w:i/>
              </w:rPr>
              <w:t>n</w:t>
            </w:r>
            <w:r>
              <w:rPr>
                <w:i/>
              </w:rPr>
              <w:t>ame</w:t>
            </w:r>
            <w:r w:rsidR="008E7846" w:rsidRPr="00487162">
              <w:rPr>
                <w:i/>
              </w:rPr>
              <w:t>:</w:t>
            </w:r>
          </w:p>
        </w:tc>
        <w:tc>
          <w:tcPr>
            <w:tcW w:w="6307" w:type="dxa"/>
          </w:tcPr>
          <w:p w:rsidR="008E7846" w:rsidRPr="00487162" w:rsidRDefault="00171839" w:rsidP="00E45619">
            <w:proofErr w:type="spellStart"/>
            <w:r>
              <w:t>Nimenrix</w:t>
            </w:r>
            <w:proofErr w:type="spellEnd"/>
          </w:p>
        </w:tc>
      </w:tr>
      <w:tr w:rsidR="008E7846" w:rsidRPr="00487162" w:rsidTr="00BF1190">
        <w:tc>
          <w:tcPr>
            <w:tcW w:w="2907" w:type="dxa"/>
          </w:tcPr>
          <w:p w:rsidR="008E7846" w:rsidRPr="00487162" w:rsidRDefault="008E7846" w:rsidP="00901136">
            <w:pPr>
              <w:rPr>
                <w:i/>
              </w:rPr>
            </w:pPr>
            <w:r w:rsidRPr="00487162">
              <w:rPr>
                <w:i/>
              </w:rPr>
              <w:t>Sponsor’s</w:t>
            </w:r>
            <w:r w:rsidR="00901136">
              <w:rPr>
                <w:i/>
              </w:rPr>
              <w:t xml:space="preserve"> n</w:t>
            </w:r>
            <w:r w:rsidRPr="00487162">
              <w:rPr>
                <w:i/>
              </w:rPr>
              <w:t xml:space="preserve">ame and </w:t>
            </w:r>
            <w:r w:rsidR="00901136">
              <w:rPr>
                <w:i/>
              </w:rPr>
              <w:t>a</w:t>
            </w:r>
            <w:r w:rsidRPr="00487162">
              <w:rPr>
                <w:i/>
              </w:rPr>
              <w:t>ddress:</w:t>
            </w:r>
          </w:p>
        </w:tc>
        <w:tc>
          <w:tcPr>
            <w:tcW w:w="6307" w:type="dxa"/>
          </w:tcPr>
          <w:p w:rsidR="00F37819" w:rsidRPr="00487162" w:rsidRDefault="00F37819" w:rsidP="00E45619">
            <w:r w:rsidRPr="00F37819">
              <w:t>GlaxoSmithKline Australia Pty Ltd</w:t>
            </w:r>
            <w:r>
              <w:br/>
            </w:r>
            <w:r w:rsidR="00092AD0">
              <w:t>Level 4, 436 Johnston Street</w:t>
            </w:r>
            <w:r w:rsidR="00092AD0">
              <w:br/>
              <w:t>Abbotsford  VIC  3067</w:t>
            </w:r>
          </w:p>
        </w:tc>
      </w:tr>
      <w:tr w:rsidR="008E7846" w:rsidRPr="00487162" w:rsidTr="00BF1190">
        <w:tc>
          <w:tcPr>
            <w:tcW w:w="2907" w:type="dxa"/>
          </w:tcPr>
          <w:p w:rsidR="008E7846" w:rsidRPr="00487162" w:rsidRDefault="00F37819" w:rsidP="00E45619">
            <w:pPr>
              <w:rPr>
                <w:i/>
              </w:rPr>
            </w:pPr>
            <w:r>
              <w:rPr>
                <w:i/>
              </w:rPr>
              <w:t>Dose form</w:t>
            </w:r>
            <w:r w:rsidR="008E7846" w:rsidRPr="00487162">
              <w:rPr>
                <w:i/>
              </w:rPr>
              <w:t>:</w:t>
            </w:r>
          </w:p>
        </w:tc>
        <w:tc>
          <w:tcPr>
            <w:tcW w:w="6307" w:type="dxa"/>
          </w:tcPr>
          <w:p w:rsidR="008E7846" w:rsidRPr="00487162" w:rsidRDefault="00092AD0" w:rsidP="00FD0538">
            <w:r>
              <w:t>Powder (</w:t>
            </w:r>
            <w:r w:rsidR="00FD0538">
              <w:t xml:space="preserve">vaccine) and </w:t>
            </w:r>
            <w:proofErr w:type="spellStart"/>
            <w:r>
              <w:t>diluent</w:t>
            </w:r>
            <w:proofErr w:type="spellEnd"/>
            <w:r>
              <w:t xml:space="preserve"> </w:t>
            </w:r>
          </w:p>
        </w:tc>
      </w:tr>
      <w:tr w:rsidR="008E7846" w:rsidRPr="00487162" w:rsidTr="00BF1190">
        <w:tc>
          <w:tcPr>
            <w:tcW w:w="2907" w:type="dxa"/>
          </w:tcPr>
          <w:p w:rsidR="008E7846" w:rsidRPr="00487162" w:rsidRDefault="00F37819" w:rsidP="00901136">
            <w:pPr>
              <w:rPr>
                <w:i/>
              </w:rPr>
            </w:pPr>
            <w:r>
              <w:rPr>
                <w:i/>
              </w:rPr>
              <w:t>Strengths</w:t>
            </w:r>
            <w:r w:rsidR="00901136">
              <w:rPr>
                <w:i/>
              </w:rPr>
              <w:t>:</w:t>
            </w:r>
          </w:p>
        </w:tc>
        <w:tc>
          <w:tcPr>
            <w:tcW w:w="6307" w:type="dxa"/>
          </w:tcPr>
          <w:p w:rsidR="008E7846" w:rsidRPr="00487162" w:rsidRDefault="00F37819" w:rsidP="00FD0538">
            <w:r w:rsidRPr="00F37819">
              <w:t>Meningococcal polysaccharide Group A</w:t>
            </w:r>
            <w:r>
              <w:t>: 5 µg</w:t>
            </w:r>
            <w:r w:rsidRPr="00F37819">
              <w:t xml:space="preserve"> </w:t>
            </w:r>
            <w:r>
              <w:br/>
            </w:r>
            <w:r w:rsidRPr="00F37819">
              <w:t>Mening</w:t>
            </w:r>
            <w:r>
              <w:t xml:space="preserve">ococcal polysaccharide Group C: </w:t>
            </w:r>
            <w:r w:rsidRPr="00F37819">
              <w:t>5 µg</w:t>
            </w:r>
            <w:r>
              <w:br/>
            </w:r>
            <w:r w:rsidRPr="00F37819">
              <w:t>Mening</w:t>
            </w:r>
            <w:r>
              <w:t xml:space="preserve">ococcal polysaccharide Group W-135: </w:t>
            </w:r>
            <w:r w:rsidRPr="00F37819">
              <w:t>5 µg</w:t>
            </w:r>
            <w:r>
              <w:br/>
            </w:r>
            <w:r w:rsidRPr="00F37819">
              <w:t>Mening</w:t>
            </w:r>
            <w:r>
              <w:t xml:space="preserve">ococcal polysaccharide Group Y: </w:t>
            </w:r>
            <w:r w:rsidRPr="00F37819">
              <w:t>5 µg</w:t>
            </w:r>
            <w:r>
              <w:br/>
              <w:t xml:space="preserve">Tetanus </w:t>
            </w:r>
            <w:proofErr w:type="spellStart"/>
            <w:r>
              <w:t>toxoid</w:t>
            </w:r>
            <w:proofErr w:type="spellEnd"/>
            <w:r>
              <w:t xml:space="preserve">: 44 µg </w:t>
            </w:r>
          </w:p>
        </w:tc>
      </w:tr>
      <w:tr w:rsidR="008E7846" w:rsidRPr="00487162" w:rsidTr="00BF1190">
        <w:tc>
          <w:tcPr>
            <w:tcW w:w="2907" w:type="dxa"/>
          </w:tcPr>
          <w:p w:rsidR="008E7846" w:rsidRPr="00487162" w:rsidRDefault="008E7846" w:rsidP="00F37819">
            <w:pPr>
              <w:rPr>
                <w:i/>
              </w:rPr>
            </w:pPr>
            <w:r w:rsidRPr="00487162">
              <w:rPr>
                <w:i/>
              </w:rPr>
              <w:t>Containers:</w:t>
            </w:r>
          </w:p>
        </w:tc>
        <w:tc>
          <w:tcPr>
            <w:tcW w:w="6307" w:type="dxa"/>
          </w:tcPr>
          <w:p w:rsidR="008E7846" w:rsidRPr="00487162" w:rsidRDefault="00F37819" w:rsidP="00FD0538">
            <w:r>
              <w:t xml:space="preserve">Vial </w:t>
            </w:r>
            <w:r w:rsidR="00FD0538">
              <w:t xml:space="preserve">(vaccine) </w:t>
            </w:r>
            <w:r>
              <w:t xml:space="preserve">and </w:t>
            </w:r>
            <w:r w:rsidR="00FD0538">
              <w:t xml:space="preserve">prefilled </w:t>
            </w:r>
            <w:r>
              <w:t>syringe</w:t>
            </w:r>
            <w:r w:rsidR="00FD0538">
              <w:t xml:space="preserve"> (</w:t>
            </w:r>
            <w:proofErr w:type="spellStart"/>
            <w:r w:rsidR="00FD0538">
              <w:t>diluent</w:t>
            </w:r>
            <w:proofErr w:type="spellEnd"/>
            <w:r w:rsidR="00FD0538">
              <w:t>);</w:t>
            </w:r>
            <w:r w:rsidR="00FD0538">
              <w:br/>
              <w:t>V</w:t>
            </w:r>
            <w:r w:rsidR="00814613" w:rsidRPr="00814613">
              <w:t>ial (</w:t>
            </w:r>
            <w:r w:rsidR="00FD0538">
              <w:t>vaccine</w:t>
            </w:r>
            <w:r w:rsidR="00814613" w:rsidRPr="00814613">
              <w:t xml:space="preserve">) </w:t>
            </w:r>
            <w:r w:rsidR="00FD0538">
              <w:t>and ampoule (</w:t>
            </w:r>
            <w:proofErr w:type="spellStart"/>
            <w:r w:rsidR="00FD0538">
              <w:t>diluent</w:t>
            </w:r>
            <w:proofErr w:type="spellEnd"/>
            <w:r w:rsidR="00FD0538">
              <w:t xml:space="preserve">) </w:t>
            </w:r>
          </w:p>
        </w:tc>
      </w:tr>
      <w:tr w:rsidR="008E7846" w:rsidRPr="00487162" w:rsidTr="00BF1190">
        <w:tc>
          <w:tcPr>
            <w:tcW w:w="2907" w:type="dxa"/>
          </w:tcPr>
          <w:p w:rsidR="008E7846" w:rsidRPr="00487162" w:rsidRDefault="00F37819" w:rsidP="00F37819">
            <w:pPr>
              <w:rPr>
                <w:i/>
              </w:rPr>
            </w:pPr>
            <w:r>
              <w:rPr>
                <w:i/>
              </w:rPr>
              <w:t>Pack size</w:t>
            </w:r>
            <w:r w:rsidR="008E7846" w:rsidRPr="00487162">
              <w:rPr>
                <w:i/>
              </w:rPr>
              <w:t>s:</w:t>
            </w:r>
          </w:p>
        </w:tc>
        <w:tc>
          <w:tcPr>
            <w:tcW w:w="6307" w:type="dxa"/>
          </w:tcPr>
          <w:p w:rsidR="008E7846" w:rsidRPr="00487162" w:rsidRDefault="00F37819" w:rsidP="00814613">
            <w:r>
              <w:t xml:space="preserve">1 and 10 </w:t>
            </w:r>
          </w:p>
        </w:tc>
      </w:tr>
      <w:tr w:rsidR="008E7846" w:rsidRPr="00487162" w:rsidTr="00BF1190">
        <w:tc>
          <w:tcPr>
            <w:tcW w:w="2907" w:type="dxa"/>
          </w:tcPr>
          <w:p w:rsidR="008E7846" w:rsidRPr="00487162" w:rsidRDefault="008E7846" w:rsidP="00901136">
            <w:pPr>
              <w:rPr>
                <w:i/>
              </w:rPr>
            </w:pPr>
            <w:r w:rsidRPr="00487162">
              <w:rPr>
                <w:i/>
              </w:rPr>
              <w:t xml:space="preserve">Approved </w:t>
            </w:r>
            <w:r w:rsidR="00901136">
              <w:rPr>
                <w:i/>
              </w:rPr>
              <w:t>t</w:t>
            </w:r>
            <w:r w:rsidRPr="00487162">
              <w:rPr>
                <w:i/>
              </w:rPr>
              <w:t>herapeutic use:</w:t>
            </w:r>
          </w:p>
        </w:tc>
        <w:tc>
          <w:tcPr>
            <w:tcW w:w="6307" w:type="dxa"/>
          </w:tcPr>
          <w:p w:rsidR="008E7846" w:rsidRPr="00487162" w:rsidRDefault="00171839" w:rsidP="00092AD0">
            <w:pPr>
              <w:rPr>
                <w:rFonts w:eastAsia="MS Mincho"/>
                <w:lang w:eastAsia="ja-JP"/>
              </w:rPr>
            </w:pPr>
            <w:proofErr w:type="spellStart"/>
            <w:r w:rsidRPr="00171839">
              <w:t>N</w:t>
            </w:r>
            <w:r w:rsidR="00092AD0">
              <w:t>imenrix</w:t>
            </w:r>
            <w:proofErr w:type="spellEnd"/>
            <w:r w:rsidR="00092AD0">
              <w:t xml:space="preserve"> </w:t>
            </w:r>
            <w:r w:rsidRPr="00171839">
              <w:t xml:space="preserve">is indicated for active immunisation of individuals from the age of 12 months through 55 years against invasive meningococcal diseases caused by </w:t>
            </w:r>
            <w:proofErr w:type="spellStart"/>
            <w:r w:rsidRPr="00092AD0">
              <w:rPr>
                <w:i/>
                <w:iCs/>
              </w:rPr>
              <w:t>Neisseria</w:t>
            </w:r>
            <w:proofErr w:type="spellEnd"/>
            <w:r w:rsidRPr="00092AD0">
              <w:rPr>
                <w:i/>
                <w:iCs/>
              </w:rPr>
              <w:t xml:space="preserve"> </w:t>
            </w:r>
            <w:proofErr w:type="spellStart"/>
            <w:r w:rsidRPr="00092AD0">
              <w:rPr>
                <w:i/>
                <w:iCs/>
              </w:rPr>
              <w:t>meningitidis</w:t>
            </w:r>
            <w:proofErr w:type="spellEnd"/>
            <w:r w:rsidRPr="00171839">
              <w:t xml:space="preserve"> </w:t>
            </w:r>
            <w:proofErr w:type="spellStart"/>
            <w:r w:rsidRPr="00171839">
              <w:t>serogroups</w:t>
            </w:r>
            <w:proofErr w:type="spellEnd"/>
            <w:r w:rsidRPr="00171839">
              <w:t xml:space="preserve"> A, C, W-135 and Y.</w:t>
            </w:r>
          </w:p>
        </w:tc>
      </w:tr>
      <w:tr w:rsidR="008E7846" w:rsidRPr="00487162" w:rsidTr="00BF1190">
        <w:tc>
          <w:tcPr>
            <w:tcW w:w="2907" w:type="dxa"/>
          </w:tcPr>
          <w:p w:rsidR="008E7846" w:rsidRPr="00487162" w:rsidRDefault="00171839" w:rsidP="00171839">
            <w:pPr>
              <w:rPr>
                <w:i/>
              </w:rPr>
            </w:pPr>
            <w:r>
              <w:rPr>
                <w:i/>
              </w:rPr>
              <w:t>Route</w:t>
            </w:r>
            <w:r w:rsidR="008E7846" w:rsidRPr="00487162">
              <w:rPr>
                <w:i/>
              </w:rPr>
              <w:t xml:space="preserve"> of administration:</w:t>
            </w:r>
          </w:p>
        </w:tc>
        <w:tc>
          <w:tcPr>
            <w:tcW w:w="6307" w:type="dxa"/>
          </w:tcPr>
          <w:p w:rsidR="008E7846" w:rsidRPr="00487162" w:rsidRDefault="00092AD0" w:rsidP="00E45619">
            <w:r>
              <w:t>Intramuscular injection</w:t>
            </w:r>
          </w:p>
        </w:tc>
      </w:tr>
      <w:tr w:rsidR="008E7846" w:rsidRPr="00487162" w:rsidTr="00BF1190">
        <w:tc>
          <w:tcPr>
            <w:tcW w:w="2907" w:type="dxa"/>
          </w:tcPr>
          <w:p w:rsidR="008E7846" w:rsidRPr="00487162" w:rsidRDefault="008E7846" w:rsidP="00E45619">
            <w:pPr>
              <w:rPr>
                <w:i/>
              </w:rPr>
            </w:pPr>
            <w:r w:rsidRPr="00487162">
              <w:rPr>
                <w:i/>
              </w:rPr>
              <w:t>Dosage</w:t>
            </w:r>
            <w:r w:rsidR="00092AD0">
              <w:rPr>
                <w:i/>
              </w:rPr>
              <w:t xml:space="preserve"> (abbreviated)</w:t>
            </w:r>
            <w:r w:rsidRPr="00487162">
              <w:rPr>
                <w:i/>
              </w:rPr>
              <w:t>:</w:t>
            </w:r>
          </w:p>
        </w:tc>
        <w:tc>
          <w:tcPr>
            <w:tcW w:w="6307" w:type="dxa"/>
          </w:tcPr>
          <w:p w:rsidR="008E7846" w:rsidRPr="00487162" w:rsidRDefault="00092AD0" w:rsidP="00092AD0">
            <w:r>
              <w:t xml:space="preserve">Primary vaccination: 0.5 </w:t>
            </w:r>
            <w:proofErr w:type="spellStart"/>
            <w:r>
              <w:t>mL</w:t>
            </w:r>
            <w:proofErr w:type="spellEnd"/>
            <w:r w:rsidR="00814613">
              <w:t xml:space="preserve"> of reconstituted vaccine</w:t>
            </w:r>
            <w:r>
              <w:t>.</w:t>
            </w:r>
            <w:r>
              <w:br/>
              <w:t xml:space="preserve">Booster vaccination: </w:t>
            </w:r>
            <w:proofErr w:type="spellStart"/>
            <w:r>
              <w:t>Nimenrix</w:t>
            </w:r>
            <w:proofErr w:type="spellEnd"/>
            <w:r>
              <w:t xml:space="preserve"> may be given in subjects who have previously been vaccinated with a plain polysaccharide meningococcal vaccine. </w:t>
            </w:r>
            <w:r w:rsidRPr="00092AD0">
              <w:t>The need for a booster</w:t>
            </w:r>
            <w:r>
              <w:t xml:space="preserve"> dose in subjects </w:t>
            </w:r>
            <w:r>
              <w:lastRenderedPageBreak/>
              <w:t xml:space="preserve">primed with </w:t>
            </w:r>
            <w:proofErr w:type="spellStart"/>
            <w:r>
              <w:t>Nimenrix</w:t>
            </w:r>
            <w:proofErr w:type="spellEnd"/>
            <w:r>
              <w:t xml:space="preserve"> </w:t>
            </w:r>
            <w:r w:rsidRPr="00092AD0">
              <w:t>has not been established.</w:t>
            </w:r>
          </w:p>
        </w:tc>
      </w:tr>
      <w:tr w:rsidR="008E7846" w:rsidRPr="00487162" w:rsidTr="00BF1190">
        <w:tc>
          <w:tcPr>
            <w:tcW w:w="2907" w:type="dxa"/>
          </w:tcPr>
          <w:p w:rsidR="008E7846" w:rsidRPr="00487162" w:rsidRDefault="008E7846" w:rsidP="00901136">
            <w:pPr>
              <w:rPr>
                <w:i/>
              </w:rPr>
            </w:pPr>
            <w:r w:rsidRPr="00487162">
              <w:rPr>
                <w:i/>
              </w:rPr>
              <w:lastRenderedPageBreak/>
              <w:t xml:space="preserve">ARTG </w:t>
            </w:r>
            <w:r w:rsidR="00901136">
              <w:rPr>
                <w:i/>
              </w:rPr>
              <w:t>n</w:t>
            </w:r>
            <w:r w:rsidRPr="00487162">
              <w:rPr>
                <w:i/>
              </w:rPr>
              <w:t>umbers</w:t>
            </w:r>
            <w:r w:rsidR="00F37819">
              <w:rPr>
                <w:i/>
              </w:rPr>
              <w:t>:</w:t>
            </w:r>
          </w:p>
        </w:tc>
        <w:tc>
          <w:tcPr>
            <w:tcW w:w="6307" w:type="dxa"/>
          </w:tcPr>
          <w:p w:rsidR="008E7846" w:rsidRPr="00487162" w:rsidRDefault="00F37819" w:rsidP="00E45619">
            <w:r>
              <w:t>199471, 199472</w:t>
            </w:r>
          </w:p>
        </w:tc>
      </w:tr>
    </w:tbl>
    <w:p w:rsidR="008E7846" w:rsidRDefault="008E7846" w:rsidP="00901136">
      <w:pPr>
        <w:pStyle w:val="Heading3"/>
      </w:pPr>
      <w:bookmarkStart w:id="7" w:name="_Toc247691503"/>
      <w:bookmarkStart w:id="8" w:name="_Toc314842484"/>
      <w:bookmarkStart w:id="9" w:name="_Toc375119705"/>
      <w:r>
        <w:t>Product background</w:t>
      </w:r>
      <w:bookmarkEnd w:id="7"/>
      <w:bookmarkEnd w:id="8"/>
      <w:bookmarkEnd w:id="9"/>
    </w:p>
    <w:p w:rsidR="00D81B17" w:rsidRPr="00D81B17" w:rsidRDefault="00D81B17" w:rsidP="00901136">
      <w:proofErr w:type="spellStart"/>
      <w:r w:rsidRPr="00D81B17">
        <w:rPr>
          <w:i/>
          <w:iCs/>
        </w:rPr>
        <w:t>Neisseria</w:t>
      </w:r>
      <w:proofErr w:type="spellEnd"/>
      <w:r w:rsidRPr="00D81B17">
        <w:rPr>
          <w:i/>
          <w:iCs/>
        </w:rPr>
        <w:t xml:space="preserve"> </w:t>
      </w:r>
      <w:proofErr w:type="spellStart"/>
      <w:r w:rsidRPr="00D81B17">
        <w:rPr>
          <w:i/>
          <w:iCs/>
        </w:rPr>
        <w:t>meningitidis</w:t>
      </w:r>
      <w:proofErr w:type="spellEnd"/>
      <w:r w:rsidRPr="00D81B17">
        <w:t xml:space="preserve"> (</w:t>
      </w:r>
      <w:proofErr w:type="spellStart"/>
      <w:r w:rsidRPr="00D81B17">
        <w:t>meningococcus</w:t>
      </w:r>
      <w:proofErr w:type="spellEnd"/>
      <w:r w:rsidRPr="00D81B17">
        <w:t xml:space="preserve">), </w:t>
      </w:r>
      <w:r w:rsidR="008C37D6" w:rsidRPr="00D81B17">
        <w:t xml:space="preserve">a gram-negative </w:t>
      </w:r>
      <w:proofErr w:type="spellStart"/>
      <w:r w:rsidR="008C37D6" w:rsidRPr="00D81B17">
        <w:t>diplococcus</w:t>
      </w:r>
      <w:proofErr w:type="spellEnd"/>
      <w:r w:rsidR="008C37D6">
        <w:t xml:space="preserve"> bacterium</w:t>
      </w:r>
      <w:r w:rsidRPr="00D81B17">
        <w:t>, is the most common cause of bacterial meningitis</w:t>
      </w:r>
      <w:r>
        <w:t xml:space="preserve"> worldwide</w:t>
      </w:r>
      <w:r w:rsidRPr="00D81B17">
        <w:t xml:space="preserve"> with approximately 1.2 mill</w:t>
      </w:r>
      <w:r w:rsidR="008C37D6">
        <w:t xml:space="preserve">ion cases per </w:t>
      </w:r>
      <w:r w:rsidRPr="00D81B17">
        <w:t xml:space="preserve">year and 135,000 deaths. The organism has generated meningitis epidemic outbreaks. Other serious </w:t>
      </w:r>
      <w:proofErr w:type="spellStart"/>
      <w:r w:rsidRPr="00D81B17">
        <w:t>sequelae</w:t>
      </w:r>
      <w:proofErr w:type="spellEnd"/>
      <w:r w:rsidRPr="00D81B17">
        <w:t xml:space="preserve"> include extra-central nervous system disease including sepsis due to meningococcemia with associated renal failure, shock syndromes and impaired blood supply to vital organs and the periphery. Morbidity from the disease can be devastating. </w:t>
      </w:r>
    </w:p>
    <w:p w:rsidR="000859CF" w:rsidRDefault="00FD0538" w:rsidP="00901136">
      <w:r>
        <w:t xml:space="preserve">This </w:t>
      </w:r>
      <w:proofErr w:type="spellStart"/>
      <w:r>
        <w:t>AusPAR</w:t>
      </w:r>
      <w:proofErr w:type="spellEnd"/>
      <w:r>
        <w:t xml:space="preserve"> describes the application by </w:t>
      </w:r>
      <w:r w:rsidR="005140F6" w:rsidRPr="005140F6">
        <w:t>GlaxoSmithKlin</w:t>
      </w:r>
      <w:r>
        <w:t>e</w:t>
      </w:r>
      <w:r w:rsidR="005140F6" w:rsidRPr="005140F6">
        <w:t xml:space="preserve"> </w:t>
      </w:r>
      <w:r w:rsidR="00B13592">
        <w:t xml:space="preserve">(GSK) </w:t>
      </w:r>
      <w:r>
        <w:t xml:space="preserve">Australia </w:t>
      </w:r>
      <w:r w:rsidR="005140F6" w:rsidRPr="005140F6">
        <w:t xml:space="preserve">Pty Ltd </w:t>
      </w:r>
      <w:r>
        <w:t xml:space="preserve">(the sponsor) </w:t>
      </w:r>
      <w:r w:rsidR="005140F6" w:rsidRPr="005140F6">
        <w:t>to register a new</w:t>
      </w:r>
      <w:r w:rsidR="000859CF">
        <w:t xml:space="preserve"> </w:t>
      </w:r>
      <w:r w:rsidR="002E5190" w:rsidRPr="002E5190">
        <w:t xml:space="preserve">meningococcal </w:t>
      </w:r>
      <w:r w:rsidR="002E5190">
        <w:t xml:space="preserve">vaccine, </w:t>
      </w:r>
      <w:proofErr w:type="spellStart"/>
      <w:r w:rsidR="002E5190">
        <w:t>Nimenrix</w:t>
      </w:r>
      <w:proofErr w:type="spellEnd"/>
      <w:r w:rsidR="002E5190">
        <w:t>, for the following indication:</w:t>
      </w:r>
      <w:r w:rsidR="000859CF">
        <w:t xml:space="preserve"> </w:t>
      </w:r>
    </w:p>
    <w:p w:rsidR="000859CF" w:rsidRPr="00901136" w:rsidRDefault="000859CF" w:rsidP="00901136">
      <w:pPr>
        <w:ind w:left="720"/>
        <w:rPr>
          <w:i/>
        </w:rPr>
      </w:pPr>
      <w:r w:rsidRPr="00901136">
        <w:rPr>
          <w:i/>
        </w:rPr>
        <w:t xml:space="preserve">active immunisation against invasive meningococcal disease caused by </w:t>
      </w:r>
      <w:proofErr w:type="spellStart"/>
      <w:r w:rsidRPr="00901136">
        <w:rPr>
          <w:i/>
        </w:rPr>
        <w:t>Neisseria</w:t>
      </w:r>
      <w:proofErr w:type="spellEnd"/>
      <w:r w:rsidRPr="00901136">
        <w:rPr>
          <w:i/>
        </w:rPr>
        <w:t xml:space="preserve"> </w:t>
      </w:r>
      <w:proofErr w:type="spellStart"/>
      <w:r w:rsidRPr="00901136">
        <w:rPr>
          <w:i/>
        </w:rPr>
        <w:t>meningitidis</w:t>
      </w:r>
      <w:proofErr w:type="spellEnd"/>
      <w:r w:rsidRPr="00901136">
        <w:rPr>
          <w:i/>
        </w:rPr>
        <w:t xml:space="preserve"> </w:t>
      </w:r>
      <w:proofErr w:type="spellStart"/>
      <w:r w:rsidRPr="00901136">
        <w:rPr>
          <w:i/>
        </w:rPr>
        <w:t>serogroups</w:t>
      </w:r>
      <w:proofErr w:type="spellEnd"/>
      <w:r w:rsidRPr="00901136">
        <w:rPr>
          <w:i/>
        </w:rPr>
        <w:t xml:space="preserve"> A, C</w:t>
      </w:r>
      <w:r w:rsidR="00892EC0" w:rsidRPr="00901136">
        <w:rPr>
          <w:i/>
        </w:rPr>
        <w:t>, W-135 and Y in individuals 1-</w:t>
      </w:r>
      <w:r w:rsidRPr="00901136">
        <w:rPr>
          <w:i/>
        </w:rPr>
        <w:t xml:space="preserve">55 years of age. </w:t>
      </w:r>
    </w:p>
    <w:p w:rsidR="00892EC0" w:rsidRPr="00892EC0" w:rsidRDefault="000859CF" w:rsidP="00901136">
      <w:proofErr w:type="spellStart"/>
      <w:r w:rsidRPr="000859CF">
        <w:t>N</w:t>
      </w:r>
      <w:r>
        <w:t>imenrix</w:t>
      </w:r>
      <w:proofErr w:type="spellEnd"/>
      <w:r>
        <w:t xml:space="preserve"> </w:t>
      </w:r>
      <w:r w:rsidRPr="000859CF">
        <w:t xml:space="preserve">is a </w:t>
      </w:r>
      <w:proofErr w:type="spellStart"/>
      <w:r w:rsidRPr="000859CF">
        <w:t>quadrivalent</w:t>
      </w:r>
      <w:proofErr w:type="spellEnd"/>
      <w:r w:rsidRPr="000859CF">
        <w:t xml:space="preserve"> </w:t>
      </w:r>
      <w:r w:rsidR="00892EC0">
        <w:t xml:space="preserve">vaccine </w:t>
      </w:r>
      <w:r w:rsidRPr="000859CF">
        <w:t xml:space="preserve">composed of purified capsular polysaccharides of </w:t>
      </w:r>
      <w:proofErr w:type="spellStart"/>
      <w:r w:rsidRPr="000859CF">
        <w:rPr>
          <w:i/>
          <w:iCs/>
        </w:rPr>
        <w:t>Neisseria</w:t>
      </w:r>
      <w:proofErr w:type="spellEnd"/>
      <w:r w:rsidRPr="000859CF">
        <w:rPr>
          <w:i/>
          <w:iCs/>
        </w:rPr>
        <w:t xml:space="preserve"> </w:t>
      </w:r>
      <w:proofErr w:type="spellStart"/>
      <w:r w:rsidRPr="000859CF">
        <w:rPr>
          <w:i/>
          <w:iCs/>
        </w:rPr>
        <w:t>meningitidis</w:t>
      </w:r>
      <w:proofErr w:type="spellEnd"/>
      <w:r w:rsidRPr="000859CF">
        <w:rPr>
          <w:i/>
          <w:iCs/>
        </w:rPr>
        <w:t xml:space="preserve"> </w:t>
      </w:r>
      <w:r>
        <w:rPr>
          <w:i/>
          <w:iCs/>
        </w:rPr>
        <w:t xml:space="preserve">(N. </w:t>
      </w:r>
      <w:proofErr w:type="spellStart"/>
      <w:r w:rsidRPr="000859CF">
        <w:rPr>
          <w:i/>
          <w:iCs/>
        </w:rPr>
        <w:t>meningitidis</w:t>
      </w:r>
      <w:proofErr w:type="spellEnd"/>
      <w:r w:rsidRPr="000859CF">
        <w:t>)</w:t>
      </w:r>
      <w:r w:rsidRPr="000859CF">
        <w:rPr>
          <w:i/>
          <w:iCs/>
        </w:rPr>
        <w:t xml:space="preserve"> </w:t>
      </w:r>
      <w:proofErr w:type="spellStart"/>
      <w:r w:rsidR="00892EC0" w:rsidRPr="00892EC0">
        <w:t>sero</w:t>
      </w:r>
      <w:r w:rsidR="00685544">
        <w:t>group</w:t>
      </w:r>
      <w:r w:rsidRPr="000859CF">
        <w:t>s</w:t>
      </w:r>
      <w:proofErr w:type="spellEnd"/>
      <w:r>
        <w:t xml:space="preserve"> </w:t>
      </w:r>
      <w:r w:rsidRPr="000859CF">
        <w:t>A, C, W</w:t>
      </w:r>
      <w:r>
        <w:t>-135</w:t>
      </w:r>
      <w:r w:rsidRPr="000859CF">
        <w:t xml:space="preserve"> and Y, each conjugated to tetanus </w:t>
      </w:r>
      <w:proofErr w:type="spellStart"/>
      <w:r w:rsidRPr="000859CF">
        <w:t>toxoid</w:t>
      </w:r>
      <w:proofErr w:type="spellEnd"/>
      <w:r>
        <w:t xml:space="preserve"> (TT) carrier protein</w:t>
      </w:r>
      <w:r w:rsidRPr="000859CF">
        <w:t xml:space="preserve">. </w:t>
      </w:r>
      <w:r>
        <w:t xml:space="preserve">The vaccine </w:t>
      </w:r>
      <w:r w:rsidR="00892EC0">
        <w:t xml:space="preserve">(also called </w:t>
      </w:r>
      <w:proofErr w:type="spellStart"/>
      <w:r w:rsidR="00892EC0">
        <w:t>MenACWY</w:t>
      </w:r>
      <w:proofErr w:type="spellEnd"/>
      <w:r w:rsidR="00892EC0">
        <w:t xml:space="preserve">-TT in this </w:t>
      </w:r>
      <w:proofErr w:type="spellStart"/>
      <w:r w:rsidR="00892EC0">
        <w:t>AusPAR</w:t>
      </w:r>
      <w:proofErr w:type="spellEnd"/>
      <w:r w:rsidR="00892EC0">
        <w:t xml:space="preserve">) </w:t>
      </w:r>
      <w:r w:rsidR="002E5190" w:rsidRPr="002E5190">
        <w:t xml:space="preserve">is to be administered intramuscularly (IM) as a </w:t>
      </w:r>
      <w:r w:rsidR="00892EC0">
        <w:t xml:space="preserve">single 0.5 </w:t>
      </w:r>
      <w:proofErr w:type="spellStart"/>
      <w:r w:rsidR="00892EC0">
        <w:t>mL</w:t>
      </w:r>
      <w:proofErr w:type="spellEnd"/>
      <w:r w:rsidR="00892EC0">
        <w:t xml:space="preserve"> dose for primary </w:t>
      </w:r>
      <w:r w:rsidR="002E5190" w:rsidRPr="002E5190">
        <w:t>vaccination in all age groups.</w:t>
      </w:r>
      <w:r w:rsidR="00892EC0">
        <w:t xml:space="preserve"> It is also proposed </w:t>
      </w:r>
      <w:r w:rsidR="00D81B17">
        <w:t xml:space="preserve">for </w:t>
      </w:r>
      <w:r w:rsidR="00892EC0">
        <w:t>b</w:t>
      </w:r>
      <w:r w:rsidR="00892EC0" w:rsidRPr="00892EC0">
        <w:t xml:space="preserve">ooster vaccination </w:t>
      </w:r>
      <w:r w:rsidR="00892EC0">
        <w:t xml:space="preserve">(one 0.5 </w:t>
      </w:r>
      <w:proofErr w:type="spellStart"/>
      <w:r w:rsidR="00892EC0">
        <w:t>mL</w:t>
      </w:r>
      <w:proofErr w:type="spellEnd"/>
      <w:r w:rsidR="00892EC0">
        <w:t xml:space="preserve"> IM dose) </w:t>
      </w:r>
      <w:r w:rsidR="00892EC0" w:rsidRPr="00892EC0">
        <w:t xml:space="preserve">in subjects who have previously been vaccinated with a plain </w:t>
      </w:r>
      <w:r w:rsidR="00892EC0">
        <w:t xml:space="preserve">(that is, </w:t>
      </w:r>
      <w:r w:rsidR="00D81B17">
        <w:t>non-</w:t>
      </w:r>
      <w:r w:rsidR="00892EC0" w:rsidRPr="00892EC0">
        <w:t>conjugate</w:t>
      </w:r>
      <w:r w:rsidR="00892EC0">
        <w:t>d)</w:t>
      </w:r>
      <w:r w:rsidR="00892EC0" w:rsidRPr="00892EC0">
        <w:t xml:space="preserve"> polysaccharide meningococcal vaccine. This application does </w:t>
      </w:r>
      <w:r w:rsidR="00D81B17">
        <w:t xml:space="preserve">not </w:t>
      </w:r>
      <w:r w:rsidR="00892EC0" w:rsidRPr="00892EC0">
        <w:t xml:space="preserve">seek approval of </w:t>
      </w:r>
      <w:proofErr w:type="spellStart"/>
      <w:r w:rsidR="00892EC0" w:rsidRPr="00892EC0">
        <w:t>Nimenrix</w:t>
      </w:r>
      <w:proofErr w:type="spellEnd"/>
      <w:r w:rsidR="00892EC0" w:rsidRPr="00892EC0">
        <w:t xml:space="preserve"> as a booster in those primed with </w:t>
      </w:r>
      <w:proofErr w:type="spellStart"/>
      <w:r w:rsidR="00892EC0" w:rsidRPr="00892EC0">
        <w:t>Nimenrix</w:t>
      </w:r>
      <w:proofErr w:type="spellEnd"/>
      <w:r w:rsidR="00892EC0" w:rsidRPr="00892EC0">
        <w:t xml:space="preserve"> or another conjugate</w:t>
      </w:r>
      <w:r w:rsidR="00D81B17">
        <w:t>d</w:t>
      </w:r>
      <w:r w:rsidR="00892EC0" w:rsidRPr="00892EC0">
        <w:t xml:space="preserve"> meningococcal vaccine.</w:t>
      </w:r>
    </w:p>
    <w:p w:rsidR="008E7846" w:rsidRPr="00901136" w:rsidRDefault="00386150" w:rsidP="00901136">
      <w:pPr>
        <w:pStyle w:val="Heading3"/>
      </w:pPr>
      <w:bookmarkStart w:id="10" w:name="_Toc314842485"/>
      <w:bookmarkStart w:id="11" w:name="_Toc247691504"/>
      <w:bookmarkStart w:id="12" w:name="_Toc375119706"/>
      <w:r>
        <w:t>Regulatory s</w:t>
      </w:r>
      <w:r w:rsidR="008E7846">
        <w:t>tatus</w:t>
      </w:r>
      <w:bookmarkEnd w:id="10"/>
      <w:bookmarkEnd w:id="11"/>
      <w:bookmarkEnd w:id="12"/>
    </w:p>
    <w:p w:rsidR="008E7846" w:rsidRDefault="008E7846" w:rsidP="00901136">
      <w:r>
        <w:t xml:space="preserve">The product received initial </w:t>
      </w:r>
      <w:r w:rsidR="005140F6">
        <w:t>registration on the Australian Register of Therapeutic Goods (</w:t>
      </w:r>
      <w:r>
        <w:t>ARTG</w:t>
      </w:r>
      <w:r w:rsidR="005140F6">
        <w:t>)</w:t>
      </w:r>
      <w:r>
        <w:t xml:space="preserve"> on</w:t>
      </w:r>
      <w:r w:rsidR="00092AD0">
        <w:t xml:space="preserve"> 29</w:t>
      </w:r>
      <w:r w:rsidR="005140F6" w:rsidRPr="005140F6">
        <w:rPr>
          <w:vertAlign w:val="superscript"/>
        </w:rPr>
        <w:t>th</w:t>
      </w:r>
      <w:r w:rsidR="005140F6">
        <w:t xml:space="preserve"> August 2013.</w:t>
      </w:r>
    </w:p>
    <w:p w:rsidR="008E7846" w:rsidRDefault="00FD0538" w:rsidP="00901136">
      <w:r>
        <w:t>At the time this application was considered by the TGA, a</w:t>
      </w:r>
      <w:r w:rsidR="008E7846" w:rsidRPr="00C27667">
        <w:t xml:space="preserve"> similar application </w:t>
      </w:r>
      <w:r>
        <w:t>had been approved in the European Union (April 2012), Canada (</w:t>
      </w:r>
      <w:r w:rsidR="00BF3568">
        <w:t xml:space="preserve">March </w:t>
      </w:r>
      <w:r>
        <w:t>201</w:t>
      </w:r>
      <w:r w:rsidR="00BF3568">
        <w:t>3</w:t>
      </w:r>
      <w:r>
        <w:t xml:space="preserve">), Chile </w:t>
      </w:r>
      <w:r w:rsidR="0050309F">
        <w:t xml:space="preserve">(December 2012) and Kuwait (June 2013) and was under consideration in 27 additional countries. </w:t>
      </w:r>
    </w:p>
    <w:p w:rsidR="008E7846" w:rsidRDefault="008E7846" w:rsidP="00901136">
      <w:pPr>
        <w:pStyle w:val="Heading3"/>
      </w:pPr>
      <w:bookmarkStart w:id="13" w:name="_Toc247691505"/>
      <w:bookmarkStart w:id="14" w:name="_Toc314842486"/>
      <w:bookmarkStart w:id="15" w:name="_Toc375119707"/>
      <w:r>
        <w:t>Product Information</w:t>
      </w:r>
      <w:bookmarkEnd w:id="13"/>
      <w:bookmarkEnd w:id="14"/>
      <w:bookmarkEnd w:id="15"/>
    </w:p>
    <w:p w:rsidR="008E7846" w:rsidRDefault="008E7846" w:rsidP="00901136">
      <w:r>
        <w:t xml:space="preserve">The approved Product Information (PI) current at the time this </w:t>
      </w:r>
      <w:proofErr w:type="spellStart"/>
      <w:r>
        <w:t>AusPAR</w:t>
      </w:r>
      <w:proofErr w:type="spellEnd"/>
      <w:r>
        <w:t xml:space="preserve"> was prepared can be found as Attachment 1.</w:t>
      </w:r>
      <w:bookmarkStart w:id="16" w:name="_Toc247691506"/>
      <w:bookmarkStart w:id="17" w:name="_Toc314842487"/>
    </w:p>
    <w:p w:rsidR="008E7846" w:rsidRPr="003602A9" w:rsidRDefault="008E7846" w:rsidP="00901136">
      <w:pPr>
        <w:pStyle w:val="Heading2"/>
      </w:pPr>
      <w:bookmarkStart w:id="18" w:name="_Toc375119708"/>
      <w:r>
        <w:t>II. Quality</w:t>
      </w:r>
      <w:bookmarkEnd w:id="1"/>
      <w:r>
        <w:t xml:space="preserve"> findings</w:t>
      </w:r>
      <w:bookmarkEnd w:id="16"/>
      <w:bookmarkEnd w:id="17"/>
      <w:bookmarkEnd w:id="18"/>
    </w:p>
    <w:p w:rsidR="008E7846" w:rsidRDefault="008E7846" w:rsidP="00901136">
      <w:pPr>
        <w:pStyle w:val="Heading3"/>
      </w:pPr>
      <w:bookmarkStart w:id="19" w:name="_Toc247691507"/>
      <w:bookmarkStart w:id="20" w:name="_Toc314842488"/>
      <w:bookmarkStart w:id="21" w:name="_Toc375119709"/>
      <w:r w:rsidRPr="008751DC">
        <w:t xml:space="preserve">Drug </w:t>
      </w:r>
      <w:r>
        <w:t>s</w:t>
      </w:r>
      <w:r w:rsidRPr="008751DC">
        <w:t>ubstance</w:t>
      </w:r>
      <w:r>
        <w:t xml:space="preserve"> (active ingredient)</w:t>
      </w:r>
      <w:bookmarkEnd w:id="19"/>
      <w:bookmarkEnd w:id="20"/>
      <w:bookmarkEnd w:id="21"/>
    </w:p>
    <w:p w:rsidR="0050309F" w:rsidRPr="0050309F" w:rsidRDefault="0050309F" w:rsidP="00901136">
      <w:r>
        <w:t>The proposed vaccine consists of p</w:t>
      </w:r>
      <w:r w:rsidRPr="0050309F">
        <w:t xml:space="preserve">urified capsular polysaccharides </w:t>
      </w:r>
      <w:r w:rsidR="00886A03">
        <w:t xml:space="preserve">(PS) </w:t>
      </w:r>
      <w:r w:rsidRPr="0050309F">
        <w:t xml:space="preserve">of </w:t>
      </w:r>
      <w:r w:rsidRPr="0050309F">
        <w:rPr>
          <w:i/>
          <w:iCs/>
        </w:rPr>
        <w:t>N</w:t>
      </w:r>
      <w:r w:rsidR="00363788">
        <w:rPr>
          <w:i/>
          <w:iCs/>
        </w:rPr>
        <w:t xml:space="preserve">. </w:t>
      </w:r>
      <w:proofErr w:type="spellStart"/>
      <w:r w:rsidRPr="0050309F">
        <w:rPr>
          <w:i/>
          <w:iCs/>
        </w:rPr>
        <w:t>meningitidis</w:t>
      </w:r>
      <w:proofErr w:type="spellEnd"/>
      <w:r w:rsidRPr="0050309F">
        <w:t xml:space="preserve"> types A, C, W</w:t>
      </w:r>
      <w:r>
        <w:t>-135</w:t>
      </w:r>
      <w:r w:rsidRPr="0050309F">
        <w:t xml:space="preserve"> and Y, each conjugated to tetanus </w:t>
      </w:r>
      <w:proofErr w:type="spellStart"/>
      <w:r w:rsidRPr="0050309F">
        <w:t>toxoid</w:t>
      </w:r>
      <w:proofErr w:type="spellEnd"/>
      <w:r w:rsidRPr="0050309F">
        <w:t xml:space="preserve"> (TT)</w:t>
      </w:r>
      <w:r>
        <w:t>.</w:t>
      </w:r>
    </w:p>
    <w:p w:rsidR="00814613" w:rsidRPr="0050309F" w:rsidRDefault="001A2267" w:rsidP="00901136">
      <w:r>
        <w:t xml:space="preserve">The </w:t>
      </w:r>
      <w:r w:rsidRPr="001A2267">
        <w:t xml:space="preserve">purified capsular </w:t>
      </w:r>
      <w:r w:rsidR="00C132F2">
        <w:t xml:space="preserve">PS </w:t>
      </w:r>
      <w:r w:rsidRPr="001A2267">
        <w:t xml:space="preserve">of </w:t>
      </w:r>
      <w:r w:rsidRPr="001A2267">
        <w:rPr>
          <w:i/>
          <w:iCs/>
        </w:rPr>
        <w:t xml:space="preserve">N. </w:t>
      </w:r>
      <w:proofErr w:type="spellStart"/>
      <w:r w:rsidRPr="001A2267">
        <w:rPr>
          <w:i/>
          <w:iCs/>
        </w:rPr>
        <w:t>meningitidis</w:t>
      </w:r>
      <w:proofErr w:type="spellEnd"/>
      <w:r w:rsidRPr="001A2267">
        <w:t xml:space="preserve"> group</w:t>
      </w:r>
      <w:r>
        <w:t>s A and</w:t>
      </w:r>
      <w:r w:rsidRPr="001A2267">
        <w:t xml:space="preserve"> C </w:t>
      </w:r>
      <w:r>
        <w:t>(</w:t>
      </w:r>
      <w:proofErr w:type="spellStart"/>
      <w:r>
        <w:t>MenA</w:t>
      </w:r>
      <w:proofErr w:type="spellEnd"/>
      <w:r>
        <w:t xml:space="preserve"> and </w:t>
      </w:r>
      <w:proofErr w:type="spellStart"/>
      <w:r>
        <w:t>MenC</w:t>
      </w:r>
      <w:proofErr w:type="spellEnd"/>
      <w:r>
        <w:t xml:space="preserve">, respectively) are each </w:t>
      </w:r>
      <w:r w:rsidR="00C95895">
        <w:t xml:space="preserve">coupled </w:t>
      </w:r>
      <w:r>
        <w:t xml:space="preserve">to TT carrier protein by use of an </w:t>
      </w:r>
      <w:proofErr w:type="spellStart"/>
      <w:r w:rsidR="00C132F2">
        <w:t>adipic</w:t>
      </w:r>
      <w:proofErr w:type="spellEnd"/>
      <w:r w:rsidR="00C132F2">
        <w:t xml:space="preserve"> acid </w:t>
      </w:r>
      <w:proofErr w:type="spellStart"/>
      <w:r w:rsidR="00C132F2">
        <w:t>dihydrazide</w:t>
      </w:r>
      <w:proofErr w:type="spellEnd"/>
      <w:r w:rsidR="00C132F2">
        <w:t xml:space="preserve"> (A</w:t>
      </w:r>
      <w:r w:rsidR="00814613" w:rsidRPr="0050309F">
        <w:t xml:space="preserve">H) </w:t>
      </w:r>
      <w:r>
        <w:t xml:space="preserve">spacer molecule. </w:t>
      </w:r>
      <w:r w:rsidR="00814613" w:rsidRPr="0050309F">
        <w:t xml:space="preserve">The </w:t>
      </w:r>
      <w:r w:rsidR="00C95895" w:rsidRPr="00C95895">
        <w:t xml:space="preserve">purified capsular </w:t>
      </w:r>
      <w:r w:rsidR="00C132F2">
        <w:t xml:space="preserve">PS </w:t>
      </w:r>
      <w:r w:rsidR="00C95895" w:rsidRPr="00C95895">
        <w:t xml:space="preserve">of </w:t>
      </w:r>
      <w:r w:rsidR="00C95895" w:rsidRPr="00C95895">
        <w:rPr>
          <w:i/>
          <w:iCs/>
        </w:rPr>
        <w:t xml:space="preserve">N. </w:t>
      </w:r>
      <w:proofErr w:type="spellStart"/>
      <w:r w:rsidR="00C95895" w:rsidRPr="00C95895">
        <w:rPr>
          <w:i/>
          <w:iCs/>
        </w:rPr>
        <w:t>meningitidis</w:t>
      </w:r>
      <w:proofErr w:type="spellEnd"/>
      <w:r w:rsidR="00C95895" w:rsidRPr="00C95895">
        <w:t xml:space="preserve"> groups </w:t>
      </w:r>
      <w:r w:rsidR="00C95895">
        <w:t>W-135 and Y (</w:t>
      </w:r>
      <w:proofErr w:type="spellStart"/>
      <w:r w:rsidR="00814613" w:rsidRPr="0050309F">
        <w:t>MenW</w:t>
      </w:r>
      <w:proofErr w:type="spellEnd"/>
      <w:r w:rsidR="00C95895">
        <w:t xml:space="preserve"> and </w:t>
      </w:r>
      <w:proofErr w:type="spellStart"/>
      <w:r w:rsidR="00C95895">
        <w:t>MenY</w:t>
      </w:r>
      <w:proofErr w:type="spellEnd"/>
      <w:r w:rsidR="00C95895">
        <w:t xml:space="preserve">, respectively) are </w:t>
      </w:r>
      <w:r>
        <w:t xml:space="preserve">coupled </w:t>
      </w:r>
      <w:r w:rsidR="00814613" w:rsidRPr="0050309F">
        <w:t>direct</w:t>
      </w:r>
      <w:r>
        <w:t>ly</w:t>
      </w:r>
      <w:r w:rsidR="00814613" w:rsidRPr="0050309F">
        <w:t xml:space="preserve"> to </w:t>
      </w:r>
      <w:r w:rsidR="006D27B0">
        <w:t xml:space="preserve">TT carrier protein </w:t>
      </w:r>
      <w:r w:rsidR="00814613" w:rsidRPr="0050309F">
        <w:t>without the need of a spacer molecule.</w:t>
      </w:r>
    </w:p>
    <w:p w:rsidR="00814613" w:rsidRPr="0050309F" w:rsidRDefault="00814613" w:rsidP="00901136">
      <w:r w:rsidRPr="0050309F">
        <w:lastRenderedPageBreak/>
        <w:t xml:space="preserve">The capsular </w:t>
      </w:r>
      <w:r w:rsidR="00C132F2">
        <w:t xml:space="preserve">PS </w:t>
      </w:r>
      <w:r w:rsidRPr="0050309F">
        <w:t xml:space="preserve">antigen components of the </w:t>
      </w:r>
      <w:r w:rsidR="00C95895">
        <w:t>d</w:t>
      </w:r>
      <w:r w:rsidR="006D27B0">
        <w:t>rug s</w:t>
      </w:r>
      <w:r w:rsidRPr="0050309F">
        <w:t xml:space="preserve">ubstances are the same as those in the registered </w:t>
      </w:r>
      <w:r w:rsidR="006D27B0">
        <w:t xml:space="preserve">meningococcal </w:t>
      </w:r>
      <w:r w:rsidR="006D27B0" w:rsidRPr="006D27B0">
        <w:t xml:space="preserve">A, C, W-135 and Y </w:t>
      </w:r>
      <w:r w:rsidR="006D27B0">
        <w:t xml:space="preserve">conjugate </w:t>
      </w:r>
      <w:r w:rsidRPr="0050309F">
        <w:t xml:space="preserve">vaccines </w:t>
      </w:r>
      <w:proofErr w:type="spellStart"/>
      <w:r w:rsidRPr="0050309F">
        <w:t>Menveo</w:t>
      </w:r>
      <w:proofErr w:type="spellEnd"/>
      <w:r w:rsidRPr="0050309F">
        <w:t xml:space="preserve"> and </w:t>
      </w:r>
      <w:proofErr w:type="spellStart"/>
      <w:r w:rsidRPr="0050309F">
        <w:t>Menactra</w:t>
      </w:r>
      <w:proofErr w:type="spellEnd"/>
      <w:r w:rsidRPr="0050309F">
        <w:t xml:space="preserve">. However, the carrier protein components in </w:t>
      </w:r>
      <w:proofErr w:type="spellStart"/>
      <w:r w:rsidRPr="0050309F">
        <w:t>Menveo</w:t>
      </w:r>
      <w:proofErr w:type="spellEnd"/>
      <w:r w:rsidRPr="0050309F">
        <w:t xml:space="preserve"> and </w:t>
      </w:r>
      <w:proofErr w:type="spellStart"/>
      <w:r w:rsidRPr="0050309F">
        <w:t>Menactra</w:t>
      </w:r>
      <w:proofErr w:type="spellEnd"/>
      <w:r w:rsidRPr="0050309F">
        <w:t xml:space="preserve"> differ from each other and from </w:t>
      </w:r>
      <w:proofErr w:type="spellStart"/>
      <w:r w:rsidRPr="0050309F">
        <w:t>Nimenrix</w:t>
      </w:r>
      <w:proofErr w:type="spellEnd"/>
      <w:r w:rsidRPr="0050309F">
        <w:t xml:space="preserve">. </w:t>
      </w:r>
    </w:p>
    <w:p w:rsidR="00814613" w:rsidRPr="00901136" w:rsidRDefault="00814613" w:rsidP="00901136">
      <w:pPr>
        <w:pStyle w:val="Heading4"/>
      </w:pPr>
      <w:r w:rsidRPr="00814613">
        <w:t>Manufacture</w:t>
      </w:r>
    </w:p>
    <w:p w:rsidR="00814613" w:rsidRPr="00814613" w:rsidRDefault="00814613" w:rsidP="00901136">
      <w:r w:rsidRPr="00814613">
        <w:t xml:space="preserve">There are three distinct steps in the production of the </w:t>
      </w:r>
      <w:r w:rsidR="006D27B0">
        <w:t>d</w:t>
      </w:r>
      <w:r w:rsidRPr="00814613">
        <w:t xml:space="preserve">rug </w:t>
      </w:r>
      <w:r w:rsidR="006D27B0">
        <w:t>s</w:t>
      </w:r>
      <w:r w:rsidRPr="00814613">
        <w:t>ubstances:</w:t>
      </w:r>
    </w:p>
    <w:p w:rsidR="00814613" w:rsidRPr="00814613" w:rsidRDefault="006D27B0" w:rsidP="00901136">
      <w:pPr>
        <w:pStyle w:val="ListBullet"/>
      </w:pPr>
      <w:r>
        <w:t>Production of b</w:t>
      </w:r>
      <w:r w:rsidR="00814613" w:rsidRPr="00814613">
        <w:t xml:space="preserve">ulk </w:t>
      </w:r>
      <w:r>
        <w:t xml:space="preserve">meningococcal </w:t>
      </w:r>
      <w:r w:rsidR="008C37D6">
        <w:t>PS</w:t>
      </w:r>
    </w:p>
    <w:p w:rsidR="00814613" w:rsidRPr="00814613" w:rsidRDefault="00814613" w:rsidP="00901136">
      <w:pPr>
        <w:pStyle w:val="ListBullet"/>
      </w:pPr>
      <w:r w:rsidRPr="00814613">
        <w:t xml:space="preserve">Production of </w:t>
      </w:r>
      <w:r w:rsidR="008C37D6">
        <w:t>TT</w:t>
      </w:r>
    </w:p>
    <w:p w:rsidR="00814613" w:rsidRPr="00814613" w:rsidRDefault="00814613" w:rsidP="00901136">
      <w:pPr>
        <w:pStyle w:val="ListBullet"/>
      </w:pPr>
      <w:r w:rsidRPr="00814613">
        <w:t>Conjugation of PS to TT</w:t>
      </w:r>
    </w:p>
    <w:p w:rsidR="00814613" w:rsidRPr="00814613" w:rsidRDefault="00814613" w:rsidP="00901136">
      <w:r w:rsidRPr="00814613">
        <w:t xml:space="preserve">The manufacturing processes of bulk Men </w:t>
      </w:r>
      <w:r w:rsidR="006D27B0">
        <w:t xml:space="preserve">PS </w:t>
      </w:r>
      <w:r w:rsidRPr="00814613">
        <w:t>(</w:t>
      </w:r>
      <w:proofErr w:type="spellStart"/>
      <w:r w:rsidRPr="00814613">
        <w:t>MenA</w:t>
      </w:r>
      <w:proofErr w:type="spellEnd"/>
      <w:r w:rsidRPr="00814613">
        <w:t xml:space="preserve">, </w:t>
      </w:r>
      <w:proofErr w:type="spellStart"/>
      <w:r w:rsidRPr="00814613">
        <w:t>MenC</w:t>
      </w:r>
      <w:proofErr w:type="spellEnd"/>
      <w:r w:rsidRPr="00814613">
        <w:t xml:space="preserve">, </w:t>
      </w:r>
      <w:proofErr w:type="spellStart"/>
      <w:r w:rsidRPr="00814613">
        <w:t>MenW</w:t>
      </w:r>
      <w:proofErr w:type="spellEnd"/>
      <w:r w:rsidRPr="00814613">
        <w:t xml:space="preserve">, </w:t>
      </w:r>
      <w:proofErr w:type="spellStart"/>
      <w:r w:rsidRPr="00814613">
        <w:t>MenY</w:t>
      </w:r>
      <w:proofErr w:type="spellEnd"/>
      <w:r w:rsidRPr="00814613">
        <w:t xml:space="preserve">) are identical to those used for </w:t>
      </w:r>
      <w:r w:rsidR="008C37D6">
        <w:t xml:space="preserve">a </w:t>
      </w:r>
      <w:r w:rsidRPr="00814613">
        <w:t xml:space="preserve">registered </w:t>
      </w:r>
      <w:r w:rsidR="008C37D6">
        <w:t>meningococcal vaccine</w:t>
      </w:r>
      <w:r w:rsidRPr="00814613">
        <w:t xml:space="preserve">. The manufacturing process of </w:t>
      </w:r>
      <w:r w:rsidR="006D27B0">
        <w:t xml:space="preserve">TT </w:t>
      </w:r>
      <w:r w:rsidRPr="00814613">
        <w:t xml:space="preserve">bulk is identical to the one described for </w:t>
      </w:r>
      <w:r w:rsidR="008C37D6">
        <w:t>2 other registered vaccines</w:t>
      </w:r>
      <w:r w:rsidR="00C71381">
        <w:t xml:space="preserve"> and </w:t>
      </w:r>
      <w:r w:rsidRPr="00814613">
        <w:t>complies with W</w:t>
      </w:r>
      <w:r w:rsidR="008C37D6">
        <w:t xml:space="preserve">orld </w:t>
      </w:r>
      <w:r w:rsidRPr="00814613">
        <w:t>H</w:t>
      </w:r>
      <w:r w:rsidR="008C37D6">
        <w:t xml:space="preserve">ealth </w:t>
      </w:r>
      <w:r w:rsidRPr="00814613">
        <w:t>O</w:t>
      </w:r>
      <w:r w:rsidR="008C37D6">
        <w:t xml:space="preserve">rganization (WHO) and European </w:t>
      </w:r>
      <w:proofErr w:type="spellStart"/>
      <w:r w:rsidR="008C37D6">
        <w:t>Pharmacopoeial</w:t>
      </w:r>
      <w:proofErr w:type="spellEnd"/>
      <w:r w:rsidR="008C37D6">
        <w:t xml:space="preserve"> </w:t>
      </w:r>
      <w:r w:rsidR="00851B27">
        <w:t xml:space="preserve">(Ph. Eur) </w:t>
      </w:r>
      <w:r w:rsidRPr="00814613">
        <w:t>requirements.</w:t>
      </w:r>
    </w:p>
    <w:p w:rsidR="00814613" w:rsidRPr="00814613" w:rsidRDefault="00814613" w:rsidP="00901136">
      <w:r w:rsidRPr="00814613">
        <w:t xml:space="preserve">The manufacturing processes of Men-TT conjugates are similar to those used for </w:t>
      </w:r>
      <w:r w:rsidR="008C37D6">
        <w:t>another registered vaccine</w:t>
      </w:r>
      <w:r w:rsidRPr="00814613">
        <w:t xml:space="preserve">. The process for production of the </w:t>
      </w:r>
      <w:proofErr w:type="spellStart"/>
      <w:r w:rsidRPr="00814613">
        <w:t>MenPS</w:t>
      </w:r>
      <w:proofErr w:type="spellEnd"/>
      <w:r w:rsidRPr="00814613">
        <w:t>-TT</w:t>
      </w:r>
      <w:r w:rsidR="006D27B0">
        <w:t xml:space="preserve"> conjugates </w:t>
      </w:r>
      <w:proofErr w:type="spellStart"/>
      <w:r w:rsidR="006D27B0">
        <w:t>MenA</w:t>
      </w:r>
      <w:proofErr w:type="spellEnd"/>
      <w:r w:rsidR="006D27B0">
        <w:t xml:space="preserve">(AH)TT and </w:t>
      </w:r>
      <w:proofErr w:type="spellStart"/>
      <w:r w:rsidR="006D27B0">
        <w:t>MenC</w:t>
      </w:r>
      <w:proofErr w:type="spellEnd"/>
      <w:r w:rsidR="006D27B0">
        <w:t>(AH</w:t>
      </w:r>
      <w:r w:rsidRPr="00814613">
        <w:t>)-TT consists of 5 main steps</w:t>
      </w:r>
      <w:r w:rsidR="008C37D6">
        <w:t xml:space="preserve">. </w:t>
      </w:r>
      <w:r w:rsidRPr="00814613">
        <w:t xml:space="preserve">The process is similar for the other two conjugates except for the omission of the spacer addition steps. </w:t>
      </w:r>
    </w:p>
    <w:p w:rsidR="00814613" w:rsidRPr="00814613" w:rsidRDefault="00814613" w:rsidP="00901136">
      <w:r w:rsidRPr="00814613">
        <w:t>Cell banking processes are satisfactory. All viral/</w:t>
      </w:r>
      <w:proofErr w:type="spellStart"/>
      <w:r w:rsidRPr="00814613">
        <w:t>prion</w:t>
      </w:r>
      <w:proofErr w:type="spellEnd"/>
      <w:r w:rsidRPr="00814613">
        <w:t xml:space="preserve"> safety issues have been addressed, including use of animal-derived </w:t>
      </w:r>
      <w:proofErr w:type="spellStart"/>
      <w:r w:rsidRPr="00814613">
        <w:t>excipients</w:t>
      </w:r>
      <w:proofErr w:type="spellEnd"/>
      <w:r w:rsidRPr="00814613">
        <w:t>, supplements in the fermentation process and in cell banking.</w:t>
      </w:r>
    </w:p>
    <w:p w:rsidR="00814613" w:rsidRPr="00814613" w:rsidRDefault="00A9578E" w:rsidP="00901136">
      <w:r>
        <w:t>Each d</w:t>
      </w:r>
      <w:r w:rsidR="00814613" w:rsidRPr="00814613">
        <w:t xml:space="preserve">rug </w:t>
      </w:r>
      <w:r>
        <w:t>s</w:t>
      </w:r>
      <w:r w:rsidR="00814613" w:rsidRPr="00814613">
        <w:t xml:space="preserve">ubstance is a high molecular weight conjugate made of a purified TT and a </w:t>
      </w:r>
      <w:r w:rsidR="00BF3568">
        <w:t>PS (</w:t>
      </w:r>
      <w:proofErr w:type="spellStart"/>
      <w:r w:rsidR="00814613" w:rsidRPr="00814613">
        <w:t>derivatised</w:t>
      </w:r>
      <w:proofErr w:type="spellEnd"/>
      <w:r w:rsidR="00814613" w:rsidRPr="00814613">
        <w:t xml:space="preserve"> </w:t>
      </w:r>
      <w:r w:rsidR="00BF3568">
        <w:t xml:space="preserve">in the case of </w:t>
      </w:r>
      <w:r w:rsidR="009849EB" w:rsidRPr="009849EB">
        <w:t>polysaccharide</w:t>
      </w:r>
      <w:r w:rsidR="00BF3568">
        <w:t xml:space="preserve"> A and </w:t>
      </w:r>
      <w:r w:rsidR="009849EB" w:rsidRPr="009849EB">
        <w:t>polysaccharide</w:t>
      </w:r>
      <w:r w:rsidR="00BF3568">
        <w:t xml:space="preserve"> C)</w:t>
      </w:r>
      <w:r w:rsidR="00814613" w:rsidRPr="00814613">
        <w:t>. The conjugates are immunogenic in mice and in humans.</w:t>
      </w:r>
    </w:p>
    <w:p w:rsidR="00C71381" w:rsidRPr="00901136" w:rsidRDefault="00C71381" w:rsidP="00901136">
      <w:pPr>
        <w:pStyle w:val="Heading4"/>
      </w:pPr>
      <w:r>
        <w:t>Specifications</w:t>
      </w:r>
    </w:p>
    <w:p w:rsidR="00814613" w:rsidRPr="00814613" w:rsidRDefault="00814613" w:rsidP="00901136">
      <w:pPr>
        <w:rPr>
          <w:b/>
        </w:rPr>
      </w:pPr>
      <w:r w:rsidRPr="00814613">
        <w:t xml:space="preserve">The same set of nine tests is applied to all four Men-TT conjugates. Some specifications differ between the conjugates and the method for determining total and free </w:t>
      </w:r>
      <w:r w:rsidR="00851B27">
        <w:t xml:space="preserve">PS </w:t>
      </w:r>
      <w:r w:rsidRPr="00814613">
        <w:t xml:space="preserve">content is also different for different conjugates. Appropriate test methodology and validation data have been submitted in support of the test procedures.  </w:t>
      </w:r>
    </w:p>
    <w:p w:rsidR="00814613" w:rsidRPr="00814613" w:rsidRDefault="00814613" w:rsidP="00901136">
      <w:r w:rsidRPr="00814613">
        <w:t xml:space="preserve">Specifications applied to the PS-TT active ingredient have been established using information from the testing of development batches and </w:t>
      </w:r>
      <w:r w:rsidR="00851B27">
        <w:t>good manufacturing principles (</w:t>
      </w:r>
      <w:r w:rsidRPr="00814613">
        <w:t>GMP</w:t>
      </w:r>
      <w:r w:rsidR="00851B27">
        <w:t>)</w:t>
      </w:r>
      <w:r w:rsidRPr="00814613">
        <w:t xml:space="preserve"> batches. The limits</w:t>
      </w:r>
      <w:r w:rsidR="00851B27">
        <w:t xml:space="preserve"> proposed in the WHO guideline </w:t>
      </w:r>
      <w:r w:rsidRPr="00851B27">
        <w:rPr>
          <w:i/>
          <w:iCs/>
        </w:rPr>
        <w:t>Recommendations for the production and control of men</w:t>
      </w:r>
      <w:r w:rsidR="00851B27" w:rsidRPr="00851B27">
        <w:rPr>
          <w:i/>
          <w:iCs/>
        </w:rPr>
        <w:t>ingococcal A conjugate vaccines</w:t>
      </w:r>
      <w:r w:rsidRPr="00814613">
        <w:t xml:space="preserve"> (WHO/BS/06.2041) </w:t>
      </w:r>
      <w:r w:rsidR="00851B27">
        <w:t xml:space="preserve">and the Ph. Eur. guideline for </w:t>
      </w:r>
      <w:r w:rsidRPr="00814613">
        <w:t>Meningoc</w:t>
      </w:r>
      <w:r w:rsidR="00851B27">
        <w:t>occal group C conjugate vaccine</w:t>
      </w:r>
      <w:r w:rsidRPr="00814613">
        <w:t xml:space="preserve"> (Ph. Eur 2112) were also taken into consideration. </w:t>
      </w:r>
    </w:p>
    <w:p w:rsidR="00814613" w:rsidRPr="00851B27" w:rsidRDefault="00851B27" w:rsidP="00901136">
      <w:r w:rsidRPr="00851B27">
        <w:t>S</w:t>
      </w:r>
      <w:r w:rsidR="00814613" w:rsidRPr="00851B27">
        <w:t xml:space="preserve">pecifications </w:t>
      </w:r>
      <w:r w:rsidR="00FE6DEE">
        <w:t xml:space="preserve">are </w:t>
      </w:r>
      <w:r w:rsidR="00814613" w:rsidRPr="00851B27">
        <w:t xml:space="preserve">to be applied to the PS-TT conjugate bulks: purified </w:t>
      </w:r>
      <w:proofErr w:type="spellStart"/>
      <w:r w:rsidR="00814613" w:rsidRPr="00851B27">
        <w:t>MenA</w:t>
      </w:r>
      <w:proofErr w:type="spellEnd"/>
      <w:r w:rsidR="00814613" w:rsidRPr="00851B27">
        <w:t>(AH)-TT bulks</w:t>
      </w:r>
      <w:r w:rsidRPr="00851B27">
        <w:t xml:space="preserve">, </w:t>
      </w:r>
      <w:r w:rsidR="00814613" w:rsidRPr="00851B27">
        <w:t xml:space="preserve">purified </w:t>
      </w:r>
      <w:proofErr w:type="spellStart"/>
      <w:r w:rsidR="00814613" w:rsidRPr="00851B27">
        <w:t>MenC</w:t>
      </w:r>
      <w:proofErr w:type="spellEnd"/>
      <w:r w:rsidR="00814613" w:rsidRPr="00851B27">
        <w:t>(AH)-TT bulks</w:t>
      </w:r>
      <w:r w:rsidRPr="00851B27">
        <w:t xml:space="preserve">, </w:t>
      </w:r>
      <w:r w:rsidR="00814613" w:rsidRPr="00851B27">
        <w:t xml:space="preserve">purified </w:t>
      </w:r>
      <w:proofErr w:type="spellStart"/>
      <w:r w:rsidR="00814613" w:rsidRPr="00851B27">
        <w:t>MenW</w:t>
      </w:r>
      <w:proofErr w:type="spellEnd"/>
      <w:r w:rsidR="00814613" w:rsidRPr="00851B27">
        <w:t>-TT bulks</w:t>
      </w:r>
      <w:r w:rsidRPr="00851B27">
        <w:t xml:space="preserve"> and </w:t>
      </w:r>
      <w:r w:rsidR="00814613" w:rsidRPr="00851B27">
        <w:t xml:space="preserve">purified </w:t>
      </w:r>
      <w:proofErr w:type="spellStart"/>
      <w:r w:rsidR="00814613" w:rsidRPr="00851B27">
        <w:t>MenY</w:t>
      </w:r>
      <w:proofErr w:type="spellEnd"/>
      <w:r w:rsidR="00814613" w:rsidRPr="00851B27">
        <w:t>-TT bulks</w:t>
      </w:r>
      <w:r>
        <w:t>.</w:t>
      </w:r>
    </w:p>
    <w:p w:rsidR="008E7846" w:rsidRDefault="00814613" w:rsidP="00901136">
      <w:r w:rsidRPr="00814613">
        <w:t>Stability data have been generated under real time conditions to characterise</w:t>
      </w:r>
      <w:r w:rsidR="00851B27">
        <w:t xml:space="preserve"> the stability profiles of the d</w:t>
      </w:r>
      <w:r w:rsidRPr="00814613">
        <w:t xml:space="preserve">rug </w:t>
      </w:r>
      <w:r w:rsidR="00851B27">
        <w:t>s</w:t>
      </w:r>
      <w:r w:rsidRPr="00814613">
        <w:t>ubstances (conjugates) and to esta</w:t>
      </w:r>
      <w:r w:rsidR="00C71381">
        <w:t xml:space="preserve">blish a shelf life for each one. </w:t>
      </w:r>
      <w:r w:rsidRPr="00814613">
        <w:t>The submitted real time data support the above proposed storage periods.</w:t>
      </w:r>
    </w:p>
    <w:p w:rsidR="008E7846" w:rsidRPr="00901136" w:rsidRDefault="008E7846" w:rsidP="00901136">
      <w:pPr>
        <w:pStyle w:val="Heading3"/>
      </w:pPr>
      <w:bookmarkStart w:id="22" w:name="_Toc247691508"/>
      <w:bookmarkStart w:id="23" w:name="_Toc314842490"/>
      <w:bookmarkStart w:id="24" w:name="_Toc375119710"/>
      <w:r w:rsidRPr="008751DC">
        <w:lastRenderedPageBreak/>
        <w:t xml:space="preserve">Drug </w:t>
      </w:r>
      <w:r>
        <w:t>p</w:t>
      </w:r>
      <w:r w:rsidRPr="008751DC">
        <w:t>roduct</w:t>
      </w:r>
      <w:bookmarkEnd w:id="22"/>
      <w:bookmarkEnd w:id="23"/>
      <w:bookmarkEnd w:id="24"/>
    </w:p>
    <w:p w:rsidR="00A6477D" w:rsidRPr="00901136" w:rsidRDefault="00A6477D" w:rsidP="00901136">
      <w:pPr>
        <w:pStyle w:val="Heading4"/>
      </w:pPr>
      <w:r w:rsidRPr="00A6477D">
        <w:rPr>
          <w:lang w:eastAsia="ja-JP"/>
        </w:rPr>
        <w:t>Formulation</w:t>
      </w:r>
    </w:p>
    <w:p w:rsidR="00302E12" w:rsidRDefault="00A6477D" w:rsidP="00901136">
      <w:pPr>
        <w:rPr>
          <w:lang w:eastAsia="ja-JP"/>
        </w:rPr>
      </w:pPr>
      <w:proofErr w:type="spellStart"/>
      <w:r w:rsidRPr="00A6477D">
        <w:rPr>
          <w:lang w:eastAsia="ja-JP"/>
        </w:rPr>
        <w:t>Nimenrix</w:t>
      </w:r>
      <w:proofErr w:type="spellEnd"/>
      <w:r w:rsidRPr="00A6477D">
        <w:rPr>
          <w:lang w:eastAsia="ja-JP"/>
        </w:rPr>
        <w:t xml:space="preserve"> is a non-adsorbed freeze-dried preparation presented as </w:t>
      </w:r>
      <w:proofErr w:type="spellStart"/>
      <w:r w:rsidRPr="00A6477D">
        <w:rPr>
          <w:lang w:eastAsia="ja-JP"/>
        </w:rPr>
        <w:t>monodose</w:t>
      </w:r>
      <w:proofErr w:type="spellEnd"/>
      <w:r w:rsidRPr="00A6477D">
        <w:rPr>
          <w:lang w:eastAsia="ja-JP"/>
        </w:rPr>
        <w:t xml:space="preserve"> vials to be reconstituted with a </w:t>
      </w:r>
      <w:proofErr w:type="spellStart"/>
      <w:r w:rsidRPr="00A6477D">
        <w:rPr>
          <w:lang w:eastAsia="ja-JP"/>
        </w:rPr>
        <w:t>diluent</w:t>
      </w:r>
      <w:proofErr w:type="spellEnd"/>
      <w:r w:rsidRPr="00A6477D">
        <w:rPr>
          <w:lang w:eastAsia="ja-JP"/>
        </w:rPr>
        <w:t xml:space="preserve"> (saline solution). The </w:t>
      </w:r>
      <w:proofErr w:type="spellStart"/>
      <w:r w:rsidRPr="00A6477D">
        <w:rPr>
          <w:lang w:eastAsia="ja-JP"/>
        </w:rPr>
        <w:t>diluent</w:t>
      </w:r>
      <w:proofErr w:type="spellEnd"/>
      <w:r w:rsidRPr="00A6477D">
        <w:rPr>
          <w:lang w:eastAsia="ja-JP"/>
        </w:rPr>
        <w:t xml:space="preserve"> is presented in glass ampoules or in glass syringes, both as </w:t>
      </w:r>
      <w:proofErr w:type="spellStart"/>
      <w:r w:rsidRPr="00A6477D">
        <w:rPr>
          <w:lang w:eastAsia="ja-JP"/>
        </w:rPr>
        <w:t>monodoses</w:t>
      </w:r>
      <w:proofErr w:type="spellEnd"/>
      <w:r w:rsidRPr="00A6477D">
        <w:rPr>
          <w:lang w:eastAsia="ja-JP"/>
        </w:rPr>
        <w:t>.</w:t>
      </w:r>
      <w:r w:rsidR="00302E12">
        <w:rPr>
          <w:lang w:eastAsia="ja-JP"/>
        </w:rPr>
        <w:t xml:space="preserve"> </w:t>
      </w:r>
      <w:r w:rsidRPr="00A6477D">
        <w:rPr>
          <w:lang w:eastAsia="ja-JP"/>
        </w:rPr>
        <w:t>The final reconstituted vaccine is preservative free</w:t>
      </w:r>
      <w:r w:rsidR="00302E12">
        <w:rPr>
          <w:lang w:eastAsia="ja-JP"/>
        </w:rPr>
        <w:t xml:space="preserve">. </w:t>
      </w:r>
      <w:r w:rsidRPr="00A6477D">
        <w:rPr>
          <w:lang w:eastAsia="ja-JP"/>
        </w:rPr>
        <w:t xml:space="preserve"> </w:t>
      </w:r>
    </w:p>
    <w:p w:rsidR="00A6477D" w:rsidRPr="00A6477D" w:rsidRDefault="00302E12" w:rsidP="00901136">
      <w:pPr>
        <w:rPr>
          <w:lang w:eastAsia="ja-JP"/>
        </w:rPr>
      </w:pPr>
      <w:r>
        <w:rPr>
          <w:lang w:eastAsia="ja-JP"/>
        </w:rPr>
        <w:t>The lyophilis</w:t>
      </w:r>
      <w:r w:rsidR="00A6477D" w:rsidRPr="00A6477D">
        <w:rPr>
          <w:lang w:eastAsia="ja-JP"/>
        </w:rPr>
        <w:t xml:space="preserve">ed single dose </w:t>
      </w:r>
      <w:proofErr w:type="spellStart"/>
      <w:r w:rsidR="00A6477D" w:rsidRPr="00A6477D">
        <w:rPr>
          <w:lang w:eastAsia="ja-JP"/>
        </w:rPr>
        <w:t>Nimenrix</w:t>
      </w:r>
      <w:proofErr w:type="spellEnd"/>
      <w:r w:rsidR="00A6477D" w:rsidRPr="00A6477D">
        <w:rPr>
          <w:lang w:eastAsia="ja-JP"/>
        </w:rPr>
        <w:t xml:space="preserve"> final container is a 3</w:t>
      </w:r>
      <w:r w:rsidR="00EB3A88">
        <w:rPr>
          <w:lang w:eastAsia="ja-JP"/>
        </w:rPr>
        <w:t xml:space="preserve"> </w:t>
      </w:r>
      <w:proofErr w:type="spellStart"/>
      <w:r w:rsidR="00A6477D" w:rsidRPr="00A6477D">
        <w:rPr>
          <w:lang w:eastAsia="ja-JP"/>
        </w:rPr>
        <w:t>mL</w:t>
      </w:r>
      <w:proofErr w:type="spellEnd"/>
      <w:r w:rsidR="00A6477D" w:rsidRPr="00A6477D">
        <w:rPr>
          <w:lang w:eastAsia="ja-JP"/>
        </w:rPr>
        <w:t xml:space="preserve"> glass vial. Vials are closed with </w:t>
      </w:r>
      <w:proofErr w:type="spellStart"/>
      <w:r w:rsidR="00A6477D" w:rsidRPr="00A6477D">
        <w:rPr>
          <w:lang w:eastAsia="ja-JP"/>
        </w:rPr>
        <w:t>bromobutyl</w:t>
      </w:r>
      <w:proofErr w:type="spellEnd"/>
      <w:r w:rsidR="00A6477D" w:rsidRPr="00A6477D">
        <w:rPr>
          <w:lang w:eastAsia="ja-JP"/>
        </w:rPr>
        <w:t xml:space="preserve"> rubber closures suitable for lyophilisation and aluminium flip-off caps, identical to the container closure system used for all GSK </w:t>
      </w:r>
      <w:proofErr w:type="spellStart"/>
      <w:r w:rsidR="00A6477D" w:rsidRPr="00A6477D">
        <w:rPr>
          <w:lang w:eastAsia="ja-JP"/>
        </w:rPr>
        <w:t>Biologicals</w:t>
      </w:r>
      <w:proofErr w:type="spellEnd"/>
      <w:r w:rsidR="00A6477D" w:rsidRPr="00A6477D">
        <w:rPr>
          <w:lang w:eastAsia="ja-JP"/>
        </w:rPr>
        <w:t xml:space="preserve"> vial presentations for</w:t>
      </w:r>
      <w:r>
        <w:rPr>
          <w:lang w:eastAsia="ja-JP"/>
        </w:rPr>
        <w:t xml:space="preserve"> lyophilis</w:t>
      </w:r>
      <w:r w:rsidR="00A6477D" w:rsidRPr="00A6477D">
        <w:rPr>
          <w:lang w:eastAsia="ja-JP"/>
        </w:rPr>
        <w:t xml:space="preserve">ed vaccines. </w:t>
      </w:r>
    </w:p>
    <w:p w:rsidR="00A6477D" w:rsidRPr="00A6477D" w:rsidRDefault="00A6477D" w:rsidP="00901136">
      <w:pPr>
        <w:rPr>
          <w:lang w:eastAsia="ja-JP"/>
        </w:rPr>
      </w:pPr>
      <w:r w:rsidRPr="00A6477D">
        <w:rPr>
          <w:lang w:eastAsia="ja-JP"/>
        </w:rPr>
        <w:t xml:space="preserve">The </w:t>
      </w:r>
      <w:proofErr w:type="spellStart"/>
      <w:r w:rsidRPr="00A6477D">
        <w:rPr>
          <w:lang w:eastAsia="ja-JP"/>
        </w:rPr>
        <w:t>diluent</w:t>
      </w:r>
      <w:proofErr w:type="spellEnd"/>
      <w:r w:rsidRPr="00A6477D">
        <w:rPr>
          <w:lang w:eastAsia="ja-JP"/>
        </w:rPr>
        <w:t xml:space="preserve"> </w:t>
      </w:r>
      <w:r w:rsidR="00302E12">
        <w:rPr>
          <w:lang w:eastAsia="ja-JP"/>
        </w:rPr>
        <w:t>d</w:t>
      </w:r>
      <w:r w:rsidRPr="00A6477D">
        <w:rPr>
          <w:lang w:eastAsia="ja-JP"/>
        </w:rPr>
        <w:t xml:space="preserve">rug </w:t>
      </w:r>
      <w:r w:rsidR="00302E12">
        <w:rPr>
          <w:lang w:eastAsia="ja-JP"/>
        </w:rPr>
        <w:t>p</w:t>
      </w:r>
      <w:r w:rsidRPr="00A6477D">
        <w:rPr>
          <w:lang w:eastAsia="ja-JP"/>
        </w:rPr>
        <w:t xml:space="preserve">roduct (to be supplied in either syringe or ampoule) is a 0.9% sodium chloride solution. Sodium chloride and water for injections comply with </w:t>
      </w:r>
      <w:r w:rsidR="00302E12">
        <w:rPr>
          <w:lang w:eastAsia="ja-JP"/>
        </w:rPr>
        <w:t xml:space="preserve">relevant </w:t>
      </w:r>
      <w:r w:rsidRPr="00A6477D">
        <w:rPr>
          <w:lang w:eastAsia="ja-JP"/>
        </w:rPr>
        <w:t>Ph. Eur monographs. Both presentations will be supplied in packs of 1s and 10s.</w:t>
      </w:r>
    </w:p>
    <w:p w:rsidR="00A6477D" w:rsidRPr="00901136" w:rsidRDefault="00A6477D" w:rsidP="00901136">
      <w:pPr>
        <w:pStyle w:val="Heading4"/>
      </w:pPr>
      <w:r w:rsidRPr="00A6477D">
        <w:rPr>
          <w:lang w:eastAsia="ja-JP"/>
        </w:rPr>
        <w:t>Manufacture</w:t>
      </w:r>
    </w:p>
    <w:p w:rsidR="00A6477D" w:rsidRPr="00A6477D" w:rsidRDefault="00302E12" w:rsidP="00901136">
      <w:pPr>
        <w:rPr>
          <w:lang w:eastAsia="ja-JP"/>
        </w:rPr>
      </w:pPr>
      <w:r>
        <w:rPr>
          <w:lang w:eastAsia="ja-JP"/>
        </w:rPr>
        <w:t>The vaccine d</w:t>
      </w:r>
      <w:r w:rsidR="00A6477D" w:rsidRPr="00A6477D">
        <w:rPr>
          <w:lang w:eastAsia="ja-JP"/>
        </w:rPr>
        <w:t xml:space="preserve">rug </w:t>
      </w:r>
      <w:r>
        <w:rPr>
          <w:lang w:eastAsia="ja-JP"/>
        </w:rPr>
        <w:t>p</w:t>
      </w:r>
      <w:r w:rsidR="00A6477D" w:rsidRPr="00A6477D">
        <w:rPr>
          <w:lang w:eastAsia="ja-JP"/>
        </w:rPr>
        <w:t xml:space="preserve">roduct is manufactured by the aseptic mixing of sterile solutions of buffer with water for injection and the subsequent aseptic addition and mixing of appropriate amount of </w:t>
      </w:r>
      <w:proofErr w:type="spellStart"/>
      <w:r w:rsidR="00A6477D" w:rsidRPr="00A6477D">
        <w:rPr>
          <w:lang w:eastAsia="ja-JP"/>
        </w:rPr>
        <w:t>MenA</w:t>
      </w:r>
      <w:proofErr w:type="spellEnd"/>
      <w:r w:rsidR="00650262">
        <w:rPr>
          <w:lang w:eastAsia="ja-JP"/>
        </w:rPr>
        <w:t>(</w:t>
      </w:r>
      <w:r w:rsidR="00A6477D" w:rsidRPr="00A6477D">
        <w:rPr>
          <w:lang w:eastAsia="ja-JP"/>
        </w:rPr>
        <w:t>AH</w:t>
      </w:r>
      <w:r w:rsidR="00650262">
        <w:rPr>
          <w:lang w:eastAsia="ja-JP"/>
        </w:rPr>
        <w:t>)</w:t>
      </w:r>
      <w:r w:rsidR="00A6477D" w:rsidRPr="00A6477D">
        <w:rPr>
          <w:lang w:eastAsia="ja-JP"/>
        </w:rPr>
        <w:t xml:space="preserve">-TT, </w:t>
      </w:r>
      <w:proofErr w:type="spellStart"/>
      <w:r w:rsidR="00A6477D" w:rsidRPr="00A6477D">
        <w:rPr>
          <w:lang w:eastAsia="ja-JP"/>
        </w:rPr>
        <w:t>MenC</w:t>
      </w:r>
      <w:proofErr w:type="spellEnd"/>
      <w:r w:rsidR="00650262">
        <w:rPr>
          <w:lang w:eastAsia="ja-JP"/>
        </w:rPr>
        <w:t>(</w:t>
      </w:r>
      <w:r w:rsidR="00A6477D" w:rsidRPr="00A6477D">
        <w:rPr>
          <w:lang w:eastAsia="ja-JP"/>
        </w:rPr>
        <w:t>AH</w:t>
      </w:r>
      <w:r w:rsidR="00650262">
        <w:rPr>
          <w:lang w:eastAsia="ja-JP"/>
        </w:rPr>
        <w:t>)</w:t>
      </w:r>
      <w:r w:rsidR="00A6477D" w:rsidRPr="00A6477D">
        <w:rPr>
          <w:lang w:eastAsia="ja-JP"/>
        </w:rPr>
        <w:t xml:space="preserve">-TT, </w:t>
      </w:r>
      <w:proofErr w:type="spellStart"/>
      <w:r w:rsidR="00A6477D" w:rsidRPr="00A6477D">
        <w:rPr>
          <w:lang w:eastAsia="ja-JP"/>
        </w:rPr>
        <w:t>MenW</w:t>
      </w:r>
      <w:proofErr w:type="spellEnd"/>
      <w:r w:rsidR="00A6477D" w:rsidRPr="00A6477D">
        <w:rPr>
          <w:lang w:eastAsia="ja-JP"/>
        </w:rPr>
        <w:t xml:space="preserve">-TT and </w:t>
      </w:r>
      <w:proofErr w:type="spellStart"/>
      <w:r w:rsidR="00A6477D" w:rsidRPr="00A6477D">
        <w:rPr>
          <w:lang w:eastAsia="ja-JP"/>
        </w:rPr>
        <w:t>MenY</w:t>
      </w:r>
      <w:proofErr w:type="spellEnd"/>
      <w:r w:rsidR="00A6477D" w:rsidRPr="00A6477D">
        <w:rPr>
          <w:lang w:eastAsia="ja-JP"/>
        </w:rPr>
        <w:t xml:space="preserve">-TT conjugate bulks. The final bulk is aseptically filled into </w:t>
      </w:r>
      <w:r w:rsidR="00650262">
        <w:rPr>
          <w:lang w:eastAsia="ja-JP"/>
        </w:rPr>
        <w:t>vials and subsequently lyophilis</w:t>
      </w:r>
      <w:r w:rsidR="00A6477D" w:rsidRPr="00A6477D">
        <w:rPr>
          <w:lang w:eastAsia="ja-JP"/>
        </w:rPr>
        <w:t xml:space="preserve">ed. After lyophilisation the vials are stoppered and capped. The 0.9% </w:t>
      </w:r>
      <w:proofErr w:type="spellStart"/>
      <w:r w:rsidR="00A6477D" w:rsidRPr="00A6477D">
        <w:rPr>
          <w:lang w:eastAsia="ja-JP"/>
        </w:rPr>
        <w:t>NaCl</w:t>
      </w:r>
      <w:proofErr w:type="spellEnd"/>
      <w:r w:rsidR="00A6477D" w:rsidRPr="00A6477D">
        <w:rPr>
          <w:lang w:eastAsia="ja-JP"/>
        </w:rPr>
        <w:t xml:space="preserve"> </w:t>
      </w:r>
      <w:proofErr w:type="spellStart"/>
      <w:r w:rsidR="00A6477D" w:rsidRPr="00A6477D">
        <w:rPr>
          <w:lang w:eastAsia="ja-JP"/>
        </w:rPr>
        <w:t>diluent</w:t>
      </w:r>
      <w:proofErr w:type="spellEnd"/>
      <w:r w:rsidR="00A6477D" w:rsidRPr="00A6477D">
        <w:rPr>
          <w:lang w:eastAsia="ja-JP"/>
        </w:rPr>
        <w:t xml:space="preserve"> is terminally sterilised after filling into ampoules or syringes.</w:t>
      </w:r>
    </w:p>
    <w:p w:rsidR="00A6477D" w:rsidRPr="00A6477D" w:rsidRDefault="00A6477D" w:rsidP="00901136">
      <w:pPr>
        <w:pStyle w:val="Heading4"/>
        <w:rPr>
          <w:lang w:eastAsia="ja-JP"/>
        </w:rPr>
      </w:pPr>
      <w:r w:rsidRPr="00A6477D">
        <w:rPr>
          <w:lang w:eastAsia="ja-JP"/>
        </w:rPr>
        <w:t>Specifications</w:t>
      </w:r>
    </w:p>
    <w:p w:rsidR="00A6477D" w:rsidRPr="00A6477D" w:rsidRDefault="00A6477D" w:rsidP="00901136">
      <w:pPr>
        <w:rPr>
          <w:bCs/>
          <w:lang w:eastAsia="ja-JP"/>
        </w:rPr>
      </w:pPr>
      <w:r w:rsidRPr="00A6477D">
        <w:rPr>
          <w:lang w:eastAsia="ja-JP"/>
        </w:rPr>
        <w:t>The proposed specifications</w:t>
      </w:r>
      <w:r w:rsidR="00650262">
        <w:rPr>
          <w:lang w:eastAsia="ja-JP"/>
        </w:rPr>
        <w:t xml:space="preserve"> </w:t>
      </w:r>
      <w:r w:rsidRPr="00A6477D">
        <w:rPr>
          <w:lang w:eastAsia="ja-JP"/>
        </w:rPr>
        <w:t xml:space="preserve">control identity, potency, purity, dose delivery and other physical, chemical and microbiological properties relevant to the clinical use of the product. </w:t>
      </w:r>
      <w:r w:rsidRPr="00A6477D">
        <w:rPr>
          <w:bCs/>
          <w:lang w:eastAsia="ja-JP"/>
        </w:rPr>
        <w:t>Currently, there is no official guidance (</w:t>
      </w:r>
      <w:r w:rsidR="00650262">
        <w:rPr>
          <w:bCs/>
          <w:lang w:eastAsia="ja-JP"/>
        </w:rPr>
        <w:t xml:space="preserve">such as a </w:t>
      </w:r>
      <w:proofErr w:type="spellStart"/>
      <w:r w:rsidRPr="00A6477D">
        <w:rPr>
          <w:bCs/>
          <w:lang w:eastAsia="ja-JP"/>
        </w:rPr>
        <w:t>Pharmacopoeial</w:t>
      </w:r>
      <w:proofErr w:type="spellEnd"/>
      <w:r w:rsidRPr="00A6477D">
        <w:rPr>
          <w:bCs/>
          <w:lang w:eastAsia="ja-JP"/>
        </w:rPr>
        <w:t xml:space="preserve"> monograph) for a combined tetravalent meningococcal conjugate vaccine. However, the following guidelines for </w:t>
      </w:r>
      <w:proofErr w:type="spellStart"/>
      <w:r w:rsidRPr="00A6477D">
        <w:rPr>
          <w:bCs/>
          <w:lang w:eastAsia="ja-JP"/>
        </w:rPr>
        <w:t>monovalent</w:t>
      </w:r>
      <w:proofErr w:type="spellEnd"/>
      <w:r w:rsidRPr="00A6477D">
        <w:rPr>
          <w:bCs/>
          <w:lang w:eastAsia="ja-JP"/>
        </w:rPr>
        <w:t xml:space="preserve"> meningococcal conjugate vaccines have been taken into consideration in setting the specifications:</w:t>
      </w:r>
    </w:p>
    <w:p w:rsidR="00A6477D" w:rsidRPr="00901136" w:rsidRDefault="00650262" w:rsidP="00901136">
      <w:pPr>
        <w:pStyle w:val="ListBullet"/>
        <w:rPr>
          <w:i/>
          <w:lang w:eastAsia="ja-JP"/>
        </w:rPr>
      </w:pPr>
      <w:r>
        <w:rPr>
          <w:lang w:eastAsia="ja-JP"/>
        </w:rPr>
        <w:t xml:space="preserve">WHO guideline </w:t>
      </w:r>
      <w:r w:rsidR="00A6477D" w:rsidRPr="00901136">
        <w:rPr>
          <w:i/>
          <w:lang w:eastAsia="ja-JP"/>
        </w:rPr>
        <w:t xml:space="preserve">Recommendations for the production and control of meningococcal C conjugate vaccines </w:t>
      </w:r>
      <w:r w:rsidR="00A6477D" w:rsidRPr="00901136">
        <w:rPr>
          <w:lang w:eastAsia="ja-JP"/>
        </w:rPr>
        <w:t>(Adopted 2001, TRS 924)</w:t>
      </w:r>
    </w:p>
    <w:p w:rsidR="00A6477D" w:rsidRPr="00A6477D" w:rsidRDefault="00A6477D" w:rsidP="00901136">
      <w:pPr>
        <w:pStyle w:val="ListBullet"/>
        <w:rPr>
          <w:lang w:eastAsia="ja-JP"/>
        </w:rPr>
      </w:pPr>
      <w:r w:rsidRPr="00A6477D">
        <w:rPr>
          <w:lang w:eastAsia="ja-JP"/>
        </w:rPr>
        <w:t xml:space="preserve">Ph. Eur monograph for </w:t>
      </w:r>
      <w:r w:rsidRPr="00901136">
        <w:rPr>
          <w:i/>
          <w:lang w:eastAsia="ja-JP"/>
        </w:rPr>
        <w:t>Meningococcal group C conjugate vaccine</w:t>
      </w:r>
      <w:r w:rsidRPr="00A6477D">
        <w:rPr>
          <w:lang w:eastAsia="ja-JP"/>
        </w:rPr>
        <w:t xml:space="preserve"> (Ph.Eur.2112),</w:t>
      </w:r>
    </w:p>
    <w:p w:rsidR="00A6477D" w:rsidRPr="00A6477D" w:rsidRDefault="00650262" w:rsidP="00901136">
      <w:pPr>
        <w:pStyle w:val="ListBullet"/>
        <w:rPr>
          <w:lang w:eastAsia="ja-JP"/>
        </w:rPr>
      </w:pPr>
      <w:r>
        <w:rPr>
          <w:lang w:eastAsia="ja-JP"/>
        </w:rPr>
        <w:t xml:space="preserve">WHO guideline </w:t>
      </w:r>
      <w:r w:rsidR="00A6477D" w:rsidRPr="00901136">
        <w:rPr>
          <w:i/>
          <w:lang w:eastAsia="ja-JP"/>
        </w:rPr>
        <w:t>Recommendations to assure the quality, safety and efficacy of group A meningococcal conjugate vaccines</w:t>
      </w:r>
      <w:r w:rsidR="00A6477D" w:rsidRPr="00A6477D">
        <w:rPr>
          <w:lang w:eastAsia="ja-JP"/>
        </w:rPr>
        <w:t xml:space="preserve"> (WHO BS/06.2041)</w:t>
      </w:r>
      <w:r>
        <w:rPr>
          <w:lang w:eastAsia="ja-JP"/>
        </w:rPr>
        <w:t>.</w:t>
      </w:r>
    </w:p>
    <w:p w:rsidR="00A6477D" w:rsidRPr="00A6477D" w:rsidRDefault="00A6477D" w:rsidP="00901136">
      <w:pPr>
        <w:rPr>
          <w:lang w:eastAsia="ja-JP"/>
        </w:rPr>
      </w:pPr>
      <w:r w:rsidRPr="00A6477D">
        <w:rPr>
          <w:lang w:eastAsia="ja-JP"/>
        </w:rPr>
        <w:t>Stability data have been generated under stressed and real time conditions to characterise the stability profile of the p</w:t>
      </w:r>
      <w:r w:rsidR="00901136">
        <w:rPr>
          <w:lang w:eastAsia="ja-JP"/>
        </w:rPr>
        <w:t>roduct.</w:t>
      </w:r>
    </w:p>
    <w:p w:rsidR="008E7846" w:rsidRDefault="00A6477D" w:rsidP="00901136">
      <w:r w:rsidRPr="00A6477D">
        <w:rPr>
          <w:lang w:eastAsia="ja-JP"/>
        </w:rPr>
        <w:t xml:space="preserve">A shelf life of 36 months at +2° to +8°C is proposed for </w:t>
      </w:r>
      <w:proofErr w:type="spellStart"/>
      <w:r w:rsidRPr="00A6477D">
        <w:rPr>
          <w:lang w:eastAsia="ja-JP"/>
        </w:rPr>
        <w:t>Nimenrix</w:t>
      </w:r>
      <w:proofErr w:type="spellEnd"/>
      <w:r w:rsidRPr="00A6477D">
        <w:rPr>
          <w:lang w:eastAsia="ja-JP"/>
        </w:rPr>
        <w:t xml:space="preserve"> final container lyophilised vaccine. The Product Information recommends that the vaccine should be stored in the carton to protect from light. Data generated in the stability program support the proposed shelf-life. Stability of the </w:t>
      </w:r>
      <w:proofErr w:type="spellStart"/>
      <w:r w:rsidRPr="00A6477D">
        <w:rPr>
          <w:lang w:eastAsia="ja-JP"/>
        </w:rPr>
        <w:t>NaCl</w:t>
      </w:r>
      <w:proofErr w:type="spellEnd"/>
      <w:r w:rsidRPr="00A6477D">
        <w:rPr>
          <w:lang w:eastAsia="ja-JP"/>
        </w:rPr>
        <w:t xml:space="preserve"> </w:t>
      </w:r>
      <w:proofErr w:type="spellStart"/>
      <w:r w:rsidRPr="00A6477D">
        <w:rPr>
          <w:lang w:eastAsia="ja-JP"/>
        </w:rPr>
        <w:t>diluent</w:t>
      </w:r>
      <w:proofErr w:type="spellEnd"/>
      <w:r w:rsidRPr="00A6477D">
        <w:rPr>
          <w:lang w:eastAsia="ja-JP"/>
        </w:rPr>
        <w:t xml:space="preserve"> (may be refrigerated or stored at ambient temperatures, but must not be frozen) is established.</w:t>
      </w:r>
    </w:p>
    <w:p w:rsidR="008E7846" w:rsidRPr="00901136" w:rsidRDefault="008E7846" w:rsidP="00901136">
      <w:pPr>
        <w:pStyle w:val="Heading3"/>
      </w:pPr>
      <w:bookmarkStart w:id="25" w:name="_Toc314842491"/>
      <w:bookmarkStart w:id="26" w:name="_Toc375119711"/>
      <w:proofErr w:type="spellStart"/>
      <w:r>
        <w:t>Biopharmaceutics</w:t>
      </w:r>
      <w:bookmarkEnd w:id="25"/>
      <w:bookmarkEnd w:id="26"/>
      <w:proofErr w:type="spellEnd"/>
    </w:p>
    <w:p w:rsidR="00A6477D" w:rsidRPr="00A6477D" w:rsidRDefault="00A6477D" w:rsidP="00901136">
      <w:proofErr w:type="spellStart"/>
      <w:r w:rsidRPr="00A6477D">
        <w:t>Biopharmaceutic</w:t>
      </w:r>
      <w:proofErr w:type="spellEnd"/>
      <w:r w:rsidRPr="00A6477D">
        <w:t xml:space="preserve"> data are not required for this product because it is a vaccine.</w:t>
      </w:r>
    </w:p>
    <w:p w:rsidR="008E7846" w:rsidRPr="00901136" w:rsidRDefault="008E7846" w:rsidP="00901136">
      <w:pPr>
        <w:pStyle w:val="Heading3"/>
      </w:pPr>
      <w:bookmarkStart w:id="27" w:name="_Toc314842492"/>
      <w:bookmarkStart w:id="28" w:name="_Toc375119712"/>
      <w:r>
        <w:lastRenderedPageBreak/>
        <w:t>Advisory committee considerations</w:t>
      </w:r>
      <w:bookmarkEnd w:id="27"/>
      <w:bookmarkEnd w:id="28"/>
    </w:p>
    <w:p w:rsidR="00A6477D" w:rsidRPr="00A6477D" w:rsidRDefault="00A6477D" w:rsidP="00901136">
      <w:r w:rsidRPr="00A6477D">
        <w:t xml:space="preserve">The application was considered at </w:t>
      </w:r>
      <w:r w:rsidR="001F74BB">
        <w:t>the 150</w:t>
      </w:r>
      <w:r w:rsidR="001F74BB" w:rsidRPr="001F74BB">
        <w:rPr>
          <w:vertAlign w:val="superscript"/>
        </w:rPr>
        <w:t>th</w:t>
      </w:r>
      <w:r w:rsidR="001F74BB">
        <w:t xml:space="preserve"> meeting of the </w:t>
      </w:r>
      <w:r w:rsidRPr="00A6477D">
        <w:t>P</w:t>
      </w:r>
      <w:r w:rsidR="001F74BB">
        <w:t>harmaceutical subcommittee (PSC) of the Advisory Committee on Prescription Medicines (ACPM)</w:t>
      </w:r>
      <w:r w:rsidRPr="00A6477D">
        <w:t xml:space="preserve"> and the following recommendation was made:</w:t>
      </w:r>
    </w:p>
    <w:p w:rsidR="00A6477D" w:rsidRPr="00A6477D" w:rsidRDefault="00A6477D" w:rsidP="00901136">
      <w:pPr>
        <w:pStyle w:val="Numberbullet0"/>
      </w:pPr>
      <w:r w:rsidRPr="00A6477D">
        <w:t xml:space="preserve">The PSC endorsed all the questions raised by the TGA in relation to the quality and </w:t>
      </w:r>
      <w:proofErr w:type="spellStart"/>
      <w:r w:rsidRPr="00A6477D">
        <w:t>pharmaceutic</w:t>
      </w:r>
      <w:proofErr w:type="spellEnd"/>
      <w:r w:rsidRPr="00A6477D">
        <w:t xml:space="preserve"> aspects of the submission. </w:t>
      </w:r>
    </w:p>
    <w:p w:rsidR="00A6477D" w:rsidRPr="00A6477D" w:rsidRDefault="00A6477D" w:rsidP="00901136">
      <w:pPr>
        <w:pStyle w:val="Numberbullet0"/>
      </w:pPr>
      <w:r w:rsidRPr="00A6477D">
        <w:t>The PSC r</w:t>
      </w:r>
      <w:r w:rsidR="00FE6DEE">
        <w:t>eiterated its objection of the s</w:t>
      </w:r>
      <w:r w:rsidRPr="00A6477D">
        <w:t>ponsor’s continued use of sterile formulation and sterile handling for their sterile products instead of using the accepted principle of a final sterile filtration into the filling tank.</w:t>
      </w:r>
    </w:p>
    <w:p w:rsidR="00A6477D" w:rsidRPr="00A6477D" w:rsidRDefault="00A6477D" w:rsidP="00901136">
      <w:pPr>
        <w:pStyle w:val="Numberbullet0"/>
      </w:pPr>
      <w:r w:rsidRPr="00A6477D">
        <w:t>The PSC advi</w:t>
      </w:r>
      <w:r w:rsidR="00FE6DEE">
        <w:t>sed that the s</w:t>
      </w:r>
      <w:r w:rsidRPr="00A6477D">
        <w:t xml:space="preserve">ponsor’s practise of using previously accepted registration practices as precedence for subsequent submissions </w:t>
      </w:r>
      <w:r w:rsidR="001B7354">
        <w:t xml:space="preserve">was </w:t>
      </w:r>
      <w:r w:rsidRPr="00A6477D">
        <w:t xml:space="preserve">unacceptable. The TGA should perhaps make a final sterile filtration a condition of registration as this constitutes a generally accepted good manufacturing practice that enhances the concept of Quality Assurance.   </w:t>
      </w:r>
    </w:p>
    <w:p w:rsidR="00A6477D" w:rsidRPr="00FE6DEE" w:rsidRDefault="00A6477D" w:rsidP="00901136">
      <w:r w:rsidRPr="00FE6DEE">
        <w:t xml:space="preserve">There </w:t>
      </w:r>
      <w:r w:rsidR="00FE6DEE">
        <w:t>wa</w:t>
      </w:r>
      <w:r w:rsidRPr="00FE6DEE">
        <w:t xml:space="preserve">s no requirement for this submission to be reviewed again by the PSC before it is presented for consideration by </w:t>
      </w:r>
      <w:r w:rsidR="00FE6DEE">
        <w:t xml:space="preserve">the </w:t>
      </w:r>
      <w:r w:rsidRPr="00FE6DEE">
        <w:t>ACPM.</w:t>
      </w:r>
    </w:p>
    <w:p w:rsidR="00FE6DEE" w:rsidRPr="00FE6DEE" w:rsidRDefault="00A6477D" w:rsidP="00FE6DEE">
      <w:r w:rsidRPr="00A6477D">
        <w:t>The</w:t>
      </w:r>
      <w:r w:rsidR="00FE6DEE">
        <w:t xml:space="preserve"> company responded to points 2 and 3 of the recommendation. </w:t>
      </w:r>
      <w:r w:rsidRPr="00A6477D">
        <w:t xml:space="preserve">The response is considered to be a satisfactory justification. </w:t>
      </w:r>
      <w:r w:rsidR="00FE6DEE">
        <w:t>Other matters raised with the sponsor have also been resolved. There are no outstanding q</w:t>
      </w:r>
      <w:r w:rsidR="00FE6DEE" w:rsidRPr="00FE6DEE">
        <w:t>uality (Module 3) issues.</w:t>
      </w:r>
    </w:p>
    <w:p w:rsidR="008E7846" w:rsidRPr="00901136" w:rsidRDefault="008E7846" w:rsidP="00901136">
      <w:pPr>
        <w:pStyle w:val="Heading3"/>
      </w:pPr>
      <w:bookmarkStart w:id="29" w:name="_Toc247691509"/>
      <w:bookmarkStart w:id="30" w:name="_Toc314842493"/>
      <w:bookmarkStart w:id="31" w:name="_Toc375119713"/>
      <w:r>
        <w:t>Quality s</w:t>
      </w:r>
      <w:r w:rsidRPr="008751DC">
        <w:t>ummary</w:t>
      </w:r>
      <w:r>
        <w:t xml:space="preserve"> and conclusions</w:t>
      </w:r>
      <w:bookmarkEnd w:id="29"/>
      <w:bookmarkEnd w:id="30"/>
      <w:bookmarkEnd w:id="31"/>
    </w:p>
    <w:p w:rsidR="001F74BB" w:rsidRDefault="00A6477D" w:rsidP="00901136">
      <w:r w:rsidRPr="00A6477D">
        <w:t xml:space="preserve">The administrative, product usage, chemical, pharmaceutical, microbiological data submitted in support of this application have been evaluated in accordance with the Australian legislation, </w:t>
      </w:r>
      <w:proofErr w:type="spellStart"/>
      <w:r w:rsidRPr="00A6477D">
        <w:t>pharmacopoeial</w:t>
      </w:r>
      <w:proofErr w:type="spellEnd"/>
      <w:r w:rsidRPr="00A6477D">
        <w:t xml:space="preserve"> standards and relevant technical guidelines adopted by the TGA.</w:t>
      </w:r>
      <w:r w:rsidR="00FE6DEE">
        <w:t xml:space="preserve"> </w:t>
      </w:r>
      <w:r w:rsidR="001F74BB">
        <w:t xml:space="preserve">Evaluation of the </w:t>
      </w:r>
      <w:r w:rsidR="00FE6DEE">
        <w:t>quality aspects included</w:t>
      </w:r>
      <w:r w:rsidR="001F74BB">
        <w:t xml:space="preserve"> </w:t>
      </w:r>
      <w:r w:rsidR="00FE6DEE">
        <w:t>evaluation</w:t>
      </w:r>
      <w:r w:rsidR="009D0CE1">
        <w:t xml:space="preserve"> of </w:t>
      </w:r>
      <w:r w:rsidR="00FE6DEE">
        <w:t>g</w:t>
      </w:r>
      <w:r w:rsidR="001F74BB" w:rsidRPr="00A6477D">
        <w:t xml:space="preserve">enetic </w:t>
      </w:r>
      <w:r w:rsidR="00FE6DEE">
        <w:t>d</w:t>
      </w:r>
      <w:r w:rsidR="001F74BB" w:rsidRPr="00A6477D">
        <w:t>evelopment</w:t>
      </w:r>
      <w:r w:rsidR="00FE6DEE">
        <w:t>,</w:t>
      </w:r>
      <w:r w:rsidR="001F74BB">
        <w:t xml:space="preserve"> </w:t>
      </w:r>
      <w:r w:rsidR="00FE6DEE">
        <w:t>m</w:t>
      </w:r>
      <w:r w:rsidR="001F74BB" w:rsidRPr="00A6477D">
        <w:t>anufacturing</w:t>
      </w:r>
      <w:r w:rsidR="001F74BB">
        <w:t xml:space="preserve"> </w:t>
      </w:r>
      <w:r w:rsidR="00FE6DEE">
        <w:t>c</w:t>
      </w:r>
      <w:r w:rsidR="001F74BB" w:rsidRPr="00A6477D">
        <w:t>haracterisation and stability</w:t>
      </w:r>
      <w:r w:rsidR="00FE6DEE">
        <w:t>,</w:t>
      </w:r>
      <w:r w:rsidR="001F74BB">
        <w:t xml:space="preserve"> </w:t>
      </w:r>
      <w:proofErr w:type="spellStart"/>
      <w:r w:rsidR="00FE6DEE">
        <w:t>e</w:t>
      </w:r>
      <w:r w:rsidR="001F74BB" w:rsidRPr="00A6477D">
        <w:t>ndotoxin</w:t>
      </w:r>
      <w:proofErr w:type="spellEnd"/>
      <w:r w:rsidR="001F74BB" w:rsidRPr="00A6477D">
        <w:t xml:space="preserve"> </w:t>
      </w:r>
      <w:r w:rsidR="00FE6DEE">
        <w:t>s</w:t>
      </w:r>
      <w:r w:rsidR="001F74BB" w:rsidRPr="00A6477D">
        <w:t>afety</w:t>
      </w:r>
      <w:r w:rsidR="001F74BB">
        <w:t xml:space="preserve"> </w:t>
      </w:r>
      <w:r w:rsidR="00FE6DEE">
        <w:t>v</w:t>
      </w:r>
      <w:r w:rsidR="001F74BB" w:rsidRPr="00A6477D">
        <w:t>iral/</w:t>
      </w:r>
      <w:r w:rsidR="00FE6DEE">
        <w:t>transmissible spongiform encephalopathy s</w:t>
      </w:r>
      <w:r w:rsidR="001F74BB" w:rsidRPr="00A6477D">
        <w:t>afety</w:t>
      </w:r>
      <w:r w:rsidR="00FE6DEE">
        <w:t>,</w:t>
      </w:r>
      <w:r w:rsidR="001F74BB">
        <w:t xml:space="preserve"> </w:t>
      </w:r>
      <w:r w:rsidR="00FE6DEE">
        <w:t>c</w:t>
      </w:r>
      <w:r w:rsidR="001F74BB" w:rsidRPr="00A6477D">
        <w:t xml:space="preserve">ontainer </w:t>
      </w:r>
      <w:r w:rsidR="00FE6DEE">
        <w:t>s</w:t>
      </w:r>
      <w:r w:rsidR="001F74BB" w:rsidRPr="00A6477D">
        <w:t>afety</w:t>
      </w:r>
      <w:r w:rsidR="00FE6DEE">
        <w:t>, s</w:t>
      </w:r>
      <w:r w:rsidR="001F74BB" w:rsidRPr="00A6477D">
        <w:t>terility</w:t>
      </w:r>
      <w:r w:rsidR="001F74BB" w:rsidRPr="001F74BB">
        <w:t xml:space="preserve"> </w:t>
      </w:r>
      <w:r w:rsidR="00FE6DEE">
        <w:t>and l</w:t>
      </w:r>
      <w:r w:rsidR="001F74BB" w:rsidRPr="00A6477D">
        <w:t>abelling</w:t>
      </w:r>
      <w:r w:rsidR="00FE6DEE">
        <w:t>.</w:t>
      </w:r>
    </w:p>
    <w:p w:rsidR="00A6477D" w:rsidRPr="00A6477D" w:rsidRDefault="009D0CE1" w:rsidP="00901136">
      <w:r w:rsidRPr="009D0CE1">
        <w:t>There are no outstanding quality (Module 3) issues.</w:t>
      </w:r>
      <w:r>
        <w:t xml:space="preserve"> </w:t>
      </w:r>
      <w:r w:rsidR="00A6477D" w:rsidRPr="00A6477D">
        <w:t>The Module 3 evaluators recommend that:</w:t>
      </w:r>
    </w:p>
    <w:p w:rsidR="00A6477D" w:rsidRPr="00A6477D" w:rsidRDefault="009D0CE1" w:rsidP="00901136">
      <w:pPr>
        <w:pStyle w:val="ListBullet"/>
      </w:pPr>
      <w:proofErr w:type="spellStart"/>
      <w:r>
        <w:t>Nimenrix</w:t>
      </w:r>
      <w:proofErr w:type="spellEnd"/>
      <w:r w:rsidR="00A6477D" w:rsidRPr="00A6477D">
        <w:t xml:space="preserve"> </w:t>
      </w:r>
      <w:r>
        <w:t>m</w:t>
      </w:r>
      <w:r w:rsidR="00A6477D" w:rsidRPr="00A6477D">
        <w:t xml:space="preserve">eningococcal (Groups A, C, Y, W-135) </w:t>
      </w:r>
      <w:r>
        <w:t>p</w:t>
      </w:r>
      <w:r w:rsidR="00A6477D" w:rsidRPr="00A6477D">
        <w:t xml:space="preserve">olysaccharide </w:t>
      </w:r>
      <w:r>
        <w:t>t</w:t>
      </w:r>
      <w:r w:rsidR="00A6477D" w:rsidRPr="00A6477D">
        <w:t xml:space="preserve">etanus </w:t>
      </w:r>
      <w:proofErr w:type="spellStart"/>
      <w:r>
        <w:t>t</w:t>
      </w:r>
      <w:r w:rsidR="00A6477D" w:rsidRPr="00A6477D">
        <w:t>oxoid</w:t>
      </w:r>
      <w:proofErr w:type="spellEnd"/>
      <w:r w:rsidR="00A6477D" w:rsidRPr="00A6477D">
        <w:t xml:space="preserve"> </w:t>
      </w:r>
      <w:r>
        <w:t>c</w:t>
      </w:r>
      <w:r w:rsidR="00A6477D" w:rsidRPr="00A6477D">
        <w:t xml:space="preserve">onjugate </w:t>
      </w:r>
      <w:r>
        <w:t>v</w:t>
      </w:r>
      <w:r w:rsidR="00A6477D" w:rsidRPr="00A6477D">
        <w:t>accine injec</w:t>
      </w:r>
      <w:r>
        <w:t xml:space="preserve">tion vial plus </w:t>
      </w:r>
      <w:proofErr w:type="spellStart"/>
      <w:r>
        <w:t>diluent</w:t>
      </w:r>
      <w:proofErr w:type="spellEnd"/>
      <w:r>
        <w:t xml:space="preserve"> syringe</w:t>
      </w:r>
      <w:r w:rsidR="00A6477D" w:rsidRPr="00A6477D">
        <w:t xml:space="preserve"> </w:t>
      </w:r>
    </w:p>
    <w:p w:rsidR="00A6477D" w:rsidRPr="00A6477D" w:rsidRDefault="00A6477D" w:rsidP="00901136">
      <w:r w:rsidRPr="00A6477D">
        <w:t>and</w:t>
      </w:r>
    </w:p>
    <w:p w:rsidR="00A6477D" w:rsidRPr="00A6477D" w:rsidRDefault="00A6477D" w:rsidP="00901136">
      <w:pPr>
        <w:pStyle w:val="ListBullet"/>
      </w:pPr>
      <w:proofErr w:type="spellStart"/>
      <w:r w:rsidRPr="00A6477D">
        <w:t>N</w:t>
      </w:r>
      <w:r w:rsidR="009D0CE1">
        <w:t>imenrix</w:t>
      </w:r>
      <w:proofErr w:type="spellEnd"/>
      <w:r w:rsidRPr="00A6477D">
        <w:t xml:space="preserve"> </w:t>
      </w:r>
      <w:r w:rsidR="009D0CE1">
        <w:t>m</w:t>
      </w:r>
      <w:r w:rsidRPr="00A6477D">
        <w:t>eningo</w:t>
      </w:r>
      <w:r w:rsidR="009D0CE1">
        <w:t>coccal (Groups A, C, Y, W-135) p</w:t>
      </w:r>
      <w:r w:rsidRPr="00A6477D">
        <w:t xml:space="preserve">olysaccharide </w:t>
      </w:r>
      <w:r w:rsidR="009D0CE1">
        <w:t>t</w:t>
      </w:r>
      <w:r w:rsidRPr="00A6477D">
        <w:t xml:space="preserve">etanus </w:t>
      </w:r>
      <w:proofErr w:type="spellStart"/>
      <w:r w:rsidR="009D0CE1">
        <w:t>t</w:t>
      </w:r>
      <w:r w:rsidRPr="00A6477D">
        <w:t>oxoid</w:t>
      </w:r>
      <w:proofErr w:type="spellEnd"/>
      <w:r w:rsidRPr="00A6477D">
        <w:t xml:space="preserve"> </w:t>
      </w:r>
      <w:r w:rsidR="009D0CE1">
        <w:t>c</w:t>
      </w:r>
      <w:r w:rsidRPr="00A6477D">
        <w:t xml:space="preserve">onjugate </w:t>
      </w:r>
      <w:r w:rsidR="009D0CE1">
        <w:t>v</w:t>
      </w:r>
      <w:r w:rsidRPr="00A6477D">
        <w:t xml:space="preserve">accine injection vial plus </w:t>
      </w:r>
      <w:proofErr w:type="spellStart"/>
      <w:r w:rsidRPr="00A6477D">
        <w:t>diluent</w:t>
      </w:r>
      <w:proofErr w:type="spellEnd"/>
      <w:r w:rsidRPr="00A6477D">
        <w:t xml:space="preserve"> ampoule </w:t>
      </w:r>
    </w:p>
    <w:p w:rsidR="009D0CE1" w:rsidRDefault="00A6477D" w:rsidP="00901136">
      <w:r w:rsidRPr="00A6477D">
        <w:t>should be approved</w:t>
      </w:r>
      <w:r w:rsidR="009D0CE1">
        <w:t xml:space="preserve">. </w:t>
      </w:r>
    </w:p>
    <w:p w:rsidR="00A6477D" w:rsidRPr="00A6477D" w:rsidRDefault="009D0CE1" w:rsidP="00901136">
      <w:r>
        <w:t>If approved, conditions of registration</w:t>
      </w:r>
      <w:r>
        <w:rPr>
          <w:rStyle w:val="FootnoteReference"/>
        </w:rPr>
        <w:footnoteReference w:id="1"/>
      </w:r>
      <w:r>
        <w:t xml:space="preserve"> must include conditions regarding batch release testing and certified product details</w:t>
      </w:r>
      <w:r w:rsidR="00A6477D" w:rsidRPr="00A6477D">
        <w:t>.</w:t>
      </w:r>
    </w:p>
    <w:p w:rsidR="008E7846" w:rsidRDefault="008E7846" w:rsidP="00901136">
      <w:pPr>
        <w:pStyle w:val="Heading2"/>
      </w:pPr>
      <w:bookmarkStart w:id="32" w:name="_Toc196046439"/>
      <w:bookmarkStart w:id="33" w:name="_Toc247691510"/>
      <w:bookmarkStart w:id="34" w:name="_Toc314842494"/>
      <w:bookmarkStart w:id="35" w:name="_Toc375119714"/>
      <w:r>
        <w:lastRenderedPageBreak/>
        <w:t>III. Nonclinical</w:t>
      </w:r>
      <w:bookmarkEnd w:id="32"/>
      <w:r>
        <w:t xml:space="preserve"> findings</w:t>
      </w:r>
      <w:bookmarkEnd w:id="33"/>
      <w:bookmarkEnd w:id="34"/>
      <w:bookmarkEnd w:id="35"/>
    </w:p>
    <w:p w:rsidR="008E7846" w:rsidRPr="00901136" w:rsidRDefault="008E7846" w:rsidP="00901136">
      <w:pPr>
        <w:pStyle w:val="Heading3"/>
      </w:pPr>
      <w:bookmarkStart w:id="36" w:name="_Toc247691511"/>
      <w:bookmarkStart w:id="37" w:name="_Toc314842495"/>
      <w:bookmarkStart w:id="38" w:name="_Toc375119715"/>
      <w:r>
        <w:t>Introduction</w:t>
      </w:r>
      <w:bookmarkEnd w:id="36"/>
      <w:bookmarkEnd w:id="37"/>
      <w:bookmarkEnd w:id="38"/>
    </w:p>
    <w:p w:rsidR="004C11B0" w:rsidRPr="001357EB" w:rsidRDefault="004C11B0" w:rsidP="00901136">
      <w:r w:rsidRPr="001357EB">
        <w:t xml:space="preserve">In support of this application, the sponsor has submitted 2 volumes for </w:t>
      </w:r>
      <w:r w:rsidR="001357EB">
        <w:t>nonclinical (M</w:t>
      </w:r>
      <w:r w:rsidRPr="001357EB">
        <w:t>odule 4</w:t>
      </w:r>
      <w:r w:rsidR="001357EB">
        <w:t>) data</w:t>
      </w:r>
      <w:r w:rsidRPr="001357EB">
        <w:t xml:space="preserve"> consisting of the following studies:</w:t>
      </w:r>
    </w:p>
    <w:p w:rsidR="004C11B0" w:rsidRPr="001357EB" w:rsidRDefault="004C11B0" w:rsidP="00901136">
      <w:pPr>
        <w:pStyle w:val="ListBullet"/>
      </w:pPr>
      <w:r w:rsidRPr="001357EB">
        <w:t>Primary pharmacology</w:t>
      </w:r>
      <w:r w:rsidR="001357EB">
        <w:t>:</w:t>
      </w:r>
      <w:r w:rsidRPr="001357EB">
        <w:t xml:space="preserve"> 9 studies (4 </w:t>
      </w:r>
      <w:r w:rsidR="001357EB">
        <w:t xml:space="preserve">in </w:t>
      </w:r>
      <w:r w:rsidRPr="001357EB">
        <w:t xml:space="preserve">mice; 5 </w:t>
      </w:r>
      <w:r w:rsidR="001357EB">
        <w:t xml:space="preserve">in </w:t>
      </w:r>
      <w:r w:rsidRPr="001357EB">
        <w:t>rabbits);</w:t>
      </w:r>
    </w:p>
    <w:p w:rsidR="004C11B0" w:rsidRPr="001357EB" w:rsidRDefault="004C11B0" w:rsidP="00901136">
      <w:pPr>
        <w:pStyle w:val="ListBullet"/>
      </w:pPr>
      <w:r w:rsidRPr="001357EB">
        <w:t>Sa</w:t>
      </w:r>
      <w:r w:rsidR="001357EB">
        <w:t xml:space="preserve">fety pharmacology: </w:t>
      </w:r>
      <w:r w:rsidRPr="001357EB">
        <w:t>1 study (</w:t>
      </w:r>
      <w:r w:rsidR="001357EB">
        <w:t xml:space="preserve">in </w:t>
      </w:r>
      <w:r w:rsidRPr="001357EB">
        <w:t>rat</w:t>
      </w:r>
      <w:r w:rsidR="001357EB">
        <w:t>s</w:t>
      </w:r>
      <w:r w:rsidRPr="001357EB">
        <w:t>);</w:t>
      </w:r>
    </w:p>
    <w:p w:rsidR="004C11B0" w:rsidRPr="001357EB" w:rsidRDefault="004C11B0" w:rsidP="001357EB">
      <w:pPr>
        <w:pStyle w:val="ListBullet"/>
      </w:pPr>
      <w:r w:rsidRPr="001357EB">
        <w:t>Single dose toxicity/local tolerance</w:t>
      </w:r>
      <w:r w:rsidR="001357EB">
        <w:t>:</w:t>
      </w:r>
      <w:r w:rsidRPr="001357EB">
        <w:t xml:space="preserve"> 1 study (</w:t>
      </w:r>
      <w:r w:rsidR="001357EB">
        <w:t xml:space="preserve">in </w:t>
      </w:r>
      <w:r w:rsidRPr="001357EB">
        <w:t>rabbits);</w:t>
      </w:r>
    </w:p>
    <w:p w:rsidR="004C11B0" w:rsidRPr="001357EB" w:rsidRDefault="004C11B0" w:rsidP="00901136">
      <w:pPr>
        <w:pStyle w:val="ListBullet"/>
      </w:pPr>
      <w:r w:rsidRPr="001357EB">
        <w:t>Repeat dose toxicity</w:t>
      </w:r>
      <w:r w:rsidR="001357EB">
        <w:t>:</w:t>
      </w:r>
      <w:r w:rsidRPr="001357EB">
        <w:t xml:space="preserve"> 1 study (</w:t>
      </w:r>
      <w:r w:rsidR="001357EB">
        <w:t xml:space="preserve">in </w:t>
      </w:r>
      <w:r w:rsidRPr="001357EB">
        <w:t>rabbits);</w:t>
      </w:r>
    </w:p>
    <w:p w:rsidR="004C11B0" w:rsidRPr="001357EB" w:rsidRDefault="004C11B0" w:rsidP="001357EB">
      <w:pPr>
        <w:pStyle w:val="ListBullet"/>
      </w:pPr>
      <w:r w:rsidRPr="001357EB">
        <w:t>Reproductive and developmental toxicity</w:t>
      </w:r>
      <w:r w:rsidR="001357EB">
        <w:t>:</w:t>
      </w:r>
      <w:r w:rsidRPr="001357EB">
        <w:t xml:space="preserve"> 1 study (</w:t>
      </w:r>
      <w:r w:rsidR="001357EB">
        <w:t xml:space="preserve">in </w:t>
      </w:r>
      <w:r w:rsidRPr="001357EB">
        <w:t>rats);</w:t>
      </w:r>
    </w:p>
    <w:p w:rsidR="004C11B0" w:rsidRPr="001357EB" w:rsidRDefault="004C11B0" w:rsidP="00901136">
      <w:pPr>
        <w:pStyle w:val="ListBullet"/>
      </w:pPr>
      <w:r w:rsidRPr="001357EB">
        <w:t>Other toxicity</w:t>
      </w:r>
      <w:r w:rsidR="001357EB">
        <w:t>:</w:t>
      </w:r>
      <w:r w:rsidRPr="001357EB">
        <w:t xml:space="preserve"> 5 studies (2 </w:t>
      </w:r>
      <w:r w:rsidR="001357EB">
        <w:t xml:space="preserve">in </w:t>
      </w:r>
      <w:r w:rsidRPr="001357EB">
        <w:t xml:space="preserve">rats; 1 </w:t>
      </w:r>
      <w:r w:rsidR="001357EB">
        <w:t xml:space="preserve">in </w:t>
      </w:r>
      <w:r w:rsidRPr="001357EB">
        <w:t xml:space="preserve">guinea pigs; 1 </w:t>
      </w:r>
      <w:r w:rsidR="001357EB">
        <w:t xml:space="preserve">in </w:t>
      </w:r>
      <w:r w:rsidRPr="001357EB">
        <w:t xml:space="preserve">bacterial strains; 1 </w:t>
      </w:r>
      <w:r w:rsidR="001357EB">
        <w:t xml:space="preserve">in </w:t>
      </w:r>
      <w:r w:rsidRPr="001357EB">
        <w:t>cell lines).</w:t>
      </w:r>
    </w:p>
    <w:p w:rsidR="008E7846" w:rsidRPr="001357EB" w:rsidRDefault="004C11B0" w:rsidP="00901136">
      <w:r w:rsidRPr="001357EB">
        <w:t>The Module 4 package submitted by the sponsor has provided adequate information to support the application for the registration of a new vaccine. The nonclinical studies were in general accordance with the WHO</w:t>
      </w:r>
      <w:r w:rsidRPr="001357EB">
        <w:rPr>
          <w:vertAlign w:val="superscript"/>
        </w:rPr>
        <w:footnoteReference w:id="2"/>
      </w:r>
      <w:r w:rsidRPr="001357EB">
        <w:t xml:space="preserve"> and </w:t>
      </w:r>
      <w:r w:rsidR="002F2F8B">
        <w:t>European Medicines Agency (</w:t>
      </w:r>
      <w:r w:rsidRPr="001357EB">
        <w:t>EMA</w:t>
      </w:r>
      <w:r w:rsidR="002F2F8B">
        <w:t>)</w:t>
      </w:r>
      <w:r w:rsidRPr="001357EB">
        <w:t xml:space="preserve"> guidelines</w:t>
      </w:r>
      <w:r w:rsidR="001357EB">
        <w:t>.</w:t>
      </w:r>
      <w:r w:rsidRPr="001357EB">
        <w:rPr>
          <w:vertAlign w:val="superscript"/>
        </w:rPr>
        <w:footnoteReference w:id="3"/>
      </w:r>
    </w:p>
    <w:p w:rsidR="008E7846" w:rsidRPr="00901136" w:rsidRDefault="008E7846" w:rsidP="00901136">
      <w:pPr>
        <w:pStyle w:val="Heading3"/>
      </w:pPr>
      <w:bookmarkStart w:id="39" w:name="_Toc247691512"/>
      <w:bookmarkStart w:id="40" w:name="_Toc314842496"/>
      <w:bookmarkStart w:id="41" w:name="_Toc375119716"/>
      <w:r w:rsidRPr="00020030">
        <w:t>Pharmacology</w:t>
      </w:r>
      <w:bookmarkEnd w:id="39"/>
      <w:bookmarkEnd w:id="40"/>
      <w:bookmarkEnd w:id="41"/>
    </w:p>
    <w:p w:rsidR="004C11B0" w:rsidRPr="00901136" w:rsidRDefault="004C11B0" w:rsidP="00901136">
      <w:pPr>
        <w:pStyle w:val="Heading4"/>
      </w:pPr>
      <w:r w:rsidRPr="004C11B0">
        <w:rPr>
          <w:kern w:val="22"/>
        </w:rPr>
        <w:t>Primary pharmacology</w:t>
      </w:r>
    </w:p>
    <w:p w:rsidR="004C11B0" w:rsidRPr="001357EB" w:rsidRDefault="004C11B0" w:rsidP="00901136">
      <w:r w:rsidRPr="001357EB">
        <w:t>There is currently a lack o</w:t>
      </w:r>
      <w:r w:rsidR="00826445">
        <w:t>f animal models of infection with</w:t>
      </w:r>
      <w:r w:rsidRPr="001357EB">
        <w:t xml:space="preserve"> </w:t>
      </w:r>
      <w:proofErr w:type="spellStart"/>
      <w:r w:rsidRPr="001357EB">
        <w:rPr>
          <w:i/>
          <w:iCs/>
        </w:rPr>
        <w:t>Neisseria</w:t>
      </w:r>
      <w:proofErr w:type="spellEnd"/>
      <w:r w:rsidRPr="001357EB">
        <w:t xml:space="preserve">, a human pathogen. As a consequence of the relatively low incidence of the disease and tendency for outbreaks to occur sporadically, efficacy cannot be accessed directly in clinical trials, </w:t>
      </w:r>
      <w:r w:rsidR="001B7354" w:rsidRPr="001B7354">
        <w:t xml:space="preserve">therefore, serum bactericidal activity and immunogenicity studies in mice and rabbits using meningococcal conjugates, as well as the final combined </w:t>
      </w:r>
      <w:proofErr w:type="spellStart"/>
      <w:r w:rsidR="001B7354" w:rsidRPr="001B7354">
        <w:t>MenACWY</w:t>
      </w:r>
      <w:proofErr w:type="spellEnd"/>
      <w:r w:rsidR="001B7354" w:rsidRPr="001B7354">
        <w:t>-TT, were</w:t>
      </w:r>
      <w:r w:rsidR="001B7354">
        <w:t xml:space="preserve"> used as </w:t>
      </w:r>
      <w:r w:rsidR="001B7354" w:rsidRPr="001B7354">
        <w:t>surrogates of efficacy.</w:t>
      </w:r>
      <w:r w:rsidR="001B7354">
        <w:t xml:space="preserve"> </w:t>
      </w:r>
    </w:p>
    <w:p w:rsidR="00EB3A88" w:rsidRDefault="004C11B0" w:rsidP="00901136">
      <w:r w:rsidRPr="001357EB">
        <w:t xml:space="preserve">Appropriate group sizes of animals (mice and rabbits) were </w:t>
      </w:r>
      <w:r w:rsidR="001357EB" w:rsidRPr="001357EB">
        <w:t xml:space="preserve">used for each study submitted. </w:t>
      </w:r>
      <w:r w:rsidRPr="001357EB">
        <w:t xml:space="preserve">The route of administration for the mice was </w:t>
      </w:r>
      <w:r w:rsidR="001357EB">
        <w:t>subcutaneous (</w:t>
      </w:r>
      <w:r w:rsidRPr="001357EB">
        <w:t>SC</w:t>
      </w:r>
      <w:r w:rsidR="001357EB">
        <w:t>)</w:t>
      </w:r>
      <w:r w:rsidRPr="001357EB">
        <w:t xml:space="preserve">, with the rabbits administered the dose IM which was the suggested clinical route of administration. The mice were administered </w:t>
      </w:r>
      <w:r w:rsidR="00C976BD">
        <w:t xml:space="preserve">one tenth </w:t>
      </w:r>
      <w:r w:rsidRPr="001357EB">
        <w:t xml:space="preserve">of the human dose and the rabbits administered the full human dose. The immunogenicity studies were conducted in both mice and rabbits using meningococcal conjugates (PS conjugated to TT), as well as the final combined </w:t>
      </w:r>
      <w:proofErr w:type="spellStart"/>
      <w:r w:rsidRPr="001357EB">
        <w:t>MenACWY</w:t>
      </w:r>
      <w:proofErr w:type="spellEnd"/>
      <w:r w:rsidRPr="001357EB">
        <w:t xml:space="preserve">-TT formulation. </w:t>
      </w:r>
    </w:p>
    <w:p w:rsidR="004C11B0" w:rsidRPr="001357EB" w:rsidRDefault="004C11B0" w:rsidP="00901136">
      <w:r w:rsidRPr="001357EB">
        <w:t xml:space="preserve">In mice, the conjugates and candidate vaccine significantly induced the production of bactericidal antibodies against capsular PS of </w:t>
      </w:r>
      <w:proofErr w:type="spellStart"/>
      <w:r w:rsidRPr="001357EB">
        <w:t>serogroups</w:t>
      </w:r>
      <w:proofErr w:type="spellEnd"/>
      <w:r w:rsidRPr="001357EB">
        <w:t xml:space="preserve"> A, C, W-135 and Y in comparison to plain </w:t>
      </w:r>
      <w:r w:rsidR="00C132F2">
        <w:t xml:space="preserve">(non conjugated) </w:t>
      </w:r>
      <w:r w:rsidRPr="001357EB">
        <w:t xml:space="preserve">PS. The addition of </w:t>
      </w:r>
      <w:r w:rsidR="001357EB" w:rsidRPr="001357EB">
        <w:t xml:space="preserve">an AH spacer </w:t>
      </w:r>
      <w:r w:rsidRPr="001357EB">
        <w:t xml:space="preserve">to the </w:t>
      </w:r>
      <w:proofErr w:type="spellStart"/>
      <w:r w:rsidRPr="001357EB">
        <w:t>MenA</w:t>
      </w:r>
      <w:proofErr w:type="spellEnd"/>
      <w:r w:rsidRPr="001357EB">
        <w:t xml:space="preserve"> and </w:t>
      </w:r>
      <w:proofErr w:type="spellStart"/>
      <w:r w:rsidRPr="001357EB">
        <w:t>MenC</w:t>
      </w:r>
      <w:proofErr w:type="spellEnd"/>
      <w:r w:rsidRPr="001357EB">
        <w:t xml:space="preserve"> PS before conjugation to TT increased the immunogenicity to these conjugates compared to conjugates without spacer. The addition of AH spacer to </w:t>
      </w:r>
      <w:proofErr w:type="spellStart"/>
      <w:r w:rsidRPr="001357EB">
        <w:t>MenA</w:t>
      </w:r>
      <w:proofErr w:type="spellEnd"/>
      <w:r w:rsidRPr="001357EB">
        <w:t xml:space="preserve"> and </w:t>
      </w:r>
      <w:proofErr w:type="spellStart"/>
      <w:r w:rsidRPr="001357EB">
        <w:t>MenC</w:t>
      </w:r>
      <w:proofErr w:type="spellEnd"/>
      <w:r w:rsidRPr="001357EB">
        <w:t xml:space="preserve"> had no impact on the immunogenicity of </w:t>
      </w:r>
      <w:proofErr w:type="spellStart"/>
      <w:r w:rsidRPr="001357EB">
        <w:t>MenW</w:t>
      </w:r>
      <w:proofErr w:type="spellEnd"/>
      <w:r w:rsidRPr="001357EB">
        <w:t xml:space="preserve"> and </w:t>
      </w:r>
      <w:proofErr w:type="spellStart"/>
      <w:r w:rsidRPr="001357EB">
        <w:t>MenY</w:t>
      </w:r>
      <w:proofErr w:type="spellEnd"/>
      <w:r w:rsidRPr="001357EB">
        <w:t xml:space="preserve"> conjugates in the final </w:t>
      </w:r>
      <w:proofErr w:type="spellStart"/>
      <w:r w:rsidRPr="001357EB">
        <w:t>MenACWY</w:t>
      </w:r>
      <w:r w:rsidRPr="001357EB">
        <w:noBreakHyphen/>
        <w:t>TT</w:t>
      </w:r>
      <w:proofErr w:type="spellEnd"/>
      <w:r w:rsidRPr="001357EB">
        <w:t xml:space="preserve"> vaccine formulation. It was stated (</w:t>
      </w:r>
      <w:r w:rsidR="001357EB">
        <w:t>sponsor’s nonc</w:t>
      </w:r>
      <w:r w:rsidRPr="001357EB">
        <w:t xml:space="preserve">linical </w:t>
      </w:r>
      <w:r w:rsidR="001357EB">
        <w:t>o</w:t>
      </w:r>
      <w:r w:rsidRPr="001357EB">
        <w:t xml:space="preserve">verview) that the mouse studies were the basis for the selection of different formulations for clinical studies. </w:t>
      </w:r>
    </w:p>
    <w:p w:rsidR="004C11B0" w:rsidRPr="00901136" w:rsidRDefault="004C11B0" w:rsidP="00901136">
      <w:pPr>
        <w:pStyle w:val="Heading4"/>
      </w:pPr>
      <w:r w:rsidRPr="004C11B0">
        <w:rPr>
          <w:kern w:val="22"/>
        </w:rPr>
        <w:t>Secondary pharmacology</w:t>
      </w:r>
    </w:p>
    <w:p w:rsidR="004C11B0" w:rsidRPr="001357EB" w:rsidRDefault="004C11B0" w:rsidP="00901136">
      <w:r w:rsidRPr="001357EB">
        <w:t xml:space="preserve">There were no secondary </w:t>
      </w:r>
      <w:proofErr w:type="spellStart"/>
      <w:r w:rsidRPr="001357EB">
        <w:t>pharmacodynamic</w:t>
      </w:r>
      <w:proofErr w:type="spellEnd"/>
      <w:r w:rsidRPr="001357EB">
        <w:t xml:space="preserve"> studies submitted</w:t>
      </w:r>
      <w:r w:rsidR="002F2F8B">
        <w:t>,</w:t>
      </w:r>
      <w:r w:rsidRPr="001357EB">
        <w:t xml:space="preserve"> </w:t>
      </w:r>
      <w:r w:rsidR="002F2F8B">
        <w:t xml:space="preserve">consistent with </w:t>
      </w:r>
      <w:r w:rsidRPr="001357EB">
        <w:t>the EMA guidelines for vaccines</w:t>
      </w:r>
      <w:r w:rsidR="001357EB">
        <w:t>.</w:t>
      </w:r>
    </w:p>
    <w:p w:rsidR="004C11B0" w:rsidRPr="004C11B0" w:rsidRDefault="004C11B0" w:rsidP="00901136">
      <w:pPr>
        <w:pStyle w:val="Heading5"/>
        <w:rPr>
          <w:kern w:val="22"/>
        </w:rPr>
      </w:pPr>
      <w:r w:rsidRPr="004C11B0">
        <w:rPr>
          <w:kern w:val="22"/>
        </w:rPr>
        <w:lastRenderedPageBreak/>
        <w:t>Safety pharmacology</w:t>
      </w:r>
    </w:p>
    <w:p w:rsidR="008E7846" w:rsidRDefault="004C11B0" w:rsidP="00901136">
      <w:pPr>
        <w:rPr>
          <w:kern w:val="22"/>
        </w:rPr>
      </w:pPr>
      <w:r w:rsidRPr="004C11B0">
        <w:rPr>
          <w:kern w:val="22"/>
        </w:rPr>
        <w:t xml:space="preserve">The safety pharmacology of </w:t>
      </w:r>
      <w:proofErr w:type="spellStart"/>
      <w:r w:rsidRPr="004C11B0">
        <w:rPr>
          <w:kern w:val="22"/>
        </w:rPr>
        <w:t>MenACWY</w:t>
      </w:r>
      <w:proofErr w:type="spellEnd"/>
      <w:r w:rsidRPr="004C11B0">
        <w:rPr>
          <w:kern w:val="22"/>
        </w:rPr>
        <w:t>-TT candidate vaccine was evaluated in anaesthetised male rats. The vaccine was administered in 220 g rats (0.1 </w:t>
      </w:r>
      <w:proofErr w:type="spellStart"/>
      <w:r w:rsidRPr="004C11B0">
        <w:rPr>
          <w:kern w:val="22"/>
        </w:rPr>
        <w:t>mL</w:t>
      </w:r>
      <w:proofErr w:type="spellEnd"/>
      <w:r w:rsidRPr="004C11B0">
        <w:rPr>
          <w:kern w:val="22"/>
        </w:rPr>
        <w:t>/injection; 0.4545 </w:t>
      </w:r>
      <w:proofErr w:type="spellStart"/>
      <w:r w:rsidRPr="004C11B0">
        <w:rPr>
          <w:kern w:val="22"/>
        </w:rPr>
        <w:t>mL</w:t>
      </w:r>
      <w:proofErr w:type="spellEnd"/>
      <w:r w:rsidRPr="004C11B0">
        <w:rPr>
          <w:kern w:val="22"/>
        </w:rPr>
        <w:t xml:space="preserve">/kg) both via </w:t>
      </w:r>
      <w:r w:rsidR="00EB3A88">
        <w:rPr>
          <w:kern w:val="22"/>
        </w:rPr>
        <w:t>intravenous (</w:t>
      </w:r>
      <w:r w:rsidRPr="004C11B0">
        <w:rPr>
          <w:kern w:val="22"/>
        </w:rPr>
        <w:t>IV</w:t>
      </w:r>
      <w:r w:rsidR="00EB3A88">
        <w:rPr>
          <w:kern w:val="22"/>
        </w:rPr>
        <w:t>)</w:t>
      </w:r>
      <w:r w:rsidRPr="004C11B0">
        <w:rPr>
          <w:kern w:val="22"/>
        </w:rPr>
        <w:t xml:space="preserve"> and IM routes at doses </w:t>
      </w:r>
      <w:r w:rsidR="002F2F8B">
        <w:rPr>
          <w:kern w:val="22"/>
        </w:rPr>
        <w:t xml:space="preserve">approximately </w:t>
      </w:r>
      <w:r w:rsidRPr="004C11B0">
        <w:rPr>
          <w:kern w:val="22"/>
        </w:rPr>
        <w:t>63</w:t>
      </w:r>
      <w:r w:rsidRPr="004C11B0">
        <w:rPr>
          <w:kern w:val="22"/>
        </w:rPr>
        <w:noBreakHyphen/>
        <w:t>fold higher than the intended clinical dose relative to body weight based on a 70 kg adult human (0.5 </w:t>
      </w:r>
      <w:proofErr w:type="spellStart"/>
      <w:r w:rsidRPr="004C11B0">
        <w:rPr>
          <w:kern w:val="22"/>
        </w:rPr>
        <w:t>mL</w:t>
      </w:r>
      <w:proofErr w:type="spellEnd"/>
      <w:r w:rsidRPr="004C11B0">
        <w:rPr>
          <w:kern w:val="22"/>
        </w:rPr>
        <w:t>/injection; 0.0071 </w:t>
      </w:r>
      <w:proofErr w:type="spellStart"/>
      <w:r w:rsidRPr="004C11B0">
        <w:rPr>
          <w:kern w:val="22"/>
        </w:rPr>
        <w:t>mL</w:t>
      </w:r>
      <w:proofErr w:type="spellEnd"/>
      <w:r w:rsidRPr="004C11B0">
        <w:rPr>
          <w:kern w:val="22"/>
        </w:rPr>
        <w:t xml:space="preserve">/kg) and </w:t>
      </w:r>
      <w:r w:rsidR="002F2F8B">
        <w:rPr>
          <w:kern w:val="22"/>
        </w:rPr>
        <w:t xml:space="preserve">about </w:t>
      </w:r>
      <w:r w:rsidRPr="004C11B0">
        <w:rPr>
          <w:kern w:val="22"/>
        </w:rPr>
        <w:t>9-fold higher for 12 m</w:t>
      </w:r>
      <w:r w:rsidR="002F2F8B">
        <w:rPr>
          <w:kern w:val="22"/>
        </w:rPr>
        <w:t xml:space="preserve">onth old human infant weighing </w:t>
      </w:r>
      <w:r w:rsidRPr="004C11B0">
        <w:rPr>
          <w:kern w:val="22"/>
        </w:rPr>
        <w:t>10 kg (0.5 </w:t>
      </w:r>
      <w:proofErr w:type="spellStart"/>
      <w:r w:rsidRPr="004C11B0">
        <w:rPr>
          <w:kern w:val="22"/>
        </w:rPr>
        <w:t>mL</w:t>
      </w:r>
      <w:proofErr w:type="spellEnd"/>
      <w:r w:rsidRPr="004C11B0">
        <w:rPr>
          <w:kern w:val="22"/>
        </w:rPr>
        <w:t>/injection; 0.05 </w:t>
      </w:r>
      <w:proofErr w:type="spellStart"/>
      <w:r w:rsidRPr="004C11B0">
        <w:rPr>
          <w:kern w:val="22"/>
        </w:rPr>
        <w:t>mL</w:t>
      </w:r>
      <w:proofErr w:type="spellEnd"/>
      <w:r w:rsidRPr="004C11B0">
        <w:rPr>
          <w:kern w:val="22"/>
        </w:rPr>
        <w:t xml:space="preserve">/kg). Various parameters were recorded throughout the study and found that the </w:t>
      </w:r>
      <w:proofErr w:type="spellStart"/>
      <w:r w:rsidRPr="004C11B0">
        <w:rPr>
          <w:kern w:val="22"/>
        </w:rPr>
        <w:t>MenACWY</w:t>
      </w:r>
      <w:proofErr w:type="spellEnd"/>
      <w:r w:rsidRPr="004C11B0">
        <w:rPr>
          <w:kern w:val="22"/>
        </w:rPr>
        <w:t>-TT candidate vaccine produced no biologically significant effects on the cardiovascular and respiratory parameters recorded.</w:t>
      </w:r>
    </w:p>
    <w:p w:rsidR="008E7846" w:rsidRPr="00901136" w:rsidRDefault="008E7846" w:rsidP="00901136">
      <w:pPr>
        <w:pStyle w:val="Heading3"/>
      </w:pPr>
      <w:bookmarkStart w:id="42" w:name="_Toc247691513"/>
      <w:bookmarkStart w:id="43" w:name="_Toc314842497"/>
      <w:bookmarkStart w:id="44" w:name="_Toc375119717"/>
      <w:r>
        <w:t>Pharmacokinetics</w:t>
      </w:r>
      <w:bookmarkEnd w:id="42"/>
      <w:bookmarkEnd w:id="43"/>
      <w:bookmarkEnd w:id="44"/>
    </w:p>
    <w:p w:rsidR="008E7846" w:rsidRPr="002F2F8B" w:rsidRDefault="002F2F8B" w:rsidP="00901136">
      <w:r w:rsidRPr="002F2F8B">
        <w:t>No data.</w:t>
      </w:r>
      <w:r w:rsidR="009232D3">
        <w:t xml:space="preserve"> Not required.</w:t>
      </w:r>
    </w:p>
    <w:p w:rsidR="008E7846" w:rsidRPr="00901136" w:rsidRDefault="008E7846" w:rsidP="00901136">
      <w:pPr>
        <w:pStyle w:val="Heading3"/>
      </w:pPr>
      <w:bookmarkStart w:id="45" w:name="_Toc247691514"/>
      <w:bookmarkStart w:id="46" w:name="_Toc314842498"/>
      <w:bookmarkStart w:id="47" w:name="_Toc375119718"/>
      <w:r>
        <w:t>Toxicology</w:t>
      </w:r>
      <w:bookmarkEnd w:id="45"/>
      <w:bookmarkEnd w:id="46"/>
      <w:bookmarkEnd w:id="47"/>
    </w:p>
    <w:p w:rsidR="004C11B0" w:rsidRPr="004C11B0" w:rsidRDefault="001B7354" w:rsidP="00901136">
      <w:pPr>
        <w:pStyle w:val="Heading4"/>
      </w:pPr>
      <w:bookmarkStart w:id="48" w:name="_Toc294861727"/>
      <w:r>
        <w:t xml:space="preserve">Single </w:t>
      </w:r>
      <w:r w:rsidR="004C11B0" w:rsidRPr="004C11B0">
        <w:t>dose toxicity</w:t>
      </w:r>
      <w:bookmarkEnd w:id="48"/>
      <w:r w:rsidR="007B631B">
        <w:t>:</w:t>
      </w:r>
      <w:r w:rsidR="00EB3A88">
        <w:t xml:space="preserve"> a</w:t>
      </w:r>
      <w:r w:rsidR="004C11B0" w:rsidRPr="004C11B0">
        <w:t>dult rabbits</w:t>
      </w:r>
    </w:p>
    <w:p w:rsidR="004C11B0" w:rsidRPr="002F2F8B" w:rsidRDefault="004C11B0" w:rsidP="00901136">
      <w:r w:rsidRPr="002F2F8B">
        <w:t>A single</w:t>
      </w:r>
      <w:r w:rsidR="001B7354">
        <w:t xml:space="preserve"> </w:t>
      </w:r>
      <w:r w:rsidRPr="002F2F8B">
        <w:t xml:space="preserve">dose toxicity study was submitted investigating the effect of </w:t>
      </w:r>
      <w:proofErr w:type="spellStart"/>
      <w:r w:rsidRPr="002F2F8B">
        <w:t>MenACWY</w:t>
      </w:r>
      <w:proofErr w:type="spellEnd"/>
      <w:r w:rsidRPr="002F2F8B">
        <w:t xml:space="preserve">-TT candidate vaccine on local </w:t>
      </w:r>
      <w:proofErr w:type="spellStart"/>
      <w:r w:rsidRPr="002F2F8B">
        <w:t>reactogenicity</w:t>
      </w:r>
      <w:proofErr w:type="spellEnd"/>
      <w:r w:rsidRPr="002F2F8B">
        <w:t xml:space="preserve"> in adult rabbits. The vaccine was administered IM, which is the suggested clinical route of administration, with treatments equivalent to the full human dose (0.5 </w:t>
      </w:r>
      <w:proofErr w:type="spellStart"/>
      <w:r w:rsidRPr="002F2F8B">
        <w:t>mL</w:t>
      </w:r>
      <w:proofErr w:type="spellEnd"/>
      <w:r w:rsidRPr="002F2F8B">
        <w:t>/injection; 0.2272 </w:t>
      </w:r>
      <w:proofErr w:type="spellStart"/>
      <w:r w:rsidRPr="002F2F8B">
        <w:t>mL</w:t>
      </w:r>
      <w:proofErr w:type="spellEnd"/>
      <w:r w:rsidRPr="002F2F8B">
        <w:t xml:space="preserve">/kg based on a 2.2 kg rabbit). The doses administered to rabbits for this study were </w:t>
      </w:r>
      <w:r w:rsidR="00BD0695">
        <w:t xml:space="preserve">approximately </w:t>
      </w:r>
      <w:r w:rsidRPr="002F2F8B">
        <w:t>32</w:t>
      </w:r>
      <w:r w:rsidRPr="002F2F8B">
        <w:noBreakHyphen/>
        <w:t>fold higher than the intended clinical dose relative to body weight based on a 70 kg adult human (0.5 </w:t>
      </w:r>
      <w:proofErr w:type="spellStart"/>
      <w:r w:rsidRPr="002F2F8B">
        <w:t>m</w:t>
      </w:r>
      <w:r w:rsidR="00BD0695">
        <w:t>L</w:t>
      </w:r>
      <w:proofErr w:type="spellEnd"/>
      <w:r w:rsidR="00BD0695">
        <w:t>/injection; 0.0071 </w:t>
      </w:r>
      <w:proofErr w:type="spellStart"/>
      <w:r w:rsidR="00BD0695">
        <w:t>mL</w:t>
      </w:r>
      <w:proofErr w:type="spellEnd"/>
      <w:r w:rsidR="00BD0695">
        <w:t xml:space="preserve">/kg) and about </w:t>
      </w:r>
      <w:r w:rsidRPr="002F2F8B">
        <w:t xml:space="preserve">4.5-fold higher </w:t>
      </w:r>
      <w:r w:rsidR="00EB3A88">
        <w:t xml:space="preserve">than </w:t>
      </w:r>
      <w:r w:rsidRPr="002F2F8B">
        <w:t xml:space="preserve">for </w:t>
      </w:r>
      <w:r w:rsidR="00EB3A88">
        <w:t xml:space="preserve">a </w:t>
      </w:r>
      <w:r w:rsidRPr="002F2F8B">
        <w:t>12 m</w:t>
      </w:r>
      <w:r w:rsidR="00BD0695">
        <w:t xml:space="preserve">onth old human infant weighing </w:t>
      </w:r>
      <w:r w:rsidRPr="002F2F8B">
        <w:t>10 kg (0.5 </w:t>
      </w:r>
      <w:proofErr w:type="spellStart"/>
      <w:r w:rsidRPr="002F2F8B">
        <w:t>mL</w:t>
      </w:r>
      <w:proofErr w:type="spellEnd"/>
      <w:r w:rsidRPr="002F2F8B">
        <w:t>/injection; 0.05 </w:t>
      </w:r>
      <w:proofErr w:type="spellStart"/>
      <w:r w:rsidRPr="002F2F8B">
        <w:t>mL</w:t>
      </w:r>
      <w:proofErr w:type="spellEnd"/>
      <w:r w:rsidRPr="002F2F8B">
        <w:t xml:space="preserve">/kg). A minimum number of animals per sex per group (3 animals) for each treatment were used for this study, which is a satisfactory number for the intended investigation. Results showed no treatment related clinical signs, body weight </w:t>
      </w:r>
      <w:r w:rsidR="00BD0695">
        <w:t xml:space="preserve">changes </w:t>
      </w:r>
      <w:r w:rsidRPr="002F2F8B">
        <w:t>or local reaction</w:t>
      </w:r>
      <w:r w:rsidR="00BD0695">
        <w:t>s</w:t>
      </w:r>
      <w:r w:rsidRPr="002F2F8B">
        <w:t xml:space="preserve"> at the injection site. Therefore, there was no acute or local toxicity of the candidate vaccine via the clinical route.</w:t>
      </w:r>
    </w:p>
    <w:p w:rsidR="004C11B0" w:rsidRPr="004C11B0" w:rsidRDefault="001B7354" w:rsidP="00163474">
      <w:pPr>
        <w:pStyle w:val="Heading4"/>
      </w:pPr>
      <w:bookmarkStart w:id="49" w:name="_Toc294861728"/>
      <w:r>
        <w:t xml:space="preserve">Repeat </w:t>
      </w:r>
      <w:r w:rsidR="004C11B0" w:rsidRPr="004C11B0">
        <w:t>dose toxicity</w:t>
      </w:r>
      <w:bookmarkEnd w:id="49"/>
      <w:r w:rsidR="007B631B">
        <w:t>:</w:t>
      </w:r>
      <w:r w:rsidR="009232D3">
        <w:t xml:space="preserve"> a</w:t>
      </w:r>
      <w:r w:rsidR="004C11B0" w:rsidRPr="004C11B0">
        <w:t>dult rabbits</w:t>
      </w:r>
    </w:p>
    <w:p w:rsidR="00BD0695" w:rsidRDefault="004C11B0" w:rsidP="00163474">
      <w:r w:rsidRPr="004C11B0">
        <w:t xml:space="preserve">The sponsor submitted a </w:t>
      </w:r>
      <w:r w:rsidR="00BD0695">
        <w:t>Good Laboratory Practice (</w:t>
      </w:r>
      <w:r w:rsidRPr="004C11B0">
        <w:t>GLP</w:t>
      </w:r>
      <w:r w:rsidR="00BD0695">
        <w:t>)</w:t>
      </w:r>
      <w:r w:rsidR="001B7354">
        <w:t xml:space="preserve">-compliant repeat </w:t>
      </w:r>
      <w:r w:rsidRPr="004C11B0">
        <w:t>dose toxicity study examining</w:t>
      </w:r>
      <w:r w:rsidR="00BD0695">
        <w:t xml:space="preserve"> the local and general toxicity and </w:t>
      </w:r>
      <w:proofErr w:type="spellStart"/>
      <w:r w:rsidRPr="004C11B0">
        <w:t>reactogenicity</w:t>
      </w:r>
      <w:proofErr w:type="spellEnd"/>
      <w:r w:rsidRPr="004C11B0">
        <w:t xml:space="preserve"> of the </w:t>
      </w:r>
      <w:proofErr w:type="spellStart"/>
      <w:r w:rsidRPr="004C11B0">
        <w:t>MenACWY</w:t>
      </w:r>
      <w:proofErr w:type="spellEnd"/>
      <w:r w:rsidRPr="004C11B0">
        <w:t xml:space="preserve">-TT candidate vaccine following 5 fortnightly injections in adult rabbits. </w:t>
      </w:r>
      <w:r w:rsidR="001B7354">
        <w:t xml:space="preserve">Animals were injected IM, which is the intended clinical route </w:t>
      </w:r>
      <w:r w:rsidRPr="004C11B0">
        <w:t>of administration, with the full human dose (0.5 </w:t>
      </w:r>
      <w:proofErr w:type="spellStart"/>
      <w:r w:rsidRPr="004C11B0">
        <w:t>mL</w:t>
      </w:r>
      <w:proofErr w:type="spellEnd"/>
      <w:r w:rsidRPr="004C11B0">
        <w:t>/injection; 0.2174 </w:t>
      </w:r>
      <w:proofErr w:type="spellStart"/>
      <w:r w:rsidRPr="004C11B0">
        <w:t>mL</w:t>
      </w:r>
      <w:proofErr w:type="spellEnd"/>
      <w:r w:rsidRPr="004C11B0">
        <w:t>/kg based on a 2.3 kg rabbit).</w:t>
      </w:r>
      <w:r w:rsidR="00BD0695">
        <w:t xml:space="preserve"> The doses for this study were approximately </w:t>
      </w:r>
      <w:r w:rsidRPr="004C11B0">
        <w:t>30</w:t>
      </w:r>
      <w:r w:rsidRPr="004C11B0">
        <w:noBreakHyphen/>
        <w:t>fold higher than the intended clinical dose relative to body weight based on a 70 kg adult human (0.5 </w:t>
      </w:r>
      <w:proofErr w:type="spellStart"/>
      <w:r w:rsidRPr="004C11B0">
        <w:t>m</w:t>
      </w:r>
      <w:r w:rsidR="00BD0695">
        <w:t>L</w:t>
      </w:r>
      <w:proofErr w:type="spellEnd"/>
      <w:r w:rsidR="00BD0695">
        <w:t>/injection; 0.0071 </w:t>
      </w:r>
      <w:proofErr w:type="spellStart"/>
      <w:r w:rsidR="00BD0695">
        <w:t>mL</w:t>
      </w:r>
      <w:proofErr w:type="spellEnd"/>
      <w:r w:rsidR="00BD0695">
        <w:t xml:space="preserve">/kg) and about </w:t>
      </w:r>
      <w:r w:rsidRPr="004C11B0">
        <w:t xml:space="preserve">4.3-fold higher </w:t>
      </w:r>
      <w:r w:rsidR="009509C5">
        <w:t xml:space="preserve">than that </w:t>
      </w:r>
      <w:r w:rsidRPr="004C11B0">
        <w:t>for 12 month old human infant weighing</w:t>
      </w:r>
      <w:r w:rsidR="00BD0695">
        <w:t xml:space="preserve"> </w:t>
      </w:r>
      <w:r w:rsidRPr="004C11B0">
        <w:t>10 kg (0.5 </w:t>
      </w:r>
      <w:proofErr w:type="spellStart"/>
      <w:r w:rsidRPr="004C11B0">
        <w:t>mL</w:t>
      </w:r>
      <w:proofErr w:type="spellEnd"/>
      <w:r w:rsidRPr="004C11B0">
        <w:t>/injection; 0.05 </w:t>
      </w:r>
      <w:proofErr w:type="spellStart"/>
      <w:r w:rsidRPr="004C11B0">
        <w:t>mL</w:t>
      </w:r>
      <w:proofErr w:type="spellEnd"/>
      <w:r w:rsidRPr="004C11B0">
        <w:t xml:space="preserve">/kg). </w:t>
      </w:r>
    </w:p>
    <w:p w:rsidR="00BD0695" w:rsidRDefault="004C11B0" w:rsidP="00163474">
      <w:r w:rsidRPr="00BD0695">
        <w:t>The study used an adequate number of animals (5 per sex per treatment group) and was of sufficient duration with animals sacrificed either 3 or 28 days after the 5</w:t>
      </w:r>
      <w:r w:rsidRPr="00BD0695">
        <w:rPr>
          <w:vertAlign w:val="superscript"/>
        </w:rPr>
        <w:t>th</w:t>
      </w:r>
      <w:r w:rsidR="00BD0695">
        <w:t xml:space="preserve"> </w:t>
      </w:r>
      <w:r w:rsidRPr="00BD0695">
        <w:t xml:space="preserve">vaccine dose. Clinical observations were recorded (injection site examined 3, 24 and 48 h after dose administration) and compared to the control group. The study was in accordance with the </w:t>
      </w:r>
      <w:r w:rsidR="00BD0695" w:rsidRPr="00BD0695">
        <w:t xml:space="preserve">relevant </w:t>
      </w:r>
      <w:r w:rsidRPr="00BD0695">
        <w:t xml:space="preserve">WHO and EMA guidelines. </w:t>
      </w:r>
    </w:p>
    <w:p w:rsidR="00BD0695" w:rsidRDefault="004C11B0" w:rsidP="00163474">
      <w:r w:rsidRPr="00BD0695">
        <w:t>Very slight to slight inflammation was revealed at the injection site after microscopic examination post 5</w:t>
      </w:r>
      <w:r w:rsidRPr="00BD0695">
        <w:rPr>
          <w:vertAlign w:val="superscript"/>
        </w:rPr>
        <w:t>th</w:t>
      </w:r>
      <w:r w:rsidR="00BD0695">
        <w:t xml:space="preserve"> </w:t>
      </w:r>
      <w:r w:rsidRPr="00BD0695">
        <w:t xml:space="preserve">dose but </w:t>
      </w:r>
      <w:r w:rsidR="00BD0695">
        <w:t xml:space="preserve">was </w:t>
      </w:r>
      <w:r w:rsidRPr="00BD0695">
        <w:t xml:space="preserve">found to be reversible after 28 days </w:t>
      </w:r>
      <w:proofErr w:type="spellStart"/>
      <w:r w:rsidRPr="00BD0695">
        <w:t>post</w:t>
      </w:r>
      <w:r w:rsidRPr="00BD0695">
        <w:noBreakHyphen/>
        <w:t>dose</w:t>
      </w:r>
      <w:proofErr w:type="spellEnd"/>
      <w:r w:rsidRPr="00BD0695">
        <w:t>. Study results found no distinct treatment-related changes in general and local clinical signs, ophthalmo</w:t>
      </w:r>
      <w:r w:rsidR="00BD0695">
        <w:t>logy</w:t>
      </w:r>
      <w:r w:rsidRPr="00BD0695">
        <w:t xml:space="preserve">, body weight, food intake, rectal body temperature, haematology, blood chemistry and organ weights. </w:t>
      </w:r>
    </w:p>
    <w:p w:rsidR="004C11B0" w:rsidRPr="00BD0695" w:rsidRDefault="004C11B0" w:rsidP="00163474">
      <w:r w:rsidRPr="00BD0695">
        <w:lastRenderedPageBreak/>
        <w:t>O</w:t>
      </w:r>
      <w:r w:rsidR="00BD0695">
        <w:t xml:space="preserve">verall, the study showed that 5 </w:t>
      </w:r>
      <w:r w:rsidRPr="00BD0695">
        <w:t xml:space="preserve">fortnightly IM doses of </w:t>
      </w:r>
      <w:proofErr w:type="spellStart"/>
      <w:r w:rsidRPr="00BD0695">
        <w:t>MenACWY</w:t>
      </w:r>
      <w:proofErr w:type="spellEnd"/>
      <w:r w:rsidRPr="00BD0695">
        <w:t xml:space="preserve">-TT candidate vaccine with a 28 day observation period produced only very slight to slight inflammation at the injection site that was reversible after 28 days. </w:t>
      </w:r>
    </w:p>
    <w:p w:rsidR="004C11B0" w:rsidRPr="004C11B0" w:rsidRDefault="004C11B0" w:rsidP="00163474">
      <w:pPr>
        <w:pStyle w:val="Heading4"/>
      </w:pPr>
      <w:r w:rsidRPr="004C11B0">
        <w:t>Reproductive toxicity</w:t>
      </w:r>
    </w:p>
    <w:p w:rsidR="004C11B0" w:rsidRPr="00BD0695" w:rsidRDefault="004C11B0" w:rsidP="00163474">
      <w:r w:rsidRPr="00BD0695">
        <w:t xml:space="preserve">Since </w:t>
      </w:r>
      <w:proofErr w:type="spellStart"/>
      <w:r w:rsidRPr="00BD0695">
        <w:t>Nimenrix</w:t>
      </w:r>
      <w:proofErr w:type="spellEnd"/>
      <w:r w:rsidRPr="00BD0695">
        <w:t xml:space="preserve"> is proposed to be used for the active immunisation of individuals from the age of 12 months through to 55 years against meningococcal disease, a reproductive toxicity study was submitted that examine the effects of the final </w:t>
      </w:r>
      <w:proofErr w:type="spellStart"/>
      <w:r w:rsidRPr="00BD0695">
        <w:t>MenACWY</w:t>
      </w:r>
      <w:r w:rsidRPr="00BD0695">
        <w:noBreakHyphen/>
        <w:t>TT</w:t>
      </w:r>
      <w:proofErr w:type="spellEnd"/>
      <w:r w:rsidRPr="00BD0695">
        <w:t xml:space="preserve"> vaccine formulation on immune responses in pregnant female rats, female fertility, embryo-</w:t>
      </w:r>
      <w:proofErr w:type="spellStart"/>
      <w:r w:rsidRPr="00BD0695">
        <w:t>fetal</w:t>
      </w:r>
      <w:proofErr w:type="spellEnd"/>
      <w:r w:rsidRPr="00BD0695">
        <w:t xml:space="preserve"> development, </w:t>
      </w:r>
      <w:r w:rsidR="00BD0695">
        <w:t xml:space="preserve">and </w:t>
      </w:r>
      <w:r w:rsidRPr="00BD0695">
        <w:t>pre- and post-natal development. Appropriate group sizes of animals (48 female rats per treatment grou</w:t>
      </w:r>
      <w:r w:rsidR="00BD0695">
        <w:t xml:space="preserve">p) were used for the study. </w:t>
      </w:r>
      <w:r w:rsidRPr="00BD0695">
        <w:t xml:space="preserve">Female </w:t>
      </w:r>
      <w:proofErr w:type="spellStart"/>
      <w:r w:rsidRPr="00BD0695">
        <w:t>Wistar</w:t>
      </w:r>
      <w:proofErr w:type="spellEnd"/>
      <w:r w:rsidRPr="00BD0695">
        <w:t xml:space="preserve"> rats were inoculated </w:t>
      </w:r>
      <w:r w:rsidR="00BD0695" w:rsidRPr="00BD0695">
        <w:t xml:space="preserve">IM </w:t>
      </w:r>
      <w:r w:rsidRPr="00BD0695">
        <w:t xml:space="preserve">pre-mating, </w:t>
      </w:r>
      <w:r w:rsidRPr="004C11B0">
        <w:t xml:space="preserve">throughout </w:t>
      </w:r>
      <w:r w:rsidRPr="00BD0695">
        <w:t xml:space="preserve">gestation and lactation with either </w:t>
      </w:r>
      <w:proofErr w:type="spellStart"/>
      <w:r w:rsidRPr="00BD0695">
        <w:t>MenACWY</w:t>
      </w:r>
      <w:r w:rsidRPr="00BD0695">
        <w:noBreakHyphen/>
        <w:t>TT</w:t>
      </w:r>
      <w:proofErr w:type="spellEnd"/>
      <w:r w:rsidRPr="00BD0695">
        <w:t xml:space="preserve"> (200 µL dose) or saline, with half the females from each treatment group sacrificed on </w:t>
      </w:r>
      <w:r w:rsidR="00BD0695">
        <w:t>gestation day (</w:t>
      </w:r>
      <w:r w:rsidRPr="00BD0695">
        <w:t>GD</w:t>
      </w:r>
      <w:r w:rsidR="00BD0695">
        <w:t xml:space="preserve">) </w:t>
      </w:r>
      <w:r w:rsidRPr="00BD0695">
        <w:t xml:space="preserve">21 and </w:t>
      </w:r>
      <w:proofErr w:type="spellStart"/>
      <w:r w:rsidRPr="00BD0695">
        <w:t>necropsied</w:t>
      </w:r>
      <w:proofErr w:type="spellEnd"/>
      <w:r w:rsidRPr="00BD0695">
        <w:t>. The remainder of the females were allowed to litter and raise pups until weaning prior</w:t>
      </w:r>
      <w:r w:rsidR="00BD0695">
        <w:t xml:space="preserve"> to sacrifice and examination. The study complied with EM</w:t>
      </w:r>
      <w:r w:rsidRPr="00BD0695">
        <w:t xml:space="preserve">A </w:t>
      </w:r>
      <w:r w:rsidR="00BD0695" w:rsidRPr="00BD0695">
        <w:rPr>
          <w:i/>
          <w:iCs/>
        </w:rPr>
        <w:t>Note for Guidance on Preclinical Pharmacological and Toxicological Testing of Vaccines</w:t>
      </w:r>
      <w:r w:rsidR="00BD0695" w:rsidRPr="00BD0695">
        <w:t xml:space="preserve"> (CPMP/SWP/465/95)</w:t>
      </w:r>
      <w:r w:rsidRPr="00BD0695">
        <w:t>. The dams and their offspring were exposed to circulating anti-</w:t>
      </w:r>
      <w:r w:rsidR="00DD27A5">
        <w:t>c</w:t>
      </w:r>
      <w:r w:rsidR="00BD0695" w:rsidRPr="00BD0695">
        <w:t xml:space="preserve">apsular </w:t>
      </w:r>
      <w:r w:rsidR="00C132F2">
        <w:t xml:space="preserve">PS </w:t>
      </w:r>
      <w:r w:rsidR="00BD0695" w:rsidRPr="00BD0695">
        <w:t xml:space="preserve">of </w:t>
      </w:r>
      <w:r w:rsidR="00BD0695" w:rsidRPr="00DD27A5">
        <w:rPr>
          <w:i/>
          <w:iCs/>
        </w:rPr>
        <w:t>N</w:t>
      </w:r>
      <w:r w:rsidR="00DD27A5">
        <w:rPr>
          <w:i/>
          <w:iCs/>
        </w:rPr>
        <w:t xml:space="preserve">. </w:t>
      </w:r>
      <w:proofErr w:type="spellStart"/>
      <w:r w:rsidR="00BD0695" w:rsidRPr="00DD27A5">
        <w:rPr>
          <w:i/>
          <w:iCs/>
        </w:rPr>
        <w:t>meningitidis</w:t>
      </w:r>
      <w:proofErr w:type="spellEnd"/>
      <w:r w:rsidR="00BD0695" w:rsidRPr="00BD0695">
        <w:t xml:space="preserve"> </w:t>
      </w:r>
      <w:proofErr w:type="spellStart"/>
      <w:r w:rsidR="00BD0695" w:rsidRPr="00BD0695">
        <w:t>serogroup</w:t>
      </w:r>
      <w:proofErr w:type="spellEnd"/>
      <w:r w:rsidR="00BD0695" w:rsidRPr="00BD0695">
        <w:t xml:space="preserve"> C </w:t>
      </w:r>
      <w:r w:rsidRPr="00BD0695">
        <w:t xml:space="preserve">antibodies during gestation and lactation. </w:t>
      </w:r>
      <w:r w:rsidR="009509C5">
        <w:t>There were n</w:t>
      </w:r>
      <w:r w:rsidRPr="00BD0695">
        <w:t xml:space="preserve">o observed treatment-related effects from </w:t>
      </w:r>
      <w:proofErr w:type="spellStart"/>
      <w:r w:rsidRPr="00BD0695">
        <w:t>MenACWY</w:t>
      </w:r>
      <w:r w:rsidRPr="00BD0695">
        <w:noBreakHyphen/>
        <w:t>TT</w:t>
      </w:r>
      <w:proofErr w:type="spellEnd"/>
      <w:r w:rsidRPr="00BD0695">
        <w:t xml:space="preserve"> candidate vaccine administration on maternal </w:t>
      </w:r>
      <w:r w:rsidR="009509C5">
        <w:t xml:space="preserve">parameters or </w:t>
      </w:r>
      <w:r w:rsidRPr="00BD0695">
        <w:t xml:space="preserve">pre- and post-natal development in rats. </w:t>
      </w:r>
    </w:p>
    <w:p w:rsidR="004C11B0" w:rsidRPr="004C11B0" w:rsidRDefault="004C11B0" w:rsidP="00163474">
      <w:pPr>
        <w:pStyle w:val="Heading5"/>
      </w:pPr>
      <w:r w:rsidRPr="004C11B0">
        <w:t>Pregnancy classification</w:t>
      </w:r>
    </w:p>
    <w:p w:rsidR="004C11B0" w:rsidRPr="004C11B0" w:rsidRDefault="004C11B0" w:rsidP="00163474">
      <w:r w:rsidRPr="004C11B0">
        <w:t xml:space="preserve">The proposed </w:t>
      </w:r>
      <w:r w:rsidR="00DD27A5">
        <w:t xml:space="preserve">use in </w:t>
      </w:r>
      <w:r w:rsidRPr="004C11B0">
        <w:t>Pregnancy Category B2</w:t>
      </w:r>
      <w:r w:rsidR="00DD27A5">
        <w:rPr>
          <w:rStyle w:val="FootnoteReference"/>
        </w:rPr>
        <w:footnoteReference w:id="4"/>
      </w:r>
      <w:r w:rsidRPr="004C11B0">
        <w:t xml:space="preserve"> is considered appropriate for this product. There was only one reproductive and developmental animal study submitted </w:t>
      </w:r>
      <w:r w:rsidR="00DD27A5">
        <w:t xml:space="preserve">but </w:t>
      </w:r>
      <w:r w:rsidRPr="004C11B0">
        <w:t>the EMA guidelines do not specifically require two species for developmental toxicity studies for vaccines. The data from this sing</w:t>
      </w:r>
      <w:r w:rsidR="009509C5">
        <w:t xml:space="preserve">le </w:t>
      </w:r>
      <w:r w:rsidRPr="004C11B0">
        <w:t xml:space="preserve">study showed no evidence of an increased occurrence of </w:t>
      </w:r>
      <w:proofErr w:type="spellStart"/>
      <w:r w:rsidRPr="004C11B0">
        <w:t>fetal</w:t>
      </w:r>
      <w:proofErr w:type="spellEnd"/>
      <w:r w:rsidRPr="004C11B0">
        <w:t xml:space="preserve"> damage.</w:t>
      </w:r>
    </w:p>
    <w:p w:rsidR="004C11B0" w:rsidRPr="00163474" w:rsidRDefault="00163474" w:rsidP="00163474">
      <w:pPr>
        <w:pStyle w:val="Heading4"/>
      </w:pPr>
      <w:r>
        <w:t>Paediatric use</w:t>
      </w:r>
    </w:p>
    <w:p w:rsidR="004C11B0" w:rsidRPr="007B631B" w:rsidRDefault="004C11B0" w:rsidP="00163474">
      <w:r w:rsidRPr="007B631B">
        <w:t>The vaccine is proposed for use in children from 12 months of age however no toxicity studies were conducted i</w:t>
      </w:r>
      <w:r w:rsidR="001B7354">
        <w:t xml:space="preserve">n infant animals. In the single </w:t>
      </w:r>
      <w:r w:rsidRPr="007B631B">
        <w:t>dose toxicity study, in both male and female adult rabbits, the vaccine was administered IM with treatments equivalent to the full human dose (0.5 </w:t>
      </w:r>
      <w:proofErr w:type="spellStart"/>
      <w:r w:rsidRPr="007B631B">
        <w:t>mL</w:t>
      </w:r>
      <w:proofErr w:type="spellEnd"/>
      <w:r w:rsidRPr="007B631B">
        <w:t>/injection; 0.2272 </w:t>
      </w:r>
      <w:proofErr w:type="spellStart"/>
      <w:r w:rsidRPr="007B631B">
        <w:t>mL</w:t>
      </w:r>
      <w:proofErr w:type="spellEnd"/>
      <w:r w:rsidRPr="007B631B">
        <w:t>/kg based on a 2</w:t>
      </w:r>
      <w:r w:rsidR="007B631B" w:rsidRPr="007B631B">
        <w:t xml:space="preserve">.2 kg rabbit). This dosage was about </w:t>
      </w:r>
      <w:r w:rsidRPr="007B631B">
        <w:t>4.5-fold higher than for a 12 m</w:t>
      </w:r>
      <w:r w:rsidR="007B631B" w:rsidRPr="007B631B">
        <w:t xml:space="preserve">onth old human infant weighing </w:t>
      </w:r>
      <w:r w:rsidRPr="007B631B">
        <w:t>10 kg (0.5 </w:t>
      </w:r>
      <w:proofErr w:type="spellStart"/>
      <w:r w:rsidRPr="007B631B">
        <w:t>mL</w:t>
      </w:r>
      <w:proofErr w:type="spellEnd"/>
      <w:r w:rsidRPr="007B631B">
        <w:t>/inj</w:t>
      </w:r>
      <w:r w:rsidR="001B7354">
        <w:t>ection; 0.05 </w:t>
      </w:r>
      <w:proofErr w:type="spellStart"/>
      <w:r w:rsidR="001B7354">
        <w:t>mL</w:t>
      </w:r>
      <w:proofErr w:type="spellEnd"/>
      <w:r w:rsidR="001B7354">
        <w:t xml:space="preserve">/kg). The repeat </w:t>
      </w:r>
      <w:r w:rsidRPr="007B631B">
        <w:t xml:space="preserve">dose toxicity study administered the full human </w:t>
      </w:r>
      <w:r w:rsidR="007B631B" w:rsidRPr="007B631B">
        <w:t xml:space="preserve">IM </w:t>
      </w:r>
      <w:r w:rsidRPr="007B631B">
        <w:t>dose (0.5 ml/injection; 0.2174 </w:t>
      </w:r>
      <w:proofErr w:type="spellStart"/>
      <w:r w:rsidRPr="007B631B">
        <w:t>mL</w:t>
      </w:r>
      <w:proofErr w:type="spellEnd"/>
      <w:r w:rsidRPr="007B631B">
        <w:t>/kg base</w:t>
      </w:r>
      <w:r w:rsidR="007B631B" w:rsidRPr="007B631B">
        <w:t xml:space="preserve">d on a 2.3 kg rabbit) which is approximately </w:t>
      </w:r>
      <w:r w:rsidRPr="007B631B">
        <w:t>4.3-fold higher than for a 12 month old infant. The dose multiple i</w:t>
      </w:r>
      <w:r w:rsidR="007B631B" w:rsidRPr="007B631B">
        <w:t xml:space="preserve">n both studies was sufficient, </w:t>
      </w:r>
      <w:r w:rsidRPr="007B631B">
        <w:t xml:space="preserve">4.3 to 4.5-fold higher in rabbits, to cover the toxicological effects in a 12 month old human infant. </w:t>
      </w:r>
    </w:p>
    <w:p w:rsidR="004C11B0" w:rsidRPr="00163474" w:rsidRDefault="00C132F2" w:rsidP="00163474">
      <w:pPr>
        <w:pStyle w:val="Heading4"/>
      </w:pPr>
      <w:bookmarkStart w:id="50" w:name="_Toc355187693"/>
      <w:bookmarkStart w:id="51" w:name="_Toc295290868"/>
      <w:r>
        <w:t>Other t</w:t>
      </w:r>
      <w:r w:rsidR="004C11B0" w:rsidRPr="004C11B0">
        <w:t xml:space="preserve">oxicity </w:t>
      </w:r>
      <w:r>
        <w:t>s</w:t>
      </w:r>
      <w:r w:rsidR="004C11B0" w:rsidRPr="004C11B0">
        <w:t>tudies</w:t>
      </w:r>
      <w:r w:rsidR="007B631B">
        <w:t>:</w:t>
      </w:r>
      <w:r w:rsidR="009509C5">
        <w:t xml:space="preserve"> r</w:t>
      </w:r>
      <w:r w:rsidR="004C11B0" w:rsidRPr="004C11B0">
        <w:t>esiduals</w:t>
      </w:r>
      <w:bookmarkEnd w:id="50"/>
    </w:p>
    <w:p w:rsidR="007B631B" w:rsidRPr="004C11B0" w:rsidRDefault="007B631B" w:rsidP="00163474">
      <w:r>
        <w:t>R</w:t>
      </w:r>
      <w:r w:rsidR="004C11B0" w:rsidRPr="004C11B0">
        <w:t xml:space="preserve">esults from </w:t>
      </w:r>
      <w:r>
        <w:t xml:space="preserve">submitted nonclinical studies </w:t>
      </w:r>
      <w:r w:rsidR="004C11B0" w:rsidRPr="004C11B0">
        <w:t xml:space="preserve">indicate that </w:t>
      </w:r>
      <w:r>
        <w:t xml:space="preserve">levels of two specific residuals </w:t>
      </w:r>
      <w:r w:rsidRPr="004C11B0">
        <w:t xml:space="preserve">in the final vaccine formulation </w:t>
      </w:r>
      <w:r>
        <w:t>present</w:t>
      </w:r>
      <w:r w:rsidRPr="004C11B0">
        <w:t xml:space="preserve"> no toxicological hazard to vaccinated subjects. </w:t>
      </w:r>
    </w:p>
    <w:p w:rsidR="004C11B0" w:rsidRPr="004C11B0" w:rsidRDefault="00C132F2" w:rsidP="00163474">
      <w:pPr>
        <w:pStyle w:val="Heading4"/>
      </w:pPr>
      <w:bookmarkStart w:id="52" w:name="_Toc355187694"/>
      <w:r>
        <w:lastRenderedPageBreak/>
        <w:t xml:space="preserve">Comments on the </w:t>
      </w:r>
      <w:r w:rsidR="00C6553C">
        <w:t>s</w:t>
      </w:r>
      <w:r w:rsidR="004C11B0" w:rsidRPr="004C11B0">
        <w:t xml:space="preserve">afety </w:t>
      </w:r>
      <w:r w:rsidR="00C6553C">
        <w:t>s</w:t>
      </w:r>
      <w:r w:rsidR="004C11B0" w:rsidRPr="004C11B0">
        <w:t xml:space="preserve">pecification of the </w:t>
      </w:r>
      <w:r w:rsidR="00C6553C">
        <w:t>r</w:t>
      </w:r>
      <w:r w:rsidR="004C11B0" w:rsidRPr="004C11B0">
        <w:t xml:space="preserve">isk </w:t>
      </w:r>
      <w:r w:rsidR="00C6553C">
        <w:t>m</w:t>
      </w:r>
      <w:r w:rsidR="004C11B0" w:rsidRPr="004C11B0">
        <w:t xml:space="preserve">anagement </w:t>
      </w:r>
      <w:r w:rsidR="00C6553C">
        <w:t>p</w:t>
      </w:r>
      <w:r w:rsidR="004C11B0" w:rsidRPr="004C11B0">
        <w:t>lan</w:t>
      </w:r>
      <w:bookmarkEnd w:id="51"/>
      <w:bookmarkEnd w:id="52"/>
    </w:p>
    <w:p w:rsidR="004C11B0" w:rsidRPr="004C11B0" w:rsidRDefault="004C11B0" w:rsidP="00A51259">
      <w:r w:rsidRPr="004C11B0">
        <w:t>There have been no nonclinical safety concerns that have been identified in the assessm</w:t>
      </w:r>
      <w:r w:rsidR="007B631B">
        <w:t xml:space="preserve">ent of </w:t>
      </w:r>
      <w:proofErr w:type="spellStart"/>
      <w:r w:rsidR="007B631B">
        <w:t>MenACWY</w:t>
      </w:r>
      <w:r w:rsidR="007B631B">
        <w:noBreakHyphen/>
        <w:t>TT</w:t>
      </w:r>
      <w:proofErr w:type="spellEnd"/>
      <w:r w:rsidR="007B631B">
        <w:t xml:space="preserve"> vaccine. The n</w:t>
      </w:r>
      <w:r w:rsidRPr="004C11B0">
        <w:t>onclinical Safety Specification of the Risk Management Plan was generally consistent with those of the nonclinical evaluator.</w:t>
      </w:r>
    </w:p>
    <w:p w:rsidR="008E7846" w:rsidRPr="001A1823" w:rsidRDefault="008E7846" w:rsidP="00A51259">
      <w:pPr>
        <w:pStyle w:val="Heading3"/>
      </w:pPr>
      <w:bookmarkStart w:id="53" w:name="_Toc247691515"/>
      <w:bookmarkStart w:id="54" w:name="_Toc314842499"/>
      <w:bookmarkStart w:id="55" w:name="_Toc375119719"/>
      <w:r w:rsidRPr="001A1823">
        <w:t>Nonclinical summary and conclusions</w:t>
      </w:r>
      <w:bookmarkEnd w:id="53"/>
      <w:bookmarkEnd w:id="54"/>
      <w:bookmarkEnd w:id="55"/>
    </w:p>
    <w:p w:rsidR="004C11B0" w:rsidRPr="004C11B0" w:rsidRDefault="004C11B0" w:rsidP="00A51259">
      <w:pPr>
        <w:pStyle w:val="ListBullet"/>
      </w:pPr>
      <w:r w:rsidRPr="004C11B0">
        <w:t>The nonclinical data submitted by the sponsor included immunogenicity studies conducted in mice and rabbits using meningococcal conjugates, with and without spacer, as well as the</w:t>
      </w:r>
      <w:r w:rsidR="007B631B">
        <w:t xml:space="preserve"> final </w:t>
      </w:r>
      <w:proofErr w:type="spellStart"/>
      <w:r w:rsidR="007B631B">
        <w:t>MenACWY</w:t>
      </w:r>
      <w:proofErr w:type="spellEnd"/>
      <w:r w:rsidR="007B631B">
        <w:t xml:space="preserve">-TT formulation. </w:t>
      </w:r>
      <w:r w:rsidRPr="004C11B0">
        <w:t xml:space="preserve">The nonclinical studies submitted led to the selection of the dose of </w:t>
      </w:r>
      <w:r w:rsidR="00C132F2">
        <w:t xml:space="preserve">PS </w:t>
      </w:r>
      <w:r w:rsidRPr="004C11B0">
        <w:t xml:space="preserve">and conjugation methodologies of the </w:t>
      </w:r>
      <w:proofErr w:type="spellStart"/>
      <w:r w:rsidRPr="004C11B0">
        <w:t>MenACWY</w:t>
      </w:r>
      <w:proofErr w:type="spellEnd"/>
      <w:r w:rsidRPr="004C11B0">
        <w:t xml:space="preserve">-TT vaccine for clinical use. </w:t>
      </w:r>
    </w:p>
    <w:p w:rsidR="004C11B0" w:rsidRPr="004C11B0" w:rsidRDefault="007B631B" w:rsidP="00A51259">
      <w:pPr>
        <w:pStyle w:val="ListBullet"/>
      </w:pPr>
      <w:r>
        <w:t>I</w:t>
      </w:r>
      <w:r w:rsidRPr="007B631B">
        <w:t xml:space="preserve">n primary pharmacology studies </w:t>
      </w:r>
      <w:r>
        <w:t>t</w:t>
      </w:r>
      <w:r w:rsidR="004C11B0" w:rsidRPr="004C11B0">
        <w:t>he route of administration for mice was SC (</w:t>
      </w:r>
      <w:r w:rsidR="00C976BD">
        <w:t xml:space="preserve">one tenth </w:t>
      </w:r>
      <w:r>
        <w:t xml:space="preserve">of the human dose) </w:t>
      </w:r>
      <w:r w:rsidR="004C11B0" w:rsidRPr="004C11B0">
        <w:t>and IM for rabbits (the clinical route of administration and the fu</w:t>
      </w:r>
      <w:r>
        <w:t>ll human dose was administered).</w:t>
      </w:r>
      <w:r w:rsidR="004C11B0" w:rsidRPr="004C11B0">
        <w:t xml:space="preserve"> </w:t>
      </w:r>
    </w:p>
    <w:p w:rsidR="004C11B0" w:rsidRPr="004C11B0" w:rsidRDefault="004C11B0" w:rsidP="00A51259">
      <w:pPr>
        <w:pStyle w:val="ListBullet"/>
      </w:pPr>
      <w:r w:rsidRPr="004C11B0">
        <w:t xml:space="preserve">Efficacy was not tested directly due to the lack of animal models of infection for </w:t>
      </w:r>
      <w:proofErr w:type="spellStart"/>
      <w:r w:rsidRPr="004C11B0">
        <w:rPr>
          <w:i/>
        </w:rPr>
        <w:t>Neisseria</w:t>
      </w:r>
      <w:proofErr w:type="spellEnd"/>
      <w:r w:rsidRPr="004C11B0">
        <w:t xml:space="preserve">, a human-specific pathogen. Therefore, bactericidal activity was used as a surrogate. Immunogenicity studies in mice and rabbits using meningococcal conjugates, as well as the final combined </w:t>
      </w:r>
      <w:proofErr w:type="spellStart"/>
      <w:r w:rsidRPr="004C11B0">
        <w:t>MenACWY</w:t>
      </w:r>
      <w:proofErr w:type="spellEnd"/>
      <w:r w:rsidRPr="004C11B0">
        <w:t xml:space="preserve">-TT formulation significantly induced the production of bactericidal antibodies against capsular </w:t>
      </w:r>
      <w:r w:rsidR="00C132F2">
        <w:t xml:space="preserve">PS </w:t>
      </w:r>
      <w:r w:rsidRPr="004C11B0">
        <w:t xml:space="preserve">of </w:t>
      </w:r>
      <w:proofErr w:type="spellStart"/>
      <w:r w:rsidRPr="004C11B0">
        <w:t>serogroups</w:t>
      </w:r>
      <w:proofErr w:type="spellEnd"/>
      <w:r w:rsidRPr="004C11B0">
        <w:t xml:space="preserve"> A, C, W-135 and Y in comparison to </w:t>
      </w:r>
      <w:proofErr w:type="spellStart"/>
      <w:r w:rsidRPr="004C11B0">
        <w:t>non</w:t>
      </w:r>
      <w:r w:rsidRPr="004C11B0">
        <w:noBreakHyphen/>
        <w:t>conjugated</w:t>
      </w:r>
      <w:proofErr w:type="spellEnd"/>
      <w:r w:rsidRPr="004C11B0">
        <w:t xml:space="preserve"> </w:t>
      </w:r>
      <w:r w:rsidR="00C132F2">
        <w:t>PS</w:t>
      </w:r>
      <w:r w:rsidRPr="004C11B0">
        <w:t xml:space="preserve">. The results suggest that meningococcal conjugate vaccines change the nature of the immune response to the capsular </w:t>
      </w:r>
      <w:r w:rsidR="00C132F2">
        <w:t xml:space="preserve">PS </w:t>
      </w:r>
      <w:r w:rsidRPr="004C11B0">
        <w:t>from T-cell independent to T-cell dependent memory response and therefore increas</w:t>
      </w:r>
      <w:r w:rsidR="009509C5">
        <w:t xml:space="preserve">e </w:t>
      </w:r>
      <w:r w:rsidRPr="004C11B0">
        <w:t xml:space="preserve">the immunogenicity of the vaccine. </w:t>
      </w:r>
    </w:p>
    <w:p w:rsidR="004C11B0" w:rsidRPr="004C11B0" w:rsidRDefault="004C11B0" w:rsidP="007B631B">
      <w:pPr>
        <w:pStyle w:val="ListBullet"/>
      </w:pPr>
      <w:r w:rsidRPr="004C11B0">
        <w:t xml:space="preserve">The addition of the AH spacer to the </w:t>
      </w:r>
      <w:proofErr w:type="spellStart"/>
      <w:r w:rsidRPr="004C11B0">
        <w:t>MenA</w:t>
      </w:r>
      <w:proofErr w:type="spellEnd"/>
      <w:r w:rsidRPr="004C11B0">
        <w:t xml:space="preserve"> and </w:t>
      </w:r>
      <w:proofErr w:type="spellStart"/>
      <w:r w:rsidRPr="004C11B0">
        <w:t>MenC</w:t>
      </w:r>
      <w:proofErr w:type="spellEnd"/>
      <w:r w:rsidRPr="004C11B0">
        <w:t xml:space="preserve"> </w:t>
      </w:r>
      <w:r w:rsidR="00C132F2">
        <w:t xml:space="preserve">PS </w:t>
      </w:r>
      <w:r w:rsidRPr="004C11B0">
        <w:t xml:space="preserve">before their conjugation to </w:t>
      </w:r>
      <w:r w:rsidR="003A7CA4">
        <w:t xml:space="preserve">TT </w:t>
      </w:r>
      <w:r w:rsidRPr="004C11B0">
        <w:t xml:space="preserve">increased the immunogenicity of these conjugates compared to conjugates without spacer. The addition of AH spacer to </w:t>
      </w:r>
      <w:proofErr w:type="spellStart"/>
      <w:r w:rsidRPr="004C11B0">
        <w:t>MenA</w:t>
      </w:r>
      <w:proofErr w:type="spellEnd"/>
      <w:r w:rsidRPr="004C11B0">
        <w:t xml:space="preserve"> and </w:t>
      </w:r>
      <w:proofErr w:type="spellStart"/>
      <w:r w:rsidRPr="004C11B0">
        <w:t>MenC</w:t>
      </w:r>
      <w:proofErr w:type="spellEnd"/>
      <w:r w:rsidRPr="004C11B0">
        <w:t xml:space="preserve"> conjugates had no impact on the immunogenicity of </w:t>
      </w:r>
      <w:proofErr w:type="spellStart"/>
      <w:r w:rsidRPr="004C11B0">
        <w:t>MenW</w:t>
      </w:r>
      <w:proofErr w:type="spellEnd"/>
      <w:r w:rsidRPr="004C11B0">
        <w:t xml:space="preserve"> and </w:t>
      </w:r>
      <w:proofErr w:type="spellStart"/>
      <w:r w:rsidRPr="004C11B0">
        <w:t>MenY</w:t>
      </w:r>
      <w:proofErr w:type="spellEnd"/>
      <w:r w:rsidRPr="004C11B0">
        <w:t xml:space="preserve"> conjugates in the final </w:t>
      </w:r>
      <w:proofErr w:type="spellStart"/>
      <w:r w:rsidRPr="004C11B0">
        <w:t>MenACWY</w:t>
      </w:r>
      <w:r w:rsidRPr="004C11B0">
        <w:noBreakHyphen/>
        <w:t>TT</w:t>
      </w:r>
      <w:proofErr w:type="spellEnd"/>
      <w:r w:rsidRPr="004C11B0">
        <w:t xml:space="preserve"> vaccine formulation.</w:t>
      </w:r>
    </w:p>
    <w:p w:rsidR="004C11B0" w:rsidRPr="004C11B0" w:rsidRDefault="002C6AAB" w:rsidP="00A51259">
      <w:pPr>
        <w:pStyle w:val="ListBullet"/>
      </w:pPr>
      <w:r>
        <w:t>Safety p</w:t>
      </w:r>
      <w:r w:rsidR="007B631B" w:rsidRPr="004C11B0">
        <w:t xml:space="preserve">harmacology </w:t>
      </w:r>
      <w:r w:rsidR="007B631B">
        <w:t>was e</w:t>
      </w:r>
      <w:r w:rsidR="004C11B0" w:rsidRPr="004C11B0">
        <w:t>valuated in anaesthetised male rats (IV and IM routes) at doses approximately 63</w:t>
      </w:r>
      <w:r w:rsidR="004C11B0" w:rsidRPr="004C11B0">
        <w:noBreakHyphen/>
        <w:t xml:space="preserve">fold higher than the intended clinical dose relative to body weight. Results found that </w:t>
      </w:r>
      <w:r>
        <w:t xml:space="preserve">the </w:t>
      </w:r>
      <w:proofErr w:type="spellStart"/>
      <w:r w:rsidR="004C11B0" w:rsidRPr="004C11B0">
        <w:t>MenACWY</w:t>
      </w:r>
      <w:proofErr w:type="spellEnd"/>
      <w:r w:rsidR="004C11B0" w:rsidRPr="004C11B0">
        <w:t xml:space="preserve">-TT candidate vaccine </w:t>
      </w:r>
      <w:r w:rsidRPr="004C11B0">
        <w:t xml:space="preserve">at the high dose used </w:t>
      </w:r>
      <w:r w:rsidR="004C11B0" w:rsidRPr="004C11B0">
        <w:t>produced no biologically significant effects on the cardiovascular and respiratory parameters recorded.</w:t>
      </w:r>
    </w:p>
    <w:p w:rsidR="004C11B0" w:rsidRPr="004C11B0" w:rsidRDefault="007B631B" w:rsidP="00A51259">
      <w:pPr>
        <w:pStyle w:val="ListBullet"/>
      </w:pPr>
      <w:r>
        <w:t>A s</w:t>
      </w:r>
      <w:r w:rsidR="001B7354">
        <w:t xml:space="preserve">ingle </w:t>
      </w:r>
      <w:r w:rsidRPr="004C11B0">
        <w:t>dose toxicity</w:t>
      </w:r>
      <w:r>
        <w:t xml:space="preserve"> study e</w:t>
      </w:r>
      <w:r w:rsidR="004C11B0" w:rsidRPr="004C11B0">
        <w:t xml:space="preserve">valuated local </w:t>
      </w:r>
      <w:proofErr w:type="spellStart"/>
      <w:r w:rsidR="004C11B0" w:rsidRPr="004C11B0">
        <w:t>reactogenicity</w:t>
      </w:r>
      <w:proofErr w:type="spellEnd"/>
      <w:r w:rsidR="004C11B0" w:rsidRPr="004C11B0">
        <w:t xml:space="preserve"> in rabbits administered IM</w:t>
      </w:r>
      <w:r w:rsidR="009509C5">
        <w:t>,</w:t>
      </w:r>
      <w:r w:rsidR="004C11B0" w:rsidRPr="004C11B0">
        <w:t xml:space="preserve"> with treatments equivalent to the full human dose. The study found no treatment related clinical signs, body weight or local reaction at the injection site.</w:t>
      </w:r>
    </w:p>
    <w:p w:rsidR="004C11B0" w:rsidRPr="004C11B0" w:rsidRDefault="001B7354" w:rsidP="00A51259">
      <w:pPr>
        <w:pStyle w:val="ListBullet"/>
      </w:pPr>
      <w:r>
        <w:t xml:space="preserve">Repeat </w:t>
      </w:r>
      <w:r w:rsidR="004C11B0" w:rsidRPr="007B631B">
        <w:t>dose toxicity</w:t>
      </w:r>
      <w:r w:rsidR="007B631B" w:rsidRPr="007B631B">
        <w:t xml:space="preserve"> </w:t>
      </w:r>
      <w:r w:rsidR="007B631B">
        <w:t>study e</w:t>
      </w:r>
      <w:r w:rsidR="004C11B0" w:rsidRPr="004C11B0">
        <w:t>xam</w:t>
      </w:r>
      <w:r w:rsidR="007B631B">
        <w:t xml:space="preserve">ined local and general toxicity and </w:t>
      </w:r>
      <w:proofErr w:type="spellStart"/>
      <w:r w:rsidR="004C11B0" w:rsidRPr="004C11B0">
        <w:t>reactogenicity</w:t>
      </w:r>
      <w:proofErr w:type="spellEnd"/>
      <w:r w:rsidR="004C11B0" w:rsidRPr="004C11B0">
        <w:t xml:space="preserve"> of the </w:t>
      </w:r>
      <w:proofErr w:type="spellStart"/>
      <w:r w:rsidR="004C11B0" w:rsidRPr="004C11B0">
        <w:t>MenACWY</w:t>
      </w:r>
      <w:proofErr w:type="spellEnd"/>
      <w:r w:rsidR="004C11B0" w:rsidRPr="004C11B0">
        <w:t>-TT candidate vaccine following 5 IM fortnightly injections equivalent to the intended, full human dose (0.5 </w:t>
      </w:r>
      <w:proofErr w:type="spellStart"/>
      <w:r w:rsidR="004C11B0" w:rsidRPr="004C11B0">
        <w:t>mL</w:t>
      </w:r>
      <w:proofErr w:type="spellEnd"/>
      <w:r w:rsidR="004C11B0" w:rsidRPr="004C11B0">
        <w:t xml:space="preserve"> per injection containing 5 µg each of </w:t>
      </w:r>
      <w:r w:rsidR="00C132F2">
        <w:t xml:space="preserve">PS </w:t>
      </w:r>
      <w:r w:rsidR="001C5F70">
        <w:t xml:space="preserve">type </w:t>
      </w:r>
      <w:proofErr w:type="spellStart"/>
      <w:r w:rsidR="001C5F70">
        <w:t>Men</w:t>
      </w:r>
      <w:r w:rsidR="004C11B0" w:rsidRPr="004C11B0">
        <w:t>A</w:t>
      </w:r>
      <w:r w:rsidR="004C11B0" w:rsidRPr="004C11B0">
        <w:noBreakHyphen/>
        <w:t>TT</w:t>
      </w:r>
      <w:proofErr w:type="spellEnd"/>
      <w:r w:rsidR="004C11B0" w:rsidRPr="004C11B0">
        <w:t xml:space="preserve"> </w:t>
      </w:r>
      <w:r w:rsidR="001C5F70">
        <w:t>(</w:t>
      </w:r>
      <w:r w:rsidR="004C11B0" w:rsidRPr="004C11B0">
        <w:t xml:space="preserve">with AH spacer), </w:t>
      </w:r>
      <w:proofErr w:type="spellStart"/>
      <w:r w:rsidR="001C5F70">
        <w:t>Men</w:t>
      </w:r>
      <w:r w:rsidR="004C11B0" w:rsidRPr="004C11B0">
        <w:t>C</w:t>
      </w:r>
      <w:r w:rsidR="004C11B0" w:rsidRPr="004C11B0">
        <w:noBreakHyphen/>
        <w:t>TT</w:t>
      </w:r>
      <w:proofErr w:type="spellEnd"/>
      <w:r w:rsidR="004C11B0" w:rsidRPr="004C11B0">
        <w:t xml:space="preserve"> (with AH spacer), </w:t>
      </w:r>
      <w:r w:rsidR="001C5F70">
        <w:t>Men</w:t>
      </w:r>
      <w:r w:rsidR="004C11B0" w:rsidRPr="004C11B0">
        <w:t>W</w:t>
      </w:r>
      <w:r w:rsidR="004C11B0" w:rsidRPr="004C11B0">
        <w:noBreakHyphen/>
        <w:t>135</w:t>
      </w:r>
      <w:r w:rsidR="004C11B0" w:rsidRPr="004C11B0">
        <w:noBreakHyphen/>
        <w:t xml:space="preserve">TT and </w:t>
      </w:r>
      <w:proofErr w:type="spellStart"/>
      <w:r w:rsidR="001C5F70">
        <w:t>Men</w:t>
      </w:r>
      <w:r w:rsidR="004C11B0" w:rsidRPr="004C11B0">
        <w:t>Y</w:t>
      </w:r>
      <w:r w:rsidR="004C11B0" w:rsidRPr="004C11B0">
        <w:noBreakHyphen/>
        <w:t>TT</w:t>
      </w:r>
      <w:proofErr w:type="spellEnd"/>
      <w:r w:rsidR="004C11B0" w:rsidRPr="004C11B0">
        <w:t>) in rabbits with animals sacrificed either 3 or 28 days after the 5</w:t>
      </w:r>
      <w:r w:rsidR="004C11B0" w:rsidRPr="007B631B">
        <w:rPr>
          <w:vertAlign w:val="superscript"/>
        </w:rPr>
        <w:t>th</w:t>
      </w:r>
      <w:r w:rsidR="007B631B">
        <w:t xml:space="preserve"> vaccine dose</w:t>
      </w:r>
    </w:p>
    <w:p w:rsidR="002C6AAB" w:rsidRDefault="004C11B0" w:rsidP="00A51259">
      <w:pPr>
        <w:pStyle w:val="ListBullet"/>
        <w:numPr>
          <w:ilvl w:val="0"/>
          <w:numId w:val="0"/>
        </w:numPr>
        <w:ind w:left="360"/>
      </w:pPr>
      <w:r w:rsidRPr="004C11B0">
        <w:t xml:space="preserve">No distinct treatment-related changes </w:t>
      </w:r>
      <w:r w:rsidR="00B067EF">
        <w:t>were found</w:t>
      </w:r>
      <w:r w:rsidR="00B067EF" w:rsidRPr="004C11B0">
        <w:t xml:space="preserve"> </w:t>
      </w:r>
      <w:r w:rsidRPr="004C11B0">
        <w:t>in general and local clinical signs, ophthalmo</w:t>
      </w:r>
      <w:r w:rsidR="002C6AAB">
        <w:t>logy</w:t>
      </w:r>
      <w:r w:rsidRPr="004C11B0">
        <w:t>, body weight, food intake, rectal body temperature, haematology, blood chemist</w:t>
      </w:r>
      <w:r w:rsidR="007B631B">
        <w:t xml:space="preserve">ry and organ weights. </w:t>
      </w:r>
      <w:r w:rsidRPr="004C11B0">
        <w:t>Very slight to slight inflammation at the injection site was observed but cleared 28 days after the final dose.</w:t>
      </w:r>
    </w:p>
    <w:p w:rsidR="004C11B0" w:rsidRPr="004C11B0" w:rsidRDefault="00B27DE1" w:rsidP="00A51259">
      <w:pPr>
        <w:pStyle w:val="ListBullet"/>
      </w:pPr>
      <w:r>
        <w:t>A r</w:t>
      </w:r>
      <w:r w:rsidR="004C11B0" w:rsidRPr="004C11B0">
        <w:t>eproductive toxicity</w:t>
      </w:r>
      <w:r w:rsidR="007B631B">
        <w:t xml:space="preserve"> study e</w:t>
      </w:r>
      <w:r w:rsidR="004C11B0" w:rsidRPr="004C11B0">
        <w:t>xamine</w:t>
      </w:r>
      <w:r>
        <w:t>d</w:t>
      </w:r>
      <w:r w:rsidR="004C11B0" w:rsidRPr="004C11B0">
        <w:t xml:space="preserve"> the effects of the final </w:t>
      </w:r>
      <w:proofErr w:type="spellStart"/>
      <w:r w:rsidR="004C11B0" w:rsidRPr="004C11B0">
        <w:t>MenACWY</w:t>
      </w:r>
      <w:r w:rsidR="004C11B0" w:rsidRPr="004C11B0">
        <w:noBreakHyphen/>
        <w:t>TT</w:t>
      </w:r>
      <w:proofErr w:type="spellEnd"/>
      <w:r w:rsidR="004C11B0" w:rsidRPr="004C11B0">
        <w:t xml:space="preserve"> vaccine formulation (full human dose) administered </w:t>
      </w:r>
      <w:r>
        <w:t xml:space="preserve">IM </w:t>
      </w:r>
      <w:r w:rsidR="004C11B0" w:rsidRPr="004C11B0">
        <w:t>on immune responses in pregnant female rats, fertility, embryo-</w:t>
      </w:r>
      <w:proofErr w:type="spellStart"/>
      <w:r w:rsidR="004C11B0" w:rsidRPr="004C11B0">
        <w:t>fetal</w:t>
      </w:r>
      <w:proofErr w:type="spellEnd"/>
      <w:r w:rsidR="004C11B0" w:rsidRPr="004C11B0">
        <w:t xml:space="preserve"> development</w:t>
      </w:r>
      <w:r>
        <w:t xml:space="preserve"> and </w:t>
      </w:r>
      <w:r w:rsidR="004C11B0" w:rsidRPr="004C11B0">
        <w:t>pre- and post-natal development</w:t>
      </w:r>
      <w:r>
        <w:t xml:space="preserve">. </w:t>
      </w:r>
      <w:r w:rsidR="004C11B0" w:rsidRPr="004C11B0">
        <w:t xml:space="preserve">Female </w:t>
      </w:r>
      <w:proofErr w:type="spellStart"/>
      <w:r w:rsidR="004C11B0" w:rsidRPr="004C11B0">
        <w:t>Wistar</w:t>
      </w:r>
      <w:proofErr w:type="spellEnd"/>
      <w:r w:rsidR="004C11B0" w:rsidRPr="004C11B0">
        <w:t xml:space="preserve"> rats were inoculated pre-mating, throughout gestation and lactation, with half the </w:t>
      </w:r>
      <w:r w:rsidR="004C11B0" w:rsidRPr="004C11B0">
        <w:lastRenderedPageBreak/>
        <w:t>females from each treatment group sacrificed on GD21 and the remainder allowed to litter and raise pups until weaning pri</w:t>
      </w:r>
      <w:r>
        <w:t>or to sacrifice and examination.</w:t>
      </w:r>
    </w:p>
    <w:p w:rsidR="004C11B0" w:rsidRPr="004C11B0" w:rsidRDefault="004C11B0" w:rsidP="00A51259">
      <w:pPr>
        <w:pStyle w:val="ListBullet"/>
        <w:numPr>
          <w:ilvl w:val="0"/>
          <w:numId w:val="0"/>
        </w:numPr>
        <w:ind w:left="360"/>
      </w:pPr>
      <w:r w:rsidRPr="004C11B0">
        <w:t>The dams and their offspring were exposed to circulating anti-PSC antibodies</w:t>
      </w:r>
      <w:r w:rsidR="00B27DE1">
        <w:t xml:space="preserve"> during gestation and lactation. </w:t>
      </w:r>
      <w:r w:rsidRPr="004C11B0">
        <w:t xml:space="preserve">No treatment-related effects from </w:t>
      </w:r>
      <w:proofErr w:type="spellStart"/>
      <w:r w:rsidRPr="004C11B0">
        <w:t>MenACWY</w:t>
      </w:r>
      <w:r w:rsidRPr="004C11B0">
        <w:noBreakHyphen/>
        <w:t>TT</w:t>
      </w:r>
      <w:proofErr w:type="spellEnd"/>
      <w:r w:rsidRPr="004C11B0">
        <w:t xml:space="preserve"> candidate vaccine administration was observed on maternal </w:t>
      </w:r>
      <w:r w:rsidR="00B067EF">
        <w:t xml:space="preserve">parameters </w:t>
      </w:r>
      <w:proofErr w:type="spellStart"/>
      <w:r w:rsidR="00B067EF">
        <w:t>or</w:t>
      </w:r>
      <w:r w:rsidRPr="004C11B0">
        <w:t>pre</w:t>
      </w:r>
      <w:proofErr w:type="spellEnd"/>
      <w:r w:rsidRPr="004C11B0">
        <w:t>- and post-natal development.</w:t>
      </w:r>
    </w:p>
    <w:p w:rsidR="004C11B0" w:rsidRPr="004C11B0" w:rsidRDefault="00B27DE1" w:rsidP="00A51259">
      <w:pPr>
        <w:pStyle w:val="ListBullet"/>
      </w:pPr>
      <w:r>
        <w:t>The s</w:t>
      </w:r>
      <w:r w:rsidR="004C11B0" w:rsidRPr="004C11B0">
        <w:t xml:space="preserve">ponsor </w:t>
      </w:r>
      <w:r>
        <w:t xml:space="preserve">also </w:t>
      </w:r>
      <w:r w:rsidR="004C11B0" w:rsidRPr="004C11B0">
        <w:t xml:space="preserve">submitted multiple studies investigating the effects of </w:t>
      </w:r>
      <w:r>
        <w:t xml:space="preserve">residual substances in </w:t>
      </w:r>
      <w:r w:rsidR="004C11B0" w:rsidRPr="004C11B0">
        <w:t xml:space="preserve">the </w:t>
      </w:r>
      <w:r>
        <w:t xml:space="preserve">proposed </w:t>
      </w:r>
      <w:proofErr w:type="spellStart"/>
      <w:r w:rsidR="004C11B0" w:rsidRPr="004C11B0">
        <w:t>MenACWY</w:t>
      </w:r>
      <w:r w:rsidR="004C11B0" w:rsidRPr="004C11B0">
        <w:noBreakHyphen/>
        <w:t>TT</w:t>
      </w:r>
      <w:proofErr w:type="spellEnd"/>
      <w:r w:rsidR="004C11B0" w:rsidRPr="004C11B0">
        <w:t xml:space="preserve"> vaccine. </w:t>
      </w:r>
      <w:r>
        <w:t>T</w:t>
      </w:r>
      <w:r w:rsidR="004C11B0" w:rsidRPr="004C11B0">
        <w:t xml:space="preserve">he results from these nonclinical studies indicate that </w:t>
      </w:r>
      <w:r>
        <w:t>the substances present</w:t>
      </w:r>
      <w:r w:rsidR="004C11B0" w:rsidRPr="004C11B0">
        <w:t xml:space="preserve"> n</w:t>
      </w:r>
      <w:r w:rsidR="002C6AAB">
        <w:t>o hazard to vaccinated subjects.</w:t>
      </w:r>
      <w:r w:rsidR="004C11B0" w:rsidRPr="004C11B0">
        <w:t xml:space="preserve"> </w:t>
      </w:r>
    </w:p>
    <w:p w:rsidR="004C11B0" w:rsidRPr="004C11B0" w:rsidRDefault="00B27DE1" w:rsidP="00A51259">
      <w:pPr>
        <w:pStyle w:val="Heading4"/>
      </w:pPr>
      <w:bookmarkStart w:id="56" w:name="_Toc355187688"/>
      <w:bookmarkStart w:id="57" w:name="_Toc295290862"/>
      <w:bookmarkStart w:id="58" w:name="_Toc294861479"/>
      <w:r>
        <w:t>R</w:t>
      </w:r>
      <w:r w:rsidRPr="004C11B0">
        <w:t>ecommendation</w:t>
      </w:r>
      <w:bookmarkEnd w:id="56"/>
      <w:bookmarkEnd w:id="57"/>
      <w:bookmarkEnd w:id="58"/>
    </w:p>
    <w:p w:rsidR="004C11B0" w:rsidRPr="00B27DE1" w:rsidRDefault="004C11B0" w:rsidP="00A51259">
      <w:r w:rsidRPr="00B27DE1">
        <w:t>There are no nonclinical objections to registration.</w:t>
      </w:r>
    </w:p>
    <w:p w:rsidR="008E7846" w:rsidRPr="00B27DE1" w:rsidRDefault="00B27DE1" w:rsidP="00A51259">
      <w:r>
        <w:t xml:space="preserve">Recommended revisions to nonclinical statements in the proposed PI are beyond the scope of the </w:t>
      </w:r>
      <w:proofErr w:type="spellStart"/>
      <w:r>
        <w:t>AusPAR</w:t>
      </w:r>
      <w:proofErr w:type="spellEnd"/>
      <w:r>
        <w:t xml:space="preserve">. </w:t>
      </w:r>
    </w:p>
    <w:p w:rsidR="008E7846" w:rsidRPr="00254787" w:rsidRDefault="008E7846" w:rsidP="00A51259">
      <w:pPr>
        <w:pStyle w:val="Heading2"/>
      </w:pPr>
      <w:bookmarkStart w:id="59" w:name="_Toc196046462"/>
      <w:bookmarkStart w:id="60" w:name="_Toc247691516"/>
      <w:bookmarkStart w:id="61" w:name="_Toc314842500"/>
      <w:bookmarkStart w:id="62" w:name="_Toc163441353"/>
      <w:bookmarkStart w:id="63" w:name="_Toc163441348"/>
      <w:bookmarkStart w:id="64" w:name="_Toc375119720"/>
      <w:r>
        <w:t xml:space="preserve">IV. </w:t>
      </w:r>
      <w:r w:rsidRPr="00254787">
        <w:t>Clinical</w:t>
      </w:r>
      <w:bookmarkEnd w:id="59"/>
      <w:r>
        <w:t xml:space="preserve"> </w:t>
      </w:r>
      <w:r w:rsidR="003A7F6C">
        <w:t>f</w:t>
      </w:r>
      <w:r>
        <w:t>indings</w:t>
      </w:r>
      <w:bookmarkEnd w:id="60"/>
      <w:bookmarkEnd w:id="61"/>
      <w:bookmarkEnd w:id="64"/>
    </w:p>
    <w:p w:rsidR="00C80137" w:rsidRPr="00CD251E" w:rsidRDefault="00C80137" w:rsidP="00A51259">
      <w:bookmarkStart w:id="65" w:name="_Toc196046463"/>
      <w:r w:rsidRPr="00CD251E">
        <w:t>A summary of the clinical findings is presented in this section. Further details of these clinical findings can be found in Attachment 2.</w:t>
      </w:r>
    </w:p>
    <w:p w:rsidR="008E7846" w:rsidRDefault="008E7846" w:rsidP="00A51259">
      <w:pPr>
        <w:pStyle w:val="Heading3"/>
      </w:pPr>
      <w:bookmarkStart w:id="66" w:name="_Toc247691517"/>
      <w:bookmarkStart w:id="67" w:name="_Toc314842501"/>
      <w:bookmarkStart w:id="68" w:name="_Toc375119721"/>
      <w:r w:rsidRPr="00254787">
        <w:t>Introduction</w:t>
      </w:r>
      <w:bookmarkEnd w:id="65"/>
      <w:bookmarkEnd w:id="66"/>
      <w:bookmarkEnd w:id="67"/>
      <w:bookmarkEnd w:id="68"/>
    </w:p>
    <w:p w:rsidR="00D81B17" w:rsidRDefault="00D81B17" w:rsidP="00A51259">
      <w:r w:rsidRPr="00D81B17">
        <w:t xml:space="preserve">Polysaccharide vaccines have been available for </w:t>
      </w:r>
      <w:proofErr w:type="spellStart"/>
      <w:r w:rsidRPr="00D81B17">
        <w:t>serogroups</w:t>
      </w:r>
      <w:proofErr w:type="spellEnd"/>
      <w:r w:rsidRPr="00D81B17">
        <w:t xml:space="preserve"> A, C, W-135 and Y for many years; however, these have poorer immunogenicity in terms of inducing adequate (for protection) and sustained immunity (immune memory) for protection against disease particularly in young children. Conjugate vaccines can overcome some of these limitations. Effective conjugate vaccines have been successful in preventing meningitis and other invasive bacterial infections caused by encapsulated bacteria such as </w:t>
      </w:r>
      <w:proofErr w:type="spellStart"/>
      <w:r w:rsidRPr="00D81B17">
        <w:rPr>
          <w:i/>
          <w:iCs/>
        </w:rPr>
        <w:t>Haemophilus</w:t>
      </w:r>
      <w:proofErr w:type="spellEnd"/>
      <w:r w:rsidRPr="00D81B17">
        <w:rPr>
          <w:i/>
          <w:iCs/>
        </w:rPr>
        <w:t xml:space="preserve"> </w:t>
      </w:r>
      <w:proofErr w:type="spellStart"/>
      <w:r w:rsidRPr="00D81B17">
        <w:rPr>
          <w:i/>
          <w:iCs/>
        </w:rPr>
        <w:t>influenzae</w:t>
      </w:r>
      <w:proofErr w:type="spellEnd"/>
      <w:r w:rsidRPr="00D81B17">
        <w:t xml:space="preserve"> type b </w:t>
      </w:r>
      <w:r>
        <w:t>(</w:t>
      </w:r>
      <w:proofErr w:type="spellStart"/>
      <w:r>
        <w:t>Hib</w:t>
      </w:r>
      <w:proofErr w:type="spellEnd"/>
      <w:r>
        <w:t xml:space="preserve">) </w:t>
      </w:r>
      <w:r w:rsidRPr="00D81B17">
        <w:t xml:space="preserve">and </w:t>
      </w:r>
      <w:r w:rsidRPr="00D81B17">
        <w:rPr>
          <w:i/>
          <w:iCs/>
        </w:rPr>
        <w:t xml:space="preserve">Streptococcus </w:t>
      </w:r>
      <w:proofErr w:type="spellStart"/>
      <w:r w:rsidRPr="00D81B17">
        <w:rPr>
          <w:i/>
          <w:iCs/>
        </w:rPr>
        <w:t>pneumoniae</w:t>
      </w:r>
      <w:proofErr w:type="spellEnd"/>
      <w:r w:rsidRPr="00D81B17">
        <w:t xml:space="preserve">. </w:t>
      </w:r>
    </w:p>
    <w:p w:rsidR="00D81B17" w:rsidRPr="00D81B17" w:rsidRDefault="00CD251E" w:rsidP="00A51259">
      <w:proofErr w:type="spellStart"/>
      <w:r w:rsidRPr="009276B1">
        <w:t>N</w:t>
      </w:r>
      <w:r w:rsidR="009276B1">
        <w:t>imenrix</w:t>
      </w:r>
      <w:proofErr w:type="spellEnd"/>
      <w:r w:rsidRPr="009276B1">
        <w:t xml:space="preserve">, a </w:t>
      </w:r>
      <w:proofErr w:type="spellStart"/>
      <w:r w:rsidRPr="009276B1">
        <w:t>quadrivalent</w:t>
      </w:r>
      <w:proofErr w:type="spellEnd"/>
      <w:r w:rsidRPr="009276B1">
        <w:t xml:space="preserve"> meningococcal ACWY-</w:t>
      </w:r>
      <w:r w:rsidR="003A7CA4">
        <w:t xml:space="preserve">TT </w:t>
      </w:r>
      <w:r w:rsidRPr="009276B1">
        <w:t xml:space="preserve">conjugate vaccine, is composed of purified capsular </w:t>
      </w:r>
      <w:r w:rsidR="00C132F2">
        <w:t xml:space="preserve">PS </w:t>
      </w:r>
      <w:r w:rsidRPr="009276B1">
        <w:t xml:space="preserve">of </w:t>
      </w:r>
      <w:r w:rsidRPr="00B067EF">
        <w:rPr>
          <w:i/>
          <w:iCs/>
        </w:rPr>
        <w:t>N.</w:t>
      </w:r>
      <w:r w:rsidR="00B067EF" w:rsidRPr="00B067EF">
        <w:rPr>
          <w:i/>
          <w:iCs/>
        </w:rPr>
        <w:t xml:space="preserve"> </w:t>
      </w:r>
      <w:proofErr w:type="spellStart"/>
      <w:r w:rsidRPr="00B067EF">
        <w:rPr>
          <w:i/>
          <w:iCs/>
        </w:rPr>
        <w:t>meningitidis</w:t>
      </w:r>
      <w:proofErr w:type="spellEnd"/>
      <w:r w:rsidRPr="009276B1">
        <w:t xml:space="preserve"> A, C, W and Y, with each </w:t>
      </w:r>
      <w:proofErr w:type="spellStart"/>
      <w:r w:rsidRPr="009276B1">
        <w:t>sero</w:t>
      </w:r>
      <w:r w:rsidR="00685544">
        <w:t>group</w:t>
      </w:r>
      <w:proofErr w:type="spellEnd"/>
      <w:r w:rsidRPr="009276B1">
        <w:t xml:space="preserve"> conjugated to the TT. </w:t>
      </w:r>
      <w:r w:rsidR="00D81B17" w:rsidRPr="00D81B17">
        <w:t xml:space="preserve">The proposed indication for the </w:t>
      </w:r>
      <w:proofErr w:type="spellStart"/>
      <w:r w:rsidR="00D81B17" w:rsidRPr="00D81B17">
        <w:t>MenACWY</w:t>
      </w:r>
      <w:proofErr w:type="spellEnd"/>
      <w:r w:rsidR="00D81B17" w:rsidRPr="00D81B17">
        <w:t xml:space="preserve">-TT vaccine is </w:t>
      </w:r>
      <w:r w:rsidR="00D81B17" w:rsidRPr="00D81B17">
        <w:rPr>
          <w:i/>
          <w:iCs/>
        </w:rPr>
        <w:t xml:space="preserve">active immunisation against invasive meningococcal disease caused by N. </w:t>
      </w:r>
      <w:proofErr w:type="spellStart"/>
      <w:r w:rsidR="00D81B17" w:rsidRPr="00D81B17">
        <w:rPr>
          <w:i/>
          <w:iCs/>
        </w:rPr>
        <w:t>meningitidis</w:t>
      </w:r>
      <w:proofErr w:type="spellEnd"/>
      <w:r w:rsidR="00D81B17" w:rsidRPr="00D81B17">
        <w:rPr>
          <w:i/>
          <w:iCs/>
        </w:rPr>
        <w:t xml:space="preserve"> </w:t>
      </w:r>
      <w:proofErr w:type="spellStart"/>
      <w:r w:rsidR="00D81B17" w:rsidRPr="00D81B17">
        <w:rPr>
          <w:i/>
          <w:iCs/>
        </w:rPr>
        <w:t>serogroups</w:t>
      </w:r>
      <w:proofErr w:type="spellEnd"/>
      <w:r w:rsidR="00D81B17" w:rsidRPr="00D81B17">
        <w:rPr>
          <w:i/>
          <w:iCs/>
        </w:rPr>
        <w:t xml:space="preserve"> A, C, W-135 and Y in individuals 1-55 years of age.</w:t>
      </w:r>
      <w:r w:rsidR="00D81B17" w:rsidRPr="00D81B17">
        <w:t xml:space="preserve"> The vaccine is to be administered intramuscularly (IM) as a one-dose vaccination schedule in all age groups.</w:t>
      </w:r>
    </w:p>
    <w:p w:rsidR="00D81B17" w:rsidRPr="00D81B17" w:rsidRDefault="00D81B17" w:rsidP="00A51259">
      <w:proofErr w:type="spellStart"/>
      <w:r>
        <w:t>Nimenrix</w:t>
      </w:r>
      <w:proofErr w:type="spellEnd"/>
      <w:r>
        <w:t xml:space="preserve"> is proposed for p</w:t>
      </w:r>
      <w:r w:rsidRPr="00D81B17">
        <w:t>rimary vaccination</w:t>
      </w:r>
      <w:r>
        <w:t xml:space="preserve"> and </w:t>
      </w:r>
      <w:r w:rsidRPr="00D81B17">
        <w:t xml:space="preserve">as a </w:t>
      </w:r>
      <w:r>
        <w:t>b</w:t>
      </w:r>
      <w:r w:rsidRPr="00D81B17">
        <w:t xml:space="preserve">ooster vaccination in subjects who have previously been vaccinated with a plain </w:t>
      </w:r>
      <w:r>
        <w:t xml:space="preserve">(that is, </w:t>
      </w:r>
      <w:r w:rsidRPr="00D81B17">
        <w:t>non conjugate</w:t>
      </w:r>
      <w:r>
        <w:t>)</w:t>
      </w:r>
      <w:r w:rsidRPr="00D81B17">
        <w:t xml:space="preserve"> </w:t>
      </w:r>
      <w:r w:rsidR="00C132F2">
        <w:t xml:space="preserve">PS </w:t>
      </w:r>
      <w:r w:rsidRPr="00D81B17">
        <w:t xml:space="preserve">meningococcal vaccine. This application does </w:t>
      </w:r>
      <w:r>
        <w:t xml:space="preserve">not </w:t>
      </w:r>
      <w:r w:rsidRPr="00D81B17">
        <w:t xml:space="preserve">seek approval of </w:t>
      </w:r>
      <w:proofErr w:type="spellStart"/>
      <w:r w:rsidRPr="00D81B17">
        <w:t>Nimenrix</w:t>
      </w:r>
      <w:proofErr w:type="spellEnd"/>
      <w:r w:rsidRPr="00D81B17">
        <w:t xml:space="preserve"> as a booster in those primed with </w:t>
      </w:r>
      <w:proofErr w:type="spellStart"/>
      <w:r w:rsidRPr="00D81B17">
        <w:t>Nimenrix</w:t>
      </w:r>
      <w:proofErr w:type="spellEnd"/>
      <w:r w:rsidRPr="00D81B17">
        <w:t xml:space="preserve"> or another conjugate meningococcal vaccine.</w:t>
      </w:r>
    </w:p>
    <w:p w:rsidR="00CD251E" w:rsidRPr="00A51259" w:rsidRDefault="00CD251E" w:rsidP="00A51259">
      <w:pPr>
        <w:pStyle w:val="Heading4"/>
      </w:pPr>
      <w:bookmarkStart w:id="69" w:name="_Toc372213228"/>
      <w:r w:rsidRPr="009276B1">
        <w:t>Scope of the clinical dossier</w:t>
      </w:r>
      <w:bookmarkEnd w:id="69"/>
    </w:p>
    <w:p w:rsidR="00CD251E" w:rsidRPr="009276B1" w:rsidRDefault="00CD251E" w:rsidP="00A51259">
      <w:r w:rsidRPr="009276B1">
        <w:t>The clinical dossier documented a full clinical development programme in all age groups for planned use of this vaccine, in terms of pharmacology, efficacy (immune persistence) and safety. The individual studies are summarised below:</w:t>
      </w:r>
    </w:p>
    <w:p w:rsidR="00CD251E" w:rsidRPr="00CD251E" w:rsidRDefault="00CD251E" w:rsidP="00A51259">
      <w:pPr>
        <w:pStyle w:val="Heading5"/>
      </w:pPr>
      <w:r w:rsidRPr="00CD251E">
        <w:t xml:space="preserve">Phase II studies providing data for the selection of </w:t>
      </w:r>
      <w:proofErr w:type="spellStart"/>
      <w:r w:rsidRPr="00CD251E">
        <w:t>MenACWY</w:t>
      </w:r>
      <w:proofErr w:type="spellEnd"/>
      <w:r w:rsidRPr="00CD251E">
        <w:t>-TT vaccine formulation (N=2)</w:t>
      </w:r>
    </w:p>
    <w:p w:rsidR="00CD251E" w:rsidRPr="00CD251E" w:rsidRDefault="00CD251E" w:rsidP="00A51259">
      <w:pPr>
        <w:pStyle w:val="ListBullet"/>
      </w:pPr>
      <w:r w:rsidRPr="00CD251E">
        <w:t>Study MenACWY-TT-012</w:t>
      </w:r>
      <w:r w:rsidR="0025392C">
        <w:t xml:space="preserve"> in a</w:t>
      </w:r>
      <w:r w:rsidRPr="00CD251E">
        <w:t>dolescents (Denmark)</w:t>
      </w:r>
    </w:p>
    <w:p w:rsidR="00CD251E" w:rsidRPr="00CD251E" w:rsidRDefault="0025392C" w:rsidP="00A51259">
      <w:pPr>
        <w:pStyle w:val="ListBullet"/>
      </w:pPr>
      <w:r>
        <w:t>Study MenACWY-TT-013  in t</w:t>
      </w:r>
      <w:r w:rsidR="00CD251E" w:rsidRPr="00CD251E">
        <w:t>oddlers and children (Austria, Germany)</w:t>
      </w:r>
    </w:p>
    <w:p w:rsidR="00CD251E" w:rsidRPr="00CD251E" w:rsidRDefault="00CD251E" w:rsidP="00A51259">
      <w:pPr>
        <w:pStyle w:val="Heading5"/>
      </w:pPr>
      <w:r w:rsidRPr="00CD251E">
        <w:lastRenderedPageBreak/>
        <w:t>Phase II studies in adolescents and adults (N=1)</w:t>
      </w:r>
    </w:p>
    <w:p w:rsidR="00CD251E" w:rsidRPr="00CD251E" w:rsidRDefault="0025392C" w:rsidP="00A51259">
      <w:pPr>
        <w:pStyle w:val="ListBullet"/>
      </w:pPr>
      <w:r>
        <w:t>Study MenACWY-TT-015 in a</w:t>
      </w:r>
      <w:r w:rsidR="00CD251E" w:rsidRPr="00CD251E">
        <w:t>dolescents and adults (The Philippines, Saudi Arabia)</w:t>
      </w:r>
    </w:p>
    <w:p w:rsidR="00CD251E" w:rsidRPr="00CD251E" w:rsidRDefault="00CD251E" w:rsidP="00A51259">
      <w:pPr>
        <w:pStyle w:val="Heading5"/>
      </w:pPr>
      <w:r w:rsidRPr="00CD251E">
        <w:t>Phase II studies in children, adolescents and adults (N=2)</w:t>
      </w:r>
    </w:p>
    <w:p w:rsidR="00CD251E" w:rsidRPr="00CD251E" w:rsidRDefault="00CD251E" w:rsidP="00A51259">
      <w:pPr>
        <w:pStyle w:val="ListBullet"/>
      </w:pPr>
      <w:r w:rsidRPr="00CD251E">
        <w:t xml:space="preserve">Study MenACWY-TT-052 </w:t>
      </w:r>
      <w:r w:rsidR="0025392C">
        <w:t>in</w:t>
      </w:r>
      <w:r w:rsidRPr="00CD251E">
        <w:t xml:space="preserve"> </w:t>
      </w:r>
      <w:r w:rsidR="0025392C">
        <w:t>c</w:t>
      </w:r>
      <w:r w:rsidRPr="00CD251E">
        <w:t>hildren, adolescents and adults (US)</w:t>
      </w:r>
    </w:p>
    <w:p w:rsidR="00CD251E" w:rsidRPr="00CD251E" w:rsidRDefault="0025392C" w:rsidP="0078433B">
      <w:pPr>
        <w:numPr>
          <w:ilvl w:val="0"/>
          <w:numId w:val="18"/>
        </w:numPr>
      </w:pPr>
      <w:r>
        <w:t>Study MenACWY-TT-071 in c</w:t>
      </w:r>
      <w:r w:rsidR="00CD251E" w:rsidRPr="00CD251E">
        <w:t>hildren, adolescents and adults (US, Canada)</w:t>
      </w:r>
    </w:p>
    <w:p w:rsidR="00CD251E" w:rsidRPr="00CD251E" w:rsidRDefault="00CD251E" w:rsidP="00A51259">
      <w:pPr>
        <w:pStyle w:val="Heading5"/>
      </w:pPr>
      <w:r w:rsidRPr="00CD251E">
        <w:t>Phase II studies in toddlers and children (N=2)</w:t>
      </w:r>
    </w:p>
    <w:p w:rsidR="00CD251E" w:rsidRPr="00CD251E" w:rsidRDefault="0025392C" w:rsidP="00A51259">
      <w:pPr>
        <w:pStyle w:val="ListBullet"/>
      </w:pPr>
      <w:r>
        <w:t>Study MenACWY-TT-027 in t</w:t>
      </w:r>
      <w:r w:rsidR="00CD251E" w:rsidRPr="00CD251E">
        <w:t>oddlers and children (Finland)</w:t>
      </w:r>
    </w:p>
    <w:p w:rsidR="00CD251E" w:rsidRPr="00CD251E" w:rsidRDefault="0025392C" w:rsidP="00A51259">
      <w:pPr>
        <w:pStyle w:val="ListBullet"/>
      </w:pPr>
      <w:r>
        <w:t>Study MenACWY-TT-055 in t</w:t>
      </w:r>
      <w:r w:rsidR="00CD251E" w:rsidRPr="00CD251E">
        <w:t>oddlers (US)</w:t>
      </w:r>
    </w:p>
    <w:p w:rsidR="00CD251E" w:rsidRPr="00CD251E" w:rsidRDefault="00CD251E" w:rsidP="00A51259">
      <w:pPr>
        <w:pStyle w:val="Heading5"/>
      </w:pPr>
      <w:r w:rsidRPr="00CD251E">
        <w:t>Phase II persistence studies in adolescents and adults (N=6)</w:t>
      </w:r>
    </w:p>
    <w:p w:rsidR="00CD251E" w:rsidRPr="00CD251E" w:rsidRDefault="00CD251E" w:rsidP="00A51259">
      <w:pPr>
        <w:pStyle w:val="ListBullet"/>
      </w:pPr>
      <w:r w:rsidRPr="00CD251E">
        <w:t>Study MenACWY-TT-016 EXT-015 Y1&amp; Y2</w:t>
      </w:r>
      <w:r w:rsidR="0025392C">
        <w:t xml:space="preserve"> in a</w:t>
      </w:r>
      <w:r w:rsidRPr="00CD251E">
        <w:t>dolescents and adults (Philippines, Saudi Arabia)</w:t>
      </w:r>
    </w:p>
    <w:p w:rsidR="00CD251E" w:rsidRPr="00CD251E" w:rsidRDefault="00CD251E" w:rsidP="0078433B">
      <w:pPr>
        <w:numPr>
          <w:ilvl w:val="0"/>
          <w:numId w:val="18"/>
        </w:numPr>
      </w:pPr>
      <w:r w:rsidRPr="00CD251E">
        <w:t xml:space="preserve">Study MenACWY-TT-024 EXT-012 M18 &amp; M30 &amp; M42 </w:t>
      </w:r>
      <w:r w:rsidR="0025392C">
        <w:t>in a</w:t>
      </w:r>
      <w:r w:rsidRPr="00CD251E">
        <w:t>dolescents and adults (Denmark)</w:t>
      </w:r>
    </w:p>
    <w:p w:rsidR="00CD251E" w:rsidRPr="00CD251E" w:rsidRDefault="00CD251E" w:rsidP="00A51259">
      <w:pPr>
        <w:pStyle w:val="ListBullet"/>
      </w:pPr>
      <w:r w:rsidRPr="00CD251E">
        <w:t>St</w:t>
      </w:r>
      <w:r w:rsidR="0025392C">
        <w:t>udy MenACWY-TT-059 EXT-052 Y1 in a</w:t>
      </w:r>
      <w:r w:rsidRPr="00CD251E">
        <w:t xml:space="preserve">dolescents and adults (US) </w:t>
      </w:r>
    </w:p>
    <w:p w:rsidR="00CD251E" w:rsidRPr="00CD251E" w:rsidRDefault="00CD251E" w:rsidP="00A51259">
      <w:pPr>
        <w:pStyle w:val="Heading5"/>
      </w:pPr>
      <w:r w:rsidRPr="00CD251E">
        <w:t>Phase II persistence studies in toddlers and children (N=5)</w:t>
      </w:r>
    </w:p>
    <w:p w:rsidR="00CD251E" w:rsidRPr="009276B1" w:rsidRDefault="0025392C" w:rsidP="00A51259">
      <w:pPr>
        <w:pStyle w:val="ListBullet"/>
      </w:pPr>
      <w:r>
        <w:t>Study MenACWY-TT-014 BST-013 in t</w:t>
      </w:r>
      <w:r w:rsidR="00CD251E" w:rsidRPr="009276B1">
        <w:t xml:space="preserve">oddlers and children (Austria, Germany) </w:t>
      </w:r>
    </w:p>
    <w:p w:rsidR="00CD251E" w:rsidRPr="009276B1" w:rsidRDefault="00CD251E" w:rsidP="00A51259">
      <w:pPr>
        <w:pStyle w:val="ListBullet"/>
      </w:pPr>
      <w:r w:rsidRPr="009276B1">
        <w:t xml:space="preserve">Study MenACWY-TT-028 EXT-027 Y1 &amp; Y2 &amp; Y3 </w:t>
      </w:r>
      <w:r w:rsidR="0025392C">
        <w:t>in t</w:t>
      </w:r>
      <w:r w:rsidRPr="009276B1">
        <w:t xml:space="preserve">oddlers and children (Finland) </w:t>
      </w:r>
    </w:p>
    <w:p w:rsidR="00CD251E" w:rsidRPr="009276B1" w:rsidRDefault="00CD251E" w:rsidP="009276B1">
      <w:pPr>
        <w:pStyle w:val="ListBullet"/>
      </w:pPr>
      <w:r w:rsidRPr="009276B1">
        <w:t>S</w:t>
      </w:r>
      <w:r w:rsidR="0025392C">
        <w:t>tudy MenACWY-TT-062 EXT 055 Y1 in t</w:t>
      </w:r>
      <w:r w:rsidRPr="009276B1">
        <w:t>oddlers (US).</w:t>
      </w:r>
    </w:p>
    <w:p w:rsidR="00CD251E" w:rsidRPr="009276B1" w:rsidRDefault="00CD251E" w:rsidP="00A51259">
      <w:pPr>
        <w:pStyle w:val="Heading5"/>
      </w:pPr>
      <w:r w:rsidRPr="009276B1">
        <w:t>Phase III efficacy vaccination studies</w:t>
      </w:r>
      <w:r w:rsidR="009276B1" w:rsidRPr="009276B1">
        <w:t xml:space="preserve">: </w:t>
      </w:r>
      <w:r w:rsidRPr="009276B1">
        <w:t>Studies providing efficacy and safety data for adolescent</w:t>
      </w:r>
      <w:r w:rsidR="0025392C">
        <w:t xml:space="preserve">s and </w:t>
      </w:r>
      <w:r w:rsidRPr="009276B1">
        <w:t>adult</w:t>
      </w:r>
      <w:r w:rsidR="0025392C">
        <w:t>s</w:t>
      </w:r>
      <w:r w:rsidRPr="009276B1">
        <w:t xml:space="preserve"> (N=4)</w:t>
      </w:r>
    </w:p>
    <w:p w:rsidR="00CD251E" w:rsidRPr="00CD251E" w:rsidRDefault="00CD251E" w:rsidP="00A51259">
      <w:pPr>
        <w:pStyle w:val="ListBullet"/>
      </w:pPr>
      <w:r w:rsidRPr="00CD251E">
        <w:t>Study MenACWY-TT-035 (Lebanon, the Philippines)</w:t>
      </w:r>
    </w:p>
    <w:p w:rsidR="00CD251E" w:rsidRPr="00CD251E" w:rsidRDefault="00CD251E" w:rsidP="00A51259">
      <w:pPr>
        <w:pStyle w:val="ListBullet"/>
      </w:pPr>
      <w:r w:rsidRPr="00CD251E">
        <w:t xml:space="preserve">Study MenACWY-TT-036 (India, the Philippines, Taiwan) </w:t>
      </w:r>
    </w:p>
    <w:p w:rsidR="00CD251E" w:rsidRPr="00CD251E" w:rsidRDefault="00CD251E" w:rsidP="0078433B">
      <w:pPr>
        <w:numPr>
          <w:ilvl w:val="0"/>
          <w:numId w:val="18"/>
        </w:numPr>
      </w:pPr>
      <w:r w:rsidRPr="00CD251E">
        <w:t xml:space="preserve">Study MenACWY-TT-037 (Denmark, Sweden)  </w:t>
      </w:r>
    </w:p>
    <w:p w:rsidR="00CD251E" w:rsidRPr="00CD251E" w:rsidRDefault="00CD251E" w:rsidP="00A51259">
      <w:pPr>
        <w:pStyle w:val="ListBullet"/>
      </w:pPr>
      <w:r w:rsidRPr="00CD251E">
        <w:t>Study MenACWY-TT-093 (The Philippines, Thailand, Panama)</w:t>
      </w:r>
    </w:p>
    <w:p w:rsidR="00CD251E" w:rsidRPr="00CD251E" w:rsidRDefault="00CD251E" w:rsidP="00A51259">
      <w:pPr>
        <w:pStyle w:val="Heading5"/>
      </w:pPr>
      <w:r w:rsidRPr="009276B1">
        <w:t>Phase III efficacy vaccination studies</w:t>
      </w:r>
      <w:r w:rsidR="009276B1" w:rsidRPr="009276B1">
        <w:t xml:space="preserve">: </w:t>
      </w:r>
      <w:r w:rsidRPr="00CD251E">
        <w:t xml:space="preserve">Studies providing efficacy and safety data for children (N=2) </w:t>
      </w:r>
    </w:p>
    <w:p w:rsidR="00CD251E" w:rsidRPr="00CD251E" w:rsidRDefault="00CD251E" w:rsidP="00A51259">
      <w:pPr>
        <w:pStyle w:val="ListBullet"/>
      </w:pPr>
      <w:r w:rsidRPr="00CD251E">
        <w:t>Study MenACWY-TT-038 (India, Lebanon, the Philippines, Saudi Arabia)</w:t>
      </w:r>
    </w:p>
    <w:p w:rsidR="00CD251E" w:rsidRPr="00CD251E" w:rsidRDefault="00CD251E" w:rsidP="0078433B">
      <w:pPr>
        <w:numPr>
          <w:ilvl w:val="0"/>
          <w:numId w:val="18"/>
        </w:numPr>
      </w:pPr>
      <w:r w:rsidRPr="00CD251E">
        <w:t xml:space="preserve">Study MenACWY-TT-081 (France, Germany) </w:t>
      </w:r>
    </w:p>
    <w:p w:rsidR="00CD251E" w:rsidRPr="00CD251E" w:rsidRDefault="00CD251E" w:rsidP="00A51259">
      <w:pPr>
        <w:pStyle w:val="Heading5"/>
      </w:pPr>
      <w:r w:rsidRPr="009276B1">
        <w:t>Phase III efficacy vaccination studies</w:t>
      </w:r>
      <w:r w:rsidR="009276B1" w:rsidRPr="009276B1">
        <w:t xml:space="preserve">: </w:t>
      </w:r>
      <w:r w:rsidRPr="00CD251E">
        <w:t>Studies providing efficacy and safety data for toddlers (N=3)</w:t>
      </w:r>
    </w:p>
    <w:p w:rsidR="00CD251E" w:rsidRPr="00CD251E" w:rsidRDefault="00CD251E" w:rsidP="00A51259">
      <w:pPr>
        <w:pStyle w:val="ListBullet"/>
      </w:pPr>
      <w:r w:rsidRPr="00CD251E">
        <w:t xml:space="preserve">Study MenACWY-TT-039 (Finland) </w:t>
      </w:r>
    </w:p>
    <w:p w:rsidR="00CD251E" w:rsidRPr="00CD251E" w:rsidRDefault="00CD251E" w:rsidP="0078433B">
      <w:pPr>
        <w:numPr>
          <w:ilvl w:val="0"/>
          <w:numId w:val="18"/>
        </w:numPr>
      </w:pPr>
      <w:r w:rsidRPr="00CD251E">
        <w:t>Study MenACWY-TT-040 (Austria, Germany, Greece)</w:t>
      </w:r>
    </w:p>
    <w:p w:rsidR="00CD251E" w:rsidRPr="00CD251E" w:rsidRDefault="00CD251E" w:rsidP="00A51259">
      <w:pPr>
        <w:pStyle w:val="ListBullet"/>
      </w:pPr>
      <w:r w:rsidRPr="00CD251E">
        <w:t xml:space="preserve">Study MenACWY-TT-080 (Mexico, Taiwan) </w:t>
      </w:r>
    </w:p>
    <w:p w:rsidR="00CD251E" w:rsidRPr="00CD251E" w:rsidRDefault="00CD251E" w:rsidP="00A51259">
      <w:pPr>
        <w:pStyle w:val="Heading5"/>
      </w:pPr>
      <w:r w:rsidRPr="00CD251E">
        <w:t>Phase III persistence studies (N=2)</w:t>
      </w:r>
    </w:p>
    <w:p w:rsidR="00CD251E" w:rsidRPr="00CD251E" w:rsidRDefault="00CD251E" w:rsidP="00A51259">
      <w:pPr>
        <w:pStyle w:val="ListBullet"/>
      </w:pPr>
      <w:r w:rsidRPr="00CD251E">
        <w:t xml:space="preserve">Study MenACWY-TT-043 EXT- 036 Y2 </w:t>
      </w:r>
      <w:r w:rsidR="0025392C">
        <w:t>in a</w:t>
      </w:r>
      <w:r w:rsidRPr="00CD251E">
        <w:t>dolescents (India and the Philippines)</w:t>
      </w:r>
    </w:p>
    <w:p w:rsidR="00CD251E" w:rsidRPr="00CD251E" w:rsidRDefault="00CD251E" w:rsidP="0078433B">
      <w:pPr>
        <w:numPr>
          <w:ilvl w:val="0"/>
          <w:numId w:val="18"/>
        </w:numPr>
      </w:pPr>
      <w:r w:rsidRPr="00CD251E">
        <w:t>Stud</w:t>
      </w:r>
      <w:r w:rsidR="0025392C">
        <w:t>y MenACWY-TT-048 EXT-039 Y2 in t</w:t>
      </w:r>
      <w:r w:rsidRPr="00CD251E">
        <w:t>oddlers (Finland)</w:t>
      </w:r>
    </w:p>
    <w:p w:rsidR="00CD251E" w:rsidRPr="00CD251E" w:rsidRDefault="00CD251E" w:rsidP="00A51259">
      <w:pPr>
        <w:pStyle w:val="Heading5"/>
      </w:pPr>
      <w:r w:rsidRPr="00CD251E">
        <w:t xml:space="preserve">Booster study in those already primed with a prior plain meningococcal vaccine (N=1): </w:t>
      </w:r>
    </w:p>
    <w:p w:rsidR="00CD251E" w:rsidRPr="00CD251E" w:rsidRDefault="00CD251E" w:rsidP="00A51259">
      <w:pPr>
        <w:pStyle w:val="ListBullet"/>
      </w:pPr>
      <w:r w:rsidRPr="00CD251E">
        <w:t xml:space="preserve">Study MenACWY-TT-021 (Lebanon): </w:t>
      </w:r>
    </w:p>
    <w:p w:rsidR="00CD251E" w:rsidRPr="00A51259" w:rsidRDefault="00CD251E" w:rsidP="00A51259">
      <w:pPr>
        <w:pStyle w:val="Heading5"/>
      </w:pPr>
      <w:r w:rsidRPr="00CD251E">
        <w:lastRenderedPageBreak/>
        <w:t>Supportive stud</w:t>
      </w:r>
      <w:r w:rsidR="0025392C">
        <w:t>y</w:t>
      </w:r>
      <w:r w:rsidRPr="00CD251E">
        <w:t xml:space="preserve">: </w:t>
      </w:r>
    </w:p>
    <w:p w:rsidR="00CD251E" w:rsidRPr="00CD251E" w:rsidRDefault="00CD251E" w:rsidP="00A51259">
      <w:pPr>
        <w:pStyle w:val="ListBullet"/>
      </w:pPr>
      <w:r w:rsidRPr="00CD251E">
        <w:t xml:space="preserve">Study 10PN-PD-DIT-014 (Czech Republic) </w:t>
      </w:r>
    </w:p>
    <w:p w:rsidR="00CD251E" w:rsidRDefault="009276B1" w:rsidP="00A51259">
      <w:r w:rsidRPr="009276B1">
        <w:t xml:space="preserve">In addition, the dossier included </w:t>
      </w:r>
      <w:r>
        <w:t xml:space="preserve">an </w:t>
      </w:r>
      <w:r w:rsidR="00CD251E" w:rsidRPr="00A51259">
        <w:rPr>
          <w:i/>
        </w:rPr>
        <w:t>Integrated Summary of Efficacy (immunogenicity), Integrated Summary of Safety; Clinical Overview, Summary of Clinical Efficacy, Summary of Clinical Safety</w:t>
      </w:r>
      <w:r w:rsidR="00CD251E" w:rsidRPr="00CD251E">
        <w:t xml:space="preserve"> and literature references.</w:t>
      </w:r>
    </w:p>
    <w:p w:rsidR="00CD251E" w:rsidRPr="00CD251E" w:rsidRDefault="00CD251E" w:rsidP="00A51259">
      <w:pPr>
        <w:pStyle w:val="Heading4"/>
      </w:pPr>
      <w:r>
        <w:t>Paediatric data</w:t>
      </w:r>
    </w:p>
    <w:p w:rsidR="00CD251E" w:rsidRDefault="00CD251E" w:rsidP="00A51259">
      <w:r w:rsidRPr="00CD251E">
        <w:t xml:space="preserve">The submission included paediatric </w:t>
      </w:r>
      <w:proofErr w:type="spellStart"/>
      <w:r w:rsidR="0025392C">
        <w:t>pharmacodynamic</w:t>
      </w:r>
      <w:proofErr w:type="spellEnd"/>
      <w:r w:rsidR="0025392C">
        <w:t>/</w:t>
      </w:r>
      <w:r w:rsidRPr="00CD251E">
        <w:t>efficacy (immune persistence)/safety data</w:t>
      </w:r>
      <w:r w:rsidR="0025392C">
        <w:t>,</w:t>
      </w:r>
      <w:r w:rsidRPr="00CD251E">
        <w:t xml:space="preserve"> including safety data pertaining to the administration of this vaccine concurrently with other childhood vaccines both conjugate and non-conjugate, live-attenuated and killed (</w:t>
      </w:r>
      <w:proofErr w:type="spellStart"/>
      <w:r w:rsidRPr="00CD251E">
        <w:t>toxoid</w:t>
      </w:r>
      <w:proofErr w:type="spellEnd"/>
      <w:r w:rsidRPr="00CD251E">
        <w:t xml:space="preserve"> components).</w:t>
      </w:r>
    </w:p>
    <w:p w:rsidR="00CD251E" w:rsidRPr="00CD251E" w:rsidRDefault="00CD251E" w:rsidP="00A51259">
      <w:pPr>
        <w:pStyle w:val="Heading4"/>
      </w:pPr>
      <w:r>
        <w:t>Good clinical practice</w:t>
      </w:r>
    </w:p>
    <w:p w:rsidR="008E7846" w:rsidRPr="00297B1D" w:rsidRDefault="00CD251E" w:rsidP="00A51259">
      <w:r w:rsidRPr="00CD251E">
        <w:t xml:space="preserve">All studies described in this application were carried out by experienced investigators and conducted in accordance with </w:t>
      </w:r>
      <w:r w:rsidR="0025392C">
        <w:t>good clinical practice (</w:t>
      </w:r>
      <w:r w:rsidRPr="00CD251E">
        <w:t>GCP</w:t>
      </w:r>
      <w:r w:rsidR="0025392C">
        <w:t>)</w:t>
      </w:r>
      <w:r w:rsidRPr="00CD251E">
        <w:t xml:space="preserve"> guidelines. The protocols complied with the 1996 version of the Declaration of Helsinki and with the GCP guidelines in use at the study outset. Each study was reviewed and approved by an ethical review committee (ERC). However, GCP deficiencies in the informed consent (IC) process and the review of diary card data were identified at one site in study MenACWY-TT-036 (Centre 36963, located in the Philippines; enrolled 3</w:t>
      </w:r>
      <w:r w:rsidR="00BF3568">
        <w:t>92</w:t>
      </w:r>
      <w:r w:rsidRPr="00CD251E">
        <w:t xml:space="preserve"> of </w:t>
      </w:r>
      <w:r w:rsidR="00BF3568">
        <w:t xml:space="preserve">1025 </w:t>
      </w:r>
      <w:r w:rsidRPr="00CD251E">
        <w:t>participants)</w:t>
      </w:r>
      <w:r w:rsidR="0025392C">
        <w:t xml:space="preserve">. </w:t>
      </w:r>
      <w:r w:rsidRPr="00CD251E">
        <w:t xml:space="preserve">The result of </w:t>
      </w:r>
      <w:r w:rsidR="0025392C">
        <w:t xml:space="preserve">a </w:t>
      </w:r>
      <w:r w:rsidRPr="00CD251E">
        <w:t xml:space="preserve">supplementary analysis show that the safety/immunogenicity conclusions are consistent with the results from the total study population and as such deviations from </w:t>
      </w:r>
      <w:r w:rsidR="0025392C">
        <w:t>International Conference on Harmonisation (</w:t>
      </w:r>
      <w:r w:rsidRPr="00CD251E">
        <w:t>ICH</w:t>
      </w:r>
      <w:r w:rsidR="0025392C">
        <w:t>)</w:t>
      </w:r>
      <w:r w:rsidRPr="00CD251E">
        <w:t>-GCP at this site do not invalidate the study conclusions generated in MenACWY-TT-036.</w:t>
      </w:r>
    </w:p>
    <w:p w:rsidR="008E7846" w:rsidRPr="00A51259" w:rsidRDefault="008E7846" w:rsidP="00A51259">
      <w:pPr>
        <w:pStyle w:val="Heading3"/>
      </w:pPr>
      <w:bookmarkStart w:id="70" w:name="_Toc196046464"/>
      <w:bookmarkStart w:id="71" w:name="_Toc247691518"/>
      <w:bookmarkStart w:id="72" w:name="_Toc314842502"/>
      <w:bookmarkStart w:id="73" w:name="_Toc375119722"/>
      <w:r w:rsidRPr="00254787">
        <w:t>Pharmacokinetics</w:t>
      </w:r>
      <w:bookmarkEnd w:id="62"/>
      <w:bookmarkEnd w:id="70"/>
      <w:bookmarkEnd w:id="71"/>
      <w:bookmarkEnd w:id="72"/>
      <w:bookmarkEnd w:id="73"/>
    </w:p>
    <w:p w:rsidR="00CD251E" w:rsidRPr="00CD251E" w:rsidRDefault="00CD251E" w:rsidP="00A51259">
      <w:r w:rsidRPr="00CD251E">
        <w:t xml:space="preserve">As noted in the WHO </w:t>
      </w:r>
      <w:r w:rsidRPr="00A51259">
        <w:rPr>
          <w:i/>
        </w:rPr>
        <w:t>Guidelines on Nonclinical Evaluation of Vaccines and EMEA/CPMP Note for Guidance on Preclinical Pharmacological and Toxicological testing of Vaccines (CPMP/SWP/465/95)</w:t>
      </w:r>
      <w:r w:rsidRPr="00CD251E">
        <w:t xml:space="preserve">, </w:t>
      </w:r>
      <w:r w:rsidR="0025392C">
        <w:t>pharmacokinetic (</w:t>
      </w:r>
      <w:r w:rsidRPr="00CD251E">
        <w:t>PK</w:t>
      </w:r>
      <w:r w:rsidR="0025392C">
        <w:t>)</w:t>
      </w:r>
      <w:r w:rsidRPr="00CD251E">
        <w:t xml:space="preserve"> testing is not required for final vaccine formulations.</w:t>
      </w:r>
    </w:p>
    <w:p w:rsidR="008E7846" w:rsidRDefault="008E7846" w:rsidP="00A51259">
      <w:pPr>
        <w:pStyle w:val="Heading3"/>
      </w:pPr>
      <w:bookmarkStart w:id="74" w:name="_Toc196046481"/>
      <w:bookmarkStart w:id="75" w:name="_Toc247691520"/>
      <w:bookmarkStart w:id="76" w:name="_Toc314842503"/>
      <w:bookmarkStart w:id="77" w:name="_Toc375119723"/>
      <w:proofErr w:type="spellStart"/>
      <w:r w:rsidRPr="00254787">
        <w:t>Pharmacodynamics</w:t>
      </w:r>
      <w:bookmarkEnd w:id="63"/>
      <w:bookmarkEnd w:id="74"/>
      <w:bookmarkEnd w:id="75"/>
      <w:bookmarkEnd w:id="76"/>
      <w:bookmarkEnd w:id="77"/>
      <w:proofErr w:type="spellEnd"/>
    </w:p>
    <w:p w:rsidR="00CD251E" w:rsidRPr="00FD117B" w:rsidRDefault="00CD251E" w:rsidP="00A51259">
      <w:pPr>
        <w:pStyle w:val="Heading4"/>
      </w:pPr>
      <w:r w:rsidRPr="00FD117B">
        <w:t xml:space="preserve">Studies providing </w:t>
      </w:r>
      <w:proofErr w:type="spellStart"/>
      <w:r w:rsidRPr="00FD117B">
        <w:t>pharmacodynamics</w:t>
      </w:r>
      <w:proofErr w:type="spellEnd"/>
      <w:r w:rsidRPr="00FD117B">
        <w:t xml:space="preserve"> data</w:t>
      </w:r>
    </w:p>
    <w:p w:rsidR="00CD251E" w:rsidRDefault="00CD251E" w:rsidP="00A51259">
      <w:r w:rsidRPr="00CD251E">
        <w:t xml:space="preserve">Phase II studies providing </w:t>
      </w:r>
      <w:proofErr w:type="spellStart"/>
      <w:r w:rsidR="0025392C">
        <w:t>pharmacodynamic</w:t>
      </w:r>
      <w:proofErr w:type="spellEnd"/>
      <w:r w:rsidR="0025392C">
        <w:t xml:space="preserve"> (</w:t>
      </w:r>
      <w:r w:rsidRPr="00CD251E">
        <w:t>PD</w:t>
      </w:r>
      <w:r w:rsidR="0025392C">
        <w:t>)</w:t>
      </w:r>
      <w:r w:rsidRPr="00CD251E">
        <w:t xml:space="preserve"> and safety data for </w:t>
      </w:r>
      <w:proofErr w:type="spellStart"/>
      <w:r w:rsidRPr="00CD251E">
        <w:t>MenACWY</w:t>
      </w:r>
      <w:proofErr w:type="spellEnd"/>
      <w:r w:rsidRPr="00CD251E">
        <w:t xml:space="preserve">-TT and longer term follow-up of the latter (immune persistence) in the relevant age groups for the Phase III programme for </w:t>
      </w:r>
      <w:proofErr w:type="spellStart"/>
      <w:r w:rsidRPr="00CD251E">
        <w:t>Nimenrix</w:t>
      </w:r>
      <w:proofErr w:type="spellEnd"/>
      <w:r w:rsidRPr="00CD251E">
        <w:t xml:space="preserve"> are </w:t>
      </w:r>
      <w:r w:rsidR="0025392C">
        <w:t>presented</w:t>
      </w:r>
      <w:r w:rsidRPr="00CD251E">
        <w:t>. None of the PD studies had deficiencies that excluded their results from consideration. All were included in this application.</w:t>
      </w:r>
    </w:p>
    <w:p w:rsidR="00FD117B" w:rsidRPr="00FD117B" w:rsidRDefault="00FD117B" w:rsidP="00A51259">
      <w:pPr>
        <w:pStyle w:val="Heading5"/>
      </w:pPr>
      <w:bookmarkStart w:id="78" w:name="_Toc343641669"/>
      <w:bookmarkStart w:id="79" w:name="_Toc290846262"/>
      <w:bookmarkStart w:id="80" w:name="_Toc272414640"/>
      <w:bookmarkStart w:id="81" w:name="_Toc241374299"/>
      <w:r w:rsidRPr="00FD117B">
        <w:lastRenderedPageBreak/>
        <w:t>Mechanism of action</w:t>
      </w:r>
      <w:bookmarkEnd w:id="78"/>
      <w:bookmarkEnd w:id="79"/>
      <w:bookmarkEnd w:id="80"/>
      <w:bookmarkEnd w:id="81"/>
    </w:p>
    <w:p w:rsidR="00581C05" w:rsidRDefault="00FD117B" w:rsidP="00A51259">
      <w:pPr>
        <w:keepLines/>
      </w:pPr>
      <w:r w:rsidRPr="00FD117B">
        <w:t>P</w:t>
      </w:r>
      <w:r w:rsidR="006F1C56">
        <w:t xml:space="preserve">olysaccharide </w:t>
      </w:r>
      <w:r w:rsidRPr="00FD117B">
        <w:t xml:space="preserve">vaccines illicit a T-cell independent immune response and while this has been successful in prevention of </w:t>
      </w:r>
      <w:proofErr w:type="spellStart"/>
      <w:r w:rsidRPr="00FD117B">
        <w:t>Meningoccus</w:t>
      </w:r>
      <w:proofErr w:type="spellEnd"/>
      <w:r w:rsidRPr="00FD117B">
        <w:t xml:space="preserve"> (Men) group A and C including epidemic co</w:t>
      </w:r>
      <w:r w:rsidR="009232D3">
        <w:t>ntrol (</w:t>
      </w:r>
      <w:proofErr w:type="spellStart"/>
      <w:r w:rsidR="009232D3">
        <w:t>Artenstein</w:t>
      </w:r>
      <w:proofErr w:type="spellEnd"/>
      <w:r w:rsidR="009232D3">
        <w:rPr>
          <w:rStyle w:val="FootnoteReference"/>
          <w:color w:val="000000"/>
        </w:rPr>
        <w:footnoteReference w:id="5"/>
      </w:r>
      <w:r w:rsidR="009232D3">
        <w:t xml:space="preserve">; </w:t>
      </w:r>
      <w:proofErr w:type="spellStart"/>
      <w:r w:rsidR="009232D3">
        <w:t>Wahdan</w:t>
      </w:r>
      <w:proofErr w:type="spellEnd"/>
      <w:r w:rsidR="009232D3">
        <w:t xml:space="preserve"> 1973</w:t>
      </w:r>
      <w:r w:rsidR="009232D3">
        <w:rPr>
          <w:rStyle w:val="FootnoteReference"/>
          <w:color w:val="000000"/>
        </w:rPr>
        <w:footnoteReference w:id="6"/>
      </w:r>
      <w:r w:rsidR="009232D3">
        <w:t xml:space="preserve"> and</w:t>
      </w:r>
      <w:r w:rsidRPr="00FD117B">
        <w:t xml:space="preserve"> 1977</w:t>
      </w:r>
      <w:r w:rsidR="009232D3">
        <w:rPr>
          <w:rStyle w:val="FootnoteReference"/>
          <w:color w:val="000000"/>
        </w:rPr>
        <w:footnoteReference w:id="7"/>
      </w:r>
      <w:r w:rsidRPr="00FD117B">
        <w:t>;</w:t>
      </w:r>
      <w:proofErr w:type="spellStart"/>
      <w:r w:rsidRPr="00FD117B">
        <w:t>Bosmans</w:t>
      </w:r>
      <w:proofErr w:type="spellEnd"/>
      <w:r w:rsidR="009232D3">
        <w:rPr>
          <w:rStyle w:val="FootnoteReference"/>
          <w:color w:val="000000"/>
        </w:rPr>
        <w:footnoteReference w:id="8"/>
      </w:r>
      <w:r w:rsidRPr="00FD117B">
        <w:t>; Soriano</w:t>
      </w:r>
      <w:r w:rsidR="009232D3">
        <w:rPr>
          <w:rStyle w:val="FootnoteReference"/>
          <w:color w:val="000000"/>
        </w:rPr>
        <w:footnoteReference w:id="9"/>
      </w:r>
      <w:r w:rsidRPr="00FD117B">
        <w:t>) immunity is relatively short-lived as these vaccine</w:t>
      </w:r>
      <w:r w:rsidR="006F1C56">
        <w:t>s</w:t>
      </w:r>
      <w:r w:rsidRPr="00FD117B">
        <w:t xml:space="preserve"> do not induce immunological memory in any age group. Moreover, immune response to capsular organisms is impaired in young children &lt;2 </w:t>
      </w:r>
      <w:r w:rsidR="00B13592">
        <w:t>years</w:t>
      </w:r>
      <w:r w:rsidRPr="00FD117B">
        <w:t xml:space="preserve"> (Leach</w:t>
      </w:r>
      <w:r w:rsidR="009232D3">
        <w:rPr>
          <w:rStyle w:val="FootnoteReference"/>
          <w:color w:val="000000"/>
        </w:rPr>
        <w:footnoteReference w:id="10"/>
      </w:r>
      <w:r w:rsidRPr="00FD117B">
        <w:t>; MacDonald</w:t>
      </w:r>
      <w:r w:rsidR="009232D3">
        <w:rPr>
          <w:rStyle w:val="FootnoteReference"/>
          <w:color w:val="000000"/>
        </w:rPr>
        <w:footnoteReference w:id="11"/>
      </w:r>
      <w:r w:rsidRPr="00FD117B">
        <w:t xml:space="preserve">; </w:t>
      </w:r>
      <w:proofErr w:type="spellStart"/>
      <w:r w:rsidRPr="00FD117B">
        <w:t>Granoff</w:t>
      </w:r>
      <w:proofErr w:type="spellEnd"/>
      <w:r w:rsidR="00F66884">
        <w:t>, 2005</w:t>
      </w:r>
      <w:r w:rsidR="00F66884">
        <w:rPr>
          <w:rStyle w:val="FootnoteReference"/>
          <w:color w:val="000000"/>
        </w:rPr>
        <w:footnoteReference w:id="12"/>
      </w:r>
      <w:r w:rsidR="00F66884">
        <w:t xml:space="preserve"> and</w:t>
      </w:r>
      <w:r w:rsidRPr="00FD117B">
        <w:t xml:space="preserve"> 2009</w:t>
      </w:r>
      <w:r w:rsidR="00F66884">
        <w:rPr>
          <w:rStyle w:val="FootnoteReference"/>
          <w:color w:val="000000"/>
        </w:rPr>
        <w:footnoteReference w:id="13"/>
      </w:r>
      <w:r w:rsidRPr="00FD117B">
        <w:t xml:space="preserve">). </w:t>
      </w:r>
    </w:p>
    <w:p w:rsidR="00FD117B" w:rsidRDefault="00FD117B" w:rsidP="00A51259">
      <w:r w:rsidRPr="00FD117B">
        <w:t xml:space="preserve">Vaccines against the PS-encapsulated bacteria </w:t>
      </w:r>
      <w:proofErr w:type="spellStart"/>
      <w:r w:rsidRPr="00FD117B">
        <w:rPr>
          <w:i/>
          <w:iCs/>
        </w:rPr>
        <w:t>H</w:t>
      </w:r>
      <w:r w:rsidR="00F66884">
        <w:rPr>
          <w:i/>
          <w:iCs/>
        </w:rPr>
        <w:t>ameophilus</w:t>
      </w:r>
      <w:proofErr w:type="spellEnd"/>
      <w:r w:rsidR="006F1C56">
        <w:rPr>
          <w:i/>
          <w:iCs/>
        </w:rPr>
        <w:t xml:space="preserve"> </w:t>
      </w:r>
      <w:proofErr w:type="spellStart"/>
      <w:r w:rsidRPr="00FD117B">
        <w:rPr>
          <w:i/>
          <w:iCs/>
        </w:rPr>
        <w:t>influenzae</w:t>
      </w:r>
      <w:proofErr w:type="spellEnd"/>
      <w:r w:rsidRPr="00FD117B">
        <w:t xml:space="preserve"> type B </w:t>
      </w:r>
      <w:r w:rsidR="00581C05">
        <w:t>(</w:t>
      </w:r>
      <w:proofErr w:type="spellStart"/>
      <w:r w:rsidR="00581C05">
        <w:t>Hib</w:t>
      </w:r>
      <w:proofErr w:type="spellEnd"/>
      <w:r w:rsidR="00581C05">
        <w:t xml:space="preserve">) </w:t>
      </w:r>
      <w:r w:rsidRPr="00FD117B">
        <w:t xml:space="preserve">and </w:t>
      </w:r>
      <w:r w:rsidRPr="00FD117B">
        <w:rPr>
          <w:i/>
          <w:iCs/>
        </w:rPr>
        <w:t>S</w:t>
      </w:r>
      <w:r w:rsidR="00F66884">
        <w:rPr>
          <w:i/>
          <w:iCs/>
        </w:rPr>
        <w:t>treptococcus</w:t>
      </w:r>
      <w:r w:rsidR="006F1C56">
        <w:rPr>
          <w:i/>
          <w:iCs/>
        </w:rPr>
        <w:t xml:space="preserve"> </w:t>
      </w:r>
      <w:proofErr w:type="spellStart"/>
      <w:r w:rsidRPr="00FD117B">
        <w:rPr>
          <w:i/>
          <w:iCs/>
        </w:rPr>
        <w:t>pneumoniae</w:t>
      </w:r>
      <w:proofErr w:type="spellEnd"/>
      <w:r w:rsidRPr="00FD117B">
        <w:t xml:space="preserve"> have been successfully developed through chemical conjugation of the PS to a protein carrier. The net effect is conversion of the immune response to a T-cell independent anti-PS antibody response to a T-cell dependent response. Children &lt;2 y</w:t>
      </w:r>
      <w:r w:rsidR="005D5924">
        <w:t>ear</w:t>
      </w:r>
      <w:r w:rsidRPr="00FD117B">
        <w:t xml:space="preserve">s can mount T-cell dependent immune responses to pathogens and this includes T-cell memory such that there is a strong </w:t>
      </w:r>
      <w:proofErr w:type="spellStart"/>
      <w:r w:rsidRPr="00FD117B">
        <w:t>anamnestic</w:t>
      </w:r>
      <w:proofErr w:type="spellEnd"/>
      <w:r w:rsidRPr="00FD117B">
        <w:t xml:space="preserve"> (memory) response to boosting with vaccine </w:t>
      </w:r>
      <w:r w:rsidRPr="00581C05">
        <w:t xml:space="preserve">and </w:t>
      </w:r>
      <w:r w:rsidR="00581C05" w:rsidRPr="00581C05">
        <w:t xml:space="preserve">(it is </w:t>
      </w:r>
      <w:r w:rsidRPr="00581C05">
        <w:t>assume</w:t>
      </w:r>
      <w:r w:rsidR="00581C05" w:rsidRPr="00581C05">
        <w:t>d</w:t>
      </w:r>
      <w:r w:rsidR="00581C05">
        <w:t>)</w:t>
      </w:r>
      <w:r w:rsidRPr="00FD117B">
        <w:t>, actual challenge with the organism. The other advantage of the currently licensed conjugate vaccines (</w:t>
      </w:r>
      <w:proofErr w:type="spellStart"/>
      <w:r w:rsidRPr="00FD117B">
        <w:t>Hib</w:t>
      </w:r>
      <w:proofErr w:type="spellEnd"/>
      <w:r w:rsidRPr="00FD117B">
        <w:t xml:space="preserve"> and </w:t>
      </w:r>
      <w:proofErr w:type="spellStart"/>
      <w:r w:rsidRPr="00FD117B">
        <w:t>pneumococcus</w:t>
      </w:r>
      <w:proofErr w:type="spellEnd"/>
      <w:r w:rsidRPr="00FD117B">
        <w:t>) is reduction in asymptomatic carriage of these respective bacteria, thereby reducing potential transmission to protecting unvaccinated individuals (</w:t>
      </w:r>
      <w:proofErr w:type="spellStart"/>
      <w:r w:rsidRPr="00FD117B">
        <w:t>Mohle-Boetani</w:t>
      </w:r>
      <w:proofErr w:type="spellEnd"/>
      <w:r w:rsidR="00F66884">
        <w:rPr>
          <w:rStyle w:val="FootnoteReference"/>
          <w:color w:val="000000"/>
        </w:rPr>
        <w:footnoteReference w:id="14"/>
      </w:r>
      <w:r w:rsidRPr="00FD117B">
        <w:t>; O’Brien</w:t>
      </w:r>
      <w:r w:rsidR="00F66884">
        <w:rPr>
          <w:rStyle w:val="FootnoteReference"/>
          <w:color w:val="000000"/>
        </w:rPr>
        <w:footnoteReference w:id="15"/>
      </w:r>
      <w:r w:rsidRPr="00FD117B">
        <w:t>). While this could be anticipated for meningococcal conjugate vaccines, the data in this regard is yet to be provided (Trotter 2007</w:t>
      </w:r>
      <w:r w:rsidR="00F66884">
        <w:rPr>
          <w:rStyle w:val="FootnoteReference"/>
          <w:color w:val="000000"/>
        </w:rPr>
        <w:footnoteReference w:id="16"/>
      </w:r>
      <w:r w:rsidRPr="00FD117B">
        <w:t xml:space="preserve"> </w:t>
      </w:r>
      <w:r w:rsidR="00F66884">
        <w:t>and</w:t>
      </w:r>
      <w:r w:rsidRPr="00FD117B">
        <w:t xml:space="preserve"> 2009</w:t>
      </w:r>
      <w:r w:rsidR="00F66884">
        <w:rPr>
          <w:rStyle w:val="FootnoteReference"/>
          <w:color w:val="000000"/>
        </w:rPr>
        <w:footnoteReference w:id="17"/>
      </w:r>
      <w:r w:rsidRPr="00FD117B">
        <w:t xml:space="preserve">). </w:t>
      </w:r>
    </w:p>
    <w:p w:rsidR="00581C05" w:rsidRPr="00A51259" w:rsidRDefault="00581C05" w:rsidP="00A51259">
      <w:pPr>
        <w:pStyle w:val="Heading4"/>
      </w:pPr>
      <w:r>
        <w:t>Summary of PD studies</w:t>
      </w:r>
    </w:p>
    <w:p w:rsidR="00581C05" w:rsidRDefault="00581C05" w:rsidP="00A51259">
      <w:r w:rsidRPr="00581C05">
        <w:t>None of the studies in this application were powered (sufficient numbers, sufficient duration) to explore actual efficacy of the vaccine in protecting against meningococcal disease. Hence the efficacy of the vaccine is confined to surrogate markers</w:t>
      </w:r>
      <w:r>
        <w:t xml:space="preserve">, that is, </w:t>
      </w:r>
      <w:r w:rsidR="008E6D1D">
        <w:t xml:space="preserve">the </w:t>
      </w:r>
      <w:r w:rsidRPr="00581C05">
        <w:t>serum bactericidal antibody (SBA) response. The data justifying the thresholds for these SBA (either using rabbit or human complement) endpoint</w:t>
      </w:r>
      <w:r w:rsidR="00767A98">
        <w:t>s</w:t>
      </w:r>
      <w:r w:rsidRPr="00581C05">
        <w:t xml:space="preserve"> </w:t>
      </w:r>
      <w:r>
        <w:t>ali</w:t>
      </w:r>
      <w:r w:rsidR="00F66884">
        <w:t>gn</w:t>
      </w:r>
      <w:r w:rsidRPr="00581C05">
        <w:t xml:space="preserve"> with WHO 2011 guidelines</w:t>
      </w:r>
      <w:r w:rsidR="00F66884">
        <w:rPr>
          <w:rStyle w:val="FootnoteReference"/>
          <w:color w:val="000000"/>
        </w:rPr>
        <w:footnoteReference w:id="18"/>
      </w:r>
      <w:r w:rsidRPr="00581C05">
        <w:t xml:space="preserve"> for licensure of meningococcal vaccines. </w:t>
      </w:r>
    </w:p>
    <w:p w:rsidR="00581C05" w:rsidRPr="00581C05" w:rsidRDefault="00581C05" w:rsidP="00A51259">
      <w:pPr>
        <w:pStyle w:val="Heading5"/>
      </w:pPr>
      <w:r w:rsidRPr="00581C05">
        <w:lastRenderedPageBreak/>
        <w:t>Phase II stud</w:t>
      </w:r>
      <w:r w:rsidR="007D5D57">
        <w:t>y</w:t>
      </w:r>
      <w:r w:rsidR="002B4819">
        <w:t xml:space="preserve"> in adolescents and adults</w:t>
      </w:r>
    </w:p>
    <w:p w:rsidR="00581C05" w:rsidRPr="00581C05" w:rsidRDefault="00F66884" w:rsidP="002B4819">
      <w:r>
        <w:t xml:space="preserve">Study </w:t>
      </w:r>
      <w:r w:rsidR="00581C05" w:rsidRPr="00581C05">
        <w:t>MenACWY-TT-015 demonstrated the non-inferio</w:t>
      </w:r>
      <w:r w:rsidR="001E1936">
        <w:t xml:space="preserve">rity of single dose </w:t>
      </w:r>
      <w:proofErr w:type="spellStart"/>
      <w:r w:rsidR="001E1936">
        <w:t>MenACWY</w:t>
      </w:r>
      <w:proofErr w:type="spellEnd"/>
      <w:r w:rsidR="001E1936">
        <w:t xml:space="preserve">-TT </w:t>
      </w:r>
      <w:r w:rsidR="00581C05" w:rsidRPr="00581C05">
        <w:t xml:space="preserve">IM with respect to immunity (at one month post vaccination) to </w:t>
      </w:r>
      <w:proofErr w:type="spellStart"/>
      <w:r w:rsidR="00581C05" w:rsidRPr="00581C05">
        <w:t>MenA</w:t>
      </w:r>
      <w:proofErr w:type="spellEnd"/>
      <w:r w:rsidR="00581C05" w:rsidRPr="00581C05">
        <w:t xml:space="preserve">,-C, -W-135 and –Y, compared to the PS meningococcal vaccine </w:t>
      </w:r>
      <w:proofErr w:type="spellStart"/>
      <w:r w:rsidR="00581C05" w:rsidRPr="00581C05">
        <w:t>Mencevax</w:t>
      </w:r>
      <w:proofErr w:type="spellEnd"/>
      <w:r w:rsidR="00581C05" w:rsidRPr="00581C05">
        <w:t xml:space="preserve"> ACWY in the age group 11-55 years. </w:t>
      </w:r>
    </w:p>
    <w:p w:rsidR="00581C05" w:rsidRPr="00581C05" w:rsidRDefault="00581C05" w:rsidP="002B4819">
      <w:pPr>
        <w:pStyle w:val="Heading5"/>
      </w:pPr>
      <w:r w:rsidRPr="00581C05">
        <w:t>Phase II studies in c</w:t>
      </w:r>
      <w:r w:rsidR="002B4819">
        <w:t>hildren, adolescents and adults</w:t>
      </w:r>
    </w:p>
    <w:p w:rsidR="00581C05" w:rsidRPr="00581C05" w:rsidRDefault="00F66884" w:rsidP="002B4819">
      <w:r>
        <w:t xml:space="preserve">Study </w:t>
      </w:r>
      <w:r w:rsidR="00581C05" w:rsidRPr="00581C05">
        <w:t xml:space="preserve">MenACWY-TT-052 demonstrated equivalent immunogenicity of </w:t>
      </w:r>
      <w:proofErr w:type="spellStart"/>
      <w:r w:rsidR="00581C05" w:rsidRPr="00581C05">
        <w:t>MenACWY</w:t>
      </w:r>
      <w:proofErr w:type="spellEnd"/>
      <w:r w:rsidR="00581C05" w:rsidRPr="00581C05">
        <w:t xml:space="preserve">-TT (in children aged 10-&lt;11 years; adolescents/young adults 11-25 years) to the conjugate (with </w:t>
      </w:r>
      <w:r w:rsidR="00F003FB">
        <w:t>d</w:t>
      </w:r>
      <w:r w:rsidR="00F003FB" w:rsidRPr="00F003FB">
        <w:t xml:space="preserve">iphtheria </w:t>
      </w:r>
      <w:proofErr w:type="spellStart"/>
      <w:r w:rsidR="00F003FB">
        <w:t>t</w:t>
      </w:r>
      <w:r w:rsidR="00F003FB" w:rsidRPr="00F003FB">
        <w:t>oxoid</w:t>
      </w:r>
      <w:proofErr w:type="spellEnd"/>
      <w:r w:rsidR="00581C05" w:rsidRPr="00581C05">
        <w:t xml:space="preserve">) </w:t>
      </w:r>
      <w:proofErr w:type="spellStart"/>
      <w:r w:rsidR="00581C05" w:rsidRPr="00581C05">
        <w:t>quadrivalent</w:t>
      </w:r>
      <w:proofErr w:type="spellEnd"/>
      <w:r w:rsidR="00581C05" w:rsidRPr="00581C05">
        <w:t xml:space="preserve"> meningococcal vaccine </w:t>
      </w:r>
      <w:proofErr w:type="spellStart"/>
      <w:r w:rsidR="00581C05" w:rsidRPr="00581C05">
        <w:t>Menactra</w:t>
      </w:r>
      <w:proofErr w:type="spellEnd"/>
      <w:r w:rsidR="00581C05" w:rsidRPr="00581C05">
        <w:t xml:space="preserve"> (in 11-25 years of age) defined by titres ≥1:8 using h</w:t>
      </w:r>
      <w:r>
        <w:t xml:space="preserve">uman </w:t>
      </w:r>
      <w:r w:rsidR="00581C05" w:rsidRPr="00581C05">
        <w:t xml:space="preserve">SBA </w:t>
      </w:r>
      <w:r>
        <w:t>(</w:t>
      </w:r>
      <w:proofErr w:type="spellStart"/>
      <w:r>
        <w:t>hSBA</w:t>
      </w:r>
      <w:proofErr w:type="spellEnd"/>
      <w:r>
        <w:t xml:space="preserve">) </w:t>
      </w:r>
      <w:r w:rsidR="00581C05" w:rsidRPr="00581C05">
        <w:t xml:space="preserve">measured one month post vaccination. </w:t>
      </w:r>
    </w:p>
    <w:p w:rsidR="00581C05" w:rsidRPr="00581C05" w:rsidRDefault="00581C05" w:rsidP="002B4819">
      <w:r w:rsidRPr="00581C05">
        <w:t xml:space="preserve">Exploratory analyses on the difference in immune response between </w:t>
      </w:r>
      <w:proofErr w:type="spellStart"/>
      <w:r w:rsidR="008E6D1D">
        <w:t>Men</w:t>
      </w:r>
      <w:r w:rsidRPr="00581C05">
        <w:t>ACWY</w:t>
      </w:r>
      <w:proofErr w:type="spellEnd"/>
      <w:r w:rsidRPr="00581C05">
        <w:t xml:space="preserve">-TT and </w:t>
      </w:r>
      <w:proofErr w:type="spellStart"/>
      <w:r w:rsidRPr="00581C05">
        <w:t>Menactra</w:t>
      </w:r>
      <w:proofErr w:type="spellEnd"/>
      <w:r w:rsidRPr="00581C05">
        <w:t xml:space="preserve"> showed that the percentages of subjects with </w:t>
      </w:r>
      <w:proofErr w:type="spellStart"/>
      <w:r w:rsidRPr="00581C05">
        <w:t>hSBA</w:t>
      </w:r>
      <w:proofErr w:type="spellEnd"/>
      <w:r w:rsidRPr="00581C05">
        <w:t xml:space="preserve"> titres ≥4 and ≥8 were significantly higher in the </w:t>
      </w:r>
      <w:proofErr w:type="spellStart"/>
      <w:r w:rsidRPr="00581C05">
        <w:t>MenACWY</w:t>
      </w:r>
      <w:proofErr w:type="spellEnd"/>
      <w:r w:rsidRPr="00581C05">
        <w:t xml:space="preserve">-TT group compared to the </w:t>
      </w:r>
      <w:proofErr w:type="spellStart"/>
      <w:r w:rsidRPr="00581C05">
        <w:t>Menactra</w:t>
      </w:r>
      <w:proofErr w:type="spellEnd"/>
      <w:r w:rsidRPr="00581C05">
        <w:t xml:space="preserve"> group for </w:t>
      </w:r>
      <w:proofErr w:type="spellStart"/>
      <w:r w:rsidRPr="00581C05">
        <w:t>serogroups</w:t>
      </w:r>
      <w:proofErr w:type="spellEnd"/>
      <w:r w:rsidRPr="00581C05">
        <w:t xml:space="preserve"> A, W-135 and Y and similar in both groups for </w:t>
      </w:r>
      <w:proofErr w:type="spellStart"/>
      <w:r w:rsidRPr="00581C05">
        <w:t>serogroup</w:t>
      </w:r>
      <w:proofErr w:type="spellEnd"/>
      <w:r w:rsidRPr="00581C05">
        <w:t xml:space="preserve"> C. The </w:t>
      </w:r>
      <w:proofErr w:type="spellStart"/>
      <w:r w:rsidRPr="00581C05">
        <w:t>hSBA</w:t>
      </w:r>
      <w:proofErr w:type="spellEnd"/>
      <w:r w:rsidRPr="00581C05">
        <w:t xml:space="preserve"> </w:t>
      </w:r>
      <w:r w:rsidR="00F003FB">
        <w:t xml:space="preserve">geometric mean </w:t>
      </w:r>
      <w:proofErr w:type="spellStart"/>
      <w:r w:rsidR="00F003FB">
        <w:t>titers</w:t>
      </w:r>
      <w:proofErr w:type="spellEnd"/>
      <w:r w:rsidR="00F003FB">
        <w:t xml:space="preserve"> (</w:t>
      </w:r>
      <w:r w:rsidRPr="00581C05">
        <w:t>GMTs</w:t>
      </w:r>
      <w:r w:rsidR="00F003FB">
        <w:t>)</w:t>
      </w:r>
      <w:r w:rsidRPr="00581C05">
        <w:t xml:space="preserve"> were higher for the four </w:t>
      </w:r>
      <w:proofErr w:type="spellStart"/>
      <w:r w:rsidRPr="00581C05">
        <w:t>serogroups</w:t>
      </w:r>
      <w:proofErr w:type="spellEnd"/>
      <w:r w:rsidRPr="00581C05">
        <w:t xml:space="preserve"> in the </w:t>
      </w:r>
      <w:proofErr w:type="spellStart"/>
      <w:r w:rsidRPr="00581C05">
        <w:t>MenACWY</w:t>
      </w:r>
      <w:proofErr w:type="spellEnd"/>
      <w:r w:rsidRPr="00581C05">
        <w:t xml:space="preserve">-TT group compared to the </w:t>
      </w:r>
      <w:proofErr w:type="spellStart"/>
      <w:r w:rsidRPr="00581C05">
        <w:t>Menactra</w:t>
      </w:r>
      <w:proofErr w:type="spellEnd"/>
      <w:r w:rsidRPr="00581C05">
        <w:t xml:space="preserve"> group. A vaccine response noted in 77.9% and 66.7% of subjects for </w:t>
      </w:r>
      <w:proofErr w:type="spellStart"/>
      <w:r w:rsidRPr="00581C05">
        <w:t>MenA</w:t>
      </w:r>
      <w:proofErr w:type="spellEnd"/>
      <w:r w:rsidRPr="00581C05">
        <w:t xml:space="preserve">, 78.3% and 66.5% of subjects for </w:t>
      </w:r>
      <w:proofErr w:type="spellStart"/>
      <w:r w:rsidRPr="00581C05">
        <w:t>MenC</w:t>
      </w:r>
      <w:proofErr w:type="spellEnd"/>
      <w:r w:rsidRPr="00581C05">
        <w:t xml:space="preserve">, 69.6% and 44.6% for MenW-135 and 59.8% and 36.3% for </w:t>
      </w:r>
      <w:proofErr w:type="spellStart"/>
      <w:r w:rsidRPr="00581C05">
        <w:t>MenY</w:t>
      </w:r>
      <w:proofErr w:type="spellEnd"/>
      <w:r w:rsidRPr="00581C05">
        <w:t xml:space="preserve"> in the </w:t>
      </w:r>
      <w:proofErr w:type="spellStart"/>
      <w:r w:rsidRPr="00581C05">
        <w:t>MenACWY</w:t>
      </w:r>
      <w:proofErr w:type="spellEnd"/>
      <w:r w:rsidRPr="00581C05">
        <w:t xml:space="preserve">-TT and </w:t>
      </w:r>
      <w:proofErr w:type="spellStart"/>
      <w:r w:rsidRPr="00581C05">
        <w:t>Menactra</w:t>
      </w:r>
      <w:proofErr w:type="spellEnd"/>
      <w:r w:rsidRPr="00581C05">
        <w:t xml:space="preserve"> groups, respectively. </w:t>
      </w:r>
      <w:r w:rsidR="00234EFE">
        <w:t xml:space="preserve">The </w:t>
      </w:r>
      <w:proofErr w:type="spellStart"/>
      <w:r w:rsidR="00234EFE">
        <w:t>MenACWY</w:t>
      </w:r>
      <w:proofErr w:type="spellEnd"/>
      <w:r w:rsidR="00234EFE">
        <w:t>-TT group had</w:t>
      </w:r>
      <w:r w:rsidRPr="00581C05">
        <w:t xml:space="preserve"> a statistically significantly higher </w:t>
      </w:r>
      <w:proofErr w:type="spellStart"/>
      <w:r w:rsidRPr="00581C05">
        <w:t>hSBA</w:t>
      </w:r>
      <w:proofErr w:type="spellEnd"/>
      <w:r w:rsidRPr="00581C05">
        <w:t xml:space="preserve"> vaccine response for all </w:t>
      </w:r>
      <w:proofErr w:type="spellStart"/>
      <w:r w:rsidRPr="00581C05">
        <w:t>serogroups</w:t>
      </w:r>
      <w:proofErr w:type="spellEnd"/>
      <w:r w:rsidRPr="00581C05">
        <w:t xml:space="preserve"> </w:t>
      </w:r>
      <w:r w:rsidR="007D5D57">
        <w:t xml:space="preserve">versus </w:t>
      </w:r>
      <w:proofErr w:type="spellStart"/>
      <w:r w:rsidRPr="00581C05">
        <w:t>Menactra</w:t>
      </w:r>
      <w:proofErr w:type="spellEnd"/>
      <w:r w:rsidRPr="00581C05">
        <w:t xml:space="preserve">. </w:t>
      </w:r>
    </w:p>
    <w:p w:rsidR="00581C05" w:rsidRPr="00581C05" w:rsidRDefault="00F66884" w:rsidP="002B4819">
      <w:r>
        <w:t xml:space="preserve">Study </w:t>
      </w:r>
      <w:r w:rsidR="00581C05" w:rsidRPr="00581C05">
        <w:t xml:space="preserve">MenACWY-TT-071 demonstrated the immunological non-inferiority of </w:t>
      </w:r>
      <w:proofErr w:type="spellStart"/>
      <w:r w:rsidR="00581C05" w:rsidRPr="00581C05">
        <w:t>MenACWY</w:t>
      </w:r>
      <w:proofErr w:type="spellEnd"/>
      <w:r w:rsidR="00581C05" w:rsidRPr="00581C05">
        <w:t>-TT (Lot A</w:t>
      </w:r>
      <w:r w:rsidR="007D5D57">
        <w:t>:</w:t>
      </w:r>
      <w:r w:rsidR="00581C05" w:rsidRPr="00581C05">
        <w:t xml:space="preserve"> </w:t>
      </w:r>
      <w:r>
        <w:t>Commercial</w:t>
      </w:r>
      <w:r w:rsidR="00581C05" w:rsidRPr="00581C05">
        <w:t xml:space="preserve">) </w:t>
      </w:r>
      <w:r>
        <w:t>versus</w:t>
      </w:r>
      <w:r w:rsidR="00581C05" w:rsidRPr="00581C05">
        <w:t xml:space="preserve"> </w:t>
      </w:r>
      <w:proofErr w:type="spellStart"/>
      <w:r w:rsidR="00581C05" w:rsidRPr="00581C05">
        <w:t>Menactra</w:t>
      </w:r>
      <w:proofErr w:type="spellEnd"/>
      <w:r w:rsidR="00581C05" w:rsidRPr="00581C05">
        <w:t xml:space="preserve"> one mon</w:t>
      </w:r>
      <w:r w:rsidR="007D5D57">
        <w:t xml:space="preserve">th after vaccination using </w:t>
      </w:r>
      <w:proofErr w:type="spellStart"/>
      <w:r w:rsidR="007D5D57">
        <w:t>hSBA</w:t>
      </w:r>
      <w:proofErr w:type="spellEnd"/>
      <w:r w:rsidR="00581C05" w:rsidRPr="00581C05">
        <w:t xml:space="preserve"> titres in adolescents/young adults 11-25 years. </w:t>
      </w:r>
    </w:p>
    <w:p w:rsidR="00581C05" w:rsidRPr="00581C05" w:rsidRDefault="00581C05" w:rsidP="002B4819">
      <w:pPr>
        <w:pStyle w:val="Heading5"/>
      </w:pPr>
      <w:r w:rsidRPr="00581C05">
        <w:t>Phase II s</w:t>
      </w:r>
      <w:r w:rsidR="002B4819">
        <w:t>tudies in toddlers and children</w:t>
      </w:r>
    </w:p>
    <w:p w:rsidR="00581C05" w:rsidRPr="00581C05" w:rsidRDefault="007D5D57" w:rsidP="002B4819">
      <w:r>
        <w:t xml:space="preserve">Study </w:t>
      </w:r>
      <w:r w:rsidR="00581C05" w:rsidRPr="00581C05">
        <w:t xml:space="preserve">MenACWY-TT-027 demonstrated the non-inferiority of </w:t>
      </w:r>
      <w:proofErr w:type="spellStart"/>
      <w:r w:rsidR="00581C05" w:rsidRPr="00581C05">
        <w:t>MenACWY</w:t>
      </w:r>
      <w:proofErr w:type="spellEnd"/>
      <w:r>
        <w:t>-</w:t>
      </w:r>
      <w:r w:rsidR="00581C05" w:rsidRPr="00581C05">
        <w:t xml:space="preserve">TT </w:t>
      </w:r>
      <w:r>
        <w:t>versus the conjugate Men-C vaccine</w:t>
      </w:r>
      <w:r w:rsidR="00581C05" w:rsidRPr="00581C05">
        <w:t xml:space="preserve"> </w:t>
      </w:r>
      <w:proofErr w:type="spellStart"/>
      <w:r w:rsidR="00581C05" w:rsidRPr="00581C05">
        <w:t>Meningitec</w:t>
      </w:r>
      <w:proofErr w:type="spellEnd"/>
      <w:r w:rsidR="00581C05" w:rsidRPr="00581C05">
        <w:t xml:space="preserve"> for </w:t>
      </w:r>
      <w:proofErr w:type="spellStart"/>
      <w:r w:rsidR="00581C05" w:rsidRPr="00581C05">
        <w:t>MenC</w:t>
      </w:r>
      <w:proofErr w:type="spellEnd"/>
      <w:r w:rsidR="00581C05" w:rsidRPr="00581C05">
        <w:t xml:space="preserve"> in terms of </w:t>
      </w:r>
      <w:r w:rsidR="008E6D1D">
        <w:t>rabbit SBA (</w:t>
      </w:r>
      <w:proofErr w:type="spellStart"/>
      <w:r w:rsidR="00581C05" w:rsidRPr="00581C05">
        <w:t>rSBA</w:t>
      </w:r>
      <w:proofErr w:type="spellEnd"/>
      <w:r w:rsidR="008E6D1D">
        <w:t>)</w:t>
      </w:r>
      <w:r w:rsidR="00581C05" w:rsidRPr="00581C05">
        <w:t xml:space="preserve"> </w:t>
      </w:r>
      <w:proofErr w:type="spellStart"/>
      <w:r w:rsidR="00581C05" w:rsidRPr="00581C05">
        <w:t>MenC</w:t>
      </w:r>
      <w:proofErr w:type="spellEnd"/>
      <w:r w:rsidR="00581C05" w:rsidRPr="00581C05">
        <w:t xml:space="preserve"> titres ≥8 in children aged 1-&lt;2 years old. </w:t>
      </w:r>
      <w:proofErr w:type="spellStart"/>
      <w:r w:rsidR="00581C05" w:rsidRPr="00581C05">
        <w:t>MenACWY</w:t>
      </w:r>
      <w:proofErr w:type="spellEnd"/>
      <w:r>
        <w:t>-</w:t>
      </w:r>
      <w:r w:rsidR="00581C05" w:rsidRPr="00581C05">
        <w:t xml:space="preserve">TT was immunologically non-inferior to </w:t>
      </w:r>
      <w:proofErr w:type="spellStart"/>
      <w:r w:rsidR="00581C05" w:rsidRPr="00581C05">
        <w:t>Mencevax</w:t>
      </w:r>
      <w:proofErr w:type="spellEnd"/>
      <w:r w:rsidR="00581C05" w:rsidRPr="00581C05">
        <w:t xml:space="preserve"> </w:t>
      </w:r>
      <w:r w:rsidR="008E6D1D">
        <w:t xml:space="preserve">ACWY </w:t>
      </w:r>
      <w:r w:rsidR="00581C05" w:rsidRPr="00581C05">
        <w:t>ref</w:t>
      </w:r>
      <w:r w:rsidR="00234EFE">
        <w:t>erence</w:t>
      </w:r>
      <w:r w:rsidR="00581C05" w:rsidRPr="00581C05">
        <w:t xml:space="preserve"> vaccine </w:t>
      </w:r>
      <w:r w:rsidR="00135DE5">
        <w:t xml:space="preserve">in terms of the </w:t>
      </w:r>
      <w:r w:rsidR="00581C05" w:rsidRPr="00581C05">
        <w:t xml:space="preserve">response to all 4 Men </w:t>
      </w:r>
      <w:proofErr w:type="spellStart"/>
      <w:r w:rsidR="00581C05" w:rsidRPr="00581C05">
        <w:t>sero</w:t>
      </w:r>
      <w:r w:rsidR="00796FC4">
        <w:t>groups</w:t>
      </w:r>
      <w:proofErr w:type="spellEnd"/>
      <w:r w:rsidR="00581C05" w:rsidRPr="00581C05">
        <w:t xml:space="preserve"> in 2-10 year olds. </w:t>
      </w:r>
      <w:proofErr w:type="spellStart"/>
      <w:r w:rsidR="00581C05" w:rsidRPr="00581C05">
        <w:t>MenACWY</w:t>
      </w:r>
      <w:proofErr w:type="spellEnd"/>
      <w:r>
        <w:t>-</w:t>
      </w:r>
      <w:r w:rsidR="00581C05" w:rsidRPr="00581C05">
        <w:t xml:space="preserve">TT induced </w:t>
      </w:r>
      <w:proofErr w:type="spellStart"/>
      <w:r w:rsidR="00234EFE">
        <w:t>immuno</w:t>
      </w:r>
      <w:r w:rsidR="00581C05" w:rsidRPr="00581C05">
        <w:t>pr</w:t>
      </w:r>
      <w:r w:rsidR="00234EFE">
        <w:t>o</w:t>
      </w:r>
      <w:r w:rsidR="00581C05" w:rsidRPr="00581C05">
        <w:t>tective</w:t>
      </w:r>
      <w:proofErr w:type="spellEnd"/>
      <w:r w:rsidR="00581C05" w:rsidRPr="00581C05">
        <w:t xml:space="preserve"> titres for all </w:t>
      </w:r>
      <w:proofErr w:type="spellStart"/>
      <w:r w:rsidR="00581C05" w:rsidRPr="00581C05">
        <w:t>sero</w:t>
      </w:r>
      <w:r w:rsidR="00796FC4">
        <w:t>groups</w:t>
      </w:r>
      <w:proofErr w:type="spellEnd"/>
      <w:r w:rsidR="00581C05" w:rsidRPr="00581C05">
        <w:t xml:space="preserve"> in those &lt;2 years. </w:t>
      </w:r>
    </w:p>
    <w:p w:rsidR="00581C05" w:rsidRPr="00581C05" w:rsidRDefault="007D5D57" w:rsidP="002B4819">
      <w:r>
        <w:t xml:space="preserve">Study </w:t>
      </w:r>
      <w:r w:rsidR="00581C05" w:rsidRPr="00581C05">
        <w:t xml:space="preserve">MenACWY-TT-055 explored immunogenicity/safety of one dose </w:t>
      </w:r>
      <w:proofErr w:type="spellStart"/>
      <w:r w:rsidR="00581C05" w:rsidRPr="00581C05">
        <w:t>MenACWYTT</w:t>
      </w:r>
      <w:proofErr w:type="spellEnd"/>
      <w:r w:rsidR="00581C05" w:rsidRPr="00581C05">
        <w:t xml:space="preserve"> at 12 months old </w:t>
      </w:r>
      <w:r>
        <w:t xml:space="preserve">versus </w:t>
      </w:r>
      <w:r w:rsidR="00581C05" w:rsidRPr="00581C05">
        <w:t xml:space="preserve">2 doses </w:t>
      </w:r>
      <w:r w:rsidR="00135DE5">
        <w:t xml:space="preserve">of </w:t>
      </w:r>
      <w:proofErr w:type="spellStart"/>
      <w:r w:rsidR="00581C05" w:rsidRPr="00581C05">
        <w:t>MenACWY</w:t>
      </w:r>
      <w:proofErr w:type="spellEnd"/>
      <w:r w:rsidR="00135DE5">
        <w:t>-TT at 9 and 12 months of age. Both doses were immunogenic.</w:t>
      </w:r>
      <w:r w:rsidR="00581C05" w:rsidRPr="00581C05">
        <w:t xml:space="preserve"> </w:t>
      </w:r>
      <w:r w:rsidR="00135DE5">
        <w:t>I</w:t>
      </w:r>
      <w:r w:rsidR="00581C05" w:rsidRPr="00581C05">
        <w:t xml:space="preserve">n an exploratory evaluation the percentage with </w:t>
      </w:r>
      <w:proofErr w:type="spellStart"/>
      <w:r w:rsidR="00581C05" w:rsidRPr="00581C05">
        <w:t>hSBA</w:t>
      </w:r>
      <w:proofErr w:type="spellEnd"/>
      <w:r w:rsidR="00581C05" w:rsidRPr="00581C05">
        <w:t xml:space="preserve"> titres ≥1:8 and </w:t>
      </w:r>
      <w:proofErr w:type="spellStart"/>
      <w:r w:rsidR="00581C05" w:rsidRPr="00581C05">
        <w:t>hSBA</w:t>
      </w:r>
      <w:proofErr w:type="spellEnd"/>
      <w:r w:rsidR="00581C05" w:rsidRPr="00581C05">
        <w:t xml:space="preserve"> GMTs was significantly higher in those receiving prime-boost for all Men </w:t>
      </w:r>
      <w:proofErr w:type="spellStart"/>
      <w:r w:rsidR="00581C05" w:rsidRPr="00581C05">
        <w:t>serogroups</w:t>
      </w:r>
      <w:proofErr w:type="spellEnd"/>
      <w:r w:rsidR="00581C05" w:rsidRPr="00581C05">
        <w:t xml:space="preserve">. </w:t>
      </w:r>
    </w:p>
    <w:p w:rsidR="00581C05" w:rsidRDefault="007D5D57" w:rsidP="002B4819">
      <w:r>
        <w:t xml:space="preserve">Study </w:t>
      </w:r>
      <w:r w:rsidR="00581C05" w:rsidRPr="00581C05">
        <w:t xml:space="preserve">MenACWY-TT-014, MenACWY-TT-013 extension, evaluated induction of immunological memory following one-fifth of a dose of </w:t>
      </w:r>
      <w:proofErr w:type="spellStart"/>
      <w:r w:rsidR="00581C05" w:rsidRPr="00581C05">
        <w:t>Mencevax</w:t>
      </w:r>
      <w:proofErr w:type="spellEnd"/>
      <w:r w:rsidR="00581C05" w:rsidRPr="00581C05">
        <w:t xml:space="preserve"> ACWY (a plain PS meningococcal vaccine) 15 months after priming with one of 4 formulations of </w:t>
      </w:r>
      <w:proofErr w:type="spellStart"/>
      <w:r w:rsidR="00581C05" w:rsidRPr="00581C05">
        <w:t>MenACWY</w:t>
      </w:r>
      <w:proofErr w:type="spellEnd"/>
      <w:r w:rsidR="00581C05" w:rsidRPr="00581C05">
        <w:t xml:space="preserve">-TT candidate vaccine or </w:t>
      </w:r>
      <w:proofErr w:type="spellStart"/>
      <w:r w:rsidR="00581C05" w:rsidRPr="00581C05">
        <w:t>Meningitec</w:t>
      </w:r>
      <w:proofErr w:type="spellEnd"/>
      <w:r w:rsidR="00581C05" w:rsidRPr="00581C05">
        <w:t xml:space="preserve"> (</w:t>
      </w:r>
      <w:proofErr w:type="spellStart"/>
      <w:r w:rsidR="00581C05" w:rsidRPr="00581C05">
        <w:t>MenC</w:t>
      </w:r>
      <w:proofErr w:type="spellEnd"/>
      <w:r w:rsidR="00581C05" w:rsidRPr="00581C05">
        <w:t xml:space="preserve">-conjugate control vaccine) when aged 12-14 months. Increases in </w:t>
      </w:r>
      <w:proofErr w:type="spellStart"/>
      <w:r w:rsidR="00581C05" w:rsidRPr="00581C05">
        <w:t>rSBA</w:t>
      </w:r>
      <w:proofErr w:type="spellEnd"/>
      <w:r w:rsidR="00581C05" w:rsidRPr="00581C05">
        <w:t xml:space="preserve"> GMTs for each of the four meningococcal </w:t>
      </w:r>
      <w:proofErr w:type="spellStart"/>
      <w:r w:rsidR="00581C05" w:rsidRPr="00581C05">
        <w:t>serogroups</w:t>
      </w:r>
      <w:proofErr w:type="spellEnd"/>
      <w:r w:rsidR="00581C05" w:rsidRPr="00581C05">
        <w:t xml:space="preserve"> were observed one month post boost in </w:t>
      </w:r>
      <w:proofErr w:type="spellStart"/>
      <w:r w:rsidR="00581C05" w:rsidRPr="00581C05">
        <w:t>MenACWY</w:t>
      </w:r>
      <w:proofErr w:type="spellEnd"/>
      <w:r w:rsidR="00581C05" w:rsidRPr="00581C05">
        <w:t xml:space="preserve">-TT </w:t>
      </w:r>
      <w:proofErr w:type="spellStart"/>
      <w:r w:rsidR="00581C05" w:rsidRPr="00581C05">
        <w:t>vacinees</w:t>
      </w:r>
      <w:proofErr w:type="spellEnd"/>
      <w:r w:rsidR="00581C05" w:rsidRPr="00581C05">
        <w:t xml:space="preserve">. Increases in </w:t>
      </w:r>
      <w:proofErr w:type="spellStart"/>
      <w:r w:rsidR="00581C05" w:rsidRPr="00581C05">
        <w:t>rSBA</w:t>
      </w:r>
      <w:proofErr w:type="spellEnd"/>
      <w:r w:rsidR="00581C05" w:rsidRPr="00581C05">
        <w:t xml:space="preserve"> GMTs were also observed in subjects primed with the </w:t>
      </w:r>
      <w:proofErr w:type="spellStart"/>
      <w:r w:rsidR="00581C05" w:rsidRPr="00581C05">
        <w:t>MenC</w:t>
      </w:r>
      <w:proofErr w:type="spellEnd"/>
      <w:r w:rsidR="00581C05" w:rsidRPr="00581C05">
        <w:t>-conjugate con</w:t>
      </w:r>
      <w:r w:rsidR="008E6D1D">
        <w:t xml:space="preserve">trol vaccine </w:t>
      </w:r>
      <w:proofErr w:type="spellStart"/>
      <w:r w:rsidR="008E6D1D">
        <w:t>Meningitec</w:t>
      </w:r>
      <w:proofErr w:type="spellEnd"/>
      <w:r w:rsidR="008E6D1D">
        <w:t xml:space="preserve"> for </w:t>
      </w:r>
      <w:proofErr w:type="spellStart"/>
      <w:r w:rsidR="008E6D1D">
        <w:t>Men</w:t>
      </w:r>
      <w:r w:rsidR="00581C05" w:rsidRPr="00581C05">
        <w:t>C</w:t>
      </w:r>
      <w:proofErr w:type="spellEnd"/>
      <w:r w:rsidR="00581C05" w:rsidRPr="00581C05">
        <w:t xml:space="preserve">. </w:t>
      </w:r>
    </w:p>
    <w:p w:rsidR="00972597" w:rsidRPr="00581C05" w:rsidRDefault="00972597" w:rsidP="002B4819">
      <w:r>
        <w:t xml:space="preserve">Details of the PD studies are in the Extract from the Clinical evaluation Report (CER) at Attachment 2 of this </w:t>
      </w:r>
      <w:proofErr w:type="spellStart"/>
      <w:r>
        <w:t>AusPAR</w:t>
      </w:r>
      <w:proofErr w:type="spellEnd"/>
      <w:r>
        <w:t>.</w:t>
      </w:r>
    </w:p>
    <w:p w:rsidR="008E7846" w:rsidRPr="00FD117B" w:rsidRDefault="00CD251E" w:rsidP="002B4819">
      <w:pPr>
        <w:pStyle w:val="Heading4"/>
      </w:pPr>
      <w:r w:rsidRPr="00FD117B">
        <w:t xml:space="preserve">Evaluator’s </w:t>
      </w:r>
      <w:r w:rsidR="00FD117B" w:rsidRPr="00FD117B">
        <w:t xml:space="preserve">overall </w:t>
      </w:r>
      <w:r w:rsidRPr="00FD117B">
        <w:t xml:space="preserve">conclusion on </w:t>
      </w:r>
      <w:proofErr w:type="spellStart"/>
      <w:r w:rsidRPr="00FD117B">
        <w:t>pharmacodynamics</w:t>
      </w:r>
      <w:proofErr w:type="spellEnd"/>
    </w:p>
    <w:p w:rsidR="00FD117B" w:rsidRPr="00FD117B" w:rsidRDefault="00FD117B" w:rsidP="002B4819">
      <w:r w:rsidRPr="00FD117B">
        <w:t>A robust series of PD studies with immunogenicity and safety data provided in studies using appropriate comparator meningococcal vaccines (including conjugate formulations) in toddlers, adolescents and adults (≤</w:t>
      </w:r>
      <w:r w:rsidR="004017F9">
        <w:t xml:space="preserve"> </w:t>
      </w:r>
      <w:r w:rsidRPr="00FD117B">
        <w:t>55 y</w:t>
      </w:r>
      <w:r w:rsidR="005D5924">
        <w:t>ea</w:t>
      </w:r>
      <w:r w:rsidRPr="00FD117B">
        <w:t>rs old). These data supported the Phase III programme using the 3</w:t>
      </w:r>
      <w:r w:rsidRPr="00FD117B">
        <w:rPr>
          <w:vertAlign w:val="superscript"/>
        </w:rPr>
        <w:t>rd</w:t>
      </w:r>
      <w:r w:rsidRPr="00FD117B">
        <w:t xml:space="preserve"> generation formulation of this </w:t>
      </w:r>
      <w:proofErr w:type="spellStart"/>
      <w:r w:rsidRPr="00FD117B">
        <w:t>quadrivalent</w:t>
      </w:r>
      <w:proofErr w:type="spellEnd"/>
      <w:r w:rsidRPr="00FD117B">
        <w:t xml:space="preserve"> conjugate meningococcal vaccine. </w:t>
      </w:r>
    </w:p>
    <w:p w:rsidR="00FD117B" w:rsidRPr="00FD117B" w:rsidRDefault="00FD117B" w:rsidP="002B4819">
      <w:pPr>
        <w:pStyle w:val="Heading3"/>
      </w:pPr>
      <w:bookmarkStart w:id="82" w:name="_Toc372213236"/>
      <w:bookmarkStart w:id="83" w:name="_Toc375119724"/>
      <w:r w:rsidRPr="00FD117B">
        <w:lastRenderedPageBreak/>
        <w:t>Dosage selection for the pivotal studies</w:t>
      </w:r>
      <w:bookmarkEnd w:id="82"/>
      <w:bookmarkEnd w:id="83"/>
    </w:p>
    <w:p w:rsidR="00CD251E" w:rsidRPr="00CD251E" w:rsidRDefault="00FD117B" w:rsidP="002B4819">
      <w:r w:rsidRPr="00FD117B">
        <w:t>The selected dose was 0.5</w:t>
      </w:r>
      <w:r w:rsidR="006F1C56">
        <w:t xml:space="preserve"> </w:t>
      </w:r>
      <w:proofErr w:type="spellStart"/>
      <w:r w:rsidRPr="00FD117B">
        <w:t>mL</w:t>
      </w:r>
      <w:proofErr w:type="spellEnd"/>
      <w:r w:rsidRPr="00FD117B">
        <w:t xml:space="preserve"> (after dilution) IM for age groups 1-55 years, containing the antigen and </w:t>
      </w:r>
      <w:proofErr w:type="spellStart"/>
      <w:r w:rsidRPr="00FD117B">
        <w:t>excipient</w:t>
      </w:r>
      <w:proofErr w:type="spellEnd"/>
      <w:r w:rsidRPr="00FD117B">
        <w:t xml:space="preserve"> components as proposed for registration.</w:t>
      </w:r>
    </w:p>
    <w:p w:rsidR="008E7846" w:rsidRPr="002B4819" w:rsidRDefault="008E7846" w:rsidP="002B4819">
      <w:pPr>
        <w:pStyle w:val="Heading3"/>
      </w:pPr>
      <w:bookmarkStart w:id="84" w:name="_Toc163441372"/>
      <w:bookmarkStart w:id="85" w:name="_Toc196046485"/>
      <w:bookmarkStart w:id="86" w:name="_Toc247691521"/>
      <w:bookmarkStart w:id="87" w:name="_Toc314842504"/>
      <w:bookmarkStart w:id="88" w:name="_Toc375119725"/>
      <w:r w:rsidRPr="00254787">
        <w:t>Efficacy</w:t>
      </w:r>
      <w:bookmarkEnd w:id="84"/>
      <w:bookmarkEnd w:id="85"/>
      <w:bookmarkEnd w:id="86"/>
      <w:bookmarkEnd w:id="87"/>
      <w:bookmarkEnd w:id="88"/>
    </w:p>
    <w:p w:rsidR="005164D6" w:rsidRPr="002B4819" w:rsidRDefault="005164D6" w:rsidP="002B4819">
      <w:pPr>
        <w:pStyle w:val="Heading4"/>
      </w:pPr>
      <w:bookmarkStart w:id="89" w:name="_Toc184439992"/>
      <w:bookmarkStart w:id="90" w:name="_Toc184440279"/>
      <w:bookmarkStart w:id="91" w:name="_Toc184444657"/>
      <w:bookmarkStart w:id="92" w:name="_Toc196046487"/>
      <w:r>
        <w:t>Studies providing efficacy data</w:t>
      </w:r>
    </w:p>
    <w:p w:rsidR="00FE7968" w:rsidRPr="00FE7968" w:rsidRDefault="00FE7968" w:rsidP="002B4819">
      <w:r>
        <w:t xml:space="preserve">Summaries of the </w:t>
      </w:r>
      <w:r w:rsidRPr="00FE7968">
        <w:t xml:space="preserve">Phase III efficacy studies in adolescents/adults (Table </w:t>
      </w:r>
      <w:r w:rsidR="00061A21">
        <w:t>1</w:t>
      </w:r>
      <w:r w:rsidRPr="00FE7968">
        <w:t>)</w:t>
      </w:r>
      <w:r w:rsidR="00972597">
        <w:t xml:space="preserve">, </w:t>
      </w:r>
      <w:r w:rsidR="00061A21">
        <w:t>children (Table 2</w:t>
      </w:r>
      <w:r w:rsidRPr="00FE7968">
        <w:t>)</w:t>
      </w:r>
      <w:r w:rsidR="00972597">
        <w:t xml:space="preserve"> and </w:t>
      </w:r>
      <w:r w:rsidR="00061A21">
        <w:t>toddlers (Table 3</w:t>
      </w:r>
      <w:r w:rsidRPr="00FE7968">
        <w:t>)</w:t>
      </w:r>
      <w:r>
        <w:t xml:space="preserve"> are provided below</w:t>
      </w:r>
      <w:r w:rsidRPr="00FE7968">
        <w:t xml:space="preserve">. </w:t>
      </w:r>
      <w:r w:rsidR="005D5924">
        <w:t xml:space="preserve">In addition, </w:t>
      </w:r>
      <w:r w:rsidR="005164D6">
        <w:t xml:space="preserve">2 </w:t>
      </w:r>
      <w:r w:rsidR="00F1189E" w:rsidRPr="00F1189E">
        <w:t>Phase III persistence</w:t>
      </w:r>
      <w:r w:rsidR="005164D6">
        <w:t xml:space="preserve"> studies (</w:t>
      </w:r>
      <w:r w:rsidR="005164D6" w:rsidRPr="005164D6">
        <w:t>MenACWY-TT-043 EXT- 036 Y2</w:t>
      </w:r>
      <w:r w:rsidR="005164D6">
        <w:t>, in a</w:t>
      </w:r>
      <w:r w:rsidR="005164D6" w:rsidRPr="005164D6">
        <w:t xml:space="preserve">dolescents </w:t>
      </w:r>
      <w:r w:rsidR="005164D6">
        <w:t xml:space="preserve">and </w:t>
      </w:r>
      <w:r w:rsidR="005164D6" w:rsidRPr="005164D6">
        <w:t xml:space="preserve">Study MenACWY-TT-048 EXT-039 Y2 </w:t>
      </w:r>
      <w:r w:rsidR="005164D6">
        <w:t>in t</w:t>
      </w:r>
      <w:r w:rsidR="005164D6" w:rsidRPr="005164D6">
        <w:t>oddlers</w:t>
      </w:r>
      <w:r w:rsidR="005164D6">
        <w:t>)</w:t>
      </w:r>
      <w:r w:rsidR="005164D6" w:rsidRPr="005164D6">
        <w:t xml:space="preserve"> </w:t>
      </w:r>
      <w:r w:rsidR="005164D6">
        <w:t xml:space="preserve">and the priming Study </w:t>
      </w:r>
      <w:r w:rsidR="00F1189E" w:rsidRPr="00F1189E">
        <w:t xml:space="preserve">MenACWY-TT-021 </w:t>
      </w:r>
      <w:r w:rsidR="005164D6">
        <w:t>were provided</w:t>
      </w:r>
      <w:r w:rsidRPr="00FE7968">
        <w:t>.</w:t>
      </w:r>
      <w:bookmarkStart w:id="93" w:name="_Toc290846274"/>
      <w:bookmarkStart w:id="94" w:name="_Toc272414652"/>
      <w:bookmarkStart w:id="95" w:name="_Ref271037274"/>
    </w:p>
    <w:p w:rsidR="00FE7968" w:rsidRPr="00FE7968" w:rsidRDefault="00FE7968" w:rsidP="00FE7968">
      <w:pPr>
        <w:sectPr w:rsidR="00FE7968" w:rsidRPr="00FE7968">
          <w:footerReference w:type="default" r:id="rId13"/>
          <w:pgSz w:w="11906" w:h="16838"/>
          <w:pgMar w:top="1440" w:right="1440" w:bottom="1440" w:left="1440" w:header="907" w:footer="216" w:gutter="0"/>
          <w:cols w:space="720"/>
        </w:sectPr>
      </w:pPr>
    </w:p>
    <w:p w:rsidR="00FE7968" w:rsidRPr="00FE7968" w:rsidRDefault="00061A21" w:rsidP="00F5637B">
      <w:pPr>
        <w:pStyle w:val="TableTitle"/>
      </w:pPr>
      <w:r>
        <w:lastRenderedPageBreak/>
        <w:t>Table 1</w:t>
      </w:r>
      <w:r w:rsidR="00FE7968" w:rsidRPr="00FE7968">
        <w:t>. Phase III studies in adolescent</w:t>
      </w:r>
      <w:r w:rsidR="004017F9">
        <w:t>s</w:t>
      </w:r>
      <w:r w:rsidR="00FE7968" w:rsidRPr="00FE7968">
        <w:t>/adult</w:t>
      </w:r>
      <w:r w:rsidR="004017F9">
        <w:t>s</w:t>
      </w:r>
      <w:r w:rsidR="00FE7968" w:rsidRPr="00FE7968">
        <w:t xml:space="preserve"> </w:t>
      </w:r>
    </w:p>
    <w:p w:rsidR="00FE7968" w:rsidRPr="00FE7968" w:rsidRDefault="00FE7968" w:rsidP="00F5637B">
      <w:r w:rsidRPr="00FE7968">
        <w:rPr>
          <w:noProof/>
          <w:lang w:eastAsia="en-AU"/>
        </w:rPr>
        <w:drawing>
          <wp:inline distT="0" distB="0" distL="0" distR="0">
            <wp:extent cx="8740140" cy="5288280"/>
            <wp:effectExtent l="19050" t="0" r="3810" b="0"/>
            <wp:docPr id="135" name="Picture 1" descr="Table 1. Phase III studies in adolescents/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740140" cy="5288280"/>
                    </a:xfrm>
                    <a:prstGeom prst="rect">
                      <a:avLst/>
                    </a:prstGeom>
                    <a:noFill/>
                    <a:ln w="9525">
                      <a:noFill/>
                      <a:miter lim="800000"/>
                      <a:headEnd/>
                      <a:tailEnd/>
                    </a:ln>
                  </pic:spPr>
                </pic:pic>
              </a:graphicData>
            </a:graphic>
          </wp:inline>
        </w:drawing>
      </w:r>
    </w:p>
    <w:p w:rsidR="00FE7968" w:rsidRPr="00FE7968" w:rsidRDefault="00061A21" w:rsidP="00F5637B">
      <w:pPr>
        <w:pStyle w:val="TableTitle"/>
      </w:pPr>
      <w:r>
        <w:lastRenderedPageBreak/>
        <w:t>Table 1</w:t>
      </w:r>
      <w:r w:rsidR="00FE7968" w:rsidRPr="00FE7968">
        <w:t xml:space="preserve"> continued. Phase III studies in adolescent</w:t>
      </w:r>
      <w:r w:rsidR="004017F9">
        <w:t>s</w:t>
      </w:r>
      <w:r w:rsidR="00FE7968" w:rsidRPr="00FE7968">
        <w:t>/adult</w:t>
      </w:r>
      <w:r w:rsidR="004017F9">
        <w:t>s</w:t>
      </w:r>
      <w:r w:rsidR="00FE7968" w:rsidRPr="00FE7968">
        <w:t xml:space="preserve"> </w:t>
      </w:r>
    </w:p>
    <w:p w:rsidR="00FE7968" w:rsidRPr="00FE7968" w:rsidRDefault="00FE7968" w:rsidP="00FE7968">
      <w:r w:rsidRPr="00FE7968">
        <w:rPr>
          <w:noProof/>
          <w:lang w:eastAsia="en-AU"/>
        </w:rPr>
        <w:drawing>
          <wp:inline distT="0" distB="0" distL="0" distR="0">
            <wp:extent cx="8961120" cy="2834640"/>
            <wp:effectExtent l="19050" t="0" r="0" b="0"/>
            <wp:docPr id="136" name="Picture 4" descr="Table 1 continued. Phase III studies in adolescents/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8961120" cy="2834640"/>
                    </a:xfrm>
                    <a:prstGeom prst="rect">
                      <a:avLst/>
                    </a:prstGeom>
                    <a:noFill/>
                    <a:ln w="9525">
                      <a:noFill/>
                      <a:miter lim="800000"/>
                      <a:headEnd/>
                      <a:tailEnd/>
                    </a:ln>
                  </pic:spPr>
                </pic:pic>
              </a:graphicData>
            </a:graphic>
          </wp:inline>
        </w:drawing>
      </w:r>
    </w:p>
    <w:p w:rsidR="00FE7968" w:rsidRPr="00FE7968" w:rsidRDefault="00061A21" w:rsidP="00F5637B">
      <w:pPr>
        <w:pStyle w:val="TableTitle"/>
      </w:pPr>
      <w:r>
        <w:lastRenderedPageBreak/>
        <w:t>Table 1</w:t>
      </w:r>
      <w:r w:rsidR="00FE7968" w:rsidRPr="00FE7968">
        <w:t xml:space="preserve"> continued. Phase III studies in adolescent</w:t>
      </w:r>
      <w:r w:rsidR="004017F9">
        <w:t>s</w:t>
      </w:r>
      <w:r w:rsidR="00FE7968" w:rsidRPr="00FE7968">
        <w:t>/adult</w:t>
      </w:r>
      <w:r w:rsidR="004017F9">
        <w:t>s</w:t>
      </w:r>
      <w:r w:rsidR="00FE7968" w:rsidRPr="00FE7968">
        <w:t xml:space="preserve"> </w:t>
      </w:r>
    </w:p>
    <w:p w:rsidR="00FE7968" w:rsidRPr="00FE7968" w:rsidRDefault="00FE7968" w:rsidP="00F5637B">
      <w:r w:rsidRPr="00FE7968">
        <w:rPr>
          <w:noProof/>
          <w:lang w:eastAsia="en-AU"/>
        </w:rPr>
        <w:drawing>
          <wp:inline distT="0" distB="0" distL="0" distR="0">
            <wp:extent cx="8839200" cy="5349240"/>
            <wp:effectExtent l="19050" t="0" r="0" b="0"/>
            <wp:docPr id="137" name="Picture 7" descr="Table 1 continued. Phase III studies in adolescents/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839200" cy="5349240"/>
                    </a:xfrm>
                    <a:prstGeom prst="rect">
                      <a:avLst/>
                    </a:prstGeom>
                    <a:noFill/>
                    <a:ln w="9525">
                      <a:noFill/>
                      <a:miter lim="800000"/>
                      <a:headEnd/>
                      <a:tailEnd/>
                    </a:ln>
                  </pic:spPr>
                </pic:pic>
              </a:graphicData>
            </a:graphic>
          </wp:inline>
        </w:drawing>
      </w:r>
    </w:p>
    <w:p w:rsidR="00FE7968" w:rsidRPr="00FE7968" w:rsidRDefault="00061A21" w:rsidP="00F5637B">
      <w:pPr>
        <w:pStyle w:val="TableTitle"/>
      </w:pPr>
      <w:r>
        <w:lastRenderedPageBreak/>
        <w:t>Table 1</w:t>
      </w:r>
      <w:r w:rsidR="00FE7968" w:rsidRPr="00FE7968">
        <w:t xml:space="preserve"> continued. Phase III studies in adolescent</w:t>
      </w:r>
      <w:r w:rsidR="004017F9">
        <w:t>s</w:t>
      </w:r>
      <w:r w:rsidR="00FE7968" w:rsidRPr="00FE7968">
        <w:t>/adult</w:t>
      </w:r>
      <w:r w:rsidR="004017F9">
        <w:t>s</w:t>
      </w:r>
      <w:r w:rsidR="00FE7968" w:rsidRPr="00FE7968">
        <w:t xml:space="preserve"> </w:t>
      </w:r>
    </w:p>
    <w:p w:rsidR="00FE7968" w:rsidRPr="00FE7968" w:rsidRDefault="00FE7968" w:rsidP="00F5637B">
      <w:r w:rsidRPr="00FE7968">
        <w:rPr>
          <w:noProof/>
          <w:lang w:eastAsia="en-AU"/>
        </w:rPr>
        <w:drawing>
          <wp:inline distT="0" distB="0" distL="0" distR="0">
            <wp:extent cx="8900160" cy="1463040"/>
            <wp:effectExtent l="19050" t="0" r="0" b="0"/>
            <wp:docPr id="138" name="Picture 10" descr="Table 1 continued. Phase III studies in adolescents/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8900160" cy="1463040"/>
                    </a:xfrm>
                    <a:prstGeom prst="rect">
                      <a:avLst/>
                    </a:prstGeom>
                    <a:noFill/>
                    <a:ln w="9525">
                      <a:noFill/>
                      <a:miter lim="800000"/>
                      <a:headEnd/>
                      <a:tailEnd/>
                    </a:ln>
                  </pic:spPr>
                </pic:pic>
              </a:graphicData>
            </a:graphic>
          </wp:inline>
        </w:drawing>
      </w:r>
    </w:p>
    <w:p w:rsidR="00FE7968" w:rsidRPr="00FE7968" w:rsidRDefault="00061A21" w:rsidP="00F5637B">
      <w:pPr>
        <w:pStyle w:val="TableTitle"/>
      </w:pPr>
      <w:r>
        <w:lastRenderedPageBreak/>
        <w:t>Table 1</w:t>
      </w:r>
      <w:r w:rsidR="00FE7968" w:rsidRPr="00FE7968">
        <w:t xml:space="preserve"> continued. Phase III studies in adolescent</w:t>
      </w:r>
      <w:r w:rsidR="004017F9">
        <w:t>s</w:t>
      </w:r>
      <w:r w:rsidR="00FE7968" w:rsidRPr="00FE7968">
        <w:t>/adult</w:t>
      </w:r>
      <w:r w:rsidR="004017F9">
        <w:t>s</w:t>
      </w:r>
      <w:r w:rsidR="00FE7968" w:rsidRPr="00FE7968">
        <w:t xml:space="preserve"> </w:t>
      </w:r>
    </w:p>
    <w:p w:rsidR="00FE7968" w:rsidRPr="00FE7968" w:rsidRDefault="00FE7968" w:rsidP="00F5637B">
      <w:r w:rsidRPr="00FE7968">
        <w:rPr>
          <w:noProof/>
          <w:lang w:eastAsia="en-AU"/>
        </w:rPr>
        <w:drawing>
          <wp:inline distT="0" distB="0" distL="0" distR="0">
            <wp:extent cx="8740140" cy="5273040"/>
            <wp:effectExtent l="19050" t="0" r="3810" b="0"/>
            <wp:docPr id="139" name="Picture 13" descr="Table 1 continued. Phase III studies in adolescents/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8740140" cy="5273040"/>
                    </a:xfrm>
                    <a:prstGeom prst="rect">
                      <a:avLst/>
                    </a:prstGeom>
                    <a:noFill/>
                    <a:ln w="9525">
                      <a:noFill/>
                      <a:miter lim="800000"/>
                      <a:headEnd/>
                      <a:tailEnd/>
                    </a:ln>
                  </pic:spPr>
                </pic:pic>
              </a:graphicData>
            </a:graphic>
          </wp:inline>
        </w:drawing>
      </w:r>
    </w:p>
    <w:p w:rsidR="00FE7968" w:rsidRPr="00FE7968" w:rsidRDefault="00061A21" w:rsidP="00F5637B">
      <w:pPr>
        <w:pStyle w:val="TableTitle"/>
      </w:pPr>
      <w:r>
        <w:lastRenderedPageBreak/>
        <w:t>Table 1</w:t>
      </w:r>
      <w:r w:rsidR="00FE7968" w:rsidRPr="00FE7968">
        <w:t xml:space="preserve"> continued. Phase III studies in adolescent</w:t>
      </w:r>
      <w:r w:rsidR="004017F9">
        <w:t>s</w:t>
      </w:r>
      <w:r w:rsidR="00FE7968" w:rsidRPr="00FE7968">
        <w:t>/adult</w:t>
      </w:r>
      <w:r w:rsidR="004017F9">
        <w:t>s</w:t>
      </w:r>
      <w:r w:rsidR="00FE7968" w:rsidRPr="00FE7968">
        <w:t xml:space="preserve"> </w:t>
      </w:r>
    </w:p>
    <w:p w:rsidR="00FE7968" w:rsidRPr="00FE7968" w:rsidRDefault="00FE7968" w:rsidP="00FE7968">
      <w:r w:rsidRPr="00FE7968">
        <w:rPr>
          <w:noProof/>
          <w:lang w:eastAsia="en-AU"/>
        </w:rPr>
        <w:drawing>
          <wp:inline distT="0" distB="0" distL="0" distR="0">
            <wp:extent cx="8991600" cy="3497580"/>
            <wp:effectExtent l="19050" t="0" r="0" b="0"/>
            <wp:docPr id="140" name="Picture 16" descr="Table 1 continued. Phase III studies in adolescents/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8991600" cy="3497580"/>
                    </a:xfrm>
                    <a:prstGeom prst="rect">
                      <a:avLst/>
                    </a:prstGeom>
                    <a:noFill/>
                    <a:ln w="9525">
                      <a:noFill/>
                      <a:miter lim="800000"/>
                      <a:headEnd/>
                      <a:tailEnd/>
                    </a:ln>
                  </pic:spPr>
                </pic:pic>
              </a:graphicData>
            </a:graphic>
          </wp:inline>
        </w:drawing>
      </w:r>
    </w:p>
    <w:p w:rsidR="00FE7968" w:rsidRPr="00FE7968" w:rsidRDefault="00FE7968" w:rsidP="00F5637B">
      <w:pPr>
        <w:pStyle w:val="TableTitle"/>
      </w:pPr>
      <w:r w:rsidRPr="00FE7968">
        <w:lastRenderedPageBreak/>
        <w:t xml:space="preserve">Table </w:t>
      </w:r>
      <w:r w:rsidR="00061A21">
        <w:t>1</w:t>
      </w:r>
      <w:r w:rsidRPr="00FE7968">
        <w:t xml:space="preserve"> continued. Phase III studies in adolescent</w:t>
      </w:r>
      <w:r w:rsidR="004017F9">
        <w:t>s</w:t>
      </w:r>
      <w:r w:rsidRPr="00FE7968">
        <w:t>/adult</w:t>
      </w:r>
      <w:r w:rsidR="004017F9">
        <w:t>s</w:t>
      </w:r>
      <w:r w:rsidRPr="00FE7968">
        <w:t xml:space="preserve"> </w:t>
      </w:r>
    </w:p>
    <w:p w:rsidR="00FE7968" w:rsidRPr="00FE7968" w:rsidRDefault="00FE7968" w:rsidP="00FE7968">
      <w:r w:rsidRPr="00FE7968">
        <w:rPr>
          <w:noProof/>
          <w:lang w:eastAsia="en-AU"/>
        </w:rPr>
        <w:drawing>
          <wp:inline distT="0" distB="0" distL="0" distR="0">
            <wp:extent cx="9090660" cy="4968240"/>
            <wp:effectExtent l="19050" t="0" r="0" b="0"/>
            <wp:docPr id="141" name="Picture 19" descr="Table 1 continued. Phase III studies in adolescents/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9090660" cy="4968240"/>
                    </a:xfrm>
                    <a:prstGeom prst="rect">
                      <a:avLst/>
                    </a:prstGeom>
                    <a:noFill/>
                    <a:ln w="9525">
                      <a:noFill/>
                      <a:miter lim="800000"/>
                      <a:headEnd/>
                      <a:tailEnd/>
                    </a:ln>
                  </pic:spPr>
                </pic:pic>
              </a:graphicData>
            </a:graphic>
          </wp:inline>
        </w:drawing>
      </w:r>
    </w:p>
    <w:p w:rsidR="00FE7968" w:rsidRPr="00FE7968" w:rsidRDefault="00061A21" w:rsidP="00F5637B">
      <w:pPr>
        <w:pStyle w:val="TableTitle"/>
      </w:pPr>
      <w:r>
        <w:lastRenderedPageBreak/>
        <w:t>Table 2</w:t>
      </w:r>
      <w:r w:rsidR="00FE7968" w:rsidRPr="00FE7968">
        <w:t xml:space="preserve">. Phase III efficacy studies in children </w:t>
      </w:r>
    </w:p>
    <w:p w:rsidR="00FE7968" w:rsidRPr="00FE7968" w:rsidRDefault="00FE7968" w:rsidP="00F5637B">
      <w:r w:rsidRPr="00FE7968">
        <w:rPr>
          <w:noProof/>
          <w:lang w:eastAsia="en-AU"/>
        </w:rPr>
        <w:drawing>
          <wp:inline distT="0" distB="0" distL="0" distR="0">
            <wp:extent cx="8732520" cy="5234940"/>
            <wp:effectExtent l="19050" t="0" r="0" b="0"/>
            <wp:docPr id="142" name="Picture 22" descr="Table 2. Phase III efficacy studie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8732520" cy="5234940"/>
                    </a:xfrm>
                    <a:prstGeom prst="rect">
                      <a:avLst/>
                    </a:prstGeom>
                    <a:noFill/>
                    <a:ln w="9525">
                      <a:noFill/>
                      <a:miter lim="800000"/>
                      <a:headEnd/>
                      <a:tailEnd/>
                    </a:ln>
                  </pic:spPr>
                </pic:pic>
              </a:graphicData>
            </a:graphic>
          </wp:inline>
        </w:drawing>
      </w:r>
    </w:p>
    <w:p w:rsidR="00FE7968" w:rsidRPr="00FE7968" w:rsidRDefault="00FE7968" w:rsidP="00F5637B">
      <w:pPr>
        <w:pStyle w:val="TableTitle"/>
      </w:pPr>
      <w:r w:rsidRPr="00FE7968">
        <w:lastRenderedPageBreak/>
        <w:t xml:space="preserve">Table </w:t>
      </w:r>
      <w:r w:rsidR="00061A21">
        <w:t>2</w:t>
      </w:r>
      <w:r w:rsidRPr="00FE7968">
        <w:t xml:space="preserve"> continued. Phase III efficacy studies in children </w:t>
      </w:r>
    </w:p>
    <w:p w:rsidR="00FE7968" w:rsidRPr="00FE7968" w:rsidRDefault="00FE7968" w:rsidP="00FE7968">
      <w:r w:rsidRPr="00FE7968">
        <w:rPr>
          <w:noProof/>
          <w:lang w:eastAsia="en-AU"/>
        </w:rPr>
        <w:drawing>
          <wp:inline distT="0" distB="0" distL="0" distR="0">
            <wp:extent cx="8945880" cy="3154680"/>
            <wp:effectExtent l="19050" t="0" r="7620" b="0"/>
            <wp:docPr id="143" name="Picture 25" descr="Table 2 continued. Phase III efficacy studies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8945880" cy="3154680"/>
                    </a:xfrm>
                    <a:prstGeom prst="rect">
                      <a:avLst/>
                    </a:prstGeom>
                    <a:noFill/>
                    <a:ln w="9525">
                      <a:noFill/>
                      <a:miter lim="800000"/>
                      <a:headEnd/>
                      <a:tailEnd/>
                    </a:ln>
                  </pic:spPr>
                </pic:pic>
              </a:graphicData>
            </a:graphic>
          </wp:inline>
        </w:drawing>
      </w:r>
    </w:p>
    <w:p w:rsidR="00F5637B" w:rsidRDefault="00061A21" w:rsidP="0040173E">
      <w:pPr>
        <w:pStyle w:val="TableTitle"/>
      </w:pPr>
      <w:r>
        <w:lastRenderedPageBreak/>
        <w:t>Table 2</w:t>
      </w:r>
      <w:r w:rsidR="00FE7968" w:rsidRPr="00FE7968">
        <w:t xml:space="preserve"> continued. Phase III efficacy studies in children</w:t>
      </w:r>
    </w:p>
    <w:p w:rsidR="00FE7968" w:rsidRPr="00FE7968" w:rsidRDefault="00FE7968" w:rsidP="00FE7968">
      <w:pPr>
        <w:rPr>
          <w:b/>
        </w:rPr>
      </w:pPr>
      <w:r w:rsidRPr="00FE7968">
        <w:rPr>
          <w:noProof/>
          <w:lang w:eastAsia="en-AU"/>
        </w:rPr>
        <w:drawing>
          <wp:inline distT="0" distB="0" distL="0" distR="0">
            <wp:extent cx="8953500" cy="5356860"/>
            <wp:effectExtent l="19050" t="0" r="0" b="0"/>
            <wp:docPr id="144" name="Picture 28" descr="Table 2 continued. Phase III efficacy studies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8953500" cy="535686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2</w:t>
      </w:r>
      <w:r w:rsidR="00FE7968" w:rsidRPr="00FE7968">
        <w:t xml:space="preserve"> continued. Phase III efficacy studies in children </w:t>
      </w:r>
    </w:p>
    <w:p w:rsidR="00FE7968" w:rsidRPr="00FE7968" w:rsidRDefault="00FE7968" w:rsidP="00FE7968">
      <w:r w:rsidRPr="00FE7968">
        <w:rPr>
          <w:noProof/>
          <w:lang w:eastAsia="en-AU"/>
        </w:rPr>
        <w:drawing>
          <wp:inline distT="0" distB="0" distL="0" distR="0">
            <wp:extent cx="8884920" cy="2758440"/>
            <wp:effectExtent l="19050" t="0" r="0" b="0"/>
            <wp:docPr id="145" name="Picture 31" descr="Table 2 continued. Phase III efficacy studies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8884920" cy="275844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3</w:t>
      </w:r>
      <w:r w:rsidR="00FE7968" w:rsidRPr="00FE7968">
        <w:t>.</w:t>
      </w:r>
      <w:r w:rsidR="004017F9">
        <w:t xml:space="preserve"> Phase III efficacy studies in t</w:t>
      </w:r>
      <w:r w:rsidR="00FE7968" w:rsidRPr="00FE7968">
        <w:t xml:space="preserve">oddlers </w:t>
      </w:r>
    </w:p>
    <w:p w:rsidR="00FE7968" w:rsidRPr="00FE7968" w:rsidRDefault="00FE7968" w:rsidP="00FE7968">
      <w:r w:rsidRPr="00FE7968">
        <w:rPr>
          <w:noProof/>
          <w:lang w:eastAsia="en-AU"/>
        </w:rPr>
        <w:drawing>
          <wp:inline distT="0" distB="0" distL="0" distR="0">
            <wp:extent cx="8915400" cy="4533900"/>
            <wp:effectExtent l="19050" t="0" r="0" b="0"/>
            <wp:docPr id="146" name="Picture 34" descr="Table 3.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t="833"/>
                    <a:stretch>
                      <a:fillRect/>
                    </a:stretch>
                  </pic:blipFill>
                  <pic:spPr bwMode="auto">
                    <a:xfrm>
                      <a:off x="0" y="0"/>
                      <a:ext cx="8915400" cy="453390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3</w:t>
      </w:r>
      <w:r w:rsidR="00FE7968" w:rsidRPr="00FE7968">
        <w:t xml:space="preserve"> continued.</w:t>
      </w:r>
      <w:r w:rsidR="004017F9">
        <w:t xml:space="preserve"> Phase III efficacy studies in t</w:t>
      </w:r>
      <w:r w:rsidR="00FE7968" w:rsidRPr="00FE7968">
        <w:t xml:space="preserve">oddlers </w:t>
      </w:r>
    </w:p>
    <w:p w:rsidR="00FE7968" w:rsidRPr="00FE7968" w:rsidRDefault="00FE7968" w:rsidP="00F5637B">
      <w:r w:rsidRPr="00FE7968">
        <w:rPr>
          <w:noProof/>
          <w:lang w:eastAsia="en-AU"/>
        </w:rPr>
        <w:drawing>
          <wp:inline distT="0" distB="0" distL="0" distR="0">
            <wp:extent cx="8747760" cy="5295900"/>
            <wp:effectExtent l="19050" t="0" r="0" b="0"/>
            <wp:docPr id="147" name="Picture 37" descr="Table 3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8747760" cy="5295900"/>
                    </a:xfrm>
                    <a:prstGeom prst="rect">
                      <a:avLst/>
                    </a:prstGeom>
                    <a:noFill/>
                    <a:ln w="9525">
                      <a:noFill/>
                      <a:miter lim="800000"/>
                      <a:headEnd/>
                      <a:tailEnd/>
                    </a:ln>
                  </pic:spPr>
                </pic:pic>
              </a:graphicData>
            </a:graphic>
          </wp:inline>
        </w:drawing>
      </w:r>
    </w:p>
    <w:p w:rsidR="00FE7968" w:rsidRPr="00FE7968" w:rsidRDefault="00FE7968" w:rsidP="00F5637B">
      <w:pPr>
        <w:pStyle w:val="TableTitle"/>
      </w:pPr>
      <w:r w:rsidRPr="00FE7968">
        <w:lastRenderedPageBreak/>
        <w:t xml:space="preserve">Table </w:t>
      </w:r>
      <w:r w:rsidR="00E02A1E">
        <w:t>3</w:t>
      </w:r>
      <w:r w:rsidRPr="00FE7968">
        <w:t xml:space="preserve"> continued.</w:t>
      </w:r>
      <w:r w:rsidR="004017F9">
        <w:t xml:space="preserve"> Phase III efficacy studies in t</w:t>
      </w:r>
      <w:r w:rsidRPr="00FE7968">
        <w:t>oddlers</w:t>
      </w:r>
    </w:p>
    <w:p w:rsidR="00FE7968" w:rsidRPr="00FE7968" w:rsidRDefault="00FE7968" w:rsidP="00FE7968">
      <w:r w:rsidRPr="00FE7968">
        <w:rPr>
          <w:noProof/>
          <w:lang w:eastAsia="en-AU"/>
        </w:rPr>
        <w:drawing>
          <wp:inline distT="0" distB="0" distL="0" distR="0">
            <wp:extent cx="9029700" cy="1607820"/>
            <wp:effectExtent l="19050" t="0" r="0" b="0"/>
            <wp:docPr id="148" name="Picture 40" descr="Table 3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9029700" cy="160782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3</w:t>
      </w:r>
      <w:r w:rsidR="00FE7968" w:rsidRPr="00FE7968">
        <w:t xml:space="preserve"> continued.</w:t>
      </w:r>
      <w:r w:rsidR="004017F9">
        <w:t xml:space="preserve"> Phase III efficacy studies in t</w:t>
      </w:r>
      <w:r w:rsidR="00FE7968" w:rsidRPr="00FE7968">
        <w:t xml:space="preserve">oddlers </w:t>
      </w:r>
    </w:p>
    <w:p w:rsidR="00FE7968" w:rsidRPr="00FE7968" w:rsidRDefault="00FE7968" w:rsidP="00FE7968">
      <w:r w:rsidRPr="00FE7968">
        <w:rPr>
          <w:noProof/>
          <w:lang w:eastAsia="en-AU"/>
        </w:rPr>
        <w:drawing>
          <wp:inline distT="0" distB="0" distL="0" distR="0">
            <wp:extent cx="8991600" cy="4389120"/>
            <wp:effectExtent l="19050" t="0" r="0" b="0"/>
            <wp:docPr id="149" name="Picture 43" descr="Table 3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8991600" cy="438912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3</w:t>
      </w:r>
      <w:r w:rsidR="00FE7968" w:rsidRPr="00FE7968">
        <w:t xml:space="preserve"> continued.</w:t>
      </w:r>
      <w:r w:rsidR="004017F9">
        <w:t xml:space="preserve"> Phase III efficacy studies in t</w:t>
      </w:r>
      <w:r w:rsidR="00FE7968" w:rsidRPr="00FE7968">
        <w:t xml:space="preserve">oddlers </w:t>
      </w:r>
    </w:p>
    <w:p w:rsidR="00FE7968" w:rsidRPr="00FE7968" w:rsidRDefault="00FE7968" w:rsidP="00F5637B">
      <w:r w:rsidRPr="00FE7968">
        <w:rPr>
          <w:noProof/>
          <w:lang w:eastAsia="en-AU"/>
        </w:rPr>
        <w:drawing>
          <wp:inline distT="0" distB="0" distL="0" distR="0">
            <wp:extent cx="8907780" cy="5242560"/>
            <wp:effectExtent l="19050" t="0" r="7620" b="0"/>
            <wp:docPr id="150" name="Picture 46" descr="Table 3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8907780" cy="524256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3</w:t>
      </w:r>
      <w:r w:rsidR="00FE7968" w:rsidRPr="00FE7968">
        <w:t xml:space="preserve"> continued. </w:t>
      </w:r>
      <w:r w:rsidR="004017F9">
        <w:t>Phase III efficacy studies in t</w:t>
      </w:r>
      <w:r w:rsidR="00FE7968" w:rsidRPr="00FE7968">
        <w:t>oddlers</w:t>
      </w:r>
    </w:p>
    <w:p w:rsidR="00FE7968" w:rsidRPr="00FE7968" w:rsidRDefault="00FE7968" w:rsidP="00FE7968">
      <w:r w:rsidRPr="00FE7968">
        <w:rPr>
          <w:noProof/>
          <w:lang w:eastAsia="en-AU"/>
        </w:rPr>
        <w:drawing>
          <wp:inline distT="0" distB="0" distL="0" distR="0">
            <wp:extent cx="8930640" cy="2606040"/>
            <wp:effectExtent l="19050" t="0" r="3810" b="0"/>
            <wp:docPr id="151" name="Picture 49" descr="Table 3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8930640" cy="260604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3</w:t>
      </w:r>
      <w:r w:rsidR="00FE7968" w:rsidRPr="00FE7968">
        <w:t xml:space="preserve"> continued.</w:t>
      </w:r>
      <w:r w:rsidR="004017F9">
        <w:t xml:space="preserve"> Phase III efficacy studies in t</w:t>
      </w:r>
      <w:r w:rsidR="00FE7968" w:rsidRPr="00FE7968">
        <w:t xml:space="preserve">oddlers </w:t>
      </w:r>
    </w:p>
    <w:p w:rsidR="00F5637B" w:rsidRDefault="00FE7968" w:rsidP="00F5637B">
      <w:pPr>
        <w:rPr>
          <w:b/>
        </w:rPr>
      </w:pPr>
      <w:r w:rsidRPr="00FE7968">
        <w:rPr>
          <w:noProof/>
          <w:lang w:eastAsia="en-AU"/>
        </w:rPr>
        <w:drawing>
          <wp:inline distT="0" distB="0" distL="0" distR="0">
            <wp:extent cx="8839200" cy="5349240"/>
            <wp:effectExtent l="19050" t="0" r="0" b="0"/>
            <wp:docPr id="152" name="Picture 52" descr="Table 3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8839200" cy="5349240"/>
                    </a:xfrm>
                    <a:prstGeom prst="rect">
                      <a:avLst/>
                    </a:prstGeom>
                    <a:noFill/>
                    <a:ln w="9525">
                      <a:noFill/>
                      <a:miter lim="800000"/>
                      <a:headEnd/>
                      <a:tailEnd/>
                    </a:ln>
                  </pic:spPr>
                </pic:pic>
              </a:graphicData>
            </a:graphic>
          </wp:inline>
        </w:drawing>
      </w:r>
    </w:p>
    <w:p w:rsidR="00FE7968" w:rsidRPr="00FE7968" w:rsidRDefault="00E02A1E" w:rsidP="00F5637B">
      <w:pPr>
        <w:pStyle w:val="TableTitle"/>
      </w:pPr>
      <w:r>
        <w:lastRenderedPageBreak/>
        <w:t>Table 3</w:t>
      </w:r>
      <w:r w:rsidR="00FE7968" w:rsidRPr="00FE7968">
        <w:t xml:space="preserve"> continued. Phase III efficacy studies in </w:t>
      </w:r>
      <w:r w:rsidR="004017F9">
        <w:t>t</w:t>
      </w:r>
      <w:r w:rsidR="00FE7968" w:rsidRPr="00FE7968">
        <w:t>oddlers</w:t>
      </w:r>
    </w:p>
    <w:p w:rsidR="00FE7968" w:rsidRDefault="00FE7968" w:rsidP="00FE7968">
      <w:r w:rsidRPr="00FE7968">
        <w:rPr>
          <w:noProof/>
          <w:lang w:eastAsia="en-AU"/>
        </w:rPr>
        <w:drawing>
          <wp:inline distT="0" distB="0" distL="0" distR="0">
            <wp:extent cx="8846820" cy="4602480"/>
            <wp:effectExtent l="19050" t="0" r="0" b="0"/>
            <wp:docPr id="153" name="Picture 55" descr="Table 3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8846820" cy="4602480"/>
                    </a:xfrm>
                    <a:prstGeom prst="rect">
                      <a:avLst/>
                    </a:prstGeom>
                    <a:noFill/>
                    <a:ln w="9525">
                      <a:noFill/>
                      <a:miter lim="800000"/>
                      <a:headEnd/>
                      <a:tailEnd/>
                    </a:ln>
                  </pic:spPr>
                </pic:pic>
              </a:graphicData>
            </a:graphic>
          </wp:inline>
        </w:drawing>
      </w:r>
    </w:p>
    <w:p w:rsidR="00F5637B" w:rsidRPr="00FE7968" w:rsidRDefault="00F5637B" w:rsidP="00FE7968">
      <w:pPr>
        <w:sectPr w:rsidR="00F5637B" w:rsidRPr="00FE7968">
          <w:footerReference w:type="default" r:id="rId33"/>
          <w:pgSz w:w="16838" w:h="11906" w:orient="landscape"/>
          <w:pgMar w:top="1440" w:right="1440" w:bottom="1440" w:left="1440" w:header="907" w:footer="216" w:gutter="0"/>
          <w:cols w:space="720"/>
        </w:sectPr>
      </w:pPr>
    </w:p>
    <w:p w:rsidR="00FE7968" w:rsidRPr="00FE7968" w:rsidRDefault="00FE7968" w:rsidP="001E74FA">
      <w:pPr>
        <w:pStyle w:val="Heading4"/>
      </w:pPr>
      <w:bookmarkStart w:id="96" w:name="_Toc343641683"/>
      <w:bookmarkStart w:id="97" w:name="_Toc290846282"/>
      <w:bookmarkStart w:id="98" w:name="_Toc272414657"/>
      <w:bookmarkStart w:id="99" w:name="_Ref271126605"/>
      <w:bookmarkStart w:id="100" w:name="_Toc372213241"/>
      <w:bookmarkStart w:id="101" w:name="_Toc372213238"/>
      <w:bookmarkStart w:id="102" w:name="_Toc343641680"/>
      <w:r w:rsidRPr="00FE7968">
        <w:lastRenderedPageBreak/>
        <w:t xml:space="preserve">Evaluator’s conclusions on clinical efficacy: </w:t>
      </w:r>
      <w:bookmarkEnd w:id="96"/>
      <w:bookmarkEnd w:id="97"/>
      <w:bookmarkEnd w:id="98"/>
      <w:bookmarkEnd w:id="99"/>
      <w:r w:rsidRPr="00FE7968">
        <w:t>protective efficacy</w:t>
      </w:r>
      <w:bookmarkEnd w:id="100"/>
    </w:p>
    <w:p w:rsidR="00FE7968" w:rsidRPr="00FE7968" w:rsidRDefault="00FE7968" w:rsidP="001E74FA">
      <w:r w:rsidRPr="00FE7968">
        <w:t>Immunogenicity studies conducted in subjects ≥</w:t>
      </w:r>
      <w:r w:rsidR="005164D6">
        <w:t xml:space="preserve"> </w:t>
      </w:r>
      <w:r w:rsidRPr="00FE7968">
        <w:t xml:space="preserve">12 months of age demonstrate that one IM dose </w:t>
      </w:r>
      <w:r w:rsidR="00FB3445">
        <w:t xml:space="preserve">of </w:t>
      </w:r>
      <w:proofErr w:type="spellStart"/>
      <w:r w:rsidRPr="00FE7968">
        <w:t>MenACWY</w:t>
      </w:r>
      <w:proofErr w:type="spellEnd"/>
      <w:r w:rsidRPr="00FE7968">
        <w:t xml:space="preserve">-TT vaccine induces responses similar to or higher than licensed meningococcal vaccines. </w:t>
      </w:r>
      <w:proofErr w:type="spellStart"/>
      <w:r w:rsidRPr="00FE7968">
        <w:t>MenACWY</w:t>
      </w:r>
      <w:proofErr w:type="spellEnd"/>
      <w:r w:rsidRPr="00FE7968">
        <w:t xml:space="preserve">-TT induces immunological memory against the four Men </w:t>
      </w:r>
      <w:proofErr w:type="spellStart"/>
      <w:r w:rsidRPr="00FE7968">
        <w:t>serogroups</w:t>
      </w:r>
      <w:proofErr w:type="spellEnd"/>
      <w:r w:rsidRPr="00FE7968">
        <w:t xml:space="preserve"> even in toddlers 12-14 months of age</w:t>
      </w:r>
      <w:r w:rsidR="006F1C56">
        <w:t xml:space="preserve">, historically an age group </w:t>
      </w:r>
      <w:r w:rsidR="005164D6">
        <w:t xml:space="preserve">that is </w:t>
      </w:r>
      <w:r w:rsidR="006F1C56">
        <w:t xml:space="preserve">not </w:t>
      </w:r>
      <w:r w:rsidR="005164D6">
        <w:t xml:space="preserve">responsive or is </w:t>
      </w:r>
      <w:r w:rsidRPr="00FE7968">
        <w:t xml:space="preserve">poorly responsive to meningococcal PS vaccines. </w:t>
      </w:r>
    </w:p>
    <w:p w:rsidR="00FE7968" w:rsidRPr="00FE7968" w:rsidRDefault="00FE7968" w:rsidP="001E74FA">
      <w:r w:rsidRPr="00FE7968">
        <w:t xml:space="preserve">Follow-up studies demonstrate </w:t>
      </w:r>
      <w:r w:rsidR="006F1C56">
        <w:t>immune</w:t>
      </w:r>
      <w:r w:rsidR="00FB3445">
        <w:t xml:space="preserve"> </w:t>
      </w:r>
      <w:r w:rsidRPr="00FE7968">
        <w:t>persistence similar</w:t>
      </w:r>
      <w:r w:rsidR="006F1C56">
        <w:t xml:space="preserve"> to or </w:t>
      </w:r>
      <w:r w:rsidRPr="00FE7968">
        <w:t>higher than th</w:t>
      </w:r>
      <w:r w:rsidR="00FB3445">
        <w:t xml:space="preserve">at </w:t>
      </w:r>
      <w:r w:rsidRPr="00FE7968">
        <w:t>elicited by licensed meningococcal vaccines (</w:t>
      </w:r>
      <w:proofErr w:type="spellStart"/>
      <w:r w:rsidRPr="00FE7968">
        <w:t>Meningitec</w:t>
      </w:r>
      <w:proofErr w:type="spellEnd"/>
      <w:r w:rsidR="005164D6">
        <w:t xml:space="preserve"> and </w:t>
      </w:r>
      <w:proofErr w:type="spellStart"/>
      <w:r w:rsidRPr="00FE7968">
        <w:t>Mencevax</w:t>
      </w:r>
      <w:proofErr w:type="spellEnd"/>
      <w:r w:rsidR="00844E39">
        <w:t xml:space="preserve"> </w:t>
      </w:r>
      <w:r w:rsidR="00844E39" w:rsidRPr="00844E39">
        <w:t>ACWY</w:t>
      </w:r>
      <w:r w:rsidRPr="00FE7968">
        <w:t xml:space="preserve">) using the GSK </w:t>
      </w:r>
      <w:proofErr w:type="spellStart"/>
      <w:r w:rsidRPr="00FE7968">
        <w:t>rSBA</w:t>
      </w:r>
      <w:proofErr w:type="spellEnd"/>
      <w:r w:rsidRPr="00FE7968">
        <w:t xml:space="preserve"> assay. Even in the youngest age group, </w:t>
      </w:r>
      <w:proofErr w:type="spellStart"/>
      <w:r w:rsidRPr="00FE7968">
        <w:t>hSBA</w:t>
      </w:r>
      <w:proofErr w:type="spellEnd"/>
      <w:r w:rsidRPr="00FE7968">
        <w:t xml:space="preserve"> </w:t>
      </w:r>
      <w:proofErr w:type="spellStart"/>
      <w:r w:rsidRPr="00FE7968">
        <w:t>MenC</w:t>
      </w:r>
      <w:proofErr w:type="spellEnd"/>
      <w:r w:rsidRPr="00FE7968">
        <w:t xml:space="preserve"> GMTs were higher compared to all age strata in the </w:t>
      </w:r>
      <w:proofErr w:type="spellStart"/>
      <w:r w:rsidRPr="00FE7968">
        <w:t>Meningitec</w:t>
      </w:r>
      <w:proofErr w:type="spellEnd"/>
      <w:r w:rsidRPr="00FE7968">
        <w:t xml:space="preserve"> group. </w:t>
      </w:r>
    </w:p>
    <w:p w:rsidR="005164D6" w:rsidRDefault="008031A0" w:rsidP="001E74FA">
      <w:r>
        <w:t>A</w:t>
      </w:r>
      <w:r w:rsidR="00FE7968" w:rsidRPr="00FE7968">
        <w:t xml:space="preserve">lthough the </w:t>
      </w:r>
      <w:proofErr w:type="spellStart"/>
      <w:r w:rsidR="00FE7968" w:rsidRPr="00FE7968">
        <w:t>hSBA</w:t>
      </w:r>
      <w:proofErr w:type="spellEnd"/>
      <w:r w:rsidR="00FE7968" w:rsidRPr="00FE7968">
        <w:t xml:space="preserve"> GMTs </w:t>
      </w:r>
      <w:r>
        <w:t xml:space="preserve">for </w:t>
      </w:r>
      <w:proofErr w:type="spellStart"/>
      <w:r w:rsidRPr="00FE7968">
        <w:t>serogroups</w:t>
      </w:r>
      <w:proofErr w:type="spellEnd"/>
      <w:r w:rsidRPr="00FE7968">
        <w:t xml:space="preserve"> A, W-135, and Y </w:t>
      </w:r>
      <w:r w:rsidR="00FE7968" w:rsidRPr="00FE7968">
        <w:t>trended lower for the younger age group, percentages of subjects with SBA titres ≥8, GMTs and vaccine response</w:t>
      </w:r>
      <w:r>
        <w:t>s</w:t>
      </w:r>
      <w:r w:rsidR="00FE7968" w:rsidRPr="00FE7968">
        <w:t xml:space="preserve"> reported for the three </w:t>
      </w:r>
      <w:proofErr w:type="spellStart"/>
      <w:r w:rsidR="00FE7968" w:rsidRPr="00FE7968">
        <w:t>serogroups</w:t>
      </w:r>
      <w:proofErr w:type="spellEnd"/>
      <w:r w:rsidR="00FE7968" w:rsidRPr="00FE7968">
        <w:t xml:space="preserve"> following a single dose of </w:t>
      </w:r>
      <w:proofErr w:type="spellStart"/>
      <w:r w:rsidR="00FE7968" w:rsidRPr="00FE7968">
        <w:t>MenACWY</w:t>
      </w:r>
      <w:proofErr w:type="spellEnd"/>
      <w:r w:rsidR="00FE7968" w:rsidRPr="00FE7968">
        <w:t xml:space="preserve">-TT were higher or very close to those reported in an older age group (6 to &lt;11 </w:t>
      </w:r>
      <w:r w:rsidR="00B13592">
        <w:t>years</w:t>
      </w:r>
      <w:r w:rsidR="00FE7968" w:rsidRPr="00FE7968">
        <w:t xml:space="preserve">) with </w:t>
      </w:r>
      <w:proofErr w:type="spellStart"/>
      <w:r w:rsidR="00FE7968" w:rsidRPr="00FE7968">
        <w:t>Mencevax</w:t>
      </w:r>
      <w:proofErr w:type="spellEnd"/>
      <w:r w:rsidR="00844E39">
        <w:t xml:space="preserve"> </w:t>
      </w:r>
      <w:r w:rsidR="00844E39" w:rsidRPr="00844E39">
        <w:t>ACWY</w:t>
      </w:r>
      <w:r w:rsidR="00FE7968" w:rsidRPr="00FE7968">
        <w:t xml:space="preserve">. </w:t>
      </w:r>
    </w:p>
    <w:p w:rsidR="00FE7968" w:rsidRPr="00FE7968" w:rsidRDefault="00FE7968" w:rsidP="001E74FA">
      <w:r w:rsidRPr="00FE7968">
        <w:t xml:space="preserve">Although SBA titres trended higher at persistence time-points for the older age groups in toddlers, there is limited precision in the point estimates because of the small persistence subsets at these persistence time-points and most 95% </w:t>
      </w:r>
      <w:r w:rsidR="008031A0">
        <w:t>confidence intervals (</w:t>
      </w:r>
      <w:r w:rsidRPr="00FE7968">
        <w:t>CIs</w:t>
      </w:r>
      <w:r w:rsidR="008031A0">
        <w:t>)</w:t>
      </w:r>
      <w:r w:rsidRPr="00FE7968">
        <w:t xml:space="preserve"> overlap for the </w:t>
      </w:r>
      <w:proofErr w:type="spellStart"/>
      <w:r w:rsidRPr="00FE7968">
        <w:t>MenACWY</w:t>
      </w:r>
      <w:proofErr w:type="spellEnd"/>
      <w:r w:rsidRPr="00FE7968">
        <w:t xml:space="preserve">-TT group. </w:t>
      </w:r>
    </w:p>
    <w:p w:rsidR="00FE7968" w:rsidRPr="00FE7968" w:rsidRDefault="00FE7968" w:rsidP="001E74FA">
      <w:r w:rsidRPr="00FE7968">
        <w:t xml:space="preserve">In terms of boosting with </w:t>
      </w:r>
      <w:proofErr w:type="spellStart"/>
      <w:r w:rsidRPr="00FE7968">
        <w:t>MenACWY</w:t>
      </w:r>
      <w:proofErr w:type="spellEnd"/>
      <w:r w:rsidRPr="00FE7968">
        <w:t xml:space="preserve">-TT in prior recipients of a plain PS vaccine, GMTs are lower for </w:t>
      </w:r>
      <w:proofErr w:type="spellStart"/>
      <w:r w:rsidRPr="00FE7968">
        <w:t>MenA</w:t>
      </w:r>
      <w:proofErr w:type="spellEnd"/>
      <w:r w:rsidRPr="00FE7968">
        <w:t xml:space="preserve"> and to a lesser extent for the other </w:t>
      </w:r>
      <w:proofErr w:type="spellStart"/>
      <w:r w:rsidRPr="00FE7968">
        <w:t>serogroups</w:t>
      </w:r>
      <w:proofErr w:type="spellEnd"/>
      <w:r w:rsidRPr="00FE7968">
        <w:t xml:space="preserve">, but there is induction of strong responses (3.9-30.1-fold increase of GMTs for all </w:t>
      </w:r>
      <w:proofErr w:type="spellStart"/>
      <w:r w:rsidRPr="00FE7968">
        <w:t>serogroups</w:t>
      </w:r>
      <w:proofErr w:type="spellEnd"/>
      <w:r w:rsidRPr="00FE7968">
        <w:t xml:space="preserve">) without any worrisome safety signal. </w:t>
      </w:r>
    </w:p>
    <w:p w:rsidR="00FE7968" w:rsidRDefault="00FE7968" w:rsidP="001E74FA">
      <w:r w:rsidRPr="00FE7968">
        <w:t xml:space="preserve">These data support both proposed indications of the </w:t>
      </w:r>
      <w:proofErr w:type="spellStart"/>
      <w:r w:rsidRPr="00FE7968">
        <w:t>MenACWY</w:t>
      </w:r>
      <w:proofErr w:type="spellEnd"/>
      <w:r w:rsidRPr="00FE7968">
        <w:t>-TT vaccine</w:t>
      </w:r>
      <w:r w:rsidR="008031A0">
        <w:t>,</w:t>
      </w:r>
      <w:r w:rsidR="00FB3445">
        <w:t xml:space="preserve"> that is, first, </w:t>
      </w:r>
      <w:r w:rsidRPr="00FE7968">
        <w:t xml:space="preserve">active immunisation against invasive meningococcal disease caused by </w:t>
      </w:r>
      <w:r w:rsidRPr="00FE7968">
        <w:rPr>
          <w:i/>
          <w:iCs/>
        </w:rPr>
        <w:t xml:space="preserve">N. </w:t>
      </w:r>
      <w:proofErr w:type="spellStart"/>
      <w:r w:rsidRPr="00FE7968">
        <w:rPr>
          <w:i/>
          <w:iCs/>
        </w:rPr>
        <w:t>meningitidis</w:t>
      </w:r>
      <w:proofErr w:type="spellEnd"/>
      <w:r w:rsidRPr="00FE7968">
        <w:t xml:space="preserve"> </w:t>
      </w:r>
      <w:proofErr w:type="spellStart"/>
      <w:r w:rsidRPr="00FE7968">
        <w:t>serogroups</w:t>
      </w:r>
      <w:proofErr w:type="spellEnd"/>
      <w:r w:rsidRPr="00FE7968">
        <w:t xml:space="preserve"> A, C, W-135 and Y in individuals 1- 55 years of age. The vaccine is to be a</w:t>
      </w:r>
      <w:r w:rsidR="00FB3445">
        <w:t>dministered IM</w:t>
      </w:r>
      <w:r w:rsidRPr="00FE7968">
        <w:t xml:space="preserve"> as a one-dose vaccination schedule. The </w:t>
      </w:r>
      <w:r w:rsidR="00FB3445">
        <w:t xml:space="preserve">second </w:t>
      </w:r>
      <w:r w:rsidRPr="00FE7968">
        <w:t xml:space="preserve">proposed indication is as a </w:t>
      </w:r>
      <w:r w:rsidR="00FB3445">
        <w:t>b</w:t>
      </w:r>
      <w:r w:rsidRPr="00FE7968">
        <w:t xml:space="preserve">ooster vaccination in subjects who have previously been vaccinated with a plain </w:t>
      </w:r>
      <w:r w:rsidR="00FB3445">
        <w:t xml:space="preserve">(that is, </w:t>
      </w:r>
      <w:r w:rsidRPr="00FE7968">
        <w:t>non conjugate</w:t>
      </w:r>
      <w:r w:rsidR="00FB3445">
        <w:t>)</w:t>
      </w:r>
      <w:r w:rsidRPr="00FE7968">
        <w:t xml:space="preserve"> PS meningococcal vaccine. </w:t>
      </w:r>
    </w:p>
    <w:p w:rsidR="008E7846" w:rsidRPr="001E74FA" w:rsidRDefault="008E7846" w:rsidP="001E74FA">
      <w:pPr>
        <w:pStyle w:val="Heading3"/>
      </w:pPr>
      <w:bookmarkStart w:id="103" w:name="_Toc163441378"/>
      <w:bookmarkStart w:id="104" w:name="_Toc196046495"/>
      <w:bookmarkStart w:id="105" w:name="_Toc247691522"/>
      <w:bookmarkStart w:id="106" w:name="_Toc314842505"/>
      <w:bookmarkStart w:id="107" w:name="_Toc375119726"/>
      <w:bookmarkEnd w:id="89"/>
      <w:bookmarkEnd w:id="90"/>
      <w:bookmarkEnd w:id="91"/>
      <w:bookmarkEnd w:id="92"/>
      <w:bookmarkEnd w:id="93"/>
      <w:bookmarkEnd w:id="94"/>
      <w:bookmarkEnd w:id="95"/>
      <w:bookmarkEnd w:id="101"/>
      <w:bookmarkEnd w:id="102"/>
      <w:r w:rsidRPr="002E238E">
        <w:t>Safety</w:t>
      </w:r>
      <w:bookmarkEnd w:id="103"/>
      <w:bookmarkEnd w:id="104"/>
      <w:bookmarkEnd w:id="105"/>
      <w:bookmarkEnd w:id="106"/>
      <w:bookmarkEnd w:id="107"/>
    </w:p>
    <w:p w:rsidR="00F1189E" w:rsidRPr="00F1189E" w:rsidRDefault="00F1189E" w:rsidP="001E74FA">
      <w:pPr>
        <w:pStyle w:val="Heading4"/>
      </w:pPr>
      <w:bookmarkStart w:id="108" w:name="_Toc372213243"/>
      <w:bookmarkStart w:id="109" w:name="_Toc343641685"/>
      <w:bookmarkStart w:id="110" w:name="_Toc290846284"/>
      <w:bookmarkStart w:id="111" w:name="_Toc272414659"/>
      <w:bookmarkStart w:id="112" w:name="_Toc184440288"/>
      <w:bookmarkStart w:id="113" w:name="_Toc184444666"/>
      <w:bookmarkStart w:id="114" w:name="_Toc196046496"/>
      <w:r w:rsidRPr="00F1189E">
        <w:t>Studies providing evaluable safety data</w:t>
      </w:r>
      <w:bookmarkEnd w:id="108"/>
      <w:bookmarkEnd w:id="109"/>
      <w:bookmarkEnd w:id="110"/>
      <w:bookmarkEnd w:id="111"/>
    </w:p>
    <w:p w:rsidR="00F1189E" w:rsidRPr="00F1189E" w:rsidRDefault="00FB3445" w:rsidP="001E74FA">
      <w:r>
        <w:t>All the Phase II and</w:t>
      </w:r>
      <w:r w:rsidR="00F1189E" w:rsidRPr="00F1189E">
        <w:t xml:space="preserve"> </w:t>
      </w:r>
      <w:r>
        <w:t xml:space="preserve">Phase </w:t>
      </w:r>
      <w:r w:rsidR="00F1189E" w:rsidRPr="00F1189E">
        <w:t xml:space="preserve">III studies </w:t>
      </w:r>
      <w:r>
        <w:t xml:space="preserve">provided </w:t>
      </w:r>
      <w:r w:rsidR="00F1189E" w:rsidRPr="00F1189E">
        <w:t xml:space="preserve">safety data. Solicited and unsolicited safety information was gathered. Local </w:t>
      </w:r>
      <w:r w:rsidR="00380AA4">
        <w:t>adverse events (</w:t>
      </w:r>
      <w:r w:rsidR="00F1189E" w:rsidRPr="00F1189E">
        <w:t>AE</w:t>
      </w:r>
      <w:r w:rsidR="00380AA4">
        <w:t>s)</w:t>
      </w:r>
      <w:r w:rsidR="00F1189E" w:rsidRPr="00F1189E">
        <w:t xml:space="preserve"> solicited were</w:t>
      </w:r>
      <w:r w:rsidR="00380AA4">
        <w:t>:</w:t>
      </w:r>
      <w:r w:rsidR="00F1189E" w:rsidRPr="00F1189E">
        <w:t xml:space="preserve"> pain, redness and swelling at the </w:t>
      </w:r>
      <w:r w:rsidR="00380AA4">
        <w:t>injection site (</w:t>
      </w:r>
      <w:r w:rsidR="00F1189E" w:rsidRPr="00F1189E">
        <w:t>IS</w:t>
      </w:r>
      <w:r w:rsidR="00380AA4">
        <w:t>)</w:t>
      </w:r>
      <w:r w:rsidR="00F1189E" w:rsidRPr="00F1189E">
        <w:t>. General AE</w:t>
      </w:r>
      <w:r w:rsidR="00380AA4">
        <w:t>s</w:t>
      </w:r>
      <w:r w:rsidR="00F1189E" w:rsidRPr="00F1189E">
        <w:t xml:space="preserve"> solicited were</w:t>
      </w:r>
      <w:r w:rsidR="00380AA4">
        <w:t>:</w:t>
      </w:r>
      <w:r w:rsidR="00F1189E" w:rsidRPr="00F1189E">
        <w:t xml:space="preserve"> drowsiness, fever (≥</w:t>
      </w:r>
      <w:r w:rsidR="00380AA4">
        <w:t xml:space="preserve"> </w:t>
      </w:r>
      <w:r w:rsidR="00F1189E" w:rsidRPr="00F1189E">
        <w:t>37.5°C oral/</w:t>
      </w:r>
      <w:proofErr w:type="spellStart"/>
      <w:r w:rsidR="00F1189E" w:rsidRPr="00F1189E">
        <w:t>axillary</w:t>
      </w:r>
      <w:proofErr w:type="spellEnd"/>
      <w:r w:rsidR="00F1189E" w:rsidRPr="00F1189E">
        <w:t xml:space="preserve"> or ≥38°C rectal), irritability/fussiness, and loss of appetite in subjects &lt; 6 </w:t>
      </w:r>
      <w:r w:rsidR="00B13592">
        <w:t>years</w:t>
      </w:r>
      <w:r w:rsidR="00F1189E" w:rsidRPr="00F1189E">
        <w:t>, and fatigue, fever (≥37.5°C oral/</w:t>
      </w:r>
      <w:proofErr w:type="spellStart"/>
      <w:r w:rsidR="00F1189E" w:rsidRPr="00F1189E">
        <w:t>axillary</w:t>
      </w:r>
      <w:proofErr w:type="spellEnd"/>
      <w:r w:rsidR="00F1189E" w:rsidRPr="00F1189E">
        <w:t>), gastrointestinal symptoms (nausea, abdominal pain, vomiting, and diarrhoea), and headache in subjects ≥</w:t>
      </w:r>
      <w:r w:rsidR="00380AA4">
        <w:t xml:space="preserve"> </w:t>
      </w:r>
      <w:r w:rsidR="00F1189E" w:rsidRPr="00F1189E">
        <w:t xml:space="preserve">6 </w:t>
      </w:r>
      <w:r w:rsidR="00B13592">
        <w:t>years</w:t>
      </w:r>
      <w:r w:rsidR="00F1189E" w:rsidRPr="00F1189E">
        <w:t xml:space="preserve"> old. Diary cards were completed for Days 0-3 and/or Days 0-7 post vaccination (</w:t>
      </w:r>
      <w:r w:rsidR="00380AA4">
        <w:t xml:space="preserve">in Studies </w:t>
      </w:r>
      <w:proofErr w:type="spellStart"/>
      <w:r w:rsidR="00F1189E" w:rsidRPr="00F1189E">
        <w:t>MenACWY</w:t>
      </w:r>
      <w:proofErr w:type="spellEnd"/>
      <w:r w:rsidR="00F1189E" w:rsidRPr="00F1189E">
        <w:t>-TT 012, -013, -052 and -055); in children/toddlers</w:t>
      </w:r>
      <w:r>
        <w:t xml:space="preserve"> these were </w:t>
      </w:r>
      <w:r w:rsidR="00F1189E" w:rsidRPr="00F1189E">
        <w:t xml:space="preserve">completed by </w:t>
      </w:r>
      <w:r>
        <w:t xml:space="preserve">the </w:t>
      </w:r>
      <w:r w:rsidR="00F1189E" w:rsidRPr="00F1189E">
        <w:t>parent</w:t>
      </w:r>
      <w:r>
        <w:t xml:space="preserve"> or </w:t>
      </w:r>
      <w:r w:rsidR="00F1189E" w:rsidRPr="00F1189E">
        <w:t xml:space="preserve">guardian. </w:t>
      </w:r>
    </w:p>
    <w:p w:rsidR="00F1189E" w:rsidRPr="00F1189E" w:rsidRDefault="00F1189E" w:rsidP="001E74FA">
      <w:r w:rsidRPr="00F1189E">
        <w:t>Unsolicited AEs were collected Day 0-30 post va</w:t>
      </w:r>
      <w:r w:rsidR="00FB3445">
        <w:t>ccination</w:t>
      </w:r>
      <w:r w:rsidRPr="00F1189E">
        <w:t>. Intensity of solicited local</w:t>
      </w:r>
      <w:r w:rsidR="00FB3445">
        <w:t xml:space="preserve"> and </w:t>
      </w:r>
      <w:r w:rsidRPr="00F1189E">
        <w:t xml:space="preserve">general AEs </w:t>
      </w:r>
      <w:r w:rsidR="001B7354">
        <w:t xml:space="preserve">was </w:t>
      </w:r>
      <w:r w:rsidRPr="00F1189E">
        <w:t>assessed by the investigator according to a standard intensity scale and these were comparable across most of the studies</w:t>
      </w:r>
      <w:r w:rsidR="00380AA4">
        <w:t xml:space="preserve">. </w:t>
      </w:r>
    </w:p>
    <w:p w:rsidR="00F1189E" w:rsidRPr="00F1189E" w:rsidRDefault="00380AA4" w:rsidP="001E74FA">
      <w:r>
        <w:t>Adverse events, serious adverse events (SAEs)</w:t>
      </w:r>
      <w:r w:rsidR="00B51A0E">
        <w:t xml:space="preserve"> and</w:t>
      </w:r>
      <w:r w:rsidR="00F1189E" w:rsidRPr="00F1189E">
        <w:t xml:space="preserve"> New Onset Chronic Illness (NOCI) were collected at 6 months post the last vaccination visit (</w:t>
      </w:r>
      <w:r w:rsidR="00B51A0E">
        <w:t xml:space="preserve">by </w:t>
      </w:r>
      <w:r w:rsidR="00F1189E" w:rsidRPr="00F1189E">
        <w:t xml:space="preserve">phone interview) or at a later date in persistence studies. </w:t>
      </w:r>
    </w:p>
    <w:p w:rsidR="00F1189E" w:rsidRPr="001E74FA" w:rsidRDefault="006F1C56" w:rsidP="001E74FA">
      <w:pPr>
        <w:pStyle w:val="Heading4"/>
      </w:pPr>
      <w:bookmarkStart w:id="115" w:name="_Toc372213244"/>
      <w:r>
        <w:lastRenderedPageBreak/>
        <w:t>Overall e</w:t>
      </w:r>
      <w:r w:rsidR="00F1189E" w:rsidRPr="00F1189E">
        <w:t xml:space="preserve">xtent of </w:t>
      </w:r>
      <w:r>
        <w:t>e</w:t>
      </w:r>
      <w:r w:rsidR="00F1189E" w:rsidRPr="00F1189E">
        <w:t>xposure</w:t>
      </w:r>
      <w:bookmarkEnd w:id="115"/>
    </w:p>
    <w:p w:rsidR="00DE081A" w:rsidRDefault="00F1189E" w:rsidP="001E74FA">
      <w:r w:rsidRPr="00F1189E">
        <w:t xml:space="preserve">Of the completed studies, 9366 subjects aged 1-55 years have been vaccinated with one dose of </w:t>
      </w:r>
      <w:proofErr w:type="spellStart"/>
      <w:r w:rsidRPr="00F1189E">
        <w:t>MenACWY</w:t>
      </w:r>
      <w:proofErr w:type="spellEnd"/>
      <w:r w:rsidRPr="00F1189E">
        <w:t xml:space="preserve">-TT vaccine. A total 189 subjects in MenACWY-TT-055 (2-dose group) received 2 doses of </w:t>
      </w:r>
      <w:proofErr w:type="spellStart"/>
      <w:r w:rsidRPr="00F1189E">
        <w:t>MenACWY</w:t>
      </w:r>
      <w:proofErr w:type="spellEnd"/>
      <w:r w:rsidRPr="00F1189E">
        <w:t xml:space="preserve">-TT. </w:t>
      </w:r>
    </w:p>
    <w:p w:rsidR="00F1189E" w:rsidRDefault="00F1189E" w:rsidP="001E74FA">
      <w:r w:rsidRPr="00F1189E">
        <w:t>The pooled analysis included data from 10</w:t>
      </w:r>
      <w:r w:rsidR="00B13592">
        <w:t>,</w:t>
      </w:r>
      <w:r w:rsidRPr="00F1189E">
        <w:t xml:space="preserve">400 subjects vaccinated with </w:t>
      </w:r>
      <w:proofErr w:type="spellStart"/>
      <w:r w:rsidRPr="00F1189E">
        <w:t>MenACWY</w:t>
      </w:r>
      <w:proofErr w:type="spellEnd"/>
      <w:r w:rsidRPr="00F1189E">
        <w:t>-TT or a comparator vaccine at first study visit. Of these 10</w:t>
      </w:r>
      <w:r w:rsidR="00B13592">
        <w:t>,</w:t>
      </w:r>
      <w:r w:rsidRPr="00F1189E">
        <w:t xml:space="preserve">400 subjects, 8108 </w:t>
      </w:r>
      <w:r w:rsidR="00B13592">
        <w:t xml:space="preserve">were </w:t>
      </w:r>
      <w:r w:rsidRPr="00F1189E">
        <w:t xml:space="preserve">vaccinated with </w:t>
      </w:r>
      <w:proofErr w:type="spellStart"/>
      <w:r w:rsidRPr="00F1189E">
        <w:t>MenACWY</w:t>
      </w:r>
      <w:proofErr w:type="spellEnd"/>
      <w:r w:rsidRPr="00F1189E">
        <w:t xml:space="preserve">-TT, 1617 with </w:t>
      </w:r>
      <w:proofErr w:type="spellStart"/>
      <w:r w:rsidRPr="00F1189E">
        <w:t>Mencevax</w:t>
      </w:r>
      <w:proofErr w:type="spellEnd"/>
      <w:r w:rsidRPr="00F1189E">
        <w:t xml:space="preserve"> ACWY, 375 with </w:t>
      </w:r>
      <w:proofErr w:type="spellStart"/>
      <w:r w:rsidRPr="00F1189E">
        <w:t>Meningitec</w:t>
      </w:r>
      <w:proofErr w:type="spellEnd"/>
      <w:r w:rsidRPr="00F1189E">
        <w:t xml:space="preserve">, 103 with </w:t>
      </w:r>
      <w:proofErr w:type="spellStart"/>
      <w:r w:rsidRPr="00F1189E">
        <w:t>Menjugate</w:t>
      </w:r>
      <w:proofErr w:type="spellEnd"/>
      <w:r w:rsidRPr="00F1189E">
        <w:t xml:space="preserve"> and 197 with </w:t>
      </w:r>
      <w:proofErr w:type="spellStart"/>
      <w:r w:rsidRPr="00F1189E">
        <w:t>Menactra</w:t>
      </w:r>
      <w:proofErr w:type="spellEnd"/>
      <w:r w:rsidRPr="00F1189E">
        <w:t xml:space="preserve">. </w:t>
      </w:r>
    </w:p>
    <w:p w:rsidR="00B218EC" w:rsidRDefault="00B218EC" w:rsidP="001E74FA">
      <w:pPr>
        <w:pStyle w:val="Heading4"/>
      </w:pPr>
      <w:r>
        <w:t xml:space="preserve">Summary of </w:t>
      </w:r>
      <w:r w:rsidR="007812E7">
        <w:t xml:space="preserve">selected </w:t>
      </w:r>
      <w:r>
        <w:t>findings.</w:t>
      </w:r>
    </w:p>
    <w:p w:rsidR="00475489" w:rsidRPr="00475489" w:rsidRDefault="00475489" w:rsidP="001E74FA">
      <w:r>
        <w:t xml:space="preserve">Details of the safety analyses and outcomes are found </w:t>
      </w:r>
      <w:r w:rsidRPr="00475489">
        <w:t>in the CER</w:t>
      </w:r>
      <w:r>
        <w:t xml:space="preserve"> extract</w:t>
      </w:r>
      <w:r w:rsidRPr="00475489">
        <w:t xml:space="preserve"> at Attachment 2 of this </w:t>
      </w:r>
      <w:proofErr w:type="spellStart"/>
      <w:r w:rsidRPr="00475489">
        <w:t>AusPAR</w:t>
      </w:r>
      <w:proofErr w:type="spellEnd"/>
      <w:r w:rsidRPr="00475489">
        <w:t>.</w:t>
      </w:r>
    </w:p>
    <w:p w:rsidR="007812E7" w:rsidRPr="007812E7" w:rsidRDefault="007812E7" w:rsidP="001E74FA">
      <w:r w:rsidRPr="007812E7">
        <w:t xml:space="preserve">The following Tables </w:t>
      </w:r>
      <w:r>
        <w:t xml:space="preserve">provide </w:t>
      </w:r>
      <w:r w:rsidR="002A29D9">
        <w:t xml:space="preserve">summary </w:t>
      </w:r>
      <w:r>
        <w:t>data on solicit</w:t>
      </w:r>
      <w:r w:rsidR="00475489">
        <w:t>ed</w:t>
      </w:r>
      <w:r>
        <w:t xml:space="preserve"> AEs reported in the first 4 day period after vaccination in the </w:t>
      </w:r>
      <w:r w:rsidRPr="007812E7">
        <w:t>Total Vaccinated Cohort</w:t>
      </w:r>
      <w:r>
        <w:t xml:space="preserve"> (TVC), according to age group.</w:t>
      </w:r>
      <w:r w:rsidR="00B96774">
        <w:t xml:space="preserve"> </w:t>
      </w:r>
    </w:p>
    <w:p w:rsidR="00C71B14" w:rsidRPr="00C71B14" w:rsidRDefault="00C71B14" w:rsidP="001E74FA">
      <w:pPr>
        <w:pStyle w:val="TableTitle"/>
      </w:pPr>
      <w:r w:rsidRPr="00C71B14">
        <w:t xml:space="preserve">Table </w:t>
      </w:r>
      <w:r w:rsidR="00E02A1E">
        <w:t>4</w:t>
      </w:r>
      <w:r>
        <w:t>.</w:t>
      </w:r>
      <w:r w:rsidRPr="00C71B14">
        <w:t xml:space="preserve"> Pooled analysis percentage of </w:t>
      </w:r>
      <w:r>
        <w:t>12-23 month old group</w:t>
      </w:r>
      <w:r w:rsidRPr="00C71B14">
        <w:t xml:space="preserve"> reporting solicited AE during the 4-day (Days 0-3) post vaccination period of the TVC</w:t>
      </w:r>
    </w:p>
    <w:p w:rsidR="007B34F4" w:rsidRDefault="007B34F4" w:rsidP="001E74FA">
      <w:r w:rsidRPr="007B34F4">
        <w:rPr>
          <w:noProof/>
          <w:lang w:eastAsia="en-AU"/>
        </w:rPr>
        <w:drawing>
          <wp:inline distT="0" distB="0" distL="0" distR="0">
            <wp:extent cx="2678430" cy="3693160"/>
            <wp:effectExtent l="19050" t="0" r="7620" b="0"/>
            <wp:docPr id="25" name="Picture 14" descr="Table 4. Pooled analysis percentage of 12-23 month old group reporting solicited AE during the 4-day (Days 0-3) post vaccination period of the TVC"/>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681758" cy="3697749"/>
                    </a:xfrm>
                    <a:prstGeom prst="rect">
                      <a:avLst/>
                    </a:prstGeom>
                    <a:noFill/>
                    <a:ln w="9525">
                      <a:noFill/>
                      <a:miter lim="800000"/>
                      <a:headEnd/>
                      <a:tailEnd/>
                    </a:ln>
                  </pic:spPr>
                </pic:pic>
              </a:graphicData>
            </a:graphic>
          </wp:inline>
        </w:drawing>
      </w:r>
    </w:p>
    <w:p w:rsidR="00B96774" w:rsidRPr="00B96774" w:rsidRDefault="00B96774" w:rsidP="001E74FA">
      <w:pPr>
        <w:pStyle w:val="TableDescription"/>
      </w:pPr>
      <w:r w:rsidRPr="00B96774">
        <w:t>N = total number investigated; n (%) = number (% of total number) reporting AE; CI = confidence interval; LL = lower limit of the 95% CI; UL = upper limit of the 95% C</w:t>
      </w:r>
      <w:r>
        <w:t>I</w:t>
      </w:r>
      <w:r w:rsidRPr="00B96774">
        <w:t>.</w:t>
      </w:r>
    </w:p>
    <w:p w:rsidR="00C71B14" w:rsidRDefault="00E02A1E" w:rsidP="001E74FA">
      <w:pPr>
        <w:pStyle w:val="TableTitle"/>
      </w:pPr>
      <w:r>
        <w:lastRenderedPageBreak/>
        <w:t>Table 5</w:t>
      </w:r>
      <w:r w:rsidR="00C71B14" w:rsidRPr="00C71B14">
        <w:t>. Pooled analysis percentage of 2-</w:t>
      </w:r>
      <w:r w:rsidR="00C71B14">
        <w:t xml:space="preserve">5 year old </w:t>
      </w:r>
      <w:r w:rsidR="00C71B14" w:rsidRPr="00C71B14">
        <w:t>group reporting solicited AE during the 4-day (Days 0-3) post vaccination period of the TVC</w:t>
      </w:r>
    </w:p>
    <w:p w:rsidR="00707C47" w:rsidRDefault="00707C47" w:rsidP="001E74FA">
      <w:r>
        <w:rPr>
          <w:noProof/>
          <w:lang w:eastAsia="en-AU"/>
        </w:rPr>
        <w:drawing>
          <wp:inline distT="0" distB="0" distL="0" distR="0">
            <wp:extent cx="3331637" cy="3815080"/>
            <wp:effectExtent l="19050" t="0" r="2113" b="0"/>
            <wp:docPr id="1" name="Picture 2" descr="Table 5. Pooled analysis percentage of 2-5 year old group reporting solicited AE during the 4-day (Days 0-3) post vaccination period of the 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331637" cy="3815080"/>
                    </a:xfrm>
                    <a:prstGeom prst="rect">
                      <a:avLst/>
                    </a:prstGeom>
                    <a:noFill/>
                    <a:ln w="9525">
                      <a:noFill/>
                      <a:miter lim="800000"/>
                      <a:headEnd/>
                      <a:tailEnd/>
                    </a:ln>
                  </pic:spPr>
                </pic:pic>
              </a:graphicData>
            </a:graphic>
          </wp:inline>
        </w:drawing>
      </w:r>
    </w:p>
    <w:p w:rsidR="00B96774" w:rsidRPr="00B96774" w:rsidRDefault="00B96774" w:rsidP="001E74FA">
      <w:pPr>
        <w:pStyle w:val="TableDescription"/>
      </w:pPr>
      <w:r w:rsidRPr="00B96774">
        <w:t>N = total number investigated; n (%) = number (% of total number) reporting AE; CI = confidence interval; LL = lower limit of the 95% CI; UL = upper limit of the 95% CI.</w:t>
      </w:r>
    </w:p>
    <w:p w:rsidR="00C71B14" w:rsidRDefault="00E02A1E" w:rsidP="001E74FA">
      <w:pPr>
        <w:pStyle w:val="TableTitle"/>
      </w:pPr>
      <w:r>
        <w:t>Table 6</w:t>
      </w:r>
      <w:r w:rsidR="00C71B14" w:rsidRPr="00C71B14">
        <w:t xml:space="preserve">. Pooled analysis percentage of </w:t>
      </w:r>
      <w:r w:rsidR="00C71B14">
        <w:t xml:space="preserve">6-17 year </w:t>
      </w:r>
      <w:r w:rsidR="00C71B14" w:rsidRPr="00C71B14">
        <w:t>old group reporting solicited AE during the 4-day (Days 0-3) post vaccination period of the TVC</w:t>
      </w:r>
    </w:p>
    <w:p w:rsidR="00707C47" w:rsidRPr="00C71B14" w:rsidRDefault="00707C47" w:rsidP="001E74FA">
      <w:r>
        <w:rPr>
          <w:noProof/>
          <w:lang w:eastAsia="en-AU"/>
        </w:rPr>
        <w:drawing>
          <wp:inline distT="0" distB="0" distL="0" distR="0">
            <wp:extent cx="3326423" cy="3459480"/>
            <wp:effectExtent l="19050" t="0" r="7327" b="0"/>
            <wp:docPr id="5" name="Picture 5" descr="Table 6. Pooled analysis percentage of 6-17 year old group reporting solicited AE during the 4-day (Days 0-3) post vaccination period of the 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326423" cy="3459480"/>
                    </a:xfrm>
                    <a:prstGeom prst="rect">
                      <a:avLst/>
                    </a:prstGeom>
                    <a:noFill/>
                    <a:ln w="9525">
                      <a:noFill/>
                      <a:miter lim="800000"/>
                      <a:headEnd/>
                      <a:tailEnd/>
                    </a:ln>
                  </pic:spPr>
                </pic:pic>
              </a:graphicData>
            </a:graphic>
          </wp:inline>
        </w:drawing>
      </w:r>
    </w:p>
    <w:p w:rsidR="007B34F4" w:rsidRPr="00B96774" w:rsidRDefault="00B96774" w:rsidP="001E74FA">
      <w:pPr>
        <w:pStyle w:val="TableDescription"/>
      </w:pPr>
      <w:r w:rsidRPr="00B96774">
        <w:t>N = total number investigated; n (%) = number (% of total number) reporting AE; CI = confidence interval; LL = lower limit of the 95% CI; UL = upper limit of the 95% CI.</w:t>
      </w:r>
    </w:p>
    <w:p w:rsidR="00C71B14" w:rsidRPr="00C71B14" w:rsidRDefault="00E02A1E" w:rsidP="001E74FA">
      <w:pPr>
        <w:pStyle w:val="TableTitle"/>
      </w:pPr>
      <w:bookmarkStart w:id="116" w:name="_Toc372213254"/>
      <w:bookmarkStart w:id="117" w:name="_Toc343641708"/>
      <w:bookmarkStart w:id="118" w:name="_Toc290846329"/>
      <w:bookmarkStart w:id="119" w:name="_Toc272414691"/>
      <w:bookmarkStart w:id="120" w:name="_Toc241374328"/>
      <w:r>
        <w:lastRenderedPageBreak/>
        <w:t>Table 7</w:t>
      </w:r>
      <w:r w:rsidR="00C71B14" w:rsidRPr="00C71B14">
        <w:t xml:space="preserve">. Pooled analysis percentage of </w:t>
      </w:r>
      <w:r w:rsidR="00707C47" w:rsidRPr="00707C47">
        <w:t xml:space="preserve">≥ 18 years </w:t>
      </w:r>
      <w:r w:rsidR="00C71B14" w:rsidRPr="00C71B14">
        <w:t>old group reporting solicited AE during the 4-day (Days 0-3) post vaccination period of the TVC</w:t>
      </w:r>
    </w:p>
    <w:p w:rsidR="007B34F4" w:rsidRDefault="00707C47" w:rsidP="001E74FA">
      <w:r>
        <w:rPr>
          <w:noProof/>
          <w:lang w:eastAsia="en-AU"/>
        </w:rPr>
        <w:drawing>
          <wp:inline distT="0" distB="0" distL="0" distR="0">
            <wp:extent cx="3208906" cy="3362960"/>
            <wp:effectExtent l="19050" t="0" r="0" b="0"/>
            <wp:docPr id="3" name="Picture 8" descr="Table 7. Pooled analysis percentage of ≥ 18 years old group reporting solicited AE during the 4-day (Days 0-3) post vaccination period of the 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208906" cy="3362960"/>
                    </a:xfrm>
                    <a:prstGeom prst="rect">
                      <a:avLst/>
                    </a:prstGeom>
                    <a:noFill/>
                    <a:ln w="9525">
                      <a:noFill/>
                      <a:miter lim="800000"/>
                      <a:headEnd/>
                      <a:tailEnd/>
                    </a:ln>
                  </pic:spPr>
                </pic:pic>
              </a:graphicData>
            </a:graphic>
          </wp:inline>
        </w:drawing>
      </w:r>
    </w:p>
    <w:p w:rsidR="00B96774" w:rsidRPr="00B96774" w:rsidRDefault="00B96774" w:rsidP="001E74FA">
      <w:pPr>
        <w:pStyle w:val="TableDescription"/>
      </w:pPr>
      <w:r w:rsidRPr="00B96774">
        <w:t>N = total number investigated; n (%) = number (% of total number) reporting AE; CI = confidence interval; LL = lower limit of the 95% CI; UL = upper limit of the 95% CI.</w:t>
      </w:r>
    </w:p>
    <w:p w:rsidR="00DE081A" w:rsidRPr="00DE081A" w:rsidRDefault="007812E7" w:rsidP="001E74FA">
      <w:pPr>
        <w:pStyle w:val="Heading5"/>
      </w:pPr>
      <w:r>
        <w:t>Serious a</w:t>
      </w:r>
      <w:r w:rsidR="00DE081A" w:rsidRPr="00DE081A">
        <w:t xml:space="preserve">dverse </w:t>
      </w:r>
      <w:r>
        <w:t>e</w:t>
      </w:r>
      <w:r w:rsidR="001E74FA">
        <w:t>vents</w:t>
      </w:r>
    </w:p>
    <w:p w:rsidR="00DE081A" w:rsidRDefault="00DE081A" w:rsidP="001E74FA">
      <w:r w:rsidRPr="00DE081A">
        <w:t xml:space="preserve">From 8108 </w:t>
      </w:r>
      <w:proofErr w:type="spellStart"/>
      <w:r w:rsidRPr="00DE081A">
        <w:t>MenACWY</w:t>
      </w:r>
      <w:proofErr w:type="spellEnd"/>
      <w:r w:rsidRPr="00DE081A">
        <w:t>-TT vaccinated subjects, 29 (0.4%) reported ≥</w:t>
      </w:r>
      <w:r w:rsidR="007812E7">
        <w:t xml:space="preserve"> </w:t>
      </w:r>
      <w:r w:rsidR="00B13592">
        <w:t xml:space="preserve">1 </w:t>
      </w:r>
      <w:r w:rsidR="00B96AA5">
        <w:t xml:space="preserve">SAE within the 31 </w:t>
      </w:r>
      <w:r w:rsidRPr="00DE081A">
        <w:t xml:space="preserve">days post vaccination. In regards to age groups differences, 0.8% of &lt;2 year olds, 0.3% of 2-5 year olds, 0.2% of 11-17 year olds and 0.2% of ≥18 year olds had one or more SAE. No SAEs were reported in the 6 to 10 year olds. None of the SAEs reported in those under 2 and </w:t>
      </w:r>
      <w:r w:rsidR="007812E7">
        <w:t xml:space="preserve">those aged </w:t>
      </w:r>
      <w:r w:rsidRPr="00DE081A">
        <w:t xml:space="preserve">2-5 </w:t>
      </w:r>
      <w:r w:rsidR="00B13592">
        <w:t>years</w:t>
      </w:r>
      <w:r w:rsidRPr="00DE081A">
        <w:t xml:space="preserve"> </w:t>
      </w:r>
      <w:r w:rsidR="007812E7">
        <w:t xml:space="preserve">were </w:t>
      </w:r>
      <w:r w:rsidRPr="00DE081A">
        <w:t xml:space="preserve">considered vaccine related. In the 11-17 </w:t>
      </w:r>
      <w:r w:rsidR="00B13592">
        <w:t>years</w:t>
      </w:r>
      <w:r w:rsidRPr="00DE081A">
        <w:t xml:space="preserve"> age group, two SAEs (concussion and syncope)</w:t>
      </w:r>
      <w:r w:rsidR="00B96AA5">
        <w:t>,</w:t>
      </w:r>
      <w:r w:rsidRPr="00DE081A">
        <w:t xml:space="preserve"> reported by one subject 8 days after vaccination with </w:t>
      </w:r>
      <w:proofErr w:type="spellStart"/>
      <w:r w:rsidRPr="00DE081A">
        <w:t>MenACWY</w:t>
      </w:r>
      <w:proofErr w:type="spellEnd"/>
      <w:r w:rsidRPr="00DE081A">
        <w:t xml:space="preserve">-TT and </w:t>
      </w:r>
      <w:proofErr w:type="spellStart"/>
      <w:r w:rsidRPr="00DE081A">
        <w:t>Twinrix</w:t>
      </w:r>
      <w:proofErr w:type="spellEnd"/>
      <w:r w:rsidRPr="00DE081A">
        <w:t xml:space="preserve"> vaccines in study MenACWY-TT-037</w:t>
      </w:r>
      <w:r w:rsidR="002A29D9">
        <w:t>,</w:t>
      </w:r>
      <w:r w:rsidR="007812E7">
        <w:t xml:space="preserve"> were</w:t>
      </w:r>
      <w:r w:rsidRPr="00DE081A">
        <w:t xml:space="preserve"> considered vaccine related. In the ≥18 year age group, three SAEs were considered vaccine related</w:t>
      </w:r>
      <w:r w:rsidR="007812E7">
        <w:t xml:space="preserve"> (</w:t>
      </w:r>
      <w:r w:rsidRPr="00DE081A">
        <w:t xml:space="preserve">abdominal pain and gastritis reported by one subject 5 days after vaccination with </w:t>
      </w:r>
      <w:proofErr w:type="spellStart"/>
      <w:r w:rsidRPr="00DE081A">
        <w:t>MenACWY</w:t>
      </w:r>
      <w:proofErr w:type="spellEnd"/>
      <w:r w:rsidRPr="00DE081A">
        <w:t xml:space="preserve">-TT in </w:t>
      </w:r>
      <w:r w:rsidR="002A29D9">
        <w:t xml:space="preserve">Study </w:t>
      </w:r>
      <w:r w:rsidRPr="00DE081A">
        <w:t xml:space="preserve">MenACWY-TT-035; </w:t>
      </w:r>
      <w:r w:rsidR="002A29D9">
        <w:t xml:space="preserve">a </w:t>
      </w:r>
      <w:r w:rsidRPr="00DE081A">
        <w:t xml:space="preserve">SAE of blighted ovum reported by one subject 29 days after vaccination with </w:t>
      </w:r>
      <w:proofErr w:type="spellStart"/>
      <w:r w:rsidRPr="00DE081A">
        <w:t>MenACWY</w:t>
      </w:r>
      <w:proofErr w:type="spellEnd"/>
      <w:r w:rsidRPr="00DE081A">
        <w:t xml:space="preserve">-TT in </w:t>
      </w:r>
      <w:r w:rsidR="007812E7">
        <w:t xml:space="preserve">Study </w:t>
      </w:r>
      <w:r w:rsidRPr="00DE081A">
        <w:t>MenACWY-TT-093</w:t>
      </w:r>
      <w:r w:rsidR="007812E7">
        <w:t>)</w:t>
      </w:r>
      <w:r w:rsidRPr="00DE081A">
        <w:t>.</w:t>
      </w:r>
    </w:p>
    <w:p w:rsidR="00B150E1" w:rsidRPr="00B150E1" w:rsidRDefault="00B150E1" w:rsidP="001E74FA">
      <w:r w:rsidRPr="00B150E1">
        <w:t xml:space="preserve">Of </w:t>
      </w:r>
      <w:r w:rsidR="00B96AA5">
        <w:t xml:space="preserve">the </w:t>
      </w:r>
      <w:r w:rsidRPr="00B150E1">
        <w:t>SAE</w:t>
      </w:r>
      <w:r w:rsidR="00B96AA5">
        <w:t>s</w:t>
      </w:r>
      <w:r w:rsidRPr="00B150E1">
        <w:t xml:space="preserve"> not considered related (</w:t>
      </w:r>
      <w:r>
        <w:t xml:space="preserve">in </w:t>
      </w:r>
      <w:r w:rsidRPr="00B150E1">
        <w:t xml:space="preserve">8108 subjects vaccinated </w:t>
      </w:r>
      <w:r>
        <w:t xml:space="preserve">with </w:t>
      </w:r>
      <w:proofErr w:type="spellStart"/>
      <w:r w:rsidRPr="00B150E1">
        <w:t>MenACWY</w:t>
      </w:r>
      <w:proofErr w:type="spellEnd"/>
      <w:r w:rsidRPr="00B150E1">
        <w:t>-TT), two subjects reported nervous system disorder SAEs (one case of febrile convulsion in &lt;</w:t>
      </w:r>
      <w:r w:rsidR="00B96AA5">
        <w:t xml:space="preserve"> </w:t>
      </w:r>
      <w:r w:rsidRPr="00B150E1">
        <w:t xml:space="preserve">2 years age group and one case of syncope in 11-17 years age group). Data mining analysis in </w:t>
      </w:r>
      <w:proofErr w:type="spellStart"/>
      <w:r w:rsidRPr="00B150E1">
        <w:t>MenACWY</w:t>
      </w:r>
      <w:proofErr w:type="spellEnd"/>
      <w:r w:rsidRPr="00B150E1">
        <w:t xml:space="preserve">-TT and </w:t>
      </w:r>
      <w:proofErr w:type="spellStart"/>
      <w:r w:rsidRPr="00B150E1">
        <w:t>Meningitec</w:t>
      </w:r>
      <w:proofErr w:type="spellEnd"/>
      <w:r w:rsidRPr="00B150E1">
        <w:t xml:space="preserve"> groups did not identify any differe</w:t>
      </w:r>
      <w:r w:rsidR="00B96AA5">
        <w:t>nces between groups for any SAE</w:t>
      </w:r>
      <w:r w:rsidRPr="00B150E1">
        <w:t xml:space="preserve"> reported</w:t>
      </w:r>
      <w:r w:rsidR="00B96AA5">
        <w:t>,</w:t>
      </w:r>
      <w:r w:rsidRPr="00B150E1">
        <w:t xml:space="preserve"> except bronchitis </w:t>
      </w:r>
      <w:r>
        <w:t xml:space="preserve">which was </w:t>
      </w:r>
      <w:r w:rsidRPr="00B150E1">
        <w:t xml:space="preserve">higher </w:t>
      </w:r>
      <w:r>
        <w:t xml:space="preserve">in the </w:t>
      </w:r>
      <w:proofErr w:type="spellStart"/>
      <w:r w:rsidRPr="00B150E1">
        <w:t>Meningitec</w:t>
      </w:r>
      <w:proofErr w:type="spellEnd"/>
      <w:r w:rsidRPr="00B150E1">
        <w:t xml:space="preserve"> (0.8%) v</w:t>
      </w:r>
      <w:r>
        <w:t>ersus</w:t>
      </w:r>
      <w:r w:rsidRPr="00B150E1">
        <w:t xml:space="preserve"> </w:t>
      </w:r>
      <w:proofErr w:type="spellStart"/>
      <w:r w:rsidRPr="00B150E1">
        <w:t>MenACWY</w:t>
      </w:r>
      <w:proofErr w:type="spellEnd"/>
      <w:r w:rsidRPr="00B150E1">
        <w:t xml:space="preserve">-TT group (0.0%) (P-value = 0.027). No SAEs </w:t>
      </w:r>
      <w:r>
        <w:t xml:space="preserve">were </w:t>
      </w:r>
      <w:r w:rsidRPr="00B150E1">
        <w:t xml:space="preserve">reported in </w:t>
      </w:r>
      <w:proofErr w:type="spellStart"/>
      <w:r w:rsidRPr="00B150E1">
        <w:t>Mencevax</w:t>
      </w:r>
      <w:proofErr w:type="spellEnd"/>
      <w:r w:rsidRPr="00B150E1">
        <w:t xml:space="preserve"> ACWY controlled studies (MenACWY-TT-027 and -038) in the 6-10 years age </w:t>
      </w:r>
      <w:r w:rsidR="00B96AA5">
        <w:t xml:space="preserve">group during the 31 </w:t>
      </w:r>
      <w:r>
        <w:t>day post-vaccination</w:t>
      </w:r>
      <w:r w:rsidRPr="00B150E1">
        <w:t xml:space="preserve"> period. Data mining analysis did not identify any differences between </w:t>
      </w:r>
      <w:proofErr w:type="spellStart"/>
      <w:r w:rsidRPr="00B150E1">
        <w:t>MenACWY</w:t>
      </w:r>
      <w:proofErr w:type="spellEnd"/>
      <w:r w:rsidRPr="00B150E1">
        <w:t xml:space="preserve">-TT and </w:t>
      </w:r>
      <w:proofErr w:type="spellStart"/>
      <w:r w:rsidRPr="00B150E1">
        <w:t>Mencevax</w:t>
      </w:r>
      <w:proofErr w:type="spellEnd"/>
      <w:r w:rsidRPr="00B150E1">
        <w:t xml:space="preserve"> ACWY for SAEs. No SAEs </w:t>
      </w:r>
      <w:r>
        <w:t xml:space="preserve">were </w:t>
      </w:r>
      <w:r w:rsidR="00B96AA5">
        <w:t xml:space="preserve">reported within the 31 </w:t>
      </w:r>
      <w:r w:rsidRPr="00B150E1">
        <w:t xml:space="preserve">day post vaccination period in ≥18 year olds in the </w:t>
      </w:r>
      <w:proofErr w:type="spellStart"/>
      <w:r w:rsidRPr="00B150E1">
        <w:t>MenACWYTT</w:t>
      </w:r>
      <w:proofErr w:type="spellEnd"/>
      <w:r w:rsidRPr="00B150E1">
        <w:t xml:space="preserve"> or </w:t>
      </w:r>
      <w:proofErr w:type="spellStart"/>
      <w:r w:rsidRPr="00B150E1">
        <w:t>Menactra</w:t>
      </w:r>
      <w:proofErr w:type="spellEnd"/>
      <w:r w:rsidRPr="00B150E1">
        <w:t xml:space="preserve"> group of this study. </w:t>
      </w:r>
    </w:p>
    <w:p w:rsidR="00DE081A" w:rsidRPr="00DE081A" w:rsidRDefault="002A29D9" w:rsidP="001E74FA">
      <w:r>
        <w:t xml:space="preserve">For </w:t>
      </w:r>
      <w:r w:rsidR="00B96AA5">
        <w:t xml:space="preserve">SAEs reported during the 31 </w:t>
      </w:r>
      <w:r w:rsidR="00DE081A" w:rsidRPr="00DE081A">
        <w:t xml:space="preserve">day (Days 0-30) post-vaccination period in </w:t>
      </w:r>
      <w:r>
        <w:t xml:space="preserve">Study </w:t>
      </w:r>
      <w:proofErr w:type="spellStart"/>
      <w:r w:rsidR="00DE081A" w:rsidRPr="00DE081A">
        <w:t>MenACWY</w:t>
      </w:r>
      <w:proofErr w:type="spellEnd"/>
      <w:r w:rsidR="00DE081A" w:rsidRPr="00DE081A">
        <w:t>-TT 021(booster study): One SAE</w:t>
      </w:r>
      <w:r>
        <w:t xml:space="preserve"> (</w:t>
      </w:r>
      <w:r w:rsidR="00DE081A" w:rsidRPr="00DE081A">
        <w:t>tendon rupture</w:t>
      </w:r>
      <w:r w:rsidRPr="00DE081A">
        <w:t xml:space="preserve">, occurring in </w:t>
      </w:r>
      <w:r>
        <w:t>one subject in the primed group</w:t>
      </w:r>
      <w:r w:rsidRPr="00DE081A">
        <w:t xml:space="preserve"> 22 days after vaccination</w:t>
      </w:r>
      <w:r>
        <w:t>) was</w:t>
      </w:r>
      <w:r w:rsidR="00DE081A" w:rsidRPr="00DE081A">
        <w:t xml:space="preserve"> not considered vaccine related.</w:t>
      </w:r>
      <w:r>
        <w:t xml:space="preserve"> </w:t>
      </w:r>
      <w:r w:rsidR="00B150E1">
        <w:t xml:space="preserve">For </w:t>
      </w:r>
      <w:r w:rsidR="00B96AA5">
        <w:t xml:space="preserve">SAEs reported during the 31 </w:t>
      </w:r>
      <w:r w:rsidR="00DE081A" w:rsidRPr="00DE081A">
        <w:t xml:space="preserve">day (Days 0-30) post-vaccination period in </w:t>
      </w:r>
      <w:r>
        <w:t xml:space="preserve">Study </w:t>
      </w:r>
      <w:r w:rsidR="00DE081A" w:rsidRPr="00DE081A">
        <w:t>MenACWY-TT-</w:t>
      </w:r>
      <w:r w:rsidR="00DE081A" w:rsidRPr="00DE081A">
        <w:lastRenderedPageBreak/>
        <w:t xml:space="preserve">071: </w:t>
      </w:r>
      <w:r w:rsidR="00B150E1">
        <w:t xml:space="preserve">3 </w:t>
      </w:r>
      <w:r w:rsidR="00DE081A" w:rsidRPr="00DE081A">
        <w:t xml:space="preserve">SAEs </w:t>
      </w:r>
      <w:r w:rsidR="00B150E1">
        <w:t xml:space="preserve">were </w:t>
      </w:r>
      <w:r w:rsidR="00DE081A" w:rsidRPr="00DE081A">
        <w:t>reported</w:t>
      </w:r>
      <w:r w:rsidR="00B150E1">
        <w:t>:</w:t>
      </w:r>
      <w:r w:rsidR="00DE081A" w:rsidRPr="00DE081A">
        <w:t xml:space="preserve"> one subject in </w:t>
      </w:r>
      <w:proofErr w:type="spellStart"/>
      <w:r w:rsidR="00DE081A" w:rsidRPr="00DE081A">
        <w:t>MenACWY</w:t>
      </w:r>
      <w:proofErr w:type="spellEnd"/>
      <w:r w:rsidR="00DE081A" w:rsidRPr="00DE081A">
        <w:t xml:space="preserve">-TT lot-A group reported one SAE (asthma) and one subject in </w:t>
      </w:r>
      <w:r>
        <w:t xml:space="preserve">the </w:t>
      </w:r>
      <w:proofErr w:type="spellStart"/>
      <w:r w:rsidR="00DE081A" w:rsidRPr="00DE081A">
        <w:t>Menactra</w:t>
      </w:r>
      <w:proofErr w:type="spellEnd"/>
      <w:r w:rsidR="00DE081A" w:rsidRPr="00DE081A">
        <w:t xml:space="preserve"> group reported two SAEs (jaw fracture and post-procedural haematoma), none </w:t>
      </w:r>
      <w:r>
        <w:t xml:space="preserve">of which was </w:t>
      </w:r>
      <w:r w:rsidR="00DE081A" w:rsidRPr="00DE081A">
        <w:t xml:space="preserve">considered vaccine related. </w:t>
      </w:r>
    </w:p>
    <w:p w:rsidR="00DE081A" w:rsidRPr="00DE081A" w:rsidRDefault="00DE081A" w:rsidP="001E74FA">
      <w:r w:rsidRPr="001E74FA">
        <w:rPr>
          <w:i/>
        </w:rPr>
        <w:t>S</w:t>
      </w:r>
      <w:r w:rsidR="00B96AA5" w:rsidRPr="001E74FA">
        <w:rPr>
          <w:i/>
        </w:rPr>
        <w:t xml:space="preserve">erious </w:t>
      </w:r>
      <w:r w:rsidRPr="001E74FA">
        <w:rPr>
          <w:i/>
        </w:rPr>
        <w:t>AEs reported retrospectively in immunogenicity persistence studies (Studies MenACWY-TT-014,-016,-017,-024,-025,-026,-028, -029, -030,- 043Y2, -048Y2, -059Y1, -062Y1):</w:t>
      </w:r>
      <w:r w:rsidRPr="00B96AA5">
        <w:t xml:space="preserve"> </w:t>
      </w:r>
      <w:r w:rsidRPr="00DE081A">
        <w:t xml:space="preserve">These are SAEs occurring between completion of vaccination studies and the start of the respective persistence studies. From 185 subjects who returned </w:t>
      </w:r>
      <w:r w:rsidR="00B96AA5">
        <w:t>for immunogenicity persistence S</w:t>
      </w:r>
      <w:r w:rsidRPr="00DE081A">
        <w:t>tudy 014, four subjects experienced ≥</w:t>
      </w:r>
      <w:r w:rsidR="002A29D9">
        <w:t xml:space="preserve"> </w:t>
      </w:r>
      <w:r w:rsidRPr="00DE081A">
        <w:t>1 SAE</w:t>
      </w:r>
      <w:r w:rsidR="002A29D9">
        <w:t>,</w:t>
      </w:r>
      <w:r w:rsidRPr="00DE081A">
        <w:t xml:space="preserve"> </w:t>
      </w:r>
      <w:r w:rsidR="002A29D9">
        <w:t xml:space="preserve">one of which was </w:t>
      </w:r>
      <w:proofErr w:type="spellStart"/>
      <w:r w:rsidRPr="00DE081A">
        <w:t>mastoiditis</w:t>
      </w:r>
      <w:proofErr w:type="spellEnd"/>
      <w:r w:rsidRPr="00DE081A">
        <w:t xml:space="preserve"> reported by 1 subject from the </w:t>
      </w:r>
      <w:proofErr w:type="spellStart"/>
      <w:r w:rsidRPr="00DE081A">
        <w:t>MenACWY</w:t>
      </w:r>
      <w:proofErr w:type="spellEnd"/>
      <w:r w:rsidRPr="00DE081A">
        <w:t>-TT (3-5 year) group. None were considered vaccination related. All resolved wi</w:t>
      </w:r>
      <w:r w:rsidR="00B96AA5">
        <w:t xml:space="preserve">thout </w:t>
      </w:r>
      <w:proofErr w:type="spellStart"/>
      <w:r w:rsidR="00B96AA5">
        <w:t>sequelae</w:t>
      </w:r>
      <w:proofErr w:type="spellEnd"/>
      <w:r w:rsidR="00B96AA5">
        <w:t>. In persistence S</w:t>
      </w:r>
      <w:r w:rsidRPr="00DE081A">
        <w:t>tudies MenACWY-TT-016, -017, -024, -025, -026, -028, -029, -030, - 043Y2, -048Y2, -059Y1 and -062Y1 only SAEs considered vaccination were reportable and none were.</w:t>
      </w:r>
    </w:p>
    <w:p w:rsidR="00DE081A" w:rsidRPr="00DE081A" w:rsidRDefault="002A29D9" w:rsidP="001E74FA">
      <w:r>
        <w:t xml:space="preserve">Regarding </w:t>
      </w:r>
      <w:r w:rsidR="00DE081A" w:rsidRPr="00DE081A">
        <w:t xml:space="preserve">New Onset Chronic Illness </w:t>
      </w:r>
      <w:r>
        <w:t xml:space="preserve">(NOCI) </w:t>
      </w:r>
      <w:r w:rsidR="00DE081A" w:rsidRPr="00DE081A">
        <w:t xml:space="preserve">reported in the </w:t>
      </w:r>
      <w:r>
        <w:t>e</w:t>
      </w:r>
      <w:r w:rsidR="00DE081A" w:rsidRPr="00DE081A">
        <w:t xml:space="preserve">xtended </w:t>
      </w:r>
      <w:r>
        <w:t>s</w:t>
      </w:r>
      <w:r w:rsidR="00DE081A" w:rsidRPr="00DE081A">
        <w:t xml:space="preserve">afety </w:t>
      </w:r>
      <w:r>
        <w:t>f</w:t>
      </w:r>
      <w:r w:rsidR="00DE081A" w:rsidRPr="00DE081A">
        <w:t>ollow-</w:t>
      </w:r>
      <w:r>
        <w:t>u</w:t>
      </w:r>
      <w:r w:rsidR="00DE081A" w:rsidRPr="00DE081A">
        <w:t xml:space="preserve">p period of 6 months: Data mining analysis in </w:t>
      </w:r>
      <w:proofErr w:type="spellStart"/>
      <w:r w:rsidR="00DE081A" w:rsidRPr="00DE081A">
        <w:t>MenACWY</w:t>
      </w:r>
      <w:proofErr w:type="spellEnd"/>
      <w:r w:rsidR="00DE081A" w:rsidRPr="00DE081A">
        <w:t>-TT and control groups did not identify any NOCIs requiring further exploration.</w:t>
      </w:r>
    </w:p>
    <w:p w:rsidR="00F1189E" w:rsidRPr="00F1189E" w:rsidRDefault="00F1189E" w:rsidP="001E74FA">
      <w:pPr>
        <w:pStyle w:val="Heading4"/>
      </w:pPr>
      <w:r w:rsidRPr="00F1189E">
        <w:t>Evaluator’s overall conclusions on clinical safety</w:t>
      </w:r>
      <w:bookmarkEnd w:id="116"/>
      <w:bookmarkEnd w:id="117"/>
      <w:bookmarkEnd w:id="118"/>
      <w:bookmarkEnd w:id="119"/>
      <w:bookmarkEnd w:id="120"/>
    </w:p>
    <w:p w:rsidR="00F1189E" w:rsidRPr="00F1189E" w:rsidRDefault="002A29D9" w:rsidP="001E74FA">
      <w:r>
        <w:t xml:space="preserve">The evaluator considered </w:t>
      </w:r>
      <w:proofErr w:type="spellStart"/>
      <w:r>
        <w:t>Nimenrix</w:t>
      </w:r>
      <w:proofErr w:type="spellEnd"/>
      <w:r>
        <w:t xml:space="preserve"> had a f</w:t>
      </w:r>
      <w:r w:rsidR="00F1189E" w:rsidRPr="00F1189E">
        <w:t xml:space="preserve">avourable safety profile in all age groups studied. </w:t>
      </w:r>
    </w:p>
    <w:p w:rsidR="00DE081A" w:rsidRPr="001E74FA" w:rsidRDefault="00DE081A" w:rsidP="001E74FA">
      <w:pPr>
        <w:pStyle w:val="Heading3"/>
      </w:pPr>
      <w:bookmarkStart w:id="121" w:name="_Toc372213255"/>
      <w:bookmarkStart w:id="122" w:name="_Toc196046504"/>
      <w:bookmarkStart w:id="123" w:name="_Toc163441390"/>
      <w:bookmarkStart w:id="124" w:name="_Toc375119727"/>
      <w:bookmarkEnd w:id="112"/>
      <w:bookmarkEnd w:id="113"/>
      <w:bookmarkEnd w:id="114"/>
      <w:r w:rsidRPr="00DE081A">
        <w:t>First round benefit-risk assessment</w:t>
      </w:r>
      <w:bookmarkEnd w:id="121"/>
      <w:bookmarkEnd w:id="124"/>
    </w:p>
    <w:p w:rsidR="00DE081A" w:rsidRPr="001E74FA" w:rsidRDefault="00DE081A" w:rsidP="001E74FA">
      <w:pPr>
        <w:pStyle w:val="Heading4"/>
      </w:pPr>
      <w:bookmarkStart w:id="125" w:name="_Toc236802592"/>
      <w:bookmarkStart w:id="126" w:name="_Toc241374331"/>
      <w:bookmarkStart w:id="127" w:name="_Ref272160836"/>
      <w:bookmarkStart w:id="128" w:name="_Toc272414693"/>
      <w:bookmarkStart w:id="129" w:name="_Toc290846331"/>
      <w:bookmarkStart w:id="130" w:name="_Toc343641710"/>
      <w:bookmarkStart w:id="131" w:name="_Toc372213256"/>
      <w:r w:rsidRPr="00DE081A">
        <w:t>First round assessment of benefits</w:t>
      </w:r>
      <w:bookmarkEnd w:id="125"/>
      <w:bookmarkEnd w:id="126"/>
      <w:bookmarkEnd w:id="127"/>
      <w:bookmarkEnd w:id="128"/>
      <w:bookmarkEnd w:id="129"/>
      <w:bookmarkEnd w:id="130"/>
      <w:bookmarkEnd w:id="131"/>
    </w:p>
    <w:p w:rsidR="00DE081A" w:rsidRPr="00DE081A" w:rsidRDefault="00DE081A" w:rsidP="001E74FA">
      <w:r w:rsidRPr="00DE081A">
        <w:t xml:space="preserve">The benefits of </w:t>
      </w:r>
      <w:proofErr w:type="spellStart"/>
      <w:r w:rsidRPr="00DE081A">
        <w:t>MenACWY</w:t>
      </w:r>
      <w:proofErr w:type="spellEnd"/>
      <w:r w:rsidRPr="00DE081A">
        <w:t>-TT in the proposed usage are:</w:t>
      </w:r>
    </w:p>
    <w:p w:rsidR="00DE081A" w:rsidRPr="00DE081A" w:rsidRDefault="00DE081A" w:rsidP="001E74FA">
      <w:pPr>
        <w:pStyle w:val="ListBullet"/>
      </w:pPr>
      <w:r w:rsidRPr="00DE081A">
        <w:t>Equivalent if not higher levels of protective immunogenicity to all 4 meningoco</w:t>
      </w:r>
      <w:r w:rsidR="006C0A8A">
        <w:t xml:space="preserve">ccal </w:t>
      </w:r>
      <w:proofErr w:type="spellStart"/>
      <w:r w:rsidR="006C0A8A">
        <w:t>sero</w:t>
      </w:r>
      <w:r w:rsidR="00796FC4">
        <w:t>groups</w:t>
      </w:r>
      <w:proofErr w:type="spellEnd"/>
      <w:r w:rsidR="006C0A8A">
        <w:t xml:space="preserve"> (A,C, W-135, Y) </w:t>
      </w:r>
      <w:r w:rsidRPr="00DE081A">
        <w:t xml:space="preserve">including in the younger age group </w:t>
      </w:r>
      <w:r w:rsidR="006C0A8A">
        <w:t>(</w:t>
      </w:r>
      <w:r w:rsidRPr="00DE081A">
        <w:t>&lt;</w:t>
      </w:r>
      <w:r w:rsidR="006C0A8A">
        <w:t xml:space="preserve"> </w:t>
      </w:r>
      <w:r w:rsidRPr="00DE081A">
        <w:t xml:space="preserve">2 </w:t>
      </w:r>
      <w:r w:rsidR="00B13592">
        <w:t>years</w:t>
      </w:r>
      <w:r w:rsidR="006C0A8A">
        <w:t>)</w:t>
      </w:r>
      <w:r w:rsidRPr="00DE081A">
        <w:t xml:space="preserve"> who tend to mount poorer and less persistent immune responses to PS meningococcal vaccines;</w:t>
      </w:r>
    </w:p>
    <w:p w:rsidR="00DE081A" w:rsidRPr="00DE081A" w:rsidRDefault="00DE081A" w:rsidP="001E74FA">
      <w:pPr>
        <w:pStyle w:val="ListBullet"/>
      </w:pPr>
      <w:r w:rsidRPr="00DE081A">
        <w:t>Potential protection from invasive meningococcal disease;</w:t>
      </w:r>
    </w:p>
    <w:p w:rsidR="00DE081A" w:rsidRPr="00DE081A" w:rsidRDefault="00DE081A" w:rsidP="00DE081A">
      <w:pPr>
        <w:pStyle w:val="ListBullet"/>
      </w:pPr>
      <w:r w:rsidRPr="00DE081A">
        <w:t xml:space="preserve">Boosting of immune responses to all 4 meningococcal </w:t>
      </w:r>
      <w:proofErr w:type="spellStart"/>
      <w:r w:rsidRPr="00DE081A">
        <w:t>sero</w:t>
      </w:r>
      <w:r w:rsidR="00796FC4">
        <w:t>groups</w:t>
      </w:r>
      <w:proofErr w:type="spellEnd"/>
      <w:r w:rsidRPr="00DE081A">
        <w:t xml:space="preserve"> in those primed with a PS vaccine</w:t>
      </w:r>
      <w:r w:rsidR="006C0A8A">
        <w:t>,</w:t>
      </w:r>
      <w:r w:rsidRPr="00DE081A">
        <w:t xml:space="preserve"> which might protect better against invasive meningococcal disease.</w:t>
      </w:r>
    </w:p>
    <w:p w:rsidR="00DE081A" w:rsidRPr="001E74FA" w:rsidRDefault="00DE081A" w:rsidP="001E74FA">
      <w:pPr>
        <w:pStyle w:val="Heading4"/>
      </w:pPr>
      <w:bookmarkStart w:id="132" w:name="_Toc236802596"/>
      <w:bookmarkStart w:id="133" w:name="_Toc241374334"/>
      <w:bookmarkStart w:id="134" w:name="_Ref272160964"/>
      <w:bookmarkStart w:id="135" w:name="_Toc272414694"/>
      <w:bookmarkStart w:id="136" w:name="_Toc290846332"/>
      <w:bookmarkStart w:id="137" w:name="_Toc343641711"/>
      <w:bookmarkStart w:id="138" w:name="_Toc372213257"/>
      <w:r w:rsidRPr="00DE081A">
        <w:t>First round assessment of risks</w:t>
      </w:r>
      <w:bookmarkEnd w:id="132"/>
      <w:bookmarkEnd w:id="133"/>
      <w:bookmarkEnd w:id="134"/>
      <w:bookmarkEnd w:id="135"/>
      <w:bookmarkEnd w:id="136"/>
      <w:bookmarkEnd w:id="137"/>
      <w:bookmarkEnd w:id="138"/>
    </w:p>
    <w:p w:rsidR="00DE081A" w:rsidRPr="00DE081A" w:rsidRDefault="00DE081A" w:rsidP="001E74FA">
      <w:r w:rsidRPr="00DE081A">
        <w:t xml:space="preserve">The risks of </w:t>
      </w:r>
      <w:proofErr w:type="spellStart"/>
      <w:r w:rsidRPr="00DE081A">
        <w:t>MenACWY</w:t>
      </w:r>
      <w:proofErr w:type="spellEnd"/>
      <w:r w:rsidRPr="00DE081A">
        <w:t>-TT in the proposed usage are</w:t>
      </w:r>
      <w:r>
        <w:t xml:space="preserve"> r</w:t>
      </w:r>
      <w:r w:rsidRPr="00DE081A">
        <w:t>elatively small in terms of solicited local and general AE</w:t>
      </w:r>
      <w:r w:rsidR="00B96AA5">
        <w:t>s</w:t>
      </w:r>
      <w:r w:rsidRPr="00DE081A">
        <w:t xml:space="preserve"> and unsolicited AE</w:t>
      </w:r>
      <w:r w:rsidR="00B96AA5">
        <w:t>s</w:t>
      </w:r>
      <w:r w:rsidRPr="00DE081A">
        <w:t xml:space="preserve">. Moreover, these are equivalent to licensed comparator meningococcal vaccines. </w:t>
      </w:r>
    </w:p>
    <w:p w:rsidR="00DE081A" w:rsidRPr="001E74FA" w:rsidRDefault="00DE081A" w:rsidP="001E74FA">
      <w:pPr>
        <w:pStyle w:val="Heading4"/>
      </w:pPr>
      <w:bookmarkStart w:id="139" w:name="_Toc372213258"/>
      <w:r w:rsidRPr="00DE081A">
        <w:t>First round assessment of benefit-risk balance</w:t>
      </w:r>
      <w:bookmarkEnd w:id="139"/>
    </w:p>
    <w:p w:rsidR="00DE081A" w:rsidRPr="00DE081A" w:rsidRDefault="00DE081A" w:rsidP="001E74FA">
      <w:r w:rsidRPr="00DE081A">
        <w:t xml:space="preserve">The benefit-risk balance of </w:t>
      </w:r>
      <w:proofErr w:type="spellStart"/>
      <w:r w:rsidRPr="00DE081A">
        <w:t>MenACWY</w:t>
      </w:r>
      <w:proofErr w:type="spellEnd"/>
      <w:r w:rsidRPr="00DE081A">
        <w:t>-TT, given the proposed usage, is favourable.</w:t>
      </w:r>
    </w:p>
    <w:p w:rsidR="00DE081A" w:rsidRPr="001E74FA" w:rsidRDefault="00DE081A" w:rsidP="001E74FA">
      <w:pPr>
        <w:pStyle w:val="Heading3"/>
      </w:pPr>
      <w:bookmarkStart w:id="140" w:name="_Toc372213259"/>
      <w:bookmarkStart w:id="141" w:name="_Toc375119728"/>
      <w:r w:rsidRPr="00DE081A">
        <w:t>First round recommendation regarding authorisation</w:t>
      </w:r>
      <w:bookmarkEnd w:id="140"/>
      <w:bookmarkEnd w:id="141"/>
    </w:p>
    <w:p w:rsidR="00DE081A" w:rsidRPr="00DE081A" w:rsidRDefault="00DE081A" w:rsidP="001E74FA">
      <w:r>
        <w:t xml:space="preserve">The evaluator </w:t>
      </w:r>
      <w:r w:rsidRPr="00DE081A">
        <w:t>recommend</w:t>
      </w:r>
      <w:r w:rsidR="006C0A8A">
        <w:t>ed</w:t>
      </w:r>
      <w:r w:rsidRPr="00DE081A">
        <w:t xml:space="preserve"> the authorisation of this product for the indications sought in this application.</w:t>
      </w:r>
    </w:p>
    <w:p w:rsidR="00DE081A" w:rsidRPr="001E74FA" w:rsidRDefault="00DE081A" w:rsidP="001E74FA">
      <w:pPr>
        <w:pStyle w:val="Heading3"/>
      </w:pPr>
      <w:bookmarkStart w:id="142" w:name="_Toc314842506"/>
      <w:bookmarkStart w:id="143" w:name="_Toc270320087"/>
      <w:bookmarkStart w:id="144" w:name="_Toc241374329"/>
      <w:bookmarkStart w:id="145" w:name="_Toc255919423"/>
      <w:bookmarkStart w:id="146" w:name="_Toc163441387"/>
      <w:bookmarkStart w:id="147" w:name="_Toc375119729"/>
      <w:r w:rsidRPr="00DE081A">
        <w:t>List of questions</w:t>
      </w:r>
      <w:bookmarkEnd w:id="142"/>
      <w:bookmarkEnd w:id="143"/>
      <w:bookmarkEnd w:id="144"/>
      <w:bookmarkEnd w:id="145"/>
      <w:bookmarkEnd w:id="147"/>
    </w:p>
    <w:p w:rsidR="00DE081A" w:rsidRPr="00DE081A" w:rsidRDefault="00DE081A" w:rsidP="001E74FA">
      <w:r w:rsidRPr="00DE081A">
        <w:t>None</w:t>
      </w:r>
      <w:bookmarkEnd w:id="146"/>
    </w:p>
    <w:p w:rsidR="008E7846" w:rsidRPr="001E74FA" w:rsidRDefault="008E7846" w:rsidP="001E74FA">
      <w:pPr>
        <w:pStyle w:val="Heading2"/>
      </w:pPr>
      <w:bookmarkStart w:id="148" w:name="_Toc247691524"/>
      <w:bookmarkStart w:id="149" w:name="_Toc314842508"/>
      <w:bookmarkStart w:id="150" w:name="_Toc375119730"/>
      <w:r w:rsidRPr="00E41208">
        <w:lastRenderedPageBreak/>
        <w:t xml:space="preserve">V. </w:t>
      </w:r>
      <w:proofErr w:type="spellStart"/>
      <w:r w:rsidRPr="00E41208">
        <w:t>Pharmacovigilance</w:t>
      </w:r>
      <w:proofErr w:type="spellEnd"/>
      <w:r w:rsidRPr="00E41208">
        <w:t xml:space="preserve"> </w:t>
      </w:r>
      <w:r>
        <w:t>f</w:t>
      </w:r>
      <w:r w:rsidRPr="00E41208">
        <w:t>indings</w:t>
      </w:r>
      <w:bookmarkEnd w:id="148"/>
      <w:bookmarkEnd w:id="149"/>
      <w:bookmarkEnd w:id="150"/>
    </w:p>
    <w:p w:rsidR="008E7846" w:rsidRDefault="00386150" w:rsidP="00723E77">
      <w:pPr>
        <w:pStyle w:val="Heading3"/>
        <w:rPr>
          <w:lang w:eastAsia="en-AU"/>
        </w:rPr>
      </w:pPr>
      <w:bookmarkStart w:id="151" w:name="_Toc247691526"/>
      <w:bookmarkStart w:id="152" w:name="_Toc314842509"/>
      <w:bookmarkStart w:id="153" w:name="_Toc375119731"/>
      <w:r>
        <w:rPr>
          <w:lang w:eastAsia="en-AU"/>
        </w:rPr>
        <w:t>Risk m</w:t>
      </w:r>
      <w:r w:rsidR="008E7846">
        <w:rPr>
          <w:lang w:eastAsia="en-AU"/>
        </w:rPr>
        <w:t xml:space="preserve">anagement </w:t>
      </w:r>
      <w:r>
        <w:rPr>
          <w:lang w:eastAsia="en-AU"/>
        </w:rPr>
        <w:t>p</w:t>
      </w:r>
      <w:r w:rsidR="008E7846">
        <w:rPr>
          <w:lang w:eastAsia="en-AU"/>
        </w:rPr>
        <w:t>lan</w:t>
      </w:r>
      <w:bookmarkEnd w:id="151"/>
      <w:bookmarkEnd w:id="152"/>
      <w:bookmarkEnd w:id="153"/>
    </w:p>
    <w:p w:rsidR="008E7846" w:rsidRDefault="008E7846" w:rsidP="00723E77">
      <w:pPr>
        <w:rPr>
          <w:lang w:eastAsia="en-AU"/>
        </w:rPr>
      </w:pPr>
      <w:r>
        <w:rPr>
          <w:lang w:eastAsia="en-AU"/>
        </w:rPr>
        <w:t xml:space="preserve">The sponsor submitted a Risk Management Plan </w:t>
      </w:r>
      <w:r w:rsidR="00235980">
        <w:rPr>
          <w:lang w:eastAsia="en-AU"/>
        </w:rPr>
        <w:t xml:space="preserve">(RMP; </w:t>
      </w:r>
      <w:r w:rsidR="0078433B" w:rsidRPr="0078433B">
        <w:rPr>
          <w:lang w:eastAsia="en-AU"/>
        </w:rPr>
        <w:t>MENACWY-TT Vaccine EU-RMP (version 1, dated 15 February 2012, data lock point 15 September 2010)</w:t>
      </w:r>
      <w:r w:rsidR="00235980">
        <w:rPr>
          <w:lang w:eastAsia="en-AU"/>
        </w:rPr>
        <w:t xml:space="preserve">) </w:t>
      </w:r>
      <w:r>
        <w:rPr>
          <w:lang w:eastAsia="en-AU"/>
        </w:rPr>
        <w:t>which was reviewed by the TGA’s Office of Product Review (OPR).</w:t>
      </w:r>
    </w:p>
    <w:p w:rsidR="008E7846" w:rsidRDefault="003A7F6C" w:rsidP="00723E77">
      <w:pPr>
        <w:pStyle w:val="Heading4"/>
        <w:rPr>
          <w:lang w:eastAsia="en-AU"/>
        </w:rPr>
      </w:pPr>
      <w:r>
        <w:rPr>
          <w:lang w:eastAsia="en-AU"/>
        </w:rPr>
        <w:t>Safety s</w:t>
      </w:r>
      <w:r w:rsidR="008E7846">
        <w:rPr>
          <w:lang w:eastAsia="en-AU"/>
        </w:rPr>
        <w:t>pecification</w:t>
      </w:r>
    </w:p>
    <w:p w:rsidR="008E7846" w:rsidRDefault="008E7846" w:rsidP="00723E77">
      <w:pPr>
        <w:rPr>
          <w:lang w:eastAsia="en-AU"/>
        </w:rPr>
      </w:pPr>
      <w:r>
        <w:rPr>
          <w:lang w:eastAsia="en-AU"/>
        </w:rPr>
        <w:t xml:space="preserve">The sponsor provided a summary of Ongoing safety Concerns which are shown at Table </w:t>
      </w:r>
      <w:r w:rsidR="00E02A1E">
        <w:rPr>
          <w:lang w:eastAsia="en-AU"/>
        </w:rPr>
        <w:t>8</w:t>
      </w:r>
      <w:r>
        <w:rPr>
          <w:lang w:eastAsia="en-AU"/>
        </w:rPr>
        <w:t>.</w:t>
      </w:r>
    </w:p>
    <w:p w:rsidR="00235980" w:rsidRDefault="00235980" w:rsidP="00723E77">
      <w:pPr>
        <w:pStyle w:val="TableTitle"/>
        <w:rPr>
          <w:lang w:eastAsia="en-AU"/>
        </w:rPr>
      </w:pPr>
      <w:r>
        <w:rPr>
          <w:lang w:eastAsia="en-AU"/>
        </w:rPr>
        <w:t xml:space="preserve">Table </w:t>
      </w:r>
      <w:r w:rsidR="00E02A1E">
        <w:rPr>
          <w:lang w:eastAsia="en-AU"/>
        </w:rPr>
        <w:t>8</w:t>
      </w:r>
      <w:r>
        <w:rPr>
          <w:lang w:eastAsia="en-AU"/>
        </w:rPr>
        <w:t>. S</w:t>
      </w:r>
      <w:r w:rsidRPr="00235980">
        <w:rPr>
          <w:lang w:eastAsia="en-AU"/>
        </w:rPr>
        <w:t>ummary of Ongoing safety Concerns</w:t>
      </w:r>
    </w:p>
    <w:tbl>
      <w:tblPr>
        <w:tblStyle w:val="TableTGAblue"/>
        <w:tblW w:w="0" w:type="auto"/>
        <w:tblInd w:w="108" w:type="dxa"/>
        <w:tblLook w:val="04A0"/>
      </w:tblPr>
      <w:tblGrid>
        <w:gridCol w:w="3402"/>
        <w:gridCol w:w="5210"/>
      </w:tblGrid>
      <w:tr w:rsidR="0078433B" w:rsidRPr="00235980" w:rsidTr="00235980">
        <w:trPr>
          <w:cnfStyle w:val="100000000000"/>
          <w:tblHeader/>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78433B" w:rsidRPr="00235980" w:rsidRDefault="0078433B" w:rsidP="00723E77">
            <w:pPr>
              <w:ind w:left="0" w:right="33"/>
            </w:pPr>
            <w:r w:rsidRPr="00235980">
              <w:t>Important identified risks</w:t>
            </w:r>
          </w:p>
        </w:tc>
        <w:tc>
          <w:tcPr>
            <w:tcW w:w="52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hideMark/>
          </w:tcPr>
          <w:p w:rsidR="00600C28" w:rsidRPr="00235980" w:rsidRDefault="0078433B" w:rsidP="00723E77">
            <w:pPr>
              <w:tabs>
                <w:tab w:val="left" w:pos="4994"/>
              </w:tabs>
              <w:ind w:left="34" w:right="0"/>
              <w:rPr>
                <w:b w:val="0"/>
                <w:bCs/>
                <w:color w:val="auto"/>
              </w:rPr>
            </w:pPr>
            <w:r w:rsidRPr="00235980">
              <w:rPr>
                <w:b w:val="0"/>
                <w:bCs/>
                <w:color w:val="auto"/>
              </w:rPr>
              <w:t>None</w:t>
            </w:r>
          </w:p>
        </w:tc>
      </w:tr>
      <w:tr w:rsidR="0078433B" w:rsidRPr="00235980" w:rsidTr="00235980">
        <w:trPr>
          <w:cnfStyle w:val="100000000000"/>
          <w:tblHeader/>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78433B" w:rsidRPr="00235980" w:rsidRDefault="0078433B" w:rsidP="00723E77">
            <w:pPr>
              <w:ind w:left="0" w:right="33"/>
            </w:pPr>
            <w:r w:rsidRPr="00235980">
              <w:t>Important potential risks</w:t>
            </w:r>
          </w:p>
        </w:tc>
        <w:tc>
          <w:tcPr>
            <w:tcW w:w="52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hideMark/>
          </w:tcPr>
          <w:p w:rsidR="0078433B" w:rsidRPr="00235980" w:rsidRDefault="0078433B" w:rsidP="00723E77">
            <w:pPr>
              <w:tabs>
                <w:tab w:val="left" w:pos="4994"/>
              </w:tabs>
              <w:ind w:left="34" w:right="0"/>
              <w:rPr>
                <w:b w:val="0"/>
                <w:bCs/>
                <w:color w:val="auto"/>
              </w:rPr>
            </w:pPr>
            <w:proofErr w:type="spellStart"/>
            <w:r w:rsidRPr="00235980">
              <w:rPr>
                <w:b w:val="0"/>
                <w:bCs/>
                <w:color w:val="auto"/>
              </w:rPr>
              <w:t>Guillain-Barré</w:t>
            </w:r>
            <w:proofErr w:type="spellEnd"/>
            <w:r w:rsidRPr="00235980">
              <w:rPr>
                <w:b w:val="0"/>
                <w:bCs/>
                <w:color w:val="auto"/>
              </w:rPr>
              <w:t xml:space="preserve"> Syndrome</w:t>
            </w:r>
          </w:p>
          <w:p w:rsidR="0078433B" w:rsidRPr="00235980" w:rsidRDefault="0078433B" w:rsidP="00723E77">
            <w:pPr>
              <w:tabs>
                <w:tab w:val="left" w:pos="4994"/>
              </w:tabs>
              <w:ind w:left="34" w:right="0"/>
              <w:rPr>
                <w:b w:val="0"/>
                <w:bCs/>
                <w:color w:val="auto"/>
              </w:rPr>
            </w:pPr>
            <w:proofErr w:type="spellStart"/>
            <w:r w:rsidRPr="00235980">
              <w:rPr>
                <w:b w:val="0"/>
                <w:bCs/>
                <w:color w:val="auto"/>
              </w:rPr>
              <w:t>Purpura</w:t>
            </w:r>
            <w:proofErr w:type="spellEnd"/>
          </w:p>
          <w:p w:rsidR="0078433B" w:rsidRPr="00235980" w:rsidRDefault="0078433B" w:rsidP="00723E77">
            <w:pPr>
              <w:tabs>
                <w:tab w:val="left" w:pos="4994"/>
              </w:tabs>
              <w:ind w:left="34" w:right="0"/>
              <w:rPr>
                <w:b w:val="0"/>
                <w:bCs/>
                <w:color w:val="auto"/>
              </w:rPr>
            </w:pPr>
            <w:proofErr w:type="spellStart"/>
            <w:r w:rsidRPr="00235980">
              <w:rPr>
                <w:b w:val="0"/>
                <w:bCs/>
                <w:color w:val="auto"/>
              </w:rPr>
              <w:t>Vasculitis</w:t>
            </w:r>
            <w:proofErr w:type="spellEnd"/>
          </w:p>
          <w:p w:rsidR="0078433B" w:rsidRPr="00235980" w:rsidRDefault="0078433B" w:rsidP="00723E77">
            <w:pPr>
              <w:tabs>
                <w:tab w:val="left" w:pos="4994"/>
              </w:tabs>
              <w:ind w:left="34" w:right="0"/>
              <w:rPr>
                <w:b w:val="0"/>
                <w:bCs/>
                <w:color w:val="auto"/>
              </w:rPr>
            </w:pPr>
            <w:r w:rsidRPr="00235980">
              <w:rPr>
                <w:b w:val="0"/>
                <w:bCs/>
                <w:color w:val="auto"/>
              </w:rPr>
              <w:t>Acute Disseminated Encephalomyelitis (ADEM)</w:t>
            </w:r>
          </w:p>
          <w:p w:rsidR="0078433B" w:rsidRPr="00235980" w:rsidRDefault="0078433B" w:rsidP="00723E77">
            <w:pPr>
              <w:tabs>
                <w:tab w:val="left" w:pos="4994"/>
              </w:tabs>
              <w:ind w:left="34" w:right="0"/>
              <w:rPr>
                <w:b w:val="0"/>
                <w:bCs/>
                <w:color w:val="auto"/>
              </w:rPr>
            </w:pPr>
            <w:r w:rsidRPr="00235980">
              <w:rPr>
                <w:b w:val="0"/>
                <w:bCs/>
                <w:color w:val="auto"/>
              </w:rPr>
              <w:t>Brachial Neuritis</w:t>
            </w:r>
          </w:p>
          <w:p w:rsidR="0078433B" w:rsidRPr="00235980" w:rsidRDefault="0078433B" w:rsidP="00723E77">
            <w:pPr>
              <w:tabs>
                <w:tab w:val="left" w:pos="4994"/>
              </w:tabs>
              <w:ind w:left="34" w:right="0"/>
              <w:rPr>
                <w:b w:val="0"/>
                <w:bCs/>
                <w:color w:val="auto"/>
              </w:rPr>
            </w:pPr>
            <w:r w:rsidRPr="00235980">
              <w:rPr>
                <w:b w:val="0"/>
                <w:bCs/>
                <w:color w:val="auto"/>
              </w:rPr>
              <w:t>Anaphylaxis</w:t>
            </w:r>
          </w:p>
          <w:p w:rsidR="0078433B" w:rsidRPr="00235980" w:rsidRDefault="0078433B" w:rsidP="00723E77">
            <w:pPr>
              <w:tabs>
                <w:tab w:val="left" w:pos="4994"/>
              </w:tabs>
              <w:ind w:left="34" w:right="0"/>
              <w:rPr>
                <w:b w:val="0"/>
                <w:bCs/>
                <w:color w:val="auto"/>
              </w:rPr>
            </w:pPr>
            <w:r w:rsidRPr="00235980">
              <w:rPr>
                <w:b w:val="0"/>
                <w:bCs/>
                <w:color w:val="auto"/>
              </w:rPr>
              <w:t>Change in meningococcal epidemiology/</w:t>
            </w:r>
            <w:proofErr w:type="spellStart"/>
            <w:r w:rsidRPr="00235980">
              <w:rPr>
                <w:b w:val="0"/>
                <w:bCs/>
                <w:color w:val="auto"/>
              </w:rPr>
              <w:t>serogroup</w:t>
            </w:r>
            <w:proofErr w:type="spellEnd"/>
            <w:r w:rsidRPr="00235980">
              <w:rPr>
                <w:b w:val="0"/>
                <w:bCs/>
                <w:color w:val="auto"/>
              </w:rPr>
              <w:t xml:space="preserve"> replacement</w:t>
            </w:r>
          </w:p>
          <w:p w:rsidR="0078433B" w:rsidRPr="00235980" w:rsidRDefault="0078433B" w:rsidP="00723E77">
            <w:pPr>
              <w:tabs>
                <w:tab w:val="left" w:pos="4994"/>
              </w:tabs>
              <w:ind w:left="34" w:right="0"/>
              <w:rPr>
                <w:b w:val="0"/>
                <w:bCs/>
                <w:color w:val="auto"/>
              </w:rPr>
            </w:pPr>
            <w:r w:rsidRPr="00235980">
              <w:rPr>
                <w:b w:val="0"/>
                <w:bCs/>
                <w:color w:val="auto"/>
              </w:rPr>
              <w:t>Lack of efficacy</w:t>
            </w:r>
          </w:p>
          <w:p w:rsidR="0078433B" w:rsidRPr="00235980" w:rsidRDefault="0078433B" w:rsidP="00723E77">
            <w:pPr>
              <w:tabs>
                <w:tab w:val="left" w:pos="4994"/>
              </w:tabs>
              <w:ind w:left="34" w:right="0"/>
              <w:rPr>
                <w:b w:val="0"/>
                <w:bCs/>
                <w:color w:val="auto"/>
              </w:rPr>
            </w:pPr>
            <w:r w:rsidRPr="00235980">
              <w:rPr>
                <w:b w:val="0"/>
                <w:bCs/>
                <w:color w:val="auto"/>
              </w:rPr>
              <w:t xml:space="preserve">Administration of </w:t>
            </w:r>
            <w:proofErr w:type="spellStart"/>
            <w:r w:rsidRPr="00235980">
              <w:rPr>
                <w:b w:val="0"/>
                <w:bCs/>
                <w:color w:val="auto"/>
              </w:rPr>
              <w:t>MenACWY</w:t>
            </w:r>
            <w:proofErr w:type="spellEnd"/>
            <w:r w:rsidRPr="00235980">
              <w:rPr>
                <w:b w:val="0"/>
                <w:bCs/>
                <w:color w:val="auto"/>
              </w:rPr>
              <w:t xml:space="preserve">-TT vaccine via the intravascular, </w:t>
            </w:r>
            <w:proofErr w:type="spellStart"/>
            <w:r w:rsidRPr="00235980">
              <w:rPr>
                <w:b w:val="0"/>
                <w:bCs/>
                <w:color w:val="auto"/>
              </w:rPr>
              <w:t>intradermal</w:t>
            </w:r>
            <w:proofErr w:type="spellEnd"/>
            <w:r w:rsidRPr="00235980">
              <w:rPr>
                <w:b w:val="0"/>
                <w:bCs/>
                <w:color w:val="auto"/>
              </w:rPr>
              <w:t xml:space="preserve"> or subcutaneous route.</w:t>
            </w:r>
          </w:p>
          <w:p w:rsidR="0078433B" w:rsidRPr="00235980" w:rsidRDefault="0078433B" w:rsidP="00723E77">
            <w:pPr>
              <w:tabs>
                <w:tab w:val="left" w:pos="4994"/>
              </w:tabs>
              <w:ind w:left="34" w:right="0"/>
              <w:rPr>
                <w:b w:val="0"/>
                <w:bCs/>
                <w:color w:val="auto"/>
              </w:rPr>
            </w:pPr>
            <w:r w:rsidRPr="00235980">
              <w:rPr>
                <w:b w:val="0"/>
                <w:bCs/>
                <w:color w:val="auto"/>
              </w:rPr>
              <w:t xml:space="preserve">Administration of </w:t>
            </w:r>
            <w:proofErr w:type="spellStart"/>
            <w:r w:rsidRPr="00235980">
              <w:rPr>
                <w:b w:val="0"/>
                <w:bCs/>
                <w:color w:val="auto"/>
              </w:rPr>
              <w:t>MenACWY</w:t>
            </w:r>
            <w:proofErr w:type="spellEnd"/>
            <w:r w:rsidRPr="00235980">
              <w:rPr>
                <w:b w:val="0"/>
                <w:bCs/>
                <w:color w:val="auto"/>
              </w:rPr>
              <w:t>-TT vaccine to patients with thrombocytopenia or any coagulation disorder with a risk of haemorrhage.</w:t>
            </w:r>
          </w:p>
          <w:p w:rsidR="00600C28" w:rsidRPr="00235980" w:rsidRDefault="0078433B" w:rsidP="00723E77">
            <w:pPr>
              <w:tabs>
                <w:tab w:val="left" w:pos="4994"/>
              </w:tabs>
              <w:ind w:left="34" w:right="0"/>
              <w:rPr>
                <w:b w:val="0"/>
                <w:bCs/>
              </w:rPr>
            </w:pPr>
            <w:r w:rsidRPr="00235980">
              <w:rPr>
                <w:b w:val="0"/>
                <w:bCs/>
                <w:color w:val="auto"/>
              </w:rPr>
              <w:t>Extensive limb swelling/severe injection site reactions</w:t>
            </w:r>
          </w:p>
        </w:tc>
      </w:tr>
      <w:tr w:rsidR="0078433B" w:rsidRPr="00235980" w:rsidTr="00235980">
        <w:trPr>
          <w:cnfStyle w:val="100000000000"/>
          <w:tblHeader/>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78433B" w:rsidRPr="00235980" w:rsidRDefault="0078433B" w:rsidP="00723E77">
            <w:pPr>
              <w:ind w:left="0" w:right="33"/>
            </w:pPr>
            <w:r w:rsidRPr="00235980">
              <w:t>Important missing information</w:t>
            </w:r>
          </w:p>
        </w:tc>
        <w:tc>
          <w:tcPr>
            <w:tcW w:w="52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hideMark/>
          </w:tcPr>
          <w:p w:rsidR="0078433B" w:rsidRPr="00235980" w:rsidRDefault="0078433B" w:rsidP="00723E77">
            <w:pPr>
              <w:tabs>
                <w:tab w:val="left" w:pos="4994"/>
              </w:tabs>
              <w:ind w:left="34" w:right="0"/>
              <w:rPr>
                <w:b w:val="0"/>
                <w:bCs/>
                <w:color w:val="auto"/>
              </w:rPr>
            </w:pPr>
            <w:r w:rsidRPr="00235980">
              <w:rPr>
                <w:b w:val="0"/>
                <w:bCs/>
                <w:color w:val="auto"/>
              </w:rPr>
              <w:t xml:space="preserve">Use in </w:t>
            </w:r>
            <w:proofErr w:type="spellStart"/>
            <w:r w:rsidRPr="00235980">
              <w:rPr>
                <w:b w:val="0"/>
                <w:bCs/>
                <w:color w:val="auto"/>
              </w:rPr>
              <w:t>immunocompromised</w:t>
            </w:r>
            <w:proofErr w:type="spellEnd"/>
            <w:r w:rsidRPr="00235980">
              <w:rPr>
                <w:b w:val="0"/>
                <w:bCs/>
                <w:color w:val="auto"/>
              </w:rPr>
              <w:t xml:space="preserve"> and </w:t>
            </w:r>
            <w:proofErr w:type="spellStart"/>
            <w:r w:rsidRPr="00235980">
              <w:rPr>
                <w:b w:val="0"/>
                <w:bCs/>
                <w:color w:val="auto"/>
              </w:rPr>
              <w:t>immunodeficient</w:t>
            </w:r>
            <w:proofErr w:type="spellEnd"/>
            <w:r w:rsidRPr="00235980">
              <w:rPr>
                <w:b w:val="0"/>
                <w:bCs/>
                <w:color w:val="auto"/>
              </w:rPr>
              <w:t xml:space="preserve"> (including </w:t>
            </w:r>
            <w:proofErr w:type="spellStart"/>
            <w:r w:rsidRPr="00235980">
              <w:rPr>
                <w:b w:val="0"/>
                <w:bCs/>
                <w:color w:val="auto"/>
              </w:rPr>
              <w:t>asplenic</w:t>
            </w:r>
            <w:proofErr w:type="spellEnd"/>
            <w:r w:rsidRPr="00235980">
              <w:rPr>
                <w:b w:val="0"/>
                <w:bCs/>
                <w:color w:val="auto"/>
              </w:rPr>
              <w:t>) patients</w:t>
            </w:r>
          </w:p>
          <w:p w:rsidR="0078433B" w:rsidRPr="00235980" w:rsidRDefault="0078433B" w:rsidP="00723E77">
            <w:pPr>
              <w:tabs>
                <w:tab w:val="left" w:pos="4994"/>
              </w:tabs>
              <w:ind w:left="34" w:right="0"/>
              <w:rPr>
                <w:b w:val="0"/>
                <w:bCs/>
                <w:color w:val="auto"/>
              </w:rPr>
            </w:pPr>
            <w:r w:rsidRPr="00235980">
              <w:rPr>
                <w:b w:val="0"/>
                <w:bCs/>
                <w:color w:val="auto"/>
              </w:rPr>
              <w:t>Use in patients with chronic diseases</w:t>
            </w:r>
          </w:p>
          <w:p w:rsidR="0078433B" w:rsidRPr="00235980" w:rsidRDefault="0078433B" w:rsidP="00723E77">
            <w:pPr>
              <w:tabs>
                <w:tab w:val="left" w:pos="4994"/>
              </w:tabs>
              <w:ind w:left="34" w:right="0"/>
              <w:rPr>
                <w:b w:val="0"/>
                <w:bCs/>
                <w:color w:val="auto"/>
              </w:rPr>
            </w:pPr>
            <w:r w:rsidRPr="00235980">
              <w:rPr>
                <w:b w:val="0"/>
                <w:bCs/>
                <w:color w:val="auto"/>
              </w:rPr>
              <w:t>Use during pregnancy and lactation</w:t>
            </w:r>
          </w:p>
          <w:p w:rsidR="00600C28" w:rsidRPr="00235980" w:rsidRDefault="0078433B" w:rsidP="00723E77">
            <w:pPr>
              <w:tabs>
                <w:tab w:val="left" w:pos="4994"/>
              </w:tabs>
              <w:ind w:left="34" w:right="0"/>
              <w:rPr>
                <w:b w:val="0"/>
                <w:bCs/>
              </w:rPr>
            </w:pPr>
            <w:r w:rsidRPr="00235980">
              <w:rPr>
                <w:b w:val="0"/>
                <w:bCs/>
                <w:color w:val="auto"/>
              </w:rPr>
              <w:t>Long term persistence of the vaccine response and need for a booster dose</w:t>
            </w:r>
          </w:p>
        </w:tc>
      </w:tr>
    </w:tbl>
    <w:p w:rsidR="008E7846" w:rsidRPr="00723E77" w:rsidRDefault="008E7846" w:rsidP="00723E77">
      <w:pPr>
        <w:pStyle w:val="Heading4"/>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78433B" w:rsidRDefault="0078433B" w:rsidP="00723E77">
      <w:pPr>
        <w:rPr>
          <w:lang w:eastAsia="en-AU"/>
        </w:rPr>
      </w:pPr>
      <w:r w:rsidRPr="0078433B">
        <w:rPr>
          <w:lang w:eastAsia="en-AU"/>
        </w:rPr>
        <w:t xml:space="preserve">The </w:t>
      </w:r>
      <w:proofErr w:type="spellStart"/>
      <w:r w:rsidRPr="0078433B">
        <w:rPr>
          <w:lang w:eastAsia="en-AU"/>
        </w:rPr>
        <w:t>pharmacovigilance</w:t>
      </w:r>
      <w:proofErr w:type="spellEnd"/>
      <w:r w:rsidRPr="0078433B">
        <w:rPr>
          <w:lang w:eastAsia="en-AU"/>
        </w:rPr>
        <w:t xml:space="preserve"> activities proposed by the sponsor in the EU-RMP and/or </w:t>
      </w:r>
      <w:r w:rsidR="00235980">
        <w:rPr>
          <w:lang w:eastAsia="en-AU"/>
        </w:rPr>
        <w:t>Australia Specific Annex (</w:t>
      </w:r>
      <w:r w:rsidRPr="0078433B">
        <w:rPr>
          <w:lang w:eastAsia="en-AU"/>
        </w:rPr>
        <w:t>ASA</w:t>
      </w:r>
      <w:r w:rsidR="00235980">
        <w:rPr>
          <w:lang w:eastAsia="en-AU"/>
        </w:rPr>
        <w:t>)</w:t>
      </w:r>
      <w:r w:rsidRPr="0078433B">
        <w:rPr>
          <w:lang w:eastAsia="en-AU"/>
        </w:rPr>
        <w:t xml:space="preserve"> are summarised in the table below:</w:t>
      </w:r>
    </w:p>
    <w:p w:rsidR="00235980" w:rsidRPr="0078433B" w:rsidRDefault="00235980" w:rsidP="00723E77">
      <w:pPr>
        <w:pStyle w:val="TableTitle"/>
        <w:rPr>
          <w:lang w:eastAsia="en-AU"/>
        </w:rPr>
      </w:pPr>
      <w:r>
        <w:rPr>
          <w:lang w:eastAsia="en-AU"/>
        </w:rPr>
        <w:lastRenderedPageBreak/>
        <w:t xml:space="preserve">Table </w:t>
      </w:r>
      <w:r w:rsidR="00E02A1E">
        <w:rPr>
          <w:lang w:eastAsia="en-AU"/>
        </w:rPr>
        <w:t>9</w:t>
      </w:r>
      <w:r>
        <w:rPr>
          <w:lang w:eastAsia="en-AU"/>
        </w:rPr>
        <w:t xml:space="preserve">. Proposed </w:t>
      </w:r>
      <w:proofErr w:type="spellStart"/>
      <w:r w:rsidRPr="00235980">
        <w:rPr>
          <w:lang w:eastAsia="en-AU"/>
        </w:rPr>
        <w:t>pharmacovigilance</w:t>
      </w:r>
      <w:proofErr w:type="spellEnd"/>
      <w:r w:rsidRPr="00235980">
        <w:rPr>
          <w:lang w:eastAsia="en-AU"/>
        </w:rPr>
        <w:t xml:space="preserve"> activities</w:t>
      </w:r>
    </w:p>
    <w:tbl>
      <w:tblPr>
        <w:tblStyle w:val="TableTGAblue"/>
        <w:tblW w:w="0" w:type="auto"/>
        <w:tblInd w:w="108" w:type="dxa"/>
        <w:tblLook w:val="04A0"/>
      </w:tblPr>
      <w:tblGrid>
        <w:gridCol w:w="3686"/>
        <w:gridCol w:w="4818"/>
      </w:tblGrid>
      <w:tr w:rsidR="0078433B" w:rsidRPr="0078433B" w:rsidTr="00235980">
        <w:trPr>
          <w:cnfStyle w:val="100000000000"/>
          <w:tblHeader/>
        </w:trPr>
        <w:tc>
          <w:tcPr>
            <w:tcW w:w="3686" w:type="dxa"/>
            <w:hideMark/>
          </w:tcPr>
          <w:p w:rsidR="0078433B" w:rsidRPr="00235980" w:rsidRDefault="0078433B" w:rsidP="00723E77">
            <w:pPr>
              <w:keepNext/>
              <w:ind w:left="34" w:right="34"/>
            </w:pPr>
            <w:r w:rsidRPr="00235980">
              <w:t>Safety concern</w:t>
            </w:r>
          </w:p>
        </w:tc>
        <w:tc>
          <w:tcPr>
            <w:tcW w:w="4818" w:type="dxa"/>
            <w:hideMark/>
          </w:tcPr>
          <w:p w:rsidR="0078433B" w:rsidRPr="00235980" w:rsidRDefault="0078433B" w:rsidP="00723E77">
            <w:pPr>
              <w:ind w:left="34" w:right="0"/>
            </w:pPr>
            <w:proofErr w:type="spellStart"/>
            <w:r w:rsidRPr="00235980">
              <w:t>Pharmacovigilance</w:t>
            </w:r>
            <w:proofErr w:type="spellEnd"/>
            <w:r w:rsidRPr="00235980">
              <w:t xml:space="preserve"> activities</w:t>
            </w:r>
          </w:p>
        </w:tc>
      </w:tr>
      <w:tr w:rsidR="0078433B" w:rsidRPr="0078433B" w:rsidTr="00235980">
        <w:tc>
          <w:tcPr>
            <w:tcW w:w="8504" w:type="dxa"/>
            <w:gridSpan w:val="2"/>
            <w:hideMark/>
          </w:tcPr>
          <w:p w:rsidR="0078433B" w:rsidRPr="0078433B" w:rsidRDefault="0078433B" w:rsidP="00723E77">
            <w:pPr>
              <w:ind w:left="34" w:right="0"/>
            </w:pPr>
            <w:r w:rsidRPr="0078433B">
              <w:t>Important potential risks</w:t>
            </w:r>
          </w:p>
        </w:tc>
      </w:tr>
      <w:tr w:rsidR="0078433B" w:rsidRPr="0078433B" w:rsidTr="00235980">
        <w:tc>
          <w:tcPr>
            <w:tcW w:w="3686" w:type="dxa"/>
            <w:hideMark/>
          </w:tcPr>
          <w:p w:rsidR="0078433B" w:rsidRPr="0078433B" w:rsidRDefault="0078433B" w:rsidP="00723E77">
            <w:pPr>
              <w:ind w:left="34" w:right="34"/>
            </w:pPr>
            <w:proofErr w:type="spellStart"/>
            <w:r w:rsidRPr="0078433B">
              <w:t>Guillain-Barré</w:t>
            </w:r>
            <w:proofErr w:type="spellEnd"/>
            <w:r w:rsidRPr="0078433B">
              <w:t xml:space="preserve"> Syndrome</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p w:rsidR="0078433B" w:rsidRPr="0078433B" w:rsidRDefault="0078433B" w:rsidP="00723E77">
            <w:pPr>
              <w:ind w:left="34" w:right="0"/>
            </w:pPr>
            <w:r w:rsidRPr="0078433B">
              <w:t>Targeted follow-up questionnaire</w:t>
            </w:r>
          </w:p>
        </w:tc>
      </w:tr>
      <w:tr w:rsidR="0078433B" w:rsidRPr="0078433B" w:rsidTr="00235980">
        <w:tc>
          <w:tcPr>
            <w:tcW w:w="3686" w:type="dxa"/>
            <w:hideMark/>
          </w:tcPr>
          <w:p w:rsidR="0078433B" w:rsidRPr="0078433B" w:rsidRDefault="0078433B" w:rsidP="00723E77">
            <w:pPr>
              <w:ind w:left="34" w:right="34"/>
            </w:pPr>
            <w:proofErr w:type="spellStart"/>
            <w:r w:rsidRPr="0078433B">
              <w:t>Purpura</w:t>
            </w:r>
            <w:proofErr w:type="spellEnd"/>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p w:rsidR="0078433B" w:rsidRPr="0078433B" w:rsidRDefault="0078433B" w:rsidP="00723E77">
            <w:pPr>
              <w:ind w:left="34" w:right="0"/>
            </w:pPr>
            <w:r w:rsidRPr="0078433B">
              <w:t>Targeted follow-up questionnaire</w:t>
            </w:r>
          </w:p>
        </w:tc>
      </w:tr>
      <w:tr w:rsidR="0078433B" w:rsidRPr="0078433B" w:rsidTr="00235980">
        <w:tc>
          <w:tcPr>
            <w:tcW w:w="3686" w:type="dxa"/>
            <w:hideMark/>
          </w:tcPr>
          <w:p w:rsidR="0078433B" w:rsidRPr="0078433B" w:rsidRDefault="0078433B" w:rsidP="00723E77">
            <w:pPr>
              <w:ind w:left="34" w:right="34"/>
            </w:pPr>
            <w:proofErr w:type="spellStart"/>
            <w:r w:rsidRPr="0078433B">
              <w:t>Vasculitis</w:t>
            </w:r>
            <w:proofErr w:type="spellEnd"/>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t>ADEM</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t>Brachial neuritis</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t>Anaphylaxis</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t>Change in meningococcal epidemiology/</w:t>
            </w:r>
            <w:proofErr w:type="spellStart"/>
            <w:r w:rsidRPr="0078433B">
              <w:t>serogroup</w:t>
            </w:r>
            <w:proofErr w:type="spellEnd"/>
            <w:r w:rsidRPr="0078433B">
              <w:t xml:space="preserve"> replacement</w:t>
            </w:r>
          </w:p>
        </w:tc>
        <w:tc>
          <w:tcPr>
            <w:tcW w:w="4818" w:type="dxa"/>
            <w:hideMark/>
          </w:tcPr>
          <w:p w:rsidR="0078433B" w:rsidRPr="0078433B" w:rsidRDefault="0078433B" w:rsidP="00723E77">
            <w:pPr>
              <w:ind w:left="34" w:right="0"/>
            </w:pPr>
            <w:r w:rsidRPr="0078433B">
              <w:t xml:space="preserve">The sponsor will evaluate working with individual countries with established infection control agencies to obtain </w:t>
            </w:r>
            <w:proofErr w:type="spellStart"/>
            <w:r w:rsidRPr="0078433B">
              <w:t>serogroup</w:t>
            </w:r>
            <w:proofErr w:type="spellEnd"/>
            <w:r w:rsidRPr="0078433B">
              <w:t xml:space="preserve"> distribution data when certain criteria are met.</w:t>
            </w:r>
          </w:p>
        </w:tc>
      </w:tr>
      <w:tr w:rsidR="0078433B" w:rsidRPr="0078433B" w:rsidTr="00235980">
        <w:tc>
          <w:tcPr>
            <w:tcW w:w="3686" w:type="dxa"/>
            <w:hideMark/>
          </w:tcPr>
          <w:p w:rsidR="0078433B" w:rsidRPr="0078433B" w:rsidRDefault="0078433B" w:rsidP="00723E77">
            <w:pPr>
              <w:ind w:left="34" w:right="34"/>
            </w:pPr>
            <w:r w:rsidRPr="0078433B">
              <w:t>Lack of efficacy</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p w:rsidR="0078433B" w:rsidRPr="0078433B" w:rsidRDefault="0078433B" w:rsidP="00723E77">
            <w:pPr>
              <w:ind w:left="34" w:right="0"/>
            </w:pPr>
            <w:r w:rsidRPr="0078433B">
              <w:t>Targeted follow-up questionnaire</w:t>
            </w:r>
          </w:p>
          <w:p w:rsidR="0078433B" w:rsidRPr="0078433B" w:rsidRDefault="0078433B" w:rsidP="00723E77">
            <w:pPr>
              <w:ind w:left="34" w:right="0"/>
            </w:pPr>
            <w:r w:rsidRPr="0078433B">
              <w:t xml:space="preserve">The sponsor will evaluate working with individual countries with established infection control agencies to obtain </w:t>
            </w:r>
            <w:proofErr w:type="spellStart"/>
            <w:r w:rsidRPr="0078433B">
              <w:t>serogroup</w:t>
            </w:r>
            <w:proofErr w:type="spellEnd"/>
            <w:r w:rsidRPr="0078433B">
              <w:t xml:space="preserve"> distribution data when certain criteria are met.</w:t>
            </w:r>
          </w:p>
        </w:tc>
      </w:tr>
      <w:tr w:rsidR="0078433B" w:rsidRPr="0078433B" w:rsidTr="00235980">
        <w:tc>
          <w:tcPr>
            <w:tcW w:w="3686" w:type="dxa"/>
            <w:hideMark/>
          </w:tcPr>
          <w:p w:rsidR="0078433B" w:rsidRPr="0078433B" w:rsidRDefault="0078433B" w:rsidP="00723E77">
            <w:pPr>
              <w:ind w:left="34" w:right="34"/>
            </w:pPr>
            <w:r w:rsidRPr="0078433B">
              <w:t xml:space="preserve">Administration of </w:t>
            </w:r>
            <w:proofErr w:type="spellStart"/>
            <w:r w:rsidRPr="0078433B">
              <w:t>MenACWY</w:t>
            </w:r>
            <w:proofErr w:type="spellEnd"/>
            <w:r w:rsidRPr="0078433B">
              <w:t xml:space="preserve">-TT vaccine via the intravascular, </w:t>
            </w:r>
            <w:proofErr w:type="spellStart"/>
            <w:r w:rsidRPr="0078433B">
              <w:t>intradermal</w:t>
            </w:r>
            <w:proofErr w:type="spellEnd"/>
            <w:r w:rsidRPr="0078433B">
              <w:t xml:space="preserve"> or subcutaneous route</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t xml:space="preserve">Administration of </w:t>
            </w:r>
            <w:proofErr w:type="spellStart"/>
            <w:r w:rsidRPr="0078433B">
              <w:t>MenACWY</w:t>
            </w:r>
            <w:proofErr w:type="spellEnd"/>
            <w:r w:rsidRPr="0078433B">
              <w:t>-TT vaccine to patients with thrombocytopenia or any coagulation disorder with a risk of haemorrhage</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t>Extensive limb swelling/severe injection site reactions</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8504" w:type="dxa"/>
            <w:gridSpan w:val="2"/>
            <w:hideMark/>
          </w:tcPr>
          <w:p w:rsidR="0078433B" w:rsidRPr="0078433B" w:rsidRDefault="0078433B" w:rsidP="00723E77">
            <w:pPr>
              <w:ind w:left="34" w:right="0"/>
            </w:pPr>
            <w:r w:rsidRPr="0078433B">
              <w:t>Important missing information</w:t>
            </w:r>
          </w:p>
        </w:tc>
      </w:tr>
      <w:tr w:rsidR="0078433B" w:rsidRPr="0078433B" w:rsidTr="00235980">
        <w:tc>
          <w:tcPr>
            <w:tcW w:w="3686" w:type="dxa"/>
            <w:hideMark/>
          </w:tcPr>
          <w:p w:rsidR="0078433B" w:rsidRPr="0078433B" w:rsidRDefault="0078433B" w:rsidP="00723E77">
            <w:pPr>
              <w:ind w:left="34" w:right="34"/>
            </w:pPr>
            <w:r w:rsidRPr="0078433B">
              <w:t xml:space="preserve">Use in </w:t>
            </w:r>
            <w:proofErr w:type="spellStart"/>
            <w:r w:rsidRPr="0078433B">
              <w:t>immunocompromised</w:t>
            </w:r>
            <w:proofErr w:type="spellEnd"/>
            <w:r w:rsidRPr="0078433B">
              <w:t xml:space="preserve"> and </w:t>
            </w:r>
            <w:proofErr w:type="spellStart"/>
            <w:r w:rsidRPr="0078433B">
              <w:t>immunodeficient</w:t>
            </w:r>
            <w:proofErr w:type="spellEnd"/>
            <w:r w:rsidRPr="0078433B">
              <w:t xml:space="preserve"> (including </w:t>
            </w:r>
            <w:proofErr w:type="spellStart"/>
            <w:r w:rsidRPr="0078433B">
              <w:t>asplenic</w:t>
            </w:r>
            <w:proofErr w:type="spellEnd"/>
            <w:r w:rsidRPr="0078433B">
              <w:t>) patients</w:t>
            </w:r>
          </w:p>
        </w:tc>
        <w:tc>
          <w:tcPr>
            <w:tcW w:w="4818" w:type="dxa"/>
          </w:tcPr>
          <w:p w:rsidR="0078433B" w:rsidRPr="0078433B" w:rsidRDefault="0078433B" w:rsidP="00723E77">
            <w:pPr>
              <w:ind w:left="34" w:right="0"/>
            </w:pPr>
            <w:r w:rsidRPr="0078433B">
              <w:t xml:space="preserve">Routine </w:t>
            </w:r>
            <w:proofErr w:type="spellStart"/>
            <w:r w:rsidRPr="0078433B">
              <w:t>pharmacovigilance</w:t>
            </w:r>
            <w:proofErr w:type="spellEnd"/>
          </w:p>
          <w:p w:rsidR="0078433B" w:rsidRPr="0078433B" w:rsidRDefault="0078433B" w:rsidP="00723E77">
            <w:pPr>
              <w:ind w:left="34" w:right="0"/>
            </w:pPr>
            <w:r w:rsidRPr="0078433B">
              <w:t>Study MenAC</w:t>
            </w:r>
            <w:r w:rsidR="00D42314">
              <w:t>W</w:t>
            </w:r>
            <w:r w:rsidRPr="0078433B">
              <w:t>Y-TT084</w:t>
            </w:r>
          </w:p>
        </w:tc>
      </w:tr>
      <w:tr w:rsidR="0078433B" w:rsidRPr="0078433B" w:rsidTr="00235980">
        <w:tc>
          <w:tcPr>
            <w:tcW w:w="3686" w:type="dxa"/>
            <w:hideMark/>
          </w:tcPr>
          <w:p w:rsidR="0078433B" w:rsidRPr="0078433B" w:rsidRDefault="0078433B" w:rsidP="00723E77">
            <w:pPr>
              <w:ind w:left="34" w:right="34"/>
            </w:pPr>
            <w:r w:rsidRPr="0078433B">
              <w:t>Use in patients with chronic disease</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lastRenderedPageBreak/>
              <w:t>Use during pregnancy and lactation</w:t>
            </w:r>
          </w:p>
        </w:tc>
        <w:tc>
          <w:tcPr>
            <w:tcW w:w="4818" w:type="dxa"/>
            <w:hideMark/>
          </w:tcPr>
          <w:p w:rsidR="0078433B" w:rsidRPr="0078433B" w:rsidRDefault="0078433B" w:rsidP="00723E77">
            <w:pPr>
              <w:ind w:left="34" w:right="0"/>
            </w:pPr>
            <w:r w:rsidRPr="0078433B">
              <w:t xml:space="preserve">Routine </w:t>
            </w:r>
            <w:proofErr w:type="spellStart"/>
            <w:r w:rsidRPr="0078433B">
              <w:t>pharmacovigilance</w:t>
            </w:r>
            <w:proofErr w:type="spellEnd"/>
          </w:p>
        </w:tc>
      </w:tr>
      <w:tr w:rsidR="0078433B" w:rsidRPr="0078433B" w:rsidTr="00235980">
        <w:tc>
          <w:tcPr>
            <w:tcW w:w="3686" w:type="dxa"/>
            <w:hideMark/>
          </w:tcPr>
          <w:p w:rsidR="0078433B" w:rsidRPr="0078433B" w:rsidRDefault="0078433B" w:rsidP="00723E77">
            <w:pPr>
              <w:ind w:left="34" w:right="34"/>
            </w:pPr>
            <w:r w:rsidRPr="0078433B">
              <w:t>Long term persistence of the vaccine response and need for a booster dose</w:t>
            </w:r>
          </w:p>
        </w:tc>
        <w:tc>
          <w:tcPr>
            <w:tcW w:w="4818" w:type="dxa"/>
            <w:hideMark/>
          </w:tcPr>
          <w:p w:rsidR="0078433B" w:rsidRPr="0078433B" w:rsidRDefault="0078433B" w:rsidP="00723E77">
            <w:pPr>
              <w:ind w:left="34" w:right="0"/>
            </w:pPr>
            <w:r w:rsidRPr="0078433B">
              <w:t>Numerous ongoing  persistence studies</w:t>
            </w:r>
          </w:p>
        </w:tc>
      </w:tr>
    </w:tbl>
    <w:p w:rsidR="000A15E3" w:rsidRPr="000A15E3" w:rsidRDefault="000A15E3" w:rsidP="00723E77">
      <w:r w:rsidRPr="000A15E3">
        <w:t xml:space="preserve">The use of routine </w:t>
      </w:r>
      <w:proofErr w:type="spellStart"/>
      <w:r w:rsidRPr="000A15E3">
        <w:t>pharmacovigilance</w:t>
      </w:r>
      <w:proofErr w:type="spellEnd"/>
      <w:r w:rsidRPr="000A15E3">
        <w:t xml:space="preserve"> only to manage most of the safety co</w:t>
      </w:r>
      <w:r w:rsidR="006222AA">
        <w:t xml:space="preserve">ncerns is considered adequate. </w:t>
      </w:r>
      <w:r w:rsidRPr="000A15E3">
        <w:t xml:space="preserve">This was supported by the Advisory Committee on the Safety of Medicines (ACSOM) when they considered the </w:t>
      </w:r>
      <w:proofErr w:type="spellStart"/>
      <w:r w:rsidRPr="000A15E3">
        <w:t>MenACWY</w:t>
      </w:r>
      <w:proofErr w:type="spellEnd"/>
      <w:r w:rsidRPr="000A15E3">
        <w:t>-TT vaccine RMP.</w:t>
      </w:r>
    </w:p>
    <w:p w:rsidR="000A15E3" w:rsidRPr="000A15E3" w:rsidRDefault="000A15E3" w:rsidP="00723E77">
      <w:r w:rsidRPr="000A15E3">
        <w:t xml:space="preserve">Targeted questionnaires are proposed to augment routine </w:t>
      </w:r>
      <w:proofErr w:type="spellStart"/>
      <w:r w:rsidRPr="000A15E3">
        <w:t>pharmacovigilance</w:t>
      </w:r>
      <w:proofErr w:type="spellEnd"/>
      <w:r w:rsidRPr="000A15E3">
        <w:t xml:space="preserve"> for the important potential risks ‘</w:t>
      </w:r>
      <w:proofErr w:type="spellStart"/>
      <w:r w:rsidRPr="000A15E3">
        <w:t>Guillain-Barré</w:t>
      </w:r>
      <w:proofErr w:type="spellEnd"/>
      <w:r w:rsidRPr="000A15E3">
        <w:t xml:space="preserve"> Syndrome’, ‘</w:t>
      </w:r>
      <w:proofErr w:type="spellStart"/>
      <w:r w:rsidRPr="000A15E3">
        <w:t>Pu</w:t>
      </w:r>
      <w:r w:rsidR="00235980">
        <w:t>rpura</w:t>
      </w:r>
      <w:proofErr w:type="spellEnd"/>
      <w:r w:rsidR="00235980">
        <w:t xml:space="preserve">’ and ‘Lack of Efficacy’. </w:t>
      </w:r>
      <w:r w:rsidRPr="000A15E3">
        <w:t>These have been provided and are acceptable.</w:t>
      </w:r>
    </w:p>
    <w:p w:rsidR="000A15E3" w:rsidRPr="000A15E3" w:rsidRDefault="000A15E3" w:rsidP="00723E77">
      <w:r w:rsidRPr="000A15E3">
        <w:t xml:space="preserve">For the important missing information ‘Use in </w:t>
      </w:r>
      <w:proofErr w:type="spellStart"/>
      <w:r w:rsidR="008A578E">
        <w:t>immune</w:t>
      </w:r>
      <w:r w:rsidRPr="000A15E3">
        <w:t>compromised</w:t>
      </w:r>
      <w:proofErr w:type="spellEnd"/>
      <w:r w:rsidRPr="000A15E3">
        <w:t xml:space="preserve"> and </w:t>
      </w:r>
      <w:proofErr w:type="spellStart"/>
      <w:r w:rsidRPr="000A15E3">
        <w:t>immunodeficient</w:t>
      </w:r>
      <w:proofErr w:type="spellEnd"/>
      <w:r w:rsidRPr="000A15E3">
        <w:t xml:space="preserve"> (including </w:t>
      </w:r>
      <w:proofErr w:type="spellStart"/>
      <w:r w:rsidRPr="000A15E3">
        <w:t>asplenic</w:t>
      </w:r>
      <w:proofErr w:type="spellEnd"/>
      <w:r w:rsidRPr="000A15E3">
        <w:t>) patients’ study 084 is planned to evaluate the immunogenicity of 1 and 2 doses of the vaccine administered to at risk subjects (</w:t>
      </w:r>
      <w:proofErr w:type="spellStart"/>
      <w:r w:rsidRPr="000A15E3">
        <w:t>asplenic</w:t>
      </w:r>
      <w:proofErr w:type="spellEnd"/>
      <w:r w:rsidRPr="000A15E3">
        <w:t xml:space="preserve"> children or children with complement deficiencies) compared to</w:t>
      </w:r>
      <w:r w:rsidR="00235980">
        <w:t xml:space="preserve"> age-matched healthy subjects. </w:t>
      </w:r>
      <w:r w:rsidRPr="000A15E3">
        <w:t>From a RMP standpoint this study is acceptable.</w:t>
      </w:r>
    </w:p>
    <w:p w:rsidR="000A15E3" w:rsidRPr="000A15E3" w:rsidRDefault="000A15E3" w:rsidP="00723E77">
      <w:r w:rsidRPr="000A15E3">
        <w:t>A suite of ongoing persistence studies are described in the RMP for important missing information ‘Long term persistence of the vaccine response</w:t>
      </w:r>
      <w:r w:rsidR="00235980">
        <w:t xml:space="preserve"> and need for a booster dose’. </w:t>
      </w:r>
      <w:r w:rsidRPr="000A15E3">
        <w:t>This is acceptable.</w:t>
      </w:r>
    </w:p>
    <w:p w:rsidR="000A15E3" w:rsidRPr="000A15E3" w:rsidRDefault="000A15E3" w:rsidP="00723E77">
      <w:r w:rsidRPr="000A15E3">
        <w:t xml:space="preserve">The </w:t>
      </w:r>
      <w:proofErr w:type="spellStart"/>
      <w:r w:rsidRPr="000A15E3">
        <w:t>pharmacovigilance</w:t>
      </w:r>
      <w:proofErr w:type="spellEnd"/>
      <w:r w:rsidRPr="000A15E3">
        <w:t xml:space="preserve"> plan is consistent with that approved in the EU and the evaluator has no objection to the proposed activities.</w:t>
      </w:r>
    </w:p>
    <w:p w:rsidR="008E7846" w:rsidRPr="00723E77" w:rsidRDefault="008E7846" w:rsidP="00723E77">
      <w:pPr>
        <w:pStyle w:val="Heading4"/>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A578E" w:rsidRDefault="000A15E3" w:rsidP="00723E77">
      <w:pPr>
        <w:rPr>
          <w:lang w:eastAsia="en-AU"/>
        </w:rPr>
      </w:pPr>
      <w:bookmarkStart w:id="154" w:name="_Toc247691527"/>
      <w:r w:rsidRPr="000A15E3">
        <w:rPr>
          <w:lang w:eastAsia="en-AU"/>
        </w:rPr>
        <w:t>The sponsor has concluded that routine risk minimisation (</w:t>
      </w:r>
      <w:r w:rsidR="00235980">
        <w:rPr>
          <w:lang w:eastAsia="en-AU"/>
        </w:rPr>
        <w:t xml:space="preserve">that is, </w:t>
      </w:r>
      <w:r w:rsidRPr="000A15E3">
        <w:rPr>
          <w:lang w:eastAsia="en-AU"/>
        </w:rPr>
        <w:t xml:space="preserve">product labelling) is sufficient to manage the risks associated with </w:t>
      </w:r>
      <w:proofErr w:type="spellStart"/>
      <w:r w:rsidRPr="000A15E3">
        <w:rPr>
          <w:lang w:eastAsia="en-AU"/>
        </w:rPr>
        <w:t>MenACWY</w:t>
      </w:r>
      <w:proofErr w:type="spellEnd"/>
      <w:r w:rsidRPr="000A15E3">
        <w:rPr>
          <w:lang w:eastAsia="en-AU"/>
        </w:rPr>
        <w:t xml:space="preserve">-TT vaccine except for some risks where no risk minimisation is proposed. </w:t>
      </w:r>
    </w:p>
    <w:p w:rsidR="006222AA" w:rsidRPr="006222AA" w:rsidRDefault="006222AA" w:rsidP="00723E77">
      <w:pPr>
        <w:rPr>
          <w:lang w:eastAsia="en-AU"/>
        </w:rPr>
      </w:pPr>
      <w:r w:rsidRPr="006222AA">
        <w:rPr>
          <w:lang w:eastAsia="en-AU"/>
        </w:rPr>
        <w:t>Routine risk minimisation (product labelling) is proposed for the following risks:</w:t>
      </w:r>
    </w:p>
    <w:p w:rsidR="006222AA" w:rsidRPr="006222AA" w:rsidRDefault="006222AA" w:rsidP="00723E77">
      <w:pPr>
        <w:pStyle w:val="ListBullet"/>
        <w:rPr>
          <w:lang w:eastAsia="en-AU"/>
        </w:rPr>
      </w:pPr>
      <w:r w:rsidRPr="006222AA">
        <w:rPr>
          <w:lang w:eastAsia="en-AU"/>
        </w:rPr>
        <w:t xml:space="preserve">Important potential risks: ‘Anaphylaxis’, ‘Lack of efficacy’, ‘Administration of </w:t>
      </w:r>
      <w:proofErr w:type="spellStart"/>
      <w:r w:rsidRPr="006222AA">
        <w:rPr>
          <w:lang w:eastAsia="en-AU"/>
        </w:rPr>
        <w:t>MenACWY</w:t>
      </w:r>
      <w:proofErr w:type="spellEnd"/>
      <w:r w:rsidRPr="006222AA">
        <w:rPr>
          <w:lang w:eastAsia="en-AU"/>
        </w:rPr>
        <w:t xml:space="preserve">-TT vaccine via the intravascular, </w:t>
      </w:r>
      <w:proofErr w:type="spellStart"/>
      <w:r w:rsidRPr="006222AA">
        <w:rPr>
          <w:lang w:eastAsia="en-AU"/>
        </w:rPr>
        <w:t>intradermal</w:t>
      </w:r>
      <w:proofErr w:type="spellEnd"/>
      <w:r w:rsidRPr="006222AA">
        <w:rPr>
          <w:lang w:eastAsia="en-AU"/>
        </w:rPr>
        <w:t xml:space="preserve"> or subcutaneous route’ and ‘Administration of </w:t>
      </w:r>
      <w:proofErr w:type="spellStart"/>
      <w:r w:rsidRPr="006222AA">
        <w:rPr>
          <w:lang w:eastAsia="en-AU"/>
        </w:rPr>
        <w:t>MenACWY</w:t>
      </w:r>
      <w:proofErr w:type="spellEnd"/>
      <w:r w:rsidRPr="006222AA">
        <w:rPr>
          <w:lang w:eastAsia="en-AU"/>
        </w:rPr>
        <w:t xml:space="preserve">-TT vaccine to patients with </w:t>
      </w:r>
      <w:proofErr w:type="spellStart"/>
      <w:r w:rsidRPr="006222AA">
        <w:rPr>
          <w:lang w:eastAsia="en-AU"/>
        </w:rPr>
        <w:t>thrombocytopaenia</w:t>
      </w:r>
      <w:proofErr w:type="spellEnd"/>
      <w:r w:rsidRPr="006222AA">
        <w:rPr>
          <w:lang w:eastAsia="en-AU"/>
        </w:rPr>
        <w:t xml:space="preserve"> or any coagulation disorder with a risk of haemorrhage’ </w:t>
      </w:r>
    </w:p>
    <w:p w:rsidR="006222AA" w:rsidRPr="006222AA" w:rsidRDefault="00235980" w:rsidP="00723E77">
      <w:pPr>
        <w:pStyle w:val="ListBullet"/>
        <w:rPr>
          <w:lang w:eastAsia="en-AU"/>
        </w:rPr>
      </w:pPr>
      <w:r>
        <w:rPr>
          <w:lang w:eastAsia="en-AU"/>
        </w:rPr>
        <w:t xml:space="preserve">Important missing information: </w:t>
      </w:r>
      <w:r w:rsidR="006222AA" w:rsidRPr="006222AA">
        <w:rPr>
          <w:lang w:eastAsia="en-AU"/>
        </w:rPr>
        <w:t xml:space="preserve">‘Use in </w:t>
      </w:r>
      <w:proofErr w:type="spellStart"/>
      <w:r w:rsidR="006222AA" w:rsidRPr="006222AA">
        <w:rPr>
          <w:lang w:eastAsia="en-AU"/>
        </w:rPr>
        <w:t>immunocompromised</w:t>
      </w:r>
      <w:proofErr w:type="spellEnd"/>
      <w:r w:rsidR="006222AA" w:rsidRPr="006222AA">
        <w:rPr>
          <w:lang w:eastAsia="en-AU"/>
        </w:rPr>
        <w:t xml:space="preserve"> and </w:t>
      </w:r>
      <w:proofErr w:type="spellStart"/>
      <w:r w:rsidR="006222AA" w:rsidRPr="006222AA">
        <w:rPr>
          <w:lang w:eastAsia="en-AU"/>
        </w:rPr>
        <w:t>immunodeficient</w:t>
      </w:r>
      <w:proofErr w:type="spellEnd"/>
      <w:r w:rsidR="006222AA" w:rsidRPr="006222AA">
        <w:rPr>
          <w:lang w:eastAsia="en-AU"/>
        </w:rPr>
        <w:t xml:space="preserve"> (including </w:t>
      </w:r>
      <w:proofErr w:type="spellStart"/>
      <w:r w:rsidR="006222AA" w:rsidRPr="006222AA">
        <w:rPr>
          <w:lang w:eastAsia="en-AU"/>
        </w:rPr>
        <w:t>asplenic</w:t>
      </w:r>
      <w:proofErr w:type="spellEnd"/>
      <w:r w:rsidR="006222AA" w:rsidRPr="006222AA">
        <w:rPr>
          <w:lang w:eastAsia="en-AU"/>
        </w:rPr>
        <w:t xml:space="preserve">) patients’ and ‘Use during pregnancy and lactation’.  </w:t>
      </w:r>
    </w:p>
    <w:p w:rsidR="006222AA" w:rsidRPr="006222AA" w:rsidRDefault="006222AA" w:rsidP="00723E77">
      <w:pPr>
        <w:rPr>
          <w:lang w:eastAsia="en-AU"/>
        </w:rPr>
      </w:pPr>
      <w:r w:rsidRPr="006222AA">
        <w:rPr>
          <w:lang w:eastAsia="en-AU"/>
        </w:rPr>
        <w:t>No risk minimisation is proposed for the other risks.</w:t>
      </w:r>
      <w:r w:rsidR="00235980">
        <w:rPr>
          <w:lang w:eastAsia="en-AU"/>
        </w:rPr>
        <w:t xml:space="preserve"> </w:t>
      </w:r>
      <w:r w:rsidRPr="006222AA">
        <w:rPr>
          <w:lang w:eastAsia="en-AU"/>
        </w:rPr>
        <w:t>No additional risk minimisation activities are proposed.</w:t>
      </w:r>
    </w:p>
    <w:p w:rsidR="006222AA" w:rsidRPr="006222AA" w:rsidRDefault="006222AA" w:rsidP="00723E77">
      <w:pPr>
        <w:pStyle w:val="Heading5"/>
        <w:rPr>
          <w:lang w:eastAsia="en-AU"/>
        </w:rPr>
      </w:pPr>
      <w:r w:rsidRPr="006222AA">
        <w:rPr>
          <w:lang w:eastAsia="en-AU"/>
        </w:rPr>
        <w:t>OPR reviewer comment:</w:t>
      </w:r>
    </w:p>
    <w:p w:rsidR="006222AA" w:rsidRPr="006222AA" w:rsidRDefault="006222AA" w:rsidP="00723E77">
      <w:pPr>
        <w:rPr>
          <w:lang w:eastAsia="en-AU"/>
        </w:rPr>
      </w:pPr>
      <w:r w:rsidRPr="006222AA">
        <w:rPr>
          <w:lang w:eastAsia="en-AU"/>
        </w:rPr>
        <w:t>The proposed use of routine ris</w:t>
      </w:r>
      <w:r w:rsidR="00235980">
        <w:rPr>
          <w:lang w:eastAsia="en-AU"/>
        </w:rPr>
        <w:t xml:space="preserve">k minimisation is acceptable. </w:t>
      </w:r>
      <w:r w:rsidRPr="006222AA">
        <w:rPr>
          <w:lang w:eastAsia="en-AU"/>
        </w:rPr>
        <w:t>This was supported by ACSOM when they conside</w:t>
      </w:r>
      <w:r w:rsidR="00235980">
        <w:rPr>
          <w:lang w:eastAsia="en-AU"/>
        </w:rPr>
        <w:t xml:space="preserve">red the </w:t>
      </w:r>
      <w:proofErr w:type="spellStart"/>
      <w:r w:rsidR="00235980">
        <w:rPr>
          <w:lang w:eastAsia="en-AU"/>
        </w:rPr>
        <w:t>MenACWY</w:t>
      </w:r>
      <w:proofErr w:type="spellEnd"/>
      <w:r w:rsidR="00235980">
        <w:rPr>
          <w:lang w:eastAsia="en-AU"/>
        </w:rPr>
        <w:t>-TT vaccine RMP</w:t>
      </w:r>
      <w:r w:rsidRPr="006222AA">
        <w:rPr>
          <w:lang w:eastAsia="en-AU"/>
        </w:rPr>
        <w:t>.</w:t>
      </w:r>
    </w:p>
    <w:p w:rsidR="006222AA" w:rsidRPr="006222AA" w:rsidRDefault="006222AA" w:rsidP="00723E77">
      <w:pPr>
        <w:rPr>
          <w:lang w:eastAsia="en-AU"/>
        </w:rPr>
      </w:pPr>
      <w:r w:rsidRPr="006222AA">
        <w:rPr>
          <w:lang w:eastAsia="en-AU"/>
        </w:rPr>
        <w:t>The need for a booster dose for this vaccine has not been established an</w:t>
      </w:r>
      <w:r w:rsidR="00235980">
        <w:rPr>
          <w:lang w:eastAsia="en-AU"/>
        </w:rPr>
        <w:t xml:space="preserve">d is subject to ongoing study (see </w:t>
      </w:r>
      <w:r w:rsidR="00235980" w:rsidRPr="008A578E">
        <w:rPr>
          <w:i/>
          <w:iCs/>
          <w:lang w:eastAsia="en-AU"/>
        </w:rPr>
        <w:t>Summary of recommendations</w:t>
      </w:r>
      <w:r w:rsidR="00235980">
        <w:rPr>
          <w:lang w:eastAsia="en-AU"/>
        </w:rPr>
        <w:t xml:space="preserve"> below). </w:t>
      </w:r>
    </w:p>
    <w:p w:rsidR="006222AA" w:rsidRPr="006222AA" w:rsidRDefault="006222AA" w:rsidP="00723E77">
      <w:pPr>
        <w:rPr>
          <w:lang w:eastAsia="en-AU"/>
        </w:rPr>
      </w:pPr>
      <w:r w:rsidRPr="006222AA">
        <w:rPr>
          <w:lang w:eastAsia="en-AU"/>
        </w:rPr>
        <w:t xml:space="preserve">In regard to the proposed routine risk minimisation activities, the draft </w:t>
      </w:r>
      <w:r w:rsidR="00235980">
        <w:rPr>
          <w:lang w:eastAsia="en-AU"/>
        </w:rPr>
        <w:t xml:space="preserve">PI </w:t>
      </w:r>
      <w:r w:rsidRPr="006222AA">
        <w:rPr>
          <w:lang w:eastAsia="en-AU"/>
        </w:rPr>
        <w:t>document is considered satisfactory.</w:t>
      </w:r>
    </w:p>
    <w:p w:rsidR="006222AA" w:rsidRPr="006222AA" w:rsidRDefault="006222AA" w:rsidP="00723E77">
      <w:pPr>
        <w:rPr>
          <w:lang w:eastAsia="en-AU"/>
        </w:rPr>
      </w:pPr>
      <w:r w:rsidRPr="006222AA">
        <w:rPr>
          <w:lang w:eastAsia="en-AU"/>
        </w:rPr>
        <w:t xml:space="preserve">In regard to the proposed routine risk minimisation activities, the draft </w:t>
      </w:r>
      <w:r w:rsidR="00235980">
        <w:rPr>
          <w:lang w:eastAsia="en-AU"/>
        </w:rPr>
        <w:t>C</w:t>
      </w:r>
      <w:r w:rsidRPr="006222AA">
        <w:rPr>
          <w:lang w:eastAsia="en-AU"/>
        </w:rPr>
        <w:t xml:space="preserve">onsumer </w:t>
      </w:r>
      <w:r w:rsidR="00235980">
        <w:rPr>
          <w:lang w:eastAsia="en-AU"/>
        </w:rPr>
        <w:t>M</w:t>
      </w:r>
      <w:r w:rsidRPr="006222AA">
        <w:rPr>
          <w:lang w:eastAsia="en-AU"/>
        </w:rPr>
        <w:t xml:space="preserve">edicine </w:t>
      </w:r>
      <w:r w:rsidR="00235980">
        <w:rPr>
          <w:lang w:eastAsia="en-AU"/>
        </w:rPr>
        <w:t>I</w:t>
      </w:r>
      <w:r w:rsidRPr="006222AA">
        <w:rPr>
          <w:lang w:eastAsia="en-AU"/>
        </w:rPr>
        <w:t xml:space="preserve">nformation </w:t>
      </w:r>
      <w:r w:rsidR="00235980">
        <w:rPr>
          <w:lang w:eastAsia="en-AU"/>
        </w:rPr>
        <w:t xml:space="preserve">(CMI) </w:t>
      </w:r>
      <w:r w:rsidRPr="006222AA">
        <w:rPr>
          <w:lang w:eastAsia="en-AU"/>
        </w:rPr>
        <w:t>is considered satisfactory.</w:t>
      </w:r>
    </w:p>
    <w:p w:rsidR="008E7846" w:rsidRDefault="008E7846" w:rsidP="00723E77">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0A15E3" w:rsidRPr="00235980" w:rsidRDefault="000A15E3" w:rsidP="00723E77">
      <w:r w:rsidRPr="00235980">
        <w:t xml:space="preserve">The OPR provides these recommendations in the context that the submitted RMP is supportive to the application; the implementation of the </w:t>
      </w:r>
      <w:proofErr w:type="spellStart"/>
      <w:r w:rsidRPr="00235980">
        <w:t>MenACWY</w:t>
      </w:r>
      <w:proofErr w:type="spellEnd"/>
      <w:r w:rsidRPr="00235980">
        <w:t xml:space="preserve">-TT Vaccine EU-RMP (version 1, dated 15 February 2012, data lock point 15 September 2010) + Australian-specific Annex (undated) is imposed as a condition of registration; and the submitted EU-RMP is applicable without modification in Australia unless so qualified; </w:t>
      </w:r>
    </w:p>
    <w:p w:rsidR="000A15E3" w:rsidRPr="00235980" w:rsidRDefault="000A15E3" w:rsidP="00723E77">
      <w:pPr>
        <w:pStyle w:val="ListBullet"/>
      </w:pPr>
      <w:r w:rsidRPr="00235980">
        <w:t>As risk minimisation for the important missing information ‘long term persistence of the vaccine response and need for a booster dose’ the sponsor should confirm how they plan to notify prescribers and therefore patients if it is determined that a booster</w:t>
      </w:r>
      <w:r w:rsidR="00235980">
        <w:t xml:space="preserve"> dose is needed in the future. </w:t>
      </w:r>
      <w:r w:rsidRPr="00235980">
        <w:t>Such consideration should be included in an amendment to the risk minimisation section of the ASA.</w:t>
      </w:r>
      <w:r w:rsidR="00235980">
        <w:rPr>
          <w:rStyle w:val="FootnoteReference"/>
        </w:rPr>
        <w:footnoteReference w:id="19"/>
      </w:r>
      <w:r w:rsidRPr="00235980">
        <w:t xml:space="preserve"> </w:t>
      </w:r>
    </w:p>
    <w:p w:rsidR="008E7846" w:rsidRPr="00792A32" w:rsidRDefault="008E7846" w:rsidP="008E7846">
      <w:pPr>
        <w:pStyle w:val="Heading2"/>
      </w:pPr>
      <w:bookmarkStart w:id="155" w:name="_Toc314842510"/>
      <w:bookmarkStart w:id="156" w:name="_Toc37511973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2"/>
      <w:bookmarkEnd w:id="154"/>
      <w:bookmarkEnd w:id="155"/>
      <w:bookmarkEnd w:id="156"/>
    </w:p>
    <w:p w:rsidR="008E7846" w:rsidRDefault="008E7846" w:rsidP="0004216D">
      <w:bookmarkStart w:id="157" w:name="_Toc247691528"/>
      <w:r>
        <w:t xml:space="preserve">The submission was summarised in the following </w:t>
      </w:r>
      <w:r w:rsidRPr="00EF5C48">
        <w:t xml:space="preserve">Delegate’s </w:t>
      </w:r>
      <w:r>
        <w:t>overview</w:t>
      </w:r>
      <w:r w:rsidRPr="00EF5C48">
        <w:t xml:space="preserve"> and recommendation</w:t>
      </w:r>
      <w:r>
        <w:t>s:</w:t>
      </w:r>
    </w:p>
    <w:p w:rsidR="003D08EB" w:rsidRPr="0004216D" w:rsidRDefault="003D08EB" w:rsidP="0004216D">
      <w:pPr>
        <w:pStyle w:val="Heading4"/>
      </w:pPr>
      <w:r w:rsidRPr="003D08EB">
        <w:t>Background</w:t>
      </w:r>
    </w:p>
    <w:p w:rsidR="003D08EB" w:rsidRPr="003D08EB" w:rsidRDefault="00C976BD" w:rsidP="0004216D">
      <w:r>
        <w:t>The sponsor (</w:t>
      </w:r>
      <w:r w:rsidR="003D08EB" w:rsidRPr="003D08EB">
        <w:t>GSK</w:t>
      </w:r>
      <w:r>
        <w:t>)</w:t>
      </w:r>
      <w:r w:rsidR="003D08EB" w:rsidRPr="003D08EB">
        <w:t xml:space="preserve"> </w:t>
      </w:r>
      <w:r>
        <w:t xml:space="preserve">has </w:t>
      </w:r>
      <w:r w:rsidR="003D08EB" w:rsidRPr="003D08EB">
        <w:t xml:space="preserve">submitted </w:t>
      </w:r>
      <w:r>
        <w:t xml:space="preserve">an </w:t>
      </w:r>
      <w:r w:rsidR="003D08EB" w:rsidRPr="003D08EB">
        <w:t xml:space="preserve">application seeking the registration of </w:t>
      </w:r>
      <w:proofErr w:type="spellStart"/>
      <w:r w:rsidR="003D08EB" w:rsidRPr="003D08EB">
        <w:t>Nimenrix</w:t>
      </w:r>
      <w:proofErr w:type="spellEnd"/>
      <w:r w:rsidR="003D08EB" w:rsidRPr="003D08EB">
        <w:t xml:space="preserve">, a </w:t>
      </w:r>
      <w:proofErr w:type="spellStart"/>
      <w:r w:rsidR="003D08EB" w:rsidRPr="003D08EB">
        <w:t>quadrivalent</w:t>
      </w:r>
      <w:proofErr w:type="spellEnd"/>
      <w:r w:rsidR="003D08EB" w:rsidRPr="003D08EB">
        <w:t xml:space="preserve"> meningococcal ACWY-</w:t>
      </w:r>
      <w:r w:rsidR="003A7CA4">
        <w:t xml:space="preserve">TT </w:t>
      </w:r>
      <w:r w:rsidR="003D08EB" w:rsidRPr="003D08EB">
        <w:t>conjugate vaccine (</w:t>
      </w:r>
      <w:proofErr w:type="spellStart"/>
      <w:r w:rsidR="003D08EB" w:rsidRPr="003D08EB">
        <w:t>MenACWY</w:t>
      </w:r>
      <w:proofErr w:type="spellEnd"/>
      <w:r w:rsidR="003D08EB" w:rsidRPr="003D08EB">
        <w:t xml:space="preserve">-TT). This new vaccine is a powder and solvent for solution for </w:t>
      </w:r>
      <w:r>
        <w:t xml:space="preserve">IM </w:t>
      </w:r>
      <w:r w:rsidR="003D08EB" w:rsidRPr="003D08EB">
        <w:t>injection</w:t>
      </w:r>
      <w:r>
        <w:t>.</w:t>
      </w:r>
    </w:p>
    <w:p w:rsidR="003D08EB" w:rsidRPr="003D08EB" w:rsidRDefault="003D08EB" w:rsidP="0004216D">
      <w:r w:rsidRPr="003D08EB">
        <w:t>The proposed I</w:t>
      </w:r>
      <w:r w:rsidR="00C976BD">
        <w:t xml:space="preserve">ndication </w:t>
      </w:r>
      <w:r w:rsidRPr="003D08EB">
        <w:t>is as follows:</w:t>
      </w:r>
    </w:p>
    <w:p w:rsidR="003D08EB" w:rsidRPr="0004216D" w:rsidRDefault="003D08EB" w:rsidP="0004216D">
      <w:pPr>
        <w:ind w:left="720"/>
        <w:rPr>
          <w:i/>
        </w:rPr>
      </w:pPr>
      <w:proofErr w:type="spellStart"/>
      <w:r w:rsidRPr="0004216D">
        <w:rPr>
          <w:i/>
        </w:rPr>
        <w:t>Nimenrix</w:t>
      </w:r>
      <w:proofErr w:type="spellEnd"/>
      <w:r w:rsidRPr="0004216D">
        <w:rPr>
          <w:i/>
        </w:rPr>
        <w:t xml:space="preserve"> is indicated for active immunisation of individuals from the age of 12 months through 55 years against invasive meningococcal diseases caused by </w:t>
      </w:r>
      <w:proofErr w:type="spellStart"/>
      <w:r w:rsidRPr="0004216D">
        <w:rPr>
          <w:i/>
          <w:iCs/>
        </w:rPr>
        <w:t>Neisseria</w:t>
      </w:r>
      <w:proofErr w:type="spellEnd"/>
      <w:r w:rsidRPr="0004216D">
        <w:rPr>
          <w:i/>
          <w:iCs/>
        </w:rPr>
        <w:t xml:space="preserve"> </w:t>
      </w:r>
      <w:proofErr w:type="spellStart"/>
      <w:r w:rsidRPr="0004216D">
        <w:rPr>
          <w:i/>
          <w:iCs/>
        </w:rPr>
        <w:t>meningitidis</w:t>
      </w:r>
      <w:proofErr w:type="spellEnd"/>
      <w:r w:rsidRPr="0004216D">
        <w:rPr>
          <w:i/>
          <w:iCs/>
        </w:rPr>
        <w:t xml:space="preserve"> </w:t>
      </w:r>
      <w:proofErr w:type="spellStart"/>
      <w:r w:rsidRPr="0004216D">
        <w:rPr>
          <w:i/>
        </w:rPr>
        <w:t>serogroups</w:t>
      </w:r>
      <w:proofErr w:type="spellEnd"/>
      <w:r w:rsidRPr="0004216D">
        <w:rPr>
          <w:i/>
        </w:rPr>
        <w:t xml:space="preserve"> A, C, W-135 and Y. </w:t>
      </w:r>
    </w:p>
    <w:p w:rsidR="003D08EB" w:rsidRPr="003D08EB" w:rsidRDefault="003D08EB" w:rsidP="0004216D">
      <w:r w:rsidRPr="003D08EB">
        <w:t xml:space="preserve">The proposed </w:t>
      </w:r>
      <w:r w:rsidR="00433C9F" w:rsidRPr="00433C9F">
        <w:rPr>
          <w:i/>
          <w:iCs/>
        </w:rPr>
        <w:t>Dosage and Administration</w:t>
      </w:r>
      <w:r w:rsidR="00433C9F" w:rsidRPr="003D08EB">
        <w:t xml:space="preserve"> </w:t>
      </w:r>
      <w:r w:rsidRPr="003D08EB">
        <w:t>is as follows:</w:t>
      </w:r>
    </w:p>
    <w:p w:rsidR="003D08EB" w:rsidRPr="0004216D" w:rsidRDefault="003D08EB" w:rsidP="0004216D">
      <w:pPr>
        <w:ind w:left="720"/>
        <w:rPr>
          <w:i/>
        </w:rPr>
      </w:pPr>
      <w:r w:rsidRPr="0004216D">
        <w:rPr>
          <w:i/>
        </w:rPr>
        <w:t xml:space="preserve">Primary vaccination: </w:t>
      </w:r>
    </w:p>
    <w:p w:rsidR="003D08EB" w:rsidRPr="0004216D" w:rsidRDefault="003D08EB" w:rsidP="0004216D">
      <w:pPr>
        <w:ind w:left="720"/>
        <w:rPr>
          <w:i/>
        </w:rPr>
      </w:pPr>
      <w:r w:rsidRPr="0004216D">
        <w:rPr>
          <w:i/>
        </w:rPr>
        <w:t xml:space="preserve">A single 0.5 </w:t>
      </w:r>
      <w:proofErr w:type="spellStart"/>
      <w:r w:rsidRPr="0004216D">
        <w:rPr>
          <w:i/>
        </w:rPr>
        <w:t>m</w:t>
      </w:r>
      <w:r w:rsidR="00C976BD" w:rsidRPr="0004216D">
        <w:rPr>
          <w:i/>
        </w:rPr>
        <w:t>L</w:t>
      </w:r>
      <w:proofErr w:type="spellEnd"/>
      <w:r w:rsidRPr="0004216D">
        <w:rPr>
          <w:i/>
        </w:rPr>
        <w:t xml:space="preserve"> dose of the reconstituted vaccine is used for immunisation. </w:t>
      </w:r>
    </w:p>
    <w:p w:rsidR="003D08EB" w:rsidRPr="0004216D" w:rsidRDefault="003D08EB" w:rsidP="0004216D">
      <w:pPr>
        <w:ind w:left="720"/>
        <w:rPr>
          <w:i/>
        </w:rPr>
      </w:pPr>
      <w:r w:rsidRPr="0004216D">
        <w:rPr>
          <w:i/>
        </w:rPr>
        <w:t xml:space="preserve">Booster vaccination: </w:t>
      </w:r>
    </w:p>
    <w:p w:rsidR="003D08EB" w:rsidRPr="0004216D" w:rsidRDefault="003D08EB" w:rsidP="0004216D">
      <w:pPr>
        <w:ind w:left="720"/>
        <w:rPr>
          <w:i/>
        </w:rPr>
      </w:pPr>
      <w:proofErr w:type="spellStart"/>
      <w:r w:rsidRPr="0004216D">
        <w:rPr>
          <w:i/>
        </w:rPr>
        <w:t>Nimenrix</w:t>
      </w:r>
      <w:proofErr w:type="spellEnd"/>
      <w:r w:rsidRPr="0004216D">
        <w:rPr>
          <w:i/>
        </w:rPr>
        <w:t xml:space="preserve"> may be given as a booster dose in subjects who have previously been vaccinated with a plain polysaccharide meningococcal vaccine. </w:t>
      </w:r>
    </w:p>
    <w:p w:rsidR="003D08EB" w:rsidRPr="0004216D" w:rsidRDefault="003D08EB" w:rsidP="0004216D">
      <w:pPr>
        <w:ind w:left="720"/>
        <w:rPr>
          <w:i/>
        </w:rPr>
      </w:pPr>
      <w:r w:rsidRPr="0004216D">
        <w:rPr>
          <w:i/>
        </w:rPr>
        <w:t xml:space="preserve">The need for a booster dose in subjects primed with </w:t>
      </w:r>
      <w:proofErr w:type="spellStart"/>
      <w:r w:rsidRPr="0004216D">
        <w:rPr>
          <w:i/>
        </w:rPr>
        <w:t>Nimenrix</w:t>
      </w:r>
      <w:proofErr w:type="spellEnd"/>
      <w:r w:rsidRPr="0004216D">
        <w:rPr>
          <w:i/>
        </w:rPr>
        <w:t xml:space="preserve"> has not been established. </w:t>
      </w:r>
    </w:p>
    <w:p w:rsidR="003D08EB" w:rsidRPr="0004216D" w:rsidRDefault="003D08EB" w:rsidP="0004216D">
      <w:pPr>
        <w:ind w:left="720"/>
        <w:rPr>
          <w:i/>
        </w:rPr>
      </w:pPr>
      <w:proofErr w:type="spellStart"/>
      <w:r w:rsidRPr="0004216D">
        <w:rPr>
          <w:i/>
        </w:rPr>
        <w:t>Nimenrix</w:t>
      </w:r>
      <w:proofErr w:type="spellEnd"/>
      <w:r w:rsidRPr="0004216D">
        <w:rPr>
          <w:i/>
        </w:rPr>
        <w:t xml:space="preserve"> should be used in accordance with available official recommendations.</w:t>
      </w:r>
    </w:p>
    <w:p w:rsidR="003D08EB" w:rsidRPr="003D08EB" w:rsidRDefault="003D08EB" w:rsidP="0004216D">
      <w:r w:rsidRPr="003D08EB">
        <w:t xml:space="preserve">It is noted that this application does not seek approval of </w:t>
      </w:r>
      <w:proofErr w:type="spellStart"/>
      <w:r w:rsidRPr="003D08EB">
        <w:t>Nimenrix</w:t>
      </w:r>
      <w:proofErr w:type="spellEnd"/>
      <w:r w:rsidRPr="003D08EB">
        <w:t xml:space="preserve"> as a booster in those primed with </w:t>
      </w:r>
      <w:proofErr w:type="spellStart"/>
      <w:r w:rsidRPr="003D08EB">
        <w:t>Nimenrix</w:t>
      </w:r>
      <w:proofErr w:type="spellEnd"/>
      <w:r w:rsidRPr="003D08EB">
        <w:t xml:space="preserve"> or another conjugate meningococcal vaccine.</w:t>
      </w:r>
    </w:p>
    <w:p w:rsidR="008E7846" w:rsidRPr="0004216D" w:rsidRDefault="008E7846" w:rsidP="0004216D">
      <w:pPr>
        <w:pStyle w:val="Heading3"/>
      </w:pPr>
      <w:bookmarkStart w:id="158" w:name="_Toc314842511"/>
      <w:bookmarkStart w:id="159" w:name="_Toc375119733"/>
      <w:r>
        <w:t>Quality</w:t>
      </w:r>
      <w:bookmarkEnd w:id="157"/>
      <w:bookmarkEnd w:id="158"/>
      <w:bookmarkEnd w:id="159"/>
    </w:p>
    <w:p w:rsidR="003D08EB" w:rsidRPr="002A61F1" w:rsidRDefault="003D08EB" w:rsidP="0004216D">
      <w:r w:rsidRPr="005A0B2C">
        <w:t xml:space="preserve">The administrative, product usage, chemical, pharmaceutical, microbiological data submitted in support of this application have been evaluated in accordance with the Australian legislation, </w:t>
      </w:r>
      <w:proofErr w:type="spellStart"/>
      <w:r w:rsidRPr="005A0B2C">
        <w:t>pharmacopoeial</w:t>
      </w:r>
      <w:proofErr w:type="spellEnd"/>
      <w:r w:rsidRPr="005A0B2C">
        <w:t xml:space="preserve"> standards and relevant technical guidelines adopted by the TGA. The application was considered at the </w:t>
      </w:r>
      <w:r w:rsidR="005A0B2C">
        <w:t>150</w:t>
      </w:r>
      <w:r w:rsidR="005A0B2C" w:rsidRPr="005A0B2C">
        <w:rPr>
          <w:vertAlign w:val="superscript"/>
        </w:rPr>
        <w:t>th</w:t>
      </w:r>
      <w:r w:rsidR="005A0B2C">
        <w:t xml:space="preserve"> </w:t>
      </w:r>
      <w:r w:rsidRPr="005A0B2C">
        <w:t>PSC meeting</w:t>
      </w:r>
      <w:r w:rsidR="005A0B2C">
        <w:t>.</w:t>
      </w:r>
      <w:r w:rsidRPr="002A61F1">
        <w:t xml:space="preserve"> </w:t>
      </w:r>
    </w:p>
    <w:p w:rsidR="003D08EB" w:rsidRPr="002A61F1" w:rsidRDefault="003D08EB" w:rsidP="0004216D">
      <w:r w:rsidRPr="002A61F1">
        <w:lastRenderedPageBreak/>
        <w:t xml:space="preserve">There are no outstanding Module 3 issues, and the Module 3 </w:t>
      </w:r>
      <w:r w:rsidR="005A0B2C" w:rsidRPr="002A61F1">
        <w:t>evaluator</w:t>
      </w:r>
      <w:r w:rsidRPr="002A61F1">
        <w:t xml:space="preserve"> recommends approval of the vaccine.</w:t>
      </w:r>
    </w:p>
    <w:p w:rsidR="008E7846" w:rsidRPr="0004216D" w:rsidRDefault="008E7846" w:rsidP="0004216D">
      <w:pPr>
        <w:pStyle w:val="Heading3"/>
      </w:pPr>
      <w:bookmarkStart w:id="160" w:name="_Toc314842512"/>
      <w:bookmarkStart w:id="161" w:name="_Toc375119734"/>
      <w:r>
        <w:t>Nonclinical</w:t>
      </w:r>
      <w:bookmarkEnd w:id="160"/>
      <w:bookmarkEnd w:id="161"/>
    </w:p>
    <w:p w:rsidR="005A0B2C" w:rsidRDefault="005A0B2C" w:rsidP="0004216D">
      <w:r>
        <w:t>The n</w:t>
      </w:r>
      <w:r w:rsidR="002A61F1" w:rsidRPr="005A0B2C">
        <w:t xml:space="preserve">onclinical evaluator identified no major deficiencies in the studies submitted in Module 4, with the results from nonclinical studies leading to the selection of the dose of </w:t>
      </w:r>
      <w:r w:rsidR="00C132F2">
        <w:t xml:space="preserve">PS </w:t>
      </w:r>
      <w:r w:rsidR="002A61F1" w:rsidRPr="005A0B2C">
        <w:t xml:space="preserve">and conjugation methodologies of the </w:t>
      </w:r>
      <w:proofErr w:type="spellStart"/>
      <w:r w:rsidR="002A61F1" w:rsidRPr="005A0B2C">
        <w:t>MenACWY</w:t>
      </w:r>
      <w:proofErr w:type="spellEnd"/>
      <w:r w:rsidR="002A61F1" w:rsidRPr="005A0B2C">
        <w:t xml:space="preserve">-TT vaccine for clinical use. </w:t>
      </w:r>
    </w:p>
    <w:p w:rsidR="005A0B2C" w:rsidRDefault="002A61F1" w:rsidP="0004216D">
      <w:r w:rsidRPr="005A0B2C">
        <w:t xml:space="preserve">The studies submitted for </w:t>
      </w:r>
      <w:r w:rsidR="005A0B2C">
        <w:t>p</w:t>
      </w:r>
      <w:r w:rsidRPr="005A0B2C">
        <w:t xml:space="preserve">rimary </w:t>
      </w:r>
      <w:r w:rsidR="005A0B2C">
        <w:t>p</w:t>
      </w:r>
      <w:r w:rsidRPr="005A0B2C">
        <w:t xml:space="preserve">harmacology were conducted in 2 animal species (mice and rabbits), administered via SC and IM using </w:t>
      </w:r>
      <w:r w:rsidR="005A0B2C">
        <w:t xml:space="preserve">one </w:t>
      </w:r>
      <w:r w:rsidR="00C976BD">
        <w:t xml:space="preserve">tenth </w:t>
      </w:r>
      <w:r w:rsidRPr="005A0B2C">
        <w:t xml:space="preserve">and the full human dose respectively. Immunogenicity studies used </w:t>
      </w:r>
      <w:r w:rsidR="00C132F2">
        <w:t xml:space="preserve">PS </w:t>
      </w:r>
      <w:r w:rsidRPr="005A0B2C">
        <w:t xml:space="preserve">that were </w:t>
      </w:r>
      <w:proofErr w:type="spellStart"/>
      <w:r w:rsidRPr="005A0B2C">
        <w:t>T</w:t>
      </w:r>
      <w:r w:rsidRPr="005A0B2C">
        <w:noBreakHyphen/>
        <w:t>cell</w:t>
      </w:r>
      <w:proofErr w:type="spellEnd"/>
      <w:r w:rsidRPr="005A0B2C">
        <w:t xml:space="preserve"> independent antigens, </w:t>
      </w:r>
      <w:r w:rsidR="00C132F2">
        <w:t xml:space="preserve">PS </w:t>
      </w:r>
      <w:r w:rsidRPr="005A0B2C">
        <w:t xml:space="preserve">conjugates, which are T-cell dependent antigens, as well as the final vaccine formulation. The studies submitted support the proposed indication for </w:t>
      </w:r>
      <w:proofErr w:type="spellStart"/>
      <w:r w:rsidRPr="005A0B2C">
        <w:t>Nimenrix</w:t>
      </w:r>
      <w:proofErr w:type="spellEnd"/>
      <w:r w:rsidRPr="005A0B2C">
        <w:t xml:space="preserve">. </w:t>
      </w:r>
    </w:p>
    <w:p w:rsidR="005A0B2C" w:rsidRDefault="002A61F1" w:rsidP="0004216D">
      <w:r w:rsidRPr="005A0B2C">
        <w:t xml:space="preserve">Efficacy was not tested directly due to the lack of animal models of infection for </w:t>
      </w:r>
      <w:proofErr w:type="spellStart"/>
      <w:r w:rsidRPr="005A0B2C">
        <w:rPr>
          <w:i/>
          <w:iCs/>
        </w:rPr>
        <w:t>Neisseria</w:t>
      </w:r>
      <w:proofErr w:type="spellEnd"/>
      <w:r w:rsidRPr="005A0B2C">
        <w:t xml:space="preserve">, a human-specific pathogen. Safety pharmacology data found no biologically significant effects on the cardiovascular and respiratory parameters recorded. No clinically relevant hazards were identified. No treatment related clinical signs, body weight </w:t>
      </w:r>
      <w:r w:rsidR="005A0B2C">
        <w:t xml:space="preserve">changes </w:t>
      </w:r>
      <w:r w:rsidRPr="005A0B2C">
        <w:t>or local reac</w:t>
      </w:r>
      <w:r w:rsidR="001B7354">
        <w:t xml:space="preserve">tion were observed after single </w:t>
      </w:r>
      <w:r w:rsidRPr="005A0B2C">
        <w:t>dose administration at the injection site. A repeat</w:t>
      </w:r>
      <w:r w:rsidR="001B7354">
        <w:t xml:space="preserve"> </w:t>
      </w:r>
      <w:r w:rsidRPr="005A0B2C">
        <w:t xml:space="preserve">dose study administering 5 IM fortnightly injections, equivalent to the full human dose (0.5 </w:t>
      </w:r>
      <w:proofErr w:type="spellStart"/>
      <w:r w:rsidRPr="005A0B2C">
        <w:t>mL</w:t>
      </w:r>
      <w:proofErr w:type="spellEnd"/>
      <w:r w:rsidRPr="005A0B2C">
        <w:t xml:space="preserve"> per injection containing 5 µg each of</w:t>
      </w:r>
      <w:r w:rsidR="001C5F70">
        <w:t xml:space="preserve"> each </w:t>
      </w:r>
      <w:r w:rsidR="00C132F2">
        <w:t xml:space="preserve">PS </w:t>
      </w:r>
      <w:r w:rsidR="001C5F70">
        <w:t>type</w:t>
      </w:r>
      <w:r w:rsidRPr="005A0B2C">
        <w:t xml:space="preserve"> </w:t>
      </w:r>
      <w:proofErr w:type="spellStart"/>
      <w:r w:rsidR="001C5F70" w:rsidRPr="001C5F70">
        <w:t>MenA</w:t>
      </w:r>
      <w:r w:rsidR="001C5F70" w:rsidRPr="001C5F70">
        <w:noBreakHyphen/>
        <w:t>TT</w:t>
      </w:r>
      <w:proofErr w:type="spellEnd"/>
      <w:r w:rsidR="001C5F70" w:rsidRPr="001C5F70">
        <w:t xml:space="preserve"> (with AH spacer), </w:t>
      </w:r>
      <w:proofErr w:type="spellStart"/>
      <w:r w:rsidR="001C5F70" w:rsidRPr="001C5F70">
        <w:t>MenC</w:t>
      </w:r>
      <w:r w:rsidR="001C5F70" w:rsidRPr="001C5F70">
        <w:noBreakHyphen/>
        <w:t>TT</w:t>
      </w:r>
      <w:proofErr w:type="spellEnd"/>
      <w:r w:rsidR="001C5F70" w:rsidRPr="001C5F70">
        <w:t xml:space="preserve"> (with AH spacer), MenW</w:t>
      </w:r>
      <w:r w:rsidR="001C5F70" w:rsidRPr="001C5F70">
        <w:noBreakHyphen/>
        <w:t>135</w:t>
      </w:r>
      <w:r w:rsidR="001C5F70" w:rsidRPr="001C5F70">
        <w:noBreakHyphen/>
        <w:t xml:space="preserve">TT and </w:t>
      </w:r>
      <w:proofErr w:type="spellStart"/>
      <w:r w:rsidR="001C5F70" w:rsidRPr="001C5F70">
        <w:t>MenY</w:t>
      </w:r>
      <w:r w:rsidR="001C5F70" w:rsidRPr="001C5F70">
        <w:noBreakHyphen/>
        <w:t>TT</w:t>
      </w:r>
      <w:proofErr w:type="spellEnd"/>
      <w:r w:rsidRPr="005A0B2C">
        <w:t>), found no distinct treatment-related changes in general and local clinical signs, ophthalmo</w:t>
      </w:r>
      <w:r w:rsidR="005A0B2C">
        <w:t>logy</w:t>
      </w:r>
      <w:r w:rsidRPr="005A0B2C">
        <w:t xml:space="preserve">, body weight, food intake, rectal body temperature, haematology, blood chemistry and organ weights in rabbits. </w:t>
      </w:r>
    </w:p>
    <w:p w:rsidR="005A0B2C" w:rsidRDefault="002A61F1" w:rsidP="0004216D">
      <w:r w:rsidRPr="005A0B2C">
        <w:t xml:space="preserve">No treatment-related effects of the vaccine were observed on female rat fertility, maternal toxicity, pre- and post-natal development. Male fertility was not studied. Therefore, the proposed Pregnancy Category (B2) is acceptable. </w:t>
      </w:r>
    </w:p>
    <w:p w:rsidR="005A0B2C" w:rsidRDefault="002A61F1" w:rsidP="0004216D">
      <w:r w:rsidRPr="005A0B2C">
        <w:t xml:space="preserve">The presence of </w:t>
      </w:r>
      <w:r w:rsidR="005A0B2C">
        <w:t xml:space="preserve">two specific residual substances </w:t>
      </w:r>
      <w:r w:rsidRPr="005A0B2C">
        <w:t>in the final vaccine formulation for cl</w:t>
      </w:r>
      <w:r w:rsidR="005A0B2C">
        <w:t>inical use presents</w:t>
      </w:r>
      <w:r w:rsidRPr="005A0B2C">
        <w:t xml:space="preserve"> no toxicological hazard to vaccinated subjects. </w:t>
      </w:r>
    </w:p>
    <w:p w:rsidR="002A61F1" w:rsidRPr="005A0B2C" w:rsidRDefault="002A61F1" w:rsidP="005A0B2C">
      <w:r w:rsidRPr="005A0B2C">
        <w:t xml:space="preserve">There are no nonclinical objections to registration. The evaluator recommended a few </w:t>
      </w:r>
      <w:r w:rsidR="005A0B2C" w:rsidRPr="005A0B2C">
        <w:t>amendments</w:t>
      </w:r>
      <w:r w:rsidRPr="005A0B2C">
        <w:t xml:space="preserve"> to the Product Information document.</w:t>
      </w:r>
    </w:p>
    <w:p w:rsidR="008E7846" w:rsidRPr="0004216D" w:rsidRDefault="008E7846" w:rsidP="0004216D">
      <w:pPr>
        <w:pStyle w:val="Heading3"/>
      </w:pPr>
      <w:bookmarkStart w:id="162" w:name="_Toc247691530"/>
      <w:bookmarkStart w:id="163" w:name="_Toc314842513"/>
      <w:bookmarkStart w:id="164" w:name="_Toc375119735"/>
      <w:r>
        <w:t>Clinical</w:t>
      </w:r>
      <w:bookmarkEnd w:id="162"/>
      <w:bookmarkEnd w:id="163"/>
      <w:bookmarkEnd w:id="164"/>
    </w:p>
    <w:p w:rsidR="002A61F1" w:rsidRPr="0004216D" w:rsidRDefault="002A61F1" w:rsidP="0004216D">
      <w:pPr>
        <w:pStyle w:val="Heading4"/>
      </w:pPr>
      <w:r w:rsidRPr="002A61F1">
        <w:t xml:space="preserve">Clinical </w:t>
      </w:r>
      <w:r w:rsidR="00F003FB">
        <w:t>e</w:t>
      </w:r>
      <w:r w:rsidRPr="002A61F1">
        <w:t>fficacy/</w:t>
      </w:r>
      <w:r w:rsidR="00F003FB">
        <w:t>i</w:t>
      </w:r>
      <w:r w:rsidRPr="002A61F1">
        <w:t>mmunogenicity</w:t>
      </w:r>
    </w:p>
    <w:p w:rsidR="002A61F1" w:rsidRPr="002A61F1" w:rsidRDefault="002A61F1" w:rsidP="0004216D">
      <w:r w:rsidRPr="002A61F1">
        <w:t xml:space="preserve">The submitted clinical studies evaluated the safety and immunogenicity of the candidate vaccine in various age groups and when administered with other routine childhood vaccines. Table </w:t>
      </w:r>
      <w:r w:rsidR="00B218EC">
        <w:t>1</w:t>
      </w:r>
      <w:r w:rsidR="00E02A1E">
        <w:t>0</w:t>
      </w:r>
      <w:r w:rsidRPr="002A61F1">
        <w:t xml:space="preserve"> below lists the primary immunisation studies and Table </w:t>
      </w:r>
      <w:r w:rsidR="00E02A1E">
        <w:t>12</w:t>
      </w:r>
      <w:r w:rsidRPr="002A61F1">
        <w:t xml:space="preserve"> lists the immune persistence studies. </w:t>
      </w:r>
    </w:p>
    <w:p w:rsidR="002A61F1" w:rsidRPr="002A61F1" w:rsidRDefault="002A61F1" w:rsidP="0004216D">
      <w:pPr>
        <w:pStyle w:val="TableTitle"/>
      </w:pPr>
      <w:r w:rsidRPr="002A61F1">
        <w:lastRenderedPageBreak/>
        <w:t>Table 1</w:t>
      </w:r>
      <w:r w:rsidR="00E02A1E">
        <w:t>0</w:t>
      </w:r>
      <w:r w:rsidR="00C976BD">
        <w:t>.</w:t>
      </w:r>
      <w:r w:rsidRPr="002A61F1">
        <w:t xml:space="preserve"> Primary immunisation studies to support the safety and immunogenicity of </w:t>
      </w:r>
      <w:proofErr w:type="spellStart"/>
      <w:r w:rsidRPr="002A61F1">
        <w:t>Nimenrix</w:t>
      </w:r>
      <w:proofErr w:type="spellEnd"/>
    </w:p>
    <w:p w:rsidR="002A61F1" w:rsidRPr="002A61F1" w:rsidRDefault="002A61F1" w:rsidP="0004216D">
      <w:r w:rsidRPr="002A61F1">
        <w:rPr>
          <w:noProof/>
          <w:lang w:eastAsia="en-AU"/>
        </w:rPr>
        <w:drawing>
          <wp:inline distT="0" distB="0" distL="0" distR="0">
            <wp:extent cx="5043635" cy="4397598"/>
            <wp:effectExtent l="19050" t="0" r="4615" b="0"/>
            <wp:docPr id="2" name="Picture 1" descr="Table 10. Primary immunisation studies to support the safety and immunogenicity of Nimen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039632" cy="4394107"/>
                    </a:xfrm>
                    <a:prstGeom prst="rect">
                      <a:avLst/>
                    </a:prstGeom>
                    <a:noFill/>
                    <a:ln w="9525">
                      <a:noFill/>
                      <a:miter lim="800000"/>
                      <a:headEnd/>
                      <a:tailEnd/>
                    </a:ln>
                  </pic:spPr>
                </pic:pic>
              </a:graphicData>
            </a:graphic>
          </wp:inline>
        </w:drawing>
      </w:r>
    </w:p>
    <w:p w:rsidR="002A61F1" w:rsidRPr="00B218EC" w:rsidRDefault="002A61F1" w:rsidP="0004216D">
      <w:r w:rsidRPr="00B218EC">
        <w:t>Clinical efficacy outcome</w:t>
      </w:r>
      <w:r w:rsidR="00B218EC">
        <w:t>s</w:t>
      </w:r>
      <w:r w:rsidRPr="00B218EC">
        <w:t xml:space="preserve"> were not assessed in these submitted studies. The primary outcome</w:t>
      </w:r>
      <w:r w:rsidR="00B218EC">
        <w:t>s</w:t>
      </w:r>
      <w:r w:rsidRPr="00B218EC">
        <w:t xml:space="preserve"> were immunogenicity endpoint</w:t>
      </w:r>
      <w:r w:rsidR="00B218EC">
        <w:t>s</w:t>
      </w:r>
      <w:r w:rsidRPr="00B218EC">
        <w:t xml:space="preserve"> measured by SBA assay based on the </w:t>
      </w:r>
      <w:r w:rsidR="00B218EC">
        <w:t xml:space="preserve">US </w:t>
      </w:r>
      <w:proofErr w:type="spellStart"/>
      <w:r w:rsidR="00B218EC" w:rsidRPr="00B218EC">
        <w:t>Center</w:t>
      </w:r>
      <w:proofErr w:type="spellEnd"/>
      <w:r w:rsidR="00B218EC" w:rsidRPr="00B218EC">
        <w:t xml:space="preserve"> f</w:t>
      </w:r>
      <w:r w:rsidR="00AF0436">
        <w:t>or</w:t>
      </w:r>
      <w:r w:rsidR="00B218EC" w:rsidRPr="00B218EC">
        <w:t xml:space="preserve"> Disease Control and Prevention </w:t>
      </w:r>
      <w:r w:rsidR="00B218EC">
        <w:t>(</w:t>
      </w:r>
      <w:r w:rsidRPr="00B218EC">
        <w:t>CDC</w:t>
      </w:r>
      <w:r w:rsidR="00B218EC">
        <w:t>)</w:t>
      </w:r>
      <w:r w:rsidRPr="00B218EC">
        <w:t xml:space="preserve"> protocol and using baby rabbit serum (</w:t>
      </w:r>
      <w:proofErr w:type="spellStart"/>
      <w:r w:rsidRPr="00B218EC">
        <w:t>rSBA</w:t>
      </w:r>
      <w:proofErr w:type="spellEnd"/>
      <w:r w:rsidRPr="00B218EC">
        <w:t xml:space="preserve">) as the source of complement. The </w:t>
      </w:r>
      <w:r w:rsidR="00E8425B" w:rsidRPr="00B218EC">
        <w:t>thresholds</w:t>
      </w:r>
      <w:r w:rsidRPr="00B218EC">
        <w:t xml:space="preserve"> for the SBA titres are </w:t>
      </w:r>
      <w:r w:rsidR="0015457E">
        <w:t xml:space="preserve">shown in Table </w:t>
      </w:r>
      <w:r w:rsidR="00E02A1E">
        <w:t>11</w:t>
      </w:r>
      <w:r w:rsidR="0015457E">
        <w:t xml:space="preserve"> and align</w:t>
      </w:r>
      <w:r w:rsidRPr="00B218EC">
        <w:t xml:space="preserve"> with WHO 2011 guidelines</w:t>
      </w:r>
      <w:r w:rsidR="00C976BD">
        <w:rPr>
          <w:rStyle w:val="FootnoteReference"/>
        </w:rPr>
        <w:footnoteReference w:id="20"/>
      </w:r>
      <w:r w:rsidR="00C976BD" w:rsidRPr="00B218EC">
        <w:t xml:space="preserve"> </w:t>
      </w:r>
      <w:r w:rsidRPr="00B218EC">
        <w:t xml:space="preserve">for licensure of meningococcal vaccines. </w:t>
      </w:r>
    </w:p>
    <w:p w:rsidR="002A61F1" w:rsidRPr="002A61F1" w:rsidRDefault="00E02A1E" w:rsidP="0004216D">
      <w:pPr>
        <w:pStyle w:val="TableTitle"/>
      </w:pPr>
      <w:r>
        <w:rPr>
          <w:iCs/>
        </w:rPr>
        <w:t>Table 11.</w:t>
      </w:r>
      <w:r w:rsidR="002A61F1" w:rsidRPr="002A61F1">
        <w:rPr>
          <w:iCs/>
        </w:rPr>
        <w:t xml:space="preserve"> Protective </w:t>
      </w:r>
      <w:r w:rsidR="00E8425B" w:rsidRPr="002A61F1">
        <w:rPr>
          <w:iCs/>
        </w:rPr>
        <w:t>t</w:t>
      </w:r>
      <w:r w:rsidR="00E8425B" w:rsidRPr="002A61F1">
        <w:rPr>
          <w:bCs/>
        </w:rPr>
        <w:t>hresholds</w:t>
      </w:r>
      <w:r w:rsidR="002A61F1" w:rsidRPr="002A61F1">
        <w:rPr>
          <w:bCs/>
        </w:rPr>
        <w:t xml:space="preserve"> for SBA titres against </w:t>
      </w:r>
      <w:proofErr w:type="spellStart"/>
      <w:r w:rsidR="002A61F1" w:rsidRPr="002A61F1">
        <w:t>MenA</w:t>
      </w:r>
      <w:proofErr w:type="spellEnd"/>
      <w:r w:rsidR="002A61F1" w:rsidRPr="002A61F1">
        <w:t xml:space="preserve">, -C, -W-135, -Y </w:t>
      </w:r>
    </w:p>
    <w:tbl>
      <w:tblPr>
        <w:tblStyle w:val="TableTGAblue"/>
        <w:tblW w:w="8505" w:type="dxa"/>
        <w:tblInd w:w="108" w:type="dxa"/>
        <w:tblLook w:val="04A0"/>
      </w:tblPr>
      <w:tblGrid>
        <w:gridCol w:w="1310"/>
        <w:gridCol w:w="1842"/>
        <w:gridCol w:w="1843"/>
        <w:gridCol w:w="1985"/>
        <w:gridCol w:w="1525"/>
      </w:tblGrid>
      <w:tr w:rsidR="002A61F1" w:rsidRPr="00E8425B" w:rsidTr="0004216D">
        <w:trPr>
          <w:cnfStyle w:val="100000000000"/>
          <w:tblHeader/>
        </w:trPr>
        <w:tc>
          <w:tcPr>
            <w:tcW w:w="1310" w:type="dxa"/>
          </w:tcPr>
          <w:p w:rsidR="002A61F1" w:rsidRPr="00E8425B" w:rsidRDefault="002A61F1" w:rsidP="0004216D">
            <w:pPr>
              <w:ind w:left="34" w:right="0"/>
            </w:pPr>
          </w:p>
        </w:tc>
        <w:tc>
          <w:tcPr>
            <w:tcW w:w="3685" w:type="dxa"/>
            <w:gridSpan w:val="2"/>
          </w:tcPr>
          <w:p w:rsidR="002A61F1" w:rsidRPr="00E8425B" w:rsidRDefault="002A61F1" w:rsidP="0004216D">
            <w:pPr>
              <w:ind w:left="0" w:right="0"/>
            </w:pPr>
            <w:r w:rsidRPr="00E8425B">
              <w:t>rabbit SBA (</w:t>
            </w:r>
            <w:proofErr w:type="spellStart"/>
            <w:r w:rsidRPr="00E8425B">
              <w:t>rSBA</w:t>
            </w:r>
            <w:proofErr w:type="spellEnd"/>
            <w:r w:rsidRPr="00E8425B">
              <w:t>)</w:t>
            </w:r>
          </w:p>
        </w:tc>
        <w:tc>
          <w:tcPr>
            <w:tcW w:w="3510" w:type="dxa"/>
            <w:gridSpan w:val="2"/>
          </w:tcPr>
          <w:p w:rsidR="002A61F1" w:rsidRPr="00E8425B" w:rsidRDefault="002A61F1" w:rsidP="0004216D">
            <w:pPr>
              <w:tabs>
                <w:tab w:val="left" w:pos="1618"/>
              </w:tabs>
              <w:ind w:left="0" w:right="0"/>
            </w:pPr>
            <w:r w:rsidRPr="00E8425B">
              <w:t>human SBA (</w:t>
            </w:r>
            <w:proofErr w:type="spellStart"/>
            <w:r w:rsidRPr="00E8425B">
              <w:t>hSBA</w:t>
            </w:r>
            <w:proofErr w:type="spellEnd"/>
            <w:r w:rsidRPr="00E8425B">
              <w:t>)</w:t>
            </w:r>
          </w:p>
        </w:tc>
      </w:tr>
      <w:tr w:rsidR="002A61F1" w:rsidRPr="00E8425B" w:rsidTr="00A55387">
        <w:tc>
          <w:tcPr>
            <w:tcW w:w="1310" w:type="dxa"/>
          </w:tcPr>
          <w:p w:rsidR="002A61F1" w:rsidRPr="00E8425B" w:rsidRDefault="002A61F1" w:rsidP="0004216D">
            <w:pPr>
              <w:ind w:left="34" w:right="0"/>
            </w:pPr>
            <w:r w:rsidRPr="00E8425B">
              <w:t>age group</w:t>
            </w:r>
          </w:p>
        </w:tc>
        <w:tc>
          <w:tcPr>
            <w:tcW w:w="1842" w:type="dxa"/>
          </w:tcPr>
          <w:p w:rsidR="002A61F1" w:rsidRPr="00E8425B" w:rsidRDefault="002A61F1" w:rsidP="0004216D">
            <w:pPr>
              <w:ind w:left="0" w:right="0"/>
            </w:pPr>
            <w:proofErr w:type="spellStart"/>
            <w:r w:rsidRPr="00E8425B">
              <w:t>Seronegative</w:t>
            </w:r>
            <w:proofErr w:type="spellEnd"/>
          </w:p>
          <w:p w:rsidR="002A61F1" w:rsidRPr="00E8425B" w:rsidRDefault="002A61F1" w:rsidP="0004216D">
            <w:pPr>
              <w:ind w:left="0" w:right="0"/>
            </w:pPr>
            <w:r w:rsidRPr="00E8425B">
              <w:t>(</w:t>
            </w:r>
            <w:proofErr w:type="spellStart"/>
            <w:r w:rsidRPr="00E8425B">
              <w:t>rSBA</w:t>
            </w:r>
            <w:proofErr w:type="spellEnd"/>
            <w:r w:rsidRPr="00E8425B">
              <w:t xml:space="preserve"> &lt; 8 </w:t>
            </w:r>
          </w:p>
          <w:p w:rsidR="002A61F1" w:rsidRPr="00E8425B" w:rsidRDefault="002A61F1" w:rsidP="0004216D">
            <w:pPr>
              <w:ind w:left="0" w:right="0"/>
            </w:pPr>
            <w:r w:rsidRPr="00E8425B">
              <w:t xml:space="preserve">pre–vaccination) </w:t>
            </w:r>
          </w:p>
        </w:tc>
        <w:tc>
          <w:tcPr>
            <w:tcW w:w="1843" w:type="dxa"/>
          </w:tcPr>
          <w:p w:rsidR="002A61F1" w:rsidRPr="00E8425B" w:rsidRDefault="002A61F1" w:rsidP="0004216D">
            <w:pPr>
              <w:ind w:left="0" w:right="0"/>
            </w:pPr>
            <w:proofErr w:type="spellStart"/>
            <w:r w:rsidRPr="00E8425B">
              <w:t>Seropositive</w:t>
            </w:r>
            <w:proofErr w:type="spellEnd"/>
          </w:p>
          <w:p w:rsidR="002A61F1" w:rsidRPr="00E8425B" w:rsidRDefault="002A61F1" w:rsidP="0004216D">
            <w:pPr>
              <w:ind w:left="0" w:right="0"/>
            </w:pPr>
            <w:r w:rsidRPr="00E8425B">
              <w:t>(</w:t>
            </w:r>
            <w:proofErr w:type="spellStart"/>
            <w:r w:rsidRPr="00E8425B">
              <w:t>rSBA</w:t>
            </w:r>
            <w:proofErr w:type="spellEnd"/>
            <w:r w:rsidRPr="00E8425B">
              <w:t xml:space="preserve"> ≥ 8 </w:t>
            </w:r>
          </w:p>
          <w:p w:rsidR="002A61F1" w:rsidRPr="00E8425B" w:rsidRDefault="002A61F1" w:rsidP="0004216D">
            <w:pPr>
              <w:ind w:left="0" w:right="0"/>
            </w:pPr>
            <w:r w:rsidRPr="00E8425B">
              <w:t xml:space="preserve">pre– vaccination) </w:t>
            </w:r>
          </w:p>
        </w:tc>
        <w:tc>
          <w:tcPr>
            <w:tcW w:w="1985" w:type="dxa"/>
          </w:tcPr>
          <w:p w:rsidR="002A61F1" w:rsidRPr="00E8425B" w:rsidRDefault="002A61F1" w:rsidP="0004216D">
            <w:pPr>
              <w:tabs>
                <w:tab w:val="left" w:pos="1618"/>
              </w:tabs>
              <w:ind w:left="0" w:right="0"/>
            </w:pPr>
            <w:proofErr w:type="spellStart"/>
            <w:r w:rsidRPr="00E8425B">
              <w:t>Seronegative</w:t>
            </w:r>
            <w:proofErr w:type="spellEnd"/>
          </w:p>
          <w:p w:rsidR="002A61F1" w:rsidRPr="00E8425B" w:rsidRDefault="002A61F1" w:rsidP="0004216D">
            <w:pPr>
              <w:tabs>
                <w:tab w:val="left" w:pos="1618"/>
              </w:tabs>
              <w:ind w:left="0" w:right="0"/>
            </w:pPr>
            <w:r w:rsidRPr="00E8425B">
              <w:t>(</w:t>
            </w:r>
            <w:proofErr w:type="spellStart"/>
            <w:r w:rsidRPr="00E8425B">
              <w:t>hSBA</w:t>
            </w:r>
            <w:proofErr w:type="spellEnd"/>
            <w:r w:rsidRPr="00E8425B">
              <w:t xml:space="preserve"> titre &lt; 4</w:t>
            </w:r>
          </w:p>
          <w:p w:rsidR="002A61F1" w:rsidRPr="00E8425B" w:rsidRDefault="002A61F1" w:rsidP="0004216D">
            <w:pPr>
              <w:tabs>
                <w:tab w:val="left" w:pos="1618"/>
              </w:tabs>
              <w:ind w:left="0" w:right="0"/>
            </w:pPr>
            <w:r w:rsidRPr="00E8425B">
              <w:t xml:space="preserve">pre-vaccination) </w:t>
            </w:r>
          </w:p>
        </w:tc>
        <w:tc>
          <w:tcPr>
            <w:tcW w:w="1525" w:type="dxa"/>
          </w:tcPr>
          <w:p w:rsidR="002A61F1" w:rsidRPr="00E8425B" w:rsidRDefault="002A61F1" w:rsidP="0004216D">
            <w:pPr>
              <w:tabs>
                <w:tab w:val="left" w:pos="1618"/>
              </w:tabs>
              <w:ind w:left="0" w:right="0"/>
            </w:pPr>
            <w:proofErr w:type="spellStart"/>
            <w:r w:rsidRPr="00E8425B">
              <w:t>Seropositive</w:t>
            </w:r>
            <w:proofErr w:type="spellEnd"/>
          </w:p>
          <w:p w:rsidR="002A61F1" w:rsidRPr="00E8425B" w:rsidRDefault="002A61F1" w:rsidP="0004216D">
            <w:pPr>
              <w:tabs>
                <w:tab w:val="left" w:pos="1618"/>
              </w:tabs>
              <w:ind w:left="0" w:right="0"/>
            </w:pPr>
            <w:r w:rsidRPr="00E8425B">
              <w:t>(</w:t>
            </w:r>
            <w:proofErr w:type="spellStart"/>
            <w:r w:rsidRPr="00E8425B">
              <w:t>hSBA</w:t>
            </w:r>
            <w:proofErr w:type="spellEnd"/>
            <w:r w:rsidRPr="00E8425B">
              <w:t xml:space="preserve"> titre ≥ 4)</w:t>
            </w:r>
          </w:p>
          <w:p w:rsidR="002A61F1" w:rsidRPr="00E8425B" w:rsidRDefault="002A61F1" w:rsidP="0004216D">
            <w:pPr>
              <w:tabs>
                <w:tab w:val="left" w:pos="1618"/>
              </w:tabs>
              <w:ind w:left="0" w:right="0"/>
            </w:pPr>
            <w:r w:rsidRPr="00E8425B">
              <w:t>pre-vaccination)</w:t>
            </w:r>
          </w:p>
        </w:tc>
      </w:tr>
      <w:tr w:rsidR="002A61F1" w:rsidRPr="00E8425B" w:rsidTr="00A55387">
        <w:tc>
          <w:tcPr>
            <w:tcW w:w="1310" w:type="dxa"/>
          </w:tcPr>
          <w:p w:rsidR="002A61F1" w:rsidRPr="00E8425B" w:rsidRDefault="002A61F1" w:rsidP="0004216D">
            <w:pPr>
              <w:ind w:left="34" w:right="0"/>
            </w:pPr>
            <w:r w:rsidRPr="00E8425B">
              <w:t xml:space="preserve">≥ 2 </w:t>
            </w:r>
            <w:r w:rsidR="00B13592">
              <w:t>years</w:t>
            </w:r>
            <w:r w:rsidRPr="00E8425B">
              <w:t xml:space="preserve"> of age</w:t>
            </w:r>
          </w:p>
        </w:tc>
        <w:tc>
          <w:tcPr>
            <w:tcW w:w="1842" w:type="dxa"/>
          </w:tcPr>
          <w:p w:rsidR="002A61F1" w:rsidRPr="00E8425B" w:rsidRDefault="002A61F1" w:rsidP="0004216D">
            <w:pPr>
              <w:ind w:left="0" w:right="0"/>
            </w:pPr>
            <w:r w:rsidRPr="00E8425B">
              <w:t>Post vaccination</w:t>
            </w:r>
          </w:p>
          <w:p w:rsidR="002A61F1" w:rsidRPr="00E8425B" w:rsidRDefault="002A61F1" w:rsidP="0004216D">
            <w:pPr>
              <w:ind w:left="0" w:right="0"/>
            </w:pPr>
            <w:r w:rsidRPr="00E8425B">
              <w:t xml:space="preserve"> </w:t>
            </w:r>
            <w:proofErr w:type="spellStart"/>
            <w:r w:rsidRPr="00E8425B">
              <w:t>rSBA</w:t>
            </w:r>
            <w:proofErr w:type="spellEnd"/>
            <w:r w:rsidRPr="00E8425B">
              <w:t xml:space="preserve"> titres ≥ 32</w:t>
            </w:r>
          </w:p>
        </w:tc>
        <w:tc>
          <w:tcPr>
            <w:tcW w:w="1843" w:type="dxa"/>
          </w:tcPr>
          <w:p w:rsidR="002A61F1" w:rsidRPr="00E8425B" w:rsidRDefault="002A61F1" w:rsidP="0004216D">
            <w:pPr>
              <w:ind w:left="0" w:right="0"/>
            </w:pPr>
            <w:r w:rsidRPr="00E8425B">
              <w:t xml:space="preserve">4-fold increase in </w:t>
            </w:r>
            <w:proofErr w:type="spellStart"/>
            <w:r w:rsidRPr="00E8425B">
              <w:t>rSBA</w:t>
            </w:r>
            <w:proofErr w:type="spellEnd"/>
            <w:r w:rsidRPr="00E8425B">
              <w:t xml:space="preserve"> from pre- to post-vaccination)</w:t>
            </w:r>
          </w:p>
        </w:tc>
        <w:tc>
          <w:tcPr>
            <w:tcW w:w="1985" w:type="dxa"/>
          </w:tcPr>
          <w:p w:rsidR="002A61F1" w:rsidRPr="00E8425B" w:rsidRDefault="002A61F1" w:rsidP="0004216D">
            <w:pPr>
              <w:tabs>
                <w:tab w:val="left" w:pos="1618"/>
              </w:tabs>
              <w:ind w:left="0" w:right="0"/>
            </w:pPr>
            <w:r w:rsidRPr="00E8425B">
              <w:t>Post vaccination</w:t>
            </w:r>
          </w:p>
          <w:p w:rsidR="002A61F1" w:rsidRPr="00E8425B" w:rsidRDefault="002A61F1" w:rsidP="0004216D">
            <w:pPr>
              <w:tabs>
                <w:tab w:val="left" w:pos="1618"/>
              </w:tabs>
              <w:ind w:left="0" w:right="0"/>
            </w:pPr>
            <w:proofErr w:type="spellStart"/>
            <w:r w:rsidRPr="00E8425B">
              <w:t>hSBA</w:t>
            </w:r>
            <w:proofErr w:type="spellEnd"/>
            <w:r w:rsidRPr="00E8425B">
              <w:t xml:space="preserve"> titres ≥ 8 </w:t>
            </w:r>
          </w:p>
        </w:tc>
        <w:tc>
          <w:tcPr>
            <w:tcW w:w="1525" w:type="dxa"/>
          </w:tcPr>
          <w:p w:rsidR="002A61F1" w:rsidRPr="00E8425B" w:rsidRDefault="002A61F1" w:rsidP="0004216D">
            <w:pPr>
              <w:tabs>
                <w:tab w:val="left" w:pos="1618"/>
              </w:tabs>
              <w:ind w:left="0" w:right="0"/>
            </w:pPr>
            <w:r w:rsidRPr="00E8425B">
              <w:t xml:space="preserve">4-fold increase in </w:t>
            </w:r>
            <w:proofErr w:type="spellStart"/>
            <w:r w:rsidRPr="00E8425B">
              <w:t>hSBA</w:t>
            </w:r>
            <w:proofErr w:type="spellEnd"/>
            <w:r w:rsidRPr="00E8425B">
              <w:t xml:space="preserve"> from pre- to post-vaccination)</w:t>
            </w:r>
          </w:p>
        </w:tc>
      </w:tr>
      <w:tr w:rsidR="002A61F1" w:rsidRPr="00E8425B" w:rsidTr="00A55387">
        <w:tc>
          <w:tcPr>
            <w:tcW w:w="1310" w:type="dxa"/>
          </w:tcPr>
          <w:p w:rsidR="002A61F1" w:rsidRPr="00E8425B" w:rsidRDefault="002A61F1" w:rsidP="0004216D">
            <w:pPr>
              <w:ind w:left="34" w:right="0"/>
            </w:pPr>
            <w:r w:rsidRPr="00E8425B">
              <w:lastRenderedPageBreak/>
              <w:t xml:space="preserve">&lt; 2 </w:t>
            </w:r>
            <w:r w:rsidR="00B13592">
              <w:t>years</w:t>
            </w:r>
            <w:r w:rsidRPr="00E8425B">
              <w:t xml:space="preserve"> of age</w:t>
            </w:r>
          </w:p>
        </w:tc>
        <w:tc>
          <w:tcPr>
            <w:tcW w:w="1842" w:type="dxa"/>
          </w:tcPr>
          <w:p w:rsidR="002A61F1" w:rsidRPr="00E8425B" w:rsidRDefault="002A61F1" w:rsidP="0004216D">
            <w:pPr>
              <w:ind w:left="0" w:right="0"/>
            </w:pPr>
            <w:proofErr w:type="spellStart"/>
            <w:r w:rsidRPr="00E8425B">
              <w:t>rSBA</w:t>
            </w:r>
            <w:proofErr w:type="spellEnd"/>
            <w:r w:rsidRPr="00E8425B">
              <w:t xml:space="preserve"> titre ≥ 8</w:t>
            </w:r>
          </w:p>
        </w:tc>
        <w:tc>
          <w:tcPr>
            <w:tcW w:w="1843" w:type="dxa"/>
          </w:tcPr>
          <w:p w:rsidR="002A61F1" w:rsidRPr="00E8425B" w:rsidRDefault="002A61F1" w:rsidP="0004216D">
            <w:pPr>
              <w:ind w:left="0" w:right="0"/>
            </w:pPr>
            <w:r w:rsidRPr="00E8425B">
              <w:t>N/A</w:t>
            </w:r>
          </w:p>
        </w:tc>
        <w:tc>
          <w:tcPr>
            <w:tcW w:w="1985" w:type="dxa"/>
          </w:tcPr>
          <w:p w:rsidR="002A61F1" w:rsidRPr="00E8425B" w:rsidRDefault="002A61F1" w:rsidP="0004216D">
            <w:pPr>
              <w:tabs>
                <w:tab w:val="left" w:pos="1618"/>
              </w:tabs>
              <w:ind w:left="0" w:right="0"/>
            </w:pPr>
            <w:r w:rsidRPr="00E8425B">
              <w:t>N/A</w:t>
            </w:r>
          </w:p>
        </w:tc>
        <w:tc>
          <w:tcPr>
            <w:tcW w:w="1525" w:type="dxa"/>
          </w:tcPr>
          <w:p w:rsidR="002A61F1" w:rsidRPr="00E8425B" w:rsidRDefault="002A61F1" w:rsidP="0004216D">
            <w:pPr>
              <w:tabs>
                <w:tab w:val="left" w:pos="1618"/>
              </w:tabs>
              <w:ind w:left="0" w:right="0"/>
            </w:pPr>
            <w:r w:rsidRPr="00E8425B">
              <w:t>N/A</w:t>
            </w:r>
          </w:p>
        </w:tc>
      </w:tr>
    </w:tbl>
    <w:p w:rsidR="002A61F1" w:rsidRPr="00E8425B" w:rsidRDefault="002A61F1" w:rsidP="006122D4">
      <w:r w:rsidRPr="00E8425B">
        <w:t xml:space="preserve">The GSK </w:t>
      </w:r>
      <w:proofErr w:type="spellStart"/>
      <w:r w:rsidRPr="00E8425B">
        <w:t>rSBA</w:t>
      </w:r>
      <w:proofErr w:type="spellEnd"/>
      <w:r w:rsidRPr="00E8425B">
        <w:t xml:space="preserve"> assays for the 4 </w:t>
      </w:r>
      <w:proofErr w:type="spellStart"/>
      <w:r w:rsidRPr="00E8425B">
        <w:t>serogroups</w:t>
      </w:r>
      <w:proofErr w:type="spellEnd"/>
      <w:r w:rsidRPr="00E8425B">
        <w:t xml:space="preserve"> were validated according to the ICH guidelines. The GSK </w:t>
      </w:r>
      <w:proofErr w:type="spellStart"/>
      <w:r w:rsidRPr="00E8425B">
        <w:t>rSBA-MenC</w:t>
      </w:r>
      <w:proofErr w:type="spellEnd"/>
      <w:r w:rsidRPr="00E8425B">
        <w:t xml:space="preserve"> assay was successfully bridged with </w:t>
      </w:r>
      <w:r w:rsidR="00153AFE">
        <w:t xml:space="preserve">the </w:t>
      </w:r>
      <w:proofErr w:type="spellStart"/>
      <w:r w:rsidRPr="00E8425B">
        <w:t>rSBA</w:t>
      </w:r>
      <w:proofErr w:type="spellEnd"/>
      <w:r w:rsidRPr="00E8425B">
        <w:t xml:space="preserve"> assays and a titre of 8 </w:t>
      </w:r>
      <w:r w:rsidR="00153AFE">
        <w:t xml:space="preserve">was </w:t>
      </w:r>
      <w:r w:rsidRPr="00E8425B">
        <w:t xml:space="preserve">shown to correlate with </w:t>
      </w:r>
      <w:r w:rsidR="00153AFE">
        <w:t xml:space="preserve">meningococcal </w:t>
      </w:r>
      <w:r w:rsidRPr="00E8425B">
        <w:t>C</w:t>
      </w:r>
      <w:r w:rsidR="00153AFE">
        <w:t xml:space="preserve"> conjugate </w:t>
      </w:r>
      <w:r w:rsidRPr="00E8425B">
        <w:t xml:space="preserve">vaccine effectiveness. Consequently, the </w:t>
      </w:r>
      <w:proofErr w:type="spellStart"/>
      <w:r w:rsidRPr="00E8425B">
        <w:t>rSBA</w:t>
      </w:r>
      <w:proofErr w:type="spellEnd"/>
      <w:r w:rsidRPr="00E8425B">
        <w:t xml:space="preserve"> has been used as a primary immunological assay in the </w:t>
      </w:r>
      <w:proofErr w:type="spellStart"/>
      <w:r w:rsidRPr="00E8425B">
        <w:t>Nimenrix</w:t>
      </w:r>
      <w:proofErr w:type="spellEnd"/>
      <w:r w:rsidRPr="00E8425B">
        <w:t xml:space="preserve"> clinical development plan. The lack of </w:t>
      </w:r>
      <w:r w:rsidR="00E8425B" w:rsidRPr="00E8425B">
        <w:t>consensus</w:t>
      </w:r>
      <w:r w:rsidRPr="00E8425B">
        <w:t xml:space="preserve"> regarding the choice of human or baby rabbit complement for SBA assays has led to testing by GSK using </w:t>
      </w:r>
      <w:proofErr w:type="spellStart"/>
      <w:r w:rsidRPr="00E8425B">
        <w:t>hSBA</w:t>
      </w:r>
      <w:proofErr w:type="spellEnd"/>
      <w:r w:rsidRPr="00E8425B">
        <w:t xml:space="preserve"> assays to further characterise the immune responses to </w:t>
      </w:r>
      <w:proofErr w:type="spellStart"/>
      <w:r w:rsidRPr="00E8425B">
        <w:t>Nimenrix</w:t>
      </w:r>
      <w:proofErr w:type="spellEnd"/>
      <w:r w:rsidRPr="00E8425B">
        <w:t xml:space="preserve">. </w:t>
      </w:r>
    </w:p>
    <w:p w:rsidR="00153AFE" w:rsidRDefault="002A61F1" w:rsidP="006122D4">
      <w:r w:rsidRPr="002A61F1">
        <w:t xml:space="preserve">All studies were randomised, except persistence studies and the booster study (Study-021). Lot-to-lot consistency </w:t>
      </w:r>
      <w:r w:rsidR="00153AFE">
        <w:t xml:space="preserve">(in </w:t>
      </w:r>
      <w:r w:rsidR="00153AFE" w:rsidRPr="002A61F1">
        <w:t>Study-035</w:t>
      </w:r>
      <w:r w:rsidRPr="002A61F1">
        <w:t xml:space="preserve">) </w:t>
      </w:r>
      <w:r w:rsidR="00153AFE">
        <w:t xml:space="preserve">was </w:t>
      </w:r>
      <w:r w:rsidRPr="002A61F1">
        <w:t>evaluated in a double-blind manner as were the different formulations of the vaccine tested in Stud</w:t>
      </w:r>
      <w:r w:rsidR="00153AFE">
        <w:t xml:space="preserve">ies </w:t>
      </w:r>
      <w:r w:rsidRPr="002A61F1">
        <w:t xml:space="preserve">-012 and -013. Due to the route of administration </w:t>
      </w:r>
      <w:r w:rsidRPr="00153AFE">
        <w:t xml:space="preserve">(IM for </w:t>
      </w:r>
      <w:proofErr w:type="spellStart"/>
      <w:r w:rsidRPr="00153AFE">
        <w:t>Nimenrix</w:t>
      </w:r>
      <w:proofErr w:type="spellEnd"/>
      <w:r w:rsidRPr="00153AFE">
        <w:t xml:space="preserve"> and SC for </w:t>
      </w:r>
      <w:proofErr w:type="spellStart"/>
      <w:r w:rsidRPr="00153AFE">
        <w:t>Mencevax</w:t>
      </w:r>
      <w:proofErr w:type="spellEnd"/>
      <w:r w:rsidR="008E6D1D">
        <w:t xml:space="preserve"> ACWY</w:t>
      </w:r>
      <w:r w:rsidRPr="00153AFE">
        <w:t xml:space="preserve">), subjects were not blinded in other studies, and also blinding was not possible due to additional vaccine(s) in </w:t>
      </w:r>
      <w:r w:rsidR="0015457E">
        <w:t xml:space="preserve">the </w:t>
      </w:r>
      <w:proofErr w:type="spellStart"/>
      <w:r w:rsidRPr="00153AFE">
        <w:t>Nimenrix</w:t>
      </w:r>
      <w:proofErr w:type="spellEnd"/>
      <w:r w:rsidRPr="00153AFE">
        <w:t xml:space="preserve"> arm.</w:t>
      </w:r>
      <w:r w:rsidRPr="002A61F1">
        <w:t xml:space="preserve"> Because of formulation difference (</w:t>
      </w:r>
      <w:r w:rsidR="00153AFE">
        <w:t xml:space="preserve">for example, </w:t>
      </w:r>
      <w:proofErr w:type="spellStart"/>
      <w:r w:rsidRPr="002A61F1">
        <w:rPr>
          <w:iCs/>
        </w:rPr>
        <w:t>Menactra</w:t>
      </w:r>
      <w:proofErr w:type="spellEnd"/>
      <w:r w:rsidRPr="002A61F1">
        <w:rPr>
          <w:iCs/>
        </w:rPr>
        <w:t xml:space="preserve"> is a</w:t>
      </w:r>
      <w:r w:rsidRPr="002A61F1">
        <w:t xml:space="preserve"> liquid vaccine and </w:t>
      </w:r>
      <w:proofErr w:type="spellStart"/>
      <w:r w:rsidRPr="002A61F1">
        <w:t>Nimenrix</w:t>
      </w:r>
      <w:proofErr w:type="spellEnd"/>
      <w:r w:rsidRPr="002A61F1">
        <w:t xml:space="preserve"> a lyophilised vaccine), Study-052 was single blind and Study-071</w:t>
      </w:r>
      <w:r w:rsidR="00153AFE">
        <w:t xml:space="preserve"> </w:t>
      </w:r>
      <w:r w:rsidRPr="002A61F1">
        <w:t>was observer blind. All other studies were “open” because</w:t>
      </w:r>
      <w:r w:rsidRPr="002A61F1">
        <w:rPr>
          <w:i/>
          <w:iCs/>
        </w:rPr>
        <w:t xml:space="preserve"> </w:t>
      </w:r>
      <w:r w:rsidRPr="002A61F1">
        <w:rPr>
          <w:iCs/>
        </w:rPr>
        <w:t xml:space="preserve">of </w:t>
      </w:r>
      <w:r w:rsidRPr="002A61F1">
        <w:t>different administration routes</w:t>
      </w:r>
      <w:r w:rsidR="00153AFE">
        <w:t>,</w:t>
      </w:r>
      <w:r w:rsidRPr="002A61F1">
        <w:t xml:space="preserve"> schedules</w:t>
      </w:r>
      <w:r w:rsidR="00153AFE">
        <w:t xml:space="preserve"> or </w:t>
      </w:r>
      <w:r w:rsidRPr="002A61F1">
        <w:t xml:space="preserve">vaccine presentation, </w:t>
      </w:r>
      <w:r w:rsidR="00153AFE">
        <w:t xml:space="preserve">or because the </w:t>
      </w:r>
      <w:r w:rsidRPr="002A61F1">
        <w:t xml:space="preserve">same vaccine </w:t>
      </w:r>
      <w:r w:rsidR="00153AFE">
        <w:t xml:space="preserve">was </w:t>
      </w:r>
      <w:r w:rsidRPr="002A61F1">
        <w:t xml:space="preserve">given to all. </w:t>
      </w:r>
    </w:p>
    <w:p w:rsidR="002A61F1" w:rsidRPr="002A61F1" w:rsidRDefault="002A61F1" w:rsidP="006122D4">
      <w:r w:rsidRPr="002A61F1">
        <w:t xml:space="preserve">For all studies, the primary immunogenicity analyses were conducted in the according-to-protocol </w:t>
      </w:r>
      <w:r w:rsidR="00153AFE">
        <w:t xml:space="preserve">(ATP) </w:t>
      </w:r>
      <w:r w:rsidRPr="002A61F1">
        <w:t xml:space="preserve">cohort. The </w:t>
      </w:r>
      <w:proofErr w:type="spellStart"/>
      <w:r w:rsidRPr="002A61F1">
        <w:t>rSBA</w:t>
      </w:r>
      <w:proofErr w:type="spellEnd"/>
      <w:r w:rsidRPr="002A61F1">
        <w:t xml:space="preserve"> titres for the 4 </w:t>
      </w:r>
      <w:proofErr w:type="spellStart"/>
      <w:r w:rsidRPr="002A61F1">
        <w:t>serogroups</w:t>
      </w:r>
      <w:proofErr w:type="spellEnd"/>
      <w:r w:rsidRPr="002A61F1">
        <w:t xml:space="preserve"> were assessed in all studies. In some studies, testing was limited to a random subset of subjects according to pre-specified serology plan. The size of the subset was defined in order to provide an adequate and representative sample of the immune status of the studied population. </w:t>
      </w:r>
    </w:p>
    <w:p w:rsidR="002A61F1" w:rsidRPr="002A61F1" w:rsidRDefault="002A61F1" w:rsidP="006122D4">
      <w:pPr>
        <w:pStyle w:val="Heading5"/>
      </w:pPr>
      <w:r w:rsidRPr="002A61F1">
        <w:t>Dose selection studies</w:t>
      </w:r>
    </w:p>
    <w:p w:rsidR="002A61F1" w:rsidRPr="00E8425B" w:rsidRDefault="002A61F1" w:rsidP="006122D4">
      <w:r w:rsidRPr="00E8425B">
        <w:t xml:space="preserve">Study 012 and Study 013 are dose ranging studies in which the immunogenicity and safety of different formulations </w:t>
      </w:r>
      <w:r w:rsidR="00153AFE">
        <w:t xml:space="preserve">and </w:t>
      </w:r>
      <w:r w:rsidRPr="00E8425B">
        <w:t>dosages of the candidate vaccine (</w:t>
      </w:r>
      <w:proofErr w:type="spellStart"/>
      <w:r w:rsidRPr="00E8425B">
        <w:t>MenACWY</w:t>
      </w:r>
      <w:proofErr w:type="spellEnd"/>
      <w:r w:rsidRPr="00E8425B">
        <w:t>-TT) was assessed in toddlers, children and adolescents. Based on the results, the candidate vaccine for further development was a formulation containing 5</w:t>
      </w:r>
      <w:r w:rsidR="00153AFE">
        <w:t xml:space="preserve"> </w:t>
      </w:r>
      <w:proofErr w:type="spellStart"/>
      <w:r w:rsidR="00153AFE">
        <w:t>μ</w:t>
      </w:r>
      <w:r w:rsidRPr="00E8425B">
        <w:t>g</w:t>
      </w:r>
      <w:proofErr w:type="spellEnd"/>
      <w:r w:rsidRPr="00E8425B">
        <w:t xml:space="preserve"> of each PS and using </w:t>
      </w:r>
      <w:r w:rsidR="00153AFE">
        <w:t xml:space="preserve">an AH spacer molecule between the </w:t>
      </w:r>
      <w:r w:rsidR="00C132F2">
        <w:t xml:space="preserve">PS </w:t>
      </w:r>
      <w:r w:rsidR="00153AFE">
        <w:t>and the carrier</w:t>
      </w:r>
      <w:r w:rsidR="00153AFE" w:rsidRPr="00E8425B">
        <w:t xml:space="preserve"> </w:t>
      </w:r>
      <w:r w:rsidRPr="00E8425B">
        <w:t xml:space="preserve">for </w:t>
      </w:r>
      <w:proofErr w:type="spellStart"/>
      <w:r w:rsidRPr="00E8425B">
        <w:t>MenA</w:t>
      </w:r>
      <w:proofErr w:type="spellEnd"/>
      <w:r w:rsidRPr="00E8425B">
        <w:t xml:space="preserve"> and </w:t>
      </w:r>
      <w:proofErr w:type="spellStart"/>
      <w:r w:rsidRPr="00E8425B">
        <w:t>MenC</w:t>
      </w:r>
      <w:proofErr w:type="spellEnd"/>
      <w:r w:rsidRPr="00E8425B">
        <w:t xml:space="preserve"> conjugates.</w:t>
      </w:r>
    </w:p>
    <w:p w:rsidR="002A61F1" w:rsidRPr="00153AFE" w:rsidRDefault="002A61F1" w:rsidP="006122D4">
      <w:pPr>
        <w:pStyle w:val="Heading5"/>
      </w:pPr>
      <w:proofErr w:type="spellStart"/>
      <w:r w:rsidRPr="00153AFE">
        <w:t>Imunogenicity</w:t>
      </w:r>
      <w:proofErr w:type="spellEnd"/>
      <w:r w:rsidRPr="00153AFE">
        <w:t xml:space="preserve"> comparisons to the registered vaccines</w:t>
      </w:r>
    </w:p>
    <w:p w:rsidR="002A61F1" w:rsidRPr="00153AFE" w:rsidRDefault="002A61F1" w:rsidP="006122D4">
      <w:r w:rsidRPr="00153AFE">
        <w:t xml:space="preserve">The immunogenicity of </w:t>
      </w:r>
      <w:proofErr w:type="spellStart"/>
      <w:r w:rsidRPr="00153AFE">
        <w:t>Nimenrix</w:t>
      </w:r>
      <w:proofErr w:type="spellEnd"/>
      <w:r w:rsidRPr="00153AFE">
        <w:t xml:space="preserve"> was compared to a number of </w:t>
      </w:r>
      <w:r w:rsidR="00153AFE">
        <w:t>licensed meningococcal vaccines</w:t>
      </w:r>
      <w:r w:rsidRPr="00153AFE">
        <w:t xml:space="preserve"> including </w:t>
      </w:r>
      <w:proofErr w:type="spellStart"/>
      <w:r w:rsidR="00153AFE">
        <w:t>Meningitec</w:t>
      </w:r>
      <w:proofErr w:type="spellEnd"/>
      <w:r w:rsidR="00153AFE">
        <w:t xml:space="preserve">, </w:t>
      </w:r>
      <w:proofErr w:type="spellStart"/>
      <w:r w:rsidR="00153AFE">
        <w:t>Menjugate</w:t>
      </w:r>
      <w:proofErr w:type="spellEnd"/>
      <w:r w:rsidRPr="00153AFE">
        <w:t xml:space="preserve"> and </w:t>
      </w:r>
      <w:proofErr w:type="spellStart"/>
      <w:r w:rsidRPr="00153AFE">
        <w:t>Mencevax</w:t>
      </w:r>
      <w:proofErr w:type="spellEnd"/>
      <w:r w:rsidR="008E6D1D">
        <w:t xml:space="preserve"> ACWY</w:t>
      </w:r>
      <w:r w:rsidRPr="00153AFE">
        <w:t>. These studies were conducted in different age groups.</w:t>
      </w:r>
    </w:p>
    <w:p w:rsidR="002A61F1" w:rsidRPr="00153AFE" w:rsidRDefault="002A61F1" w:rsidP="006122D4">
      <w:pPr>
        <w:pStyle w:val="Heading6"/>
      </w:pPr>
      <w:r w:rsidRPr="00153AFE">
        <w:t xml:space="preserve">Comparison to </w:t>
      </w:r>
      <w:proofErr w:type="spellStart"/>
      <w:r w:rsidRPr="00153AFE">
        <w:t>monovalent</w:t>
      </w:r>
      <w:proofErr w:type="spellEnd"/>
      <w:r w:rsidRPr="00153AFE">
        <w:t xml:space="preserve"> meningococcal </w:t>
      </w:r>
      <w:r w:rsidR="007803F1">
        <w:t xml:space="preserve">C </w:t>
      </w:r>
      <w:r w:rsidRPr="00153AFE">
        <w:t>conjugate vaccines</w:t>
      </w:r>
    </w:p>
    <w:p w:rsidR="002A61F1" w:rsidRPr="00153AFE" w:rsidRDefault="00401352" w:rsidP="006122D4">
      <w:pPr>
        <w:pStyle w:val="ListBullet"/>
      </w:pPr>
      <w:r>
        <w:t>I</w:t>
      </w:r>
      <w:r w:rsidR="002A61F1" w:rsidRPr="00153AFE">
        <w:t xml:space="preserve">n toddlers (12-23 months of age) </w:t>
      </w:r>
    </w:p>
    <w:p w:rsidR="002A61F1" w:rsidRPr="00153AFE" w:rsidRDefault="002A61F1" w:rsidP="006122D4">
      <w:r w:rsidRPr="00153AFE">
        <w:t xml:space="preserve">Study-039 evaluated the immune response to vaccination with either </w:t>
      </w:r>
      <w:proofErr w:type="spellStart"/>
      <w:r w:rsidRPr="00153AFE">
        <w:t>Nimenrix</w:t>
      </w:r>
      <w:proofErr w:type="spellEnd"/>
      <w:r w:rsidRPr="00153AFE">
        <w:t xml:space="preserve"> or </w:t>
      </w:r>
      <w:proofErr w:type="spellStart"/>
      <w:r w:rsidRPr="00153AFE">
        <w:t>Meningitec</w:t>
      </w:r>
      <w:proofErr w:type="spellEnd"/>
      <w:r w:rsidRPr="00153AFE">
        <w:t xml:space="preserve"> (a licensed </w:t>
      </w:r>
      <w:r w:rsidR="007803F1">
        <w:t xml:space="preserve">meningococcal C </w:t>
      </w:r>
      <w:r w:rsidRPr="00153AFE">
        <w:t xml:space="preserve">conjugate vaccine) in toddlers. The study demonstrated the </w:t>
      </w:r>
      <w:proofErr w:type="spellStart"/>
      <w:r w:rsidRPr="00153AFE">
        <w:t>noninferiority</w:t>
      </w:r>
      <w:proofErr w:type="spellEnd"/>
      <w:r w:rsidRPr="00153AFE">
        <w:t xml:space="preserve"> of </w:t>
      </w:r>
      <w:proofErr w:type="spellStart"/>
      <w:r w:rsidRPr="00153AFE">
        <w:t>Nimenrix</w:t>
      </w:r>
      <w:proofErr w:type="spellEnd"/>
      <w:r w:rsidRPr="00153AFE">
        <w:t xml:space="preserve"> versus </w:t>
      </w:r>
      <w:proofErr w:type="spellStart"/>
      <w:r w:rsidRPr="00153AFE">
        <w:t>Meningitec</w:t>
      </w:r>
      <w:proofErr w:type="spellEnd"/>
      <w:r w:rsidRPr="00153AFE">
        <w:t xml:space="preserve"> in </w:t>
      </w:r>
      <w:r w:rsidR="0015457E">
        <w:t xml:space="preserve">that </w:t>
      </w:r>
      <w:r w:rsidRPr="00153AFE">
        <w:t xml:space="preserve">the </w:t>
      </w:r>
      <w:r w:rsidR="0015457E">
        <w:t xml:space="preserve">percentage </w:t>
      </w:r>
      <w:r w:rsidRPr="00153AFE">
        <w:t xml:space="preserve">of subjects with </w:t>
      </w:r>
      <w:proofErr w:type="spellStart"/>
      <w:r w:rsidRPr="00153AFE">
        <w:t>rSBA</w:t>
      </w:r>
      <w:proofErr w:type="spellEnd"/>
      <w:r w:rsidRPr="00153AFE">
        <w:t xml:space="preserve"> ≥ 8 for </w:t>
      </w:r>
      <w:proofErr w:type="spellStart"/>
      <w:r w:rsidRPr="00153AFE">
        <w:t>serogroup</w:t>
      </w:r>
      <w:proofErr w:type="spellEnd"/>
      <w:r w:rsidRPr="00153AFE">
        <w:t xml:space="preserve"> C, as the lower limit (LL) of the 95% </w:t>
      </w:r>
      <w:r w:rsidR="00F003FB">
        <w:t>confidence interval (</w:t>
      </w:r>
      <w:r w:rsidRPr="00153AFE">
        <w:t>CI</w:t>
      </w:r>
      <w:r w:rsidR="00F003FB">
        <w:t>)</w:t>
      </w:r>
      <w:r w:rsidRPr="00153AFE">
        <w:t xml:space="preserve"> for the between group difference</w:t>
      </w:r>
      <w:r w:rsidR="0015457E">
        <w:t>,</w:t>
      </w:r>
      <w:r w:rsidRPr="00153AFE">
        <w:t xml:space="preserve"> was above the pre-defined margin of -10%. The second co-primary objective of this study was to demonstrate immunogenicity of </w:t>
      </w:r>
      <w:proofErr w:type="spellStart"/>
      <w:r w:rsidRPr="00153AFE">
        <w:t>Nimenrix</w:t>
      </w:r>
      <w:proofErr w:type="spellEnd"/>
      <w:r w:rsidRPr="00153AFE">
        <w:t xml:space="preserve"> for </w:t>
      </w:r>
      <w:proofErr w:type="spellStart"/>
      <w:r w:rsidRPr="00153AFE">
        <w:t>serogroups</w:t>
      </w:r>
      <w:proofErr w:type="spellEnd"/>
      <w:r w:rsidRPr="00153AFE">
        <w:t xml:space="preserve"> A, W-135, and Y. As the LL of the 95% CI for the </w:t>
      </w:r>
      <w:r w:rsidR="00AD1413">
        <w:t xml:space="preserve">percentage </w:t>
      </w:r>
      <w:r w:rsidRPr="00153AFE">
        <w:t xml:space="preserve">of subjects with </w:t>
      </w:r>
      <w:proofErr w:type="spellStart"/>
      <w:r w:rsidRPr="00153AFE">
        <w:t>rSBA</w:t>
      </w:r>
      <w:proofErr w:type="spellEnd"/>
      <w:r w:rsidRPr="00153AFE">
        <w:t xml:space="preserve"> ≥ 8 (for </w:t>
      </w:r>
      <w:proofErr w:type="spellStart"/>
      <w:r w:rsidRPr="00153AFE">
        <w:t>serogroups</w:t>
      </w:r>
      <w:proofErr w:type="spellEnd"/>
      <w:r w:rsidRPr="00153AFE">
        <w:t xml:space="preserve"> A, W135 and Y) was above the pre-defined success criterion of 90%, the immunogenicity of </w:t>
      </w:r>
      <w:proofErr w:type="spellStart"/>
      <w:r w:rsidRPr="00153AFE">
        <w:t>Nime</w:t>
      </w:r>
      <w:r w:rsidR="00144056">
        <w:t>nrix</w:t>
      </w:r>
      <w:proofErr w:type="spellEnd"/>
      <w:r w:rsidR="00144056">
        <w:t xml:space="preserve"> for these 3 </w:t>
      </w:r>
      <w:proofErr w:type="spellStart"/>
      <w:r w:rsidR="00144056">
        <w:t>serogroups</w:t>
      </w:r>
      <w:proofErr w:type="spellEnd"/>
      <w:r w:rsidR="00144056">
        <w:t xml:space="preserve"> was</w:t>
      </w:r>
      <w:r w:rsidRPr="00153AFE">
        <w:t xml:space="preserve"> confirmed.</w:t>
      </w:r>
    </w:p>
    <w:p w:rsidR="002A61F1" w:rsidRPr="00153AFE" w:rsidRDefault="002A61F1" w:rsidP="006122D4">
      <w:pPr>
        <w:pStyle w:val="ListBullet"/>
      </w:pPr>
      <w:r w:rsidRPr="00153AFE">
        <w:t>In children 2-10 years old</w:t>
      </w:r>
    </w:p>
    <w:p w:rsidR="002A61F1" w:rsidRPr="00153AFE" w:rsidRDefault="002A61F1" w:rsidP="006122D4">
      <w:r w:rsidRPr="00153AFE">
        <w:lastRenderedPageBreak/>
        <w:t>Study-</w:t>
      </w:r>
      <w:r w:rsidR="00401352">
        <w:t>081 was conducted in children 2</w:t>
      </w:r>
      <w:r w:rsidRPr="00153AFE">
        <w:t xml:space="preserve">-10 </w:t>
      </w:r>
      <w:r w:rsidR="00B13592">
        <w:t>years</w:t>
      </w:r>
      <w:r w:rsidRPr="00153AFE">
        <w:t xml:space="preserve"> of age. The primary objective was to demonstrate </w:t>
      </w:r>
      <w:proofErr w:type="spellStart"/>
      <w:r w:rsidRPr="00153AFE">
        <w:t>noninferiority</w:t>
      </w:r>
      <w:proofErr w:type="spellEnd"/>
      <w:r w:rsidRPr="00153AFE">
        <w:t xml:space="preserve"> of </w:t>
      </w:r>
      <w:proofErr w:type="spellStart"/>
      <w:r w:rsidRPr="00153AFE">
        <w:t>Nimenrix</w:t>
      </w:r>
      <w:proofErr w:type="spellEnd"/>
      <w:r w:rsidRPr="00153AFE">
        <w:t xml:space="preserve"> v</w:t>
      </w:r>
      <w:r w:rsidR="00401352">
        <w:t>ersu</w:t>
      </w:r>
      <w:r w:rsidRPr="00153AFE">
        <w:t xml:space="preserve">s </w:t>
      </w:r>
      <w:proofErr w:type="spellStart"/>
      <w:r w:rsidRPr="00153AFE">
        <w:t>Menjugate</w:t>
      </w:r>
      <w:proofErr w:type="spellEnd"/>
      <w:r w:rsidRPr="00153AFE">
        <w:t xml:space="preserve"> in terms of </w:t>
      </w:r>
      <w:proofErr w:type="spellStart"/>
      <w:r w:rsidRPr="00153AFE">
        <w:t>rSBA-MenC</w:t>
      </w:r>
      <w:proofErr w:type="spellEnd"/>
      <w:r w:rsidRPr="00153AFE">
        <w:t xml:space="preserve"> vaccine response. As the LL of the 95% CI for the between group difference in the </w:t>
      </w:r>
      <w:r w:rsidR="00AD1413" w:rsidRPr="00AD1413">
        <w:t xml:space="preserve">percentage </w:t>
      </w:r>
      <w:r w:rsidRPr="00153AFE">
        <w:t xml:space="preserve">of subjects with </w:t>
      </w:r>
      <w:proofErr w:type="spellStart"/>
      <w:r w:rsidRPr="00153AFE">
        <w:t>rSBA-MenC</w:t>
      </w:r>
      <w:proofErr w:type="spellEnd"/>
      <w:r w:rsidRPr="00153AFE">
        <w:t xml:space="preserve"> response was above the pre-defined non-inferiority margin (-10%), </w:t>
      </w:r>
      <w:proofErr w:type="spellStart"/>
      <w:r w:rsidRPr="00153AFE">
        <w:t>Nimenrix</w:t>
      </w:r>
      <w:proofErr w:type="spellEnd"/>
      <w:r w:rsidRPr="00153AFE">
        <w:t xml:space="preserve"> is considered immunologically non-inferior to </w:t>
      </w:r>
      <w:proofErr w:type="spellStart"/>
      <w:r w:rsidRPr="00153AFE">
        <w:t>Menjugate</w:t>
      </w:r>
      <w:proofErr w:type="spellEnd"/>
      <w:r w:rsidRPr="00153AFE">
        <w:t xml:space="preserve"> for the </w:t>
      </w:r>
      <w:proofErr w:type="spellStart"/>
      <w:r w:rsidRPr="00153AFE">
        <w:t>MenC</w:t>
      </w:r>
      <w:proofErr w:type="spellEnd"/>
      <w:r w:rsidRPr="00153AFE">
        <w:t xml:space="preserve"> response.</w:t>
      </w:r>
    </w:p>
    <w:p w:rsidR="002A61F1" w:rsidRPr="00153AFE" w:rsidRDefault="002A61F1" w:rsidP="006122D4">
      <w:pPr>
        <w:pStyle w:val="Heading6"/>
      </w:pPr>
      <w:r w:rsidRPr="00153AFE">
        <w:t xml:space="preserve">Comparison to </w:t>
      </w:r>
      <w:proofErr w:type="spellStart"/>
      <w:r w:rsidRPr="00153AFE">
        <w:t>Mencevax</w:t>
      </w:r>
      <w:proofErr w:type="spellEnd"/>
      <w:r w:rsidRPr="00153AFE">
        <w:t xml:space="preserve"> ACWY in different age groups </w:t>
      </w:r>
    </w:p>
    <w:p w:rsidR="002A61F1" w:rsidRPr="00153AFE" w:rsidRDefault="002A61F1" w:rsidP="006122D4">
      <w:proofErr w:type="spellStart"/>
      <w:r w:rsidRPr="00153AFE">
        <w:t>Mencevax</w:t>
      </w:r>
      <w:proofErr w:type="spellEnd"/>
      <w:r w:rsidRPr="00153AFE">
        <w:t xml:space="preserve"> </w:t>
      </w:r>
      <w:r w:rsidR="008E6D1D">
        <w:t xml:space="preserve">ACWY </w:t>
      </w:r>
      <w:r w:rsidRPr="00153AFE">
        <w:t xml:space="preserve">is a </w:t>
      </w:r>
      <w:proofErr w:type="spellStart"/>
      <w:r w:rsidRPr="00153AFE">
        <w:t>quadrivalent</w:t>
      </w:r>
      <w:proofErr w:type="spellEnd"/>
      <w:r w:rsidRPr="00153AFE">
        <w:t xml:space="preserve"> plain meningococcal PS vaccine (ACWY-PS). The immunogenicity comparison between </w:t>
      </w:r>
      <w:proofErr w:type="spellStart"/>
      <w:r w:rsidRPr="00153AFE">
        <w:t>Nimenrix</w:t>
      </w:r>
      <w:proofErr w:type="spellEnd"/>
      <w:r w:rsidRPr="00153AFE">
        <w:t xml:space="preserve"> and </w:t>
      </w:r>
      <w:proofErr w:type="spellStart"/>
      <w:r w:rsidRPr="00153AFE">
        <w:t>Mencevax</w:t>
      </w:r>
      <w:proofErr w:type="spellEnd"/>
      <w:r w:rsidRPr="00153AFE">
        <w:t xml:space="preserve"> </w:t>
      </w:r>
      <w:r w:rsidR="008E6D1D">
        <w:t xml:space="preserve">ACWY </w:t>
      </w:r>
      <w:r w:rsidRPr="00153AFE">
        <w:t xml:space="preserve">for the 4 </w:t>
      </w:r>
      <w:proofErr w:type="spellStart"/>
      <w:r w:rsidRPr="00153AFE">
        <w:t>serogroups</w:t>
      </w:r>
      <w:proofErr w:type="spellEnd"/>
      <w:r w:rsidRPr="00153AFE">
        <w:t xml:space="preserve"> was assessed in different age groups in a number of studies: Study 038 in </w:t>
      </w:r>
      <w:r w:rsidR="00401352">
        <w:t xml:space="preserve">subjects </w:t>
      </w:r>
      <w:r w:rsidRPr="00153AFE">
        <w:t>2 to 10 y</w:t>
      </w:r>
      <w:r w:rsidR="00401352">
        <w:t>ear</w:t>
      </w:r>
      <w:r w:rsidRPr="00153AFE">
        <w:t xml:space="preserve">s of age, Study 036 in </w:t>
      </w:r>
      <w:r w:rsidR="00401352">
        <w:t xml:space="preserve">those </w:t>
      </w:r>
      <w:r w:rsidRPr="00153AFE">
        <w:t>11-17 y</w:t>
      </w:r>
      <w:r w:rsidR="00401352">
        <w:t>ea</w:t>
      </w:r>
      <w:r w:rsidRPr="00153AFE">
        <w:t xml:space="preserve">rs of age, Study 035 in </w:t>
      </w:r>
      <w:r w:rsidR="00401352">
        <w:t xml:space="preserve">those </w:t>
      </w:r>
      <w:r w:rsidRPr="00153AFE">
        <w:t>18-55 y</w:t>
      </w:r>
      <w:r w:rsidR="00401352">
        <w:t>ea</w:t>
      </w:r>
      <w:r w:rsidRPr="00153AFE">
        <w:t xml:space="preserve">rs of age, and Study 093 in </w:t>
      </w:r>
      <w:r w:rsidR="00401352">
        <w:t xml:space="preserve">subjects </w:t>
      </w:r>
      <w:r w:rsidRPr="00153AFE">
        <w:t>18-25 y</w:t>
      </w:r>
      <w:r w:rsidR="00401352">
        <w:t>ea</w:t>
      </w:r>
      <w:r w:rsidRPr="00153AFE">
        <w:t xml:space="preserve">rs of age. In all these studies, the LL of the 95% CIs for the difference between groups in the </w:t>
      </w:r>
      <w:r w:rsidR="00AD1413" w:rsidRPr="00AD1413">
        <w:t xml:space="preserve">percentage </w:t>
      </w:r>
      <w:r w:rsidRPr="00153AFE">
        <w:t xml:space="preserve">of subjects with </w:t>
      </w:r>
      <w:proofErr w:type="spellStart"/>
      <w:r w:rsidRPr="00153AFE">
        <w:t>rSBA</w:t>
      </w:r>
      <w:proofErr w:type="spellEnd"/>
      <w:r w:rsidRPr="00153AFE">
        <w:t xml:space="preserve"> response was above the non-inferiority limit (-10%) for all 4 </w:t>
      </w:r>
      <w:proofErr w:type="spellStart"/>
      <w:r w:rsidRPr="00153AFE">
        <w:t>serogroups</w:t>
      </w:r>
      <w:proofErr w:type="spellEnd"/>
      <w:r w:rsidRPr="00153AFE">
        <w:t xml:space="preserve">. The immunogenicity non-inferiority of </w:t>
      </w:r>
      <w:proofErr w:type="spellStart"/>
      <w:r w:rsidRPr="00153AFE">
        <w:t>Nimenrix</w:t>
      </w:r>
      <w:proofErr w:type="spellEnd"/>
      <w:r w:rsidRPr="00153AFE">
        <w:t xml:space="preserve"> </w:t>
      </w:r>
      <w:r w:rsidR="00401352">
        <w:t>versus</w:t>
      </w:r>
      <w:r w:rsidRPr="00153AFE">
        <w:t xml:space="preserve"> </w:t>
      </w:r>
      <w:proofErr w:type="spellStart"/>
      <w:r w:rsidRPr="00153AFE">
        <w:t>Mencevax</w:t>
      </w:r>
      <w:proofErr w:type="spellEnd"/>
      <w:r w:rsidRPr="00153AFE">
        <w:t xml:space="preserve"> </w:t>
      </w:r>
      <w:r w:rsidR="008E6D1D" w:rsidRPr="008E6D1D">
        <w:t xml:space="preserve">ACWY </w:t>
      </w:r>
      <w:r w:rsidRPr="00153AFE">
        <w:t xml:space="preserve">for the 4 </w:t>
      </w:r>
      <w:proofErr w:type="spellStart"/>
      <w:r w:rsidRPr="00153AFE">
        <w:t>serogroups</w:t>
      </w:r>
      <w:proofErr w:type="spellEnd"/>
      <w:r w:rsidRPr="00153AFE">
        <w:t xml:space="preserve"> was demonstrated.</w:t>
      </w:r>
    </w:p>
    <w:p w:rsidR="002A61F1" w:rsidRPr="008E6D1D" w:rsidRDefault="002A61F1" w:rsidP="006122D4">
      <w:r w:rsidRPr="002A61F1">
        <w:t xml:space="preserve">As there are no comparator vaccines containing antigens to </w:t>
      </w:r>
      <w:proofErr w:type="spellStart"/>
      <w:r w:rsidRPr="002A61F1">
        <w:t>serogroups</w:t>
      </w:r>
      <w:proofErr w:type="spellEnd"/>
      <w:r w:rsidRPr="002A61F1">
        <w:t xml:space="preserve"> A, W-135 and Y for toddlers, the </w:t>
      </w:r>
      <w:r w:rsidRPr="002A61F1">
        <w:rPr>
          <w:bCs/>
          <w:iCs/>
        </w:rPr>
        <w:t xml:space="preserve">immune response to these 3 </w:t>
      </w:r>
      <w:proofErr w:type="spellStart"/>
      <w:r w:rsidRPr="002A61F1">
        <w:t>serogroups</w:t>
      </w:r>
      <w:proofErr w:type="spellEnd"/>
      <w:r w:rsidRPr="002A61F1">
        <w:t xml:space="preserve"> induced by </w:t>
      </w:r>
      <w:proofErr w:type="spellStart"/>
      <w:r w:rsidRPr="002A61F1">
        <w:t>Nimenrix</w:t>
      </w:r>
      <w:proofErr w:type="spellEnd"/>
      <w:r w:rsidRPr="002A61F1">
        <w:t xml:space="preserve"> in toddlers were compared to the responses elicited by </w:t>
      </w:r>
      <w:proofErr w:type="spellStart"/>
      <w:r w:rsidRPr="002A61F1">
        <w:rPr>
          <w:iCs/>
        </w:rPr>
        <w:t>Mencevax</w:t>
      </w:r>
      <w:proofErr w:type="spellEnd"/>
      <w:r w:rsidR="008E6D1D">
        <w:rPr>
          <w:iCs/>
        </w:rPr>
        <w:t xml:space="preserve"> </w:t>
      </w:r>
      <w:r w:rsidR="008E6D1D" w:rsidRPr="008E6D1D">
        <w:rPr>
          <w:iCs/>
        </w:rPr>
        <w:t>ACWY</w:t>
      </w:r>
      <w:r w:rsidRPr="002A61F1">
        <w:t xml:space="preserve"> in older children (</w:t>
      </w:r>
      <w:r w:rsidR="00401352">
        <w:t xml:space="preserve">that is, aged </w:t>
      </w:r>
      <w:r w:rsidRPr="002A61F1">
        <w:t>2 to &lt;</w:t>
      </w:r>
      <w:r w:rsidR="00401352">
        <w:t xml:space="preserve"> </w:t>
      </w:r>
      <w:r w:rsidRPr="002A61F1">
        <w:t>11 y</w:t>
      </w:r>
      <w:r w:rsidR="00401352">
        <w:t>ea</w:t>
      </w:r>
      <w:r w:rsidRPr="002A61F1">
        <w:t xml:space="preserve">rs of age with </w:t>
      </w:r>
      <w:proofErr w:type="spellStart"/>
      <w:r w:rsidRPr="002A61F1">
        <w:t>rSBA</w:t>
      </w:r>
      <w:proofErr w:type="spellEnd"/>
      <w:r w:rsidRPr="002A61F1">
        <w:t>; 6 to &lt;</w:t>
      </w:r>
      <w:r w:rsidR="00401352">
        <w:t xml:space="preserve"> </w:t>
      </w:r>
      <w:r w:rsidRPr="002A61F1">
        <w:t>11 y</w:t>
      </w:r>
      <w:r w:rsidR="00401352">
        <w:t>ea</w:t>
      </w:r>
      <w:r w:rsidRPr="002A61F1">
        <w:t xml:space="preserve">rs of age with </w:t>
      </w:r>
      <w:proofErr w:type="spellStart"/>
      <w:r w:rsidRPr="002A61F1">
        <w:t>hSBA</w:t>
      </w:r>
      <w:proofErr w:type="spellEnd"/>
      <w:r w:rsidRPr="002A61F1">
        <w:t xml:space="preserve">). In Study-027, </w:t>
      </w:r>
      <w:proofErr w:type="spellStart"/>
      <w:r w:rsidRPr="002A61F1">
        <w:t>rSBA</w:t>
      </w:r>
      <w:proofErr w:type="spellEnd"/>
      <w:r w:rsidRPr="002A61F1">
        <w:t xml:space="preserve"> GMT and vaccine response</w:t>
      </w:r>
      <w:r w:rsidR="00401352">
        <w:t>s</w:t>
      </w:r>
      <w:r w:rsidRPr="002A61F1">
        <w:t xml:space="preserve"> elicited by </w:t>
      </w:r>
      <w:proofErr w:type="spellStart"/>
      <w:r w:rsidRPr="002A61F1">
        <w:t>Nimenrix</w:t>
      </w:r>
      <w:proofErr w:type="spellEnd"/>
      <w:r w:rsidRPr="002A61F1">
        <w:t xml:space="preserve"> in toddlers were comparable to the responses induced by </w:t>
      </w:r>
      <w:proofErr w:type="spellStart"/>
      <w:r w:rsidRPr="002A61F1">
        <w:t>Mencevax</w:t>
      </w:r>
      <w:proofErr w:type="spellEnd"/>
      <w:r w:rsidRPr="002A61F1">
        <w:t xml:space="preserve"> </w:t>
      </w:r>
      <w:r w:rsidR="008E6D1D" w:rsidRPr="008E6D1D">
        <w:t xml:space="preserve">ACWY </w:t>
      </w:r>
      <w:r w:rsidRPr="002A61F1">
        <w:t>in children 2 to &lt;11 y</w:t>
      </w:r>
      <w:r w:rsidR="00401352">
        <w:t>ea</w:t>
      </w:r>
      <w:r w:rsidRPr="002A61F1">
        <w:t xml:space="preserve">rs of age. Although </w:t>
      </w:r>
      <w:proofErr w:type="spellStart"/>
      <w:r w:rsidRPr="002A61F1">
        <w:t>hSBA</w:t>
      </w:r>
      <w:proofErr w:type="spellEnd"/>
      <w:r w:rsidRPr="002A61F1">
        <w:t xml:space="preserve"> GMTs were lower for the younger age group, the </w:t>
      </w:r>
      <w:r w:rsidR="00AD1413" w:rsidRPr="00AD1413">
        <w:t xml:space="preserve">percentage </w:t>
      </w:r>
      <w:r w:rsidRPr="002A61F1">
        <w:t xml:space="preserve">of subjects with </w:t>
      </w:r>
      <w:proofErr w:type="spellStart"/>
      <w:r w:rsidRPr="008E6D1D">
        <w:t>immunoprotective</w:t>
      </w:r>
      <w:proofErr w:type="spellEnd"/>
      <w:r w:rsidRPr="008E6D1D">
        <w:t xml:space="preserve"> titres and vaccine response following </w:t>
      </w:r>
      <w:proofErr w:type="spellStart"/>
      <w:r w:rsidRPr="008E6D1D">
        <w:t>Nimenrix</w:t>
      </w:r>
      <w:proofErr w:type="spellEnd"/>
      <w:r w:rsidRPr="008E6D1D">
        <w:t xml:space="preserve"> </w:t>
      </w:r>
      <w:r w:rsidR="00401352" w:rsidRPr="008E6D1D">
        <w:t xml:space="preserve">were </w:t>
      </w:r>
      <w:r w:rsidRPr="008E6D1D">
        <w:t>higher than or close to those reported in older children (6 to &lt;11 y</w:t>
      </w:r>
      <w:r w:rsidR="00401352" w:rsidRPr="008E6D1D">
        <w:t>ea</w:t>
      </w:r>
      <w:r w:rsidRPr="008E6D1D">
        <w:t xml:space="preserve">rs) vaccinated with </w:t>
      </w:r>
      <w:proofErr w:type="spellStart"/>
      <w:r w:rsidRPr="008E6D1D">
        <w:t>Mencevax</w:t>
      </w:r>
      <w:proofErr w:type="spellEnd"/>
      <w:r w:rsidRPr="008E6D1D">
        <w:t xml:space="preserve"> </w:t>
      </w:r>
      <w:r w:rsidR="008E6D1D" w:rsidRPr="008E6D1D">
        <w:t xml:space="preserve">ACWY </w:t>
      </w:r>
      <w:r w:rsidRPr="008E6D1D">
        <w:t>in Study-027.</w:t>
      </w:r>
    </w:p>
    <w:p w:rsidR="002A61F1" w:rsidRPr="002A61F1" w:rsidRDefault="002A61F1" w:rsidP="006122D4">
      <w:r w:rsidRPr="002A61F1">
        <w:t xml:space="preserve">Study-093 included a powered secondary objective assessing the comparability of </w:t>
      </w:r>
      <w:proofErr w:type="spellStart"/>
      <w:r w:rsidRPr="002A61F1">
        <w:t>Nimenrix</w:t>
      </w:r>
      <w:proofErr w:type="spellEnd"/>
      <w:r w:rsidRPr="002A61F1">
        <w:t xml:space="preserve"> Lot A and </w:t>
      </w:r>
      <w:proofErr w:type="spellStart"/>
      <w:r w:rsidRPr="002A61F1">
        <w:rPr>
          <w:iCs/>
        </w:rPr>
        <w:t>Mencevax</w:t>
      </w:r>
      <w:proofErr w:type="spellEnd"/>
      <w:r w:rsidRPr="002A61F1">
        <w:t xml:space="preserve"> </w:t>
      </w:r>
      <w:r w:rsidR="008E6D1D" w:rsidRPr="008E6D1D">
        <w:t xml:space="preserve">ACWY </w:t>
      </w:r>
      <w:r w:rsidRPr="002A61F1">
        <w:t xml:space="preserve">in terms of </w:t>
      </w:r>
      <w:proofErr w:type="spellStart"/>
      <w:r w:rsidRPr="002A61F1">
        <w:t>rSBA</w:t>
      </w:r>
      <w:proofErr w:type="spellEnd"/>
      <w:r w:rsidRPr="002A61F1">
        <w:t xml:space="preserve"> GMT ratios for </w:t>
      </w:r>
      <w:r w:rsidRPr="002A61F1">
        <w:rPr>
          <w:iCs/>
        </w:rPr>
        <w:t xml:space="preserve">all 4 </w:t>
      </w:r>
      <w:proofErr w:type="spellStart"/>
      <w:r w:rsidRPr="002A61F1">
        <w:rPr>
          <w:iCs/>
        </w:rPr>
        <w:t>serogroups</w:t>
      </w:r>
      <w:proofErr w:type="spellEnd"/>
      <w:r w:rsidRPr="002A61F1">
        <w:rPr>
          <w:iCs/>
        </w:rPr>
        <w:t xml:space="preserve">. </w:t>
      </w:r>
      <w:r w:rsidRPr="002A61F1">
        <w:t xml:space="preserve">At 1 month post-vaccination, non-inferiority was demonstrated as the upper limit of the 95% CIs on the </w:t>
      </w:r>
      <w:proofErr w:type="spellStart"/>
      <w:r w:rsidRPr="002A61F1">
        <w:t>rSBA</w:t>
      </w:r>
      <w:proofErr w:type="spellEnd"/>
      <w:r w:rsidRPr="002A61F1">
        <w:t xml:space="preserve"> GMT ratios (</w:t>
      </w:r>
      <w:proofErr w:type="spellStart"/>
      <w:r w:rsidRPr="002A61F1">
        <w:rPr>
          <w:iCs/>
        </w:rPr>
        <w:t>Mencevax</w:t>
      </w:r>
      <w:proofErr w:type="spellEnd"/>
      <w:r w:rsidR="008E6D1D">
        <w:rPr>
          <w:iCs/>
        </w:rPr>
        <w:t xml:space="preserve"> </w:t>
      </w:r>
      <w:r w:rsidR="008E6D1D" w:rsidRPr="008E6D1D">
        <w:rPr>
          <w:iCs/>
        </w:rPr>
        <w:t xml:space="preserve">ACWY </w:t>
      </w:r>
      <w:r w:rsidRPr="002A61F1">
        <w:rPr>
          <w:iCs/>
        </w:rPr>
        <w:t>/</w:t>
      </w:r>
      <w:proofErr w:type="spellStart"/>
      <w:r w:rsidRPr="002A61F1">
        <w:t>Nimenrix</w:t>
      </w:r>
      <w:proofErr w:type="spellEnd"/>
      <w:r w:rsidRPr="002A61F1">
        <w:t xml:space="preserve"> Lot A) was below the limit of 2-fold for all 4 </w:t>
      </w:r>
      <w:proofErr w:type="spellStart"/>
      <w:r w:rsidRPr="002A61F1">
        <w:t>serogroups</w:t>
      </w:r>
      <w:proofErr w:type="spellEnd"/>
      <w:r w:rsidRPr="002A61F1">
        <w:t>.</w:t>
      </w:r>
    </w:p>
    <w:p w:rsidR="002A61F1" w:rsidRPr="002A61F1" w:rsidRDefault="002A61F1" w:rsidP="006122D4">
      <w:r w:rsidRPr="002A61F1">
        <w:t xml:space="preserve">Study-015 was conducted in subjects 11-55 years old. The study demonstrated that at one month post vaccination, the immune response elicited by </w:t>
      </w:r>
      <w:proofErr w:type="spellStart"/>
      <w:r w:rsidRPr="002A61F1">
        <w:t>Nimenrix</w:t>
      </w:r>
      <w:proofErr w:type="spellEnd"/>
      <w:r w:rsidRPr="002A61F1">
        <w:t xml:space="preserve"> is non-inferior to </w:t>
      </w:r>
      <w:proofErr w:type="spellStart"/>
      <w:r w:rsidRPr="002A61F1">
        <w:rPr>
          <w:iCs/>
        </w:rPr>
        <w:t>Mencevax</w:t>
      </w:r>
      <w:proofErr w:type="spellEnd"/>
      <w:r w:rsidRPr="002A61F1">
        <w:t xml:space="preserve"> </w:t>
      </w:r>
      <w:r w:rsidR="008E6D1D" w:rsidRPr="008E6D1D">
        <w:t xml:space="preserve">ACWY </w:t>
      </w:r>
      <w:r w:rsidRPr="002A61F1">
        <w:t xml:space="preserve">for all 4 </w:t>
      </w:r>
      <w:proofErr w:type="spellStart"/>
      <w:r w:rsidRPr="002A61F1">
        <w:t>serogroups</w:t>
      </w:r>
      <w:proofErr w:type="spellEnd"/>
      <w:r w:rsidRPr="002A61F1">
        <w:t xml:space="preserve">. </w:t>
      </w:r>
    </w:p>
    <w:p w:rsidR="002A61F1" w:rsidRPr="002A61F1" w:rsidRDefault="002A61F1" w:rsidP="006122D4">
      <w:pPr>
        <w:pStyle w:val="Heading6"/>
      </w:pPr>
      <w:r w:rsidRPr="002A61F1">
        <w:t xml:space="preserve">Comparison to </w:t>
      </w:r>
      <w:proofErr w:type="spellStart"/>
      <w:r w:rsidRPr="002A61F1">
        <w:rPr>
          <w:iCs/>
        </w:rPr>
        <w:t>Menactra</w:t>
      </w:r>
      <w:proofErr w:type="spellEnd"/>
      <w:r w:rsidRPr="002A61F1">
        <w:t xml:space="preserve"> (a </w:t>
      </w:r>
      <w:proofErr w:type="spellStart"/>
      <w:r w:rsidRPr="002A61F1">
        <w:t>quadrivalent</w:t>
      </w:r>
      <w:proofErr w:type="spellEnd"/>
      <w:r w:rsidRPr="002A61F1">
        <w:t xml:space="preserve"> conjugate vaccine)</w:t>
      </w:r>
    </w:p>
    <w:p w:rsidR="002A61F1" w:rsidRPr="002A61F1" w:rsidRDefault="002A61F1" w:rsidP="006122D4">
      <w:r w:rsidRPr="002A61F1">
        <w:t>Study-071 was conducted in subject</w:t>
      </w:r>
      <w:r w:rsidR="00401352">
        <w:t>s</w:t>
      </w:r>
      <w:r w:rsidRPr="002A61F1">
        <w:t xml:space="preserve"> 10-25 years of age. The primary objective was to show the </w:t>
      </w:r>
      <w:proofErr w:type="spellStart"/>
      <w:r w:rsidRPr="002A61F1">
        <w:t>nonin</w:t>
      </w:r>
      <w:r w:rsidR="00401352">
        <w:t>feriority</w:t>
      </w:r>
      <w:proofErr w:type="spellEnd"/>
      <w:r w:rsidR="00401352">
        <w:t xml:space="preserve"> of </w:t>
      </w:r>
      <w:proofErr w:type="spellStart"/>
      <w:r w:rsidR="00401352">
        <w:t>Nimenrix</w:t>
      </w:r>
      <w:proofErr w:type="spellEnd"/>
      <w:r w:rsidR="00401352">
        <w:t xml:space="preserve"> (Lot A) versus</w:t>
      </w:r>
      <w:r w:rsidRPr="002A61F1">
        <w:t xml:space="preserve"> </w:t>
      </w:r>
      <w:proofErr w:type="spellStart"/>
      <w:r w:rsidRPr="002A61F1">
        <w:rPr>
          <w:iCs/>
        </w:rPr>
        <w:t>Menactra</w:t>
      </w:r>
      <w:proofErr w:type="spellEnd"/>
      <w:r w:rsidRPr="002A61F1">
        <w:t xml:space="preserve">. The primary endpoint was the </w:t>
      </w:r>
      <w:r w:rsidR="00AD1413" w:rsidRPr="00AD1413">
        <w:t xml:space="preserve">percentage </w:t>
      </w:r>
      <w:r w:rsidRPr="002A61F1">
        <w:t xml:space="preserve">of subjects with </w:t>
      </w:r>
      <w:proofErr w:type="spellStart"/>
      <w:r w:rsidRPr="002A61F1">
        <w:t>hSBA</w:t>
      </w:r>
      <w:proofErr w:type="spellEnd"/>
      <w:r w:rsidRPr="002A61F1">
        <w:t xml:space="preserve"> vaccine response. The </w:t>
      </w:r>
      <w:proofErr w:type="spellStart"/>
      <w:r w:rsidRPr="002A61F1">
        <w:t>noninferiority</w:t>
      </w:r>
      <w:proofErr w:type="spellEnd"/>
      <w:r w:rsidRPr="002A61F1">
        <w:t xml:space="preserve"> was demonstrated, as for each </w:t>
      </w:r>
      <w:proofErr w:type="spellStart"/>
      <w:r w:rsidRPr="002A61F1">
        <w:t>serogroup</w:t>
      </w:r>
      <w:proofErr w:type="spellEnd"/>
      <w:r w:rsidRPr="002A61F1">
        <w:t xml:space="preserve">, the LL of the 95% CI for the difference between groups was greater than -10%. </w:t>
      </w:r>
    </w:p>
    <w:p w:rsidR="002A61F1" w:rsidRPr="002A61F1" w:rsidRDefault="002A61F1" w:rsidP="006122D4">
      <w:r w:rsidRPr="002A61F1">
        <w:t xml:space="preserve">Study-052 was conducted in subjects 11-25 years of age. The study compared the immunogenicity of </w:t>
      </w:r>
      <w:proofErr w:type="spellStart"/>
      <w:r w:rsidRPr="002A61F1">
        <w:t>Nimenrix</w:t>
      </w:r>
      <w:proofErr w:type="spellEnd"/>
      <w:r w:rsidRPr="002A61F1">
        <w:t xml:space="preserve"> versus </w:t>
      </w:r>
      <w:proofErr w:type="spellStart"/>
      <w:r w:rsidRPr="002A61F1">
        <w:rPr>
          <w:iCs/>
        </w:rPr>
        <w:t>Menactra</w:t>
      </w:r>
      <w:proofErr w:type="spellEnd"/>
      <w:r w:rsidRPr="002A61F1">
        <w:rPr>
          <w:iCs/>
        </w:rPr>
        <w:t>.</w:t>
      </w:r>
      <w:r w:rsidRPr="002A61F1">
        <w:rPr>
          <w:i/>
          <w:iCs/>
        </w:rPr>
        <w:t xml:space="preserve"> </w:t>
      </w:r>
      <w:r w:rsidRPr="002A61F1">
        <w:t xml:space="preserve">One month post-vaccination, the </w:t>
      </w:r>
      <w:r w:rsidR="00AD1413" w:rsidRPr="00AD1413">
        <w:t xml:space="preserve">percentage </w:t>
      </w:r>
      <w:r w:rsidRPr="002A61F1">
        <w:t xml:space="preserve">of subjects with </w:t>
      </w:r>
      <w:proofErr w:type="spellStart"/>
      <w:r w:rsidRPr="002A61F1">
        <w:t>hSBA</w:t>
      </w:r>
      <w:proofErr w:type="spellEnd"/>
      <w:r w:rsidRPr="002A61F1">
        <w:t xml:space="preserve"> ≥ 4 against </w:t>
      </w:r>
      <w:proofErr w:type="spellStart"/>
      <w:r w:rsidRPr="002A61F1">
        <w:t>serogroups</w:t>
      </w:r>
      <w:proofErr w:type="spellEnd"/>
      <w:r w:rsidRPr="002A61F1">
        <w:t xml:space="preserve"> A, C, W-135 and Y were 83.0%, 96.1%, 92.1% and 95.2%, respectively in the </w:t>
      </w:r>
      <w:proofErr w:type="spellStart"/>
      <w:r w:rsidRPr="002A61F1">
        <w:t>Nimenrix</w:t>
      </w:r>
      <w:proofErr w:type="spellEnd"/>
      <w:r w:rsidRPr="002A61F1">
        <w:t xml:space="preserve"> group and 70.7%, 98.8%, 78.5% and 81.8%, respectively in the </w:t>
      </w:r>
      <w:proofErr w:type="spellStart"/>
      <w:r w:rsidRPr="002A61F1">
        <w:t>Menactra</w:t>
      </w:r>
      <w:proofErr w:type="spellEnd"/>
      <w:r w:rsidRPr="002A61F1">
        <w:t xml:space="preserve"> group. Exploratory analyses showed that the </w:t>
      </w:r>
      <w:r w:rsidR="00AD1413" w:rsidRPr="00AD1413">
        <w:t xml:space="preserve">percentage </w:t>
      </w:r>
      <w:r w:rsidRPr="002A61F1">
        <w:t xml:space="preserve">of subjects with </w:t>
      </w:r>
      <w:proofErr w:type="spellStart"/>
      <w:r w:rsidRPr="002A61F1">
        <w:t>hSBA</w:t>
      </w:r>
      <w:proofErr w:type="spellEnd"/>
      <w:r w:rsidRPr="002A61F1">
        <w:t xml:space="preserve"> ≥ 4 and ≥ 8 </w:t>
      </w:r>
      <w:r w:rsidR="00AD1413">
        <w:t xml:space="preserve">was </w:t>
      </w:r>
      <w:r w:rsidRPr="002A61F1">
        <w:t xml:space="preserve">significantly higher in </w:t>
      </w:r>
      <w:r w:rsidR="00401352">
        <w:t xml:space="preserve">the </w:t>
      </w:r>
      <w:proofErr w:type="spellStart"/>
      <w:r w:rsidRPr="002A61F1">
        <w:t>Nimenrix</w:t>
      </w:r>
      <w:proofErr w:type="spellEnd"/>
      <w:r w:rsidRPr="002A61F1">
        <w:t xml:space="preserve"> group then in </w:t>
      </w:r>
      <w:proofErr w:type="spellStart"/>
      <w:r w:rsidRPr="002A61F1">
        <w:t>Menactra</w:t>
      </w:r>
      <w:proofErr w:type="spellEnd"/>
      <w:r w:rsidRPr="002A61F1">
        <w:t xml:space="preserve"> group for </w:t>
      </w:r>
      <w:proofErr w:type="spellStart"/>
      <w:r w:rsidRPr="002A61F1">
        <w:t>serogroups</w:t>
      </w:r>
      <w:proofErr w:type="spellEnd"/>
      <w:r w:rsidRPr="002A61F1">
        <w:t xml:space="preserve"> A, W-135 and Y and similar in both groups for </w:t>
      </w:r>
      <w:proofErr w:type="spellStart"/>
      <w:r w:rsidRPr="002A61F1">
        <w:t>serogroup</w:t>
      </w:r>
      <w:proofErr w:type="spellEnd"/>
      <w:r w:rsidRPr="002A61F1">
        <w:t xml:space="preserve"> C. The </w:t>
      </w:r>
      <w:proofErr w:type="spellStart"/>
      <w:r w:rsidRPr="002A61F1">
        <w:t>hSBA</w:t>
      </w:r>
      <w:proofErr w:type="spellEnd"/>
      <w:r w:rsidRPr="002A61F1">
        <w:t xml:space="preserve"> GMTs were also higher for the 4 </w:t>
      </w:r>
      <w:proofErr w:type="spellStart"/>
      <w:r w:rsidRPr="002A61F1">
        <w:t>serogroups</w:t>
      </w:r>
      <w:proofErr w:type="spellEnd"/>
      <w:r w:rsidRPr="002A61F1">
        <w:t xml:space="preserve"> in the </w:t>
      </w:r>
      <w:proofErr w:type="spellStart"/>
      <w:r w:rsidRPr="002A61F1">
        <w:t>Nimenrix</w:t>
      </w:r>
      <w:proofErr w:type="spellEnd"/>
      <w:r w:rsidRPr="002A61F1">
        <w:t xml:space="preserve"> group th</w:t>
      </w:r>
      <w:r w:rsidR="00401352">
        <w:t>a</w:t>
      </w:r>
      <w:r w:rsidRPr="002A61F1">
        <w:t xml:space="preserve">n in the </w:t>
      </w:r>
      <w:proofErr w:type="spellStart"/>
      <w:r w:rsidRPr="002A61F1">
        <w:t>Menactra</w:t>
      </w:r>
      <w:proofErr w:type="spellEnd"/>
      <w:r w:rsidRPr="002A61F1">
        <w:t xml:space="preserve"> group. </w:t>
      </w:r>
    </w:p>
    <w:p w:rsidR="002A61F1" w:rsidRPr="006122D4" w:rsidRDefault="002A61F1" w:rsidP="006122D4">
      <w:pPr>
        <w:pStyle w:val="Heading5"/>
      </w:pPr>
      <w:r w:rsidRPr="002A61F1">
        <w:lastRenderedPageBreak/>
        <w:t>Prime-boost study (Study-021)</w:t>
      </w:r>
    </w:p>
    <w:p w:rsidR="00CF343D" w:rsidRDefault="002A61F1" w:rsidP="006122D4">
      <w:r w:rsidRPr="00401352">
        <w:t xml:space="preserve">Study-021 evaluated the immunogenicity of </w:t>
      </w:r>
      <w:proofErr w:type="spellStart"/>
      <w:r w:rsidRPr="00401352">
        <w:t>Nimenrix</w:t>
      </w:r>
      <w:proofErr w:type="spellEnd"/>
      <w:r w:rsidRPr="00401352">
        <w:t xml:space="preserve"> given 30-42 months after the previous prime-vaccination with </w:t>
      </w:r>
      <w:proofErr w:type="spellStart"/>
      <w:r w:rsidRPr="00401352">
        <w:t>Mencevax</w:t>
      </w:r>
      <w:proofErr w:type="spellEnd"/>
      <w:r w:rsidRPr="00401352">
        <w:t xml:space="preserve"> </w:t>
      </w:r>
      <w:r w:rsidR="008E6D1D" w:rsidRPr="008E6D1D">
        <w:t xml:space="preserve">ACWY </w:t>
      </w:r>
      <w:r w:rsidRPr="00401352">
        <w:t>in subjects aged 2–30 years (who participated in a previous study</w:t>
      </w:r>
      <w:r w:rsidR="00401352" w:rsidRPr="00401352">
        <w:t xml:space="preserve">, </w:t>
      </w:r>
      <w:proofErr w:type="spellStart"/>
      <w:r w:rsidRPr="00401352">
        <w:t>Mencevax</w:t>
      </w:r>
      <w:proofErr w:type="spellEnd"/>
      <w:r w:rsidRPr="00401352">
        <w:t xml:space="preserve"> ACWY-004). One month post vaccination, </w:t>
      </w:r>
      <w:proofErr w:type="spellStart"/>
      <w:r w:rsidRPr="00401352">
        <w:t>seropositivity</w:t>
      </w:r>
      <w:proofErr w:type="spellEnd"/>
      <w:r w:rsidRPr="00401352">
        <w:t xml:space="preserve"> rates for the 4 </w:t>
      </w:r>
      <w:proofErr w:type="spellStart"/>
      <w:r w:rsidRPr="00401352">
        <w:t>serogroups</w:t>
      </w:r>
      <w:proofErr w:type="spellEnd"/>
      <w:r w:rsidRPr="00401352">
        <w:t xml:space="preserve"> increased to 100% in both the MPS group (</w:t>
      </w:r>
      <w:r w:rsidR="00401352" w:rsidRPr="00401352">
        <w:t xml:space="preserve">subjects </w:t>
      </w:r>
      <w:r w:rsidRPr="00401352">
        <w:t xml:space="preserve">who </w:t>
      </w:r>
      <w:r w:rsidR="00401352" w:rsidRPr="00401352">
        <w:t xml:space="preserve">were </w:t>
      </w:r>
      <w:r w:rsidRPr="00401352">
        <w:t xml:space="preserve">primed with </w:t>
      </w:r>
      <w:proofErr w:type="spellStart"/>
      <w:r w:rsidRPr="00401352">
        <w:t>Mencevax</w:t>
      </w:r>
      <w:proofErr w:type="spellEnd"/>
      <w:r w:rsidR="008E6D1D">
        <w:t xml:space="preserve"> </w:t>
      </w:r>
      <w:r w:rsidR="008E6D1D" w:rsidRPr="008E6D1D">
        <w:t>ACWY</w:t>
      </w:r>
      <w:r w:rsidR="00401352" w:rsidRPr="00401352">
        <w:t>)</w:t>
      </w:r>
      <w:r w:rsidRPr="002A61F1">
        <w:t xml:space="preserve"> and </w:t>
      </w:r>
      <w:r w:rsidR="00401352">
        <w:t xml:space="preserve">the </w:t>
      </w:r>
      <w:proofErr w:type="spellStart"/>
      <w:r w:rsidRPr="002A61F1">
        <w:t>noMPS</w:t>
      </w:r>
      <w:proofErr w:type="spellEnd"/>
      <w:r w:rsidRPr="002A61F1">
        <w:t xml:space="preserve"> group (</w:t>
      </w:r>
      <w:r w:rsidR="00401352">
        <w:t xml:space="preserve">subjects </w:t>
      </w:r>
      <w:r w:rsidRPr="002A61F1">
        <w:t xml:space="preserve">who were not primed with </w:t>
      </w:r>
      <w:proofErr w:type="spellStart"/>
      <w:r w:rsidRPr="002A61F1">
        <w:rPr>
          <w:iCs/>
        </w:rPr>
        <w:t>Mencevax</w:t>
      </w:r>
      <w:proofErr w:type="spellEnd"/>
      <w:r w:rsidR="008E6D1D">
        <w:rPr>
          <w:iCs/>
        </w:rPr>
        <w:t xml:space="preserve"> </w:t>
      </w:r>
      <w:r w:rsidR="008E6D1D" w:rsidRPr="008E6D1D">
        <w:rPr>
          <w:iCs/>
        </w:rPr>
        <w:t>ACWY</w:t>
      </w:r>
      <w:r w:rsidRPr="002A61F1">
        <w:rPr>
          <w:iCs/>
        </w:rPr>
        <w:t>)</w:t>
      </w:r>
      <w:r w:rsidR="00401352">
        <w:rPr>
          <w:iCs/>
        </w:rPr>
        <w:t xml:space="preserve">. </w:t>
      </w:r>
      <w:r w:rsidR="00401352">
        <w:t>T</w:t>
      </w:r>
      <w:r w:rsidRPr="002A61F1">
        <w:t xml:space="preserve">he proportion with </w:t>
      </w:r>
      <w:proofErr w:type="spellStart"/>
      <w:r w:rsidRPr="002A61F1">
        <w:t>rSBA</w:t>
      </w:r>
      <w:proofErr w:type="spellEnd"/>
      <w:r w:rsidRPr="002A61F1">
        <w:t xml:space="preserve"> ≥ 128 increased to 97.0-100% in the MPS group and 100% in the </w:t>
      </w:r>
      <w:proofErr w:type="spellStart"/>
      <w:r w:rsidRPr="002A61F1">
        <w:t>noMPS</w:t>
      </w:r>
      <w:proofErr w:type="spellEnd"/>
      <w:r w:rsidRPr="002A61F1">
        <w:t xml:space="preserve"> group. Exploratory analysis did not reveal significant differences between groups in the </w:t>
      </w:r>
      <w:r w:rsidR="00AD1413" w:rsidRPr="00AD1413">
        <w:t xml:space="preserve">percentage </w:t>
      </w:r>
      <w:r w:rsidRPr="002A61F1">
        <w:t xml:space="preserve">of subjects with </w:t>
      </w:r>
      <w:proofErr w:type="spellStart"/>
      <w:r w:rsidRPr="002A61F1">
        <w:t>rSBA</w:t>
      </w:r>
      <w:proofErr w:type="spellEnd"/>
      <w:r w:rsidRPr="002A61F1">
        <w:t xml:space="preserve"> ≥ 8 and ≥ 128. Vaccine response rates were 41.1-83.0% in the MPS group and 76.9-97.3% in the </w:t>
      </w:r>
      <w:proofErr w:type="spellStart"/>
      <w:r w:rsidRPr="002A61F1">
        <w:t>noMPS</w:t>
      </w:r>
      <w:proofErr w:type="spellEnd"/>
      <w:r w:rsidRPr="002A61F1">
        <w:t xml:space="preserve"> group for the 4 </w:t>
      </w:r>
      <w:proofErr w:type="spellStart"/>
      <w:r w:rsidRPr="002A61F1">
        <w:t>serogroups</w:t>
      </w:r>
      <w:proofErr w:type="spellEnd"/>
      <w:r w:rsidRPr="002A61F1">
        <w:t xml:space="preserve">. The vaccine response in the MPS group was significantly lower than </w:t>
      </w:r>
      <w:r w:rsidR="00CF343D">
        <w:t xml:space="preserve">in </w:t>
      </w:r>
      <w:r w:rsidRPr="002A61F1">
        <w:t xml:space="preserve">the </w:t>
      </w:r>
      <w:proofErr w:type="spellStart"/>
      <w:r w:rsidRPr="002A61F1">
        <w:t>noMPS</w:t>
      </w:r>
      <w:proofErr w:type="spellEnd"/>
      <w:r w:rsidRPr="002A61F1">
        <w:t xml:space="preserve"> group for all </w:t>
      </w:r>
      <w:proofErr w:type="spellStart"/>
      <w:r w:rsidRPr="002A61F1">
        <w:t>serogroups</w:t>
      </w:r>
      <w:proofErr w:type="spellEnd"/>
      <w:r w:rsidRPr="002A61F1">
        <w:t xml:space="preserve">. This lower response was not surprising since pre-vaccination titres were already high due to prior </w:t>
      </w:r>
      <w:proofErr w:type="spellStart"/>
      <w:r w:rsidRPr="002A61F1">
        <w:rPr>
          <w:iCs/>
        </w:rPr>
        <w:t>Mencevax</w:t>
      </w:r>
      <w:proofErr w:type="spellEnd"/>
      <w:r w:rsidR="008E6D1D">
        <w:rPr>
          <w:iCs/>
        </w:rPr>
        <w:t xml:space="preserve"> </w:t>
      </w:r>
      <w:r w:rsidR="008E6D1D" w:rsidRPr="008E6D1D">
        <w:rPr>
          <w:iCs/>
        </w:rPr>
        <w:t>ACWY</w:t>
      </w:r>
      <w:r w:rsidRPr="002A61F1">
        <w:rPr>
          <w:iCs/>
        </w:rPr>
        <w:t xml:space="preserve"> vaccination </w:t>
      </w:r>
      <w:r w:rsidRPr="002A61F1">
        <w:t xml:space="preserve">in that group. Nevertheless, all initially </w:t>
      </w:r>
      <w:proofErr w:type="spellStart"/>
      <w:r w:rsidRPr="002A61F1">
        <w:t>seronegative</w:t>
      </w:r>
      <w:proofErr w:type="spellEnd"/>
      <w:r w:rsidRPr="002A61F1">
        <w:t xml:space="preserve"> subjects in the MPS group responded to the vaccine, except one subject for </w:t>
      </w:r>
      <w:proofErr w:type="spellStart"/>
      <w:r w:rsidRPr="002A61F1">
        <w:t>serogroup</w:t>
      </w:r>
      <w:proofErr w:type="spellEnd"/>
      <w:r w:rsidRPr="002A61F1">
        <w:t xml:space="preserve"> C. </w:t>
      </w:r>
    </w:p>
    <w:p w:rsidR="002A61F1" w:rsidRPr="002A61F1" w:rsidRDefault="002A61F1" w:rsidP="006122D4">
      <w:r w:rsidRPr="002A61F1">
        <w:t xml:space="preserve">In both groups, the </w:t>
      </w:r>
      <w:proofErr w:type="spellStart"/>
      <w:r w:rsidRPr="002A61F1">
        <w:t>rSBA</w:t>
      </w:r>
      <w:proofErr w:type="spellEnd"/>
      <w:r w:rsidRPr="002A61F1">
        <w:t xml:space="preserve"> GMTs increased from pre- to 1 month post-vaccination for all </w:t>
      </w:r>
      <w:proofErr w:type="spellStart"/>
      <w:r w:rsidRPr="002A61F1">
        <w:t>serogroups</w:t>
      </w:r>
      <w:proofErr w:type="spellEnd"/>
      <w:r w:rsidRPr="002A61F1">
        <w:t xml:space="preserve">. The </w:t>
      </w:r>
      <w:proofErr w:type="spellStart"/>
      <w:r w:rsidRPr="002A61F1">
        <w:t>rSBA</w:t>
      </w:r>
      <w:proofErr w:type="spellEnd"/>
      <w:r w:rsidRPr="002A61F1">
        <w:t xml:space="preserve"> GMTs adjusted for age strata for all </w:t>
      </w:r>
      <w:proofErr w:type="spellStart"/>
      <w:r w:rsidRPr="002A61F1">
        <w:t>serogroups</w:t>
      </w:r>
      <w:proofErr w:type="spellEnd"/>
      <w:r w:rsidRPr="002A61F1">
        <w:t xml:space="preserve"> were significantly lower in those who had prior </w:t>
      </w:r>
      <w:proofErr w:type="spellStart"/>
      <w:r w:rsidRPr="002A61F1">
        <w:rPr>
          <w:iCs/>
        </w:rPr>
        <w:t>Mencevax</w:t>
      </w:r>
      <w:proofErr w:type="spellEnd"/>
      <w:r w:rsidRPr="002A61F1">
        <w:rPr>
          <w:iCs/>
        </w:rPr>
        <w:t xml:space="preserve"> </w:t>
      </w:r>
      <w:r w:rsidR="008E6D1D" w:rsidRPr="008E6D1D">
        <w:rPr>
          <w:iCs/>
        </w:rPr>
        <w:t xml:space="preserve">ACWY </w:t>
      </w:r>
      <w:r w:rsidRPr="002A61F1">
        <w:rPr>
          <w:iCs/>
        </w:rPr>
        <w:t>vaccination</w:t>
      </w:r>
      <w:r w:rsidRPr="002A61F1">
        <w:t xml:space="preserve">. The </w:t>
      </w:r>
      <w:proofErr w:type="spellStart"/>
      <w:r w:rsidRPr="002A61F1">
        <w:t>rSBA</w:t>
      </w:r>
      <w:proofErr w:type="spellEnd"/>
      <w:r w:rsidRPr="002A61F1">
        <w:t xml:space="preserve"> GMTs one month post-vaccination with </w:t>
      </w:r>
      <w:proofErr w:type="spellStart"/>
      <w:r w:rsidRPr="002A61F1">
        <w:t>Nimenrix</w:t>
      </w:r>
      <w:proofErr w:type="spellEnd"/>
      <w:r w:rsidRPr="002A61F1">
        <w:t xml:space="preserve"> were higher than one month post-vaccination with </w:t>
      </w:r>
      <w:proofErr w:type="spellStart"/>
      <w:r w:rsidRPr="002A61F1">
        <w:rPr>
          <w:iCs/>
        </w:rPr>
        <w:t>Mencevax</w:t>
      </w:r>
      <w:proofErr w:type="spellEnd"/>
      <w:r w:rsidRPr="002A61F1">
        <w:t xml:space="preserve"> </w:t>
      </w:r>
      <w:r w:rsidR="008E6D1D" w:rsidRPr="008E6D1D">
        <w:t xml:space="preserve">ACWY </w:t>
      </w:r>
      <w:r w:rsidRPr="002A61F1">
        <w:t xml:space="preserve">(post-MPS time point) for </w:t>
      </w:r>
      <w:proofErr w:type="spellStart"/>
      <w:r w:rsidRPr="002A61F1">
        <w:t>serogroups</w:t>
      </w:r>
      <w:proofErr w:type="spellEnd"/>
      <w:r w:rsidRPr="002A61F1">
        <w:t xml:space="preserve"> W-135 and Y, similar for </w:t>
      </w:r>
      <w:proofErr w:type="spellStart"/>
      <w:r w:rsidRPr="002A61F1">
        <w:t>MenC</w:t>
      </w:r>
      <w:proofErr w:type="spellEnd"/>
      <w:r w:rsidRPr="002A61F1">
        <w:t xml:space="preserve"> and lower for </w:t>
      </w:r>
      <w:proofErr w:type="spellStart"/>
      <w:r w:rsidRPr="002A61F1">
        <w:t>MenA</w:t>
      </w:r>
      <w:proofErr w:type="spellEnd"/>
      <w:r w:rsidRPr="002A61F1">
        <w:t xml:space="preserve">. These results confirm the relative </w:t>
      </w:r>
      <w:proofErr w:type="spellStart"/>
      <w:r w:rsidRPr="002A61F1">
        <w:t>hyporesponsiveness</w:t>
      </w:r>
      <w:proofErr w:type="spellEnd"/>
      <w:r w:rsidRPr="002A61F1">
        <w:t xml:space="preserve"> previously reported after </w:t>
      </w:r>
      <w:r w:rsidR="00CF343D">
        <w:t xml:space="preserve">a </w:t>
      </w:r>
      <w:r w:rsidRPr="002A61F1">
        <w:t xml:space="preserve">primary dose of meningococcal PS vaccine followed by conjugate vaccine. However, the high </w:t>
      </w:r>
      <w:proofErr w:type="spellStart"/>
      <w:r w:rsidRPr="002A61F1">
        <w:t>rSBA</w:t>
      </w:r>
      <w:proofErr w:type="spellEnd"/>
      <w:r w:rsidRPr="002A61F1">
        <w:t xml:space="preserve"> GMT achieved for all </w:t>
      </w:r>
      <w:proofErr w:type="spellStart"/>
      <w:r w:rsidRPr="002A61F1">
        <w:t>serogroups</w:t>
      </w:r>
      <w:proofErr w:type="spellEnd"/>
      <w:r w:rsidRPr="002A61F1">
        <w:t xml:space="preserve"> in the MPS group after the </w:t>
      </w:r>
      <w:proofErr w:type="spellStart"/>
      <w:r w:rsidRPr="002A61F1">
        <w:t>Nimenrix</w:t>
      </w:r>
      <w:proofErr w:type="spellEnd"/>
      <w:r w:rsidRPr="002A61F1">
        <w:t xml:space="preserve"> vaccination suggest that if sustained immunity against meningococcal </w:t>
      </w:r>
      <w:proofErr w:type="spellStart"/>
      <w:r w:rsidRPr="002A61F1">
        <w:t>serogroups</w:t>
      </w:r>
      <w:proofErr w:type="spellEnd"/>
      <w:r w:rsidRPr="002A61F1">
        <w:t xml:space="preserve"> is required in subjects previously vaccinated with plain PS meningococcal vaccine, the administration of </w:t>
      </w:r>
      <w:proofErr w:type="spellStart"/>
      <w:r w:rsidRPr="002A61F1">
        <w:t>Nimenrix</w:t>
      </w:r>
      <w:proofErr w:type="spellEnd"/>
      <w:r w:rsidRPr="002A61F1">
        <w:t xml:space="preserve"> is considered safe and immunogenic.</w:t>
      </w:r>
    </w:p>
    <w:p w:rsidR="002A61F1" w:rsidRPr="002A61F1" w:rsidRDefault="002A61F1" w:rsidP="006122D4">
      <w:pPr>
        <w:pStyle w:val="Heading5"/>
      </w:pPr>
      <w:r w:rsidRPr="002A61F1">
        <w:t>One dose versus two dose regimen</w:t>
      </w:r>
    </w:p>
    <w:p w:rsidR="002A61F1" w:rsidRPr="00CF343D" w:rsidRDefault="002A61F1" w:rsidP="006122D4">
      <w:r w:rsidRPr="002A61F1">
        <w:t xml:space="preserve">Study-055 explored the safety and immunogenicity of one dose of </w:t>
      </w:r>
      <w:proofErr w:type="spellStart"/>
      <w:r w:rsidRPr="002A61F1">
        <w:t>Nimenrix</w:t>
      </w:r>
      <w:proofErr w:type="spellEnd"/>
      <w:r w:rsidRPr="002A61F1">
        <w:t xml:space="preserve"> at 12 m</w:t>
      </w:r>
      <w:r w:rsidR="00CF343D">
        <w:t>onths old versus</w:t>
      </w:r>
      <w:r w:rsidRPr="002A61F1">
        <w:t xml:space="preserve"> 2 doses </w:t>
      </w:r>
      <w:r w:rsidR="00CF343D">
        <w:t xml:space="preserve">of </w:t>
      </w:r>
      <w:proofErr w:type="spellStart"/>
      <w:r w:rsidRPr="002A61F1">
        <w:t>Nimenrix</w:t>
      </w:r>
      <w:proofErr w:type="spellEnd"/>
      <w:r w:rsidRPr="002A61F1">
        <w:t xml:space="preserve"> at 9 and 12 m</w:t>
      </w:r>
      <w:r w:rsidR="00CF343D">
        <w:t>on</w:t>
      </w:r>
      <w:r w:rsidRPr="002A61F1">
        <w:t xml:space="preserve">ths of age. The primary objective of immunogenicity of </w:t>
      </w:r>
      <w:proofErr w:type="spellStart"/>
      <w:r w:rsidRPr="002A61F1">
        <w:t>Nimenrix</w:t>
      </w:r>
      <w:proofErr w:type="spellEnd"/>
      <w:r w:rsidRPr="002A61F1">
        <w:t xml:space="preserve"> administered on a 2-dose schedule (at 9 and 12 months of age) was reached, as the LL of the 95% CI for the </w:t>
      </w:r>
      <w:r w:rsidR="00AD1413" w:rsidRPr="00AD1413">
        <w:t xml:space="preserve">percentage </w:t>
      </w:r>
      <w:r w:rsidR="00C976BD">
        <w:t xml:space="preserve">of subjects with </w:t>
      </w:r>
      <w:proofErr w:type="spellStart"/>
      <w:r w:rsidR="00C976BD">
        <w:t>hSBA</w:t>
      </w:r>
      <w:proofErr w:type="spellEnd"/>
      <w:r w:rsidR="00C976BD">
        <w:t xml:space="preserve"> </w:t>
      </w:r>
      <w:proofErr w:type="spellStart"/>
      <w:r w:rsidR="00C976BD">
        <w:t>titers</w:t>
      </w:r>
      <w:proofErr w:type="spellEnd"/>
      <w:r w:rsidR="00C976BD">
        <w:t xml:space="preserve"> ≥ </w:t>
      </w:r>
      <w:r w:rsidRPr="002A61F1">
        <w:t xml:space="preserve">1:8 post-dose 2 was above the pre-specified limit of 90% for </w:t>
      </w:r>
      <w:proofErr w:type="spellStart"/>
      <w:r w:rsidRPr="002A61F1">
        <w:t>hSBA-MenC</w:t>
      </w:r>
      <w:proofErr w:type="spellEnd"/>
      <w:r w:rsidRPr="002A61F1">
        <w:t xml:space="preserve"> (LL is 97.3%), and 80% for </w:t>
      </w:r>
      <w:proofErr w:type="spellStart"/>
      <w:r w:rsidRPr="002A61F1">
        <w:t>hSBA-MenA</w:t>
      </w:r>
      <w:proofErr w:type="spellEnd"/>
      <w:r w:rsidRPr="002A61F1">
        <w:t xml:space="preserve">, W-135 and Y (LL is 81.9%, 96.2% and 96.2% respectively). In an exploratory evaluation, the </w:t>
      </w:r>
      <w:r w:rsidR="00AD1413" w:rsidRPr="00AD1413">
        <w:t xml:space="preserve">percentage </w:t>
      </w:r>
      <w:r w:rsidRPr="002A61F1">
        <w:t xml:space="preserve">of subjects with </w:t>
      </w:r>
      <w:proofErr w:type="spellStart"/>
      <w:r w:rsidRPr="002A61F1">
        <w:t>hSBA</w:t>
      </w:r>
      <w:proofErr w:type="spellEnd"/>
      <w:r w:rsidRPr="002A61F1">
        <w:t xml:space="preserve"> ≥ 1:8 was significantly higher in those receiving prime-boost for all </w:t>
      </w:r>
      <w:proofErr w:type="spellStart"/>
      <w:r w:rsidRPr="002A61F1">
        <w:t>serogroups</w:t>
      </w:r>
      <w:proofErr w:type="spellEnd"/>
      <w:r w:rsidRPr="002A61F1">
        <w:t xml:space="preserve">. </w:t>
      </w:r>
      <w:r w:rsidR="00C976BD">
        <w:t>There was n</w:t>
      </w:r>
      <w:r w:rsidRPr="002A61F1">
        <w:t xml:space="preserve">o safety or tolerability cost to the two dose strategy. </w:t>
      </w:r>
    </w:p>
    <w:p w:rsidR="002A61F1" w:rsidRPr="00CF343D" w:rsidRDefault="002A61F1" w:rsidP="006122D4">
      <w:pPr>
        <w:pStyle w:val="Heading5"/>
      </w:pPr>
      <w:r w:rsidRPr="00CF343D">
        <w:t xml:space="preserve">Immune </w:t>
      </w:r>
      <w:r w:rsidR="00CF343D">
        <w:t>p</w:t>
      </w:r>
      <w:r w:rsidRPr="00CF343D">
        <w:t xml:space="preserve">ersistence </w:t>
      </w:r>
      <w:r w:rsidR="00CF343D">
        <w:t>s</w:t>
      </w:r>
      <w:r w:rsidRPr="00CF343D">
        <w:t xml:space="preserve">tudies </w:t>
      </w:r>
    </w:p>
    <w:p w:rsidR="002A61F1" w:rsidRPr="00CF343D" w:rsidRDefault="002A61F1" w:rsidP="006122D4">
      <w:r w:rsidRPr="00CF343D">
        <w:t xml:space="preserve">The persistence of the immune response elicited by </w:t>
      </w:r>
      <w:proofErr w:type="spellStart"/>
      <w:r w:rsidRPr="00CF343D">
        <w:t>Nimenrix</w:t>
      </w:r>
      <w:proofErr w:type="spellEnd"/>
      <w:r w:rsidRPr="00CF343D">
        <w:t xml:space="preserve"> was evaluated 12 to 42 months after vaccination in subjects aged 12 mont</w:t>
      </w:r>
      <w:r w:rsidR="00CF343D">
        <w:t>hs to 55 years. The persistence</w:t>
      </w:r>
      <w:r w:rsidRPr="00CF343D">
        <w:t xml:space="preserve"> studies are presented in the table below.</w:t>
      </w:r>
    </w:p>
    <w:p w:rsidR="00CF343D" w:rsidRPr="00CF343D" w:rsidRDefault="00E02A1E" w:rsidP="006A4578">
      <w:pPr>
        <w:pStyle w:val="TableTitle"/>
      </w:pPr>
      <w:r>
        <w:lastRenderedPageBreak/>
        <w:t>Table 12.</w:t>
      </w:r>
      <w:r w:rsidR="002A61F1" w:rsidRPr="00CF343D">
        <w:t xml:space="preserve"> Persistence/</w:t>
      </w:r>
      <w:proofErr w:type="spellStart"/>
      <w:r w:rsidR="002A61F1" w:rsidRPr="00CF343D">
        <w:t>boostability</w:t>
      </w:r>
      <w:proofErr w:type="spellEnd"/>
      <w:r w:rsidR="002A61F1" w:rsidRPr="00CF343D">
        <w:t xml:space="preserve"> studies to support the safety and immunogenicity of </w:t>
      </w:r>
      <w:proofErr w:type="spellStart"/>
      <w:r w:rsidR="002A61F1" w:rsidRPr="00CF343D">
        <w:t>Nimenrix</w:t>
      </w:r>
      <w:proofErr w:type="spellEnd"/>
    </w:p>
    <w:p w:rsidR="00CF343D" w:rsidRDefault="00CF343D" w:rsidP="006A4578">
      <w:r>
        <w:rPr>
          <w:noProof/>
          <w:lang w:eastAsia="en-AU"/>
        </w:rPr>
        <w:drawing>
          <wp:inline distT="0" distB="0" distL="0" distR="0">
            <wp:extent cx="5240853" cy="3792042"/>
            <wp:effectExtent l="19050" t="0" r="0" b="0"/>
            <wp:docPr id="11" name="Picture 11" descr="Table 12. Persistence/boostability studies to support the safety and immunogenicity of Nimen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238105" cy="3790054"/>
                    </a:xfrm>
                    <a:prstGeom prst="rect">
                      <a:avLst/>
                    </a:prstGeom>
                    <a:noFill/>
                    <a:ln w="9525">
                      <a:noFill/>
                      <a:miter lim="800000"/>
                      <a:headEnd/>
                      <a:tailEnd/>
                    </a:ln>
                  </pic:spPr>
                </pic:pic>
              </a:graphicData>
            </a:graphic>
          </wp:inline>
        </w:drawing>
      </w:r>
    </w:p>
    <w:p w:rsidR="002A61F1" w:rsidRPr="00CF343D" w:rsidRDefault="00CF343D" w:rsidP="006A4578">
      <w:pPr>
        <w:pStyle w:val="ListBullet"/>
      </w:pPr>
      <w:r>
        <w:t>I</w:t>
      </w:r>
      <w:r w:rsidR="002A61F1" w:rsidRPr="00CF343D">
        <w:t>n children primed at 12-23 months of age</w:t>
      </w:r>
    </w:p>
    <w:p w:rsidR="00420947" w:rsidRDefault="002A61F1" w:rsidP="006A4578">
      <w:r w:rsidRPr="00CF343D">
        <w:rPr>
          <w:i/>
          <w:iCs/>
        </w:rPr>
        <w:t xml:space="preserve">Using </w:t>
      </w:r>
      <w:proofErr w:type="spellStart"/>
      <w:r w:rsidRPr="00CF343D">
        <w:rPr>
          <w:i/>
          <w:iCs/>
        </w:rPr>
        <w:t>rSBA</w:t>
      </w:r>
      <w:proofErr w:type="spellEnd"/>
      <w:r w:rsidRPr="00CF343D">
        <w:rPr>
          <w:i/>
          <w:iCs/>
        </w:rPr>
        <w:t xml:space="preserve"> titres:</w:t>
      </w:r>
      <w:r w:rsidRPr="00CF343D">
        <w:t xml:space="preserve"> Persistence of the immune response in subjects primed at age 12-23 months was assessed in a number of studies (Study 014, 028, 029, 030, 048, and 062). The </w:t>
      </w:r>
      <w:r w:rsidR="00AD1413" w:rsidRPr="00AD1413">
        <w:t xml:space="preserve">percentage </w:t>
      </w:r>
      <w:r w:rsidRPr="00CF343D">
        <w:t xml:space="preserve">of subjects with </w:t>
      </w:r>
      <w:proofErr w:type="spellStart"/>
      <w:r w:rsidRPr="00CF343D">
        <w:t>rSBA</w:t>
      </w:r>
      <w:proofErr w:type="spellEnd"/>
      <w:r w:rsidRPr="00CF343D">
        <w:t xml:space="preserve"> ≥ 8 post-vaccination with </w:t>
      </w:r>
      <w:proofErr w:type="spellStart"/>
      <w:r w:rsidRPr="00CF343D">
        <w:t>Nimenrix</w:t>
      </w:r>
      <w:proofErr w:type="spellEnd"/>
      <w:r w:rsidRPr="00CF343D">
        <w:t xml:space="preserve"> </w:t>
      </w:r>
      <w:r w:rsidR="00420947">
        <w:t xml:space="preserve">at </w:t>
      </w:r>
      <w:r w:rsidRPr="00CF343D">
        <w:t xml:space="preserve">12, 15, 24 and 36 months remained high for all </w:t>
      </w:r>
      <w:proofErr w:type="spellStart"/>
      <w:r w:rsidRPr="00CF343D">
        <w:t>serogroups</w:t>
      </w:r>
      <w:proofErr w:type="spellEnd"/>
      <w:r w:rsidRPr="00CF343D">
        <w:t xml:space="preserve"> (≥ 94.7% for </w:t>
      </w:r>
      <w:proofErr w:type="spellStart"/>
      <w:r w:rsidRPr="00CF343D">
        <w:t>s</w:t>
      </w:r>
      <w:r w:rsidR="00C976BD">
        <w:t>erogroups</w:t>
      </w:r>
      <w:proofErr w:type="spellEnd"/>
      <w:r w:rsidR="00C976BD">
        <w:t xml:space="preserve"> A, W-135 and Y, and ≥ </w:t>
      </w:r>
      <w:r w:rsidRPr="00CF343D">
        <w:t xml:space="preserve">87.4% for </w:t>
      </w:r>
      <w:proofErr w:type="spellStart"/>
      <w:r w:rsidRPr="00CF343D">
        <w:t>serogroup</w:t>
      </w:r>
      <w:proofErr w:type="spellEnd"/>
      <w:r w:rsidRPr="00CF343D">
        <w:t xml:space="preserve"> C). The </w:t>
      </w:r>
      <w:proofErr w:type="spellStart"/>
      <w:r w:rsidRPr="00CF343D">
        <w:t>rSBA</w:t>
      </w:r>
      <w:proofErr w:type="spellEnd"/>
      <w:r w:rsidRPr="00CF343D">
        <w:t xml:space="preserve"> GMTs decreased between 1 month post-vaccination and the persistence time points but remained higher than prior to vaccination for the 4 </w:t>
      </w:r>
      <w:proofErr w:type="spellStart"/>
      <w:r w:rsidRPr="00CF343D">
        <w:t>serogroups</w:t>
      </w:r>
      <w:proofErr w:type="spellEnd"/>
      <w:r w:rsidRPr="00CF343D">
        <w:t xml:space="preserve">. </w:t>
      </w:r>
    </w:p>
    <w:p w:rsidR="002A61F1" w:rsidRPr="00CF343D" w:rsidRDefault="002A61F1" w:rsidP="006A4578">
      <w:r w:rsidRPr="00CF343D">
        <w:t xml:space="preserve">In studies including </w:t>
      </w:r>
      <w:proofErr w:type="spellStart"/>
      <w:r w:rsidRPr="00CF343D">
        <w:t>Meningitec</w:t>
      </w:r>
      <w:proofErr w:type="spellEnd"/>
      <w:r w:rsidRPr="00CF343D">
        <w:t xml:space="preserve"> as a control, the </w:t>
      </w:r>
      <w:r w:rsidR="00AD1413" w:rsidRPr="00AD1413">
        <w:t xml:space="preserve">percentage </w:t>
      </w:r>
      <w:r w:rsidR="00C976BD">
        <w:t xml:space="preserve">of subjects with </w:t>
      </w:r>
      <w:proofErr w:type="spellStart"/>
      <w:r w:rsidR="00C976BD">
        <w:t>MenC</w:t>
      </w:r>
      <w:proofErr w:type="spellEnd"/>
      <w:r w:rsidR="00C976BD">
        <w:t xml:space="preserve"> </w:t>
      </w:r>
      <w:proofErr w:type="spellStart"/>
      <w:r w:rsidR="00C976BD">
        <w:t>rSBA</w:t>
      </w:r>
      <w:proofErr w:type="spellEnd"/>
      <w:r w:rsidR="00C976BD">
        <w:t xml:space="preserve"> ≥ </w:t>
      </w:r>
      <w:r w:rsidRPr="00CF343D">
        <w:t xml:space="preserve">8 at the persistence time points were significantly higher in subjects vaccinated with </w:t>
      </w:r>
      <w:proofErr w:type="spellStart"/>
      <w:r w:rsidRPr="00CF343D">
        <w:t>Nimenrix</w:t>
      </w:r>
      <w:proofErr w:type="spellEnd"/>
      <w:r w:rsidRPr="00CF343D">
        <w:t xml:space="preserve"> than in those vaccinated with </w:t>
      </w:r>
      <w:proofErr w:type="spellStart"/>
      <w:r w:rsidRPr="00CF343D">
        <w:t>Meningitec</w:t>
      </w:r>
      <w:proofErr w:type="spellEnd"/>
      <w:r w:rsidRPr="00CF343D">
        <w:t xml:space="preserve"> except in Study -030. In Study 014, there were increases in GMTs for the 4 </w:t>
      </w:r>
      <w:proofErr w:type="spellStart"/>
      <w:r w:rsidRPr="00CF343D">
        <w:t>serogroups</w:t>
      </w:r>
      <w:proofErr w:type="spellEnd"/>
      <w:r w:rsidRPr="00CF343D">
        <w:t xml:space="preserve"> at 1 month post-boosting with </w:t>
      </w:r>
      <w:r w:rsidR="00C976BD">
        <w:t xml:space="preserve">one fifth </w:t>
      </w:r>
      <w:r w:rsidRPr="00CF343D">
        <w:t xml:space="preserve">dose of </w:t>
      </w:r>
      <w:proofErr w:type="spellStart"/>
      <w:r w:rsidRPr="00CF343D">
        <w:t>Mencevax</w:t>
      </w:r>
      <w:proofErr w:type="spellEnd"/>
      <w:r w:rsidRPr="00CF343D">
        <w:t xml:space="preserve"> </w:t>
      </w:r>
      <w:r w:rsidR="008E6D1D" w:rsidRPr="008E6D1D">
        <w:t xml:space="preserve">ACWY </w:t>
      </w:r>
      <w:r w:rsidRPr="00CF343D">
        <w:t xml:space="preserve">(plain ACWY vaccine) irrespective of which vaccine they were primed with, and for </w:t>
      </w:r>
      <w:proofErr w:type="spellStart"/>
      <w:r w:rsidRPr="00CF343D">
        <w:t>serogroups</w:t>
      </w:r>
      <w:proofErr w:type="spellEnd"/>
      <w:r w:rsidRPr="00CF343D">
        <w:t xml:space="preserve"> A, W and Y, the GMTs were significantly higher </w:t>
      </w:r>
      <w:r w:rsidR="00420947">
        <w:t xml:space="preserve">in the </w:t>
      </w:r>
      <w:proofErr w:type="spellStart"/>
      <w:r w:rsidR="00420947">
        <w:t>Nimenrix</w:t>
      </w:r>
      <w:proofErr w:type="spellEnd"/>
      <w:r w:rsidR="00420947">
        <w:t xml:space="preserve"> primed group versus</w:t>
      </w:r>
      <w:r w:rsidRPr="00CF343D">
        <w:t xml:space="preserve"> </w:t>
      </w:r>
      <w:r w:rsidR="00420947">
        <w:t xml:space="preserve">the </w:t>
      </w:r>
      <w:r w:rsidRPr="00CF343D">
        <w:t xml:space="preserve">control group, indicating the induction of immune memory by the primary vaccination with </w:t>
      </w:r>
      <w:proofErr w:type="spellStart"/>
      <w:r w:rsidRPr="00CF343D">
        <w:t>Nimenrix</w:t>
      </w:r>
      <w:proofErr w:type="spellEnd"/>
      <w:r w:rsidRPr="00CF343D">
        <w:t>.</w:t>
      </w:r>
    </w:p>
    <w:p w:rsidR="002A61F1" w:rsidRPr="002A61F1" w:rsidRDefault="002A61F1" w:rsidP="006A4578">
      <w:r w:rsidRPr="00420947">
        <w:rPr>
          <w:i/>
          <w:iCs/>
        </w:rPr>
        <w:t xml:space="preserve">Using </w:t>
      </w:r>
      <w:proofErr w:type="spellStart"/>
      <w:r w:rsidRPr="00420947">
        <w:rPr>
          <w:i/>
          <w:iCs/>
        </w:rPr>
        <w:t>hSBA</w:t>
      </w:r>
      <w:proofErr w:type="spellEnd"/>
      <w:r w:rsidRPr="00420947">
        <w:rPr>
          <w:i/>
          <w:iCs/>
        </w:rPr>
        <w:t xml:space="preserve"> titres:</w:t>
      </w:r>
      <w:r w:rsidRPr="00CF343D">
        <w:t xml:space="preserve"> 12-36 months post-vaccination with </w:t>
      </w:r>
      <w:proofErr w:type="spellStart"/>
      <w:r w:rsidRPr="00CF343D">
        <w:t>Nimenrix</w:t>
      </w:r>
      <w:proofErr w:type="spellEnd"/>
      <w:r w:rsidRPr="00CF343D">
        <w:t xml:space="preserve">, the </w:t>
      </w:r>
      <w:r w:rsidR="00AD1413" w:rsidRPr="00AD1413">
        <w:t xml:space="preserve">percentage </w:t>
      </w:r>
      <w:r w:rsidRPr="00CF343D">
        <w:t xml:space="preserve">of subjects with </w:t>
      </w:r>
      <w:proofErr w:type="spellStart"/>
      <w:r w:rsidRPr="00CF343D">
        <w:t>hSBA-MenA</w:t>
      </w:r>
      <w:proofErr w:type="spellEnd"/>
      <w:r w:rsidRPr="00CF343D">
        <w:t xml:space="preserve"> ≥ 4 and ≥ 8 were low </w:t>
      </w:r>
      <w:r w:rsidR="00420947">
        <w:t xml:space="preserve">at </w:t>
      </w:r>
      <w:r w:rsidRPr="00CF343D">
        <w:t>21.8-25.1% and 5.6-23.0%</w:t>
      </w:r>
      <w:r w:rsidR="00420947">
        <w:t>,</w:t>
      </w:r>
      <w:r w:rsidRPr="00CF343D">
        <w:t xml:space="preserve"> respectively. In contrast, </w:t>
      </w:r>
      <w:proofErr w:type="spellStart"/>
      <w:r w:rsidRPr="00CF343D">
        <w:t>hSBA-MenC</w:t>
      </w:r>
      <w:proofErr w:type="spellEnd"/>
      <w:r w:rsidRPr="00CF343D">
        <w:t xml:space="preserve"> ≥ 4 and ≥ 8 ranged from 87.5-96.3% in </w:t>
      </w:r>
      <w:proofErr w:type="spellStart"/>
      <w:r w:rsidRPr="00CF343D">
        <w:t>Nimenrix</w:t>
      </w:r>
      <w:proofErr w:type="spellEnd"/>
      <w:r w:rsidRPr="00CF343D">
        <w:t xml:space="preserve"> recipients and 52.6-75.8% in </w:t>
      </w:r>
      <w:proofErr w:type="spellStart"/>
      <w:r w:rsidRPr="00CF343D">
        <w:t>Meningitec</w:t>
      </w:r>
      <w:proofErr w:type="spellEnd"/>
      <w:r w:rsidRPr="00CF343D">
        <w:t xml:space="preserve"> recipients. The </w:t>
      </w:r>
      <w:r w:rsidR="00AD1413" w:rsidRPr="00AD1413">
        <w:t xml:space="preserve">percentage </w:t>
      </w:r>
      <w:r w:rsidRPr="00CF343D">
        <w:t xml:space="preserve">of subjects with </w:t>
      </w:r>
      <w:proofErr w:type="spellStart"/>
      <w:r w:rsidRPr="00CF343D">
        <w:t>hSBA-MenC</w:t>
      </w:r>
      <w:proofErr w:type="spellEnd"/>
      <w:r w:rsidRPr="00CF343D">
        <w:t xml:space="preserve"> ≥ 4 and ≥ 8 and GMTs were h</w:t>
      </w:r>
      <w:r w:rsidR="00420947">
        <w:t xml:space="preserve">igher in the </w:t>
      </w:r>
      <w:proofErr w:type="spellStart"/>
      <w:r w:rsidR="00420947">
        <w:t>Nimenrix</w:t>
      </w:r>
      <w:proofErr w:type="spellEnd"/>
      <w:r w:rsidR="00420947">
        <w:t xml:space="preserve"> groups versus</w:t>
      </w:r>
      <w:r w:rsidRPr="00CF343D">
        <w:t xml:space="preserve"> </w:t>
      </w:r>
      <w:proofErr w:type="spellStart"/>
      <w:r w:rsidRPr="00CF343D">
        <w:t>Meningitec</w:t>
      </w:r>
      <w:proofErr w:type="spellEnd"/>
      <w:r w:rsidRPr="00CF343D">
        <w:t xml:space="preserve"> groups except in Study -030 at month 36. The </w:t>
      </w:r>
      <w:r w:rsidR="00AD1413" w:rsidRPr="00AD1413">
        <w:t xml:space="preserve">percentage </w:t>
      </w:r>
      <w:r w:rsidRPr="00CF343D">
        <w:t xml:space="preserve">of subjects with </w:t>
      </w:r>
      <w:proofErr w:type="spellStart"/>
      <w:r w:rsidRPr="00CF343D">
        <w:t>hSBA</w:t>
      </w:r>
      <w:proofErr w:type="spellEnd"/>
      <w:r w:rsidRPr="00CF343D">
        <w:t xml:space="preserve"> MenW-135 ≥ 4 and ≥ 8 ranged from 79.9-100% </w:t>
      </w:r>
      <w:r w:rsidR="00420947">
        <w:t xml:space="preserve">at </w:t>
      </w:r>
      <w:r w:rsidRPr="00CF343D">
        <w:t xml:space="preserve">12 to 36 months post-vaccination with </w:t>
      </w:r>
      <w:proofErr w:type="spellStart"/>
      <w:r w:rsidRPr="00CF343D">
        <w:t>Nimenrix</w:t>
      </w:r>
      <w:proofErr w:type="spellEnd"/>
      <w:r w:rsidRPr="00CF343D">
        <w:t xml:space="preserve">. Similarly, the </w:t>
      </w:r>
      <w:r w:rsidR="00AD1413" w:rsidRPr="00AD1413">
        <w:t xml:space="preserve">percentage </w:t>
      </w:r>
      <w:r w:rsidRPr="00CF343D">
        <w:t xml:space="preserve">with </w:t>
      </w:r>
      <w:proofErr w:type="spellStart"/>
      <w:r w:rsidRPr="00CF343D">
        <w:t>hSBA</w:t>
      </w:r>
      <w:proofErr w:type="spellEnd"/>
      <w:r w:rsidRPr="00CF343D">
        <w:t xml:space="preserve"> </w:t>
      </w:r>
      <w:proofErr w:type="spellStart"/>
      <w:r w:rsidRPr="00CF343D">
        <w:t>MenY</w:t>
      </w:r>
      <w:proofErr w:type="spellEnd"/>
      <w:r w:rsidRPr="00CF343D">
        <w:t xml:space="preserve"> ≥ 4 and ≥ 8 ranged from 73.6% to 96.2%. Par</w:t>
      </w:r>
      <w:r w:rsidR="00420947">
        <w:t>a</w:t>
      </w:r>
      <w:r w:rsidRPr="00CF343D">
        <w:t>do</w:t>
      </w:r>
      <w:r w:rsidR="00C976BD">
        <w:t xml:space="preserve">xically, in Study-027, </w:t>
      </w:r>
      <w:proofErr w:type="spellStart"/>
      <w:r w:rsidR="00C976BD">
        <w:t>hSBA</w:t>
      </w:r>
      <w:proofErr w:type="spellEnd"/>
      <w:r w:rsidR="00C976BD">
        <w:t xml:space="preserve"> to Men</w:t>
      </w:r>
      <w:r w:rsidRPr="00CF343D">
        <w:t>W</w:t>
      </w:r>
      <w:r w:rsidR="00C976BD">
        <w:t>-135</w:t>
      </w:r>
      <w:r w:rsidRPr="00CF343D">
        <w:t xml:space="preserve"> and </w:t>
      </w:r>
      <w:proofErr w:type="spellStart"/>
      <w:r w:rsidR="00C976BD">
        <w:t>Men</w:t>
      </w:r>
      <w:r w:rsidRPr="00CF343D">
        <w:t>Y</w:t>
      </w:r>
      <w:proofErr w:type="spellEnd"/>
      <w:r w:rsidRPr="00CF343D">
        <w:t xml:space="preserve"> were higher at month 12 post vaccination and fell in subsequent visits. Overall, the data suggest that age at vaccination in the </w:t>
      </w:r>
      <w:r w:rsidR="00420947">
        <w:t>second</w:t>
      </w:r>
      <w:r w:rsidRPr="00CF343D">
        <w:t xml:space="preserve"> year of life does not generally impact the </w:t>
      </w:r>
      <w:r w:rsidR="00AD1413" w:rsidRPr="00AD1413">
        <w:t xml:space="preserve">percentage </w:t>
      </w:r>
      <w:r w:rsidRPr="00CF343D">
        <w:t xml:space="preserve">of subjects with SBA ≥ 8 at </w:t>
      </w:r>
      <w:r w:rsidRPr="00CF343D">
        <w:lastRenderedPageBreak/>
        <w:t xml:space="preserve">persistence time-points and the persistence in terms of </w:t>
      </w:r>
      <w:r w:rsidR="00AD1413" w:rsidRPr="00AD1413">
        <w:t xml:space="preserve">percentage </w:t>
      </w:r>
      <w:r w:rsidRPr="00CF343D">
        <w:t>of subjects with SBA</w:t>
      </w:r>
      <w:r w:rsidRPr="002A61F1">
        <w:t xml:space="preserve"> titres above cut-off and GMTs was higher in the </w:t>
      </w:r>
      <w:proofErr w:type="spellStart"/>
      <w:r w:rsidRPr="002A61F1">
        <w:t>Nimenrix</w:t>
      </w:r>
      <w:proofErr w:type="spellEnd"/>
      <w:r w:rsidRPr="002A61F1">
        <w:t xml:space="preserve"> group than</w:t>
      </w:r>
      <w:r w:rsidR="00420947">
        <w:t xml:space="preserve"> in</w:t>
      </w:r>
      <w:r w:rsidRPr="002A61F1">
        <w:t xml:space="preserve"> </w:t>
      </w:r>
      <w:r w:rsidR="00420947">
        <w:t xml:space="preserve">the </w:t>
      </w:r>
      <w:proofErr w:type="spellStart"/>
      <w:r w:rsidRPr="002A61F1">
        <w:t>MenC</w:t>
      </w:r>
      <w:proofErr w:type="spellEnd"/>
      <w:r w:rsidRPr="002A61F1">
        <w:t xml:space="preserve"> control group.</w:t>
      </w:r>
    </w:p>
    <w:p w:rsidR="002A61F1" w:rsidRPr="00420947" w:rsidRDefault="00420947" w:rsidP="006A4578">
      <w:pPr>
        <w:pStyle w:val="ListBullet"/>
      </w:pPr>
      <w:r>
        <w:t>I</w:t>
      </w:r>
      <w:r w:rsidR="002A61F1" w:rsidRPr="00420947">
        <w:t>n children /adolescents vaccinated between 2 and 17 years old</w:t>
      </w:r>
    </w:p>
    <w:p w:rsidR="00420947" w:rsidRDefault="002A61F1" w:rsidP="006A4578">
      <w:r w:rsidRPr="00420947">
        <w:rPr>
          <w:i/>
          <w:iCs/>
        </w:rPr>
        <w:t xml:space="preserve">Using </w:t>
      </w:r>
      <w:proofErr w:type="spellStart"/>
      <w:r w:rsidRPr="00420947">
        <w:rPr>
          <w:i/>
          <w:iCs/>
        </w:rPr>
        <w:t>rSBA</w:t>
      </w:r>
      <w:proofErr w:type="spellEnd"/>
      <w:r w:rsidRPr="00420947">
        <w:rPr>
          <w:i/>
          <w:iCs/>
        </w:rPr>
        <w:t xml:space="preserve"> titres:</w:t>
      </w:r>
      <w:r w:rsidRPr="00420947">
        <w:t xml:space="preserve"> For subjects primed at 2-10 y</w:t>
      </w:r>
      <w:r w:rsidR="00420947">
        <w:t>ea</w:t>
      </w:r>
      <w:r w:rsidRPr="00420947">
        <w:t xml:space="preserve">rs of age, persistence of immune response was evaluated at different time </w:t>
      </w:r>
      <w:r w:rsidR="00420947">
        <w:t>points post-vaccination in Studies</w:t>
      </w:r>
      <w:r w:rsidRPr="00420947">
        <w:t xml:space="preserve"> </w:t>
      </w:r>
      <w:r w:rsidR="00420947">
        <w:t>-</w:t>
      </w:r>
      <w:r w:rsidRPr="00420947">
        <w:t>14,</w:t>
      </w:r>
      <w:r w:rsidR="00420947">
        <w:t>-</w:t>
      </w:r>
      <w:r w:rsidRPr="00420947">
        <w:t xml:space="preserve">028, </w:t>
      </w:r>
      <w:r w:rsidR="00420947">
        <w:t>-</w:t>
      </w:r>
      <w:r w:rsidRPr="00420947">
        <w:t xml:space="preserve">029 and </w:t>
      </w:r>
      <w:r w:rsidR="00420947">
        <w:t>-</w:t>
      </w:r>
      <w:r w:rsidRPr="00420947">
        <w:t>030. For subjects primed at 11-17 y</w:t>
      </w:r>
      <w:r w:rsidR="00420947">
        <w:t>ea</w:t>
      </w:r>
      <w:r w:rsidRPr="00420947">
        <w:t>rs of age, persistence w</w:t>
      </w:r>
      <w:r w:rsidR="00420947">
        <w:t xml:space="preserve">as </w:t>
      </w:r>
      <w:r w:rsidRPr="00420947">
        <w:t xml:space="preserve">evaluated 12 and 24 months after vaccination in </w:t>
      </w:r>
      <w:r w:rsidR="00420947">
        <w:t>S</w:t>
      </w:r>
      <w:r w:rsidRPr="00420947">
        <w:t>tudies -016/-017 and 24 months after vaccination in Study</w:t>
      </w:r>
      <w:r w:rsidR="00420947">
        <w:t xml:space="preserve"> </w:t>
      </w:r>
      <w:r w:rsidR="00420947">
        <w:noBreakHyphen/>
      </w:r>
      <w:r w:rsidRPr="00420947">
        <w:t xml:space="preserve">043. </w:t>
      </w:r>
    </w:p>
    <w:p w:rsidR="002A61F1" w:rsidRPr="00420947" w:rsidRDefault="002A61F1" w:rsidP="006A4578">
      <w:r w:rsidRPr="00420947">
        <w:t xml:space="preserve">In all persistence studies and in both age strata the </w:t>
      </w:r>
      <w:r w:rsidR="00AD1413" w:rsidRPr="00AD1413">
        <w:t xml:space="preserve">percentage </w:t>
      </w:r>
      <w:r w:rsidRPr="00420947">
        <w:t xml:space="preserve">of subjects with </w:t>
      </w:r>
      <w:proofErr w:type="spellStart"/>
      <w:r w:rsidRPr="00420947">
        <w:t>rSBA</w:t>
      </w:r>
      <w:proofErr w:type="spellEnd"/>
      <w:r w:rsidRPr="00420947">
        <w:t xml:space="preserve"> ≥ 8 post-vaccination with </w:t>
      </w:r>
      <w:proofErr w:type="spellStart"/>
      <w:r w:rsidRPr="00420947">
        <w:t>Nimenrix</w:t>
      </w:r>
      <w:proofErr w:type="spellEnd"/>
      <w:r w:rsidRPr="00420947">
        <w:t xml:space="preserve"> at the persistence time points remained high for all </w:t>
      </w:r>
      <w:proofErr w:type="spellStart"/>
      <w:r w:rsidRPr="00420947">
        <w:t>serogroups</w:t>
      </w:r>
      <w:proofErr w:type="spellEnd"/>
      <w:r w:rsidRPr="00420947">
        <w:t xml:space="preserve"> (≥ 98.6%). The </w:t>
      </w:r>
      <w:proofErr w:type="spellStart"/>
      <w:r w:rsidRPr="00420947">
        <w:t>rSBA</w:t>
      </w:r>
      <w:proofErr w:type="spellEnd"/>
      <w:r w:rsidRPr="00420947">
        <w:t xml:space="preserve"> GMTs decreased between 1 month post vaccination and the persistence time points but remained higher than prior to vaccination for all 4 </w:t>
      </w:r>
      <w:proofErr w:type="spellStart"/>
      <w:r w:rsidRPr="00420947">
        <w:t>serogroups</w:t>
      </w:r>
      <w:proofErr w:type="spellEnd"/>
      <w:r w:rsidRPr="00420947">
        <w:t xml:space="preserve">. Exploratory analyses to compare immune persistence after </w:t>
      </w:r>
      <w:proofErr w:type="spellStart"/>
      <w:r w:rsidRPr="00420947">
        <w:t>Nimenrix</w:t>
      </w:r>
      <w:proofErr w:type="spellEnd"/>
      <w:r w:rsidRPr="00420947">
        <w:t xml:space="preserve"> and </w:t>
      </w:r>
      <w:proofErr w:type="spellStart"/>
      <w:r w:rsidRPr="00420947">
        <w:t>Mencevax</w:t>
      </w:r>
      <w:proofErr w:type="spellEnd"/>
      <w:r w:rsidRPr="00420947">
        <w:t xml:space="preserve"> </w:t>
      </w:r>
      <w:r w:rsidR="008E6D1D" w:rsidRPr="008E6D1D">
        <w:t xml:space="preserve">ACWY </w:t>
      </w:r>
      <w:r w:rsidRPr="00420947">
        <w:t xml:space="preserve">showed that </w:t>
      </w:r>
      <w:proofErr w:type="spellStart"/>
      <w:r w:rsidRPr="00420947">
        <w:t>rSBA</w:t>
      </w:r>
      <w:proofErr w:type="spellEnd"/>
      <w:r w:rsidRPr="00420947">
        <w:t xml:space="preserve"> GMTs for all 4 </w:t>
      </w:r>
      <w:proofErr w:type="spellStart"/>
      <w:r w:rsidRPr="00420947">
        <w:t>serogroups</w:t>
      </w:r>
      <w:proofErr w:type="spellEnd"/>
      <w:r w:rsidRPr="00420947">
        <w:t xml:space="preserve"> were higher with </w:t>
      </w:r>
      <w:proofErr w:type="spellStart"/>
      <w:r w:rsidRPr="00420947">
        <w:t>Nimenrix</w:t>
      </w:r>
      <w:proofErr w:type="spellEnd"/>
      <w:r w:rsidRPr="00420947">
        <w:t xml:space="preserve"> 15 and 24 months post vaccination in subjects vaccinated at 2-10 y</w:t>
      </w:r>
      <w:r w:rsidR="00420947">
        <w:t>ea</w:t>
      </w:r>
      <w:r w:rsidRPr="00420947">
        <w:t>rs of age (-014 and-029). In -043 (subjects vaccinated at 11-17 y</w:t>
      </w:r>
      <w:r w:rsidR="00420947">
        <w:t>ea</w:t>
      </w:r>
      <w:r w:rsidRPr="00420947">
        <w:t xml:space="preserve">rs of age), 24 months after vaccination, the </w:t>
      </w:r>
      <w:proofErr w:type="spellStart"/>
      <w:r w:rsidRPr="00420947">
        <w:t>rSBA</w:t>
      </w:r>
      <w:proofErr w:type="spellEnd"/>
      <w:r w:rsidRPr="00420947">
        <w:t xml:space="preserve"> GMTs for </w:t>
      </w:r>
      <w:proofErr w:type="spellStart"/>
      <w:r w:rsidRPr="00420947">
        <w:t>MenA</w:t>
      </w:r>
      <w:proofErr w:type="spellEnd"/>
      <w:r w:rsidRPr="00420947">
        <w:t xml:space="preserve">, W-135 </w:t>
      </w:r>
      <w:r w:rsidR="00420947">
        <w:t xml:space="preserve">and Y were higher in </w:t>
      </w:r>
      <w:proofErr w:type="spellStart"/>
      <w:r w:rsidR="00420947">
        <w:t>Nimenrix</w:t>
      </w:r>
      <w:proofErr w:type="spellEnd"/>
      <w:r w:rsidR="00420947">
        <w:t xml:space="preserve"> versus</w:t>
      </w:r>
      <w:r w:rsidRPr="00420947">
        <w:t xml:space="preserve"> </w:t>
      </w:r>
      <w:proofErr w:type="spellStart"/>
      <w:r w:rsidRPr="00420947">
        <w:t>Mencevax</w:t>
      </w:r>
      <w:proofErr w:type="spellEnd"/>
      <w:r w:rsidRPr="00420947">
        <w:t xml:space="preserve"> </w:t>
      </w:r>
      <w:r w:rsidR="008E6D1D" w:rsidRPr="008E6D1D">
        <w:t xml:space="preserve">ACWY </w:t>
      </w:r>
      <w:r w:rsidRPr="00420947">
        <w:t xml:space="preserve">recipients, but </w:t>
      </w:r>
      <w:proofErr w:type="spellStart"/>
      <w:r w:rsidRPr="00420947">
        <w:t>rSBA</w:t>
      </w:r>
      <w:proofErr w:type="spellEnd"/>
      <w:r w:rsidRPr="00420947">
        <w:t xml:space="preserve"> GMTs for </w:t>
      </w:r>
      <w:proofErr w:type="spellStart"/>
      <w:r w:rsidRPr="00420947">
        <w:t>MenC</w:t>
      </w:r>
      <w:proofErr w:type="spellEnd"/>
      <w:r w:rsidRPr="00420947">
        <w:t xml:space="preserve"> were lower in </w:t>
      </w:r>
      <w:proofErr w:type="spellStart"/>
      <w:r w:rsidRPr="00420947">
        <w:t>Nimenrix</w:t>
      </w:r>
      <w:proofErr w:type="spellEnd"/>
      <w:r w:rsidRPr="00420947">
        <w:t xml:space="preserve"> recipients.</w:t>
      </w:r>
    </w:p>
    <w:p w:rsidR="002A61F1" w:rsidRPr="00420947" w:rsidRDefault="00420947" w:rsidP="006A4578">
      <w:pPr>
        <w:pStyle w:val="ListBullet"/>
      </w:pPr>
      <w:r>
        <w:t>I</w:t>
      </w:r>
      <w:r w:rsidR="002A61F1" w:rsidRPr="00420947">
        <w:t>n children 2-10 years of age</w:t>
      </w:r>
    </w:p>
    <w:p w:rsidR="002A61F1" w:rsidRPr="00420947" w:rsidRDefault="002A61F1" w:rsidP="006A4578">
      <w:r w:rsidRPr="00420947">
        <w:rPr>
          <w:i/>
          <w:iCs/>
        </w:rPr>
        <w:t xml:space="preserve">Using </w:t>
      </w:r>
      <w:proofErr w:type="spellStart"/>
      <w:r w:rsidRPr="00420947">
        <w:rPr>
          <w:i/>
          <w:iCs/>
        </w:rPr>
        <w:t>hSBA</w:t>
      </w:r>
      <w:proofErr w:type="spellEnd"/>
      <w:r w:rsidRPr="00420947">
        <w:rPr>
          <w:i/>
          <w:iCs/>
        </w:rPr>
        <w:t xml:space="preserve"> titres:</w:t>
      </w:r>
      <w:r w:rsidRPr="00420947">
        <w:t xml:space="preserve"> In studies with children 12-15 months post-vaccination with </w:t>
      </w:r>
      <w:proofErr w:type="spellStart"/>
      <w:r w:rsidRPr="00420947">
        <w:t>Nimenrix</w:t>
      </w:r>
      <w:proofErr w:type="spellEnd"/>
      <w:r w:rsidRPr="00420947">
        <w:t xml:space="preserve">, the </w:t>
      </w:r>
      <w:r w:rsidR="00AD1413" w:rsidRPr="00AD1413">
        <w:t xml:space="preserve">percentage </w:t>
      </w:r>
      <w:r w:rsidRPr="00420947">
        <w:t xml:space="preserve">with </w:t>
      </w:r>
      <w:proofErr w:type="spellStart"/>
      <w:r w:rsidRPr="00420947">
        <w:t>hSBA-MenA</w:t>
      </w:r>
      <w:proofErr w:type="spellEnd"/>
      <w:r w:rsidRPr="00420947">
        <w:t xml:space="preserve"> ≥ 4 and ≥ 8 were low, ranging from 16.3 -31.0%. The </w:t>
      </w:r>
      <w:r w:rsidR="00AD1413" w:rsidRPr="00AD1413">
        <w:t xml:space="preserve">percentage </w:t>
      </w:r>
      <w:r w:rsidRPr="00420947">
        <w:t xml:space="preserve">with </w:t>
      </w:r>
      <w:proofErr w:type="spellStart"/>
      <w:r w:rsidRPr="00420947">
        <w:t>hSBA-MenA</w:t>
      </w:r>
      <w:proofErr w:type="spellEnd"/>
      <w:r w:rsidRPr="00420947">
        <w:t xml:space="preserve"> ≥ 4 and ≥ 8 following </w:t>
      </w:r>
      <w:proofErr w:type="spellStart"/>
      <w:r w:rsidRPr="00420947">
        <w:t>Mencevax</w:t>
      </w:r>
      <w:proofErr w:type="spellEnd"/>
      <w:r w:rsidRPr="00420947">
        <w:t xml:space="preserve"> </w:t>
      </w:r>
      <w:r w:rsidR="008E6D1D" w:rsidRPr="008E6D1D">
        <w:t xml:space="preserve">ACWY </w:t>
      </w:r>
      <w:r w:rsidRPr="00420947">
        <w:t xml:space="preserve">were also low </w:t>
      </w:r>
      <w:r w:rsidR="00B63A28">
        <w:t xml:space="preserve">at </w:t>
      </w:r>
      <w:r w:rsidRPr="00420947">
        <w:t xml:space="preserve">0.0 to 11.4%. The </w:t>
      </w:r>
      <w:r w:rsidR="00AD1413" w:rsidRPr="00AD1413">
        <w:t xml:space="preserve">percentage </w:t>
      </w:r>
      <w:r w:rsidRPr="00420947">
        <w:t xml:space="preserve">with </w:t>
      </w:r>
      <w:proofErr w:type="spellStart"/>
      <w:r w:rsidRPr="00420947">
        <w:t>hSBA</w:t>
      </w:r>
      <w:proofErr w:type="spellEnd"/>
      <w:r w:rsidRPr="00420947">
        <w:t xml:space="preserve"> </w:t>
      </w:r>
      <w:proofErr w:type="spellStart"/>
      <w:r w:rsidRPr="00420947">
        <w:t>MenC</w:t>
      </w:r>
      <w:proofErr w:type="spellEnd"/>
      <w:r w:rsidRPr="00420947">
        <w:t xml:space="preserve"> ≥ 4 and ≥ 8 was 94.3-98.2% for </w:t>
      </w:r>
      <w:r w:rsidR="00B63A28">
        <w:t xml:space="preserve">the </w:t>
      </w:r>
      <w:proofErr w:type="spellStart"/>
      <w:r w:rsidRPr="00420947">
        <w:t>Nimenrix</w:t>
      </w:r>
      <w:proofErr w:type="spellEnd"/>
      <w:r w:rsidRPr="00420947">
        <w:t xml:space="preserve"> group and 32.3-77.3% for </w:t>
      </w:r>
      <w:r w:rsidR="00B63A28">
        <w:t xml:space="preserve">the </w:t>
      </w:r>
      <w:proofErr w:type="spellStart"/>
      <w:r w:rsidRPr="00420947">
        <w:t>Mencevax</w:t>
      </w:r>
      <w:proofErr w:type="spellEnd"/>
      <w:r w:rsidRPr="00420947">
        <w:t xml:space="preserve"> </w:t>
      </w:r>
      <w:r w:rsidR="008E6D1D" w:rsidRPr="008E6D1D">
        <w:t xml:space="preserve">ACWY </w:t>
      </w:r>
      <w:r w:rsidRPr="00420947">
        <w:t xml:space="preserve">group. The </w:t>
      </w:r>
      <w:r w:rsidR="00AD1413" w:rsidRPr="00AD1413">
        <w:t xml:space="preserve">percentage </w:t>
      </w:r>
      <w:r w:rsidR="00B63A28">
        <w:t>with hSBA-MenW-135 ≥ 4 and ≥ 8 at</w:t>
      </w:r>
      <w:r w:rsidRPr="00420947">
        <w:t xml:space="preserve"> 12-15 months post vaccination with </w:t>
      </w:r>
      <w:proofErr w:type="spellStart"/>
      <w:r w:rsidRPr="00420947">
        <w:t>Nimenrix</w:t>
      </w:r>
      <w:proofErr w:type="spellEnd"/>
      <w:r w:rsidRPr="00420947">
        <w:t xml:space="preserve"> ranged from 95.8-100% and were higher compared to </w:t>
      </w:r>
      <w:proofErr w:type="spellStart"/>
      <w:r w:rsidRPr="00420947">
        <w:t>Mencevax</w:t>
      </w:r>
      <w:proofErr w:type="spellEnd"/>
      <w:r w:rsidRPr="00420947">
        <w:t xml:space="preserve"> </w:t>
      </w:r>
      <w:r w:rsidR="008E6D1D" w:rsidRPr="008E6D1D">
        <w:t xml:space="preserve">ACWY </w:t>
      </w:r>
      <w:r w:rsidRPr="00420947">
        <w:t xml:space="preserve">(12.9-37.3%). Similarly, the </w:t>
      </w:r>
      <w:r w:rsidR="00AD1413" w:rsidRPr="00AD1413">
        <w:t xml:space="preserve">percentage </w:t>
      </w:r>
      <w:r w:rsidRPr="00420947">
        <w:t xml:space="preserve">with </w:t>
      </w:r>
      <w:proofErr w:type="spellStart"/>
      <w:r w:rsidRPr="00420947">
        <w:t>hSBA-MenY</w:t>
      </w:r>
      <w:proofErr w:type="spellEnd"/>
      <w:r w:rsidRPr="00420947">
        <w:t xml:space="preserve"> ≥ 4 and ≥ 8 at 12-15 months post vaccination with </w:t>
      </w:r>
      <w:proofErr w:type="spellStart"/>
      <w:r w:rsidRPr="00420947">
        <w:t>Nimenrix</w:t>
      </w:r>
      <w:proofErr w:type="spellEnd"/>
      <w:r w:rsidRPr="00420947">
        <w:t xml:space="preserve"> and </w:t>
      </w:r>
      <w:proofErr w:type="spellStart"/>
      <w:r w:rsidRPr="00420947">
        <w:t>Mencevax</w:t>
      </w:r>
      <w:proofErr w:type="spellEnd"/>
      <w:r w:rsidRPr="00420947">
        <w:t xml:space="preserve"> </w:t>
      </w:r>
      <w:r w:rsidR="008E6D1D" w:rsidRPr="008E6D1D">
        <w:t xml:space="preserve">ACWY </w:t>
      </w:r>
      <w:r w:rsidRPr="00420947">
        <w:t>ranged from 90.6-100% and 33.3</w:t>
      </w:r>
      <w:r w:rsidR="00B63A28">
        <w:t>-</w:t>
      </w:r>
      <w:r w:rsidRPr="00420947">
        <w:t>63.2%</w:t>
      </w:r>
      <w:r w:rsidR="00B63A28">
        <w:t>,</w:t>
      </w:r>
      <w:r w:rsidRPr="00420947">
        <w:t xml:space="preserve"> respectively. Increases in </w:t>
      </w:r>
      <w:proofErr w:type="spellStart"/>
      <w:r w:rsidRPr="00420947">
        <w:t>hSBA</w:t>
      </w:r>
      <w:proofErr w:type="spellEnd"/>
      <w:r w:rsidRPr="00420947">
        <w:t xml:space="preserve"> for W-135 and Y GMTs were observed 12-15 months post </w:t>
      </w:r>
      <w:proofErr w:type="spellStart"/>
      <w:r w:rsidRPr="00420947">
        <w:t>Nimenrix</w:t>
      </w:r>
      <w:proofErr w:type="spellEnd"/>
      <w:r w:rsidRPr="00420947">
        <w:t xml:space="preserve"> vaccination in studies conducted in children. </w:t>
      </w:r>
    </w:p>
    <w:p w:rsidR="002A61F1" w:rsidRPr="00420947" w:rsidRDefault="00B63A28" w:rsidP="006A4578">
      <w:pPr>
        <w:pStyle w:val="ListBullet"/>
      </w:pPr>
      <w:r>
        <w:t>I</w:t>
      </w:r>
      <w:r w:rsidR="002A61F1" w:rsidRPr="00420947">
        <w:t xml:space="preserve">n adolescents and adults </w:t>
      </w:r>
    </w:p>
    <w:p w:rsidR="002A61F1" w:rsidRPr="00420947" w:rsidRDefault="002A61F1" w:rsidP="006A4578">
      <w:r w:rsidRPr="00C976BD">
        <w:rPr>
          <w:i/>
          <w:iCs/>
        </w:rPr>
        <w:t xml:space="preserve">Using </w:t>
      </w:r>
      <w:proofErr w:type="spellStart"/>
      <w:r w:rsidRPr="00C976BD">
        <w:rPr>
          <w:i/>
          <w:iCs/>
        </w:rPr>
        <w:t>rSBA</w:t>
      </w:r>
      <w:proofErr w:type="spellEnd"/>
      <w:r w:rsidRPr="00C976BD">
        <w:rPr>
          <w:i/>
          <w:iCs/>
        </w:rPr>
        <w:t xml:space="preserve"> titres:</w:t>
      </w:r>
      <w:r w:rsidRPr="00420947">
        <w:t xml:space="preserve"> the immune persistence was evaluated in adults at different time points in a number of studies (</w:t>
      </w:r>
      <w:r w:rsidR="009D6C16">
        <w:t>S</w:t>
      </w:r>
      <w:r w:rsidRPr="00420947">
        <w:t xml:space="preserve">tudies 016, 017, 024, 025 and 026). In these studies, the </w:t>
      </w:r>
      <w:r w:rsidR="00AD1413" w:rsidRPr="00AD1413">
        <w:t xml:space="preserve">percentage </w:t>
      </w:r>
      <w:r w:rsidRPr="00420947">
        <w:t xml:space="preserve">with </w:t>
      </w:r>
      <w:proofErr w:type="spellStart"/>
      <w:r w:rsidRPr="00420947">
        <w:t>rSBA</w:t>
      </w:r>
      <w:proofErr w:type="spellEnd"/>
      <w:r w:rsidRPr="00420947">
        <w:t xml:space="preserve"> ≥ 8 post-vaccination with </w:t>
      </w:r>
      <w:proofErr w:type="spellStart"/>
      <w:r w:rsidRPr="00420947">
        <w:t>Nimenrix</w:t>
      </w:r>
      <w:proofErr w:type="spellEnd"/>
      <w:r w:rsidRPr="00420947">
        <w:t xml:space="preserve"> remained high for all </w:t>
      </w:r>
      <w:proofErr w:type="spellStart"/>
      <w:r w:rsidRPr="00420947">
        <w:t>serogroups</w:t>
      </w:r>
      <w:proofErr w:type="spellEnd"/>
      <w:r w:rsidRPr="00420947">
        <w:t xml:space="preserve"> (≥ 99.2%) at the persistence time points. The </w:t>
      </w:r>
      <w:proofErr w:type="spellStart"/>
      <w:r w:rsidRPr="00420947">
        <w:t>rSBA</w:t>
      </w:r>
      <w:proofErr w:type="spellEnd"/>
      <w:r w:rsidRPr="00420947">
        <w:t xml:space="preserve"> GMTs decreased between 1 month post vaccination and the persistence time points but remained higher than prior to vaccination for all 4 </w:t>
      </w:r>
      <w:proofErr w:type="spellStart"/>
      <w:r w:rsidRPr="00420947">
        <w:t>serogroups</w:t>
      </w:r>
      <w:proofErr w:type="spellEnd"/>
      <w:r w:rsidRPr="00420947">
        <w:t xml:space="preserve">. Exploratory analyses showed that at year 2, </w:t>
      </w:r>
      <w:proofErr w:type="spellStart"/>
      <w:r w:rsidRPr="00420947">
        <w:t>rSBA</w:t>
      </w:r>
      <w:proofErr w:type="spellEnd"/>
      <w:r w:rsidRPr="00420947">
        <w:t xml:space="preserve"> for </w:t>
      </w:r>
      <w:r w:rsidR="009D6C16">
        <w:t>-</w:t>
      </w:r>
      <w:r w:rsidR="00F003FB">
        <w:t xml:space="preserve">A, </w:t>
      </w:r>
      <w:r w:rsidR="00F003FB">
        <w:noBreakHyphen/>
      </w:r>
      <w:r w:rsidRPr="00420947">
        <w:t xml:space="preserve">W and -Y GMTs were significantly higher in </w:t>
      </w:r>
      <w:r w:rsidR="009D6C16">
        <w:t xml:space="preserve">the </w:t>
      </w:r>
      <w:proofErr w:type="spellStart"/>
      <w:r w:rsidRPr="00420947">
        <w:t>Nimenrix</w:t>
      </w:r>
      <w:proofErr w:type="spellEnd"/>
      <w:r w:rsidR="009D6C16">
        <w:t xml:space="preserve"> group versus</w:t>
      </w:r>
      <w:r w:rsidRPr="00420947">
        <w:t xml:space="preserve"> </w:t>
      </w:r>
      <w:r w:rsidR="009D6C16">
        <w:t xml:space="preserve">the </w:t>
      </w:r>
      <w:proofErr w:type="spellStart"/>
      <w:r w:rsidR="009D6C16">
        <w:t>Mencevax</w:t>
      </w:r>
      <w:proofErr w:type="spellEnd"/>
      <w:r w:rsidR="008E6D1D">
        <w:t xml:space="preserve"> </w:t>
      </w:r>
      <w:r w:rsidR="008E6D1D" w:rsidRPr="008E6D1D">
        <w:t>ACWY</w:t>
      </w:r>
      <w:r w:rsidR="009D6C16">
        <w:t xml:space="preserve"> group</w:t>
      </w:r>
      <w:r w:rsidRPr="00420947">
        <w:t xml:space="preserve"> (Study-015). Forty-two months after primary vaccination, </w:t>
      </w:r>
      <w:proofErr w:type="spellStart"/>
      <w:r w:rsidRPr="00420947">
        <w:t>Nimenrix</w:t>
      </w:r>
      <w:proofErr w:type="spellEnd"/>
      <w:r w:rsidRPr="00420947">
        <w:t xml:space="preserve"> recipients had significantly higher GMTs </w:t>
      </w:r>
      <w:r w:rsidR="009D6C16">
        <w:t xml:space="preserve">versus </w:t>
      </w:r>
      <w:proofErr w:type="spellStart"/>
      <w:r w:rsidRPr="00420947">
        <w:t>Mencevax</w:t>
      </w:r>
      <w:proofErr w:type="spellEnd"/>
      <w:r w:rsidRPr="00420947">
        <w:t xml:space="preserve"> </w:t>
      </w:r>
      <w:r w:rsidR="008E6D1D" w:rsidRPr="008E6D1D">
        <w:t xml:space="preserve">ACWY </w:t>
      </w:r>
      <w:r w:rsidRPr="00420947">
        <w:t xml:space="preserve">recipients for </w:t>
      </w:r>
      <w:proofErr w:type="spellStart"/>
      <w:r w:rsidRPr="00420947">
        <w:t>serogroup</w:t>
      </w:r>
      <w:proofErr w:type="spellEnd"/>
      <w:r w:rsidRPr="00420947">
        <w:t xml:space="preserve"> W-135 in Stu</w:t>
      </w:r>
      <w:r w:rsidR="009D6C16">
        <w:t>d</w:t>
      </w:r>
      <w:r w:rsidRPr="00420947">
        <w:t xml:space="preserve">y-026 (persistence </w:t>
      </w:r>
      <w:r w:rsidR="009D6C16">
        <w:t xml:space="preserve">part </w:t>
      </w:r>
      <w:r w:rsidRPr="00420947">
        <w:t>of Stu</w:t>
      </w:r>
      <w:r w:rsidR="009D6C16">
        <w:t>d</w:t>
      </w:r>
      <w:r w:rsidRPr="00420947">
        <w:t>y-012).</w:t>
      </w:r>
    </w:p>
    <w:p w:rsidR="002A61F1" w:rsidRPr="00420947" w:rsidRDefault="002A61F1" w:rsidP="006A4578">
      <w:r w:rsidRPr="009D6C16">
        <w:rPr>
          <w:i/>
          <w:iCs/>
        </w:rPr>
        <w:t xml:space="preserve">Using </w:t>
      </w:r>
      <w:proofErr w:type="spellStart"/>
      <w:r w:rsidRPr="009D6C16">
        <w:rPr>
          <w:i/>
          <w:iCs/>
        </w:rPr>
        <w:t>hSBA</w:t>
      </w:r>
      <w:proofErr w:type="spellEnd"/>
      <w:r w:rsidRPr="009D6C16">
        <w:rPr>
          <w:i/>
          <w:iCs/>
        </w:rPr>
        <w:t xml:space="preserve"> titres:</w:t>
      </w:r>
      <w:r w:rsidRPr="00420947">
        <w:t xml:space="preserve"> Study-025/</w:t>
      </w:r>
      <w:r w:rsidR="009D6C16">
        <w:t>-</w:t>
      </w:r>
      <w:r w:rsidRPr="00420947">
        <w:t xml:space="preserve">026 evaluated immune persistence 30 and 42 months respectively after vaccination of 17 to 22 year olds with </w:t>
      </w:r>
      <w:proofErr w:type="spellStart"/>
      <w:r w:rsidRPr="00420947">
        <w:t>Nimenrix</w:t>
      </w:r>
      <w:proofErr w:type="spellEnd"/>
      <w:r w:rsidRPr="00420947">
        <w:t xml:space="preserve"> or </w:t>
      </w:r>
      <w:proofErr w:type="spellStart"/>
      <w:r w:rsidRPr="00420947">
        <w:t>Mencevax</w:t>
      </w:r>
      <w:proofErr w:type="spellEnd"/>
      <w:r w:rsidR="008E6D1D">
        <w:t xml:space="preserve"> </w:t>
      </w:r>
      <w:r w:rsidR="008E6D1D" w:rsidRPr="008E6D1D">
        <w:t>ACWY</w:t>
      </w:r>
      <w:r w:rsidRPr="00420947">
        <w:t xml:space="preserve">. At 42 months post-vaccination with </w:t>
      </w:r>
      <w:proofErr w:type="spellStart"/>
      <w:r w:rsidRPr="00420947">
        <w:t>Nimenrix</w:t>
      </w:r>
      <w:proofErr w:type="spellEnd"/>
      <w:r w:rsidRPr="00420947">
        <w:t xml:space="preserve">, </w:t>
      </w:r>
      <w:proofErr w:type="spellStart"/>
      <w:r w:rsidRPr="00420947">
        <w:t>hSBA</w:t>
      </w:r>
      <w:proofErr w:type="spellEnd"/>
      <w:r w:rsidRPr="00420947">
        <w:t xml:space="preserve"> ≥ 4 and 8 persisted in ≥ 88.9% of subjects for </w:t>
      </w:r>
      <w:proofErr w:type="spellStart"/>
      <w:r w:rsidRPr="00420947">
        <w:t>serogroups</w:t>
      </w:r>
      <w:proofErr w:type="spellEnd"/>
      <w:r w:rsidRPr="00420947">
        <w:t xml:space="preserve"> C, W and Y. For </w:t>
      </w:r>
      <w:proofErr w:type="spellStart"/>
      <w:r w:rsidRPr="00420947">
        <w:t>serogroup</w:t>
      </w:r>
      <w:proofErr w:type="spellEnd"/>
      <w:r w:rsidRPr="00420947">
        <w:t xml:space="preserve"> A, persistence was lower in </w:t>
      </w:r>
      <w:r w:rsidR="009D6C16">
        <w:t xml:space="preserve">the </w:t>
      </w:r>
      <w:proofErr w:type="spellStart"/>
      <w:r w:rsidRPr="00420947">
        <w:t>Nimenrix</w:t>
      </w:r>
      <w:proofErr w:type="spellEnd"/>
      <w:r w:rsidRPr="00420947">
        <w:t xml:space="preserve"> group (61.1% and 50.0% </w:t>
      </w:r>
      <w:proofErr w:type="spellStart"/>
      <w:r w:rsidRPr="00420947">
        <w:t>hSBA</w:t>
      </w:r>
      <w:proofErr w:type="spellEnd"/>
      <w:r w:rsidRPr="00420947">
        <w:t xml:space="preserve"> ≥ 4 and ≥ 8 respectively); </w:t>
      </w:r>
      <w:proofErr w:type="spellStart"/>
      <w:r w:rsidRPr="00420947">
        <w:t>hSBA</w:t>
      </w:r>
      <w:proofErr w:type="spellEnd"/>
      <w:r w:rsidRPr="00420947">
        <w:t xml:space="preserve"> ≥ 4 and 8 persisted in ≥ 81.3% of </w:t>
      </w:r>
      <w:proofErr w:type="spellStart"/>
      <w:r w:rsidRPr="00420947">
        <w:t>Mencevax</w:t>
      </w:r>
      <w:proofErr w:type="spellEnd"/>
      <w:r w:rsidRPr="00420947">
        <w:t xml:space="preserve"> </w:t>
      </w:r>
      <w:r w:rsidR="008E6D1D" w:rsidRPr="008E6D1D">
        <w:t xml:space="preserve">ACWY </w:t>
      </w:r>
      <w:r w:rsidRPr="00420947">
        <w:t xml:space="preserve">recipients for all 4 </w:t>
      </w:r>
      <w:proofErr w:type="spellStart"/>
      <w:r w:rsidRPr="00420947">
        <w:t>serogroups</w:t>
      </w:r>
      <w:proofErr w:type="spellEnd"/>
      <w:r w:rsidRPr="00420947">
        <w:t xml:space="preserve">. Note the sample size </w:t>
      </w:r>
      <w:r w:rsidR="009D6C16">
        <w:t xml:space="preserve">was </w:t>
      </w:r>
      <w:r w:rsidRPr="00420947">
        <w:t xml:space="preserve">small in Study-025/026 (n = 22 for </w:t>
      </w:r>
      <w:proofErr w:type="spellStart"/>
      <w:r w:rsidRPr="00420947">
        <w:t>Nimenrix</w:t>
      </w:r>
      <w:proofErr w:type="spellEnd"/>
      <w:r w:rsidRPr="00420947">
        <w:t xml:space="preserve"> recipients). </w:t>
      </w:r>
    </w:p>
    <w:p w:rsidR="002A61F1" w:rsidRPr="00420947" w:rsidRDefault="002A61F1" w:rsidP="006A4578">
      <w:r w:rsidRPr="00420947">
        <w:lastRenderedPageBreak/>
        <w:t xml:space="preserve">Twelve month persistence data in 11-25 year olds given </w:t>
      </w:r>
      <w:proofErr w:type="spellStart"/>
      <w:r w:rsidRPr="00420947">
        <w:t>Nimenrix</w:t>
      </w:r>
      <w:proofErr w:type="spellEnd"/>
      <w:r w:rsidRPr="00420947">
        <w:t xml:space="preserve"> or </w:t>
      </w:r>
      <w:proofErr w:type="spellStart"/>
      <w:r w:rsidRPr="00420947">
        <w:t>Menactra</w:t>
      </w:r>
      <w:proofErr w:type="spellEnd"/>
      <w:r w:rsidRPr="00420947">
        <w:t xml:space="preserve"> (Study-059) revealed that </w:t>
      </w:r>
      <w:proofErr w:type="spellStart"/>
      <w:r w:rsidRPr="00420947">
        <w:t>hSBA</w:t>
      </w:r>
      <w:proofErr w:type="spellEnd"/>
      <w:r w:rsidRPr="00420947">
        <w:t xml:space="preserve"> for </w:t>
      </w:r>
      <w:proofErr w:type="spellStart"/>
      <w:r w:rsidRPr="00420947">
        <w:t>serogroup</w:t>
      </w:r>
      <w:proofErr w:type="spellEnd"/>
      <w:r w:rsidRPr="00420947">
        <w:t xml:space="preserve"> C, W, and Y ranging from 94.9%-98.5% for </w:t>
      </w:r>
      <w:proofErr w:type="spellStart"/>
      <w:r w:rsidR="009D6C16">
        <w:t>Nimenrix</w:t>
      </w:r>
      <w:proofErr w:type="spellEnd"/>
      <w:r w:rsidR="009D6C16">
        <w:t xml:space="preserve"> recipients versus</w:t>
      </w:r>
      <w:r w:rsidRPr="00420947">
        <w:t xml:space="preserve"> 73.3%-86.7% for </w:t>
      </w:r>
      <w:proofErr w:type="spellStart"/>
      <w:r w:rsidRPr="00420947">
        <w:t>Menactra</w:t>
      </w:r>
      <w:proofErr w:type="spellEnd"/>
      <w:r w:rsidRPr="00420947">
        <w:t xml:space="preserve"> recipients respectively. This difference was statistically significant. For </w:t>
      </w:r>
      <w:proofErr w:type="spellStart"/>
      <w:r w:rsidRPr="00420947">
        <w:t>serogroup</w:t>
      </w:r>
      <w:proofErr w:type="spellEnd"/>
      <w:r w:rsidRPr="00420947">
        <w:t xml:space="preserve"> A, the immune persistence was lower (</w:t>
      </w:r>
      <w:proofErr w:type="spellStart"/>
      <w:r w:rsidRPr="00420947">
        <w:t>hSBA</w:t>
      </w:r>
      <w:proofErr w:type="spellEnd"/>
      <w:r w:rsidRPr="00420947">
        <w:t xml:space="preserve"> ≥ 8 in 29.1% of the </w:t>
      </w:r>
      <w:proofErr w:type="spellStart"/>
      <w:r w:rsidRPr="00420947">
        <w:t>Nimenrix</w:t>
      </w:r>
      <w:proofErr w:type="spellEnd"/>
      <w:r w:rsidRPr="00420947">
        <w:t xml:space="preserve"> recipients and 31.3% of the </w:t>
      </w:r>
      <w:proofErr w:type="spellStart"/>
      <w:r w:rsidRPr="00420947">
        <w:t>Menactra</w:t>
      </w:r>
      <w:proofErr w:type="spellEnd"/>
      <w:r w:rsidRPr="00420947">
        <w:t xml:space="preserve"> recipients); this represented a considerable titre decline in both groups since one month post </w:t>
      </w:r>
      <w:r w:rsidR="009D6C16" w:rsidRPr="00420947">
        <w:t>vaccination</w:t>
      </w:r>
      <w:r w:rsidRPr="00420947">
        <w:t xml:space="preserve"> levels. This contrasts with some of the paradoxical increases in </w:t>
      </w:r>
      <w:proofErr w:type="spellStart"/>
      <w:r w:rsidRPr="00420947">
        <w:t>serogroup</w:t>
      </w:r>
      <w:proofErr w:type="spellEnd"/>
      <w:r w:rsidRPr="00420947">
        <w:t xml:space="preserve"> W titres (</w:t>
      </w:r>
      <w:proofErr w:type="spellStart"/>
      <w:r w:rsidRPr="00420947">
        <w:t>Nimenrix</w:t>
      </w:r>
      <w:proofErr w:type="spellEnd"/>
      <w:r w:rsidRPr="00420947">
        <w:t xml:space="preserve">) seen at one year. </w:t>
      </w:r>
    </w:p>
    <w:p w:rsidR="002A61F1" w:rsidRPr="006A4578" w:rsidRDefault="002A61F1" w:rsidP="006A4578">
      <w:pPr>
        <w:pStyle w:val="Heading5"/>
      </w:pPr>
      <w:bookmarkStart w:id="165" w:name="_Toc241374303"/>
      <w:bookmarkStart w:id="166" w:name="_Toc272414647"/>
      <w:bookmarkStart w:id="167" w:name="_Toc290846269"/>
      <w:bookmarkStart w:id="168" w:name="_Toc343641676"/>
      <w:r w:rsidRPr="002A61F1">
        <w:t>Co-administration with other vaccines</w:t>
      </w:r>
      <w:bookmarkEnd w:id="165"/>
      <w:bookmarkEnd w:id="166"/>
      <w:bookmarkEnd w:id="167"/>
      <w:bookmarkEnd w:id="168"/>
    </w:p>
    <w:p w:rsidR="002A61F1" w:rsidRPr="004A2EDA" w:rsidRDefault="002A61F1" w:rsidP="006A4578">
      <w:r w:rsidRPr="004A2EDA">
        <w:t>Several studies explored the potential interaction of co-administered vaccines</w:t>
      </w:r>
      <w:r w:rsidR="004A2EDA">
        <w:t>:</w:t>
      </w:r>
      <w:r w:rsidRPr="004A2EDA">
        <w:t xml:space="preserve"> </w:t>
      </w:r>
      <w:proofErr w:type="spellStart"/>
      <w:r w:rsidRPr="004A2EDA">
        <w:t>DTPa</w:t>
      </w:r>
      <w:proofErr w:type="spellEnd"/>
      <w:r w:rsidRPr="004A2EDA">
        <w:t>-HBV-IPV/</w:t>
      </w:r>
      <w:proofErr w:type="spellStart"/>
      <w:r w:rsidRPr="004A2EDA">
        <w:t>Hib</w:t>
      </w:r>
      <w:proofErr w:type="spellEnd"/>
      <w:r w:rsidRPr="004A2EDA">
        <w:t xml:space="preserve"> (</w:t>
      </w:r>
      <w:proofErr w:type="spellStart"/>
      <w:r w:rsidRPr="004A2EDA">
        <w:t>Infanrix</w:t>
      </w:r>
      <w:proofErr w:type="spellEnd"/>
      <w:r w:rsidRPr="004A2EDA">
        <w:t xml:space="preserve"> </w:t>
      </w:r>
      <w:proofErr w:type="spellStart"/>
      <w:r w:rsidR="00F003FB">
        <w:t>H</w:t>
      </w:r>
      <w:r w:rsidRPr="004A2EDA">
        <w:t>exa</w:t>
      </w:r>
      <w:proofErr w:type="spellEnd"/>
      <w:r w:rsidR="00F003FB">
        <w:t>, vaccine against d</w:t>
      </w:r>
      <w:r w:rsidR="00F003FB" w:rsidRPr="00F003FB">
        <w:t>iphtheria</w:t>
      </w:r>
      <w:r w:rsidR="00F003FB">
        <w:t xml:space="preserve">, tetanus, </w:t>
      </w:r>
      <w:proofErr w:type="spellStart"/>
      <w:r w:rsidR="00F003FB">
        <w:t>p</w:t>
      </w:r>
      <w:r w:rsidR="00F003FB" w:rsidRPr="00F003FB">
        <w:t>ertussis</w:t>
      </w:r>
      <w:proofErr w:type="spellEnd"/>
      <w:r w:rsidR="00F003FB">
        <w:t>, h</w:t>
      </w:r>
      <w:r w:rsidR="00F003FB" w:rsidRPr="00F003FB">
        <w:t>epatitis B</w:t>
      </w:r>
      <w:r w:rsidR="00F003FB">
        <w:t xml:space="preserve">, polio and </w:t>
      </w:r>
      <w:proofErr w:type="spellStart"/>
      <w:r w:rsidR="00F003FB">
        <w:t>haemophilus</w:t>
      </w:r>
      <w:proofErr w:type="spellEnd"/>
      <w:r w:rsidR="00F003FB">
        <w:t xml:space="preserve"> influenza type B</w:t>
      </w:r>
      <w:r w:rsidR="00F61965">
        <w:t>), MMRV (</w:t>
      </w:r>
      <w:proofErr w:type="spellStart"/>
      <w:r w:rsidR="00F61965">
        <w:t>Priorix</w:t>
      </w:r>
      <w:proofErr w:type="spellEnd"/>
      <w:r w:rsidR="00F61965">
        <w:t xml:space="preserve"> T</w:t>
      </w:r>
      <w:r w:rsidRPr="004A2EDA">
        <w:t>etra</w:t>
      </w:r>
      <w:r w:rsidR="00F61965">
        <w:t xml:space="preserve">, against measles, mumps, rubella and </w:t>
      </w:r>
      <w:proofErr w:type="spellStart"/>
      <w:r w:rsidR="00F61965">
        <w:t>varicella</w:t>
      </w:r>
      <w:proofErr w:type="spellEnd"/>
      <w:r w:rsidRPr="004A2EDA">
        <w:t>), 10-valent pneumococcal conjugate vaccine (</w:t>
      </w:r>
      <w:proofErr w:type="spellStart"/>
      <w:r w:rsidRPr="004A2EDA">
        <w:t>Synflorix</w:t>
      </w:r>
      <w:proofErr w:type="spellEnd"/>
      <w:r w:rsidRPr="004A2EDA">
        <w:t>) in toddlers &lt; 2 y</w:t>
      </w:r>
      <w:r w:rsidR="004A2EDA">
        <w:t>ea</w:t>
      </w:r>
      <w:r w:rsidRPr="004A2EDA">
        <w:t>rs of age, hepatitis A-hepatitis B combined vaccine (</w:t>
      </w:r>
      <w:proofErr w:type="spellStart"/>
      <w:r w:rsidRPr="004A2EDA">
        <w:t>Twinrix</w:t>
      </w:r>
      <w:proofErr w:type="spellEnd"/>
      <w:r w:rsidRPr="004A2EDA">
        <w:t>) in adolescents; seasonal influenza vaccine (</w:t>
      </w:r>
      <w:proofErr w:type="spellStart"/>
      <w:r w:rsidRPr="004A2EDA">
        <w:t>Fluarix</w:t>
      </w:r>
      <w:proofErr w:type="spellEnd"/>
      <w:r w:rsidRPr="004A2EDA">
        <w:t>) in adults.</w:t>
      </w:r>
    </w:p>
    <w:p w:rsidR="002A61F1" w:rsidRPr="004A2EDA" w:rsidRDefault="002A61F1" w:rsidP="006A4578">
      <w:pPr>
        <w:pStyle w:val="Heading6"/>
      </w:pPr>
      <w:r w:rsidRPr="004A2EDA">
        <w:t>Hepatitis A/B combined vaccine (</w:t>
      </w:r>
      <w:proofErr w:type="spellStart"/>
      <w:r w:rsidRPr="004A2EDA">
        <w:t>Twinrix</w:t>
      </w:r>
      <w:proofErr w:type="spellEnd"/>
      <w:r w:rsidRPr="004A2EDA">
        <w:t xml:space="preserve">) in adolescents 11-17 </w:t>
      </w:r>
      <w:r w:rsidR="00B13592">
        <w:t>years</w:t>
      </w:r>
    </w:p>
    <w:p w:rsidR="002A61F1" w:rsidRPr="004A2EDA" w:rsidRDefault="002A61F1" w:rsidP="006A4578">
      <w:r w:rsidRPr="004A2EDA">
        <w:t>This was explored in Study 037</w:t>
      </w:r>
      <w:r w:rsidR="004A2EDA">
        <w:t>.</w:t>
      </w:r>
      <w:r w:rsidRPr="004A2EDA">
        <w:t xml:space="preserve"> </w:t>
      </w:r>
      <w:r w:rsidR="004A2EDA">
        <w:t>T</w:t>
      </w:r>
      <w:r w:rsidRPr="004A2EDA">
        <w:t xml:space="preserve">here was no evidence of differences in immune response in either direction </w:t>
      </w:r>
      <w:r w:rsidR="00277F8C">
        <w:t xml:space="preserve">in terms of </w:t>
      </w:r>
      <w:proofErr w:type="spellStart"/>
      <w:r w:rsidRPr="004A2EDA">
        <w:t>immunoprotection</w:t>
      </w:r>
      <w:proofErr w:type="spellEnd"/>
      <w:r w:rsidRPr="004A2EDA">
        <w:t xml:space="preserve"> to each Men </w:t>
      </w:r>
      <w:proofErr w:type="spellStart"/>
      <w:r w:rsidRPr="004A2EDA">
        <w:t>sero</w:t>
      </w:r>
      <w:r w:rsidR="00796FC4">
        <w:t>group</w:t>
      </w:r>
      <w:proofErr w:type="spellEnd"/>
      <w:r w:rsidRPr="004A2EDA">
        <w:t xml:space="preserve"> or serological response to Hep A and B post dose 1 and seven months after vaccination when vaccines co-administered.</w:t>
      </w:r>
    </w:p>
    <w:p w:rsidR="002A61F1" w:rsidRPr="004A2EDA" w:rsidRDefault="002A61F1" w:rsidP="006A4578">
      <w:pPr>
        <w:pStyle w:val="Heading6"/>
      </w:pPr>
      <w:r w:rsidRPr="004A2EDA">
        <w:t xml:space="preserve">Seasonal influenza vaccine in adults 18 to 55 </w:t>
      </w:r>
      <w:r w:rsidR="00B13592">
        <w:t>years</w:t>
      </w:r>
      <w:r w:rsidRPr="004A2EDA">
        <w:t xml:space="preserve"> of age</w:t>
      </w:r>
    </w:p>
    <w:p w:rsidR="002A61F1" w:rsidRPr="004A2EDA" w:rsidRDefault="002A61F1" w:rsidP="006A4578">
      <w:r w:rsidRPr="004A2EDA">
        <w:t>This was explored in Study-035</w:t>
      </w:r>
      <w:r w:rsidR="00B23A7E">
        <w:t>.</w:t>
      </w:r>
      <w:r w:rsidRPr="004A2EDA">
        <w:t xml:space="preserve"> </w:t>
      </w:r>
      <w:r w:rsidR="00B23A7E">
        <w:t>T</w:t>
      </w:r>
      <w:r w:rsidRPr="004A2EDA">
        <w:t xml:space="preserve">here was no evidence of differences in immune response in either direction </w:t>
      </w:r>
      <w:r w:rsidR="00277F8C">
        <w:t xml:space="preserve">in terms of </w:t>
      </w:r>
      <w:proofErr w:type="spellStart"/>
      <w:r w:rsidRPr="004A2EDA">
        <w:t>immunoprotection</w:t>
      </w:r>
      <w:proofErr w:type="spellEnd"/>
      <w:r w:rsidRPr="004A2EDA">
        <w:t xml:space="preserve"> to each Men </w:t>
      </w:r>
      <w:proofErr w:type="spellStart"/>
      <w:r w:rsidRPr="004A2EDA">
        <w:t>sero</w:t>
      </w:r>
      <w:r w:rsidR="00796FC4">
        <w:t>group</w:t>
      </w:r>
      <w:proofErr w:type="spellEnd"/>
      <w:r w:rsidRPr="004A2EDA">
        <w:t xml:space="preserve"> or serological response to trivalent influenza vaccine one month post vaccination when vaccines co-administered.</w:t>
      </w:r>
    </w:p>
    <w:p w:rsidR="002A61F1" w:rsidRPr="004A2EDA" w:rsidRDefault="002A61F1" w:rsidP="006A4578">
      <w:pPr>
        <w:pStyle w:val="Heading6"/>
      </w:pPr>
      <w:proofErr w:type="spellStart"/>
      <w:r w:rsidRPr="004A2EDA">
        <w:t>DTPa</w:t>
      </w:r>
      <w:proofErr w:type="spellEnd"/>
      <w:r w:rsidRPr="004A2EDA">
        <w:t>-HBV</w:t>
      </w:r>
      <w:r w:rsidR="00AF0436">
        <w:t>-IPV/</w:t>
      </w:r>
      <w:proofErr w:type="spellStart"/>
      <w:r w:rsidR="00AF0436">
        <w:t>Hib</w:t>
      </w:r>
      <w:proofErr w:type="spellEnd"/>
      <w:r w:rsidR="00AF0436">
        <w:t xml:space="preserve"> in toddlers: </w:t>
      </w:r>
      <w:proofErr w:type="spellStart"/>
      <w:r w:rsidR="00AF0436">
        <w:t>Infanrix</w:t>
      </w:r>
      <w:proofErr w:type="spellEnd"/>
      <w:r w:rsidR="00AF0436">
        <w:t xml:space="preserve"> </w:t>
      </w:r>
      <w:proofErr w:type="spellStart"/>
      <w:r w:rsidR="00AF0436">
        <w:t>Hexa</w:t>
      </w:r>
      <w:proofErr w:type="spellEnd"/>
      <w:r w:rsidR="00AF0436">
        <w:t xml:space="preserve">, </w:t>
      </w:r>
      <w:proofErr w:type="spellStart"/>
      <w:r w:rsidR="00AF0436">
        <w:t>Priorix</w:t>
      </w:r>
      <w:proofErr w:type="spellEnd"/>
      <w:r w:rsidR="00AF0436">
        <w:t xml:space="preserve"> T</w:t>
      </w:r>
      <w:r w:rsidRPr="004A2EDA">
        <w:t xml:space="preserve">etra and </w:t>
      </w:r>
      <w:proofErr w:type="spellStart"/>
      <w:r w:rsidRPr="004A2EDA">
        <w:t>Synflorix</w:t>
      </w:r>
      <w:proofErr w:type="spellEnd"/>
    </w:p>
    <w:p w:rsidR="002A61F1" w:rsidRPr="004A2EDA" w:rsidRDefault="002A61F1" w:rsidP="006A4578">
      <w:r w:rsidRPr="004A2EDA">
        <w:t xml:space="preserve">Immunogenicity of </w:t>
      </w:r>
      <w:proofErr w:type="spellStart"/>
      <w:r w:rsidRPr="004A2EDA">
        <w:t>Nimenrix</w:t>
      </w:r>
      <w:proofErr w:type="spellEnd"/>
      <w:r w:rsidRPr="004A2EDA">
        <w:t xml:space="preserve"> co-</w:t>
      </w:r>
      <w:r w:rsidR="00B23A7E" w:rsidRPr="004A2EDA">
        <w:t>administered</w:t>
      </w:r>
      <w:r w:rsidRPr="004A2EDA">
        <w:t xml:space="preserve"> with or administered one month after </w:t>
      </w:r>
      <w:proofErr w:type="spellStart"/>
      <w:r w:rsidRPr="004A2EDA">
        <w:t>DTPa</w:t>
      </w:r>
      <w:proofErr w:type="spellEnd"/>
      <w:r w:rsidRPr="004A2EDA">
        <w:t>-HBV-IPV/</w:t>
      </w:r>
      <w:proofErr w:type="spellStart"/>
      <w:r w:rsidRPr="004A2EDA">
        <w:t>Hib</w:t>
      </w:r>
      <w:proofErr w:type="spellEnd"/>
      <w:r w:rsidRPr="004A2EDA">
        <w:t xml:space="preserve"> or administered one month before </w:t>
      </w:r>
      <w:proofErr w:type="spellStart"/>
      <w:r w:rsidRPr="004A2EDA">
        <w:t>DTPa</w:t>
      </w:r>
      <w:proofErr w:type="spellEnd"/>
      <w:r w:rsidRPr="004A2EDA">
        <w:t>-HBV-IPV/</w:t>
      </w:r>
      <w:proofErr w:type="spellStart"/>
      <w:r w:rsidRPr="004A2EDA">
        <w:t>Hib</w:t>
      </w:r>
      <w:proofErr w:type="spellEnd"/>
      <w:r w:rsidRPr="004A2EDA">
        <w:t xml:space="preserve"> was explored in Study-040. There was no evidence of clinically significant impact on immune response in either direction to each </w:t>
      </w:r>
      <w:proofErr w:type="spellStart"/>
      <w:r w:rsidRPr="004A2EDA">
        <w:t>sero</w:t>
      </w:r>
      <w:r w:rsidR="00796FC4">
        <w:t>group</w:t>
      </w:r>
      <w:proofErr w:type="spellEnd"/>
      <w:r w:rsidRPr="004A2EDA">
        <w:t xml:space="preserve"> or serological response to the </w:t>
      </w:r>
      <w:r w:rsidR="00AF0436">
        <w:t xml:space="preserve">component antigens of </w:t>
      </w:r>
      <w:proofErr w:type="spellStart"/>
      <w:r w:rsidR="00AF0436">
        <w:t>Infanrix</w:t>
      </w:r>
      <w:proofErr w:type="spellEnd"/>
      <w:r w:rsidR="00AF0436">
        <w:t xml:space="preserve"> </w:t>
      </w:r>
      <w:proofErr w:type="spellStart"/>
      <w:r w:rsidR="00AF0436">
        <w:t>H</w:t>
      </w:r>
      <w:r w:rsidRPr="004A2EDA">
        <w:t>exa</w:t>
      </w:r>
      <w:proofErr w:type="spellEnd"/>
      <w:r w:rsidRPr="004A2EDA">
        <w:t xml:space="preserve"> vaccine if co-administered or administered sequentially. </w:t>
      </w:r>
    </w:p>
    <w:p w:rsidR="002A61F1" w:rsidRPr="004A2EDA" w:rsidRDefault="002A61F1" w:rsidP="006A4578">
      <w:r w:rsidRPr="004A2EDA">
        <w:t xml:space="preserve">Co-administration </w:t>
      </w:r>
      <w:r w:rsidR="00AF0436">
        <w:t xml:space="preserve">with </w:t>
      </w:r>
      <w:proofErr w:type="spellStart"/>
      <w:r w:rsidR="00AF0436">
        <w:t>Priorix</w:t>
      </w:r>
      <w:proofErr w:type="spellEnd"/>
      <w:r w:rsidR="00AF0436">
        <w:t xml:space="preserve"> T</w:t>
      </w:r>
      <w:r w:rsidRPr="004A2EDA">
        <w:t xml:space="preserve">etra (MMRV) was explored in Study-039. There was no evidence of clinically significant impact on immune response in either direction in terms of </w:t>
      </w:r>
      <w:proofErr w:type="spellStart"/>
      <w:r w:rsidRPr="004A2EDA">
        <w:t>immunoprotection</w:t>
      </w:r>
      <w:proofErr w:type="spellEnd"/>
      <w:r w:rsidRPr="004A2EDA">
        <w:t xml:space="preserve"> to each Men </w:t>
      </w:r>
      <w:proofErr w:type="spellStart"/>
      <w:r w:rsidRPr="004A2EDA">
        <w:t>sero</w:t>
      </w:r>
      <w:r w:rsidR="00796FC4">
        <w:t>group</w:t>
      </w:r>
      <w:proofErr w:type="spellEnd"/>
      <w:r w:rsidRPr="004A2EDA">
        <w:t xml:space="preserve"> or serological response to MMRV vaccine if co-administered. </w:t>
      </w:r>
      <w:r w:rsidR="00B23A7E" w:rsidRPr="004A2EDA">
        <w:t>However</w:t>
      </w:r>
      <w:r w:rsidRPr="004A2EDA">
        <w:t xml:space="preserve">, in an exploratory analysis anti-rubella </w:t>
      </w:r>
      <w:r w:rsidR="004A7BFA">
        <w:t>g</w:t>
      </w:r>
      <w:r w:rsidR="004A7BFA" w:rsidRPr="004A7BFA">
        <w:t xml:space="preserve">eometric </w:t>
      </w:r>
      <w:r w:rsidR="004A7BFA">
        <w:t>m</w:t>
      </w:r>
      <w:r w:rsidR="004A7BFA" w:rsidRPr="004A7BFA">
        <w:t xml:space="preserve">ean </w:t>
      </w:r>
      <w:r w:rsidR="004A7BFA">
        <w:t>c</w:t>
      </w:r>
      <w:r w:rsidR="004A7BFA" w:rsidRPr="004A7BFA">
        <w:t xml:space="preserve">oncentration </w:t>
      </w:r>
      <w:r w:rsidR="004A7BFA">
        <w:t>(</w:t>
      </w:r>
      <w:r w:rsidRPr="004A2EDA">
        <w:t>GMC</w:t>
      </w:r>
      <w:r w:rsidR="004A7BFA">
        <w:t>)</w:t>
      </w:r>
      <w:r w:rsidRPr="004A2EDA">
        <w:t xml:space="preserve"> was statistically significantly lower in the co-administered group (43.1 IU/</w:t>
      </w:r>
      <w:proofErr w:type="spellStart"/>
      <w:r w:rsidRPr="004A2EDA">
        <w:t>mL</w:t>
      </w:r>
      <w:proofErr w:type="spellEnd"/>
      <w:r w:rsidRPr="004A2EDA">
        <w:t>) compared to the MMRV group (53.2 IU/</w:t>
      </w:r>
      <w:proofErr w:type="spellStart"/>
      <w:r w:rsidRPr="004A2EDA">
        <w:t>mL</w:t>
      </w:r>
      <w:proofErr w:type="spellEnd"/>
      <w:r w:rsidRPr="004A2EDA">
        <w:t xml:space="preserve">) but still considered protective. </w:t>
      </w:r>
    </w:p>
    <w:p w:rsidR="002A61F1" w:rsidRPr="00B23A7E" w:rsidRDefault="002A61F1" w:rsidP="006A4578">
      <w:r w:rsidRPr="00B23A7E">
        <w:t xml:space="preserve">Co-administration with </w:t>
      </w:r>
      <w:proofErr w:type="spellStart"/>
      <w:r w:rsidRPr="00B23A7E">
        <w:t>Synflorix</w:t>
      </w:r>
      <w:proofErr w:type="spellEnd"/>
      <w:r w:rsidRPr="00B23A7E">
        <w:t xml:space="preserve"> was explored in Study-080: there was no evidence of negative impact on immune response to each Men </w:t>
      </w:r>
      <w:proofErr w:type="spellStart"/>
      <w:r w:rsidRPr="00B23A7E">
        <w:t>serogroup</w:t>
      </w:r>
      <w:proofErr w:type="spellEnd"/>
      <w:r w:rsidRPr="00B23A7E">
        <w:t xml:space="preserve"> but immune response to pneumococcal antigen sero</w:t>
      </w:r>
      <w:r w:rsidR="009849EB">
        <w:t>group</w:t>
      </w:r>
      <w:r w:rsidRPr="00B23A7E">
        <w:t xml:space="preserve">18C was lower than expected. Since 100% of subjects in co-administration group had anti-18C concentrations ≥ 0.2 </w:t>
      </w:r>
      <w:proofErr w:type="spellStart"/>
      <w:r w:rsidRPr="00B23A7E">
        <w:t>μg</w:t>
      </w:r>
      <w:proofErr w:type="spellEnd"/>
      <w:r w:rsidRPr="00B23A7E">
        <w:t>/</w:t>
      </w:r>
      <w:proofErr w:type="spellStart"/>
      <w:r w:rsidRPr="00B23A7E">
        <w:t>mL</w:t>
      </w:r>
      <w:proofErr w:type="spellEnd"/>
      <w:r w:rsidRPr="00B23A7E">
        <w:t>, and 98.2% in the co-administration group had OPA-18C titres ≥ 8, the difference in GMCs and GMTs is of questionable clinical relevance.</w:t>
      </w:r>
    </w:p>
    <w:p w:rsidR="002A61F1" w:rsidRPr="002A61F1" w:rsidRDefault="006A4578" w:rsidP="006A4578">
      <w:pPr>
        <w:pStyle w:val="Heading4"/>
      </w:pPr>
      <w:bookmarkStart w:id="169" w:name="_Ref269120916"/>
      <w:bookmarkStart w:id="170" w:name="_Toc272414658"/>
      <w:bookmarkStart w:id="171" w:name="_Toc290846283"/>
      <w:bookmarkStart w:id="172" w:name="_Toc343641684"/>
      <w:r>
        <w:t>Clinical s</w:t>
      </w:r>
      <w:r w:rsidR="002A61F1" w:rsidRPr="002A61F1">
        <w:t>afety</w:t>
      </w:r>
      <w:bookmarkEnd w:id="169"/>
      <w:bookmarkEnd w:id="170"/>
      <w:bookmarkEnd w:id="171"/>
      <w:bookmarkEnd w:id="172"/>
    </w:p>
    <w:p w:rsidR="002A61F1" w:rsidRPr="00B23A7E" w:rsidRDefault="002A61F1" w:rsidP="006A4578">
      <w:r w:rsidRPr="00B23A7E">
        <w:t xml:space="preserve">Of the completed studies, 9366 subjects aged 1-55 years have been vaccinated with one dose of </w:t>
      </w:r>
      <w:proofErr w:type="spellStart"/>
      <w:r w:rsidRPr="00B23A7E">
        <w:t>Nimenrix</w:t>
      </w:r>
      <w:proofErr w:type="spellEnd"/>
      <w:r w:rsidRPr="00B23A7E">
        <w:t>. The pooled analysis included data from 10</w:t>
      </w:r>
      <w:r w:rsidR="00B23A7E">
        <w:t>,</w:t>
      </w:r>
      <w:r w:rsidRPr="00B23A7E">
        <w:t xml:space="preserve">400 subjects vaccinated with </w:t>
      </w:r>
      <w:proofErr w:type="spellStart"/>
      <w:r w:rsidRPr="00B23A7E">
        <w:t>Nimenrix</w:t>
      </w:r>
      <w:proofErr w:type="spellEnd"/>
      <w:r w:rsidRPr="00B23A7E">
        <w:t xml:space="preserve"> or a comparator vaccine at first study visit. Of these 10</w:t>
      </w:r>
      <w:r w:rsidR="00B23A7E">
        <w:t>,</w:t>
      </w:r>
      <w:r w:rsidRPr="00B23A7E">
        <w:t xml:space="preserve">400 subjects, 8108 </w:t>
      </w:r>
      <w:r w:rsidR="0048682A">
        <w:t xml:space="preserve">were </w:t>
      </w:r>
      <w:r w:rsidRPr="00B23A7E">
        <w:lastRenderedPageBreak/>
        <w:t xml:space="preserve">vaccinated with </w:t>
      </w:r>
      <w:proofErr w:type="spellStart"/>
      <w:r w:rsidRPr="00B23A7E">
        <w:t>Nimenrix</w:t>
      </w:r>
      <w:proofErr w:type="spellEnd"/>
      <w:r w:rsidRPr="00B23A7E">
        <w:t xml:space="preserve">, 1617 with </w:t>
      </w:r>
      <w:proofErr w:type="spellStart"/>
      <w:r w:rsidRPr="00B23A7E">
        <w:t>Mencevax</w:t>
      </w:r>
      <w:proofErr w:type="spellEnd"/>
      <w:r w:rsidR="008E6D1D">
        <w:t xml:space="preserve"> </w:t>
      </w:r>
      <w:r w:rsidR="008E6D1D" w:rsidRPr="008E6D1D">
        <w:t>ACWY</w:t>
      </w:r>
      <w:r w:rsidRPr="00B23A7E">
        <w:t xml:space="preserve">, 375 with </w:t>
      </w:r>
      <w:proofErr w:type="spellStart"/>
      <w:r w:rsidRPr="00B23A7E">
        <w:t>Meningitec</w:t>
      </w:r>
      <w:proofErr w:type="spellEnd"/>
      <w:r w:rsidRPr="00B23A7E">
        <w:t xml:space="preserve">, 103 with </w:t>
      </w:r>
      <w:proofErr w:type="spellStart"/>
      <w:r w:rsidRPr="00B23A7E">
        <w:t>Menjugate</w:t>
      </w:r>
      <w:proofErr w:type="spellEnd"/>
      <w:r w:rsidRPr="00B23A7E">
        <w:t xml:space="preserve"> and 197 with </w:t>
      </w:r>
      <w:proofErr w:type="spellStart"/>
      <w:r w:rsidRPr="00B23A7E">
        <w:t>Menactra</w:t>
      </w:r>
      <w:proofErr w:type="spellEnd"/>
      <w:r w:rsidRPr="00B23A7E">
        <w:t xml:space="preserve">. </w:t>
      </w:r>
    </w:p>
    <w:p w:rsidR="00F52BAA" w:rsidRDefault="002A61F1" w:rsidP="006A4578">
      <w:bookmarkStart w:id="173" w:name="_Toc241374326"/>
      <w:bookmarkStart w:id="174" w:name="_Ref272333048"/>
      <w:bookmarkStart w:id="175" w:name="_Toc272414679"/>
      <w:bookmarkStart w:id="176" w:name="_Toc290846317"/>
      <w:bookmarkStart w:id="177" w:name="_Toc343641696"/>
      <w:r w:rsidRPr="002A61F1">
        <w:t xml:space="preserve">The safety and </w:t>
      </w:r>
      <w:proofErr w:type="spellStart"/>
      <w:r w:rsidRPr="002A61F1">
        <w:t>reactogenicity</w:t>
      </w:r>
      <w:proofErr w:type="spellEnd"/>
      <w:r w:rsidRPr="002A61F1">
        <w:t xml:space="preserve"> of </w:t>
      </w:r>
      <w:proofErr w:type="spellStart"/>
      <w:r w:rsidRPr="002A61F1">
        <w:t>Nimenrix</w:t>
      </w:r>
      <w:proofErr w:type="spellEnd"/>
      <w:r w:rsidRPr="002A61F1">
        <w:t xml:space="preserve"> in comparison to other registered </w:t>
      </w:r>
      <w:r w:rsidR="0048682A" w:rsidRPr="002A61F1">
        <w:t>meningoc</w:t>
      </w:r>
      <w:r w:rsidR="0048682A">
        <w:t>o</w:t>
      </w:r>
      <w:r w:rsidR="0048682A" w:rsidRPr="002A61F1">
        <w:t>ccal</w:t>
      </w:r>
      <w:r w:rsidRPr="002A61F1">
        <w:t xml:space="preserve"> vaccines and when co-administered with a number of </w:t>
      </w:r>
      <w:r w:rsidR="00F52BAA" w:rsidRPr="002A61F1">
        <w:t>childhood</w:t>
      </w:r>
      <w:r w:rsidRPr="002A61F1">
        <w:t xml:space="preserve"> vaccines were discussed in detail in the </w:t>
      </w:r>
      <w:r w:rsidR="0048682A">
        <w:t xml:space="preserve">CER (see Attachment 2 of this </w:t>
      </w:r>
      <w:proofErr w:type="spellStart"/>
      <w:r w:rsidR="0048682A">
        <w:t>AusPAR</w:t>
      </w:r>
      <w:proofErr w:type="spellEnd"/>
      <w:r w:rsidR="0048682A">
        <w:t>)</w:t>
      </w:r>
      <w:r w:rsidRPr="002A61F1">
        <w:t xml:space="preserve">. Higher rates of local reactions were observed with </w:t>
      </w:r>
      <w:proofErr w:type="spellStart"/>
      <w:r w:rsidRPr="002A61F1">
        <w:t>Nimenrix</w:t>
      </w:r>
      <w:proofErr w:type="spellEnd"/>
      <w:r w:rsidRPr="002A61F1">
        <w:t xml:space="preserve"> than with </w:t>
      </w:r>
      <w:proofErr w:type="spellStart"/>
      <w:r w:rsidRPr="002A61F1">
        <w:t>Mencevax</w:t>
      </w:r>
      <w:proofErr w:type="spellEnd"/>
      <w:r w:rsidRPr="002A61F1">
        <w:t xml:space="preserve"> </w:t>
      </w:r>
      <w:r w:rsidR="008E6D1D" w:rsidRPr="008E6D1D">
        <w:t xml:space="preserve">ACWY </w:t>
      </w:r>
      <w:r w:rsidRPr="002A61F1">
        <w:t xml:space="preserve">and </w:t>
      </w:r>
      <w:proofErr w:type="spellStart"/>
      <w:r w:rsidRPr="002A61F1">
        <w:t>Meningitec</w:t>
      </w:r>
      <w:proofErr w:type="spellEnd"/>
      <w:r w:rsidRPr="002A61F1">
        <w:t xml:space="preserve"> but there appears to be no important difference when compared to </w:t>
      </w:r>
      <w:proofErr w:type="spellStart"/>
      <w:r w:rsidRPr="002A61F1">
        <w:t>Menjugate</w:t>
      </w:r>
      <w:proofErr w:type="spellEnd"/>
      <w:r w:rsidRPr="002A61F1">
        <w:t xml:space="preserve">. Rates of local reactions were also higher for those who received </w:t>
      </w:r>
      <w:proofErr w:type="spellStart"/>
      <w:r w:rsidRPr="002A61F1">
        <w:t>Nimenrix</w:t>
      </w:r>
      <w:proofErr w:type="spellEnd"/>
      <w:r w:rsidRPr="002A61F1">
        <w:t xml:space="preserve"> after prior </w:t>
      </w:r>
      <w:proofErr w:type="spellStart"/>
      <w:r w:rsidRPr="002A61F1">
        <w:t>Mencevax</w:t>
      </w:r>
      <w:proofErr w:type="spellEnd"/>
      <w:r w:rsidR="008E6D1D">
        <w:t xml:space="preserve"> </w:t>
      </w:r>
      <w:r w:rsidR="008E6D1D" w:rsidRPr="008E6D1D">
        <w:t>ACWY</w:t>
      </w:r>
      <w:r w:rsidRPr="002A61F1">
        <w:t xml:space="preserve">. </w:t>
      </w:r>
    </w:p>
    <w:p w:rsidR="000A2693" w:rsidRDefault="002A61F1" w:rsidP="006A4578">
      <w:r w:rsidRPr="002A61F1">
        <w:t>The rate</w:t>
      </w:r>
      <w:r w:rsidR="000A2693">
        <w:t>s</w:t>
      </w:r>
      <w:r w:rsidRPr="002A61F1">
        <w:t xml:space="preserve"> of systemic symptoms were numerically higher in subjects vaccinated with </w:t>
      </w:r>
      <w:proofErr w:type="spellStart"/>
      <w:r w:rsidRPr="002A61F1">
        <w:t>Nimenrix</w:t>
      </w:r>
      <w:proofErr w:type="spellEnd"/>
      <w:r w:rsidRPr="002A61F1">
        <w:t xml:space="preserve"> versus those vaccinate</w:t>
      </w:r>
      <w:r w:rsidR="00F52BAA">
        <w:t xml:space="preserve">d with </w:t>
      </w:r>
      <w:proofErr w:type="spellStart"/>
      <w:r w:rsidR="00F52BAA">
        <w:t>Meningitec</w:t>
      </w:r>
      <w:proofErr w:type="spellEnd"/>
      <w:r w:rsidR="00F52BAA">
        <w:t xml:space="preserve"> and </w:t>
      </w:r>
      <w:proofErr w:type="spellStart"/>
      <w:r w:rsidR="00F52BAA">
        <w:t>Menjugate</w:t>
      </w:r>
      <w:proofErr w:type="spellEnd"/>
      <w:r w:rsidRPr="002A61F1">
        <w:t xml:space="preserve"> but there was generally not much difference in the rate of systemic reactions when compared to </w:t>
      </w:r>
      <w:proofErr w:type="spellStart"/>
      <w:r w:rsidRPr="002A61F1">
        <w:t>Mencevax</w:t>
      </w:r>
      <w:proofErr w:type="spellEnd"/>
      <w:r w:rsidR="008E6D1D">
        <w:t xml:space="preserve"> </w:t>
      </w:r>
      <w:r w:rsidR="008E6D1D" w:rsidRPr="008E6D1D">
        <w:t>ACWY</w:t>
      </w:r>
      <w:r w:rsidRPr="002A61F1">
        <w:t xml:space="preserve">. The numbers with high fever were small but there was a higher rate of high fever in the </w:t>
      </w:r>
      <w:proofErr w:type="spellStart"/>
      <w:r w:rsidRPr="002A61F1">
        <w:t>Nimenrix</w:t>
      </w:r>
      <w:proofErr w:type="spellEnd"/>
      <w:r w:rsidRPr="002A61F1">
        <w:t xml:space="preserve"> group and this was also observed in the comparisons to </w:t>
      </w:r>
      <w:proofErr w:type="spellStart"/>
      <w:r w:rsidRPr="002A61F1">
        <w:t>Mencevax</w:t>
      </w:r>
      <w:proofErr w:type="spellEnd"/>
      <w:r w:rsidRPr="002A61F1">
        <w:t xml:space="preserve"> </w:t>
      </w:r>
      <w:r w:rsidR="008E6D1D" w:rsidRPr="008E6D1D">
        <w:t xml:space="preserve">ACWY </w:t>
      </w:r>
      <w:r w:rsidRPr="002A61F1">
        <w:t xml:space="preserve">except in adults. </w:t>
      </w:r>
    </w:p>
    <w:p w:rsidR="000A2693" w:rsidRDefault="002A61F1" w:rsidP="006A4578">
      <w:r w:rsidRPr="002A61F1">
        <w:t xml:space="preserve">The frequency of headache, fatigue and fever considered related to vaccination </w:t>
      </w:r>
      <w:r w:rsidR="008004CA">
        <w:t>was</w:t>
      </w:r>
      <w:r w:rsidRPr="002A61F1">
        <w:t xml:space="preserve"> higher in those who had prior exposure to </w:t>
      </w:r>
      <w:proofErr w:type="spellStart"/>
      <w:r w:rsidRPr="002A61F1">
        <w:t>Mencevax</w:t>
      </w:r>
      <w:proofErr w:type="spellEnd"/>
      <w:r w:rsidRPr="002A61F1">
        <w:t xml:space="preserve"> </w:t>
      </w:r>
      <w:r w:rsidR="00844E39" w:rsidRPr="00844E39">
        <w:t xml:space="preserve">ACWY </w:t>
      </w:r>
      <w:r w:rsidRPr="002A61F1">
        <w:t xml:space="preserve">before </w:t>
      </w:r>
      <w:proofErr w:type="spellStart"/>
      <w:r w:rsidRPr="002A61F1">
        <w:t>Nimenrix</w:t>
      </w:r>
      <w:proofErr w:type="spellEnd"/>
      <w:r w:rsidRPr="002A61F1">
        <w:t xml:space="preserve">. </w:t>
      </w:r>
      <w:proofErr w:type="spellStart"/>
      <w:r w:rsidRPr="002A61F1">
        <w:t>Nimenrix</w:t>
      </w:r>
      <w:proofErr w:type="spellEnd"/>
      <w:r w:rsidRPr="002A61F1">
        <w:t xml:space="preserve"> also appears to have slightly higher rates of unsolicited AEs when compared to licensed </w:t>
      </w:r>
      <w:r w:rsidR="00EA634E" w:rsidRPr="00CF7CA7">
        <w:t>meningococcal C conjugate</w:t>
      </w:r>
      <w:r w:rsidRPr="002A61F1">
        <w:t xml:space="preserve"> vaccines. In the youngest age group, the rate of unsolicited AEs with </w:t>
      </w:r>
      <w:proofErr w:type="spellStart"/>
      <w:r w:rsidRPr="002A61F1">
        <w:t>Nimenrix</w:t>
      </w:r>
      <w:proofErr w:type="spellEnd"/>
      <w:r w:rsidRPr="002A61F1">
        <w:t xml:space="preserve"> is higher than that with </w:t>
      </w:r>
      <w:proofErr w:type="spellStart"/>
      <w:r w:rsidRPr="002A61F1">
        <w:t>Mencevax</w:t>
      </w:r>
      <w:proofErr w:type="spellEnd"/>
      <w:r w:rsidR="00844E39">
        <w:t xml:space="preserve"> </w:t>
      </w:r>
      <w:r w:rsidR="00844E39" w:rsidRPr="00844E39">
        <w:t>ACWY</w:t>
      </w:r>
      <w:r w:rsidRPr="002A61F1">
        <w:t xml:space="preserve">. The unsolicited AEs were very scattered in nature and the differences in rates for AEs considered related to vaccine may have been affected by the open-label study designs. </w:t>
      </w:r>
    </w:p>
    <w:p w:rsidR="002A61F1" w:rsidRPr="002A61F1" w:rsidRDefault="002A61F1" w:rsidP="006A4578">
      <w:r w:rsidRPr="002A61F1">
        <w:t>The SAEs did not show any important imbalances between treatment groups. There are few AEs reported under the term of hypersensitivity and there were also reports of AEs that might represent allergic reactions.</w:t>
      </w:r>
    </w:p>
    <w:p w:rsidR="002A61F1" w:rsidRPr="002A61F1" w:rsidRDefault="002A61F1" w:rsidP="006A4578">
      <w:r w:rsidRPr="002A61F1">
        <w:t xml:space="preserve">There were no deaths reported during the 31-day post-vaccination in any studies. During 6-month extended follow-up, 1 infant died of accidental drowning. From the 8108 </w:t>
      </w:r>
      <w:proofErr w:type="spellStart"/>
      <w:r w:rsidRPr="002A61F1">
        <w:t>Nimenrix</w:t>
      </w:r>
      <w:proofErr w:type="spellEnd"/>
      <w:r w:rsidRPr="002A61F1">
        <w:t xml:space="preserve"> vaccinated subjects, 29 (0.4%) reported SAE</w:t>
      </w:r>
      <w:r w:rsidR="000A2693">
        <w:t>s</w:t>
      </w:r>
      <w:r w:rsidRPr="002A61F1">
        <w:t xml:space="preserve"> within 31 days post vaccination. None of the SAEs reported in those under 2</w:t>
      </w:r>
      <w:r w:rsidR="000A2693">
        <w:t xml:space="preserve">years </w:t>
      </w:r>
      <w:r w:rsidRPr="002A61F1">
        <w:t xml:space="preserve">and </w:t>
      </w:r>
      <w:r w:rsidR="000A2693">
        <w:t xml:space="preserve">in the </w:t>
      </w:r>
      <w:r w:rsidRPr="002A61F1">
        <w:t>2-5 y</w:t>
      </w:r>
      <w:r w:rsidR="000A2693">
        <w:t>ea</w:t>
      </w:r>
      <w:r w:rsidRPr="002A61F1">
        <w:t xml:space="preserve">r age </w:t>
      </w:r>
      <w:r w:rsidR="000A2693">
        <w:t xml:space="preserve">group were </w:t>
      </w:r>
      <w:r w:rsidRPr="002A61F1">
        <w:t>considered vaccine related. In the 11-17 y</w:t>
      </w:r>
      <w:r w:rsidR="000A2693">
        <w:t>ea</w:t>
      </w:r>
      <w:r w:rsidRPr="002A61F1">
        <w:t xml:space="preserve">rs age group, two SAEs (concussion and syncope) reported by 1 subject 8 days post-vaccination with </w:t>
      </w:r>
      <w:proofErr w:type="spellStart"/>
      <w:r w:rsidRPr="002A61F1">
        <w:t>Nimenrix</w:t>
      </w:r>
      <w:proofErr w:type="spellEnd"/>
      <w:r w:rsidRPr="002A61F1">
        <w:t xml:space="preserve"> and </w:t>
      </w:r>
      <w:proofErr w:type="spellStart"/>
      <w:r w:rsidRPr="002A61F1">
        <w:rPr>
          <w:iCs/>
        </w:rPr>
        <w:t>Twinrix</w:t>
      </w:r>
      <w:proofErr w:type="spellEnd"/>
      <w:r w:rsidRPr="002A61F1">
        <w:rPr>
          <w:iCs/>
        </w:rPr>
        <w:t xml:space="preserve"> </w:t>
      </w:r>
      <w:r w:rsidRPr="002A61F1">
        <w:t>vaccines (Study-037)were considered vaccine related. In the ≥ 18 year age group, 3 SAEs were considered vaccine related</w:t>
      </w:r>
      <w:r w:rsidR="000A2693">
        <w:t>:</w:t>
      </w:r>
      <w:r w:rsidRPr="002A61F1">
        <w:t xml:space="preserve"> abdominal pain and gastritis reported by 1 subject 5 days post-vaccination with </w:t>
      </w:r>
      <w:proofErr w:type="spellStart"/>
      <w:r w:rsidRPr="002A61F1">
        <w:t>Nimenrix</w:t>
      </w:r>
      <w:proofErr w:type="spellEnd"/>
      <w:r w:rsidRPr="002A61F1">
        <w:t xml:space="preserve"> (Study-035); </w:t>
      </w:r>
      <w:r w:rsidR="000A2693">
        <w:t xml:space="preserve">and a </w:t>
      </w:r>
      <w:r w:rsidRPr="002A61F1">
        <w:t xml:space="preserve">SAE of blighted ovum reported by 1 subject 29 days post-vaccination with </w:t>
      </w:r>
      <w:proofErr w:type="spellStart"/>
      <w:r w:rsidRPr="002A61F1">
        <w:t>Nimenrix</w:t>
      </w:r>
      <w:proofErr w:type="spellEnd"/>
      <w:r w:rsidRPr="002A61F1">
        <w:t xml:space="preserve"> in Study-093.</w:t>
      </w:r>
    </w:p>
    <w:p w:rsidR="002A61F1" w:rsidRPr="002A61F1" w:rsidRDefault="002A61F1" w:rsidP="006A4578">
      <w:r w:rsidRPr="002A61F1">
        <w:t xml:space="preserve">Of 8108 subjects vaccinated with </w:t>
      </w:r>
      <w:proofErr w:type="spellStart"/>
      <w:r w:rsidRPr="002A61F1">
        <w:t>Nimenrix</w:t>
      </w:r>
      <w:proofErr w:type="spellEnd"/>
      <w:r w:rsidRPr="002A61F1">
        <w:t xml:space="preserve"> at the first study visit in the completed studies, only one subject </w:t>
      </w:r>
      <w:r w:rsidR="000A2693">
        <w:t>withdrew</w:t>
      </w:r>
      <w:r w:rsidRPr="002A61F1">
        <w:t xml:space="preserve"> because of a SAE (not related to vaccination), and 5 subjects </w:t>
      </w:r>
      <w:r w:rsidR="000A2693">
        <w:t xml:space="preserve">withdrew </w:t>
      </w:r>
      <w:r w:rsidRPr="002A61F1">
        <w:t>due to non</w:t>
      </w:r>
      <w:r w:rsidR="004A7BFA">
        <w:t>-</w:t>
      </w:r>
      <w:r w:rsidRPr="002A61F1">
        <w:t>serious AEs</w:t>
      </w:r>
      <w:r w:rsidR="000A2693">
        <w:t>:</w:t>
      </w:r>
      <w:r w:rsidRPr="002A61F1">
        <w:t xml:space="preserve"> one of these 5 was considered possibly related to vaccination</w:t>
      </w:r>
      <w:r w:rsidR="000A2693">
        <w:t xml:space="preserve">, that is, </w:t>
      </w:r>
      <w:r w:rsidRPr="002A61F1">
        <w:t>grade 3 headache which began 2 days after vaccination</w:t>
      </w:r>
      <w:r w:rsidR="000A2693">
        <w:t>,</w:t>
      </w:r>
      <w:r w:rsidRPr="002A61F1">
        <w:t xml:space="preserve"> lasted in total 4 days</w:t>
      </w:r>
      <w:r w:rsidR="000A2693">
        <w:t xml:space="preserve"> and </w:t>
      </w:r>
      <w:r w:rsidRPr="002A61F1">
        <w:t xml:space="preserve">resolved without </w:t>
      </w:r>
      <w:proofErr w:type="spellStart"/>
      <w:r w:rsidRPr="002A61F1">
        <w:t>sequelae</w:t>
      </w:r>
      <w:proofErr w:type="spellEnd"/>
      <w:r w:rsidRPr="002A61F1">
        <w:t xml:space="preserve">. </w:t>
      </w:r>
    </w:p>
    <w:p w:rsidR="002A61F1" w:rsidRPr="002A61F1" w:rsidRDefault="002A61F1" w:rsidP="006A4578">
      <w:r w:rsidRPr="002A61F1">
        <w:t xml:space="preserve">Pregnancy was </w:t>
      </w:r>
      <w:r w:rsidR="000A2693">
        <w:t xml:space="preserve">an </w:t>
      </w:r>
      <w:r w:rsidRPr="002A61F1">
        <w:t xml:space="preserve">exclusion </w:t>
      </w:r>
      <w:r w:rsidR="001B7354">
        <w:t xml:space="preserve">criteria </w:t>
      </w:r>
      <w:r w:rsidRPr="002A61F1">
        <w:t xml:space="preserve">for participation, however a total of 38 pregnancies </w:t>
      </w:r>
      <w:r w:rsidR="000A2693">
        <w:t xml:space="preserve">were </w:t>
      </w:r>
      <w:r w:rsidRPr="002A61F1">
        <w:t xml:space="preserve">reported during follow up. </w:t>
      </w:r>
      <w:r w:rsidR="000A2693">
        <w:t>There was n</w:t>
      </w:r>
      <w:r w:rsidRPr="002A61F1">
        <w:t>o deleterious safety signal in these very small numbers.</w:t>
      </w:r>
    </w:p>
    <w:p w:rsidR="002A61F1" w:rsidRPr="002A61F1" w:rsidRDefault="002A61F1" w:rsidP="006A4578">
      <w:pPr>
        <w:rPr>
          <w:b/>
        </w:rPr>
      </w:pPr>
      <w:r w:rsidRPr="002A61F1">
        <w:t xml:space="preserve">The safety of </w:t>
      </w:r>
      <w:proofErr w:type="spellStart"/>
      <w:r w:rsidRPr="002A61F1">
        <w:t>Nimenrix</w:t>
      </w:r>
      <w:proofErr w:type="spellEnd"/>
      <w:r w:rsidRPr="002A61F1">
        <w:t xml:space="preserve"> when administered concomitantly with </w:t>
      </w:r>
      <w:proofErr w:type="spellStart"/>
      <w:r w:rsidR="004A7BFA">
        <w:rPr>
          <w:iCs/>
        </w:rPr>
        <w:t>Infanrix</w:t>
      </w:r>
      <w:proofErr w:type="spellEnd"/>
      <w:r w:rsidR="004A7BFA">
        <w:rPr>
          <w:iCs/>
        </w:rPr>
        <w:t xml:space="preserve"> </w:t>
      </w:r>
      <w:proofErr w:type="spellStart"/>
      <w:r w:rsidR="004A7BFA">
        <w:rPr>
          <w:iCs/>
        </w:rPr>
        <w:t>H</w:t>
      </w:r>
      <w:r w:rsidRPr="002A61F1">
        <w:rPr>
          <w:iCs/>
        </w:rPr>
        <w:t>exa</w:t>
      </w:r>
      <w:proofErr w:type="spellEnd"/>
      <w:r w:rsidRPr="002A61F1">
        <w:rPr>
          <w:iCs/>
        </w:rPr>
        <w:t xml:space="preserve">, MMRV, </w:t>
      </w:r>
      <w:proofErr w:type="spellStart"/>
      <w:r w:rsidRPr="002A61F1">
        <w:rPr>
          <w:iCs/>
        </w:rPr>
        <w:t>Twinrix</w:t>
      </w:r>
      <w:proofErr w:type="spellEnd"/>
      <w:r w:rsidRPr="002A61F1">
        <w:rPr>
          <w:iCs/>
        </w:rPr>
        <w:t xml:space="preserve">, </w:t>
      </w:r>
      <w:proofErr w:type="spellStart"/>
      <w:r w:rsidRPr="002A61F1">
        <w:rPr>
          <w:iCs/>
        </w:rPr>
        <w:t>Flurarix</w:t>
      </w:r>
      <w:proofErr w:type="spellEnd"/>
      <w:r w:rsidRPr="002A61F1">
        <w:rPr>
          <w:iCs/>
        </w:rPr>
        <w:t xml:space="preserve"> </w:t>
      </w:r>
      <w:r w:rsidRPr="002A61F1">
        <w:t xml:space="preserve">and </w:t>
      </w:r>
      <w:proofErr w:type="spellStart"/>
      <w:r w:rsidRPr="002A61F1">
        <w:rPr>
          <w:iCs/>
        </w:rPr>
        <w:t>Synflorix</w:t>
      </w:r>
      <w:proofErr w:type="spellEnd"/>
      <w:r w:rsidRPr="002A61F1">
        <w:rPr>
          <w:iCs/>
        </w:rPr>
        <w:t xml:space="preserve"> </w:t>
      </w:r>
      <w:r w:rsidRPr="002A61F1">
        <w:t>was evaluated in a number of studies.</w:t>
      </w:r>
      <w:r w:rsidRPr="002A61F1">
        <w:rPr>
          <w:b/>
        </w:rPr>
        <w:t xml:space="preserve"> </w:t>
      </w:r>
    </w:p>
    <w:p w:rsidR="002A61F1" w:rsidRPr="002A61F1" w:rsidRDefault="002A61F1" w:rsidP="006A4578">
      <w:pPr>
        <w:rPr>
          <w:b/>
        </w:rPr>
      </w:pPr>
      <w:r w:rsidRPr="002A61F1">
        <w:t>Co-administration w</w:t>
      </w:r>
      <w:r w:rsidR="004A7BFA">
        <w:t>ith MMRV (</w:t>
      </w:r>
      <w:proofErr w:type="spellStart"/>
      <w:r w:rsidR="004A7BFA">
        <w:t>Priorix</w:t>
      </w:r>
      <w:proofErr w:type="spellEnd"/>
      <w:r w:rsidR="004A7BFA">
        <w:t xml:space="preserve"> T</w:t>
      </w:r>
      <w:r w:rsidRPr="002A61F1">
        <w:t xml:space="preserve">etra) was assessed in </w:t>
      </w:r>
      <w:r w:rsidRPr="002A61F1">
        <w:rPr>
          <w:bCs/>
          <w:iCs/>
        </w:rPr>
        <w:t>Study</w:t>
      </w:r>
      <w:r w:rsidRPr="002A61F1">
        <w:t xml:space="preserve">-039. There appears to be no impact on </w:t>
      </w:r>
      <w:proofErr w:type="spellStart"/>
      <w:r w:rsidRPr="002A61F1">
        <w:t>reactogenicity</w:t>
      </w:r>
      <w:proofErr w:type="spellEnd"/>
      <w:r w:rsidRPr="002A61F1">
        <w:t xml:space="preserve"> at either injection site. The rate</w:t>
      </w:r>
      <w:r w:rsidR="000A2693">
        <w:t>s</w:t>
      </w:r>
      <w:r w:rsidRPr="002A61F1">
        <w:t xml:space="preserve"> of drowsiness and irritability were higher in the co-</w:t>
      </w:r>
      <w:r w:rsidR="000A2693">
        <w:t>administration (co-ad) group versus</w:t>
      </w:r>
      <w:r w:rsidRPr="002A61F1">
        <w:t xml:space="preserve"> </w:t>
      </w:r>
      <w:r w:rsidR="000A2693">
        <w:t xml:space="preserve">the </w:t>
      </w:r>
      <w:proofErr w:type="spellStart"/>
      <w:r w:rsidRPr="002A61F1">
        <w:t>Priorix</w:t>
      </w:r>
      <w:proofErr w:type="spellEnd"/>
      <w:r w:rsidRPr="002A61F1">
        <w:t xml:space="preserve"> </w:t>
      </w:r>
      <w:r w:rsidR="000A2693">
        <w:t>T</w:t>
      </w:r>
      <w:r w:rsidRPr="002A61F1">
        <w:t>etra alone</w:t>
      </w:r>
      <w:r w:rsidR="000A2693">
        <w:t xml:space="preserve"> group. Fever and rash between d</w:t>
      </w:r>
      <w:r w:rsidRPr="002A61F1">
        <w:t xml:space="preserve">ays 5 and 12 post-vaccination were likely to be </w:t>
      </w:r>
      <w:r w:rsidRPr="002A61F1">
        <w:lastRenderedPageBreak/>
        <w:t xml:space="preserve">attributable to </w:t>
      </w:r>
      <w:proofErr w:type="spellStart"/>
      <w:r w:rsidRPr="002A61F1">
        <w:t>Priorix</w:t>
      </w:r>
      <w:proofErr w:type="spellEnd"/>
      <w:r w:rsidRPr="002A61F1">
        <w:t xml:space="preserve"> </w:t>
      </w:r>
      <w:r w:rsidR="000A2693">
        <w:t>T</w:t>
      </w:r>
      <w:r w:rsidRPr="002A61F1">
        <w:t xml:space="preserve">etra and were more frequently reported in </w:t>
      </w:r>
      <w:r w:rsidR="000A2693">
        <w:t xml:space="preserve">the </w:t>
      </w:r>
      <w:r w:rsidRPr="002A61F1">
        <w:t xml:space="preserve">co-ad and </w:t>
      </w:r>
      <w:proofErr w:type="spellStart"/>
      <w:r w:rsidRPr="002A61F1">
        <w:t>Priorix</w:t>
      </w:r>
      <w:proofErr w:type="spellEnd"/>
      <w:r w:rsidRPr="002A61F1">
        <w:t xml:space="preserve"> </w:t>
      </w:r>
      <w:r w:rsidR="000A2693">
        <w:t>T</w:t>
      </w:r>
      <w:r w:rsidRPr="002A61F1">
        <w:t xml:space="preserve">etra groups </w:t>
      </w:r>
      <w:r w:rsidR="000A2693">
        <w:t xml:space="preserve">than in the </w:t>
      </w:r>
      <w:proofErr w:type="spellStart"/>
      <w:r w:rsidRPr="002A61F1">
        <w:t>Nimenrix</w:t>
      </w:r>
      <w:proofErr w:type="spellEnd"/>
      <w:r w:rsidRPr="002A61F1">
        <w:t xml:space="preserve"> alone group. </w:t>
      </w:r>
    </w:p>
    <w:p w:rsidR="002A61F1" w:rsidRPr="002A61F1" w:rsidRDefault="002A61F1" w:rsidP="006A4578">
      <w:r w:rsidRPr="002A61F1">
        <w:t xml:space="preserve">Co-administration with </w:t>
      </w:r>
      <w:proofErr w:type="spellStart"/>
      <w:r w:rsidRPr="002A61F1">
        <w:t>DTPa</w:t>
      </w:r>
      <w:proofErr w:type="spellEnd"/>
      <w:r w:rsidRPr="002A61F1">
        <w:t>-HBV-IPV/</w:t>
      </w:r>
      <w:proofErr w:type="spellStart"/>
      <w:r w:rsidRPr="002A61F1">
        <w:t>Hib</w:t>
      </w:r>
      <w:proofErr w:type="spellEnd"/>
      <w:r w:rsidRPr="002A61F1">
        <w:t xml:space="preserve"> was assessed in </w:t>
      </w:r>
      <w:r w:rsidRPr="002A61F1">
        <w:rPr>
          <w:bCs/>
          <w:iCs/>
        </w:rPr>
        <w:t>Study</w:t>
      </w:r>
      <w:r w:rsidRPr="002A61F1">
        <w:t xml:space="preserve">-040. </w:t>
      </w:r>
      <w:proofErr w:type="spellStart"/>
      <w:r w:rsidRPr="002A61F1">
        <w:t>Nimenrix</w:t>
      </w:r>
      <w:proofErr w:type="spellEnd"/>
      <w:r w:rsidRPr="002A61F1">
        <w:t xml:space="preserve"> co-administered with </w:t>
      </w:r>
      <w:proofErr w:type="spellStart"/>
      <w:r w:rsidRPr="002A61F1">
        <w:t>Infanrix</w:t>
      </w:r>
      <w:proofErr w:type="spellEnd"/>
      <w:r w:rsidRPr="002A61F1">
        <w:t xml:space="preserve"> </w:t>
      </w:r>
      <w:proofErr w:type="spellStart"/>
      <w:r w:rsidR="000A2693">
        <w:t>H</w:t>
      </w:r>
      <w:r w:rsidRPr="002A61F1">
        <w:t>exa</w:t>
      </w:r>
      <w:proofErr w:type="spellEnd"/>
      <w:r w:rsidRPr="002A61F1">
        <w:t xml:space="preserve"> had a similar safety profile compared to </w:t>
      </w:r>
      <w:proofErr w:type="spellStart"/>
      <w:r w:rsidRPr="002A61F1">
        <w:t>Infanrix</w:t>
      </w:r>
      <w:proofErr w:type="spellEnd"/>
      <w:r w:rsidRPr="002A61F1">
        <w:t xml:space="preserve"> </w:t>
      </w:r>
      <w:proofErr w:type="spellStart"/>
      <w:r w:rsidR="000A2693">
        <w:t>H</w:t>
      </w:r>
      <w:r w:rsidRPr="002A61F1">
        <w:t>exa</w:t>
      </w:r>
      <w:proofErr w:type="spellEnd"/>
      <w:r w:rsidRPr="002A61F1">
        <w:t xml:space="preserve"> alone ex</w:t>
      </w:r>
      <w:r w:rsidR="000A2693">
        <w:t xml:space="preserve">cept for injection site redness and/or </w:t>
      </w:r>
      <w:r w:rsidRPr="002A61F1">
        <w:t xml:space="preserve">swelling which were less frequently reported in the co-ad group. There were increases in reported rates of general solicited symptoms in the co-ad group compared to </w:t>
      </w:r>
      <w:proofErr w:type="spellStart"/>
      <w:r w:rsidRPr="002A61F1">
        <w:t>Nimenrix</w:t>
      </w:r>
      <w:proofErr w:type="spellEnd"/>
      <w:r w:rsidRPr="002A61F1">
        <w:t xml:space="preserve"> alone.</w:t>
      </w:r>
    </w:p>
    <w:p w:rsidR="002A61F1" w:rsidRPr="00CF7CA7" w:rsidRDefault="002A61F1" w:rsidP="006A4578">
      <w:r w:rsidRPr="002A61F1">
        <w:rPr>
          <w:iCs/>
        </w:rPr>
        <w:t xml:space="preserve">Co-administration with </w:t>
      </w:r>
      <w:proofErr w:type="spellStart"/>
      <w:r w:rsidRPr="002A61F1">
        <w:rPr>
          <w:iCs/>
        </w:rPr>
        <w:t>Synflorix</w:t>
      </w:r>
      <w:proofErr w:type="spellEnd"/>
      <w:r w:rsidRPr="002A61F1">
        <w:rPr>
          <w:iCs/>
        </w:rPr>
        <w:t xml:space="preserve"> (10-valent pneumococcal vaccine) was evaluated in </w:t>
      </w:r>
      <w:r w:rsidRPr="002A61F1">
        <w:rPr>
          <w:bCs/>
          <w:iCs/>
        </w:rPr>
        <w:t>Study</w:t>
      </w:r>
      <w:r w:rsidRPr="002A61F1">
        <w:t xml:space="preserve">-080. Across all vaccine groups (co-ad or </w:t>
      </w:r>
      <w:proofErr w:type="spellStart"/>
      <w:r w:rsidRPr="002A61F1">
        <w:t>Nimenrix</w:t>
      </w:r>
      <w:proofErr w:type="spellEnd"/>
      <w:r w:rsidRPr="002A61F1">
        <w:t xml:space="preserve"> and </w:t>
      </w:r>
      <w:proofErr w:type="spellStart"/>
      <w:r w:rsidRPr="002A61F1">
        <w:rPr>
          <w:iCs/>
        </w:rPr>
        <w:t>Synflorix</w:t>
      </w:r>
      <w:proofErr w:type="spellEnd"/>
      <w:r w:rsidRPr="002A61F1">
        <w:rPr>
          <w:iCs/>
        </w:rPr>
        <w:t xml:space="preserve"> </w:t>
      </w:r>
      <w:r w:rsidRPr="00CF7CA7">
        <w:t>admi</w:t>
      </w:r>
      <w:r w:rsidR="00CF7CA7">
        <w:t>ni</w:t>
      </w:r>
      <w:r w:rsidRPr="00CF7CA7">
        <w:t>stered alone), pain and irritability were most commonly solicited AE</w:t>
      </w:r>
      <w:r w:rsidR="00CF7CA7">
        <w:t>s</w:t>
      </w:r>
      <w:r w:rsidRPr="00CF7CA7">
        <w:t>; grade 3 AEs were uncommon. The rate of fever was around 11.0-19.8% across the 3 vaccine groups.</w:t>
      </w:r>
    </w:p>
    <w:p w:rsidR="002A61F1" w:rsidRPr="002A61F1" w:rsidRDefault="002A61F1" w:rsidP="006A4578">
      <w:r w:rsidRPr="002A61F1">
        <w:rPr>
          <w:iCs/>
        </w:rPr>
        <w:t>Co-administration with hepatitis A and B vaccine</w:t>
      </w:r>
      <w:r w:rsidRPr="002A61F1">
        <w:t xml:space="preserve"> was assessed in </w:t>
      </w:r>
      <w:r w:rsidRPr="002A61F1">
        <w:rPr>
          <w:bCs/>
          <w:iCs/>
        </w:rPr>
        <w:t>Study</w:t>
      </w:r>
      <w:r w:rsidRPr="002A61F1">
        <w:t>-037.</w:t>
      </w:r>
      <w:r w:rsidRPr="002A61F1">
        <w:rPr>
          <w:iCs/>
        </w:rPr>
        <w:t xml:space="preserve"> </w:t>
      </w:r>
      <w:r w:rsidRPr="002A61F1">
        <w:t xml:space="preserve">The solicited </w:t>
      </w:r>
      <w:proofErr w:type="spellStart"/>
      <w:r w:rsidRPr="002A61F1">
        <w:t>reactogenicity</w:t>
      </w:r>
      <w:proofErr w:type="spellEnd"/>
      <w:r w:rsidRPr="002A61F1">
        <w:t xml:space="preserve"> data and other observed AEs did not reveal any safety concern with </w:t>
      </w:r>
      <w:proofErr w:type="spellStart"/>
      <w:r w:rsidRPr="002A61F1">
        <w:t>Nimenrix</w:t>
      </w:r>
      <w:proofErr w:type="spellEnd"/>
      <w:r w:rsidRPr="002A61F1">
        <w:t xml:space="preserve"> or </w:t>
      </w:r>
      <w:proofErr w:type="spellStart"/>
      <w:r w:rsidRPr="002A61F1">
        <w:rPr>
          <w:iCs/>
        </w:rPr>
        <w:t>Twinrix</w:t>
      </w:r>
      <w:proofErr w:type="spellEnd"/>
      <w:r w:rsidRPr="002A61F1">
        <w:rPr>
          <w:iCs/>
        </w:rPr>
        <w:t xml:space="preserve"> vaccines</w:t>
      </w:r>
      <w:r w:rsidRPr="002A61F1">
        <w:t>, either</w:t>
      </w:r>
      <w:r w:rsidRPr="002A61F1">
        <w:rPr>
          <w:iCs/>
        </w:rPr>
        <w:t xml:space="preserve"> </w:t>
      </w:r>
      <w:r w:rsidRPr="002A61F1">
        <w:t xml:space="preserve">alone or in combination. Co-administration with either </w:t>
      </w:r>
      <w:proofErr w:type="spellStart"/>
      <w:r w:rsidRPr="002A61F1">
        <w:t>Fluarix</w:t>
      </w:r>
      <w:proofErr w:type="spellEnd"/>
      <w:r w:rsidRPr="002A61F1">
        <w:t xml:space="preserve"> in adults or </w:t>
      </w:r>
      <w:proofErr w:type="spellStart"/>
      <w:r w:rsidRPr="002A61F1">
        <w:t>Twinrix</w:t>
      </w:r>
      <w:proofErr w:type="spellEnd"/>
      <w:r w:rsidRPr="002A61F1">
        <w:t xml:space="preserve"> at various ages does not seem to be accompanied by higher </w:t>
      </w:r>
      <w:proofErr w:type="spellStart"/>
      <w:r w:rsidRPr="002A61F1">
        <w:t>reactogenicity</w:t>
      </w:r>
      <w:proofErr w:type="spellEnd"/>
      <w:r w:rsidRPr="002A61F1">
        <w:t xml:space="preserve">. </w:t>
      </w:r>
    </w:p>
    <w:p w:rsidR="002A61F1" w:rsidRPr="002A61F1" w:rsidRDefault="002A61F1" w:rsidP="006A4578">
      <w:r w:rsidRPr="002A61F1">
        <w:t xml:space="preserve">Overall, </w:t>
      </w:r>
      <w:proofErr w:type="spellStart"/>
      <w:r w:rsidRPr="002A61F1">
        <w:t>Nimenrix</w:t>
      </w:r>
      <w:proofErr w:type="spellEnd"/>
      <w:r w:rsidRPr="002A61F1">
        <w:t xml:space="preserve"> is more </w:t>
      </w:r>
      <w:proofErr w:type="spellStart"/>
      <w:r w:rsidRPr="002A61F1">
        <w:t>reactogenic</w:t>
      </w:r>
      <w:proofErr w:type="spellEnd"/>
      <w:r w:rsidRPr="002A61F1">
        <w:t xml:space="preserve"> than licensed </w:t>
      </w:r>
      <w:r w:rsidR="00EA634E" w:rsidRPr="00CF7CA7">
        <w:t>meningococcal C conjugate</w:t>
      </w:r>
      <w:r w:rsidRPr="002A61F1">
        <w:t xml:space="preserve"> vaccines, and for some types of symptoms, </w:t>
      </w:r>
      <w:proofErr w:type="spellStart"/>
      <w:r w:rsidRPr="002A61F1">
        <w:t>Nimenrix</w:t>
      </w:r>
      <w:proofErr w:type="spellEnd"/>
      <w:r w:rsidRPr="002A61F1">
        <w:t xml:space="preserve"> is more </w:t>
      </w:r>
      <w:proofErr w:type="spellStart"/>
      <w:r w:rsidRPr="002A61F1">
        <w:t>reactogenic</w:t>
      </w:r>
      <w:proofErr w:type="spellEnd"/>
      <w:r w:rsidRPr="002A61F1">
        <w:t xml:space="preserve"> than </w:t>
      </w:r>
      <w:proofErr w:type="spellStart"/>
      <w:r w:rsidRPr="002A61F1">
        <w:t>Mercevax</w:t>
      </w:r>
      <w:proofErr w:type="spellEnd"/>
      <w:r w:rsidRPr="002A61F1">
        <w:t xml:space="preserve">. Nevertheless, the data did not reveal any significant safety concern that might preclude approval. In all age groups the most frequently observed local AEs post </w:t>
      </w:r>
      <w:proofErr w:type="spellStart"/>
      <w:r w:rsidRPr="002A61F1">
        <w:t>Nimenrix</w:t>
      </w:r>
      <w:proofErr w:type="spellEnd"/>
      <w:r w:rsidRPr="002A61F1">
        <w:t xml:space="preserve"> vaccination were pain, redness and swelling. The rates of some AEs were higher in those who had previously received ACWY-PS vaccine. There are currently no data on the safety of booster doses.</w:t>
      </w:r>
    </w:p>
    <w:p w:rsidR="002A61F1" w:rsidRPr="002A61F1" w:rsidRDefault="00CF7CA7" w:rsidP="006A4578">
      <w:pPr>
        <w:pStyle w:val="Heading4"/>
      </w:pPr>
      <w:bookmarkStart w:id="178" w:name="_Toc236802597"/>
      <w:bookmarkStart w:id="179" w:name="_Toc241374335"/>
      <w:bookmarkStart w:id="180" w:name="_Toc272414695"/>
      <w:bookmarkStart w:id="181" w:name="_Toc290846333"/>
      <w:bookmarkStart w:id="182" w:name="_Toc343641712"/>
      <w:r>
        <w:t>Clinical e</w:t>
      </w:r>
      <w:r w:rsidR="002A61F1" w:rsidRPr="002A61F1">
        <w:t xml:space="preserve">valuator’s </w:t>
      </w:r>
      <w:r>
        <w:t>r</w:t>
      </w:r>
      <w:r w:rsidR="002A61F1" w:rsidRPr="002A61F1">
        <w:t>ecommendation</w:t>
      </w:r>
      <w:bookmarkEnd w:id="178"/>
      <w:bookmarkEnd w:id="179"/>
      <w:bookmarkEnd w:id="180"/>
      <w:bookmarkEnd w:id="181"/>
      <w:bookmarkEnd w:id="182"/>
    </w:p>
    <w:p w:rsidR="002A61F1" w:rsidRPr="002A61F1" w:rsidRDefault="002A61F1" w:rsidP="006A4578">
      <w:pPr>
        <w:rPr>
          <w:u w:val="single"/>
        </w:rPr>
      </w:pPr>
      <w:r w:rsidRPr="002A61F1">
        <w:t xml:space="preserve">The evaluator is of the view that the submitted data support the proposed use of </w:t>
      </w:r>
      <w:proofErr w:type="spellStart"/>
      <w:r w:rsidRPr="002A61F1">
        <w:t>Nimenrix</w:t>
      </w:r>
      <w:proofErr w:type="spellEnd"/>
      <w:r w:rsidRPr="00CF7CA7">
        <w:t xml:space="preserve">: </w:t>
      </w:r>
      <w:r w:rsidRPr="006A4578">
        <w:rPr>
          <w:i/>
        </w:rPr>
        <w:t xml:space="preserve">for active immunisation against invasive meningococcal disease caused by N. </w:t>
      </w:r>
      <w:proofErr w:type="spellStart"/>
      <w:r w:rsidRPr="006A4578">
        <w:rPr>
          <w:i/>
        </w:rPr>
        <w:t>meningitidis</w:t>
      </w:r>
      <w:proofErr w:type="spellEnd"/>
      <w:r w:rsidRPr="006A4578">
        <w:rPr>
          <w:i/>
        </w:rPr>
        <w:t xml:space="preserve"> </w:t>
      </w:r>
      <w:proofErr w:type="spellStart"/>
      <w:r w:rsidRPr="006A4578">
        <w:rPr>
          <w:i/>
        </w:rPr>
        <w:t>serogroups</w:t>
      </w:r>
      <w:proofErr w:type="spellEnd"/>
      <w:r w:rsidRPr="006A4578">
        <w:rPr>
          <w:i/>
        </w:rPr>
        <w:t xml:space="preserve"> A, C, W-135 and Y in individuals</w:t>
      </w:r>
      <w:r w:rsidRPr="00CF7CA7">
        <w:t xml:space="preserve"> 1- 55 </w:t>
      </w:r>
      <w:r w:rsidR="00B13592">
        <w:t>years</w:t>
      </w:r>
      <w:r w:rsidRPr="00CF7CA7">
        <w:t xml:space="preserve"> of age.</w:t>
      </w:r>
      <w:r w:rsidRPr="002A61F1">
        <w:t xml:space="preserve"> The vaccine is to be administered </w:t>
      </w:r>
      <w:r w:rsidR="00CF7CA7">
        <w:t xml:space="preserve">IM </w:t>
      </w:r>
      <w:r w:rsidRPr="002A61F1">
        <w:t xml:space="preserve">as a one-dose schedule. The other proposed use of </w:t>
      </w:r>
      <w:proofErr w:type="spellStart"/>
      <w:r w:rsidRPr="002A61F1">
        <w:t>Nimenrix</w:t>
      </w:r>
      <w:proofErr w:type="spellEnd"/>
      <w:r w:rsidRPr="002A61F1">
        <w:t xml:space="preserve"> is as a booster vaccination in subjects who have previous</w:t>
      </w:r>
      <w:r w:rsidR="00CF7CA7">
        <w:t>ly been vaccinated with a plain</w:t>
      </w:r>
      <w:r w:rsidR="004A7BFA">
        <w:t xml:space="preserve"> (</w:t>
      </w:r>
      <w:r w:rsidR="00CF7CA7">
        <w:t xml:space="preserve">that is, </w:t>
      </w:r>
      <w:r w:rsidRPr="002A61F1">
        <w:t>non conjugate</w:t>
      </w:r>
      <w:r w:rsidR="004A7BFA">
        <w:t>)</w:t>
      </w:r>
      <w:r w:rsidRPr="002A61F1">
        <w:t xml:space="preserve"> </w:t>
      </w:r>
      <w:r w:rsidR="00C132F2">
        <w:t xml:space="preserve">PS </w:t>
      </w:r>
      <w:r w:rsidRPr="002A61F1">
        <w:t xml:space="preserve">meningococcal vaccine. </w:t>
      </w:r>
    </w:p>
    <w:p w:rsidR="008E7846" w:rsidRPr="006A4578" w:rsidRDefault="00386150" w:rsidP="006A4578">
      <w:pPr>
        <w:pStyle w:val="Heading3"/>
      </w:pPr>
      <w:bookmarkStart w:id="183" w:name="_Toc314842514"/>
      <w:bookmarkStart w:id="184" w:name="_Toc375119736"/>
      <w:bookmarkEnd w:id="173"/>
      <w:bookmarkEnd w:id="174"/>
      <w:bookmarkEnd w:id="175"/>
      <w:bookmarkEnd w:id="176"/>
      <w:bookmarkEnd w:id="177"/>
      <w:r>
        <w:rPr>
          <w:lang w:eastAsia="en-AU"/>
        </w:rPr>
        <w:t>Risk m</w:t>
      </w:r>
      <w:r w:rsidR="008E7846">
        <w:rPr>
          <w:lang w:eastAsia="en-AU"/>
        </w:rPr>
        <w:t xml:space="preserve">anagement </w:t>
      </w:r>
      <w:r>
        <w:rPr>
          <w:lang w:eastAsia="en-AU"/>
        </w:rPr>
        <w:t>p</w:t>
      </w:r>
      <w:r w:rsidR="008E7846">
        <w:rPr>
          <w:lang w:eastAsia="en-AU"/>
        </w:rPr>
        <w:t>lan</w:t>
      </w:r>
      <w:bookmarkEnd w:id="183"/>
      <w:bookmarkEnd w:id="184"/>
    </w:p>
    <w:p w:rsidR="00EA634E" w:rsidRPr="00CF7CA7" w:rsidRDefault="00EA634E" w:rsidP="006A4578">
      <w:r w:rsidRPr="00CF7CA7">
        <w:t>The submitted RMP has been evaluated by the OPR evaluator. The evaluator conside</w:t>
      </w:r>
      <w:r w:rsidR="00CF7CA7">
        <w:t>r</w:t>
      </w:r>
      <w:r w:rsidRPr="00CF7CA7">
        <w:t>s that the proposed use of routine risk minimisation is acceptable. The evaluator noted that the need for a booster dose for this vaccine has not been established and a number of persistence studies are planned or ongoing to address this issue. The sponsor was ask</w:t>
      </w:r>
      <w:r w:rsidR="00CF7CA7">
        <w:t>e</w:t>
      </w:r>
      <w:r w:rsidRPr="00CF7CA7">
        <w:t>d to confirm how they will plan to notify prescribers and patients if it is determined that a booster dose is needed in the future and to include such consideration in an amendment to the risk minimisation section of the ASA.</w:t>
      </w:r>
      <w:r w:rsidR="004A7BFA">
        <w:rPr>
          <w:rStyle w:val="FootnoteReference"/>
        </w:rPr>
        <w:footnoteReference w:id="21"/>
      </w:r>
    </w:p>
    <w:p w:rsidR="00EA634E" w:rsidRPr="00EA634E" w:rsidRDefault="00CF7CA7" w:rsidP="006A4578">
      <w:pPr>
        <w:pStyle w:val="Heading4"/>
      </w:pPr>
      <w:r>
        <w:t xml:space="preserve">Advice from the </w:t>
      </w:r>
      <w:r w:rsidR="00EA634E" w:rsidRPr="00EA634E">
        <w:t>A</w:t>
      </w:r>
      <w:r>
        <w:t xml:space="preserve">dvisory </w:t>
      </w:r>
      <w:r w:rsidR="00EA634E" w:rsidRPr="00EA634E">
        <w:t>C</w:t>
      </w:r>
      <w:r>
        <w:t xml:space="preserve">ommittee on the </w:t>
      </w:r>
      <w:r w:rsidR="00EA634E" w:rsidRPr="00EA634E">
        <w:t>S</w:t>
      </w:r>
      <w:r w:rsidR="006A4578">
        <w:t>afety of Medicines</w:t>
      </w:r>
    </w:p>
    <w:p w:rsidR="00CF7CA7" w:rsidRDefault="00EA634E" w:rsidP="006A4578">
      <w:r w:rsidRPr="00CF7CA7">
        <w:t xml:space="preserve">The </w:t>
      </w:r>
      <w:r w:rsidR="00CF7CA7" w:rsidRPr="00CF7CA7">
        <w:t xml:space="preserve">ACSOM </w:t>
      </w:r>
      <w:r w:rsidRPr="00CF7CA7">
        <w:t xml:space="preserve">advised that the proposed routine </w:t>
      </w:r>
      <w:proofErr w:type="spellStart"/>
      <w:r w:rsidRPr="00CF7CA7">
        <w:t>pharmacovigilance</w:t>
      </w:r>
      <w:proofErr w:type="spellEnd"/>
      <w:r w:rsidRPr="00CF7CA7">
        <w:t xml:space="preserve"> is sufficient to monitor ongoing concerns for </w:t>
      </w:r>
      <w:proofErr w:type="spellStart"/>
      <w:r w:rsidRPr="00CF7CA7">
        <w:t>Nimenrix</w:t>
      </w:r>
      <w:proofErr w:type="spellEnd"/>
      <w:r w:rsidRPr="00CF7CA7">
        <w:t xml:space="preserve">. The committee noted the relatively low prevalence of </w:t>
      </w:r>
      <w:proofErr w:type="spellStart"/>
      <w:r w:rsidRPr="00CF7CA7">
        <w:t>serogroup</w:t>
      </w:r>
      <w:proofErr w:type="spellEnd"/>
      <w:r w:rsidRPr="00CF7CA7">
        <w:t xml:space="preserve"> A, C, W135 and Y disease in Australia and </w:t>
      </w:r>
      <w:r w:rsidR="00CF7CA7">
        <w:t xml:space="preserve">that </w:t>
      </w:r>
      <w:r w:rsidRPr="00CF7CA7">
        <w:t xml:space="preserve">the uptake of </w:t>
      </w:r>
      <w:proofErr w:type="spellStart"/>
      <w:r w:rsidRPr="00CF7CA7">
        <w:t>Nimerix</w:t>
      </w:r>
      <w:proofErr w:type="spellEnd"/>
      <w:r w:rsidRPr="00CF7CA7">
        <w:t xml:space="preserve"> is not anticipated to be high. The committee advised that the main safety concern with </w:t>
      </w:r>
      <w:proofErr w:type="spellStart"/>
      <w:r w:rsidRPr="00CF7CA7">
        <w:t>Nimerix</w:t>
      </w:r>
      <w:proofErr w:type="spellEnd"/>
      <w:r w:rsidRPr="00CF7CA7">
        <w:t xml:space="preserve"> </w:t>
      </w:r>
      <w:r w:rsidRPr="00CF7CA7">
        <w:lastRenderedPageBreak/>
        <w:t xml:space="preserve">was that it appeared to be more </w:t>
      </w:r>
      <w:proofErr w:type="spellStart"/>
      <w:r w:rsidRPr="00CF7CA7">
        <w:t>reactogenic</w:t>
      </w:r>
      <w:proofErr w:type="spellEnd"/>
      <w:r w:rsidRPr="00CF7CA7">
        <w:t xml:space="preserve"> than other meningococcal C conjugate vaccines. </w:t>
      </w:r>
    </w:p>
    <w:p w:rsidR="00CF7CA7" w:rsidRDefault="00EA634E" w:rsidP="006A4578">
      <w:r w:rsidRPr="00CF7CA7">
        <w:t xml:space="preserve">There were a number of important potential risks associated with </w:t>
      </w:r>
      <w:proofErr w:type="spellStart"/>
      <w:r w:rsidRPr="00CF7CA7">
        <w:t>Nimenrix</w:t>
      </w:r>
      <w:proofErr w:type="spellEnd"/>
      <w:r w:rsidRPr="00CF7CA7">
        <w:t>, however</w:t>
      </w:r>
      <w:r w:rsidR="00CF7CA7">
        <w:t>,</w:t>
      </w:r>
      <w:r w:rsidRPr="00CF7CA7">
        <w:t xml:space="preserve"> ACSOM advised that many of these were theoretical risks and that the proposed </w:t>
      </w:r>
      <w:proofErr w:type="spellStart"/>
      <w:r w:rsidRPr="00CF7CA7">
        <w:t>pharmacovigilance</w:t>
      </w:r>
      <w:proofErr w:type="spellEnd"/>
      <w:r w:rsidRPr="00CF7CA7">
        <w:t xml:space="preserve"> activities would detect these events. The committee commented that if additional </w:t>
      </w:r>
      <w:proofErr w:type="spellStart"/>
      <w:r w:rsidRPr="00CF7CA7">
        <w:t>pharmacovigilance</w:t>
      </w:r>
      <w:proofErr w:type="spellEnd"/>
      <w:r w:rsidRPr="00CF7CA7">
        <w:t xml:space="preserve"> activities were considered necessary, the sponsor could undertake studies using methods such as linkage of healthcare databases and that such studies would be helpful to assess risks for rare potential AEs such as </w:t>
      </w:r>
      <w:proofErr w:type="spellStart"/>
      <w:r w:rsidRPr="00CF7CA7">
        <w:t>Guillain-Barré</w:t>
      </w:r>
      <w:proofErr w:type="spellEnd"/>
      <w:r w:rsidRPr="00CF7CA7">
        <w:t xml:space="preserve"> syndrome, however the committee could not see a reason to mandate such studies, particu</w:t>
      </w:r>
      <w:r w:rsidR="00CF7CA7">
        <w:t>larly in the Australian context</w:t>
      </w:r>
      <w:r w:rsidRPr="00CF7CA7">
        <w:t xml:space="preserve"> and with the anticipated usage. </w:t>
      </w:r>
    </w:p>
    <w:p w:rsidR="00CF7CA7" w:rsidRDefault="00EA634E" w:rsidP="006A4578">
      <w:r w:rsidRPr="00CF7CA7">
        <w:t>The committee advised that the proposed PI is sufficient as the sole risk minimisation activity provided it is read and used appropriately. The committee noted that the precautions in the PI are sufficiently clear and contain adequate information to elicit specialist attention in risk groups (</w:t>
      </w:r>
      <w:r w:rsidR="00CF7CA7">
        <w:t>such as immune</w:t>
      </w:r>
      <w:r w:rsidR="002F701A">
        <w:t xml:space="preserve"> </w:t>
      </w:r>
      <w:r w:rsidRPr="00CF7CA7">
        <w:t xml:space="preserve">compromised or </w:t>
      </w:r>
      <w:proofErr w:type="spellStart"/>
      <w:r w:rsidRPr="00CF7CA7">
        <w:t>asplenic</w:t>
      </w:r>
      <w:proofErr w:type="spellEnd"/>
      <w:r w:rsidRPr="00CF7CA7">
        <w:t xml:space="preserve"> patients). The committee advised that immunisation providers should be encouraged to read the PI and to communicate the information to individuals before any vaccine is administered. </w:t>
      </w:r>
    </w:p>
    <w:p w:rsidR="00CF7CA7" w:rsidRDefault="00EA634E" w:rsidP="006A4578">
      <w:r w:rsidRPr="00CF7CA7">
        <w:t>ACSOM advised that at present there is no evidence to support the inclusion of statements in the PI regarding any of the potential risks for which no risk</w:t>
      </w:r>
      <w:r w:rsidR="00CF7CA7">
        <w:t xml:space="preserve"> minimisation is proposed. The c</w:t>
      </w:r>
      <w:r w:rsidRPr="00CF7CA7">
        <w:t>ommittee noted that there was some evidence of injection site reactions, potentially</w:t>
      </w:r>
      <w:bookmarkStart w:id="185" w:name="_GoBack"/>
      <w:bookmarkEnd w:id="185"/>
      <w:r w:rsidRPr="00CF7CA7">
        <w:t xml:space="preserve"> associated with the </w:t>
      </w:r>
      <w:r w:rsidR="003A7CA4">
        <w:t xml:space="preserve">TT </w:t>
      </w:r>
      <w:r w:rsidRPr="00CF7CA7">
        <w:t xml:space="preserve">carrier protein. However, the committee was not aware of any specific evidence about an elevated risk of injection site reactions for this vaccine and therefore advised that additional statements in the PI regarding this risk were not warranted. </w:t>
      </w:r>
    </w:p>
    <w:p w:rsidR="00EA634E" w:rsidRPr="00CF7CA7" w:rsidRDefault="00EA634E" w:rsidP="006A4578">
      <w:r w:rsidRPr="00CF7CA7">
        <w:t xml:space="preserve">The committee noted that there is no specific evidence to suggest that </w:t>
      </w:r>
      <w:proofErr w:type="spellStart"/>
      <w:r w:rsidRPr="00CF7CA7">
        <w:t>Nimenrix</w:t>
      </w:r>
      <w:proofErr w:type="spellEnd"/>
      <w:r w:rsidRPr="00CF7CA7">
        <w:t xml:space="preserve"> is associated with the potential risks of acute disseminated encephalomyelitis, </w:t>
      </w:r>
      <w:proofErr w:type="spellStart"/>
      <w:r w:rsidRPr="00CF7CA7">
        <w:t>vasculitis</w:t>
      </w:r>
      <w:proofErr w:type="spellEnd"/>
      <w:r w:rsidRPr="00CF7CA7">
        <w:t xml:space="preserve">, </w:t>
      </w:r>
      <w:proofErr w:type="spellStart"/>
      <w:r w:rsidRPr="00CF7CA7">
        <w:t>purpura</w:t>
      </w:r>
      <w:proofErr w:type="spellEnd"/>
      <w:r w:rsidRPr="00CF7CA7">
        <w:t xml:space="preserve"> and </w:t>
      </w:r>
      <w:proofErr w:type="spellStart"/>
      <w:r w:rsidRPr="00CF7CA7">
        <w:t>Guillain-Barré</w:t>
      </w:r>
      <w:proofErr w:type="spellEnd"/>
      <w:r w:rsidRPr="00CF7CA7">
        <w:t xml:space="preserve"> syndrome. If a statement regarding these potential risks were to be included in the PI, ACSOM advised that it should reflect that these events have been associated with similar vaccines and are a theoretical risk with </w:t>
      </w:r>
      <w:proofErr w:type="spellStart"/>
      <w:r w:rsidRPr="00CF7CA7">
        <w:t>Nimenrix</w:t>
      </w:r>
      <w:proofErr w:type="spellEnd"/>
      <w:r w:rsidRPr="00CF7CA7">
        <w:t xml:space="preserve">. </w:t>
      </w:r>
    </w:p>
    <w:p w:rsidR="008E7846" w:rsidRPr="006A4578" w:rsidRDefault="00AA0ED0" w:rsidP="006A4578">
      <w:pPr>
        <w:pStyle w:val="Heading3"/>
      </w:pPr>
      <w:bookmarkStart w:id="186" w:name="_Toc247691531"/>
      <w:bookmarkStart w:id="187" w:name="_Toc314842515"/>
      <w:bookmarkStart w:id="188" w:name="_Toc196046505"/>
      <w:bookmarkStart w:id="189" w:name="_Toc196046949"/>
      <w:bookmarkStart w:id="190" w:name="_Toc375119737"/>
      <w:r>
        <w:t>Risk-benefit a</w:t>
      </w:r>
      <w:r w:rsidR="008E7846">
        <w:t>nalysis</w:t>
      </w:r>
      <w:bookmarkEnd w:id="186"/>
      <w:bookmarkEnd w:id="187"/>
      <w:bookmarkEnd w:id="190"/>
    </w:p>
    <w:p w:rsidR="008E7846" w:rsidRPr="006A4578" w:rsidRDefault="008E7846" w:rsidP="006A4578">
      <w:pPr>
        <w:pStyle w:val="Heading4"/>
      </w:pPr>
      <w:r>
        <w:t xml:space="preserve">Delegate </w:t>
      </w:r>
      <w:r w:rsidR="00ED3CAD">
        <w:t>c</w:t>
      </w:r>
      <w:r>
        <w:t>onsiderations</w:t>
      </w:r>
    </w:p>
    <w:p w:rsidR="00EA634E" w:rsidRPr="00CF7CA7" w:rsidRDefault="00EA634E" w:rsidP="006A4578">
      <w:r w:rsidRPr="00CF7CA7">
        <w:t xml:space="preserve">The current registered meningococcal vaccines (including plain </w:t>
      </w:r>
      <w:r w:rsidR="00C132F2">
        <w:t xml:space="preserve">PS </w:t>
      </w:r>
      <w:r w:rsidRPr="00CF7CA7">
        <w:t xml:space="preserve">and conjugate vaccines) against </w:t>
      </w:r>
      <w:proofErr w:type="spellStart"/>
      <w:r w:rsidRPr="00CF7CA7">
        <w:t>serogroups</w:t>
      </w:r>
      <w:proofErr w:type="spellEnd"/>
      <w:r w:rsidRPr="00CF7CA7">
        <w:t xml:space="preserve"> A, W-135 and Y in Australia are indicated for people older than 2 years of age. No suitable vaccines against </w:t>
      </w:r>
      <w:proofErr w:type="spellStart"/>
      <w:r w:rsidRPr="00CF7CA7">
        <w:t>serogroup</w:t>
      </w:r>
      <w:proofErr w:type="spellEnd"/>
      <w:r w:rsidRPr="00CF7CA7">
        <w:t xml:space="preserve"> A, W-135 or Y are </w:t>
      </w:r>
      <w:r w:rsidR="00CF7CA7" w:rsidRPr="00CF7CA7">
        <w:t>available</w:t>
      </w:r>
      <w:r w:rsidRPr="00CF7CA7">
        <w:t xml:space="preserve"> for </w:t>
      </w:r>
      <w:r w:rsidR="00CF7CA7" w:rsidRPr="00CF7CA7">
        <w:t>toddlers</w:t>
      </w:r>
      <w:r w:rsidRPr="00CF7CA7">
        <w:t xml:space="preserve"> aged 12-23 months. It is known that for this age group, the plain </w:t>
      </w:r>
      <w:r w:rsidR="00C132F2">
        <w:t xml:space="preserve">PS </w:t>
      </w:r>
      <w:r w:rsidRPr="00CF7CA7">
        <w:t xml:space="preserve">meningococcal vaccines do not elicit a T-cell dependent immune response, do not primes the immune system, and may predispose to impaired immune responses to subsequent doses of plain or conjugated </w:t>
      </w:r>
      <w:r w:rsidR="00C132F2">
        <w:t xml:space="preserve">PS </w:t>
      </w:r>
      <w:r w:rsidRPr="00CF7CA7">
        <w:t xml:space="preserve">meningococcal vaccines. </w:t>
      </w:r>
    </w:p>
    <w:p w:rsidR="00EA634E" w:rsidRPr="00CF7CA7" w:rsidRDefault="00EA634E" w:rsidP="006A4578">
      <w:r w:rsidRPr="00CF7CA7">
        <w:t xml:space="preserve">The efficacy of </w:t>
      </w:r>
      <w:proofErr w:type="spellStart"/>
      <w:r w:rsidRPr="00CF7CA7">
        <w:t>Nimenrix</w:t>
      </w:r>
      <w:proofErr w:type="spellEnd"/>
      <w:r w:rsidRPr="00CF7CA7">
        <w:t xml:space="preserve"> was inferred by demonstrating non-inferiority of bactericidal antibody responses to the licensed vaccines in subjects from 12 months of age. The vaccine response was assessed using a standard and validated SBA assay using rabbit complement. Confirmation of the vaccine response was obtained with further </w:t>
      </w:r>
      <w:proofErr w:type="spellStart"/>
      <w:r w:rsidRPr="00CF7CA7">
        <w:t>rSBA</w:t>
      </w:r>
      <w:proofErr w:type="spellEnd"/>
      <w:r w:rsidRPr="00CF7CA7">
        <w:t xml:space="preserve"> testing at </w:t>
      </w:r>
      <w:r w:rsidR="00CF7CA7">
        <w:t xml:space="preserve">another facility </w:t>
      </w:r>
      <w:r w:rsidRPr="00CF7CA7">
        <w:t xml:space="preserve">and </w:t>
      </w:r>
      <w:proofErr w:type="spellStart"/>
      <w:r w:rsidRPr="00CF7CA7">
        <w:t>hSBA</w:t>
      </w:r>
      <w:proofErr w:type="spellEnd"/>
      <w:r w:rsidRPr="00CF7CA7">
        <w:t xml:space="preserve"> data. The submitted data also shows that </w:t>
      </w:r>
      <w:proofErr w:type="spellStart"/>
      <w:r w:rsidRPr="00CF7CA7">
        <w:t>Nimenrix</w:t>
      </w:r>
      <w:proofErr w:type="spellEnd"/>
      <w:r w:rsidRPr="00CF7CA7">
        <w:t xml:space="preserve"> primes the immune system even in toddlers aged 12-15 months: the responses in toddlers to a challenge dose of plain </w:t>
      </w:r>
      <w:r w:rsidR="00C132F2">
        <w:t xml:space="preserve">PS </w:t>
      </w:r>
      <w:r w:rsidRPr="00CF7CA7">
        <w:t xml:space="preserve">(Study 014) suggest that </w:t>
      </w:r>
      <w:proofErr w:type="spellStart"/>
      <w:r w:rsidRPr="00CF7CA7">
        <w:t>Nimenrix</w:t>
      </w:r>
      <w:proofErr w:type="spellEnd"/>
      <w:r w:rsidRPr="00CF7CA7">
        <w:t xml:space="preserve"> is able to induce a T-cell-dependent immune memory against the four </w:t>
      </w:r>
      <w:proofErr w:type="spellStart"/>
      <w:r w:rsidRPr="00CF7CA7">
        <w:t>serogroups</w:t>
      </w:r>
      <w:proofErr w:type="spellEnd"/>
      <w:r w:rsidRPr="00CF7CA7">
        <w:t xml:space="preserve"> in this age group. In subjects who previously received </w:t>
      </w:r>
      <w:proofErr w:type="spellStart"/>
      <w:r w:rsidRPr="00CF7CA7">
        <w:t>unconjugated</w:t>
      </w:r>
      <w:proofErr w:type="spellEnd"/>
      <w:r w:rsidRPr="00CF7CA7">
        <w:t xml:space="preserve"> ACWY vaccine, </w:t>
      </w:r>
      <w:proofErr w:type="spellStart"/>
      <w:r w:rsidRPr="00CF7CA7">
        <w:t>Nimenrix</w:t>
      </w:r>
      <w:proofErr w:type="spellEnd"/>
      <w:r w:rsidRPr="00CF7CA7">
        <w:t xml:space="preserve"> elicits acceptable immune responses, although GMTs measured with </w:t>
      </w:r>
      <w:proofErr w:type="spellStart"/>
      <w:r w:rsidRPr="00CF7CA7">
        <w:t>rSBA</w:t>
      </w:r>
      <w:proofErr w:type="spellEnd"/>
      <w:r w:rsidRPr="00CF7CA7">
        <w:t xml:space="preserve"> were lower in subjects who had prior </w:t>
      </w:r>
      <w:r w:rsidRPr="00CF7CA7">
        <w:lastRenderedPageBreak/>
        <w:t xml:space="preserve">vaccination with </w:t>
      </w:r>
      <w:proofErr w:type="spellStart"/>
      <w:r w:rsidRPr="00CF7CA7">
        <w:t>unconjugated</w:t>
      </w:r>
      <w:proofErr w:type="spellEnd"/>
      <w:r w:rsidRPr="00CF7CA7">
        <w:t xml:space="preserve"> ACWY vaccine than </w:t>
      </w:r>
      <w:r w:rsidR="00CF7CA7">
        <w:t xml:space="preserve">in </w:t>
      </w:r>
      <w:r w:rsidRPr="00CF7CA7">
        <w:t>subjects who had not had any prior vaccination with meningococcal vaccine in the preceding 10 year</w:t>
      </w:r>
      <w:r w:rsidR="00CF7CA7">
        <w:t>s</w:t>
      </w:r>
      <w:r w:rsidRPr="00CF7CA7">
        <w:t xml:space="preserve"> (Study 021).</w:t>
      </w:r>
    </w:p>
    <w:p w:rsidR="00EA634E" w:rsidRPr="00CF7CA7" w:rsidRDefault="00EA634E" w:rsidP="006A4578">
      <w:r w:rsidRPr="00CF7CA7">
        <w:t xml:space="preserve">The experience with meningococcal C vaccines indicates the need to maintain a minimum titre of circulating bactericidal activity for continued protection. It remains unclear whether the same minimum titres would apply for all four meningococcal </w:t>
      </w:r>
      <w:proofErr w:type="spellStart"/>
      <w:r w:rsidRPr="00CF7CA7">
        <w:t>serogroups</w:t>
      </w:r>
      <w:proofErr w:type="spellEnd"/>
      <w:r w:rsidRPr="00CF7CA7">
        <w:t xml:space="preserve">. At this stage, it is also not known how long the protective antibody </w:t>
      </w:r>
      <w:r w:rsidR="00CF7CA7">
        <w:t xml:space="preserve">levels will persist and whether and/or </w:t>
      </w:r>
      <w:r w:rsidRPr="00CF7CA7">
        <w:t>when booster doses may be needed. The sponsor has provided some antibody persistence data and has planned further studies assessing the persistence of the immune responses.</w:t>
      </w:r>
    </w:p>
    <w:p w:rsidR="00EA634E" w:rsidRPr="00867371" w:rsidRDefault="00EA634E" w:rsidP="006A4578">
      <w:r w:rsidRPr="00867371">
        <w:t xml:space="preserve">Although the submitted studies show that </w:t>
      </w:r>
      <w:proofErr w:type="spellStart"/>
      <w:r w:rsidRPr="00867371">
        <w:t>Nimenrix</w:t>
      </w:r>
      <w:proofErr w:type="spellEnd"/>
      <w:r w:rsidRPr="00867371">
        <w:t xml:space="preserve"> is immunogenic and primes the immune system even in toddlers aged 12-15 months, the confirmation of vaccine effect in </w:t>
      </w:r>
      <w:r w:rsidR="00867371">
        <w:t>toddlers in the intermediate and</w:t>
      </w:r>
      <w:r w:rsidRPr="00867371">
        <w:t xml:space="preserve"> longer term will need to be further assessed. It is understood that the sponsor has plans to conduct studi</w:t>
      </w:r>
      <w:r w:rsidR="00867371">
        <w:t>es exploring alternative immunis</w:t>
      </w:r>
      <w:r w:rsidRPr="00867371">
        <w:t>ation schedules in this age group, evaluating antibodies persistence following a 1 or a 2 dose schedule and assessing the safety and immunogenicity of a booster dose.</w:t>
      </w:r>
    </w:p>
    <w:p w:rsidR="00EA634E" w:rsidRPr="00867371" w:rsidRDefault="00EA634E" w:rsidP="006A4578">
      <w:r w:rsidRPr="00867371">
        <w:t xml:space="preserve">In </w:t>
      </w:r>
      <w:proofErr w:type="spellStart"/>
      <w:r w:rsidRPr="00867371">
        <w:t>Nimenrix</w:t>
      </w:r>
      <w:proofErr w:type="spellEnd"/>
      <w:r w:rsidRPr="00867371">
        <w:t xml:space="preserve"> vaccinated subjects, there was a more rapid waning of </w:t>
      </w:r>
      <w:proofErr w:type="spellStart"/>
      <w:r w:rsidRPr="00867371">
        <w:t>hSBA</w:t>
      </w:r>
      <w:proofErr w:type="spellEnd"/>
      <w:r w:rsidRPr="00867371">
        <w:t xml:space="preserve"> against </w:t>
      </w:r>
      <w:proofErr w:type="spellStart"/>
      <w:r w:rsidRPr="00867371">
        <w:t>serogroup</w:t>
      </w:r>
      <w:proofErr w:type="spellEnd"/>
      <w:r w:rsidRPr="00867371">
        <w:t xml:space="preserve"> A than other </w:t>
      </w:r>
      <w:proofErr w:type="spellStart"/>
      <w:r w:rsidRPr="00867371">
        <w:t>serogroups</w:t>
      </w:r>
      <w:proofErr w:type="spellEnd"/>
      <w:r w:rsidRPr="00867371">
        <w:t xml:space="preserve"> (as measured at 12 months post-dose onwards). The clinical relevance of this finding is unknown. It is noted that this observation have been included in the PI.</w:t>
      </w:r>
    </w:p>
    <w:p w:rsidR="00EA634E" w:rsidRPr="00EA634E" w:rsidRDefault="00867371" w:rsidP="006A4578">
      <w:r>
        <w:t>C</w:t>
      </w:r>
      <w:r w:rsidR="00EA634E" w:rsidRPr="00867371">
        <w:t xml:space="preserve">hanges to the initially proposed PI have been recommended </w:t>
      </w:r>
      <w:r>
        <w:t xml:space="preserve">by </w:t>
      </w:r>
      <w:r w:rsidR="00EA634E" w:rsidRPr="00867371">
        <w:t>various evaluation areas</w:t>
      </w:r>
      <w:r>
        <w:t xml:space="preserve"> and additional changes are proposed by the Delegate. </w:t>
      </w:r>
      <w:r w:rsidRPr="00867371">
        <w:t xml:space="preserve">Details of these are beyond the scope of the </w:t>
      </w:r>
      <w:proofErr w:type="spellStart"/>
      <w:r w:rsidRPr="00867371">
        <w:t>AusPAR</w:t>
      </w:r>
      <w:proofErr w:type="spellEnd"/>
      <w:r w:rsidRPr="00867371">
        <w:t>.</w:t>
      </w:r>
    </w:p>
    <w:p w:rsidR="00EA634E" w:rsidRPr="00EA634E" w:rsidRDefault="006A4578" w:rsidP="006A4578">
      <w:pPr>
        <w:pStyle w:val="Heading4"/>
      </w:pPr>
      <w:r>
        <w:t>Proposed action</w:t>
      </w:r>
    </w:p>
    <w:p w:rsidR="00EA634E" w:rsidRPr="00EA634E" w:rsidRDefault="00EA634E" w:rsidP="006A4578">
      <w:r w:rsidRPr="00EA634E">
        <w:t xml:space="preserve">Based on the review of the submitted data, the </w:t>
      </w:r>
      <w:r w:rsidR="00867371">
        <w:t>D</w:t>
      </w:r>
      <w:r w:rsidRPr="00EA634E">
        <w:t xml:space="preserve">elegate proposes </w:t>
      </w:r>
      <w:r w:rsidR="00867371">
        <w:t xml:space="preserve">to approve the registration </w:t>
      </w:r>
      <w:r w:rsidRPr="00EA634E">
        <w:t xml:space="preserve">of </w:t>
      </w:r>
      <w:proofErr w:type="spellStart"/>
      <w:r w:rsidRPr="00EA634E">
        <w:t>Nimenrix</w:t>
      </w:r>
      <w:proofErr w:type="spellEnd"/>
      <w:r w:rsidRPr="00EA634E">
        <w:t xml:space="preserve"> for the indication below: </w:t>
      </w:r>
    </w:p>
    <w:p w:rsidR="00EA634E" w:rsidRPr="006A4578" w:rsidRDefault="00EA634E" w:rsidP="006A4578">
      <w:pPr>
        <w:ind w:left="720"/>
        <w:rPr>
          <w:i/>
        </w:rPr>
      </w:pPr>
      <w:proofErr w:type="spellStart"/>
      <w:r w:rsidRPr="006A4578">
        <w:rPr>
          <w:i/>
        </w:rPr>
        <w:t>Nimenrix</w:t>
      </w:r>
      <w:proofErr w:type="spellEnd"/>
      <w:r w:rsidRPr="006A4578">
        <w:rPr>
          <w:i/>
        </w:rPr>
        <w:t xml:space="preserve"> is indicated for active immunization of individuals from 12 months to 55 years of age against invasive meningococcal diseases caused by </w:t>
      </w:r>
      <w:proofErr w:type="spellStart"/>
      <w:r w:rsidRPr="006A4578">
        <w:rPr>
          <w:i/>
          <w:iCs/>
        </w:rPr>
        <w:t>Neisseria</w:t>
      </w:r>
      <w:proofErr w:type="spellEnd"/>
      <w:r w:rsidRPr="006A4578">
        <w:rPr>
          <w:i/>
        </w:rPr>
        <w:t xml:space="preserve"> </w:t>
      </w:r>
      <w:proofErr w:type="spellStart"/>
      <w:r w:rsidRPr="006A4578">
        <w:rPr>
          <w:i/>
          <w:iCs/>
        </w:rPr>
        <w:t>meningitidis</w:t>
      </w:r>
      <w:proofErr w:type="spellEnd"/>
      <w:r w:rsidRPr="006A4578">
        <w:rPr>
          <w:i/>
          <w:iCs/>
        </w:rPr>
        <w:t xml:space="preserve"> </w:t>
      </w:r>
      <w:proofErr w:type="spellStart"/>
      <w:r w:rsidRPr="006A4578">
        <w:rPr>
          <w:i/>
        </w:rPr>
        <w:t>serogroups</w:t>
      </w:r>
      <w:proofErr w:type="spellEnd"/>
      <w:r w:rsidRPr="006A4578">
        <w:rPr>
          <w:i/>
        </w:rPr>
        <w:t xml:space="preserve"> A, C, W-135 and Y.</w:t>
      </w:r>
    </w:p>
    <w:p w:rsidR="00EA634E" w:rsidRPr="00867371" w:rsidRDefault="00C47131" w:rsidP="006A4578">
      <w:r>
        <w:rPr>
          <w:bCs/>
        </w:rPr>
        <w:t xml:space="preserve">and </w:t>
      </w:r>
      <w:r w:rsidR="00EA634E" w:rsidRPr="006A4578">
        <w:rPr>
          <w:i/>
        </w:rPr>
        <w:t>D</w:t>
      </w:r>
      <w:r w:rsidR="00C81489" w:rsidRPr="006A4578">
        <w:rPr>
          <w:i/>
        </w:rPr>
        <w:t xml:space="preserve">osage and </w:t>
      </w:r>
      <w:r w:rsidR="00EA634E" w:rsidRPr="006A4578">
        <w:rPr>
          <w:i/>
        </w:rPr>
        <w:t>A</w:t>
      </w:r>
      <w:r w:rsidR="00C81489" w:rsidRPr="006A4578">
        <w:rPr>
          <w:i/>
        </w:rPr>
        <w:t>dminist</w:t>
      </w:r>
      <w:r w:rsidRPr="006A4578">
        <w:rPr>
          <w:i/>
        </w:rPr>
        <w:t>r</w:t>
      </w:r>
      <w:r w:rsidR="00C81489" w:rsidRPr="006A4578">
        <w:rPr>
          <w:i/>
        </w:rPr>
        <w:t>ation</w:t>
      </w:r>
      <w:r>
        <w:t xml:space="preserve"> as follows</w:t>
      </w:r>
      <w:r w:rsidR="00EA634E" w:rsidRPr="00867371">
        <w:rPr>
          <w:bCs/>
        </w:rPr>
        <w:t xml:space="preserve">: </w:t>
      </w:r>
    </w:p>
    <w:p w:rsidR="00EA634E" w:rsidRPr="006A4578" w:rsidRDefault="00EA634E" w:rsidP="006A4578">
      <w:pPr>
        <w:rPr>
          <w:i/>
        </w:rPr>
      </w:pPr>
      <w:r w:rsidRPr="006A4578">
        <w:rPr>
          <w:i/>
        </w:rPr>
        <w:t xml:space="preserve">Primary vaccination: A single 0.5 </w:t>
      </w:r>
      <w:proofErr w:type="spellStart"/>
      <w:r w:rsidRPr="006A4578">
        <w:rPr>
          <w:i/>
        </w:rPr>
        <w:t>m</w:t>
      </w:r>
      <w:r w:rsidR="00466DAE" w:rsidRPr="006A4578">
        <w:rPr>
          <w:i/>
        </w:rPr>
        <w:t>L</w:t>
      </w:r>
      <w:proofErr w:type="spellEnd"/>
      <w:r w:rsidRPr="006A4578">
        <w:rPr>
          <w:i/>
        </w:rPr>
        <w:t xml:space="preserve"> dose of the reconstituted vaccine is used for immunisation. </w:t>
      </w:r>
    </w:p>
    <w:p w:rsidR="00EA634E" w:rsidRPr="006A4578" w:rsidRDefault="00EA634E" w:rsidP="006A4578">
      <w:pPr>
        <w:rPr>
          <w:i/>
        </w:rPr>
      </w:pPr>
      <w:r w:rsidRPr="006A4578">
        <w:rPr>
          <w:i/>
        </w:rPr>
        <w:t xml:space="preserve">Booster vaccination: </w:t>
      </w:r>
      <w:proofErr w:type="spellStart"/>
      <w:r w:rsidRPr="006A4578">
        <w:rPr>
          <w:i/>
        </w:rPr>
        <w:t>Nimenrix</w:t>
      </w:r>
      <w:proofErr w:type="spellEnd"/>
      <w:r w:rsidRPr="006A4578">
        <w:rPr>
          <w:i/>
        </w:rPr>
        <w:t xml:space="preserve"> may be given as a booster dose in subjects who have previously been vaccinated with a plain polysaccharide meningococcal vaccine. </w:t>
      </w:r>
    </w:p>
    <w:p w:rsidR="00EA634E" w:rsidRPr="006A4578" w:rsidRDefault="00EA634E" w:rsidP="006A4578">
      <w:pPr>
        <w:rPr>
          <w:i/>
        </w:rPr>
      </w:pPr>
      <w:r w:rsidRPr="006A4578">
        <w:rPr>
          <w:i/>
        </w:rPr>
        <w:t xml:space="preserve">The need for a booster dose in subjects primed with </w:t>
      </w:r>
      <w:proofErr w:type="spellStart"/>
      <w:r w:rsidRPr="006A4578">
        <w:rPr>
          <w:i/>
        </w:rPr>
        <w:t>Nimenrix</w:t>
      </w:r>
      <w:proofErr w:type="spellEnd"/>
      <w:r w:rsidRPr="006A4578">
        <w:rPr>
          <w:i/>
        </w:rPr>
        <w:t xml:space="preserve"> has not been established. </w:t>
      </w:r>
    </w:p>
    <w:p w:rsidR="00EA634E" w:rsidRPr="006A4578" w:rsidRDefault="00EA634E" w:rsidP="006A4578">
      <w:pPr>
        <w:rPr>
          <w:i/>
        </w:rPr>
      </w:pPr>
      <w:proofErr w:type="spellStart"/>
      <w:r w:rsidRPr="006A4578">
        <w:rPr>
          <w:i/>
        </w:rPr>
        <w:t>Nimenrix</w:t>
      </w:r>
      <w:proofErr w:type="spellEnd"/>
      <w:r w:rsidRPr="006A4578">
        <w:rPr>
          <w:i/>
        </w:rPr>
        <w:t xml:space="preserve"> should be used in accordance with available official recommendations.</w:t>
      </w:r>
    </w:p>
    <w:p w:rsidR="00867371" w:rsidRPr="00867371" w:rsidRDefault="00EA634E" w:rsidP="006A4578">
      <w:r w:rsidRPr="00867371">
        <w:t xml:space="preserve">The final decision </w:t>
      </w:r>
      <w:r w:rsidR="00C47131">
        <w:t xml:space="preserve">would </w:t>
      </w:r>
      <w:r w:rsidRPr="00867371">
        <w:t xml:space="preserve">be made post-ACPM taking into account the discussion and the advice from the ACPM meeting. </w:t>
      </w:r>
    </w:p>
    <w:p w:rsidR="00EA634E" w:rsidRPr="00867371" w:rsidRDefault="00EA634E" w:rsidP="00867371">
      <w:r w:rsidRPr="00867371">
        <w:t xml:space="preserve">If this application is approved, the implementation of the </w:t>
      </w:r>
      <w:proofErr w:type="spellStart"/>
      <w:r w:rsidRPr="00867371">
        <w:t>MenACWY</w:t>
      </w:r>
      <w:proofErr w:type="spellEnd"/>
      <w:r w:rsidRPr="00867371">
        <w:t xml:space="preserve">-TT Vaccine EU-RMP (version 1, dated 15 February 2012, data lock point 15 September 2010) plus Australian-specific Annex (undated) </w:t>
      </w:r>
      <w:r w:rsidR="00C47131">
        <w:t xml:space="preserve">will be </w:t>
      </w:r>
      <w:r w:rsidRPr="00867371">
        <w:t>imposed as a condition of registration; and the submitted EU-RMP is applicable without modification in Australia unless so qualified.</w:t>
      </w:r>
    </w:p>
    <w:p w:rsidR="00C81489" w:rsidRPr="00C81489" w:rsidRDefault="00C81489" w:rsidP="00FD5DE2">
      <w:pPr>
        <w:pStyle w:val="Heading4"/>
      </w:pPr>
      <w:r w:rsidRPr="00C81489">
        <w:t>Request for ACPM advice</w:t>
      </w:r>
    </w:p>
    <w:p w:rsidR="00C81489" w:rsidRPr="00C81489" w:rsidRDefault="00C81489" w:rsidP="00FD5DE2">
      <w:r w:rsidRPr="00C81489">
        <w:t>The Delegate proposed to seek general advice on this application from the ACPM and to request discussion of the following specific issues:</w:t>
      </w:r>
    </w:p>
    <w:p w:rsidR="00EA634E" w:rsidRPr="00EA634E" w:rsidRDefault="00EA634E" w:rsidP="00FD5DE2">
      <w:pPr>
        <w:pStyle w:val="ListBullet"/>
      </w:pPr>
      <w:r w:rsidRPr="00EA634E">
        <w:lastRenderedPageBreak/>
        <w:t xml:space="preserve">the overall benefits / risks balance of </w:t>
      </w:r>
      <w:proofErr w:type="spellStart"/>
      <w:r w:rsidRPr="00EA634E">
        <w:t>Nimenrix</w:t>
      </w:r>
      <w:proofErr w:type="spellEnd"/>
      <w:r w:rsidRPr="00EA634E">
        <w:t xml:space="preserve"> vaccination for active immunisation in individuals from 12 months to 55 years against invasive meningococcal diseases caused by </w:t>
      </w:r>
      <w:proofErr w:type="spellStart"/>
      <w:r w:rsidRPr="004323CD">
        <w:rPr>
          <w:i/>
        </w:rPr>
        <w:t>Neisseria</w:t>
      </w:r>
      <w:proofErr w:type="spellEnd"/>
      <w:r w:rsidRPr="004323CD">
        <w:rPr>
          <w:i/>
        </w:rPr>
        <w:t xml:space="preserve"> </w:t>
      </w:r>
      <w:proofErr w:type="spellStart"/>
      <w:r w:rsidRPr="004323CD">
        <w:rPr>
          <w:i/>
        </w:rPr>
        <w:t>meningitidis</w:t>
      </w:r>
      <w:proofErr w:type="spellEnd"/>
      <w:r w:rsidRPr="00EA634E">
        <w:rPr>
          <w:iCs/>
        </w:rPr>
        <w:t xml:space="preserve"> </w:t>
      </w:r>
      <w:proofErr w:type="spellStart"/>
      <w:r w:rsidRPr="00EA634E">
        <w:t>serogroups</w:t>
      </w:r>
      <w:proofErr w:type="spellEnd"/>
      <w:r w:rsidRPr="00EA634E">
        <w:t xml:space="preserve"> A, C, W-135 and Y. </w:t>
      </w:r>
    </w:p>
    <w:p w:rsidR="00EA634E" w:rsidRPr="00EA634E" w:rsidRDefault="00EA634E" w:rsidP="00FD5DE2">
      <w:pPr>
        <w:pStyle w:val="ListBullet"/>
      </w:pPr>
      <w:r w:rsidRPr="00EA634E">
        <w:t xml:space="preserve">the use of </w:t>
      </w:r>
      <w:proofErr w:type="spellStart"/>
      <w:r w:rsidRPr="00EA634E">
        <w:t>Nimenrix</w:t>
      </w:r>
      <w:proofErr w:type="spellEnd"/>
      <w:r w:rsidRPr="00EA634E">
        <w:t xml:space="preserve"> as a booster dose in subjects who have previously been vaccinated with a plain </w:t>
      </w:r>
      <w:r w:rsidR="00C132F2">
        <w:t xml:space="preserve">PS </w:t>
      </w:r>
      <w:r w:rsidRPr="00EA634E">
        <w:t xml:space="preserve">meningococcal vaccine. </w:t>
      </w:r>
    </w:p>
    <w:p w:rsidR="00EA634E" w:rsidRPr="00EA634E" w:rsidRDefault="00EA634E" w:rsidP="00FD5DE2">
      <w:pPr>
        <w:pStyle w:val="ListBullet"/>
      </w:pPr>
      <w:r w:rsidRPr="00EA634E">
        <w:t xml:space="preserve">any other issues that </w:t>
      </w:r>
      <w:r w:rsidR="004323CD">
        <w:t xml:space="preserve">the committee </w:t>
      </w:r>
      <w:r w:rsidRPr="00EA634E">
        <w:t>thinks may be relevant to a decision on whether or not to approve this application.</w:t>
      </w:r>
    </w:p>
    <w:p w:rsidR="008E7846" w:rsidRDefault="00D0297B" w:rsidP="00FD5DE2">
      <w:pPr>
        <w:pStyle w:val="Heading4"/>
      </w:pPr>
      <w:r>
        <w:t>Response from s</w:t>
      </w:r>
      <w:r w:rsidR="008E7846">
        <w:t>ponsor</w:t>
      </w:r>
    </w:p>
    <w:p w:rsidR="004E6F9F" w:rsidRPr="00FD5DE2" w:rsidRDefault="00FE0000" w:rsidP="00FD5DE2">
      <w:pPr>
        <w:pStyle w:val="Heading5"/>
      </w:pPr>
      <w:r w:rsidRPr="004E6F9F">
        <w:t>Summary</w:t>
      </w:r>
    </w:p>
    <w:p w:rsidR="004E6F9F" w:rsidRPr="004E6F9F" w:rsidRDefault="00FE0000" w:rsidP="00FD5DE2">
      <w:r w:rsidRPr="004E6F9F">
        <w:t xml:space="preserve">The </w:t>
      </w:r>
      <w:r w:rsidR="004323CD">
        <w:t>c</w:t>
      </w:r>
      <w:r w:rsidRPr="004E6F9F">
        <w:t>ompany agrees to accept the TGA Delegates recommendation to approve</w:t>
      </w:r>
      <w:r w:rsidR="004E6F9F" w:rsidRPr="004E6F9F">
        <w:t xml:space="preserve"> </w:t>
      </w:r>
      <w:proofErr w:type="spellStart"/>
      <w:r w:rsidR="004323CD" w:rsidRPr="004323CD">
        <w:t>Nimenrix</w:t>
      </w:r>
      <w:proofErr w:type="spellEnd"/>
      <w:r w:rsidR="004323CD" w:rsidRPr="004323CD">
        <w:t xml:space="preserve"> </w:t>
      </w:r>
      <w:r w:rsidRPr="004E6F9F">
        <w:t>for registration for the indication proposed below:</w:t>
      </w:r>
      <w:r w:rsidR="004E6F9F" w:rsidRPr="004E6F9F">
        <w:t xml:space="preserve"> </w:t>
      </w:r>
    </w:p>
    <w:p w:rsidR="004E6F9F" w:rsidRPr="00FD5DE2" w:rsidRDefault="00FE0000" w:rsidP="00FD5DE2">
      <w:pPr>
        <w:ind w:left="720"/>
        <w:rPr>
          <w:i/>
        </w:rPr>
      </w:pPr>
      <w:proofErr w:type="spellStart"/>
      <w:r w:rsidRPr="00FD5DE2">
        <w:rPr>
          <w:i/>
        </w:rPr>
        <w:t>Nimenrix</w:t>
      </w:r>
      <w:proofErr w:type="spellEnd"/>
      <w:r w:rsidRPr="00FD5DE2">
        <w:rPr>
          <w:i/>
        </w:rPr>
        <w:t xml:space="preserve"> is indicated for active immunisation of individuals from 12 months to 55</w:t>
      </w:r>
      <w:r w:rsidR="004E6F9F" w:rsidRPr="00FD5DE2">
        <w:rPr>
          <w:i/>
        </w:rPr>
        <w:t xml:space="preserve"> </w:t>
      </w:r>
      <w:r w:rsidRPr="00FD5DE2">
        <w:rPr>
          <w:i/>
        </w:rPr>
        <w:t xml:space="preserve">years of age against invasive meningococcal diseases caused by </w:t>
      </w:r>
      <w:proofErr w:type="spellStart"/>
      <w:r w:rsidRPr="00FD5DE2">
        <w:rPr>
          <w:i/>
        </w:rPr>
        <w:t>Neisseria</w:t>
      </w:r>
      <w:proofErr w:type="spellEnd"/>
      <w:r w:rsidRPr="00FD5DE2">
        <w:rPr>
          <w:i/>
        </w:rPr>
        <w:t xml:space="preserve"> </w:t>
      </w:r>
      <w:proofErr w:type="spellStart"/>
      <w:r w:rsidRPr="00FD5DE2">
        <w:rPr>
          <w:i/>
        </w:rPr>
        <w:t>meningitidis</w:t>
      </w:r>
      <w:proofErr w:type="spellEnd"/>
      <w:r w:rsidR="004E6F9F" w:rsidRPr="00FD5DE2">
        <w:rPr>
          <w:i/>
        </w:rPr>
        <w:t xml:space="preserve"> </w:t>
      </w:r>
      <w:proofErr w:type="spellStart"/>
      <w:r w:rsidRPr="00FD5DE2">
        <w:rPr>
          <w:i/>
        </w:rPr>
        <w:t>serogroups</w:t>
      </w:r>
      <w:proofErr w:type="spellEnd"/>
      <w:r w:rsidRPr="00FD5DE2">
        <w:rPr>
          <w:i/>
        </w:rPr>
        <w:t xml:space="preserve"> A, C, W-135 and Y.</w:t>
      </w:r>
      <w:r w:rsidR="004E6F9F" w:rsidRPr="00FD5DE2">
        <w:rPr>
          <w:i/>
        </w:rPr>
        <w:t xml:space="preserve"> </w:t>
      </w:r>
    </w:p>
    <w:p w:rsidR="004E6F9F" w:rsidRPr="004E6F9F" w:rsidRDefault="00FE0000" w:rsidP="00FD5DE2">
      <w:r w:rsidRPr="004E6F9F">
        <w:t xml:space="preserve">And for the </w:t>
      </w:r>
      <w:r w:rsidR="004323CD" w:rsidRPr="004323CD">
        <w:rPr>
          <w:i/>
          <w:iCs/>
        </w:rPr>
        <w:t>Dosage and Administration</w:t>
      </w:r>
      <w:r w:rsidR="004323CD" w:rsidRPr="004E6F9F">
        <w:t xml:space="preserve"> </w:t>
      </w:r>
      <w:r w:rsidRPr="004E6F9F">
        <w:t>proposed below:</w:t>
      </w:r>
      <w:r w:rsidR="004E6F9F" w:rsidRPr="004E6F9F">
        <w:t xml:space="preserve"> </w:t>
      </w:r>
    </w:p>
    <w:p w:rsidR="004E6F9F" w:rsidRPr="00FD5DE2" w:rsidRDefault="00FE0000" w:rsidP="00FD5DE2">
      <w:pPr>
        <w:rPr>
          <w:i/>
        </w:rPr>
      </w:pPr>
      <w:r w:rsidRPr="00FD5DE2">
        <w:rPr>
          <w:i/>
        </w:rPr>
        <w:t>Primary vaccination: A single 0.5 ml dose of the reconstituted vaccine is used for</w:t>
      </w:r>
      <w:r w:rsidR="004E6F9F" w:rsidRPr="00FD5DE2">
        <w:rPr>
          <w:i/>
        </w:rPr>
        <w:t xml:space="preserve"> </w:t>
      </w:r>
      <w:r w:rsidRPr="00FD5DE2">
        <w:rPr>
          <w:i/>
        </w:rPr>
        <w:t>immunisation.</w:t>
      </w:r>
      <w:r w:rsidR="004E6F9F" w:rsidRPr="00FD5DE2">
        <w:rPr>
          <w:i/>
        </w:rPr>
        <w:t xml:space="preserve"> </w:t>
      </w:r>
    </w:p>
    <w:p w:rsidR="004E6F9F" w:rsidRPr="00FD5DE2" w:rsidRDefault="00FE0000" w:rsidP="00FD5DE2">
      <w:pPr>
        <w:rPr>
          <w:i/>
        </w:rPr>
      </w:pPr>
      <w:r w:rsidRPr="00FD5DE2">
        <w:rPr>
          <w:i/>
        </w:rPr>
        <w:t xml:space="preserve">Booster vaccination: </w:t>
      </w:r>
      <w:proofErr w:type="spellStart"/>
      <w:r w:rsidRPr="00FD5DE2">
        <w:rPr>
          <w:i/>
        </w:rPr>
        <w:t>Nimenrix</w:t>
      </w:r>
      <w:proofErr w:type="spellEnd"/>
      <w:r w:rsidRPr="00FD5DE2">
        <w:rPr>
          <w:i/>
        </w:rPr>
        <w:t xml:space="preserve"> may be given as a booster dose in subjects who have</w:t>
      </w:r>
      <w:r w:rsidR="004E6F9F" w:rsidRPr="00FD5DE2">
        <w:rPr>
          <w:i/>
        </w:rPr>
        <w:t xml:space="preserve"> </w:t>
      </w:r>
      <w:r w:rsidRPr="00FD5DE2">
        <w:rPr>
          <w:i/>
        </w:rPr>
        <w:t xml:space="preserve">previously been vaccinated with a plain </w:t>
      </w:r>
      <w:r w:rsidR="00C132F2" w:rsidRPr="00FD5DE2">
        <w:rPr>
          <w:i/>
        </w:rPr>
        <w:t xml:space="preserve">PS </w:t>
      </w:r>
      <w:r w:rsidRPr="00FD5DE2">
        <w:rPr>
          <w:i/>
        </w:rPr>
        <w:t>meningococcal vaccine.</w:t>
      </w:r>
      <w:r w:rsidR="004E6F9F" w:rsidRPr="00FD5DE2">
        <w:rPr>
          <w:i/>
        </w:rPr>
        <w:t xml:space="preserve"> </w:t>
      </w:r>
      <w:r w:rsidRPr="00FD5DE2">
        <w:rPr>
          <w:i/>
        </w:rPr>
        <w:t xml:space="preserve">The need for a booster dose in subjects primed with </w:t>
      </w:r>
      <w:proofErr w:type="spellStart"/>
      <w:r w:rsidRPr="00FD5DE2">
        <w:rPr>
          <w:i/>
        </w:rPr>
        <w:t>Nimenrix</w:t>
      </w:r>
      <w:proofErr w:type="spellEnd"/>
      <w:r w:rsidRPr="00FD5DE2">
        <w:rPr>
          <w:i/>
        </w:rPr>
        <w:t xml:space="preserve"> has not been established.</w:t>
      </w:r>
      <w:r w:rsidR="004E6F9F" w:rsidRPr="00FD5DE2">
        <w:rPr>
          <w:i/>
        </w:rPr>
        <w:t xml:space="preserve"> </w:t>
      </w:r>
      <w:proofErr w:type="spellStart"/>
      <w:r w:rsidRPr="00FD5DE2">
        <w:rPr>
          <w:i/>
        </w:rPr>
        <w:t>Nimenrix</w:t>
      </w:r>
      <w:proofErr w:type="spellEnd"/>
      <w:r w:rsidRPr="00FD5DE2">
        <w:rPr>
          <w:i/>
        </w:rPr>
        <w:t xml:space="preserve"> should be used in accordance with available official recommendations.</w:t>
      </w:r>
      <w:r w:rsidR="004E6F9F" w:rsidRPr="00FD5DE2">
        <w:rPr>
          <w:i/>
        </w:rPr>
        <w:t xml:space="preserve"> </w:t>
      </w:r>
    </w:p>
    <w:p w:rsidR="004E6F9F" w:rsidRPr="004E6F9F" w:rsidRDefault="00FE0000" w:rsidP="00FD5DE2">
      <w:r w:rsidRPr="004E6F9F">
        <w:t xml:space="preserve">The </w:t>
      </w:r>
      <w:r w:rsidR="004323CD">
        <w:t>c</w:t>
      </w:r>
      <w:r w:rsidRPr="004E6F9F">
        <w:t xml:space="preserve">ompany agrees to implement the </w:t>
      </w:r>
      <w:proofErr w:type="spellStart"/>
      <w:r w:rsidRPr="004E6F9F">
        <w:t>MenACWY</w:t>
      </w:r>
      <w:proofErr w:type="spellEnd"/>
      <w:r w:rsidRPr="004E6F9F">
        <w:t>-TT Vaccine EU-RMP (version 2, dated</w:t>
      </w:r>
      <w:r w:rsidR="004E6F9F" w:rsidRPr="004E6F9F">
        <w:t xml:space="preserve"> </w:t>
      </w:r>
      <w:r w:rsidRPr="004E6F9F">
        <w:t>7 January 2013, data lock point 19 October 2012) plus Australian-specific Annex</w:t>
      </w:r>
      <w:r w:rsidR="004E6F9F" w:rsidRPr="004E6F9F">
        <w:t xml:space="preserve"> </w:t>
      </w:r>
      <w:r w:rsidRPr="004E6F9F">
        <w:t xml:space="preserve">(undated) and any future updates as agreed with the TGA. </w:t>
      </w:r>
    </w:p>
    <w:p w:rsidR="004E6F9F" w:rsidRPr="004E6F9F" w:rsidRDefault="00FE0000" w:rsidP="00FD5DE2">
      <w:pPr>
        <w:pStyle w:val="Heading5"/>
      </w:pPr>
      <w:r w:rsidRPr="004E6F9F">
        <w:t xml:space="preserve">Response to Delegates </w:t>
      </w:r>
      <w:r>
        <w:t xml:space="preserve">request for advice from </w:t>
      </w:r>
      <w:r w:rsidR="004323CD">
        <w:t>ACPM</w:t>
      </w:r>
    </w:p>
    <w:p w:rsidR="004E6F9F" w:rsidRPr="00FD5DE2" w:rsidRDefault="00FE0000" w:rsidP="00FD5DE2">
      <w:pPr>
        <w:pStyle w:val="ListBullet"/>
        <w:rPr>
          <w:i/>
        </w:rPr>
      </w:pPr>
      <w:r w:rsidRPr="00FD5DE2">
        <w:rPr>
          <w:i/>
        </w:rPr>
        <w:t xml:space="preserve">overall benefits / risks balance of </w:t>
      </w:r>
      <w:proofErr w:type="spellStart"/>
      <w:r w:rsidRPr="00FD5DE2">
        <w:rPr>
          <w:i/>
        </w:rPr>
        <w:t>Nimenrix</w:t>
      </w:r>
      <w:proofErr w:type="spellEnd"/>
      <w:r w:rsidRPr="00FD5DE2">
        <w:rPr>
          <w:i/>
        </w:rPr>
        <w:t xml:space="preserve"> vaccination for</w:t>
      </w:r>
      <w:r w:rsidR="004E6F9F" w:rsidRPr="00FD5DE2">
        <w:rPr>
          <w:i/>
        </w:rPr>
        <w:t xml:space="preserve"> </w:t>
      </w:r>
      <w:r w:rsidRPr="00FD5DE2">
        <w:rPr>
          <w:i/>
        </w:rPr>
        <w:t>active immunisation in individuals from 12 months to 55 years against invasive</w:t>
      </w:r>
      <w:r w:rsidR="004E6F9F" w:rsidRPr="00FD5DE2">
        <w:rPr>
          <w:i/>
        </w:rPr>
        <w:t xml:space="preserve"> </w:t>
      </w:r>
      <w:r w:rsidRPr="00FD5DE2">
        <w:rPr>
          <w:i/>
        </w:rPr>
        <w:t xml:space="preserve">meningococcal diseases caused by </w:t>
      </w:r>
      <w:proofErr w:type="spellStart"/>
      <w:r w:rsidRPr="00FD5DE2">
        <w:rPr>
          <w:i/>
        </w:rPr>
        <w:t>Neisseria</w:t>
      </w:r>
      <w:proofErr w:type="spellEnd"/>
      <w:r w:rsidRPr="00FD5DE2">
        <w:rPr>
          <w:i/>
        </w:rPr>
        <w:t xml:space="preserve"> </w:t>
      </w:r>
      <w:proofErr w:type="spellStart"/>
      <w:r w:rsidRPr="00FD5DE2">
        <w:rPr>
          <w:i/>
        </w:rPr>
        <w:t>meningitidis</w:t>
      </w:r>
      <w:proofErr w:type="spellEnd"/>
      <w:r w:rsidRPr="00FD5DE2">
        <w:rPr>
          <w:i/>
        </w:rPr>
        <w:t xml:space="preserve"> </w:t>
      </w:r>
      <w:proofErr w:type="spellStart"/>
      <w:r w:rsidRPr="00FD5DE2">
        <w:rPr>
          <w:i/>
        </w:rPr>
        <w:t>serogroups</w:t>
      </w:r>
      <w:proofErr w:type="spellEnd"/>
      <w:r w:rsidRPr="00FD5DE2">
        <w:rPr>
          <w:i/>
        </w:rPr>
        <w:t xml:space="preserve"> A, C, W-</w:t>
      </w:r>
      <w:r w:rsidR="004E6F9F" w:rsidRPr="00FD5DE2">
        <w:rPr>
          <w:i/>
        </w:rPr>
        <w:t xml:space="preserve"> </w:t>
      </w:r>
      <w:r w:rsidRPr="00FD5DE2">
        <w:rPr>
          <w:i/>
        </w:rPr>
        <w:t>135 and Y.</w:t>
      </w:r>
      <w:r w:rsidR="004E6F9F" w:rsidRPr="00FD5DE2">
        <w:rPr>
          <w:i/>
        </w:rPr>
        <w:t xml:space="preserve"> </w:t>
      </w:r>
    </w:p>
    <w:p w:rsidR="004E6F9F" w:rsidRPr="004E6F9F" w:rsidRDefault="00FE0000" w:rsidP="00FD5DE2">
      <w:proofErr w:type="spellStart"/>
      <w:r w:rsidRPr="004E6F9F">
        <w:rPr>
          <w:i/>
          <w:iCs/>
        </w:rPr>
        <w:t>Neisseria</w:t>
      </w:r>
      <w:proofErr w:type="spellEnd"/>
      <w:r w:rsidRPr="004E6F9F">
        <w:rPr>
          <w:i/>
          <w:iCs/>
        </w:rPr>
        <w:t xml:space="preserve"> </w:t>
      </w:r>
      <w:proofErr w:type="spellStart"/>
      <w:r w:rsidRPr="004E6F9F">
        <w:rPr>
          <w:i/>
          <w:iCs/>
        </w:rPr>
        <w:t>meningitidis</w:t>
      </w:r>
      <w:proofErr w:type="spellEnd"/>
      <w:r w:rsidRPr="004E6F9F">
        <w:t xml:space="preserve"> (</w:t>
      </w:r>
      <w:proofErr w:type="spellStart"/>
      <w:r w:rsidRPr="004E6F9F">
        <w:t>meningococcus</w:t>
      </w:r>
      <w:proofErr w:type="spellEnd"/>
      <w:r w:rsidRPr="004E6F9F">
        <w:t>) is the most common cause of bacterial</w:t>
      </w:r>
      <w:r w:rsidR="004E6F9F" w:rsidRPr="004E6F9F">
        <w:t xml:space="preserve"> </w:t>
      </w:r>
      <w:r w:rsidRPr="004E6F9F">
        <w:t>meningitis in children and young adults with approximately 1.2 million cases per year</w:t>
      </w:r>
      <w:r w:rsidR="004E6F9F" w:rsidRPr="004E6F9F">
        <w:t xml:space="preserve"> </w:t>
      </w:r>
      <w:r w:rsidRPr="004E6F9F">
        <w:t>a</w:t>
      </w:r>
      <w:r w:rsidR="005F2807">
        <w:t>nd an estimated 135,000 deaths (</w:t>
      </w:r>
      <w:r w:rsidRPr="004E6F9F">
        <w:t>WHO, 2001</w:t>
      </w:r>
      <w:r w:rsidR="004E6F9F">
        <w:rPr>
          <w:rStyle w:val="FootnoteReference"/>
        </w:rPr>
        <w:footnoteReference w:id="22"/>
      </w:r>
      <w:r w:rsidR="005F2807">
        <w:t>)</w:t>
      </w:r>
      <w:r w:rsidRPr="004E6F9F">
        <w:t xml:space="preserve">. Thirteen meningococcal </w:t>
      </w:r>
      <w:proofErr w:type="spellStart"/>
      <w:r w:rsidRPr="004E6F9F">
        <w:t>serogroups</w:t>
      </w:r>
      <w:proofErr w:type="spellEnd"/>
      <w:r w:rsidRPr="004E6F9F">
        <w:t xml:space="preserve"> are</w:t>
      </w:r>
      <w:r w:rsidR="004E6F9F" w:rsidRPr="004E6F9F">
        <w:t xml:space="preserve"> </w:t>
      </w:r>
      <w:r w:rsidRPr="004E6F9F">
        <w:t xml:space="preserve">currently recognised, based on the immunochemistry of the capsular </w:t>
      </w:r>
      <w:r w:rsidR="00C132F2">
        <w:t xml:space="preserve">PS </w:t>
      </w:r>
      <w:r w:rsidR="005F2807">
        <w:t>(</w:t>
      </w:r>
      <w:r w:rsidRPr="004E6F9F">
        <w:t>Branham, 1953</w:t>
      </w:r>
      <w:r w:rsidR="004E6F9F">
        <w:rPr>
          <w:rStyle w:val="FootnoteReference"/>
        </w:rPr>
        <w:footnoteReference w:id="23"/>
      </w:r>
      <w:r w:rsidR="005F2807">
        <w:t>)</w:t>
      </w:r>
      <w:r w:rsidRPr="004E6F9F">
        <w:t xml:space="preserve">. </w:t>
      </w:r>
      <w:proofErr w:type="spellStart"/>
      <w:r w:rsidRPr="004E6F9F">
        <w:t>Serogroups</w:t>
      </w:r>
      <w:proofErr w:type="spellEnd"/>
      <w:r w:rsidRPr="004E6F9F">
        <w:t xml:space="preserve"> A, B, C,</w:t>
      </w:r>
      <w:r w:rsidR="004E6F9F" w:rsidRPr="004E6F9F">
        <w:t xml:space="preserve"> </w:t>
      </w:r>
      <w:r w:rsidRPr="004E6F9F">
        <w:t>W-135, Y, and more recently X are the most</w:t>
      </w:r>
      <w:r w:rsidR="004E6F9F" w:rsidRPr="004E6F9F">
        <w:t xml:space="preserve"> </w:t>
      </w:r>
      <w:r w:rsidRPr="004E6F9F">
        <w:t xml:space="preserve">common causes of invasive meningococcal disease worldwide. The dominant </w:t>
      </w:r>
      <w:proofErr w:type="spellStart"/>
      <w:r w:rsidRPr="004E6F9F">
        <w:t>serogroups</w:t>
      </w:r>
      <w:proofErr w:type="spellEnd"/>
      <w:r w:rsidR="004E6F9F" w:rsidRPr="004E6F9F">
        <w:t xml:space="preserve"> </w:t>
      </w:r>
      <w:r w:rsidRPr="004E6F9F">
        <w:t>causing disease varies by region as the epidemiology of meningococcal disease is</w:t>
      </w:r>
      <w:r w:rsidR="004E6F9F" w:rsidRPr="004E6F9F">
        <w:t xml:space="preserve"> </w:t>
      </w:r>
      <w:r w:rsidRPr="004E6F9F">
        <w:t xml:space="preserve">dynamic and the relative importance of the different </w:t>
      </w:r>
      <w:proofErr w:type="spellStart"/>
      <w:r w:rsidRPr="004E6F9F">
        <w:t>serogroups</w:t>
      </w:r>
      <w:proofErr w:type="spellEnd"/>
      <w:r w:rsidRPr="004E6F9F">
        <w:t xml:space="preserve"> changes with time.</w:t>
      </w:r>
      <w:r w:rsidR="004E6F9F" w:rsidRPr="004E6F9F">
        <w:t xml:space="preserve"> </w:t>
      </w:r>
      <w:r w:rsidRPr="004E6F9F">
        <w:t xml:space="preserve">Invasive meningococcal disease is often rapidly </w:t>
      </w:r>
      <w:proofErr w:type="spellStart"/>
      <w:r w:rsidRPr="004E6F9F">
        <w:t>fulminant</w:t>
      </w:r>
      <w:proofErr w:type="spellEnd"/>
      <w:r w:rsidRPr="004E6F9F">
        <w:t>. As a consequence, the disease</w:t>
      </w:r>
      <w:r w:rsidR="004E6F9F" w:rsidRPr="004E6F9F">
        <w:t xml:space="preserve"> </w:t>
      </w:r>
      <w:r w:rsidRPr="004E6F9F">
        <w:t>is so rapidly progressive that antibiotics do not often have time to be effective.</w:t>
      </w:r>
      <w:r w:rsidR="004E6F9F" w:rsidRPr="004E6F9F">
        <w:t xml:space="preserve"> </w:t>
      </w:r>
      <w:r w:rsidRPr="004E6F9F">
        <w:t xml:space="preserve">Vaccination has been considered as the most effective way of controlling disease. </w:t>
      </w:r>
    </w:p>
    <w:p w:rsidR="004E6F9F" w:rsidRPr="004E6F9F" w:rsidRDefault="00FE0000" w:rsidP="00FD5DE2">
      <w:r w:rsidRPr="004E6F9F">
        <w:t>The risk of meningococcal disease is inversely related to age with 49% of cases occurring</w:t>
      </w:r>
      <w:r w:rsidR="004E6F9F" w:rsidRPr="004E6F9F">
        <w:t xml:space="preserve"> </w:t>
      </w:r>
      <w:r w:rsidRPr="004E6F9F">
        <w:t>in children two years and younger in the United States and in children of four years and</w:t>
      </w:r>
      <w:r w:rsidR="004E6F9F" w:rsidRPr="004E6F9F">
        <w:t xml:space="preserve"> </w:t>
      </w:r>
      <w:r w:rsidR="005F2807">
        <w:lastRenderedPageBreak/>
        <w:t>younger in Europe (</w:t>
      </w:r>
      <w:r w:rsidRPr="004E6F9F">
        <w:t>Anderson, 1998</w:t>
      </w:r>
      <w:r w:rsidR="004E6F9F">
        <w:rPr>
          <w:rStyle w:val="FootnoteReference"/>
        </w:rPr>
        <w:footnoteReference w:id="24"/>
      </w:r>
      <w:r w:rsidR="005F2807">
        <w:t>)</w:t>
      </w:r>
      <w:r w:rsidRPr="004E6F9F">
        <w:t>. Children younger than five years of age continued</w:t>
      </w:r>
      <w:r w:rsidR="004E6F9F" w:rsidRPr="004E6F9F">
        <w:t xml:space="preserve"> </w:t>
      </w:r>
      <w:r w:rsidRPr="004E6F9F">
        <w:t>to experience the highest rates of invasive meningococcal disease (IMD; 5.95 per</w:t>
      </w:r>
      <w:r w:rsidR="004E6F9F" w:rsidRPr="004E6F9F">
        <w:t xml:space="preserve"> </w:t>
      </w:r>
      <w:r w:rsidRPr="004E6F9F">
        <w:t>100,000 population), followed by those aged 15–24 years (1.22 per 100,000). However,</w:t>
      </w:r>
      <w:r w:rsidR="004E6F9F" w:rsidRPr="004E6F9F">
        <w:t xml:space="preserve"> </w:t>
      </w:r>
      <w:r w:rsidRPr="004E6F9F">
        <w:t>older children, adolescents and adults are more often affected during outbreaks and</w:t>
      </w:r>
      <w:r w:rsidR="004E6F9F" w:rsidRPr="004E6F9F">
        <w:t xml:space="preserve"> </w:t>
      </w:r>
      <w:r w:rsidRPr="004E6F9F">
        <w:t xml:space="preserve">epidemics. </w:t>
      </w:r>
      <w:proofErr w:type="spellStart"/>
      <w:r w:rsidRPr="004E6F9F">
        <w:t>Asplenic</w:t>
      </w:r>
      <w:proofErr w:type="spellEnd"/>
      <w:r w:rsidRPr="004E6F9F">
        <w:t xml:space="preserve"> persons, individuals with complement deficiencies and people living</w:t>
      </w:r>
      <w:r w:rsidR="004E6F9F" w:rsidRPr="004E6F9F">
        <w:t xml:space="preserve"> </w:t>
      </w:r>
      <w:r w:rsidRPr="004E6F9F">
        <w:t>in close proximity to others (</w:t>
      </w:r>
      <w:r w:rsidR="005F2807">
        <w:t xml:space="preserve">such as college or </w:t>
      </w:r>
      <w:r w:rsidRPr="004E6F9F">
        <w:t>university students and military recruits) have an</w:t>
      </w:r>
      <w:r w:rsidR="004E6F9F" w:rsidRPr="004E6F9F">
        <w:t xml:space="preserve"> </w:t>
      </w:r>
      <w:r w:rsidRPr="004E6F9F">
        <w:t>increased risk of de</w:t>
      </w:r>
      <w:r w:rsidR="005F2807">
        <w:t>veloping meningococcal disease (</w:t>
      </w:r>
      <w:r w:rsidRPr="004E6F9F">
        <w:t xml:space="preserve">Van </w:t>
      </w:r>
      <w:proofErr w:type="spellStart"/>
      <w:r w:rsidRPr="004E6F9F">
        <w:t>Deuren</w:t>
      </w:r>
      <w:proofErr w:type="spellEnd"/>
      <w:r w:rsidRPr="004E6F9F">
        <w:t>, 2000</w:t>
      </w:r>
      <w:r w:rsidR="004E6F9F">
        <w:rPr>
          <w:rStyle w:val="FootnoteReference"/>
        </w:rPr>
        <w:footnoteReference w:id="25"/>
      </w:r>
      <w:r w:rsidR="005F2807">
        <w:t>)</w:t>
      </w:r>
      <w:r w:rsidRPr="004E6F9F">
        <w:t>.</w:t>
      </w:r>
      <w:r w:rsidR="004E6F9F" w:rsidRPr="004E6F9F">
        <w:t xml:space="preserve"> </w:t>
      </w:r>
    </w:p>
    <w:p w:rsidR="004E6F9F" w:rsidRPr="004E6F9F" w:rsidRDefault="00FE0000" w:rsidP="00FD5DE2">
      <w:r w:rsidRPr="004E6F9F">
        <w:t xml:space="preserve">In Australia, although not all </w:t>
      </w:r>
      <w:proofErr w:type="spellStart"/>
      <w:r w:rsidRPr="004E6F9F">
        <w:t>serogroups</w:t>
      </w:r>
      <w:proofErr w:type="spellEnd"/>
      <w:r w:rsidRPr="004E6F9F">
        <w:t xml:space="preserve"> are prevalent, travellers coming back from</w:t>
      </w:r>
      <w:r w:rsidR="004E6F9F" w:rsidRPr="004E6F9F">
        <w:t xml:space="preserve"> </w:t>
      </w:r>
      <w:r w:rsidRPr="004E6F9F">
        <w:t>endemic regions may subsequently spread the disease to close contacts, indicating that</w:t>
      </w:r>
      <w:r w:rsidR="004E6F9F" w:rsidRPr="004E6F9F">
        <w:t xml:space="preserve"> </w:t>
      </w:r>
      <w:r w:rsidRPr="004E6F9F">
        <w:t xml:space="preserve">although the predominant </w:t>
      </w:r>
      <w:proofErr w:type="spellStart"/>
      <w:r w:rsidRPr="004E6F9F">
        <w:t>serogroups</w:t>
      </w:r>
      <w:proofErr w:type="spellEnd"/>
      <w:r w:rsidRPr="004E6F9F">
        <w:t xml:space="preserve"> vary with geographical region, in this global area</w:t>
      </w:r>
      <w:r w:rsidR="004E6F9F" w:rsidRPr="004E6F9F">
        <w:t xml:space="preserve"> </w:t>
      </w:r>
      <w:r w:rsidRPr="004E6F9F">
        <w:t xml:space="preserve">outbreaks of any </w:t>
      </w:r>
      <w:proofErr w:type="spellStart"/>
      <w:r w:rsidRPr="004E6F9F">
        <w:t>serogroup</w:t>
      </w:r>
      <w:proofErr w:type="spellEnd"/>
      <w:r w:rsidRPr="004E6F9F">
        <w:t xml:space="preserve"> have the potential for rapid spread.</w:t>
      </w:r>
      <w:r w:rsidR="004E6F9F" w:rsidRPr="004E6F9F">
        <w:t xml:space="preserve"> </w:t>
      </w:r>
    </w:p>
    <w:p w:rsidR="004E6F9F" w:rsidRPr="004E6F9F" w:rsidRDefault="00FE0000" w:rsidP="00FD5DE2">
      <w:r w:rsidRPr="004E6F9F">
        <w:t>Australian National surveillance data from 2010 indicated that 214 cases of</w:t>
      </w:r>
      <w:r w:rsidR="004E6F9F" w:rsidRPr="004E6F9F">
        <w:t xml:space="preserve"> </w:t>
      </w:r>
      <w:r w:rsidRPr="004E6F9F">
        <w:t>meningococcal disease were recorded. The vast majority of laboratory-confirmed cases of</w:t>
      </w:r>
      <w:r w:rsidR="004E6F9F" w:rsidRPr="004E6F9F">
        <w:t xml:space="preserve"> </w:t>
      </w:r>
      <w:r w:rsidRPr="004E6F9F">
        <w:t xml:space="preserve">meningococcal disease in Australia were of </w:t>
      </w:r>
      <w:proofErr w:type="spellStart"/>
      <w:r w:rsidRPr="004E6F9F">
        <w:t>serogroup</w:t>
      </w:r>
      <w:proofErr w:type="spellEnd"/>
      <w:r w:rsidRPr="004E6F9F">
        <w:t xml:space="preserve"> B (78%). Disease due to</w:t>
      </w:r>
      <w:r w:rsidR="004E6F9F" w:rsidRPr="004E6F9F">
        <w:t xml:space="preserve"> </w:t>
      </w:r>
      <w:proofErr w:type="spellStart"/>
      <w:r w:rsidRPr="004E6F9F">
        <w:t>serogroup</w:t>
      </w:r>
      <w:proofErr w:type="spellEnd"/>
      <w:r w:rsidRPr="004E6F9F">
        <w:t xml:space="preserve"> C, W135 and Y represented 7.5%, 4.2% and 3.3%, respectively, and no cases</w:t>
      </w:r>
      <w:r w:rsidR="004E6F9F" w:rsidRPr="004E6F9F">
        <w:t xml:space="preserve"> </w:t>
      </w:r>
      <w:r w:rsidRPr="004E6F9F">
        <w:t xml:space="preserve">of </w:t>
      </w:r>
      <w:proofErr w:type="spellStart"/>
      <w:r w:rsidRPr="004E6F9F">
        <w:t>serogroup</w:t>
      </w:r>
      <w:proofErr w:type="spellEnd"/>
      <w:r w:rsidRPr="004E6F9F">
        <w:t xml:space="preserve"> A disease were reported. A small percentage of cases were not </w:t>
      </w:r>
      <w:proofErr w:type="spellStart"/>
      <w:r w:rsidRPr="004E6F9F">
        <w:t>typeable</w:t>
      </w:r>
      <w:proofErr w:type="spellEnd"/>
      <w:r w:rsidRPr="004E6F9F">
        <w:t>.</w:t>
      </w:r>
      <w:r w:rsidR="004E6F9F" w:rsidRPr="004E6F9F">
        <w:t xml:space="preserve"> </w:t>
      </w:r>
    </w:p>
    <w:p w:rsidR="004E6F9F" w:rsidRPr="004E6F9F" w:rsidRDefault="00FE0000" w:rsidP="00FD5DE2">
      <w:r w:rsidRPr="004E6F9F">
        <w:t xml:space="preserve">In Australia, routine </w:t>
      </w:r>
      <w:proofErr w:type="spellStart"/>
      <w:r w:rsidRPr="004E6F9F">
        <w:t>MenC</w:t>
      </w:r>
      <w:proofErr w:type="spellEnd"/>
      <w:r w:rsidRPr="004E6F9F">
        <w:t xml:space="preserve"> vaccination was implemented on the National Immunisation</w:t>
      </w:r>
      <w:r w:rsidR="004E6F9F" w:rsidRPr="004E6F9F">
        <w:t xml:space="preserve"> </w:t>
      </w:r>
      <w:r w:rsidRPr="004E6F9F">
        <w:t>Program in 2003 for the 12 month immunisation encounter. Routine vaccination with</w:t>
      </w:r>
      <w:r w:rsidR="004E6F9F" w:rsidRPr="004E6F9F">
        <w:t xml:space="preserve"> </w:t>
      </w:r>
      <w:proofErr w:type="spellStart"/>
      <w:r w:rsidRPr="004E6F9F">
        <w:t>MenACWY</w:t>
      </w:r>
      <w:proofErr w:type="spellEnd"/>
      <w:r w:rsidRPr="004E6F9F">
        <w:t xml:space="preserve"> vaccines (</w:t>
      </w:r>
      <w:r w:rsidR="00C132F2">
        <w:t xml:space="preserve">PS </w:t>
      </w:r>
      <w:r w:rsidRPr="004E6F9F">
        <w:t>and conjugate) is currently not recommended.</w:t>
      </w:r>
      <w:r w:rsidR="004E6F9F" w:rsidRPr="004E6F9F">
        <w:t xml:space="preserve"> </w:t>
      </w:r>
      <w:r w:rsidRPr="004E6F9F">
        <w:t>There are however recommendations issued by the National Health and Medical</w:t>
      </w:r>
      <w:r w:rsidR="004E6F9F" w:rsidRPr="004E6F9F">
        <w:t xml:space="preserve"> </w:t>
      </w:r>
      <w:r w:rsidRPr="004E6F9F">
        <w:t xml:space="preserve">Research Council (NHMRC) for the use of </w:t>
      </w:r>
      <w:proofErr w:type="spellStart"/>
      <w:r w:rsidRPr="004E6F9F">
        <w:t>MenACWY</w:t>
      </w:r>
      <w:proofErr w:type="spellEnd"/>
      <w:r w:rsidRPr="004E6F9F">
        <w:t xml:space="preserve"> </w:t>
      </w:r>
      <w:r w:rsidR="00C132F2">
        <w:t xml:space="preserve">PS </w:t>
      </w:r>
      <w:r w:rsidRPr="004E6F9F">
        <w:t>vaccines in the</w:t>
      </w:r>
      <w:r w:rsidR="004E6F9F" w:rsidRPr="004E6F9F">
        <w:t xml:space="preserve"> </w:t>
      </w:r>
      <w:r w:rsidR="005F2807">
        <w:t xml:space="preserve">following situations </w:t>
      </w:r>
      <w:r w:rsidRPr="004E6F9F">
        <w:t>Canberra: Australian Government. 2008</w:t>
      </w:r>
      <w:r w:rsidR="004E6F9F">
        <w:rPr>
          <w:rStyle w:val="FootnoteReference"/>
        </w:rPr>
        <w:footnoteReference w:id="26"/>
      </w:r>
      <w:r w:rsidR="005F2807">
        <w:t>)</w:t>
      </w:r>
      <w:r w:rsidRPr="004E6F9F">
        <w:t>:</w:t>
      </w:r>
      <w:r w:rsidR="004E6F9F" w:rsidRPr="004E6F9F">
        <w:t xml:space="preserve"> </w:t>
      </w:r>
    </w:p>
    <w:p w:rsidR="00FE0000" w:rsidRPr="004E6F9F" w:rsidRDefault="00FE0000" w:rsidP="00FD5DE2">
      <w:pPr>
        <w:pStyle w:val="ListBullet"/>
      </w:pPr>
      <w:r w:rsidRPr="004E6F9F">
        <w:t xml:space="preserve">people who intend travelling to parts of the world where epidemics of group A, W-135 or Y disease are frequent; </w:t>
      </w:r>
    </w:p>
    <w:p w:rsidR="00FE0000" w:rsidRPr="004E6F9F" w:rsidRDefault="00FE0000" w:rsidP="00FD5DE2">
      <w:pPr>
        <w:pStyle w:val="ListBullet"/>
      </w:pPr>
      <w:r w:rsidRPr="004E6F9F">
        <w:t xml:space="preserve">close contacts, above </w:t>
      </w:r>
      <w:r w:rsidR="005F2807">
        <w:t xml:space="preserve">2 </w:t>
      </w:r>
      <w:r w:rsidRPr="004E6F9F">
        <w:t xml:space="preserve">years of age, of cases of </w:t>
      </w:r>
      <w:proofErr w:type="spellStart"/>
      <w:r w:rsidRPr="004E6F9F">
        <w:t>serogroup</w:t>
      </w:r>
      <w:proofErr w:type="spellEnd"/>
      <w:r w:rsidRPr="004E6F9F">
        <w:t xml:space="preserve"> A, W-135 or Y meningococcal disease; </w:t>
      </w:r>
    </w:p>
    <w:p w:rsidR="00FE0000" w:rsidRPr="004E6F9F" w:rsidRDefault="00FE0000" w:rsidP="00FD5DE2">
      <w:pPr>
        <w:pStyle w:val="ListBullet"/>
      </w:pPr>
      <w:r w:rsidRPr="004E6F9F">
        <w:t xml:space="preserve">control of outbreaks caused by </w:t>
      </w:r>
      <w:proofErr w:type="spellStart"/>
      <w:r w:rsidRPr="004E6F9F">
        <w:t>serogroup</w:t>
      </w:r>
      <w:proofErr w:type="spellEnd"/>
      <w:r w:rsidRPr="004E6F9F">
        <w:t xml:space="preserve"> A, W-135 or Y; </w:t>
      </w:r>
    </w:p>
    <w:p w:rsidR="00FE0000" w:rsidRPr="004E6F9F" w:rsidRDefault="00FE0000" w:rsidP="004E6F9F">
      <w:pPr>
        <w:pStyle w:val="ListBullet"/>
      </w:pPr>
      <w:r w:rsidRPr="004E6F9F">
        <w:t xml:space="preserve">laboratory personnel who frequently handle </w:t>
      </w:r>
      <w:proofErr w:type="spellStart"/>
      <w:r w:rsidRPr="004E6F9F">
        <w:t>Neisseria</w:t>
      </w:r>
      <w:proofErr w:type="spellEnd"/>
      <w:r w:rsidRPr="004E6F9F">
        <w:t xml:space="preserve"> meningitides; </w:t>
      </w:r>
    </w:p>
    <w:p w:rsidR="00FE0000" w:rsidRPr="004E6F9F" w:rsidRDefault="00FE0000" w:rsidP="00FD5DE2">
      <w:pPr>
        <w:pStyle w:val="ListBullet"/>
      </w:pPr>
      <w:r w:rsidRPr="004E6F9F">
        <w:t xml:space="preserve">those above </w:t>
      </w:r>
      <w:r w:rsidR="005F2807">
        <w:t>2</w:t>
      </w:r>
      <w:r w:rsidRPr="004E6F9F">
        <w:t xml:space="preserve"> years of age with inherited defects of </w:t>
      </w:r>
      <w:proofErr w:type="spellStart"/>
      <w:r w:rsidRPr="004E6F9F">
        <w:t>properdin</w:t>
      </w:r>
      <w:proofErr w:type="spellEnd"/>
      <w:r w:rsidRPr="004E6F9F">
        <w:t xml:space="preserve"> or complement, or functional or anatomical </w:t>
      </w:r>
      <w:proofErr w:type="spellStart"/>
      <w:r w:rsidRPr="004E6F9F">
        <w:t>asplenia</w:t>
      </w:r>
      <w:proofErr w:type="spellEnd"/>
      <w:r w:rsidRPr="004E6F9F">
        <w:t xml:space="preserve">; and </w:t>
      </w:r>
    </w:p>
    <w:p w:rsidR="00FE0000" w:rsidRPr="004E6F9F" w:rsidRDefault="00FE0000" w:rsidP="00FD5DE2">
      <w:pPr>
        <w:pStyle w:val="ListBullet"/>
      </w:pPr>
      <w:r w:rsidRPr="004E6F9F">
        <w:t xml:space="preserve">pilgrims attending the annual Hajj (Saudi Arabian authorities require a valid certificate of vaccination as a condition to enter the country). </w:t>
      </w:r>
    </w:p>
    <w:p w:rsidR="004E6F9F" w:rsidRPr="004E6F9F" w:rsidRDefault="004E6F9F" w:rsidP="00FD5DE2">
      <w:r w:rsidRPr="004E6F9F">
        <w:t xml:space="preserve">Although meningococcal ACWY </w:t>
      </w:r>
      <w:r w:rsidR="00C132F2">
        <w:t xml:space="preserve">PS </w:t>
      </w:r>
      <w:r w:rsidRPr="004E6F9F">
        <w:t xml:space="preserve">vaccines have been effective in </w:t>
      </w:r>
      <w:r w:rsidR="00FE0000" w:rsidRPr="004E6F9F">
        <w:t>prevention of group C disease and in controlling group A epidemics during mass</w:t>
      </w:r>
      <w:r w:rsidRPr="004E6F9F">
        <w:t xml:space="preserve"> </w:t>
      </w:r>
      <w:r w:rsidR="00FE0000" w:rsidRPr="004E6F9F">
        <w:t>campaigns in Africa, these vaccines offer only a relatively short-lived immunity and do</w:t>
      </w:r>
      <w:r w:rsidRPr="004E6F9F">
        <w:t xml:space="preserve"> </w:t>
      </w:r>
      <w:r w:rsidR="00FE0000" w:rsidRPr="004E6F9F">
        <w:t>not affect carriage rates or interrupt transmission of infection within a community.</w:t>
      </w:r>
      <w:r w:rsidRPr="004E6F9F">
        <w:t xml:space="preserve"> </w:t>
      </w:r>
      <w:r w:rsidR="00FE0000" w:rsidRPr="004E6F9F">
        <w:t xml:space="preserve">Furthermore, immune </w:t>
      </w:r>
      <w:proofErr w:type="spellStart"/>
      <w:r w:rsidR="00FE0000" w:rsidRPr="004E6F9F">
        <w:t>hypo</w:t>
      </w:r>
      <w:r w:rsidR="004E28C5">
        <w:noBreakHyphen/>
      </w:r>
      <w:r w:rsidR="00FE0000" w:rsidRPr="004E6F9F">
        <w:t>responsiveness</w:t>
      </w:r>
      <w:proofErr w:type="spellEnd"/>
      <w:r w:rsidR="00FE0000" w:rsidRPr="004E6F9F">
        <w:t xml:space="preserve"> is observed after repeated vaccination with</w:t>
      </w:r>
      <w:r w:rsidRPr="004E6F9F">
        <w:t xml:space="preserve"> </w:t>
      </w:r>
      <w:proofErr w:type="spellStart"/>
      <w:r w:rsidR="00FE0000" w:rsidRPr="004E6F9F">
        <w:t>serogroup</w:t>
      </w:r>
      <w:proofErr w:type="spellEnd"/>
      <w:r w:rsidR="00FE0000" w:rsidRPr="004E6F9F">
        <w:t xml:space="preserve"> C </w:t>
      </w:r>
      <w:r w:rsidR="00C132F2">
        <w:t xml:space="preserve">PS </w:t>
      </w:r>
      <w:r w:rsidR="00FE0000" w:rsidRPr="004E6F9F">
        <w:t xml:space="preserve">vaccine. Finally, </w:t>
      </w:r>
      <w:r w:rsidR="00C132F2">
        <w:t xml:space="preserve">PS </w:t>
      </w:r>
      <w:r w:rsidR="00FE0000" w:rsidRPr="004E6F9F">
        <w:t>vaccines are poorly</w:t>
      </w:r>
      <w:r w:rsidRPr="004E6F9F">
        <w:t xml:space="preserve"> </w:t>
      </w:r>
      <w:r w:rsidR="00FE0000" w:rsidRPr="004E6F9F">
        <w:t>immunogenic in children less than 2 years of age, and do not induce immunological</w:t>
      </w:r>
      <w:r w:rsidRPr="004E6F9F">
        <w:t xml:space="preserve"> </w:t>
      </w:r>
      <w:r w:rsidR="00FE0000" w:rsidRPr="004E6F9F">
        <w:t xml:space="preserve">memory in people of any age. </w:t>
      </w:r>
    </w:p>
    <w:p w:rsidR="004E6F9F" w:rsidRPr="004E6F9F" w:rsidRDefault="004E6F9F" w:rsidP="00FD5DE2">
      <w:r w:rsidRPr="004E6F9F">
        <w:t xml:space="preserve">Conjugate vaccines can overcome limitations such as the inability to elicit immune </w:t>
      </w:r>
      <w:r w:rsidR="00FE0000" w:rsidRPr="004E6F9F">
        <w:t xml:space="preserve">memory against the capsule of the pathogen and </w:t>
      </w:r>
      <w:proofErr w:type="spellStart"/>
      <w:r w:rsidR="00FE0000" w:rsidRPr="004E6F9F">
        <w:t>hypo</w:t>
      </w:r>
      <w:r w:rsidR="004E28C5">
        <w:noBreakHyphen/>
      </w:r>
      <w:r w:rsidR="00FE0000" w:rsidRPr="004E6F9F">
        <w:t>responsiveness</w:t>
      </w:r>
      <w:proofErr w:type="spellEnd"/>
      <w:r w:rsidR="00FE0000" w:rsidRPr="004E6F9F">
        <w:t xml:space="preserve"> following repeated</w:t>
      </w:r>
      <w:r w:rsidRPr="004E6F9F">
        <w:t xml:space="preserve"> </w:t>
      </w:r>
      <w:r w:rsidR="00FE0000" w:rsidRPr="004E6F9F">
        <w:t>doses of vaccine when sustained protection is needed. Effective conjugate vaccines have</w:t>
      </w:r>
      <w:r w:rsidRPr="004E6F9F">
        <w:t xml:space="preserve"> </w:t>
      </w:r>
      <w:r w:rsidR="00FE0000" w:rsidRPr="004E6F9F">
        <w:lastRenderedPageBreak/>
        <w:t>been successful in preventing meningitis and other invasive bacterial infections: the</w:t>
      </w:r>
      <w:r w:rsidRPr="004E6F9F">
        <w:t xml:space="preserve"> </w:t>
      </w:r>
      <w:r w:rsidR="00FE0000" w:rsidRPr="004E6F9F">
        <w:t xml:space="preserve">chemical conjugation of the </w:t>
      </w:r>
      <w:r w:rsidR="00C132F2">
        <w:t xml:space="preserve">PS </w:t>
      </w:r>
      <w:r w:rsidR="00FE0000" w:rsidRPr="004E6F9F">
        <w:t>to a protein carrier converts the T-cell</w:t>
      </w:r>
      <w:r w:rsidRPr="004E6F9F">
        <w:t xml:space="preserve"> </w:t>
      </w:r>
      <w:r w:rsidR="00FE0000" w:rsidRPr="004E6F9F">
        <w:t>independent response into a T-cell dependent anti-</w:t>
      </w:r>
      <w:r w:rsidR="00C132F2">
        <w:t xml:space="preserve">PS </w:t>
      </w:r>
      <w:r w:rsidR="00FE0000" w:rsidRPr="004E6F9F">
        <w:t>antibody response. The</w:t>
      </w:r>
      <w:r w:rsidRPr="004E6F9F">
        <w:t xml:space="preserve"> </w:t>
      </w:r>
      <w:r w:rsidR="00FE0000" w:rsidRPr="004E6F9F">
        <w:t>T-cell dependent response elicited by conjugate vaccines can occur in children less than 2</w:t>
      </w:r>
      <w:r w:rsidRPr="004E6F9F">
        <w:t xml:space="preserve"> </w:t>
      </w:r>
      <w:r w:rsidR="00FE0000" w:rsidRPr="004E6F9F">
        <w:t xml:space="preserve">years of age and results in a strong </w:t>
      </w:r>
      <w:proofErr w:type="spellStart"/>
      <w:r w:rsidR="00FE0000" w:rsidRPr="004E6F9F">
        <w:t>anamnestic</w:t>
      </w:r>
      <w:proofErr w:type="spellEnd"/>
      <w:r w:rsidR="00FE0000" w:rsidRPr="004E6F9F">
        <w:t xml:space="preserve"> (memory).</w:t>
      </w:r>
      <w:r w:rsidRPr="004E6F9F">
        <w:t xml:space="preserve"> </w:t>
      </w:r>
    </w:p>
    <w:p w:rsidR="004E6F9F" w:rsidRPr="004E6F9F" w:rsidRDefault="00FE0000" w:rsidP="00FD5DE2">
      <w:r w:rsidRPr="004E6F9F">
        <w:t>All conjugate vaccines designed to protect against invasive diseases caused by</w:t>
      </w:r>
      <w:r w:rsidR="004E6F9F" w:rsidRPr="004E6F9F">
        <w:t xml:space="preserve"> </w:t>
      </w:r>
      <w:r w:rsidRPr="004E6F9F">
        <w:t xml:space="preserve">encapsulated bacteria such as </w:t>
      </w:r>
      <w:proofErr w:type="spellStart"/>
      <w:r w:rsidRPr="004E6F9F">
        <w:rPr>
          <w:i/>
          <w:iCs/>
        </w:rPr>
        <w:t>Haemophilus</w:t>
      </w:r>
      <w:proofErr w:type="spellEnd"/>
      <w:r w:rsidRPr="004E6F9F">
        <w:rPr>
          <w:i/>
          <w:iCs/>
        </w:rPr>
        <w:t xml:space="preserve"> influenza</w:t>
      </w:r>
      <w:r w:rsidRPr="004E6F9F">
        <w:t xml:space="preserve"> type b, </w:t>
      </w:r>
      <w:r w:rsidRPr="004E6F9F">
        <w:rPr>
          <w:i/>
          <w:iCs/>
        </w:rPr>
        <w:t>Streptococcus pneumonia</w:t>
      </w:r>
      <w:r w:rsidR="004E6F9F" w:rsidRPr="004E6F9F">
        <w:t xml:space="preserve"> </w:t>
      </w:r>
      <w:r w:rsidRPr="004E6F9F">
        <w:t xml:space="preserve">and </w:t>
      </w:r>
      <w:proofErr w:type="spellStart"/>
      <w:r w:rsidRPr="004E6F9F">
        <w:t>serogroup</w:t>
      </w:r>
      <w:proofErr w:type="spellEnd"/>
      <w:r w:rsidRPr="004E6F9F">
        <w:t xml:space="preserve"> C </w:t>
      </w:r>
      <w:proofErr w:type="spellStart"/>
      <w:r w:rsidRPr="004E6F9F">
        <w:rPr>
          <w:i/>
          <w:iCs/>
        </w:rPr>
        <w:t>Neisseria</w:t>
      </w:r>
      <w:proofErr w:type="spellEnd"/>
      <w:r w:rsidRPr="004E6F9F">
        <w:rPr>
          <w:i/>
          <w:iCs/>
        </w:rPr>
        <w:t xml:space="preserve"> </w:t>
      </w:r>
      <w:proofErr w:type="spellStart"/>
      <w:r w:rsidRPr="004E6F9F">
        <w:rPr>
          <w:i/>
          <w:iCs/>
        </w:rPr>
        <w:t>meningitidis</w:t>
      </w:r>
      <w:proofErr w:type="spellEnd"/>
      <w:r w:rsidRPr="004E6F9F">
        <w:t xml:space="preserve"> have successfully addressed the limitations of the</w:t>
      </w:r>
      <w:r w:rsidR="004E6F9F" w:rsidRPr="004E6F9F">
        <w:t xml:space="preserve"> </w:t>
      </w:r>
      <w:r w:rsidRPr="004E6F9F">
        <w:t xml:space="preserve">plain capsular </w:t>
      </w:r>
      <w:r w:rsidR="00C132F2">
        <w:t>PS</w:t>
      </w:r>
      <w:r w:rsidRPr="004E6F9F">
        <w:t>-based vaccines.</w:t>
      </w:r>
      <w:r w:rsidR="004E6F9F" w:rsidRPr="004E6F9F">
        <w:t xml:space="preserve"> </w:t>
      </w:r>
    </w:p>
    <w:p w:rsidR="004E6F9F" w:rsidRPr="004E6F9F" w:rsidRDefault="00FE0000" w:rsidP="00FD5DE2">
      <w:r w:rsidRPr="004E6F9F">
        <w:t xml:space="preserve">The data provided in support of registration of </w:t>
      </w:r>
      <w:proofErr w:type="spellStart"/>
      <w:r w:rsidRPr="004E6F9F">
        <w:t>N</w:t>
      </w:r>
      <w:r w:rsidR="004E6F9F">
        <w:t>imenrix</w:t>
      </w:r>
      <w:proofErr w:type="spellEnd"/>
      <w:r w:rsidR="004E6F9F">
        <w:t xml:space="preserve"> </w:t>
      </w:r>
      <w:r w:rsidRPr="004E6F9F">
        <w:t>demonstrate that</w:t>
      </w:r>
      <w:r w:rsidR="004E6F9F" w:rsidRPr="004E6F9F">
        <w:t xml:space="preserve"> </w:t>
      </w:r>
      <w:proofErr w:type="spellStart"/>
      <w:r w:rsidR="004E6F9F" w:rsidRPr="004E6F9F">
        <w:t>Nimenrix</w:t>
      </w:r>
      <w:proofErr w:type="spellEnd"/>
      <w:r w:rsidR="004E6F9F" w:rsidRPr="004E6F9F">
        <w:t xml:space="preserve"> </w:t>
      </w:r>
      <w:r w:rsidRPr="004E6F9F">
        <w:t>has the typical features of the immune responses induced by conjugate</w:t>
      </w:r>
      <w:r w:rsidR="004E6F9F" w:rsidRPr="004E6F9F">
        <w:t xml:space="preserve"> </w:t>
      </w:r>
      <w:r w:rsidRPr="004E6F9F">
        <w:t>vaccines, as conclud</w:t>
      </w:r>
      <w:r w:rsidR="004E6F9F">
        <w:t>ed by the TGA Delegate and TGA c</w:t>
      </w:r>
      <w:r w:rsidRPr="004E6F9F">
        <w:t xml:space="preserve">linical </w:t>
      </w:r>
      <w:r w:rsidR="004E6F9F">
        <w:t>e</w:t>
      </w:r>
      <w:r w:rsidRPr="004E6F9F">
        <w:t>valuator.</w:t>
      </w:r>
      <w:r w:rsidR="004E6F9F" w:rsidRPr="004E6F9F">
        <w:t xml:space="preserve"> </w:t>
      </w:r>
    </w:p>
    <w:p w:rsidR="004E6F9F" w:rsidRPr="004E6F9F" w:rsidRDefault="00FE0000" w:rsidP="00FD5DE2">
      <w:r w:rsidRPr="004E6F9F">
        <w:t xml:space="preserve">In Australia, there is no suitable vaccine against </w:t>
      </w:r>
      <w:proofErr w:type="spellStart"/>
      <w:r w:rsidRPr="004E6F9F">
        <w:t>serogroups</w:t>
      </w:r>
      <w:proofErr w:type="spellEnd"/>
      <w:r w:rsidRPr="004E6F9F">
        <w:t xml:space="preserve"> A, W-135 or Y</w:t>
      </w:r>
      <w:r w:rsidR="004E6F9F" w:rsidRPr="004E6F9F">
        <w:t xml:space="preserve"> </w:t>
      </w:r>
      <w:r w:rsidRPr="004E6F9F">
        <w:t xml:space="preserve">registered for toddlers aged 12-23 months. Therefore, </w:t>
      </w:r>
      <w:proofErr w:type="spellStart"/>
      <w:r w:rsidR="005F2807" w:rsidRPr="005F2807">
        <w:t>Nimenrix</w:t>
      </w:r>
      <w:proofErr w:type="spellEnd"/>
      <w:r w:rsidR="005F2807" w:rsidRPr="005F2807">
        <w:t xml:space="preserve"> </w:t>
      </w:r>
      <w:r w:rsidRPr="004E6F9F">
        <w:t>with the supported</w:t>
      </w:r>
      <w:r w:rsidR="004E6F9F" w:rsidRPr="004E6F9F">
        <w:t xml:space="preserve"> </w:t>
      </w:r>
      <w:r w:rsidRPr="004E6F9F">
        <w:t>Indication for use in all age groups from 1 year of age to 55 years of age has the potential</w:t>
      </w:r>
      <w:r w:rsidR="004E6F9F" w:rsidRPr="004E6F9F">
        <w:t xml:space="preserve"> </w:t>
      </w:r>
      <w:r w:rsidRPr="004E6F9F">
        <w:t xml:space="preserve">to address the limitations of the existing </w:t>
      </w:r>
      <w:proofErr w:type="spellStart"/>
      <w:r w:rsidRPr="004E6F9F">
        <w:t>quadrivalent</w:t>
      </w:r>
      <w:proofErr w:type="spellEnd"/>
      <w:r w:rsidRPr="004E6F9F">
        <w:t xml:space="preserve"> </w:t>
      </w:r>
      <w:r w:rsidR="00C132F2">
        <w:t xml:space="preserve">PS </w:t>
      </w:r>
      <w:r w:rsidRPr="004E6F9F">
        <w:t>meningococcal</w:t>
      </w:r>
      <w:r w:rsidR="004E6F9F" w:rsidRPr="004E6F9F">
        <w:t xml:space="preserve"> </w:t>
      </w:r>
      <w:r w:rsidRPr="004E6F9F">
        <w:t>vaccines and allows the immunisation of young children in Australia.</w:t>
      </w:r>
      <w:r w:rsidR="004E6F9F" w:rsidRPr="004E6F9F">
        <w:t xml:space="preserve"> </w:t>
      </w:r>
    </w:p>
    <w:p w:rsidR="004E6F9F" w:rsidRPr="004E6F9F" w:rsidRDefault="00FE0000" w:rsidP="00FD5DE2">
      <w:r w:rsidRPr="004E6F9F">
        <w:t xml:space="preserve">Vaccine efficacy for </w:t>
      </w:r>
      <w:proofErr w:type="spellStart"/>
      <w:r w:rsidR="005F2807" w:rsidRPr="005F2807">
        <w:t>Nimenrix</w:t>
      </w:r>
      <w:proofErr w:type="spellEnd"/>
      <w:r w:rsidR="005F2807" w:rsidRPr="005F2807">
        <w:t xml:space="preserve"> </w:t>
      </w:r>
      <w:r w:rsidRPr="004E6F9F">
        <w:t>was inferred by demonstrating non-inferiority of</w:t>
      </w:r>
      <w:r w:rsidR="004E6F9F" w:rsidRPr="004E6F9F">
        <w:t xml:space="preserve"> </w:t>
      </w:r>
      <w:r w:rsidRPr="004E6F9F">
        <w:t>bactericidal antibody responses to the licensed vaccines in subjects as of 12 months of</w:t>
      </w:r>
      <w:r w:rsidR="004E6F9F" w:rsidRPr="004E6F9F">
        <w:t xml:space="preserve"> </w:t>
      </w:r>
      <w:r w:rsidRPr="004E6F9F">
        <w:t>age. The vaccine response was assessed using a standard and validated serum bactericidal</w:t>
      </w:r>
      <w:r w:rsidR="004E6F9F" w:rsidRPr="004E6F9F">
        <w:t xml:space="preserve"> </w:t>
      </w:r>
      <w:r w:rsidRPr="004E6F9F">
        <w:t>assay using rabbit complement. Confirmation of the vaccine response was obtained with</w:t>
      </w:r>
      <w:r w:rsidR="004E6F9F" w:rsidRPr="004E6F9F">
        <w:t xml:space="preserve"> </w:t>
      </w:r>
      <w:r w:rsidRPr="004E6F9F">
        <w:t xml:space="preserve">further </w:t>
      </w:r>
      <w:proofErr w:type="spellStart"/>
      <w:r w:rsidRPr="004E6F9F">
        <w:t>rSBA</w:t>
      </w:r>
      <w:proofErr w:type="spellEnd"/>
      <w:r w:rsidRPr="004E6F9F">
        <w:t xml:space="preserve"> testing </w:t>
      </w:r>
      <w:r w:rsidR="005F2807">
        <w:t xml:space="preserve">at another facility </w:t>
      </w:r>
      <w:r w:rsidRPr="004E6F9F">
        <w:t xml:space="preserve">and </w:t>
      </w:r>
      <w:proofErr w:type="spellStart"/>
      <w:r w:rsidRPr="004E6F9F">
        <w:t>hSBA</w:t>
      </w:r>
      <w:proofErr w:type="spellEnd"/>
      <w:r w:rsidRPr="004E6F9F">
        <w:t xml:space="preserve"> data generated by the </w:t>
      </w:r>
      <w:r w:rsidR="005F2807">
        <w:t>sponsor</w:t>
      </w:r>
      <w:r w:rsidRPr="004E6F9F">
        <w:t>. These methods</w:t>
      </w:r>
      <w:r w:rsidR="004E6F9F" w:rsidRPr="004E6F9F">
        <w:t xml:space="preserve"> </w:t>
      </w:r>
      <w:r w:rsidRPr="004E6F9F">
        <w:t>comply with the WHO 2011 guidelines for registration of meningococcal vaccines, and</w:t>
      </w:r>
      <w:r w:rsidR="004E6F9F" w:rsidRPr="004E6F9F">
        <w:t xml:space="preserve"> </w:t>
      </w:r>
      <w:r w:rsidRPr="004E6F9F">
        <w:t xml:space="preserve">as adopted by TGA. </w:t>
      </w:r>
    </w:p>
    <w:p w:rsidR="004E6F9F" w:rsidRPr="004E6F9F" w:rsidRDefault="00FE0000" w:rsidP="00FD5DE2">
      <w:r w:rsidRPr="004E6F9F">
        <w:t>The safety data collected from over 7,000 subjects during the clinical programme</w:t>
      </w:r>
      <w:r w:rsidR="004E6F9F" w:rsidRPr="004E6F9F">
        <w:t xml:space="preserve"> </w:t>
      </w:r>
      <w:r w:rsidRPr="004E6F9F">
        <w:t xml:space="preserve">provide strong evidence that </w:t>
      </w:r>
      <w:proofErr w:type="spellStart"/>
      <w:r w:rsidR="005F2807" w:rsidRPr="005F2807">
        <w:t>Nimenrix</w:t>
      </w:r>
      <w:proofErr w:type="spellEnd"/>
      <w:r w:rsidR="005F2807" w:rsidRPr="005F2807">
        <w:t xml:space="preserve"> </w:t>
      </w:r>
      <w:r w:rsidRPr="004E6F9F">
        <w:t>is well tolerated and can be safely co</w:t>
      </w:r>
      <w:r w:rsidR="005F2807">
        <w:t>-</w:t>
      </w:r>
      <w:r w:rsidRPr="004E6F9F">
        <w:t>administered</w:t>
      </w:r>
      <w:r w:rsidR="004E6F9F" w:rsidRPr="004E6F9F">
        <w:t xml:space="preserve"> </w:t>
      </w:r>
      <w:r w:rsidRPr="004E6F9F">
        <w:t>with vaccines routinely used in the different age groups in which the</w:t>
      </w:r>
      <w:r w:rsidR="004E6F9F" w:rsidRPr="004E6F9F">
        <w:t xml:space="preserve"> </w:t>
      </w:r>
      <w:r w:rsidRPr="004E6F9F">
        <w:t>Indication is sought.</w:t>
      </w:r>
      <w:r w:rsidR="004E6F9F" w:rsidRPr="004E6F9F">
        <w:t xml:space="preserve"> </w:t>
      </w:r>
    </w:p>
    <w:p w:rsidR="004E6F9F" w:rsidRPr="004E6F9F" w:rsidRDefault="00FE0000" w:rsidP="00FD5DE2">
      <w:r w:rsidRPr="004E6F9F">
        <w:t>In addition, the vaccine can be administered to subjects who were previously</w:t>
      </w:r>
      <w:r w:rsidR="004E6F9F" w:rsidRPr="004E6F9F">
        <w:t xml:space="preserve"> </w:t>
      </w:r>
      <w:r w:rsidRPr="004E6F9F">
        <w:t xml:space="preserve">administered a dose of plain </w:t>
      </w:r>
      <w:r w:rsidR="00C132F2">
        <w:t xml:space="preserve">PS </w:t>
      </w:r>
      <w:r w:rsidRPr="004E6F9F">
        <w:t>meningococcal vaccine, which is of interest</w:t>
      </w:r>
      <w:r w:rsidR="004E6F9F" w:rsidRPr="004E6F9F">
        <w:t xml:space="preserve"> </w:t>
      </w:r>
      <w:r w:rsidRPr="004E6F9F">
        <w:t>for people either living in or travelling to endemic area.</w:t>
      </w:r>
      <w:r w:rsidR="004E6F9F" w:rsidRPr="004E6F9F">
        <w:t xml:space="preserve"> </w:t>
      </w:r>
    </w:p>
    <w:p w:rsidR="004E6F9F" w:rsidRPr="004E6F9F" w:rsidRDefault="00FE0000" w:rsidP="00FD5DE2">
      <w:r w:rsidRPr="004E6F9F">
        <w:t xml:space="preserve">Therefore, </w:t>
      </w:r>
      <w:proofErr w:type="spellStart"/>
      <w:r w:rsidR="005F2807" w:rsidRPr="005F2807">
        <w:t>Nimenrix</w:t>
      </w:r>
      <w:proofErr w:type="spellEnd"/>
      <w:r w:rsidR="005F2807" w:rsidRPr="005F2807">
        <w:t xml:space="preserve"> </w:t>
      </w:r>
      <w:r w:rsidRPr="004E6F9F">
        <w:t>is proposed for the active immunisation of individuals aged 12</w:t>
      </w:r>
      <w:r w:rsidR="004E6F9F" w:rsidRPr="004E6F9F">
        <w:t xml:space="preserve"> </w:t>
      </w:r>
      <w:r w:rsidRPr="004E6F9F">
        <w:t xml:space="preserve">months to 55 years of age against invasive meningococcal disease caused by </w:t>
      </w:r>
      <w:r w:rsidRPr="004E6F9F">
        <w:rPr>
          <w:i/>
          <w:iCs/>
        </w:rPr>
        <w:t>N.</w:t>
      </w:r>
      <w:r w:rsidR="004E6F9F" w:rsidRPr="004E6F9F">
        <w:rPr>
          <w:i/>
          <w:iCs/>
        </w:rPr>
        <w:t xml:space="preserve"> </w:t>
      </w:r>
      <w:proofErr w:type="spellStart"/>
      <w:r w:rsidRPr="004E6F9F">
        <w:rPr>
          <w:i/>
          <w:iCs/>
        </w:rPr>
        <w:t>meningitidis</w:t>
      </w:r>
      <w:proofErr w:type="spellEnd"/>
      <w:r w:rsidRPr="004E6F9F">
        <w:rPr>
          <w:i/>
          <w:iCs/>
        </w:rPr>
        <w:t xml:space="preserve"> </w:t>
      </w:r>
      <w:proofErr w:type="spellStart"/>
      <w:r w:rsidRPr="004E6F9F">
        <w:t>serogroups</w:t>
      </w:r>
      <w:proofErr w:type="spellEnd"/>
      <w:r w:rsidRPr="004E6F9F">
        <w:t xml:space="preserve"> A, C, Y and W-135. </w:t>
      </w:r>
      <w:proofErr w:type="spellStart"/>
      <w:r w:rsidR="005F2807" w:rsidRPr="005F2807">
        <w:t>Nimenrix</w:t>
      </w:r>
      <w:proofErr w:type="spellEnd"/>
      <w:r w:rsidR="005F2807" w:rsidRPr="005F2807">
        <w:t xml:space="preserve"> </w:t>
      </w:r>
      <w:r w:rsidRPr="004E6F9F">
        <w:t>offers protection to individuals</w:t>
      </w:r>
      <w:r w:rsidR="004E6F9F" w:rsidRPr="004E6F9F">
        <w:t xml:space="preserve"> </w:t>
      </w:r>
      <w:r w:rsidRPr="004E6F9F">
        <w:t>at increased risk of meningococcal diseases (including travellers, overseas workers,</w:t>
      </w:r>
      <w:r w:rsidR="004E6F9F" w:rsidRPr="004E6F9F">
        <w:t xml:space="preserve"> </w:t>
      </w:r>
      <w:r w:rsidRPr="004E6F9F">
        <w:t>military recruits and personnel) and also provides the opportunity of protecting</w:t>
      </w:r>
      <w:r w:rsidR="004E6F9F" w:rsidRPr="004E6F9F">
        <w:t xml:space="preserve"> </w:t>
      </w:r>
      <w:r w:rsidRPr="004E6F9F">
        <w:t xml:space="preserve">adolescents (the age group with the highest carriage rates for </w:t>
      </w:r>
      <w:r w:rsidRPr="005F2807">
        <w:rPr>
          <w:i/>
          <w:iCs/>
        </w:rPr>
        <w:t>N. meningitides</w:t>
      </w:r>
      <w:r w:rsidRPr="004E6F9F">
        <w:t>) and</w:t>
      </w:r>
      <w:r w:rsidR="004E6F9F" w:rsidRPr="004E6F9F">
        <w:t xml:space="preserve"> </w:t>
      </w:r>
      <w:r w:rsidRPr="004E6F9F">
        <w:t xml:space="preserve">children of 12 months and above, with a broadening of the </w:t>
      </w:r>
      <w:proofErr w:type="spellStart"/>
      <w:r w:rsidRPr="004E6F9F">
        <w:t>serogroup</w:t>
      </w:r>
      <w:proofErr w:type="spellEnd"/>
      <w:r w:rsidRPr="004E6F9F">
        <w:t xml:space="preserve"> coverage in</w:t>
      </w:r>
      <w:r w:rsidR="004E6F9F" w:rsidRPr="004E6F9F">
        <w:t xml:space="preserve"> </w:t>
      </w:r>
      <w:r w:rsidRPr="004E6F9F">
        <w:t xml:space="preserve">countries in which </w:t>
      </w:r>
      <w:proofErr w:type="spellStart"/>
      <w:r w:rsidRPr="004E6F9F">
        <w:t>MenC</w:t>
      </w:r>
      <w:proofErr w:type="spellEnd"/>
      <w:r w:rsidRPr="004E6F9F">
        <w:t xml:space="preserve"> conjugate vaccination is implemented for children or</w:t>
      </w:r>
      <w:r w:rsidR="004E6F9F" w:rsidRPr="004E6F9F">
        <w:t xml:space="preserve"> </w:t>
      </w:r>
      <w:r w:rsidRPr="004E6F9F">
        <w:t xml:space="preserve">adolescents. </w:t>
      </w:r>
    </w:p>
    <w:p w:rsidR="004E6F9F" w:rsidRPr="00FD5DE2" w:rsidRDefault="005F2807" w:rsidP="00FD5DE2">
      <w:pPr>
        <w:pStyle w:val="ListBullet"/>
        <w:rPr>
          <w:i/>
        </w:rPr>
      </w:pPr>
      <w:r w:rsidRPr="00FD5DE2">
        <w:rPr>
          <w:i/>
        </w:rPr>
        <w:t>t</w:t>
      </w:r>
      <w:r w:rsidR="00FE0000" w:rsidRPr="00FD5DE2">
        <w:rPr>
          <w:i/>
        </w:rPr>
        <w:t xml:space="preserve">he use of </w:t>
      </w:r>
      <w:proofErr w:type="spellStart"/>
      <w:r w:rsidR="00FE0000" w:rsidRPr="00FD5DE2">
        <w:rPr>
          <w:i/>
        </w:rPr>
        <w:t>Nimenrix</w:t>
      </w:r>
      <w:proofErr w:type="spellEnd"/>
      <w:r w:rsidR="00FE0000" w:rsidRPr="00FD5DE2">
        <w:rPr>
          <w:i/>
        </w:rPr>
        <w:t xml:space="preserve"> as a booster dose in subjects who have</w:t>
      </w:r>
      <w:r w:rsidR="004E6F9F" w:rsidRPr="00FD5DE2">
        <w:rPr>
          <w:i/>
        </w:rPr>
        <w:t xml:space="preserve"> </w:t>
      </w:r>
      <w:r w:rsidR="00FE0000" w:rsidRPr="00FD5DE2">
        <w:rPr>
          <w:i/>
        </w:rPr>
        <w:t xml:space="preserve">previously been vaccinated with a plain </w:t>
      </w:r>
      <w:r w:rsidR="00C132F2" w:rsidRPr="00FD5DE2">
        <w:rPr>
          <w:i/>
        </w:rPr>
        <w:t xml:space="preserve">PS </w:t>
      </w:r>
      <w:r w:rsidR="00FE0000" w:rsidRPr="00FD5DE2">
        <w:rPr>
          <w:i/>
        </w:rPr>
        <w:t>meningococcal vaccine.</w:t>
      </w:r>
      <w:r w:rsidR="004E6F9F" w:rsidRPr="00FD5DE2">
        <w:rPr>
          <w:i/>
        </w:rPr>
        <w:t xml:space="preserve"> </w:t>
      </w:r>
    </w:p>
    <w:p w:rsidR="004E6F9F" w:rsidRPr="004E6F9F" w:rsidRDefault="00FE0000" w:rsidP="00FD5DE2">
      <w:r w:rsidRPr="004E6F9F">
        <w:t xml:space="preserve">The </w:t>
      </w:r>
      <w:r w:rsidR="005F2807">
        <w:t xml:space="preserve">sponsor </w:t>
      </w:r>
      <w:r w:rsidRPr="004E6F9F">
        <w:t>acknowledges that the term “as a booster dose” suggests that the</w:t>
      </w:r>
      <w:r w:rsidR="004E6F9F" w:rsidRPr="004E6F9F">
        <w:t xml:space="preserve"> </w:t>
      </w:r>
      <w:r w:rsidRPr="004E6F9F">
        <w:t xml:space="preserve">administration of </w:t>
      </w:r>
      <w:proofErr w:type="spellStart"/>
      <w:r w:rsidRPr="004E6F9F">
        <w:t>Nimenrix</w:t>
      </w:r>
      <w:proofErr w:type="spellEnd"/>
      <w:r w:rsidRPr="004E6F9F">
        <w:t xml:space="preserve"> in subjects previously vaccinated with plain </w:t>
      </w:r>
      <w:r w:rsidR="00C132F2">
        <w:t xml:space="preserve">PS </w:t>
      </w:r>
      <w:r w:rsidRPr="004E6F9F">
        <w:t>meningococcal vaccine represents a booster dose. However, the immune response</w:t>
      </w:r>
      <w:r w:rsidR="004E6F9F" w:rsidRPr="004E6F9F">
        <w:t xml:space="preserve"> </w:t>
      </w:r>
      <w:r w:rsidRPr="004E6F9F">
        <w:t xml:space="preserve">following plain </w:t>
      </w:r>
      <w:r w:rsidR="00C132F2">
        <w:t xml:space="preserve">PS </w:t>
      </w:r>
      <w:r w:rsidRPr="004E6F9F">
        <w:t xml:space="preserve">vaccination is not considered </w:t>
      </w:r>
      <w:proofErr w:type="spellStart"/>
      <w:r w:rsidRPr="004E6F9F">
        <w:t>boostable</w:t>
      </w:r>
      <w:proofErr w:type="spellEnd"/>
      <w:r w:rsidRPr="004E6F9F">
        <w:t xml:space="preserve"> given the T-cell</w:t>
      </w:r>
      <w:r w:rsidR="004E6F9F" w:rsidRPr="004E6F9F">
        <w:t xml:space="preserve"> </w:t>
      </w:r>
      <w:r w:rsidRPr="004E6F9F">
        <w:t xml:space="preserve">independent nature of the immune response to a plain </w:t>
      </w:r>
      <w:r w:rsidR="00C132F2">
        <w:t xml:space="preserve">PS </w:t>
      </w:r>
      <w:r w:rsidRPr="004E6F9F">
        <w:t>vaccine.</w:t>
      </w:r>
      <w:r w:rsidR="004E6F9F" w:rsidRPr="004E6F9F">
        <w:t xml:space="preserve"> </w:t>
      </w:r>
    </w:p>
    <w:p w:rsidR="004E6F9F" w:rsidRPr="004E6F9F" w:rsidRDefault="00FE0000" w:rsidP="00FD5DE2">
      <w:r w:rsidRPr="004E6F9F">
        <w:t xml:space="preserve">Therefore, the </w:t>
      </w:r>
      <w:r w:rsidR="005F2807">
        <w:t xml:space="preserve">sponsor </w:t>
      </w:r>
      <w:r w:rsidRPr="004E6F9F">
        <w:t xml:space="preserve">proposes to rephrase the sentence in the </w:t>
      </w:r>
      <w:r w:rsidRPr="005F2807">
        <w:t>Dosage and</w:t>
      </w:r>
      <w:r w:rsidR="004E6F9F" w:rsidRPr="005F2807">
        <w:t xml:space="preserve"> </w:t>
      </w:r>
      <w:r w:rsidRPr="005F2807">
        <w:t>Administration</w:t>
      </w:r>
      <w:r w:rsidRPr="004E6F9F">
        <w:t xml:space="preserve"> section </w:t>
      </w:r>
      <w:r w:rsidR="005F2807">
        <w:t xml:space="preserve">of the PI </w:t>
      </w:r>
      <w:r w:rsidRPr="004E6F9F">
        <w:t xml:space="preserve">as follows: </w:t>
      </w:r>
      <w:r w:rsidRPr="00FD5DE2">
        <w:rPr>
          <w:i/>
        </w:rPr>
        <w:t>“</w:t>
      </w:r>
      <w:proofErr w:type="spellStart"/>
      <w:r w:rsidRPr="00FD5DE2">
        <w:rPr>
          <w:i/>
        </w:rPr>
        <w:t>Nimenrix</w:t>
      </w:r>
      <w:proofErr w:type="spellEnd"/>
      <w:r w:rsidRPr="00FD5DE2">
        <w:rPr>
          <w:i/>
        </w:rPr>
        <w:t xml:space="preserve"> may be given in subjects</w:t>
      </w:r>
      <w:r w:rsidR="004E6F9F" w:rsidRPr="00FD5DE2">
        <w:rPr>
          <w:i/>
        </w:rPr>
        <w:t xml:space="preserve"> </w:t>
      </w:r>
      <w:r w:rsidRPr="00FD5DE2">
        <w:rPr>
          <w:i/>
        </w:rPr>
        <w:t xml:space="preserve">who have previously been vaccinated with a plain </w:t>
      </w:r>
      <w:r w:rsidR="00C132F2" w:rsidRPr="00FD5DE2">
        <w:rPr>
          <w:i/>
        </w:rPr>
        <w:t xml:space="preserve">PS </w:t>
      </w:r>
      <w:r w:rsidRPr="00FD5DE2">
        <w:rPr>
          <w:i/>
        </w:rPr>
        <w:t>meningococcal</w:t>
      </w:r>
      <w:r w:rsidR="004E6F9F" w:rsidRPr="00FD5DE2">
        <w:rPr>
          <w:i/>
        </w:rPr>
        <w:t xml:space="preserve"> </w:t>
      </w:r>
      <w:r w:rsidRPr="00FD5DE2">
        <w:rPr>
          <w:i/>
        </w:rPr>
        <w:t>vaccines.”</w:t>
      </w:r>
      <w:r w:rsidR="004E6F9F" w:rsidRPr="004E6F9F">
        <w:t xml:space="preserve"> </w:t>
      </w:r>
    </w:p>
    <w:p w:rsidR="004E6F9F" w:rsidRPr="004E6F9F" w:rsidRDefault="00FE0000" w:rsidP="00FD5DE2">
      <w:pPr>
        <w:pStyle w:val="Heading5"/>
      </w:pPr>
      <w:r w:rsidRPr="004E6F9F">
        <w:lastRenderedPageBreak/>
        <w:t xml:space="preserve">Risk </w:t>
      </w:r>
      <w:r w:rsidR="00FD5DE2">
        <w:t>m</w:t>
      </w:r>
      <w:r w:rsidRPr="004E6F9F">
        <w:t xml:space="preserve">anagement </w:t>
      </w:r>
      <w:r w:rsidR="00FD5DE2">
        <w:t>p</w:t>
      </w:r>
      <w:r w:rsidRPr="004E6F9F">
        <w:t>lan</w:t>
      </w:r>
      <w:r w:rsidR="004E6F9F" w:rsidRPr="004E6F9F">
        <w:t xml:space="preserve"> </w:t>
      </w:r>
    </w:p>
    <w:p w:rsidR="004E6F9F" w:rsidRPr="004E6F9F" w:rsidRDefault="00FE0000" w:rsidP="00FD5DE2">
      <w:r w:rsidRPr="004E6F9F">
        <w:t xml:space="preserve">The </w:t>
      </w:r>
      <w:r w:rsidR="005F2807">
        <w:t xml:space="preserve">sponsor </w:t>
      </w:r>
      <w:r w:rsidRPr="004E6F9F">
        <w:t xml:space="preserve">notes the comments from the OPR relating to the </w:t>
      </w:r>
      <w:r w:rsidR="005F2807">
        <w:t xml:space="preserve">RMP </w:t>
      </w:r>
      <w:r w:rsidRPr="004E6F9F">
        <w:t>and would like to provide the following clarifications.</w:t>
      </w:r>
      <w:r w:rsidR="004E6F9F" w:rsidRPr="004E6F9F">
        <w:t xml:space="preserve"> </w:t>
      </w:r>
    </w:p>
    <w:p w:rsidR="004E6F9F" w:rsidRPr="004E6F9F" w:rsidRDefault="00FE0000" w:rsidP="00FD5DE2">
      <w:r w:rsidRPr="004E6F9F">
        <w:t xml:space="preserve">The Delegate notes that: </w:t>
      </w:r>
      <w:r w:rsidRPr="00FD5DE2">
        <w:rPr>
          <w:i/>
        </w:rPr>
        <w:t>“As risk minimisation for the important missing information</w:t>
      </w:r>
      <w:r w:rsidR="004E6F9F" w:rsidRPr="00FD5DE2">
        <w:rPr>
          <w:i/>
        </w:rPr>
        <w:t xml:space="preserve"> </w:t>
      </w:r>
      <w:r w:rsidRPr="00FD5DE2">
        <w:rPr>
          <w:i/>
        </w:rPr>
        <w:t>‘long term persistence of the vaccine response and need for a booster dose’ the sponsor</w:t>
      </w:r>
      <w:r w:rsidR="004E6F9F" w:rsidRPr="00FD5DE2">
        <w:rPr>
          <w:i/>
        </w:rPr>
        <w:t xml:space="preserve"> </w:t>
      </w:r>
      <w:r w:rsidRPr="00FD5DE2">
        <w:rPr>
          <w:i/>
        </w:rPr>
        <w:t>should confirm how they plan to notify prescribers and therefore patients if it is</w:t>
      </w:r>
      <w:r w:rsidR="004E6F9F" w:rsidRPr="00FD5DE2">
        <w:rPr>
          <w:i/>
        </w:rPr>
        <w:t xml:space="preserve"> </w:t>
      </w:r>
      <w:r w:rsidRPr="00FD5DE2">
        <w:rPr>
          <w:i/>
        </w:rPr>
        <w:t>determined that a booster dose is needed in the future. Such consideration should be</w:t>
      </w:r>
      <w:r w:rsidR="004E6F9F" w:rsidRPr="00FD5DE2">
        <w:rPr>
          <w:i/>
        </w:rPr>
        <w:t xml:space="preserve"> </w:t>
      </w:r>
      <w:r w:rsidRPr="00FD5DE2">
        <w:rPr>
          <w:i/>
        </w:rPr>
        <w:t>included in an amendment to the risk minimisation section of the ASA.”</w:t>
      </w:r>
    </w:p>
    <w:p w:rsidR="004E6F9F" w:rsidRPr="004E6F9F" w:rsidRDefault="005F2807" w:rsidP="00FD5DE2">
      <w:r>
        <w:t xml:space="preserve">The sponsor </w:t>
      </w:r>
      <w:r w:rsidR="004E28C5">
        <w:t>clarified</w:t>
      </w:r>
      <w:r w:rsidR="004E6F9F" w:rsidRPr="004E6F9F">
        <w:t xml:space="preserve"> that </w:t>
      </w:r>
      <w:r w:rsidR="004E28C5">
        <w:t xml:space="preserve">it </w:t>
      </w:r>
      <w:r w:rsidR="004E6F9F" w:rsidRPr="004E6F9F">
        <w:t>does commit to notify prescribers as</w:t>
      </w:r>
      <w:r w:rsidR="00FE0000" w:rsidRPr="004E6F9F">
        <w:t xml:space="preserve"> appropriate, as soon as additional long term persistence data and the need for a booster</w:t>
      </w:r>
      <w:r w:rsidR="004E6F9F" w:rsidRPr="004E6F9F">
        <w:t xml:space="preserve"> </w:t>
      </w:r>
      <w:r w:rsidR="00FE0000" w:rsidRPr="004E6F9F">
        <w:t>dose becomes available and is approved by the TGA for inclusion in the PI. The manner</w:t>
      </w:r>
      <w:r w:rsidR="004E6F9F" w:rsidRPr="004E6F9F">
        <w:t xml:space="preserve"> </w:t>
      </w:r>
      <w:r w:rsidR="00FE0000" w:rsidRPr="004E6F9F">
        <w:t>of informing prescribers can take various forms. GSK would assess at that time the best</w:t>
      </w:r>
      <w:r w:rsidR="004E6F9F" w:rsidRPr="004E6F9F">
        <w:t xml:space="preserve"> </w:t>
      </w:r>
      <w:r w:rsidR="00FE0000" w:rsidRPr="004E6F9F">
        <w:t>way to communicate the information.</w:t>
      </w:r>
      <w:r w:rsidR="004E6F9F" w:rsidRPr="004E6F9F">
        <w:t xml:space="preserve"> </w:t>
      </w:r>
    </w:p>
    <w:p w:rsidR="004E6F9F" w:rsidRPr="004E6F9F" w:rsidRDefault="00FE0000" w:rsidP="00FD5DE2">
      <w:r w:rsidRPr="004E6F9F">
        <w:t>If this proposal is acceptable to the RMP evaluator, GSK proposes to amend the</w:t>
      </w:r>
      <w:r w:rsidR="004E6F9F" w:rsidRPr="004E6F9F">
        <w:t xml:space="preserve"> </w:t>
      </w:r>
      <w:r w:rsidRPr="004E6F9F">
        <w:t>ASA to the RMP such that this commitment would be stated</w:t>
      </w:r>
      <w:r w:rsidR="004E6F9F" w:rsidRPr="004E6F9F">
        <w:t xml:space="preserve"> </w:t>
      </w:r>
      <w:r w:rsidRPr="004E6F9F">
        <w:t>therein.</w:t>
      </w:r>
      <w:r w:rsidR="00D772A9">
        <w:rPr>
          <w:rStyle w:val="FootnoteReference"/>
        </w:rPr>
        <w:footnoteReference w:id="27"/>
      </w:r>
      <w:r w:rsidR="004E6F9F" w:rsidRPr="004E6F9F">
        <w:t xml:space="preserve"> </w:t>
      </w:r>
    </w:p>
    <w:p w:rsidR="004E6F9F" w:rsidRPr="00FD5DE2" w:rsidRDefault="00FE0000" w:rsidP="00FD5DE2">
      <w:pPr>
        <w:pStyle w:val="Heading5"/>
      </w:pPr>
      <w:r w:rsidRPr="004E6F9F">
        <w:t>Conclusion</w:t>
      </w:r>
    </w:p>
    <w:p w:rsidR="00725D5D" w:rsidRDefault="00FE0000" w:rsidP="00FD5DE2">
      <w:r w:rsidRPr="004E6F9F">
        <w:t xml:space="preserve">The </w:t>
      </w:r>
      <w:r w:rsidR="005F2807">
        <w:t xml:space="preserve">sponsor </w:t>
      </w:r>
      <w:r w:rsidRPr="004E6F9F">
        <w:t xml:space="preserve">has agreed to the </w:t>
      </w:r>
      <w:r w:rsidR="005F2807">
        <w:t>D</w:t>
      </w:r>
      <w:r w:rsidRPr="004E6F9F">
        <w:t>elegates recommendations to approve the proposed</w:t>
      </w:r>
      <w:r w:rsidR="004E6F9F" w:rsidRPr="004E6F9F">
        <w:t xml:space="preserve"> </w:t>
      </w:r>
      <w:r w:rsidRPr="004E6F9F">
        <w:t xml:space="preserve">registration of </w:t>
      </w:r>
      <w:proofErr w:type="spellStart"/>
      <w:r w:rsidR="005F2807" w:rsidRPr="005F2807">
        <w:t>Nimenrix</w:t>
      </w:r>
      <w:proofErr w:type="spellEnd"/>
      <w:r w:rsidRPr="004E6F9F">
        <w:t>.</w:t>
      </w:r>
      <w:r w:rsidR="004E6F9F" w:rsidRPr="004E6F9F">
        <w:t xml:space="preserve"> </w:t>
      </w:r>
    </w:p>
    <w:p w:rsidR="004E6F9F" w:rsidRPr="004E6F9F" w:rsidRDefault="00FE0000" w:rsidP="00FD5DE2">
      <w:r w:rsidRPr="004E6F9F">
        <w:t>The P</w:t>
      </w:r>
      <w:r w:rsidR="005F2807">
        <w:t xml:space="preserve">I </w:t>
      </w:r>
      <w:r w:rsidRPr="004E6F9F">
        <w:t>has been updated to include the text as suggested by the</w:t>
      </w:r>
      <w:r w:rsidR="004E6F9F" w:rsidRPr="004E6F9F">
        <w:t xml:space="preserve"> </w:t>
      </w:r>
      <w:r w:rsidRPr="004E6F9F">
        <w:t>evaluator.</w:t>
      </w:r>
      <w:r w:rsidR="005F2807">
        <w:rPr>
          <w:rStyle w:val="FootnoteReference"/>
        </w:rPr>
        <w:footnoteReference w:id="28"/>
      </w:r>
      <w:r w:rsidRPr="004E6F9F">
        <w:t xml:space="preserve"> </w:t>
      </w:r>
    </w:p>
    <w:p w:rsidR="008E7846" w:rsidRDefault="008E7846" w:rsidP="00FD5DE2">
      <w:pPr>
        <w:pStyle w:val="Heading4"/>
      </w:pPr>
      <w:r>
        <w:t xml:space="preserve">Advisory </w:t>
      </w:r>
      <w:r w:rsidR="00FD5DE2">
        <w:t>c</w:t>
      </w:r>
      <w:r>
        <w:t xml:space="preserve">ommittee </w:t>
      </w:r>
      <w:r w:rsidR="00FD5DE2">
        <w:t>c</w:t>
      </w:r>
      <w:r>
        <w:t>onsiderations</w:t>
      </w:r>
    </w:p>
    <w:p w:rsidR="008E7846" w:rsidRPr="00E20338" w:rsidRDefault="008E7846" w:rsidP="00FD5DE2">
      <w:r w:rsidRPr="00E20338">
        <w:t>The Advisory Committee on Prescription Medicines (ACPM), having considered the evaluations and the Delegate’s overview, as well as the sponsor’s response to these documents, advised the following:</w:t>
      </w:r>
    </w:p>
    <w:p w:rsidR="00E20338" w:rsidRPr="00E20338" w:rsidRDefault="00E20338" w:rsidP="00FD5DE2">
      <w:r w:rsidRPr="00E20338">
        <w:t>The ACPM, taking into account the submitted evidence of efficacy, safet</w:t>
      </w:r>
      <w:r>
        <w:t>y and quality, agreed with the D</w:t>
      </w:r>
      <w:r w:rsidRPr="00E20338">
        <w:t xml:space="preserve">elegate and considered </w:t>
      </w:r>
      <w:proofErr w:type="spellStart"/>
      <w:r w:rsidRPr="00E20338">
        <w:t>Nimenrix</w:t>
      </w:r>
      <w:proofErr w:type="spellEnd"/>
      <w:r w:rsidRPr="00E20338">
        <w:t xml:space="preserve"> powder for injection containing the new biological entity meningococcal </w:t>
      </w:r>
      <w:r w:rsidR="00C132F2">
        <w:t xml:space="preserve">PS </w:t>
      </w:r>
      <w:r w:rsidRPr="00E20338">
        <w:t xml:space="preserve">(5 µg each of </w:t>
      </w:r>
      <w:proofErr w:type="spellStart"/>
      <w:r w:rsidRPr="00E20338">
        <w:t>serogroups</w:t>
      </w:r>
      <w:proofErr w:type="spellEnd"/>
      <w:r w:rsidRPr="00E20338">
        <w:t xml:space="preserve"> A, C, W-135 and Y) conjugated to a total of 44 µg </w:t>
      </w:r>
      <w:r w:rsidR="003A7CA4">
        <w:t xml:space="preserve">TT </w:t>
      </w:r>
      <w:r w:rsidRPr="00E20338">
        <w:t xml:space="preserve">to have an overall positive benefit–risk profile for the indication as proposed by the sponsor; </w:t>
      </w:r>
    </w:p>
    <w:p w:rsidR="00E20338" w:rsidRPr="00FD5DE2" w:rsidRDefault="00E20338" w:rsidP="00FD5DE2">
      <w:pPr>
        <w:ind w:left="720"/>
        <w:rPr>
          <w:i/>
        </w:rPr>
      </w:pPr>
      <w:proofErr w:type="spellStart"/>
      <w:r w:rsidRPr="00FD5DE2">
        <w:rPr>
          <w:i/>
        </w:rPr>
        <w:t>Nimenrix</w:t>
      </w:r>
      <w:proofErr w:type="spellEnd"/>
      <w:r w:rsidRPr="00FD5DE2">
        <w:rPr>
          <w:i/>
        </w:rPr>
        <w:t xml:space="preserve"> is indicated for active immunisation of individuals from the age of 12 months through 55 years against invasive meningococcal diseases caused by </w:t>
      </w:r>
      <w:proofErr w:type="spellStart"/>
      <w:r w:rsidRPr="00FD5DE2">
        <w:rPr>
          <w:i/>
        </w:rPr>
        <w:t>Neisseria</w:t>
      </w:r>
      <w:proofErr w:type="spellEnd"/>
      <w:r w:rsidRPr="00FD5DE2">
        <w:rPr>
          <w:i/>
        </w:rPr>
        <w:t xml:space="preserve"> </w:t>
      </w:r>
      <w:proofErr w:type="spellStart"/>
      <w:r w:rsidRPr="00FD5DE2">
        <w:rPr>
          <w:i/>
        </w:rPr>
        <w:t>meningitidis</w:t>
      </w:r>
      <w:proofErr w:type="spellEnd"/>
      <w:r w:rsidRPr="00FD5DE2">
        <w:rPr>
          <w:i/>
        </w:rPr>
        <w:t xml:space="preserve"> </w:t>
      </w:r>
      <w:proofErr w:type="spellStart"/>
      <w:r w:rsidRPr="00FD5DE2">
        <w:rPr>
          <w:i/>
        </w:rPr>
        <w:t>serogroups</w:t>
      </w:r>
      <w:proofErr w:type="spellEnd"/>
      <w:r w:rsidRPr="00FD5DE2">
        <w:rPr>
          <w:i/>
        </w:rPr>
        <w:t xml:space="preserve"> A, C, W-135 and Y</w:t>
      </w:r>
    </w:p>
    <w:p w:rsidR="00E20338" w:rsidRPr="00FD5DE2" w:rsidRDefault="00E20338" w:rsidP="00FD5DE2">
      <w:pPr>
        <w:pStyle w:val="Heading5"/>
      </w:pPr>
      <w:r w:rsidRPr="00E20338">
        <w:t>Proposed conditions of registration:</w:t>
      </w:r>
    </w:p>
    <w:p w:rsidR="00E20338" w:rsidRPr="00E20338" w:rsidRDefault="00E20338" w:rsidP="00FD5DE2">
      <w:r>
        <w:t>The ACPM agreed with the D</w:t>
      </w:r>
      <w:r w:rsidRPr="00E20338">
        <w:t xml:space="preserve">elegate on the proposed conditions of registration. </w:t>
      </w:r>
    </w:p>
    <w:p w:rsidR="00E20338" w:rsidRPr="00FD5DE2" w:rsidRDefault="00E20338" w:rsidP="00FD5DE2">
      <w:pPr>
        <w:pStyle w:val="Heading5"/>
      </w:pPr>
      <w:r w:rsidRPr="00E20338">
        <w:t xml:space="preserve">Proposed </w:t>
      </w:r>
      <w:r w:rsidR="00826445">
        <w:t xml:space="preserve">PI and </w:t>
      </w:r>
      <w:r w:rsidRPr="00E20338">
        <w:t xml:space="preserve">CMI amendments: </w:t>
      </w:r>
    </w:p>
    <w:p w:rsidR="00E20338" w:rsidRPr="00E20338" w:rsidRDefault="00E20338" w:rsidP="00FD5DE2">
      <w:r>
        <w:t>The ACPM agreed with the D</w:t>
      </w:r>
      <w:r w:rsidRPr="00E20338">
        <w:t>elegate to the proposed amendments to the PI and CMI.</w:t>
      </w:r>
    </w:p>
    <w:p w:rsidR="00E20338" w:rsidRPr="00E20338" w:rsidRDefault="00E20338" w:rsidP="00FD5DE2">
      <w:r w:rsidRPr="00E20338">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8E7846" w:rsidRPr="00FD5DE2" w:rsidRDefault="008E7846" w:rsidP="00FD5DE2">
      <w:pPr>
        <w:pStyle w:val="Heading3"/>
      </w:pPr>
      <w:bookmarkStart w:id="191" w:name="_Toc247691532"/>
      <w:bookmarkStart w:id="192" w:name="_Toc314842516"/>
      <w:bookmarkStart w:id="193" w:name="_Toc375119738"/>
      <w:bookmarkEnd w:id="123"/>
      <w:bookmarkEnd w:id="188"/>
      <w:bookmarkEnd w:id="189"/>
      <w:r>
        <w:lastRenderedPageBreak/>
        <w:t>Outcome</w:t>
      </w:r>
      <w:bookmarkEnd w:id="191"/>
      <w:bookmarkEnd w:id="192"/>
      <w:bookmarkEnd w:id="193"/>
    </w:p>
    <w:p w:rsidR="008E7846" w:rsidRPr="00092AD0" w:rsidRDefault="008E7846" w:rsidP="00FD5DE2">
      <w:r w:rsidRPr="00092AD0">
        <w:t>Based on a review of quality, safety and efficacy, TGA approved the registrat</w:t>
      </w:r>
      <w:r w:rsidR="00092AD0">
        <w:t xml:space="preserve">ion of </w:t>
      </w:r>
      <w:proofErr w:type="spellStart"/>
      <w:r w:rsidR="00E20338" w:rsidRPr="00E20338">
        <w:t>Nimenrix</w:t>
      </w:r>
      <w:proofErr w:type="spellEnd"/>
      <w:r w:rsidR="00E20338" w:rsidRPr="00E20338">
        <w:t xml:space="preserve"> </w:t>
      </w:r>
      <w:r w:rsidR="00E20338">
        <w:t>m</w:t>
      </w:r>
      <w:r w:rsidR="00092AD0" w:rsidRPr="00092AD0">
        <w:t>eningo</w:t>
      </w:r>
      <w:r w:rsidR="00E20338">
        <w:t>coccal (Groups A, C, W-135, Y) p</w:t>
      </w:r>
      <w:r w:rsidR="00092AD0" w:rsidRPr="00092AD0">
        <w:t xml:space="preserve">olysaccharide </w:t>
      </w:r>
      <w:r w:rsidR="00E20338">
        <w:t>t</w:t>
      </w:r>
      <w:r w:rsidR="00092AD0" w:rsidRPr="00092AD0">
        <w:t xml:space="preserve">etanus </w:t>
      </w:r>
      <w:proofErr w:type="spellStart"/>
      <w:r w:rsidR="00E20338">
        <w:t>t</w:t>
      </w:r>
      <w:r w:rsidR="00092AD0" w:rsidRPr="00092AD0">
        <w:t>oxoid</w:t>
      </w:r>
      <w:proofErr w:type="spellEnd"/>
      <w:r w:rsidR="00092AD0" w:rsidRPr="00092AD0">
        <w:t xml:space="preserve"> </w:t>
      </w:r>
      <w:r w:rsidR="00E20338">
        <w:t>c</w:t>
      </w:r>
      <w:r w:rsidR="00092AD0" w:rsidRPr="00092AD0">
        <w:t>onjugate</w:t>
      </w:r>
      <w:r w:rsidR="00092AD0">
        <w:t xml:space="preserve"> </w:t>
      </w:r>
      <w:r w:rsidR="00E20338">
        <w:t>v</w:t>
      </w:r>
      <w:r w:rsidR="00092AD0" w:rsidRPr="00092AD0">
        <w:t xml:space="preserve">accine, injection vial and </w:t>
      </w:r>
      <w:proofErr w:type="spellStart"/>
      <w:r w:rsidR="00092AD0" w:rsidRPr="00092AD0">
        <w:t>diluent</w:t>
      </w:r>
      <w:proofErr w:type="spellEnd"/>
      <w:r w:rsidR="00092AD0" w:rsidRPr="00092AD0">
        <w:t xml:space="preserve"> ampoule</w:t>
      </w:r>
      <w:r w:rsidR="00940AC3">
        <w:t xml:space="preserve"> or </w:t>
      </w:r>
      <w:proofErr w:type="spellStart"/>
      <w:r w:rsidR="00092AD0" w:rsidRPr="00092AD0">
        <w:t>diluent</w:t>
      </w:r>
      <w:proofErr w:type="spellEnd"/>
      <w:r w:rsidR="00092AD0" w:rsidRPr="00092AD0">
        <w:t xml:space="preserve"> </w:t>
      </w:r>
      <w:r w:rsidR="00940AC3">
        <w:t xml:space="preserve">prefilled </w:t>
      </w:r>
      <w:r w:rsidR="00092AD0" w:rsidRPr="00092AD0">
        <w:t>syringe</w:t>
      </w:r>
      <w:r w:rsidR="00E20338">
        <w:t xml:space="preserve">, </w:t>
      </w:r>
      <w:r w:rsidRPr="00092AD0">
        <w:t>indicated for:</w:t>
      </w:r>
    </w:p>
    <w:p w:rsidR="008E7846" w:rsidRPr="00FD5DE2" w:rsidRDefault="00092AD0" w:rsidP="00FD5DE2">
      <w:pPr>
        <w:ind w:left="720"/>
        <w:rPr>
          <w:i/>
        </w:rPr>
      </w:pPr>
      <w:proofErr w:type="spellStart"/>
      <w:r w:rsidRPr="00FD5DE2">
        <w:rPr>
          <w:i/>
        </w:rPr>
        <w:t>N</w:t>
      </w:r>
      <w:r w:rsidR="00D42314" w:rsidRPr="00FD5DE2">
        <w:rPr>
          <w:i/>
        </w:rPr>
        <w:t>i</w:t>
      </w:r>
      <w:r w:rsidRPr="00FD5DE2">
        <w:rPr>
          <w:i/>
        </w:rPr>
        <w:t>menrix</w:t>
      </w:r>
      <w:proofErr w:type="spellEnd"/>
      <w:r w:rsidRPr="00FD5DE2">
        <w:rPr>
          <w:i/>
        </w:rPr>
        <w:t xml:space="preserve"> is indicated for active immunisation of individuals from the age of 12 months through 55 years against invasive meningococcal diseases caused by </w:t>
      </w:r>
      <w:proofErr w:type="spellStart"/>
      <w:r w:rsidRPr="00FD5DE2">
        <w:rPr>
          <w:i/>
        </w:rPr>
        <w:t>Neisseria</w:t>
      </w:r>
      <w:proofErr w:type="spellEnd"/>
      <w:r w:rsidRPr="00FD5DE2">
        <w:rPr>
          <w:i/>
        </w:rPr>
        <w:t xml:space="preserve"> </w:t>
      </w:r>
      <w:proofErr w:type="spellStart"/>
      <w:r w:rsidRPr="00FD5DE2">
        <w:rPr>
          <w:i/>
        </w:rPr>
        <w:t>meningitidis</w:t>
      </w:r>
      <w:proofErr w:type="spellEnd"/>
      <w:r w:rsidRPr="00FD5DE2">
        <w:rPr>
          <w:i/>
        </w:rPr>
        <w:t xml:space="preserve"> </w:t>
      </w:r>
      <w:proofErr w:type="spellStart"/>
      <w:r w:rsidRPr="00FD5DE2">
        <w:rPr>
          <w:i/>
        </w:rPr>
        <w:t>serogroups</w:t>
      </w:r>
      <w:proofErr w:type="spellEnd"/>
      <w:r w:rsidRPr="00FD5DE2">
        <w:rPr>
          <w:i/>
        </w:rPr>
        <w:t xml:space="preserve"> A, C, W-135 and Y. </w:t>
      </w:r>
    </w:p>
    <w:p w:rsidR="00092AD0" w:rsidRPr="00FD5DE2" w:rsidRDefault="00092AD0" w:rsidP="00FD5DE2">
      <w:pPr>
        <w:pStyle w:val="Heading5"/>
      </w:pPr>
      <w:r>
        <w:t>Specific conditions applying to these therapeutic goods</w:t>
      </w:r>
    </w:p>
    <w:p w:rsidR="00092AD0" w:rsidRPr="00E20338" w:rsidRDefault="00092AD0" w:rsidP="00FD5DE2">
      <w:pPr>
        <w:pStyle w:val="ListBullet"/>
      </w:pPr>
      <w:r w:rsidRPr="00E20338">
        <w:t xml:space="preserve">The </w:t>
      </w:r>
      <w:proofErr w:type="spellStart"/>
      <w:r w:rsidRPr="00E20338">
        <w:t>Nimenrix</w:t>
      </w:r>
      <w:proofErr w:type="spellEnd"/>
      <w:r w:rsidRPr="00E20338">
        <w:t xml:space="preserve"> Meningococcal (Groups A, C, W-135, Y) Polysaccharide Tetanus </w:t>
      </w:r>
      <w:proofErr w:type="spellStart"/>
      <w:r w:rsidRPr="00E20338">
        <w:t>Toxoid</w:t>
      </w:r>
      <w:proofErr w:type="spellEnd"/>
      <w:r w:rsidRPr="00E20338">
        <w:t xml:space="preserve"> Conjugate Vaccine Risk Management Plan EU-RMP (Version I, dated 15 February 2012, data lock point 15 September 2010 +/- Australian-Specific Annex (</w:t>
      </w:r>
      <w:proofErr w:type="spellStart"/>
      <w:r w:rsidRPr="00E20338">
        <w:t>AsA</w:t>
      </w:r>
      <w:proofErr w:type="spellEnd"/>
      <w:r w:rsidRPr="00E20338">
        <w:t xml:space="preserve"> Version 3.0, August 2013) and any future updates, included with submission PM-2012-01958-3-2, and any subsequent revisions, as agreed with the TGA will be implemented in Australia.</w:t>
      </w:r>
    </w:p>
    <w:p w:rsidR="00092AD0" w:rsidRPr="00092AD0" w:rsidRDefault="00E20338" w:rsidP="00FD5DE2">
      <w:pPr>
        <w:pStyle w:val="ListBullet"/>
      </w:pPr>
      <w:r>
        <w:t>Batch r</w:t>
      </w:r>
      <w:r w:rsidR="00092AD0" w:rsidRPr="00092AD0">
        <w:t xml:space="preserve">elease </w:t>
      </w:r>
      <w:r>
        <w:t>t</w:t>
      </w:r>
      <w:r w:rsidR="00092AD0" w:rsidRPr="00092AD0">
        <w:t xml:space="preserve">esting by the TGA Office of </w:t>
      </w:r>
      <w:r w:rsidRPr="00092AD0">
        <w:t>Laboratories</w:t>
      </w:r>
      <w:r w:rsidR="00092AD0" w:rsidRPr="00092AD0">
        <w:t xml:space="preserve"> </w:t>
      </w:r>
      <w:r>
        <w:t>a</w:t>
      </w:r>
      <w:r w:rsidR="00092AD0" w:rsidRPr="00092AD0">
        <w:t>nd</w:t>
      </w:r>
      <w:r>
        <w:t xml:space="preserve"> </w:t>
      </w:r>
      <w:r w:rsidR="00092AD0" w:rsidRPr="00092AD0">
        <w:t>Scientific Services.</w:t>
      </w:r>
      <w:r>
        <w:rPr>
          <w:rStyle w:val="FootnoteReference"/>
        </w:rPr>
        <w:footnoteReference w:id="29"/>
      </w:r>
    </w:p>
    <w:p w:rsidR="008E7846" w:rsidRDefault="008E7846" w:rsidP="00FD5DE2">
      <w:pPr>
        <w:pStyle w:val="Heading2"/>
      </w:pPr>
      <w:bookmarkStart w:id="194" w:name="_Toc247691533"/>
      <w:bookmarkStart w:id="195" w:name="_Toc314842517"/>
      <w:bookmarkStart w:id="196" w:name="_Toc375119739"/>
      <w:r>
        <w:t>Attachment 1.</w:t>
      </w:r>
      <w:r>
        <w:tab/>
        <w:t xml:space="preserve">Product </w:t>
      </w:r>
      <w:r w:rsidR="00AA0ED0">
        <w:t>I</w:t>
      </w:r>
      <w:r>
        <w:t>nformation</w:t>
      </w:r>
      <w:bookmarkEnd w:id="194"/>
      <w:bookmarkEnd w:id="195"/>
      <w:bookmarkEnd w:id="196"/>
    </w:p>
    <w:p w:rsidR="00C80137" w:rsidRDefault="00C80137" w:rsidP="00FD5DE2">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0"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FD5DE2">
      <w:pPr>
        <w:pStyle w:val="Heading2"/>
        <w:rPr>
          <w:lang w:eastAsia="ja-JP"/>
        </w:rPr>
      </w:pPr>
      <w:bookmarkStart w:id="197" w:name="_Toc375119740"/>
      <w:r>
        <w:rPr>
          <w:lang w:eastAsia="en-AU"/>
        </w:rPr>
        <w:t>Attachment 2. Extract from the Clinical Evaluation Report</w:t>
      </w:r>
      <w:bookmarkEnd w:id="197"/>
    </w:p>
    <w:p w:rsidR="00C80137" w:rsidRPr="001D043B" w:rsidRDefault="00C80137" w:rsidP="003A7F6C">
      <w:pPr>
        <w:pStyle w:val="TableTitle"/>
        <w:sectPr w:rsidR="00C80137" w:rsidRPr="001D043B" w:rsidSect="00B452CE">
          <w:headerReference w:type="even" r:id="rId41"/>
          <w:headerReference w:type="default" r:id="rId42"/>
          <w:footerReference w:type="default" r:id="rId43"/>
          <w:headerReference w:type="first" r:id="rId44"/>
          <w:footerReference w:type="first" r:id="rId45"/>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6"/>
      <w:headerReference w:type="default" r:id="rId47"/>
      <w:footerReference w:type="default" r:id="rId48"/>
      <w:headerReference w:type="first" r:id="rId49"/>
      <w:footerReference w:type="first" r:id="rId5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474" w:rsidRDefault="00163474" w:rsidP="00C40A36">
      <w:pPr>
        <w:spacing w:after="0"/>
      </w:pPr>
      <w:r>
        <w:separator/>
      </w:r>
    </w:p>
  </w:endnote>
  <w:endnote w:type="continuationSeparator" w:id="0">
    <w:p w:rsidR="00163474" w:rsidRDefault="0016347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163474" w:rsidRPr="00487162" w:rsidTr="0053625B">
      <w:trPr>
        <w:trHeight w:val="269"/>
      </w:trPr>
      <w:tc>
        <w:tcPr>
          <w:tcW w:w="7938" w:type="dxa"/>
          <w:tcMar>
            <w:top w:w="142" w:type="dxa"/>
            <w:bottom w:w="0" w:type="dxa"/>
          </w:tcMar>
        </w:tcPr>
        <w:p w:rsidR="00163474" w:rsidRPr="00487162" w:rsidRDefault="00163474" w:rsidP="001B7354">
          <w:pPr>
            <w:pStyle w:val="Footer"/>
          </w:pPr>
          <w:proofErr w:type="spellStart"/>
          <w:r w:rsidRPr="00487162">
            <w:t>AusPAR</w:t>
          </w:r>
          <w:proofErr w:type="spellEnd"/>
          <w:r w:rsidRPr="00487162">
            <w:t xml:space="preserve"> </w:t>
          </w:r>
          <w:proofErr w:type="spellStart"/>
          <w:r w:rsidRPr="00171839">
            <w:t>Nimenrix</w:t>
          </w:r>
          <w:proofErr w:type="spellEnd"/>
          <w:r w:rsidRPr="00171839">
            <w:t xml:space="preserve"> </w:t>
          </w:r>
          <w:r w:rsidRPr="00515DA3">
            <w:rPr>
              <w:lang w:val="en-US"/>
            </w:rPr>
            <w:t>Meningococcal (groups A,</w:t>
          </w:r>
          <w:r>
            <w:rPr>
              <w:lang w:val="en-US"/>
            </w:rPr>
            <w:t xml:space="preserve"> </w:t>
          </w:r>
          <w:r w:rsidRPr="00515DA3">
            <w:rPr>
              <w:lang w:val="en-US"/>
            </w:rPr>
            <w:t>C</w:t>
          </w:r>
          <w:r>
            <w:rPr>
              <w:lang w:val="en-US"/>
            </w:rPr>
            <w:t>, W-135, Y) polysaccharide tetan</w:t>
          </w:r>
          <w:r w:rsidRPr="00515DA3">
            <w:rPr>
              <w:lang w:val="en-US"/>
            </w:rPr>
            <w:t xml:space="preserve">us </w:t>
          </w:r>
          <w:proofErr w:type="spellStart"/>
          <w:r w:rsidRPr="00515DA3">
            <w:rPr>
              <w:lang w:val="en-US"/>
            </w:rPr>
            <w:t>toxoid</w:t>
          </w:r>
          <w:proofErr w:type="spellEnd"/>
          <w:r w:rsidRPr="00515DA3">
            <w:rPr>
              <w:lang w:val="en-US"/>
            </w:rPr>
            <w:t xml:space="preserve"> </w:t>
          </w:r>
          <w:r w:rsidRPr="00515DA3">
            <w:t>conjugate</w:t>
          </w:r>
          <w:r w:rsidRPr="00515DA3">
            <w:rPr>
              <w:lang w:val="en-US"/>
            </w:rPr>
            <w:t xml:space="preserve"> vaccine</w:t>
          </w:r>
          <w:r>
            <w:br/>
          </w:r>
          <w:r w:rsidRPr="00171839">
            <w:t xml:space="preserve">GlaxoSmithKline Australia Pty Ltd </w:t>
          </w:r>
          <w:r w:rsidRPr="00487162">
            <w:t>PM-</w:t>
          </w:r>
          <w:r w:rsidRPr="00171839">
            <w:rPr>
              <w:lang w:val="en-US"/>
            </w:rPr>
            <w:t>2012-01958-3-2</w:t>
          </w:r>
          <w:r>
            <w:rPr>
              <w:lang w:val="en-US"/>
            </w:rPr>
            <w:t xml:space="preserve"> </w:t>
          </w:r>
          <w:r w:rsidRPr="00487162">
            <w:t>Date of Finalisation</w:t>
          </w:r>
          <w:r>
            <w:rPr>
              <w:lang w:val="en-US"/>
            </w:rPr>
            <w:t xml:space="preserve"> 4 December 2013</w:t>
          </w:r>
        </w:p>
      </w:tc>
      <w:tc>
        <w:tcPr>
          <w:tcW w:w="923" w:type="dxa"/>
          <w:tcMar>
            <w:top w:w="142" w:type="dxa"/>
            <w:bottom w:w="0" w:type="dxa"/>
          </w:tcMar>
        </w:tcPr>
        <w:p w:rsidR="00163474" w:rsidRPr="00487162" w:rsidRDefault="00163474" w:rsidP="00D855D4">
          <w:pPr>
            <w:pStyle w:val="Footer"/>
            <w:jc w:val="right"/>
          </w:pPr>
          <w:r w:rsidRPr="00487162">
            <w:t xml:space="preserve">Page </w:t>
          </w:r>
          <w:r>
            <w:t>2</w:t>
          </w:r>
          <w:r w:rsidRPr="00487162">
            <w:t xml:space="preserve"> of </w:t>
          </w:r>
          <w:fldSimple w:instr=" NUMPAGES  \* Arabic ">
            <w:r w:rsidR="00AD1688">
              <w:rPr>
                <w:noProof/>
              </w:rPr>
              <w:t>64</w:t>
            </w:r>
          </w:fldSimple>
        </w:p>
      </w:tc>
    </w:tr>
  </w:tbl>
  <w:p w:rsidR="00163474" w:rsidRDefault="00163474"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797"/>
      <w:gridCol w:w="1134"/>
    </w:tblGrid>
    <w:tr w:rsidR="00163474" w:rsidRPr="00515DA3" w:rsidTr="00244C38">
      <w:trPr>
        <w:trHeight w:val="269"/>
      </w:trPr>
      <w:tc>
        <w:tcPr>
          <w:tcW w:w="7797" w:type="dxa"/>
          <w:tcMar>
            <w:top w:w="142" w:type="dxa"/>
            <w:bottom w:w="0" w:type="dxa"/>
          </w:tcMar>
        </w:tcPr>
        <w:p w:rsidR="00163474" w:rsidRPr="00515DA3" w:rsidRDefault="00163474" w:rsidP="00244C38">
          <w:pPr>
            <w:pStyle w:val="Footer"/>
            <w:tabs>
              <w:tab w:val="clear" w:pos="9026"/>
              <w:tab w:val="right" w:pos="8931"/>
            </w:tabs>
            <w:ind w:right="-141"/>
          </w:pPr>
          <w:proofErr w:type="spellStart"/>
          <w:r w:rsidRPr="00515DA3">
            <w:t>AusPAR</w:t>
          </w:r>
          <w:proofErr w:type="spellEnd"/>
          <w:r w:rsidRPr="00515DA3">
            <w:t xml:space="preserve"> </w:t>
          </w:r>
          <w:proofErr w:type="spellStart"/>
          <w:r w:rsidRPr="00515DA3">
            <w:t>Nimenrix</w:t>
          </w:r>
          <w:proofErr w:type="spellEnd"/>
          <w:r w:rsidRPr="00515DA3">
            <w:t xml:space="preserve"> </w:t>
          </w:r>
          <w:r w:rsidRPr="00515DA3">
            <w:rPr>
              <w:lang w:val="en-US"/>
            </w:rPr>
            <w:t>Meningococcal (groups A,</w:t>
          </w:r>
          <w:r>
            <w:rPr>
              <w:lang w:val="en-US"/>
            </w:rPr>
            <w:t xml:space="preserve"> </w:t>
          </w:r>
          <w:r w:rsidRPr="00515DA3">
            <w:rPr>
              <w:lang w:val="en-US"/>
            </w:rPr>
            <w:t>C</w:t>
          </w:r>
          <w:r>
            <w:rPr>
              <w:lang w:val="en-US"/>
            </w:rPr>
            <w:t>, W-135, Y) polysaccharide tetan</w:t>
          </w:r>
          <w:r w:rsidRPr="00515DA3">
            <w:rPr>
              <w:lang w:val="en-US"/>
            </w:rPr>
            <w:t xml:space="preserve">us </w:t>
          </w:r>
          <w:proofErr w:type="spellStart"/>
          <w:r w:rsidRPr="00515DA3">
            <w:rPr>
              <w:lang w:val="en-US"/>
            </w:rPr>
            <w:t>toxoid</w:t>
          </w:r>
          <w:proofErr w:type="spellEnd"/>
          <w:r w:rsidRPr="00515DA3">
            <w:rPr>
              <w:lang w:val="en-US"/>
            </w:rPr>
            <w:t xml:space="preserve"> </w:t>
          </w:r>
          <w:r w:rsidRPr="00515DA3">
            <w:t>conjugate</w:t>
          </w:r>
          <w:r>
            <w:t xml:space="preserve"> </w:t>
          </w:r>
          <w:r>
            <w:rPr>
              <w:lang w:val="en-US"/>
            </w:rPr>
            <w:t>v</w:t>
          </w:r>
          <w:r w:rsidRPr="00515DA3">
            <w:rPr>
              <w:lang w:val="en-US"/>
            </w:rPr>
            <w:t>accine</w:t>
          </w:r>
          <w:r>
            <w:rPr>
              <w:lang w:val="en-US"/>
            </w:rPr>
            <w:br/>
          </w:r>
          <w:r w:rsidRPr="00515DA3">
            <w:t>GlaxoSmithKline Australia Pty Ltd PM-</w:t>
          </w:r>
          <w:r>
            <w:rPr>
              <w:lang w:val="en-US"/>
            </w:rPr>
            <w:t xml:space="preserve">2012-01958-3-2 </w:t>
          </w:r>
          <w:r w:rsidRPr="00515DA3">
            <w:t>Date of Finalisation</w:t>
          </w:r>
          <w:r>
            <w:t xml:space="preserve"> </w:t>
          </w:r>
          <w:r>
            <w:rPr>
              <w:lang w:val="en-US"/>
            </w:rPr>
            <w:t>4</w:t>
          </w:r>
          <w:r w:rsidRPr="001B7354">
            <w:rPr>
              <w:lang w:val="en-US"/>
            </w:rPr>
            <w:t xml:space="preserve"> December 2013</w:t>
          </w:r>
        </w:p>
      </w:tc>
      <w:tc>
        <w:tcPr>
          <w:tcW w:w="1134" w:type="dxa"/>
          <w:tcMar>
            <w:top w:w="142" w:type="dxa"/>
            <w:bottom w:w="0" w:type="dxa"/>
          </w:tcMar>
          <w:vAlign w:val="center"/>
        </w:tcPr>
        <w:p w:rsidR="00163474" w:rsidRPr="00515DA3" w:rsidRDefault="00163474" w:rsidP="00515DA3">
          <w:pPr>
            <w:pStyle w:val="Footer"/>
            <w:jc w:val="right"/>
          </w:pPr>
          <w:r w:rsidRPr="00515DA3">
            <w:t xml:space="preserve">Page </w:t>
          </w:r>
          <w:fldSimple w:instr="PAGE">
            <w:r w:rsidR="00AD1688">
              <w:rPr>
                <w:noProof/>
              </w:rPr>
              <w:t>3</w:t>
            </w:r>
          </w:fldSimple>
          <w:r w:rsidRPr="00515DA3">
            <w:t xml:space="preserve"> of </w:t>
          </w:r>
          <w:fldSimple w:instr=" NUMPAGES  \* Arabic ">
            <w:r w:rsidR="00AD1688">
              <w:rPr>
                <w:noProof/>
              </w:rPr>
              <w:t>64</w:t>
            </w:r>
          </w:fldSimple>
        </w:p>
      </w:tc>
    </w:tr>
  </w:tbl>
  <w:p w:rsidR="00163474" w:rsidRPr="00515DA3" w:rsidRDefault="00163474" w:rsidP="00515DA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797"/>
      <w:gridCol w:w="6237"/>
    </w:tblGrid>
    <w:tr w:rsidR="00F5637B" w:rsidRPr="00515DA3" w:rsidTr="00F5637B">
      <w:trPr>
        <w:trHeight w:val="269"/>
      </w:trPr>
      <w:tc>
        <w:tcPr>
          <w:tcW w:w="7797" w:type="dxa"/>
          <w:tcMar>
            <w:top w:w="142" w:type="dxa"/>
            <w:bottom w:w="0" w:type="dxa"/>
          </w:tcMar>
        </w:tcPr>
        <w:p w:rsidR="00F5637B" w:rsidRPr="00515DA3" w:rsidRDefault="00F5637B" w:rsidP="00244C38">
          <w:pPr>
            <w:pStyle w:val="Footer"/>
            <w:tabs>
              <w:tab w:val="clear" w:pos="9026"/>
              <w:tab w:val="right" w:pos="8931"/>
            </w:tabs>
            <w:ind w:right="-141"/>
          </w:pPr>
          <w:proofErr w:type="spellStart"/>
          <w:r w:rsidRPr="00515DA3">
            <w:t>AusPAR</w:t>
          </w:r>
          <w:proofErr w:type="spellEnd"/>
          <w:r w:rsidRPr="00515DA3">
            <w:t xml:space="preserve"> </w:t>
          </w:r>
          <w:proofErr w:type="spellStart"/>
          <w:r w:rsidRPr="00515DA3">
            <w:t>Nimenrix</w:t>
          </w:r>
          <w:proofErr w:type="spellEnd"/>
          <w:r w:rsidRPr="00515DA3">
            <w:t xml:space="preserve"> </w:t>
          </w:r>
          <w:r w:rsidRPr="00515DA3">
            <w:rPr>
              <w:lang w:val="en-US"/>
            </w:rPr>
            <w:t>Meningococcal (groups A,</w:t>
          </w:r>
          <w:r>
            <w:rPr>
              <w:lang w:val="en-US"/>
            </w:rPr>
            <w:t xml:space="preserve"> </w:t>
          </w:r>
          <w:r w:rsidRPr="00515DA3">
            <w:rPr>
              <w:lang w:val="en-US"/>
            </w:rPr>
            <w:t>C</w:t>
          </w:r>
          <w:r>
            <w:rPr>
              <w:lang w:val="en-US"/>
            </w:rPr>
            <w:t>, W-135, Y) polysaccharide tetan</w:t>
          </w:r>
          <w:r w:rsidRPr="00515DA3">
            <w:rPr>
              <w:lang w:val="en-US"/>
            </w:rPr>
            <w:t xml:space="preserve">us </w:t>
          </w:r>
          <w:proofErr w:type="spellStart"/>
          <w:r w:rsidRPr="00515DA3">
            <w:rPr>
              <w:lang w:val="en-US"/>
            </w:rPr>
            <w:t>toxoid</w:t>
          </w:r>
          <w:proofErr w:type="spellEnd"/>
          <w:r w:rsidRPr="00515DA3">
            <w:rPr>
              <w:lang w:val="en-US"/>
            </w:rPr>
            <w:t xml:space="preserve"> </w:t>
          </w:r>
          <w:r w:rsidRPr="00515DA3">
            <w:t>conjugate</w:t>
          </w:r>
          <w:r>
            <w:t xml:space="preserve"> </w:t>
          </w:r>
          <w:r>
            <w:rPr>
              <w:lang w:val="en-US"/>
            </w:rPr>
            <w:t>v</w:t>
          </w:r>
          <w:r w:rsidRPr="00515DA3">
            <w:rPr>
              <w:lang w:val="en-US"/>
            </w:rPr>
            <w:t>accine</w:t>
          </w:r>
          <w:r>
            <w:rPr>
              <w:lang w:val="en-US"/>
            </w:rPr>
            <w:br/>
          </w:r>
          <w:r w:rsidRPr="00515DA3">
            <w:t>GlaxoSmithKline Australia Pty Ltd PM-</w:t>
          </w:r>
          <w:r>
            <w:rPr>
              <w:lang w:val="en-US"/>
            </w:rPr>
            <w:t xml:space="preserve">2012-01958-3-2 </w:t>
          </w:r>
          <w:r w:rsidRPr="00515DA3">
            <w:t>Date of Finalisation</w:t>
          </w:r>
          <w:r>
            <w:t xml:space="preserve"> </w:t>
          </w:r>
          <w:r>
            <w:rPr>
              <w:lang w:val="en-US"/>
            </w:rPr>
            <w:t>4</w:t>
          </w:r>
          <w:r w:rsidRPr="001B7354">
            <w:rPr>
              <w:lang w:val="en-US"/>
            </w:rPr>
            <w:t xml:space="preserve"> December 2013</w:t>
          </w:r>
        </w:p>
      </w:tc>
      <w:tc>
        <w:tcPr>
          <w:tcW w:w="6237" w:type="dxa"/>
          <w:tcMar>
            <w:top w:w="142" w:type="dxa"/>
            <w:bottom w:w="0" w:type="dxa"/>
          </w:tcMar>
          <w:vAlign w:val="center"/>
        </w:tcPr>
        <w:p w:rsidR="00F5637B" w:rsidRPr="00515DA3" w:rsidRDefault="00F5637B" w:rsidP="00515DA3">
          <w:pPr>
            <w:pStyle w:val="Footer"/>
            <w:jc w:val="right"/>
          </w:pPr>
          <w:r w:rsidRPr="00515DA3">
            <w:t xml:space="preserve">Page </w:t>
          </w:r>
          <w:fldSimple w:instr="PAGE">
            <w:r w:rsidR="00AD1688">
              <w:rPr>
                <w:noProof/>
              </w:rPr>
              <w:t>37</w:t>
            </w:r>
          </w:fldSimple>
          <w:r w:rsidRPr="00515DA3">
            <w:t xml:space="preserve"> of </w:t>
          </w:r>
          <w:fldSimple w:instr=" NUMPAGES  \* Arabic ">
            <w:r w:rsidR="00AD1688">
              <w:rPr>
                <w:noProof/>
              </w:rPr>
              <w:t>64</w:t>
            </w:r>
          </w:fldSimple>
        </w:p>
      </w:tc>
    </w:tr>
  </w:tbl>
  <w:p w:rsidR="00F5637B" w:rsidRPr="00515DA3" w:rsidRDefault="00F5637B" w:rsidP="00515DA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797"/>
      <w:gridCol w:w="1134"/>
    </w:tblGrid>
    <w:tr w:rsidR="00F5637B" w:rsidRPr="00515DA3" w:rsidTr="00244C38">
      <w:trPr>
        <w:trHeight w:val="269"/>
      </w:trPr>
      <w:tc>
        <w:tcPr>
          <w:tcW w:w="7797" w:type="dxa"/>
          <w:tcMar>
            <w:top w:w="142" w:type="dxa"/>
            <w:bottom w:w="0" w:type="dxa"/>
          </w:tcMar>
        </w:tcPr>
        <w:p w:rsidR="00F5637B" w:rsidRPr="00515DA3" w:rsidRDefault="00F5637B" w:rsidP="00244C38">
          <w:pPr>
            <w:pStyle w:val="Footer"/>
            <w:tabs>
              <w:tab w:val="clear" w:pos="9026"/>
              <w:tab w:val="right" w:pos="8931"/>
            </w:tabs>
            <w:ind w:right="-141"/>
          </w:pPr>
          <w:proofErr w:type="spellStart"/>
          <w:r w:rsidRPr="00515DA3">
            <w:t>AusPAR</w:t>
          </w:r>
          <w:proofErr w:type="spellEnd"/>
          <w:r w:rsidRPr="00515DA3">
            <w:t xml:space="preserve"> </w:t>
          </w:r>
          <w:proofErr w:type="spellStart"/>
          <w:r w:rsidRPr="00515DA3">
            <w:t>Nimenrix</w:t>
          </w:r>
          <w:proofErr w:type="spellEnd"/>
          <w:r w:rsidRPr="00515DA3">
            <w:t xml:space="preserve"> </w:t>
          </w:r>
          <w:r w:rsidRPr="00515DA3">
            <w:rPr>
              <w:lang w:val="en-US"/>
            </w:rPr>
            <w:t>Meningococcal (groups A,</w:t>
          </w:r>
          <w:r>
            <w:rPr>
              <w:lang w:val="en-US"/>
            </w:rPr>
            <w:t xml:space="preserve"> </w:t>
          </w:r>
          <w:r w:rsidRPr="00515DA3">
            <w:rPr>
              <w:lang w:val="en-US"/>
            </w:rPr>
            <w:t>C</w:t>
          </w:r>
          <w:r>
            <w:rPr>
              <w:lang w:val="en-US"/>
            </w:rPr>
            <w:t>, W-135, Y) polysaccharide tetan</w:t>
          </w:r>
          <w:r w:rsidRPr="00515DA3">
            <w:rPr>
              <w:lang w:val="en-US"/>
            </w:rPr>
            <w:t xml:space="preserve">us </w:t>
          </w:r>
          <w:proofErr w:type="spellStart"/>
          <w:r w:rsidRPr="00515DA3">
            <w:rPr>
              <w:lang w:val="en-US"/>
            </w:rPr>
            <w:t>toxoid</w:t>
          </w:r>
          <w:proofErr w:type="spellEnd"/>
          <w:r w:rsidRPr="00515DA3">
            <w:rPr>
              <w:lang w:val="en-US"/>
            </w:rPr>
            <w:t xml:space="preserve"> </w:t>
          </w:r>
          <w:r w:rsidRPr="00515DA3">
            <w:t>conjugate</w:t>
          </w:r>
          <w:r>
            <w:t xml:space="preserve"> </w:t>
          </w:r>
          <w:r>
            <w:rPr>
              <w:lang w:val="en-US"/>
            </w:rPr>
            <w:t>v</w:t>
          </w:r>
          <w:r w:rsidRPr="00515DA3">
            <w:rPr>
              <w:lang w:val="en-US"/>
            </w:rPr>
            <w:t>accine</w:t>
          </w:r>
          <w:r>
            <w:rPr>
              <w:lang w:val="en-US"/>
            </w:rPr>
            <w:br/>
          </w:r>
          <w:r w:rsidRPr="00515DA3">
            <w:t>GlaxoSmithKline Australia Pty Ltd PM-</w:t>
          </w:r>
          <w:r>
            <w:rPr>
              <w:lang w:val="en-US"/>
            </w:rPr>
            <w:t xml:space="preserve">2012-01958-3-2 </w:t>
          </w:r>
          <w:r w:rsidRPr="00515DA3">
            <w:t>Date of Finalisation</w:t>
          </w:r>
          <w:r>
            <w:t xml:space="preserve"> </w:t>
          </w:r>
          <w:r>
            <w:rPr>
              <w:lang w:val="en-US"/>
            </w:rPr>
            <w:t>4</w:t>
          </w:r>
          <w:r w:rsidRPr="001B7354">
            <w:rPr>
              <w:lang w:val="en-US"/>
            </w:rPr>
            <w:t xml:space="preserve"> December 2013</w:t>
          </w:r>
        </w:p>
      </w:tc>
      <w:tc>
        <w:tcPr>
          <w:tcW w:w="1134" w:type="dxa"/>
          <w:tcMar>
            <w:top w:w="142" w:type="dxa"/>
            <w:bottom w:w="0" w:type="dxa"/>
          </w:tcMar>
          <w:vAlign w:val="center"/>
        </w:tcPr>
        <w:p w:rsidR="00F5637B" w:rsidRPr="00515DA3" w:rsidRDefault="00F5637B" w:rsidP="00515DA3">
          <w:pPr>
            <w:pStyle w:val="Footer"/>
            <w:jc w:val="right"/>
          </w:pPr>
          <w:r w:rsidRPr="00515DA3">
            <w:t xml:space="preserve">Page </w:t>
          </w:r>
          <w:fldSimple w:instr="PAGE">
            <w:r w:rsidR="00AD1688">
              <w:rPr>
                <w:noProof/>
              </w:rPr>
              <w:t>63</w:t>
            </w:r>
          </w:fldSimple>
          <w:r w:rsidRPr="00515DA3">
            <w:t xml:space="preserve"> of </w:t>
          </w:r>
          <w:fldSimple w:instr=" NUMPAGES  \* Arabic ">
            <w:r w:rsidR="00AD1688">
              <w:rPr>
                <w:noProof/>
              </w:rPr>
              <w:t>64</w:t>
            </w:r>
          </w:fldSimple>
        </w:p>
      </w:tc>
    </w:tr>
  </w:tbl>
  <w:p w:rsidR="00F5637B" w:rsidRPr="00515DA3" w:rsidRDefault="00F5637B" w:rsidP="00515DA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163474" w:rsidRPr="00487162" w:rsidTr="00E45619">
      <w:trPr>
        <w:trHeight w:val="269"/>
      </w:trPr>
      <w:tc>
        <w:tcPr>
          <w:tcW w:w="4519" w:type="dxa"/>
          <w:tcBorders>
            <w:top w:val="single" w:sz="4" w:space="0" w:color="auto"/>
          </w:tcBorders>
          <w:tcMar>
            <w:top w:w="142" w:type="dxa"/>
            <w:bottom w:w="0" w:type="dxa"/>
          </w:tcMar>
        </w:tcPr>
        <w:p w:rsidR="00163474" w:rsidRPr="00487162" w:rsidRDefault="00163474" w:rsidP="00FE1DEE">
          <w:pPr>
            <w:pStyle w:val="Footer"/>
          </w:pPr>
          <w:r w:rsidRPr="00487162">
            <w:t>Document title, Part #, Section # - Section title</w:t>
          </w:r>
        </w:p>
        <w:p w:rsidR="00163474" w:rsidRPr="00487162" w:rsidRDefault="00163474" w:rsidP="00FE1DEE">
          <w:pPr>
            <w:pStyle w:val="Footer"/>
          </w:pPr>
          <w:r w:rsidRPr="00487162">
            <w:t>V1.0 October 2010</w:t>
          </w:r>
        </w:p>
      </w:tc>
      <w:tc>
        <w:tcPr>
          <w:tcW w:w="4342" w:type="dxa"/>
          <w:tcBorders>
            <w:top w:val="single" w:sz="4" w:space="0" w:color="auto"/>
          </w:tcBorders>
          <w:tcMar>
            <w:top w:w="142" w:type="dxa"/>
            <w:bottom w:w="0" w:type="dxa"/>
          </w:tcMar>
        </w:tcPr>
        <w:p w:rsidR="00163474" w:rsidRPr="00487162" w:rsidRDefault="0016347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163474" w:rsidRDefault="0016347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163474" w:rsidRPr="00487162" w:rsidTr="00E45619">
              <w:trPr>
                <w:trHeight w:hRule="exact" w:val="704"/>
              </w:trPr>
              <w:tc>
                <w:tcPr>
                  <w:tcW w:w="9175" w:type="dxa"/>
                </w:tcPr>
                <w:p w:rsidR="00163474" w:rsidRPr="00487162" w:rsidRDefault="00163474" w:rsidP="008E7846">
                  <w:pPr>
                    <w:pStyle w:val="TGASignoff"/>
                  </w:pPr>
                  <w:r w:rsidRPr="00487162">
                    <w:t>Therapeutic Goods Administration</w:t>
                  </w:r>
                </w:p>
              </w:tc>
            </w:tr>
            <w:tr w:rsidR="00163474" w:rsidRPr="00487162" w:rsidTr="00E45619">
              <w:trPr>
                <w:trHeight w:val="1221"/>
              </w:trPr>
              <w:tc>
                <w:tcPr>
                  <w:tcW w:w="9175" w:type="dxa"/>
                  <w:tcMar>
                    <w:top w:w="28" w:type="dxa"/>
                  </w:tcMar>
                </w:tcPr>
                <w:p w:rsidR="00163474" w:rsidRPr="00487162" w:rsidRDefault="00163474" w:rsidP="00E45619">
                  <w:pPr>
                    <w:pStyle w:val="Address"/>
                  </w:pPr>
                  <w:r w:rsidRPr="00487162">
                    <w:t>PO Box 100 Woden ACT 2606 Australia</w:t>
                  </w:r>
                </w:p>
                <w:p w:rsidR="00163474" w:rsidRPr="00487162" w:rsidRDefault="00163474"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163474" w:rsidRPr="004C239D" w:rsidRDefault="00D20A82" w:rsidP="004C239D">
                  <w:pPr>
                    <w:pStyle w:val="Address"/>
                    <w:spacing w:line="260" w:lineRule="atLeast"/>
                    <w:rPr>
                      <w:b/>
                      <w:color w:val="0000FF"/>
                      <w:u w:val="single"/>
                    </w:rPr>
                  </w:pPr>
                  <w:hyperlink r:id="rId2" w:history="1">
                    <w:r w:rsidR="00163474" w:rsidRPr="00607888">
                      <w:rPr>
                        <w:rStyle w:val="Hyperlink"/>
                        <w:b/>
                      </w:rPr>
                      <w:t>http://www.tga.gov.au</w:t>
                    </w:r>
                  </w:hyperlink>
                </w:p>
              </w:tc>
            </w:tr>
          </w:tbl>
          <w:p w:rsidR="00163474" w:rsidRDefault="00D20A82"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163474" w:rsidTr="0010601F">
      <w:trPr>
        <w:trHeight w:val="108"/>
      </w:trPr>
      <w:tc>
        <w:tcPr>
          <w:tcW w:w="8875" w:type="dxa"/>
          <w:gridSpan w:val="2"/>
          <w:tcBorders>
            <w:bottom w:val="single" w:sz="4" w:space="0" w:color="auto"/>
          </w:tcBorders>
          <w:tcMar>
            <w:right w:w="284" w:type="dxa"/>
          </w:tcMar>
        </w:tcPr>
        <w:p w:rsidR="00163474" w:rsidRDefault="00163474" w:rsidP="006E08B3">
          <w:pPr>
            <w:pStyle w:val="Heading3"/>
          </w:pPr>
          <w:r>
            <w:t>Copyright</w:t>
          </w:r>
        </w:p>
        <w:p w:rsidR="00163474" w:rsidRDefault="00163474" w:rsidP="006E08B3">
          <w:r>
            <w:rPr>
              <w:rFonts w:cs="Arial"/>
            </w:rPr>
            <w:t>©</w:t>
          </w:r>
          <w:r>
            <w:t xml:space="preserve"> Commonwealth of Australia [add year]</w:t>
          </w:r>
        </w:p>
        <w:p w:rsidR="00163474" w:rsidRDefault="00163474" w:rsidP="006E08B3"/>
        <w:p w:rsidR="00163474" w:rsidRDefault="0016347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3474" w:rsidRDefault="00163474" w:rsidP="006E08B3"/>
        <w:p w:rsidR="00163474" w:rsidRDefault="00163474" w:rsidP="006E08B3">
          <w:pPr>
            <w:pStyle w:val="Heading3"/>
          </w:pPr>
          <w:r>
            <w:t>Confidentiality</w:t>
          </w:r>
        </w:p>
        <w:p w:rsidR="00163474" w:rsidRDefault="0016347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3474" w:rsidRDefault="00163474" w:rsidP="006E08B3"/>
        <w:p w:rsidR="00163474" w:rsidRDefault="00163474" w:rsidP="006E08B3">
          <w:r>
            <w:t>For submission made by individuals, all personal details, other than your name, will be removed from your submission before it is published on the TGA’s Internet site.</w:t>
          </w:r>
        </w:p>
        <w:p w:rsidR="00163474" w:rsidRDefault="00163474" w:rsidP="006E08B3"/>
        <w:p w:rsidR="00163474" w:rsidRDefault="0016347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63474" w:rsidTr="0010601F">
      <w:trPr>
        <w:trHeight w:val="417"/>
      </w:trPr>
      <w:tc>
        <w:tcPr>
          <w:tcW w:w="4519" w:type="dxa"/>
          <w:tcBorders>
            <w:top w:val="single" w:sz="4" w:space="0" w:color="auto"/>
          </w:tcBorders>
          <w:tcMar>
            <w:top w:w="142" w:type="dxa"/>
            <w:bottom w:w="0" w:type="dxa"/>
          </w:tcMar>
        </w:tcPr>
        <w:p w:rsidR="00163474" w:rsidRDefault="00163474" w:rsidP="006E08B3">
          <w:r>
            <w:t>Document title, Part #, Section # - Section title</w:t>
          </w:r>
        </w:p>
        <w:p w:rsidR="00163474" w:rsidRDefault="00163474" w:rsidP="006E08B3">
          <w:r>
            <w:t>V1.0 October 2010</w:t>
          </w:r>
        </w:p>
      </w:tc>
      <w:tc>
        <w:tcPr>
          <w:tcW w:w="4356" w:type="dxa"/>
          <w:tcBorders>
            <w:top w:val="single" w:sz="4" w:space="0" w:color="auto"/>
          </w:tcBorders>
          <w:tcMar>
            <w:top w:w="142" w:type="dxa"/>
            <w:bottom w:w="0" w:type="dxa"/>
          </w:tcMar>
        </w:tcPr>
        <w:p w:rsidR="00163474" w:rsidRDefault="00163474"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163474" w:rsidRDefault="0016347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474" w:rsidRDefault="00163474" w:rsidP="00C40A36">
      <w:pPr>
        <w:spacing w:after="0"/>
      </w:pPr>
      <w:r>
        <w:separator/>
      </w:r>
    </w:p>
  </w:footnote>
  <w:footnote w:type="continuationSeparator" w:id="0">
    <w:p w:rsidR="00163474" w:rsidRDefault="00163474" w:rsidP="00C40A36">
      <w:pPr>
        <w:spacing w:after="0"/>
      </w:pPr>
      <w:r>
        <w:continuationSeparator/>
      </w:r>
    </w:p>
  </w:footnote>
  <w:footnote w:id="1">
    <w:p w:rsidR="00163474" w:rsidRPr="009D0CE1" w:rsidRDefault="00163474" w:rsidP="00901136">
      <w:pPr>
        <w:pStyle w:val="FootnoteText"/>
      </w:pPr>
      <w:r w:rsidRPr="009D0CE1">
        <w:rPr>
          <w:rStyle w:val="FootnoteReference"/>
          <w:szCs w:val="18"/>
        </w:rPr>
        <w:footnoteRef/>
      </w:r>
      <w:r>
        <w:t xml:space="preserve"> Specific</w:t>
      </w:r>
      <w:r w:rsidRPr="009D0CE1">
        <w:t xml:space="preserve"> </w:t>
      </w:r>
      <w:r>
        <w:t>d</w:t>
      </w:r>
      <w:r w:rsidRPr="009D0CE1">
        <w:t xml:space="preserve">etails of recommended conditions of registration are beyond the scope of the </w:t>
      </w:r>
      <w:proofErr w:type="spellStart"/>
      <w:r w:rsidRPr="009D0CE1">
        <w:t>AusPAR</w:t>
      </w:r>
      <w:proofErr w:type="spellEnd"/>
      <w:r w:rsidRPr="009D0CE1">
        <w:t xml:space="preserve">. </w:t>
      </w:r>
    </w:p>
  </w:footnote>
  <w:footnote w:id="2">
    <w:p w:rsidR="00163474" w:rsidRPr="00901136" w:rsidRDefault="00163474" w:rsidP="00901136">
      <w:pPr>
        <w:pStyle w:val="FootnoteText"/>
        <w:rPr>
          <w:i/>
        </w:rPr>
      </w:pPr>
      <w:r w:rsidRPr="002F2F8B">
        <w:rPr>
          <w:rStyle w:val="FootnoteReference"/>
          <w:szCs w:val="18"/>
        </w:rPr>
        <w:footnoteRef/>
      </w:r>
      <w:r w:rsidRPr="002F2F8B">
        <w:t xml:space="preserve"> WHO </w:t>
      </w:r>
      <w:r w:rsidRPr="00901136">
        <w:rPr>
          <w:i/>
        </w:rPr>
        <w:t>Guidelines on Nonclinical Evaluation of Vaccines</w:t>
      </w:r>
    </w:p>
  </w:footnote>
  <w:footnote w:id="3">
    <w:p w:rsidR="00163474" w:rsidRPr="002F2F8B" w:rsidRDefault="00163474" w:rsidP="00901136">
      <w:pPr>
        <w:pStyle w:val="FootnoteText"/>
      </w:pPr>
      <w:r w:rsidRPr="002F2F8B">
        <w:rPr>
          <w:rStyle w:val="FootnoteReference"/>
          <w:szCs w:val="18"/>
        </w:rPr>
        <w:footnoteRef/>
      </w:r>
      <w:r w:rsidRPr="002F2F8B">
        <w:t xml:space="preserve"> EMEA/CPMP </w:t>
      </w:r>
      <w:r w:rsidRPr="00901136">
        <w:rPr>
          <w:i/>
        </w:rPr>
        <w:t>Note for Guidance on Preclinical Pharmacological and Toxicological testing for Vaccines</w:t>
      </w:r>
      <w:r w:rsidRPr="002F2F8B">
        <w:t xml:space="preserve"> (CPMP/SWP/465/95)</w:t>
      </w:r>
    </w:p>
  </w:footnote>
  <w:footnote w:id="4">
    <w:p w:rsidR="00163474" w:rsidRPr="00C6553C" w:rsidRDefault="00163474" w:rsidP="00C6553C">
      <w:pPr>
        <w:pStyle w:val="FootnoteText"/>
        <w:rPr>
          <w:i/>
        </w:rPr>
      </w:pPr>
      <w:r w:rsidRPr="007B631B">
        <w:rPr>
          <w:vertAlign w:val="superscript"/>
        </w:rPr>
        <w:footnoteRef/>
      </w:r>
      <w:r w:rsidRPr="00DD27A5">
        <w:t xml:space="preserve"> </w:t>
      </w:r>
      <w:r>
        <w:t xml:space="preserve">Use in pregnancy </w:t>
      </w:r>
      <w:r w:rsidRPr="00DD27A5">
        <w:t>Category B2</w:t>
      </w:r>
      <w:r>
        <w:t xml:space="preserve"> is defined as: </w:t>
      </w:r>
      <w:r w:rsidRPr="00C6553C">
        <w:rPr>
          <w:i/>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C6553C">
        <w:rPr>
          <w:i/>
        </w:rPr>
        <w:t>fetus</w:t>
      </w:r>
      <w:proofErr w:type="spellEnd"/>
      <w:r w:rsidRPr="00C6553C">
        <w:rPr>
          <w:i/>
        </w:rPr>
        <w:t xml:space="preserve"> having been observed.</w:t>
      </w:r>
    </w:p>
    <w:p w:rsidR="00163474" w:rsidRPr="00DD27A5" w:rsidRDefault="00163474" w:rsidP="00C6553C">
      <w:pPr>
        <w:pStyle w:val="FootnoteText"/>
      </w:pPr>
      <w:r w:rsidRPr="00C6553C">
        <w:rPr>
          <w:i/>
        </w:rPr>
        <w:t xml:space="preserve">Studies in animals are inadequate or may be lacking, but available data show no evidence of an increased occurrence of </w:t>
      </w:r>
      <w:proofErr w:type="spellStart"/>
      <w:r w:rsidRPr="00C6553C">
        <w:rPr>
          <w:i/>
        </w:rPr>
        <w:t>fetal</w:t>
      </w:r>
      <w:proofErr w:type="spellEnd"/>
      <w:r w:rsidRPr="00C6553C">
        <w:rPr>
          <w:i/>
        </w:rPr>
        <w:t xml:space="preserve"> damage.</w:t>
      </w:r>
    </w:p>
  </w:footnote>
  <w:footnote w:id="5">
    <w:p w:rsidR="00163474" w:rsidRPr="009232D3" w:rsidRDefault="00163474" w:rsidP="00A51259">
      <w:pPr>
        <w:pStyle w:val="FootnoteText"/>
        <w:keepLines/>
      </w:pPr>
      <w:r w:rsidRPr="009232D3">
        <w:rPr>
          <w:vertAlign w:val="superscript"/>
        </w:rPr>
        <w:footnoteRef/>
      </w:r>
      <w:r w:rsidRPr="009232D3">
        <w:rPr>
          <w:vertAlign w:val="superscript"/>
        </w:rPr>
        <w:t xml:space="preserve"> </w:t>
      </w:r>
      <w:proofErr w:type="spellStart"/>
      <w:r w:rsidRPr="009232D3">
        <w:t>Artenstein</w:t>
      </w:r>
      <w:proofErr w:type="spellEnd"/>
      <w:r w:rsidRPr="009232D3">
        <w:t xml:space="preserve"> MS, Gold R, </w:t>
      </w:r>
      <w:proofErr w:type="spellStart"/>
      <w:r w:rsidRPr="009232D3">
        <w:t>Zimmerly</w:t>
      </w:r>
      <w:proofErr w:type="spellEnd"/>
      <w:r w:rsidRPr="009232D3">
        <w:t xml:space="preserve"> JG et al. Prevention of meningococcal disease by group C PS vaccine. </w:t>
      </w:r>
      <w:r w:rsidRPr="00F66884">
        <w:rPr>
          <w:i/>
          <w:iCs/>
        </w:rPr>
        <w:t xml:space="preserve">N </w:t>
      </w:r>
      <w:proofErr w:type="spellStart"/>
      <w:r w:rsidRPr="00F66884">
        <w:rPr>
          <w:i/>
          <w:iCs/>
        </w:rPr>
        <w:t>Engl</w:t>
      </w:r>
      <w:proofErr w:type="spellEnd"/>
      <w:r w:rsidRPr="00F66884">
        <w:rPr>
          <w:i/>
          <w:iCs/>
        </w:rPr>
        <w:t xml:space="preserve"> J Med</w:t>
      </w:r>
      <w:r w:rsidRPr="009232D3">
        <w:t>. 1970; 282: 417-420.</w:t>
      </w:r>
    </w:p>
  </w:footnote>
  <w:footnote w:id="6">
    <w:p w:rsidR="00163474" w:rsidRPr="009232D3" w:rsidRDefault="00163474" w:rsidP="00A51259">
      <w:pPr>
        <w:pStyle w:val="FootnoteText"/>
        <w:keepLines/>
      </w:pPr>
      <w:r w:rsidRPr="00F66884">
        <w:rPr>
          <w:vertAlign w:val="superscript"/>
        </w:rPr>
        <w:footnoteRef/>
      </w:r>
      <w:r w:rsidRPr="009232D3">
        <w:t xml:space="preserve"> </w:t>
      </w:r>
      <w:proofErr w:type="spellStart"/>
      <w:r w:rsidRPr="009232D3">
        <w:t>Wahdan</w:t>
      </w:r>
      <w:proofErr w:type="spellEnd"/>
      <w:r w:rsidRPr="009232D3">
        <w:t xml:space="preserve"> MH, </w:t>
      </w:r>
      <w:proofErr w:type="spellStart"/>
      <w:r w:rsidRPr="009232D3">
        <w:t>Sallam</w:t>
      </w:r>
      <w:proofErr w:type="spellEnd"/>
      <w:r w:rsidRPr="009232D3">
        <w:t xml:space="preserve"> SA, Hassan MN, et al. A controlled field trial of a </w:t>
      </w:r>
      <w:proofErr w:type="spellStart"/>
      <w:r w:rsidRPr="009232D3">
        <w:t>serogroup</w:t>
      </w:r>
      <w:proofErr w:type="spellEnd"/>
      <w:r w:rsidRPr="009232D3">
        <w:t xml:space="preserve"> A meningococcal PS vaccine. </w:t>
      </w:r>
      <w:r w:rsidRPr="00F66884">
        <w:rPr>
          <w:i/>
          <w:iCs/>
        </w:rPr>
        <w:t>Bull World Health Organ</w:t>
      </w:r>
      <w:r w:rsidRPr="009232D3">
        <w:t>. 1973; 48: 667-673.</w:t>
      </w:r>
    </w:p>
  </w:footnote>
  <w:footnote w:id="7">
    <w:p w:rsidR="00163474" w:rsidRPr="009232D3" w:rsidRDefault="00163474" w:rsidP="00A51259">
      <w:pPr>
        <w:pStyle w:val="FootnoteText"/>
        <w:keepLines/>
      </w:pPr>
      <w:r w:rsidRPr="00F66884">
        <w:rPr>
          <w:vertAlign w:val="superscript"/>
        </w:rPr>
        <w:footnoteRef/>
      </w:r>
      <w:r w:rsidRPr="009232D3">
        <w:t xml:space="preserve"> </w:t>
      </w:r>
      <w:proofErr w:type="spellStart"/>
      <w:r w:rsidRPr="009232D3">
        <w:t>Wahdan</w:t>
      </w:r>
      <w:proofErr w:type="spellEnd"/>
      <w:r w:rsidRPr="009232D3">
        <w:t xml:space="preserve"> MH, </w:t>
      </w:r>
      <w:proofErr w:type="spellStart"/>
      <w:r w:rsidRPr="009232D3">
        <w:t>Sallam</w:t>
      </w:r>
      <w:proofErr w:type="spellEnd"/>
      <w:r w:rsidRPr="009232D3">
        <w:t xml:space="preserve"> SA, Hassan MN, </w:t>
      </w:r>
      <w:r w:rsidRPr="00F66884">
        <w:rPr>
          <w:i/>
          <w:iCs/>
        </w:rPr>
        <w:t>et al</w:t>
      </w:r>
      <w:r w:rsidRPr="009232D3">
        <w:t xml:space="preserve">. A second controlled field trial of a </w:t>
      </w:r>
      <w:proofErr w:type="spellStart"/>
      <w:r w:rsidRPr="009232D3">
        <w:t>serogroup</w:t>
      </w:r>
      <w:proofErr w:type="spellEnd"/>
      <w:r w:rsidRPr="009232D3">
        <w:t xml:space="preserve"> A meningococcal PS vaccine in Alexandria. </w:t>
      </w:r>
      <w:r w:rsidRPr="00F66884">
        <w:rPr>
          <w:i/>
          <w:iCs/>
        </w:rPr>
        <w:t>Bull World Health Organ</w:t>
      </w:r>
      <w:r w:rsidRPr="009232D3">
        <w:t>. 1977; 55: 645-651.</w:t>
      </w:r>
    </w:p>
  </w:footnote>
  <w:footnote w:id="8">
    <w:p w:rsidR="00163474" w:rsidRPr="009232D3" w:rsidRDefault="00163474" w:rsidP="00A51259">
      <w:pPr>
        <w:keepLines/>
        <w:spacing w:before="0" w:after="0" w:line="240" w:lineRule="auto"/>
        <w:rPr>
          <w:sz w:val="18"/>
          <w:szCs w:val="18"/>
        </w:rPr>
      </w:pPr>
      <w:r w:rsidRPr="00F66884">
        <w:rPr>
          <w:sz w:val="18"/>
          <w:szCs w:val="18"/>
          <w:vertAlign w:val="superscript"/>
        </w:rPr>
        <w:footnoteRef/>
      </w:r>
      <w:r w:rsidRPr="009232D3">
        <w:rPr>
          <w:sz w:val="18"/>
          <w:szCs w:val="18"/>
        </w:rPr>
        <w:t xml:space="preserve"> </w:t>
      </w:r>
      <w:proofErr w:type="spellStart"/>
      <w:r w:rsidRPr="009232D3">
        <w:rPr>
          <w:sz w:val="18"/>
          <w:szCs w:val="18"/>
        </w:rPr>
        <w:t>Bosmans</w:t>
      </w:r>
      <w:proofErr w:type="spellEnd"/>
      <w:r w:rsidRPr="009232D3">
        <w:rPr>
          <w:sz w:val="18"/>
          <w:szCs w:val="18"/>
        </w:rPr>
        <w:t xml:space="preserve"> E, </w:t>
      </w:r>
      <w:proofErr w:type="spellStart"/>
      <w:r w:rsidRPr="009232D3">
        <w:rPr>
          <w:sz w:val="18"/>
          <w:szCs w:val="18"/>
        </w:rPr>
        <w:t>Vimont-Vicary</w:t>
      </w:r>
      <w:proofErr w:type="spellEnd"/>
      <w:r w:rsidRPr="009232D3">
        <w:rPr>
          <w:sz w:val="18"/>
          <w:szCs w:val="18"/>
        </w:rPr>
        <w:t xml:space="preserve"> P, Andre FE et al. Protective efficacy of a bivalent (A+C) meningococcal vaccine during a cerebrospinal meningitis epidemic in Rwanda. </w:t>
      </w:r>
      <w:r w:rsidRPr="00F66884">
        <w:rPr>
          <w:i/>
          <w:iCs/>
          <w:sz w:val="18"/>
          <w:szCs w:val="18"/>
        </w:rPr>
        <w:t xml:space="preserve">Ann </w:t>
      </w:r>
      <w:proofErr w:type="spellStart"/>
      <w:r w:rsidRPr="00F66884">
        <w:rPr>
          <w:i/>
          <w:iCs/>
          <w:sz w:val="18"/>
          <w:szCs w:val="18"/>
        </w:rPr>
        <w:t>oc</w:t>
      </w:r>
      <w:proofErr w:type="spellEnd"/>
      <w:r w:rsidRPr="00F66884">
        <w:rPr>
          <w:i/>
          <w:iCs/>
          <w:sz w:val="18"/>
          <w:szCs w:val="18"/>
        </w:rPr>
        <w:t xml:space="preserve"> Belg Med Trop</w:t>
      </w:r>
      <w:r w:rsidRPr="009232D3">
        <w:rPr>
          <w:sz w:val="18"/>
          <w:szCs w:val="18"/>
        </w:rPr>
        <w:t>. 1980; 60:297-306.</w:t>
      </w:r>
    </w:p>
  </w:footnote>
  <w:footnote w:id="9">
    <w:p w:rsidR="00163474" w:rsidRPr="009232D3" w:rsidRDefault="00163474" w:rsidP="00A51259">
      <w:pPr>
        <w:keepLines/>
        <w:spacing w:before="0" w:after="0" w:line="240" w:lineRule="auto"/>
        <w:rPr>
          <w:sz w:val="18"/>
          <w:szCs w:val="18"/>
        </w:rPr>
      </w:pPr>
      <w:r w:rsidRPr="00F66884">
        <w:rPr>
          <w:sz w:val="18"/>
          <w:szCs w:val="18"/>
          <w:vertAlign w:val="superscript"/>
        </w:rPr>
        <w:footnoteRef/>
      </w:r>
      <w:r w:rsidRPr="009232D3">
        <w:rPr>
          <w:sz w:val="18"/>
          <w:szCs w:val="18"/>
        </w:rPr>
        <w:t xml:space="preserve"> Soriano-</w:t>
      </w:r>
      <w:proofErr w:type="spellStart"/>
      <w:r w:rsidRPr="009232D3">
        <w:rPr>
          <w:sz w:val="18"/>
          <w:szCs w:val="18"/>
        </w:rPr>
        <w:t>Gabarro</w:t>
      </w:r>
      <w:proofErr w:type="spellEnd"/>
      <w:r w:rsidRPr="009232D3">
        <w:rPr>
          <w:sz w:val="18"/>
          <w:szCs w:val="18"/>
        </w:rPr>
        <w:t xml:space="preserve"> M, </w:t>
      </w:r>
      <w:proofErr w:type="spellStart"/>
      <w:r w:rsidRPr="009232D3">
        <w:rPr>
          <w:sz w:val="18"/>
          <w:szCs w:val="18"/>
        </w:rPr>
        <w:t>Toé</w:t>
      </w:r>
      <w:proofErr w:type="spellEnd"/>
      <w:r w:rsidRPr="009232D3">
        <w:rPr>
          <w:sz w:val="18"/>
          <w:szCs w:val="18"/>
        </w:rPr>
        <w:t xml:space="preserve"> L, </w:t>
      </w:r>
      <w:proofErr w:type="spellStart"/>
      <w:r w:rsidRPr="009232D3">
        <w:rPr>
          <w:sz w:val="18"/>
          <w:szCs w:val="18"/>
        </w:rPr>
        <w:t>Tiendrebeogo</w:t>
      </w:r>
      <w:proofErr w:type="spellEnd"/>
      <w:r w:rsidRPr="009232D3">
        <w:rPr>
          <w:sz w:val="18"/>
          <w:szCs w:val="18"/>
        </w:rPr>
        <w:t xml:space="preserve"> S </w:t>
      </w:r>
      <w:r w:rsidRPr="00F66884">
        <w:rPr>
          <w:i/>
          <w:iCs/>
          <w:sz w:val="18"/>
          <w:szCs w:val="18"/>
        </w:rPr>
        <w:t>et al</w:t>
      </w:r>
      <w:r w:rsidRPr="009232D3">
        <w:rPr>
          <w:sz w:val="18"/>
          <w:szCs w:val="18"/>
        </w:rPr>
        <w:t xml:space="preserve">. Effectiveness of a trivalent </w:t>
      </w:r>
      <w:proofErr w:type="spellStart"/>
      <w:r w:rsidRPr="009232D3">
        <w:rPr>
          <w:sz w:val="18"/>
          <w:szCs w:val="18"/>
        </w:rPr>
        <w:t>serogroup</w:t>
      </w:r>
      <w:proofErr w:type="spellEnd"/>
      <w:r w:rsidRPr="009232D3">
        <w:rPr>
          <w:sz w:val="18"/>
          <w:szCs w:val="18"/>
        </w:rPr>
        <w:t xml:space="preserve"> A/C/W135 meningococcal PS vaccine in Burkina Faso, 2003. </w:t>
      </w:r>
      <w:r w:rsidRPr="00F66884">
        <w:rPr>
          <w:i/>
          <w:iCs/>
          <w:sz w:val="18"/>
          <w:szCs w:val="18"/>
        </w:rPr>
        <w:t>Vaccine.</w:t>
      </w:r>
      <w:r w:rsidRPr="009232D3">
        <w:rPr>
          <w:sz w:val="18"/>
          <w:szCs w:val="18"/>
        </w:rPr>
        <w:t xml:space="preserve"> 2007;25S:A92-A96.</w:t>
      </w:r>
    </w:p>
  </w:footnote>
  <w:footnote w:id="10">
    <w:p w:rsidR="00163474" w:rsidRPr="009232D3" w:rsidRDefault="00163474" w:rsidP="00A51259">
      <w:pPr>
        <w:pStyle w:val="FootnoteText"/>
      </w:pPr>
      <w:r w:rsidRPr="00F66884">
        <w:rPr>
          <w:vertAlign w:val="superscript"/>
        </w:rPr>
        <w:footnoteRef/>
      </w:r>
      <w:r w:rsidRPr="009232D3">
        <w:t xml:space="preserve"> Leach A, </w:t>
      </w:r>
      <w:proofErr w:type="spellStart"/>
      <w:r w:rsidRPr="009232D3">
        <w:t>Twumasi</w:t>
      </w:r>
      <w:proofErr w:type="spellEnd"/>
      <w:r w:rsidRPr="009232D3">
        <w:t xml:space="preserve"> PA, </w:t>
      </w:r>
      <w:proofErr w:type="spellStart"/>
      <w:r w:rsidRPr="009232D3">
        <w:t>Kumah</w:t>
      </w:r>
      <w:proofErr w:type="spellEnd"/>
      <w:r w:rsidRPr="009232D3">
        <w:t xml:space="preserve"> S </w:t>
      </w:r>
      <w:r w:rsidRPr="00F66884">
        <w:rPr>
          <w:i/>
          <w:iCs/>
        </w:rPr>
        <w:t>et al</w:t>
      </w:r>
      <w:r w:rsidRPr="009232D3">
        <w:t xml:space="preserve">. Induction of immunologic memory in Gambian children by vaccination in infancy with </w:t>
      </w:r>
      <w:proofErr w:type="spellStart"/>
      <w:r w:rsidRPr="009232D3">
        <w:t>agroup</w:t>
      </w:r>
      <w:proofErr w:type="spellEnd"/>
      <w:r w:rsidRPr="009232D3">
        <w:t xml:space="preserve"> A plus group C meningococcal PS-protein conjugate vaccine. </w:t>
      </w:r>
      <w:r w:rsidRPr="00F66884">
        <w:rPr>
          <w:i/>
          <w:iCs/>
        </w:rPr>
        <w:t>J Infect Dis</w:t>
      </w:r>
      <w:r w:rsidRPr="009232D3">
        <w:t>. 1997; 175: 200-204.</w:t>
      </w:r>
    </w:p>
  </w:footnote>
  <w:footnote w:id="11">
    <w:p w:rsidR="00163474" w:rsidRPr="009232D3" w:rsidRDefault="00163474" w:rsidP="00A51259">
      <w:pPr>
        <w:pStyle w:val="FootnoteText"/>
      </w:pPr>
      <w:r w:rsidRPr="00F66884">
        <w:rPr>
          <w:vertAlign w:val="superscript"/>
        </w:rPr>
        <w:footnoteRef/>
      </w:r>
      <w:r w:rsidRPr="009232D3">
        <w:t xml:space="preserve"> MacDonald NE, </w:t>
      </w:r>
      <w:proofErr w:type="spellStart"/>
      <w:r w:rsidRPr="009232D3">
        <w:t>Halperin</w:t>
      </w:r>
      <w:proofErr w:type="spellEnd"/>
      <w:r w:rsidRPr="009232D3">
        <w:t xml:space="preserve"> SA, Law BJ </w:t>
      </w:r>
      <w:r w:rsidRPr="00F66884">
        <w:rPr>
          <w:i/>
          <w:iCs/>
        </w:rPr>
        <w:t>et al</w:t>
      </w:r>
      <w:r w:rsidRPr="009232D3">
        <w:t xml:space="preserve">. Induction of immunologic memory by conjugate </w:t>
      </w:r>
      <w:proofErr w:type="spellStart"/>
      <w:r w:rsidRPr="009232D3">
        <w:t>vs</w:t>
      </w:r>
      <w:proofErr w:type="spellEnd"/>
      <w:r w:rsidRPr="009232D3">
        <w:t xml:space="preserve"> plain meningococcal C PS vaccine in toddlers: a randomized controlled trial. </w:t>
      </w:r>
      <w:r w:rsidRPr="00F66884">
        <w:rPr>
          <w:i/>
          <w:iCs/>
        </w:rPr>
        <w:t>JAMA</w:t>
      </w:r>
      <w:r w:rsidRPr="009232D3">
        <w:t>. 1998; 280: 1685-1689.</w:t>
      </w:r>
    </w:p>
  </w:footnote>
  <w:footnote w:id="12">
    <w:p w:rsidR="00163474" w:rsidRPr="00F66884" w:rsidRDefault="00163474" w:rsidP="00A51259">
      <w:pPr>
        <w:pStyle w:val="FootnoteText"/>
      </w:pPr>
      <w:r w:rsidRPr="00F66884">
        <w:rPr>
          <w:vertAlign w:val="superscript"/>
        </w:rPr>
        <w:footnoteRef/>
      </w:r>
      <w:r w:rsidRPr="00F66884">
        <w:t xml:space="preserve"> </w:t>
      </w:r>
      <w:proofErr w:type="spellStart"/>
      <w:r w:rsidRPr="00F66884">
        <w:t>Granoff</w:t>
      </w:r>
      <w:proofErr w:type="spellEnd"/>
      <w:r w:rsidRPr="00F66884">
        <w:t xml:space="preserve"> DM, Morgan A, </w:t>
      </w:r>
      <w:proofErr w:type="spellStart"/>
      <w:r w:rsidRPr="00F66884">
        <w:t>Welsch</w:t>
      </w:r>
      <w:proofErr w:type="spellEnd"/>
      <w:r w:rsidRPr="00F66884">
        <w:t xml:space="preserve"> JA. Immunogenicity of an investigational </w:t>
      </w:r>
      <w:proofErr w:type="spellStart"/>
      <w:r w:rsidRPr="00F66884">
        <w:t>quadrivalent</w:t>
      </w:r>
      <w:proofErr w:type="spellEnd"/>
      <w:r w:rsidRPr="00F66884">
        <w:t xml:space="preserve"> </w:t>
      </w:r>
      <w:proofErr w:type="spellStart"/>
      <w:r w:rsidRPr="00F66884">
        <w:t>Neisseria</w:t>
      </w:r>
      <w:proofErr w:type="spellEnd"/>
      <w:r w:rsidRPr="00F66884">
        <w:t xml:space="preserve"> </w:t>
      </w:r>
      <w:proofErr w:type="spellStart"/>
      <w:r w:rsidRPr="00F66884">
        <w:t>meningitidis</w:t>
      </w:r>
      <w:proofErr w:type="spellEnd"/>
      <w:r w:rsidRPr="00F66884">
        <w:t xml:space="preserve">- diphtheria </w:t>
      </w:r>
      <w:proofErr w:type="spellStart"/>
      <w:r w:rsidRPr="00F66884">
        <w:t>toxoid</w:t>
      </w:r>
      <w:proofErr w:type="spellEnd"/>
      <w:r w:rsidRPr="00F66884">
        <w:t xml:space="preserve"> conjugate vaccine in 2-year old children. </w:t>
      </w:r>
      <w:r w:rsidRPr="00F66884">
        <w:rPr>
          <w:i/>
          <w:iCs/>
        </w:rPr>
        <w:t>Vaccine</w:t>
      </w:r>
      <w:r w:rsidRPr="00F66884">
        <w:t xml:space="preserve"> 2005; 23: 4307-4314.</w:t>
      </w:r>
    </w:p>
  </w:footnote>
  <w:footnote w:id="13">
    <w:p w:rsidR="00163474" w:rsidRPr="009232D3" w:rsidRDefault="00163474" w:rsidP="00A51259">
      <w:pPr>
        <w:pStyle w:val="FootnoteText"/>
      </w:pPr>
      <w:r w:rsidRPr="00F66884">
        <w:rPr>
          <w:vertAlign w:val="superscript"/>
        </w:rPr>
        <w:footnoteRef/>
      </w:r>
      <w:r w:rsidRPr="009232D3">
        <w:t xml:space="preserve"> </w:t>
      </w:r>
      <w:proofErr w:type="spellStart"/>
      <w:r w:rsidRPr="009232D3">
        <w:t>Granoff</w:t>
      </w:r>
      <w:proofErr w:type="spellEnd"/>
      <w:r w:rsidRPr="009232D3">
        <w:t xml:space="preserve"> DM. Relative importance of complement-mediated bactericidal and </w:t>
      </w:r>
      <w:proofErr w:type="spellStart"/>
      <w:r w:rsidRPr="009232D3">
        <w:t>opsonic</w:t>
      </w:r>
      <w:proofErr w:type="spellEnd"/>
      <w:r w:rsidRPr="009232D3">
        <w:t xml:space="preserve"> activity for protection against meningococcal disease. </w:t>
      </w:r>
      <w:r w:rsidRPr="00F66884">
        <w:rPr>
          <w:i/>
          <w:iCs/>
        </w:rPr>
        <w:t>Vaccine.</w:t>
      </w:r>
      <w:r w:rsidRPr="009232D3">
        <w:t xml:space="preserve"> 2009; 27 </w:t>
      </w:r>
      <w:proofErr w:type="spellStart"/>
      <w:r w:rsidRPr="009232D3">
        <w:t>Suppl</w:t>
      </w:r>
      <w:proofErr w:type="spellEnd"/>
      <w:r w:rsidRPr="009232D3">
        <w:t xml:space="preserve"> 2:B117-25.</w:t>
      </w:r>
    </w:p>
  </w:footnote>
  <w:footnote w:id="14">
    <w:p w:rsidR="00163474" w:rsidRPr="00F66884" w:rsidRDefault="00163474" w:rsidP="00A51259">
      <w:pPr>
        <w:pStyle w:val="FootnoteText"/>
      </w:pPr>
      <w:r w:rsidRPr="00F66884">
        <w:rPr>
          <w:vertAlign w:val="superscript"/>
        </w:rPr>
        <w:footnoteRef/>
      </w:r>
      <w:r w:rsidRPr="00F66884">
        <w:t xml:space="preserve"> </w:t>
      </w:r>
      <w:proofErr w:type="spellStart"/>
      <w:r w:rsidRPr="00F66884">
        <w:t>Mohle-Boetani</w:t>
      </w:r>
      <w:proofErr w:type="spellEnd"/>
      <w:r w:rsidRPr="00F66884">
        <w:t xml:space="preserve"> JC, </w:t>
      </w:r>
      <w:proofErr w:type="spellStart"/>
      <w:r w:rsidRPr="00F66884">
        <w:t>Ajello</w:t>
      </w:r>
      <w:proofErr w:type="spellEnd"/>
      <w:r w:rsidRPr="00F66884">
        <w:t xml:space="preserve"> G, </w:t>
      </w:r>
      <w:proofErr w:type="spellStart"/>
      <w:r w:rsidRPr="00F66884">
        <w:t>Breneman</w:t>
      </w:r>
      <w:proofErr w:type="spellEnd"/>
      <w:r w:rsidRPr="00F66884">
        <w:t xml:space="preserve"> E, </w:t>
      </w:r>
      <w:r w:rsidRPr="00F66884">
        <w:rPr>
          <w:i/>
          <w:iCs/>
        </w:rPr>
        <w:t>et al</w:t>
      </w:r>
      <w:r w:rsidRPr="00F66884">
        <w:t xml:space="preserve">. Carriage of </w:t>
      </w:r>
      <w:proofErr w:type="spellStart"/>
      <w:r w:rsidRPr="00F66884">
        <w:t>Haemophilus</w:t>
      </w:r>
      <w:proofErr w:type="spellEnd"/>
      <w:r w:rsidRPr="00F66884">
        <w:t xml:space="preserve"> </w:t>
      </w:r>
      <w:proofErr w:type="spellStart"/>
      <w:r w:rsidRPr="00F66884">
        <w:t>influenzae</w:t>
      </w:r>
      <w:proofErr w:type="spellEnd"/>
      <w:r w:rsidRPr="00F66884">
        <w:t xml:space="preserve"> type b in children after widespread vaccination with conjugate </w:t>
      </w:r>
      <w:proofErr w:type="spellStart"/>
      <w:r w:rsidRPr="00F66884">
        <w:t>Haemophilus</w:t>
      </w:r>
      <w:proofErr w:type="spellEnd"/>
      <w:r w:rsidRPr="00F66884">
        <w:t xml:space="preserve"> </w:t>
      </w:r>
      <w:proofErr w:type="spellStart"/>
      <w:r w:rsidRPr="00F66884">
        <w:t>influenzae</w:t>
      </w:r>
      <w:proofErr w:type="spellEnd"/>
      <w:r w:rsidRPr="00F66884">
        <w:t xml:space="preserve"> type b vaccines. </w:t>
      </w:r>
      <w:proofErr w:type="spellStart"/>
      <w:r w:rsidRPr="00F66884">
        <w:rPr>
          <w:i/>
          <w:iCs/>
        </w:rPr>
        <w:t>Pediatr</w:t>
      </w:r>
      <w:proofErr w:type="spellEnd"/>
      <w:r w:rsidRPr="00F66884">
        <w:rPr>
          <w:i/>
          <w:iCs/>
        </w:rPr>
        <w:t xml:space="preserve"> Infect. </w:t>
      </w:r>
      <w:proofErr w:type="spellStart"/>
      <w:r w:rsidRPr="00F66884">
        <w:rPr>
          <w:i/>
          <w:iCs/>
        </w:rPr>
        <w:t>Dis</w:t>
      </w:r>
      <w:proofErr w:type="spellEnd"/>
      <w:r w:rsidRPr="00F66884">
        <w:rPr>
          <w:i/>
          <w:iCs/>
        </w:rPr>
        <w:t xml:space="preserve"> J</w:t>
      </w:r>
      <w:r w:rsidRPr="00F66884">
        <w:t>. 1993; 12: 589-593</w:t>
      </w:r>
    </w:p>
  </w:footnote>
  <w:footnote w:id="15">
    <w:p w:rsidR="00163474" w:rsidRPr="00F66884" w:rsidRDefault="00163474" w:rsidP="00A51259">
      <w:pPr>
        <w:pStyle w:val="FootnoteText"/>
      </w:pPr>
      <w:r w:rsidRPr="00F66884">
        <w:rPr>
          <w:vertAlign w:val="superscript"/>
        </w:rPr>
        <w:footnoteRef/>
      </w:r>
      <w:r w:rsidRPr="00F66884">
        <w:t xml:space="preserve"> O’Brien KL, Millar E, Zell M, </w:t>
      </w:r>
      <w:proofErr w:type="spellStart"/>
      <w:r w:rsidRPr="00F66884">
        <w:t>Bronsdon</w:t>
      </w:r>
      <w:proofErr w:type="spellEnd"/>
      <w:r w:rsidRPr="00F66884">
        <w:t xml:space="preserve"> </w:t>
      </w:r>
      <w:r w:rsidRPr="00F66884">
        <w:rPr>
          <w:i/>
          <w:iCs/>
        </w:rPr>
        <w:t>et al</w:t>
      </w:r>
      <w:r w:rsidRPr="00F66884">
        <w:t xml:space="preserve">. Effect of pneumococcal conjugate vaccine on nasopharyngeal colonization among immunized and unimmunized children. </w:t>
      </w:r>
      <w:r w:rsidRPr="00F66884">
        <w:rPr>
          <w:i/>
          <w:iCs/>
        </w:rPr>
        <w:t>J. Infect. Dis</w:t>
      </w:r>
      <w:r w:rsidRPr="00F66884">
        <w:t>. 2007; 196: 1211-1220.</w:t>
      </w:r>
    </w:p>
  </w:footnote>
  <w:footnote w:id="16">
    <w:p w:rsidR="00163474" w:rsidRPr="00F66884" w:rsidRDefault="00163474" w:rsidP="00A51259">
      <w:pPr>
        <w:pStyle w:val="FootnoteText"/>
      </w:pPr>
      <w:r w:rsidRPr="00F66884">
        <w:rPr>
          <w:vertAlign w:val="superscript"/>
        </w:rPr>
        <w:footnoteRef/>
      </w:r>
      <w:r w:rsidRPr="00F66884">
        <w:t xml:space="preserve"> Trotter CL, Ramsay ME. Vaccination against meningococcal disease in Europe: review and recommendations for the use of conjugate vaccines. </w:t>
      </w:r>
      <w:r w:rsidRPr="00F66884">
        <w:rPr>
          <w:i/>
          <w:iCs/>
        </w:rPr>
        <w:t xml:space="preserve">FEMS </w:t>
      </w:r>
      <w:proofErr w:type="spellStart"/>
      <w:r w:rsidRPr="00F66884">
        <w:rPr>
          <w:i/>
          <w:iCs/>
        </w:rPr>
        <w:t>Microbiol</w:t>
      </w:r>
      <w:proofErr w:type="spellEnd"/>
      <w:r w:rsidRPr="00F66884">
        <w:rPr>
          <w:i/>
          <w:iCs/>
        </w:rPr>
        <w:t xml:space="preserve"> Rev.</w:t>
      </w:r>
      <w:r w:rsidRPr="00F66884">
        <w:t xml:space="preserve"> 2007; 31:101-107.</w:t>
      </w:r>
    </w:p>
  </w:footnote>
  <w:footnote w:id="17">
    <w:p w:rsidR="00163474" w:rsidRPr="00F66884" w:rsidRDefault="00163474" w:rsidP="00A51259">
      <w:pPr>
        <w:pStyle w:val="FootnoteText"/>
      </w:pPr>
      <w:r w:rsidRPr="00F66884">
        <w:rPr>
          <w:vertAlign w:val="superscript"/>
        </w:rPr>
        <w:footnoteRef/>
      </w:r>
      <w:r w:rsidRPr="00F66884">
        <w:t xml:space="preserve"> Trotter CL, Maiden MCJ. </w:t>
      </w:r>
      <w:proofErr w:type="spellStart"/>
      <w:r w:rsidRPr="00F66884">
        <w:t>Meningococal</w:t>
      </w:r>
      <w:proofErr w:type="spellEnd"/>
      <w:r w:rsidRPr="00F66884">
        <w:t xml:space="preserve"> vaccines and herd immunity: lessons learned from </w:t>
      </w:r>
      <w:proofErr w:type="spellStart"/>
      <w:r w:rsidRPr="00F66884">
        <w:t>serogroup</w:t>
      </w:r>
      <w:proofErr w:type="spellEnd"/>
      <w:r w:rsidRPr="00F66884">
        <w:t xml:space="preserve"> C conjugate vaccine programs. </w:t>
      </w:r>
      <w:r w:rsidRPr="00F66884">
        <w:rPr>
          <w:i/>
          <w:iCs/>
        </w:rPr>
        <w:t>Expe</w:t>
      </w:r>
      <w:r>
        <w:rPr>
          <w:i/>
          <w:iCs/>
        </w:rPr>
        <w:t>r</w:t>
      </w:r>
      <w:r w:rsidRPr="00F66884">
        <w:rPr>
          <w:i/>
          <w:iCs/>
        </w:rPr>
        <w:t>t Rev. Vaccines.</w:t>
      </w:r>
      <w:r>
        <w:t xml:space="preserve"> </w:t>
      </w:r>
      <w:r w:rsidRPr="00F66884">
        <w:t>2009; 8(7); 851-861.</w:t>
      </w:r>
    </w:p>
  </w:footnote>
  <w:footnote w:id="18">
    <w:p w:rsidR="00163474" w:rsidRPr="00F66884" w:rsidRDefault="00163474" w:rsidP="00A51259">
      <w:pPr>
        <w:pStyle w:val="FootnoteText"/>
      </w:pPr>
      <w:r w:rsidRPr="00F66884">
        <w:rPr>
          <w:rStyle w:val="FootnoteReference"/>
          <w:szCs w:val="18"/>
        </w:rPr>
        <w:footnoteRef/>
      </w:r>
      <w:r w:rsidRPr="00F66884">
        <w:t xml:space="preserve"> World Health Organization (WHO). Meningococcal vaccines: WHO position paper, November 2011. </w:t>
      </w:r>
      <w:r w:rsidRPr="00F66884">
        <w:rPr>
          <w:i/>
          <w:iCs/>
        </w:rPr>
        <w:t xml:space="preserve">Wkly. </w:t>
      </w:r>
      <w:proofErr w:type="spellStart"/>
      <w:r w:rsidRPr="00F66884">
        <w:rPr>
          <w:i/>
          <w:iCs/>
        </w:rPr>
        <w:t>Epidemiol</w:t>
      </w:r>
      <w:proofErr w:type="spellEnd"/>
      <w:r w:rsidRPr="00F66884">
        <w:rPr>
          <w:i/>
          <w:iCs/>
        </w:rPr>
        <w:t xml:space="preserve">. Rec. </w:t>
      </w:r>
      <w:r w:rsidRPr="00F66884">
        <w:t>2011; 86:521-540.</w:t>
      </w:r>
    </w:p>
  </w:footnote>
  <w:footnote w:id="19">
    <w:p w:rsidR="00163474" w:rsidRPr="00235980" w:rsidRDefault="00163474" w:rsidP="0004216D">
      <w:pPr>
        <w:pStyle w:val="FootnoteText"/>
      </w:pPr>
      <w:r w:rsidRPr="00235980">
        <w:rPr>
          <w:rStyle w:val="FootnoteReference"/>
          <w:szCs w:val="18"/>
        </w:rPr>
        <w:footnoteRef/>
      </w:r>
      <w:r w:rsidRPr="00235980">
        <w:t xml:space="preserve"> The sponsor provided information on this point that was accepted by the OPR prior to a final decision being made on this application. </w:t>
      </w:r>
    </w:p>
  </w:footnote>
  <w:footnote w:id="20">
    <w:p w:rsidR="00163474" w:rsidRPr="00A55387" w:rsidRDefault="00163474" w:rsidP="0004216D">
      <w:pPr>
        <w:pStyle w:val="FootnoteText"/>
      </w:pPr>
      <w:r w:rsidRPr="00A55387">
        <w:rPr>
          <w:rStyle w:val="FootnoteReference"/>
          <w:szCs w:val="18"/>
        </w:rPr>
        <w:footnoteRef/>
      </w:r>
      <w:r w:rsidRPr="00A55387">
        <w:t xml:space="preserve"> World Health Organization (WHO). Meningococcal vaccines: WHO position paper,</w:t>
      </w:r>
      <w:r>
        <w:t xml:space="preserve"> </w:t>
      </w:r>
      <w:r w:rsidRPr="00A55387">
        <w:t xml:space="preserve">November 2001. </w:t>
      </w:r>
      <w:r w:rsidRPr="0015457E">
        <w:rPr>
          <w:i/>
          <w:iCs/>
        </w:rPr>
        <w:t xml:space="preserve">Wkly. </w:t>
      </w:r>
      <w:proofErr w:type="spellStart"/>
      <w:r w:rsidRPr="0015457E">
        <w:rPr>
          <w:i/>
          <w:iCs/>
        </w:rPr>
        <w:t>Epidemiol</w:t>
      </w:r>
      <w:proofErr w:type="spellEnd"/>
      <w:r w:rsidRPr="0015457E">
        <w:rPr>
          <w:i/>
          <w:iCs/>
        </w:rPr>
        <w:t>. Rec.</w:t>
      </w:r>
      <w:r w:rsidRPr="00A55387">
        <w:t xml:space="preserve"> 2011; 86:521-540.</w:t>
      </w:r>
    </w:p>
  </w:footnote>
  <w:footnote w:id="21">
    <w:p w:rsidR="00163474" w:rsidRPr="004A7BFA" w:rsidRDefault="00163474" w:rsidP="006A4578">
      <w:pPr>
        <w:pStyle w:val="FootnoteText"/>
      </w:pPr>
      <w:r w:rsidRPr="004A7BFA">
        <w:rPr>
          <w:rStyle w:val="FootnoteReference"/>
          <w:szCs w:val="18"/>
        </w:rPr>
        <w:footnoteRef/>
      </w:r>
      <w:r w:rsidRPr="004A7BFA">
        <w:t xml:space="preserve"> The sponsor provided information on this point that was accepted by the OPR prior to a final decision being made on this application. </w:t>
      </w:r>
    </w:p>
  </w:footnote>
  <w:footnote w:id="22">
    <w:p w:rsidR="00163474" w:rsidRPr="004E6F9F" w:rsidRDefault="00163474" w:rsidP="00FD5DE2">
      <w:pPr>
        <w:pStyle w:val="FootnoteText"/>
      </w:pPr>
      <w:r w:rsidRPr="004E6F9F">
        <w:rPr>
          <w:rStyle w:val="FootnoteReference"/>
          <w:szCs w:val="18"/>
        </w:rPr>
        <w:footnoteRef/>
      </w:r>
      <w:r w:rsidRPr="004E6F9F">
        <w:t xml:space="preserve"> World Health Organization</w:t>
      </w:r>
      <w:r>
        <w:t xml:space="preserve"> </w:t>
      </w:r>
      <w:r w:rsidRPr="004E6F9F">
        <w:t xml:space="preserve">(WHO). Epidemics of meningococcal disease, African meningitis. </w:t>
      </w:r>
      <w:r w:rsidRPr="00CF19B0">
        <w:rPr>
          <w:i/>
          <w:iCs/>
        </w:rPr>
        <w:t xml:space="preserve">Wkly </w:t>
      </w:r>
      <w:proofErr w:type="spellStart"/>
      <w:r w:rsidRPr="00CF19B0">
        <w:rPr>
          <w:i/>
          <w:iCs/>
        </w:rPr>
        <w:t>Epidemiol</w:t>
      </w:r>
      <w:proofErr w:type="spellEnd"/>
      <w:r w:rsidRPr="00CF19B0">
        <w:rPr>
          <w:i/>
          <w:iCs/>
        </w:rPr>
        <w:t xml:space="preserve"> Rec. </w:t>
      </w:r>
      <w:r w:rsidRPr="004E6F9F">
        <w:t>2001; 37: 281-288.</w:t>
      </w:r>
    </w:p>
  </w:footnote>
  <w:footnote w:id="23">
    <w:p w:rsidR="00163474" w:rsidRPr="004E6F9F" w:rsidRDefault="00163474" w:rsidP="00FD5DE2">
      <w:pPr>
        <w:pStyle w:val="FootnoteText"/>
      </w:pPr>
      <w:r w:rsidRPr="004E6F9F">
        <w:rPr>
          <w:rStyle w:val="FootnoteReference"/>
          <w:szCs w:val="18"/>
        </w:rPr>
        <w:footnoteRef/>
      </w:r>
      <w:r w:rsidRPr="004E6F9F">
        <w:t xml:space="preserve"> Branham SE. Serological relationships among </w:t>
      </w:r>
      <w:proofErr w:type="spellStart"/>
      <w:r w:rsidRPr="004E6F9F">
        <w:t>meningococci</w:t>
      </w:r>
      <w:proofErr w:type="spellEnd"/>
      <w:r w:rsidRPr="004E6F9F">
        <w:t xml:space="preserve">. </w:t>
      </w:r>
      <w:proofErr w:type="spellStart"/>
      <w:r w:rsidRPr="00CF19B0">
        <w:rPr>
          <w:i/>
          <w:iCs/>
        </w:rPr>
        <w:t>Bact</w:t>
      </w:r>
      <w:proofErr w:type="spellEnd"/>
      <w:r w:rsidRPr="00CF19B0">
        <w:rPr>
          <w:i/>
          <w:iCs/>
        </w:rPr>
        <w:t xml:space="preserve"> Rev</w:t>
      </w:r>
      <w:r>
        <w:t xml:space="preserve"> 1953;</w:t>
      </w:r>
      <w:r w:rsidRPr="004E6F9F">
        <w:t>17:175-188.</w:t>
      </w:r>
    </w:p>
  </w:footnote>
  <w:footnote w:id="24">
    <w:p w:rsidR="00163474" w:rsidRPr="004E6F9F" w:rsidRDefault="00163474" w:rsidP="00FD5DE2">
      <w:pPr>
        <w:pStyle w:val="FootnoteText"/>
      </w:pPr>
      <w:r w:rsidRPr="004E6F9F">
        <w:rPr>
          <w:rStyle w:val="FootnoteReference"/>
          <w:szCs w:val="18"/>
        </w:rPr>
        <w:footnoteRef/>
      </w:r>
      <w:r w:rsidRPr="004E6F9F">
        <w:t xml:space="preserve"> Anderson MS, </w:t>
      </w:r>
      <w:proofErr w:type="spellStart"/>
      <w:r w:rsidRPr="004E6F9F">
        <w:t>Glode</w:t>
      </w:r>
      <w:proofErr w:type="spellEnd"/>
      <w:r w:rsidRPr="004E6F9F">
        <w:t xml:space="preserve"> MP, Smith AL. Meningococcal disease. </w:t>
      </w:r>
      <w:r w:rsidRPr="00CF19B0">
        <w:rPr>
          <w:i/>
          <w:iCs/>
        </w:rPr>
        <w:t>In</w:t>
      </w:r>
      <w:r w:rsidRPr="004E6F9F">
        <w:t xml:space="preserve">: </w:t>
      </w:r>
      <w:proofErr w:type="spellStart"/>
      <w:r w:rsidRPr="004E6F9F">
        <w:t>Feigin</w:t>
      </w:r>
      <w:proofErr w:type="spellEnd"/>
      <w:r w:rsidRPr="004E6F9F">
        <w:t xml:space="preserve"> RD, Cherry JD, editor. Textbook of </w:t>
      </w:r>
      <w:proofErr w:type="spellStart"/>
      <w:r w:rsidRPr="004E6F9F">
        <w:t>Pediatric</w:t>
      </w:r>
      <w:proofErr w:type="spellEnd"/>
      <w:r w:rsidRPr="004E6F9F">
        <w:t xml:space="preserve"> Infectious Diseases. Philadelphia, PA:WB Saunders, 1998:1143-1156.</w:t>
      </w:r>
    </w:p>
  </w:footnote>
  <w:footnote w:id="25">
    <w:p w:rsidR="00163474" w:rsidRPr="004E6F9F" w:rsidRDefault="00163474" w:rsidP="00FD5DE2">
      <w:pPr>
        <w:pStyle w:val="FootnoteText"/>
      </w:pPr>
      <w:r w:rsidRPr="004E6F9F">
        <w:rPr>
          <w:rStyle w:val="FootnoteReference"/>
          <w:szCs w:val="18"/>
        </w:rPr>
        <w:footnoteRef/>
      </w:r>
      <w:r w:rsidRPr="004E6F9F">
        <w:t xml:space="preserve"> Van </w:t>
      </w:r>
      <w:proofErr w:type="spellStart"/>
      <w:r w:rsidRPr="004E6F9F">
        <w:t>Deuren</w:t>
      </w:r>
      <w:proofErr w:type="spellEnd"/>
      <w:r w:rsidRPr="004E6F9F">
        <w:t xml:space="preserve"> M, </w:t>
      </w:r>
      <w:proofErr w:type="spellStart"/>
      <w:r w:rsidRPr="004E6F9F">
        <w:t>Brandtzaeg</w:t>
      </w:r>
      <w:proofErr w:type="spellEnd"/>
      <w:r w:rsidRPr="004E6F9F">
        <w:t xml:space="preserve"> P and </w:t>
      </w:r>
      <w:proofErr w:type="spellStart"/>
      <w:r w:rsidRPr="004E6F9F">
        <w:t>vander</w:t>
      </w:r>
      <w:proofErr w:type="spellEnd"/>
      <w:r w:rsidRPr="004E6F9F">
        <w:t xml:space="preserve"> Meer J. Update on meningococcal disease with</w:t>
      </w:r>
      <w:r>
        <w:t xml:space="preserve"> </w:t>
      </w:r>
      <w:r w:rsidRPr="004E6F9F">
        <w:t xml:space="preserve">emphasis on pathogenesis and clinical management. </w:t>
      </w:r>
      <w:proofErr w:type="spellStart"/>
      <w:r w:rsidRPr="00CF19B0">
        <w:rPr>
          <w:i/>
          <w:iCs/>
        </w:rPr>
        <w:t>Clin</w:t>
      </w:r>
      <w:proofErr w:type="spellEnd"/>
      <w:r w:rsidRPr="00CF19B0">
        <w:rPr>
          <w:i/>
          <w:iCs/>
        </w:rPr>
        <w:t xml:space="preserve"> </w:t>
      </w:r>
      <w:proofErr w:type="spellStart"/>
      <w:r w:rsidRPr="00CF19B0">
        <w:rPr>
          <w:i/>
          <w:iCs/>
        </w:rPr>
        <w:t>Microbiol</w:t>
      </w:r>
      <w:proofErr w:type="spellEnd"/>
      <w:r w:rsidRPr="00CF19B0">
        <w:rPr>
          <w:i/>
          <w:iCs/>
        </w:rPr>
        <w:t xml:space="preserve"> Rev.</w:t>
      </w:r>
      <w:r w:rsidRPr="004E6F9F">
        <w:t>2000;13(1):144-166.</w:t>
      </w:r>
    </w:p>
  </w:footnote>
  <w:footnote w:id="26">
    <w:p w:rsidR="00163474" w:rsidRPr="004E6F9F" w:rsidRDefault="00163474" w:rsidP="00FD5DE2">
      <w:pPr>
        <w:pStyle w:val="FootnoteText"/>
      </w:pPr>
      <w:r w:rsidRPr="004E6F9F">
        <w:rPr>
          <w:rStyle w:val="FootnoteReference"/>
          <w:szCs w:val="18"/>
        </w:rPr>
        <w:footnoteRef/>
      </w:r>
      <w:r w:rsidRPr="004E6F9F">
        <w:t xml:space="preserve"> Meningococcal Disease, Section 3.12. </w:t>
      </w:r>
      <w:r w:rsidRPr="00CF19B0">
        <w:rPr>
          <w:i/>
          <w:iCs/>
        </w:rPr>
        <w:t>In</w:t>
      </w:r>
      <w:r w:rsidRPr="004E6F9F">
        <w:t xml:space="preserve">: </w:t>
      </w:r>
      <w:proofErr w:type="spellStart"/>
      <w:r w:rsidRPr="004E6F9F">
        <w:t>Jelfs</w:t>
      </w:r>
      <w:proofErr w:type="spellEnd"/>
      <w:r w:rsidRPr="004E6F9F">
        <w:t xml:space="preserve"> J, </w:t>
      </w:r>
      <w:proofErr w:type="spellStart"/>
      <w:r w:rsidRPr="004E6F9F">
        <w:t>Macartney</w:t>
      </w:r>
      <w:proofErr w:type="spellEnd"/>
      <w:r w:rsidRPr="004E6F9F">
        <w:t xml:space="preserve"> K, editors. The Australian</w:t>
      </w:r>
      <w:r>
        <w:t xml:space="preserve"> </w:t>
      </w:r>
      <w:r w:rsidRPr="004E6F9F">
        <w:t>Immunisation Handbook. 9</w:t>
      </w:r>
      <w:r w:rsidRPr="00CF19B0">
        <w:rPr>
          <w:vertAlign w:val="superscript"/>
        </w:rPr>
        <w:t>th</w:t>
      </w:r>
      <w:r>
        <w:t xml:space="preserve"> </w:t>
      </w:r>
      <w:r w:rsidRPr="004E6F9F">
        <w:t>ed. Canberra: Australian Government; 2008. p. 213-222.</w:t>
      </w:r>
    </w:p>
  </w:footnote>
  <w:footnote w:id="27">
    <w:p w:rsidR="00163474" w:rsidRPr="00FD5DE2" w:rsidRDefault="00163474" w:rsidP="00FD5DE2">
      <w:pPr>
        <w:pStyle w:val="FootnoteText"/>
        <w:rPr>
          <w:i/>
        </w:rPr>
      </w:pPr>
      <w:r w:rsidRPr="00D772A9">
        <w:rPr>
          <w:rStyle w:val="FootnoteReference"/>
          <w:szCs w:val="18"/>
        </w:rPr>
        <w:footnoteRef/>
      </w:r>
      <w:r w:rsidRPr="00D772A9">
        <w:t xml:space="preserve"> RMP evaluator response: </w:t>
      </w:r>
      <w:r w:rsidRPr="00FD5DE2">
        <w:rPr>
          <w:i/>
        </w:rPr>
        <w:t>It is acceptable to the TGA if the sponsor commits to notifying prescribers and the TGA as soon as the additional long term persistence data and the need for a booster dose become available. Please add this commitment to the Australian Specific Annex as proposed.</w:t>
      </w:r>
    </w:p>
  </w:footnote>
  <w:footnote w:id="28">
    <w:p w:rsidR="00163474" w:rsidRPr="005F2807" w:rsidRDefault="00163474" w:rsidP="00FD5DE2">
      <w:pPr>
        <w:pStyle w:val="FootnoteText"/>
      </w:pPr>
      <w:r w:rsidRPr="005F2807">
        <w:rPr>
          <w:rStyle w:val="FootnoteReference"/>
          <w:szCs w:val="18"/>
        </w:rPr>
        <w:footnoteRef/>
      </w:r>
      <w:r w:rsidRPr="005F2807">
        <w:t xml:space="preserve"> Details of revisions to product literature </w:t>
      </w:r>
      <w:r>
        <w:t xml:space="preserve">including the PI </w:t>
      </w:r>
      <w:r w:rsidRPr="005F2807">
        <w:t xml:space="preserve">are beyond the scope of the </w:t>
      </w:r>
      <w:proofErr w:type="spellStart"/>
      <w:r w:rsidRPr="005F2807">
        <w:t>AusPAR</w:t>
      </w:r>
      <w:proofErr w:type="spellEnd"/>
      <w:r w:rsidRPr="005F2807">
        <w:t>.</w:t>
      </w:r>
    </w:p>
  </w:footnote>
  <w:footnote w:id="29">
    <w:p w:rsidR="00163474" w:rsidRPr="00E20338" w:rsidRDefault="00163474" w:rsidP="00C87210">
      <w:pPr>
        <w:pStyle w:val="FootnoteText"/>
      </w:pPr>
      <w:r w:rsidRPr="00E20338">
        <w:rPr>
          <w:rStyle w:val="FootnoteReference"/>
          <w:szCs w:val="18"/>
        </w:rPr>
        <w:footnoteRef/>
      </w:r>
      <w:r w:rsidRPr="00E20338">
        <w:t xml:space="preserve"> Specific details of these conditions and of other conditions of registration for therapeutic goods are beyond the scope of the </w:t>
      </w:r>
      <w:proofErr w:type="spellStart"/>
      <w:r w:rsidRPr="00E20338">
        <w:t>AusPAR</w:t>
      </w:r>
      <w:proofErr w:type="spellEnd"/>
      <w:r w:rsidRPr="00E20338">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163474" w:rsidRDefault="0040173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474" w:rsidRDefault="00163474" w:rsidP="006E08B3">
    <w:r>
      <w:t>Therapeutic Goods Administration</w:t>
    </w:r>
  </w:p>
  <w:p w:rsidR="00163474" w:rsidRDefault="0016347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1CC12B6"/>
    <w:lvl w:ilvl="0">
      <w:start w:val="1"/>
      <w:numFmt w:val="decimal"/>
      <w:lvlText w:val="%1."/>
      <w:lvlJc w:val="left"/>
      <w:pPr>
        <w:tabs>
          <w:tab w:val="num" w:pos="1492"/>
        </w:tabs>
        <w:ind w:left="1492" w:hanging="360"/>
      </w:pPr>
    </w:lvl>
  </w:abstractNum>
  <w:abstractNum w:abstractNumId="1">
    <w:nsid w:val="FFFFFF7D"/>
    <w:multiLevelType w:val="singleLevel"/>
    <w:tmpl w:val="D8F27280"/>
    <w:lvl w:ilvl="0">
      <w:start w:val="1"/>
      <w:numFmt w:val="decimal"/>
      <w:lvlText w:val="%1."/>
      <w:lvlJc w:val="left"/>
      <w:pPr>
        <w:tabs>
          <w:tab w:val="num" w:pos="1209"/>
        </w:tabs>
        <w:ind w:left="1209" w:hanging="360"/>
      </w:pPr>
    </w:lvl>
  </w:abstractNum>
  <w:abstractNum w:abstractNumId="2">
    <w:nsid w:val="FFFFFF7E"/>
    <w:multiLevelType w:val="singleLevel"/>
    <w:tmpl w:val="F280DB0E"/>
    <w:lvl w:ilvl="0">
      <w:start w:val="1"/>
      <w:numFmt w:val="decimal"/>
      <w:lvlText w:val="%1."/>
      <w:lvlJc w:val="left"/>
      <w:pPr>
        <w:tabs>
          <w:tab w:val="num" w:pos="926"/>
        </w:tabs>
        <w:ind w:left="926" w:hanging="360"/>
      </w:pPr>
    </w:lvl>
  </w:abstractNum>
  <w:abstractNum w:abstractNumId="3">
    <w:nsid w:val="FFFFFF7F"/>
    <w:multiLevelType w:val="singleLevel"/>
    <w:tmpl w:val="7804A508"/>
    <w:lvl w:ilvl="0">
      <w:start w:val="1"/>
      <w:numFmt w:val="decimal"/>
      <w:lvlText w:val="%1."/>
      <w:lvlJc w:val="left"/>
      <w:pPr>
        <w:tabs>
          <w:tab w:val="num" w:pos="643"/>
        </w:tabs>
        <w:ind w:left="643" w:hanging="360"/>
      </w:pPr>
    </w:lvl>
  </w:abstractNum>
  <w:abstractNum w:abstractNumId="4">
    <w:nsid w:val="FFFFFF80"/>
    <w:multiLevelType w:val="singleLevel"/>
    <w:tmpl w:val="01C2B9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80B99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0C2EFBA"/>
    <w:lvl w:ilvl="0">
      <w:start w:val="1"/>
      <w:numFmt w:val="decimal"/>
      <w:lvlText w:val="%1."/>
      <w:lvlJc w:val="left"/>
      <w:pPr>
        <w:tabs>
          <w:tab w:val="num" w:pos="360"/>
        </w:tabs>
        <w:ind w:left="360" w:hanging="360"/>
      </w:pPr>
    </w:lvl>
  </w:abstractNum>
  <w:abstractNum w:abstractNumId="7">
    <w:nsid w:val="02A11274"/>
    <w:multiLevelType w:val="hybridMultilevel"/>
    <w:tmpl w:val="47366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7CF11D9"/>
    <w:multiLevelType w:val="hybridMultilevel"/>
    <w:tmpl w:val="AA60A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17106F"/>
    <w:multiLevelType w:val="hybridMultilevel"/>
    <w:tmpl w:val="5F68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4E2860"/>
    <w:multiLevelType w:val="hybridMultilevel"/>
    <w:tmpl w:val="6A4ECFC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202268E2"/>
    <w:multiLevelType w:val="hybridMultilevel"/>
    <w:tmpl w:val="F41CA04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B8F11FD"/>
    <w:multiLevelType w:val="hybridMultilevel"/>
    <w:tmpl w:val="A266C55C"/>
    <w:lvl w:ilvl="0" w:tplc="7076CB2E">
      <w:numFmt w:val="bullet"/>
      <w:lvlText w:val="•"/>
      <w:lvlJc w:val="left"/>
      <w:pPr>
        <w:ind w:left="720" w:hanging="360"/>
      </w:pPr>
      <w:rPr>
        <w:rFonts w:ascii="Times New Roman" w:eastAsia="SymbolMT" w:hAnsi="Times New Roman" w:cs="Times New Roman" w:hint="default"/>
        <w:color w:val="000000"/>
        <w:sz w:val="24"/>
        <w:szCs w:val="24"/>
      </w:rPr>
    </w:lvl>
    <w:lvl w:ilvl="1" w:tplc="0C090003">
      <w:start w:val="1"/>
      <w:numFmt w:val="decimal"/>
      <w:lvlText w:val="%2."/>
      <w:lvlJc w:val="left"/>
      <w:pPr>
        <w:tabs>
          <w:tab w:val="num" w:pos="1800"/>
        </w:tabs>
        <w:ind w:left="1800" w:hanging="360"/>
      </w:p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18">
    <w:nsid w:val="3C8C7C07"/>
    <w:multiLevelType w:val="hybridMultilevel"/>
    <w:tmpl w:val="E6363BAA"/>
    <w:lvl w:ilvl="0" w:tplc="E3F01CE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270264"/>
    <w:multiLevelType w:val="hybridMultilevel"/>
    <w:tmpl w:val="C38E9FE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489B15D7"/>
    <w:multiLevelType w:val="hybridMultilevel"/>
    <w:tmpl w:val="F1B8C6F2"/>
    <w:lvl w:ilvl="0" w:tplc="D00860B4">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E3F01CE0">
      <w:start w:val="1"/>
      <w:numFmt w:val="bullet"/>
      <w:lvlText w:val=""/>
      <w:lvlJc w:val="left"/>
      <w:pPr>
        <w:tabs>
          <w:tab w:val="num" w:pos="3196"/>
        </w:tabs>
        <w:ind w:left="3196" w:hanging="360"/>
      </w:pPr>
      <w:rPr>
        <w:rFonts w:ascii="Symbol" w:hAnsi="Symbol" w:hint="default"/>
        <w:color w:val="auto"/>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4F496271"/>
    <w:multiLevelType w:val="hybridMultilevel"/>
    <w:tmpl w:val="9AA66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E402A9"/>
    <w:multiLevelType w:val="hybridMultilevel"/>
    <w:tmpl w:val="6E92639E"/>
    <w:lvl w:ilvl="0" w:tplc="BF56FA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4376506"/>
    <w:multiLevelType w:val="hybridMultilevel"/>
    <w:tmpl w:val="13CA68A0"/>
    <w:lvl w:ilvl="0" w:tplc="BB0AEF4E">
      <w:start w:val="1"/>
      <w:numFmt w:val="decimal"/>
      <w:lvlText w:val="%1."/>
      <w:lvlJc w:val="left"/>
      <w:pPr>
        <w:ind w:left="1125"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nsid w:val="663F595D"/>
    <w:multiLevelType w:val="hybridMultilevel"/>
    <w:tmpl w:val="86B69502"/>
    <w:lvl w:ilvl="0" w:tplc="BF56FAA2">
      <w:start w:val="1"/>
      <w:numFmt w:val="bullet"/>
      <w:pStyle w:val="Instructions2"/>
      <w:lvlText w:val="­"/>
      <w:lvlJc w:val="left"/>
      <w:pPr>
        <w:ind w:left="644" w:hanging="360"/>
      </w:pPr>
      <w:rPr>
        <w:rFonts w:ascii="Calibri" w:hAnsi="Calibri" w:hint="default"/>
      </w:rPr>
    </w:lvl>
    <w:lvl w:ilvl="1" w:tplc="0C090019" w:tentative="1">
      <w:start w:val="1"/>
      <w:numFmt w:val="bullet"/>
      <w:lvlText w:val="o"/>
      <w:lvlJc w:val="left"/>
      <w:pPr>
        <w:ind w:left="1610" w:hanging="360"/>
      </w:pPr>
      <w:rPr>
        <w:rFonts w:ascii="Courier New" w:hAnsi="Courier New" w:cs="Courier New" w:hint="default"/>
      </w:rPr>
    </w:lvl>
    <w:lvl w:ilvl="2" w:tplc="0C09001B" w:tentative="1">
      <w:start w:val="1"/>
      <w:numFmt w:val="bullet"/>
      <w:lvlText w:val=""/>
      <w:lvlJc w:val="left"/>
      <w:pPr>
        <w:ind w:left="2330" w:hanging="360"/>
      </w:pPr>
      <w:rPr>
        <w:rFonts w:ascii="Wingdings" w:hAnsi="Wingdings" w:hint="default"/>
      </w:rPr>
    </w:lvl>
    <w:lvl w:ilvl="3" w:tplc="0C09000F" w:tentative="1">
      <w:start w:val="1"/>
      <w:numFmt w:val="bullet"/>
      <w:lvlText w:val=""/>
      <w:lvlJc w:val="left"/>
      <w:pPr>
        <w:ind w:left="3050" w:hanging="360"/>
      </w:pPr>
      <w:rPr>
        <w:rFonts w:ascii="Symbol" w:hAnsi="Symbol" w:hint="default"/>
      </w:rPr>
    </w:lvl>
    <w:lvl w:ilvl="4" w:tplc="0C090019" w:tentative="1">
      <w:start w:val="1"/>
      <w:numFmt w:val="bullet"/>
      <w:lvlText w:val="o"/>
      <w:lvlJc w:val="left"/>
      <w:pPr>
        <w:ind w:left="3770" w:hanging="360"/>
      </w:pPr>
      <w:rPr>
        <w:rFonts w:ascii="Courier New" w:hAnsi="Courier New" w:cs="Courier New" w:hint="default"/>
      </w:rPr>
    </w:lvl>
    <w:lvl w:ilvl="5" w:tplc="0C09001B" w:tentative="1">
      <w:start w:val="1"/>
      <w:numFmt w:val="bullet"/>
      <w:lvlText w:val=""/>
      <w:lvlJc w:val="left"/>
      <w:pPr>
        <w:ind w:left="4490" w:hanging="360"/>
      </w:pPr>
      <w:rPr>
        <w:rFonts w:ascii="Wingdings" w:hAnsi="Wingdings" w:hint="default"/>
      </w:rPr>
    </w:lvl>
    <w:lvl w:ilvl="6" w:tplc="0C09000F" w:tentative="1">
      <w:start w:val="1"/>
      <w:numFmt w:val="bullet"/>
      <w:lvlText w:val=""/>
      <w:lvlJc w:val="left"/>
      <w:pPr>
        <w:ind w:left="5210" w:hanging="360"/>
      </w:pPr>
      <w:rPr>
        <w:rFonts w:ascii="Symbol" w:hAnsi="Symbol" w:hint="default"/>
      </w:rPr>
    </w:lvl>
    <w:lvl w:ilvl="7" w:tplc="0C090019" w:tentative="1">
      <w:start w:val="1"/>
      <w:numFmt w:val="bullet"/>
      <w:lvlText w:val="o"/>
      <w:lvlJc w:val="left"/>
      <w:pPr>
        <w:ind w:left="5930" w:hanging="360"/>
      </w:pPr>
      <w:rPr>
        <w:rFonts w:ascii="Courier New" w:hAnsi="Courier New" w:cs="Courier New" w:hint="default"/>
      </w:rPr>
    </w:lvl>
    <w:lvl w:ilvl="8" w:tplc="0C09001B" w:tentative="1">
      <w:start w:val="1"/>
      <w:numFmt w:val="bullet"/>
      <w:lvlText w:val=""/>
      <w:lvlJc w:val="left"/>
      <w:pPr>
        <w:ind w:left="6650" w:hanging="360"/>
      </w:pPr>
      <w:rPr>
        <w:rFonts w:ascii="Wingdings" w:hAnsi="Wingdings" w:hint="default"/>
      </w:rPr>
    </w:lvl>
  </w:abstractNum>
  <w:abstractNum w:abstractNumId="25">
    <w:nsid w:val="6D214E8B"/>
    <w:multiLevelType w:val="hybridMultilevel"/>
    <w:tmpl w:val="4426C4F8"/>
    <w:lvl w:ilvl="0" w:tplc="D3142EF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0"/>
  </w:num>
  <w:num w:numId="4">
    <w:abstractNumId w:val="9"/>
  </w:num>
  <w:num w:numId="5">
    <w:abstractNumId w:val="11"/>
  </w:num>
  <w:num w:numId="6">
    <w:abstractNumId w:val="7"/>
  </w:num>
  <w:num w:numId="7">
    <w:abstractNumId w:val="21"/>
  </w:num>
  <w:num w:numId="8">
    <w:abstractNumId w:val="22"/>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5"/>
  </w:num>
  <w:num w:numId="15">
    <w:abstractNumId w:val="16"/>
  </w:num>
  <w:num w:numId="16">
    <w:abstractNumId w:val="8"/>
  </w:num>
  <w:num w:numId="17">
    <w:abstractNumId w:val="24"/>
  </w:num>
  <w:num w:numId="18">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6"/>
  </w:num>
  <w:num w:numId="27">
    <w:abstractNumId w:val="3"/>
  </w:num>
  <w:num w:numId="28">
    <w:abstractNumId w:val="2"/>
  </w:num>
  <w:num w:numId="29">
    <w:abstractNumId w:val="1"/>
  </w:num>
  <w:num w:numId="30">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86018">
      <o:colormenu v:ext="edit" fillcolor="none [3206]"/>
    </o:shapedefaults>
  </w:hdrShapeDefaults>
  <w:footnotePr>
    <w:footnote w:id="-1"/>
    <w:footnote w:id="0"/>
  </w:footnotePr>
  <w:endnotePr>
    <w:endnote w:id="-1"/>
    <w:endnote w:id="0"/>
  </w:endnotePr>
  <w:compat/>
  <w:rsids>
    <w:rsidRoot w:val="00171839"/>
    <w:rsid w:val="00002031"/>
    <w:rsid w:val="00004734"/>
    <w:rsid w:val="00006B22"/>
    <w:rsid w:val="00010757"/>
    <w:rsid w:val="0001276A"/>
    <w:rsid w:val="000246AE"/>
    <w:rsid w:val="00025C67"/>
    <w:rsid w:val="0004216D"/>
    <w:rsid w:val="0005559E"/>
    <w:rsid w:val="00061A21"/>
    <w:rsid w:val="00077775"/>
    <w:rsid w:val="00081A59"/>
    <w:rsid w:val="000859CF"/>
    <w:rsid w:val="00090471"/>
    <w:rsid w:val="00092AD0"/>
    <w:rsid w:val="00096AA7"/>
    <w:rsid w:val="000A15E3"/>
    <w:rsid w:val="000A2693"/>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357EB"/>
    <w:rsid w:val="00135DE5"/>
    <w:rsid w:val="0014197B"/>
    <w:rsid w:val="00144056"/>
    <w:rsid w:val="001447CD"/>
    <w:rsid w:val="00144A98"/>
    <w:rsid w:val="001516B1"/>
    <w:rsid w:val="00153AFE"/>
    <w:rsid w:val="0015457E"/>
    <w:rsid w:val="00154EBB"/>
    <w:rsid w:val="00156316"/>
    <w:rsid w:val="00162D14"/>
    <w:rsid w:val="00163474"/>
    <w:rsid w:val="00165389"/>
    <w:rsid w:val="00167BD3"/>
    <w:rsid w:val="00171839"/>
    <w:rsid w:val="0017693F"/>
    <w:rsid w:val="0018110E"/>
    <w:rsid w:val="00181684"/>
    <w:rsid w:val="001843C6"/>
    <w:rsid w:val="001850E0"/>
    <w:rsid w:val="00193F62"/>
    <w:rsid w:val="001A1823"/>
    <w:rsid w:val="001A2158"/>
    <w:rsid w:val="001A2267"/>
    <w:rsid w:val="001A525F"/>
    <w:rsid w:val="001B09F9"/>
    <w:rsid w:val="001B6448"/>
    <w:rsid w:val="001B7354"/>
    <w:rsid w:val="001C5F70"/>
    <w:rsid w:val="001E07CF"/>
    <w:rsid w:val="001E1936"/>
    <w:rsid w:val="001E59F1"/>
    <w:rsid w:val="001E74FA"/>
    <w:rsid w:val="001F49EB"/>
    <w:rsid w:val="001F6CBA"/>
    <w:rsid w:val="001F74BB"/>
    <w:rsid w:val="00201D4E"/>
    <w:rsid w:val="002076C9"/>
    <w:rsid w:val="00210EE9"/>
    <w:rsid w:val="00220B8A"/>
    <w:rsid w:val="002257F3"/>
    <w:rsid w:val="00233456"/>
    <w:rsid w:val="002339A5"/>
    <w:rsid w:val="00234EFE"/>
    <w:rsid w:val="00235980"/>
    <w:rsid w:val="00244C38"/>
    <w:rsid w:val="0025392C"/>
    <w:rsid w:val="00257848"/>
    <w:rsid w:val="0027084A"/>
    <w:rsid w:val="002770B8"/>
    <w:rsid w:val="00277785"/>
    <w:rsid w:val="00277F8C"/>
    <w:rsid w:val="00285F6E"/>
    <w:rsid w:val="00286434"/>
    <w:rsid w:val="00286C59"/>
    <w:rsid w:val="00287890"/>
    <w:rsid w:val="00291957"/>
    <w:rsid w:val="002942D1"/>
    <w:rsid w:val="0029501A"/>
    <w:rsid w:val="002A29D9"/>
    <w:rsid w:val="002A390C"/>
    <w:rsid w:val="002A46AA"/>
    <w:rsid w:val="002A61F1"/>
    <w:rsid w:val="002B1638"/>
    <w:rsid w:val="002B4819"/>
    <w:rsid w:val="002C6AAB"/>
    <w:rsid w:val="002E4C9A"/>
    <w:rsid w:val="002E5190"/>
    <w:rsid w:val="002F11F8"/>
    <w:rsid w:val="002F2F8B"/>
    <w:rsid w:val="002F3F56"/>
    <w:rsid w:val="002F44B5"/>
    <w:rsid w:val="002F701A"/>
    <w:rsid w:val="00302E12"/>
    <w:rsid w:val="00311AC0"/>
    <w:rsid w:val="0032583B"/>
    <w:rsid w:val="00327883"/>
    <w:rsid w:val="00335504"/>
    <w:rsid w:val="00345897"/>
    <w:rsid w:val="00347824"/>
    <w:rsid w:val="00350567"/>
    <w:rsid w:val="003521E8"/>
    <w:rsid w:val="00353CB9"/>
    <w:rsid w:val="00363788"/>
    <w:rsid w:val="003728F3"/>
    <w:rsid w:val="0037496E"/>
    <w:rsid w:val="00380AA4"/>
    <w:rsid w:val="00386150"/>
    <w:rsid w:val="003874CE"/>
    <w:rsid w:val="00390900"/>
    <w:rsid w:val="003A1BB5"/>
    <w:rsid w:val="003A7CA4"/>
    <w:rsid w:val="003A7F6C"/>
    <w:rsid w:val="003B4D60"/>
    <w:rsid w:val="003B7E39"/>
    <w:rsid w:val="003C58DC"/>
    <w:rsid w:val="003D08EB"/>
    <w:rsid w:val="003D1E62"/>
    <w:rsid w:val="003E2486"/>
    <w:rsid w:val="003E3208"/>
    <w:rsid w:val="003F0B04"/>
    <w:rsid w:val="0040134E"/>
    <w:rsid w:val="00401352"/>
    <w:rsid w:val="0040173E"/>
    <w:rsid w:val="004017F9"/>
    <w:rsid w:val="004045A8"/>
    <w:rsid w:val="00420947"/>
    <w:rsid w:val="00431089"/>
    <w:rsid w:val="004316AB"/>
    <w:rsid w:val="004323CD"/>
    <w:rsid w:val="00433B20"/>
    <w:rsid w:val="00433C9F"/>
    <w:rsid w:val="00440A2D"/>
    <w:rsid w:val="004564A7"/>
    <w:rsid w:val="004617BF"/>
    <w:rsid w:val="00463658"/>
    <w:rsid w:val="00466DAE"/>
    <w:rsid w:val="004722CC"/>
    <w:rsid w:val="00475489"/>
    <w:rsid w:val="0048682A"/>
    <w:rsid w:val="004936E4"/>
    <w:rsid w:val="00494E60"/>
    <w:rsid w:val="00497487"/>
    <w:rsid w:val="004A186C"/>
    <w:rsid w:val="004A2EDA"/>
    <w:rsid w:val="004A7BFA"/>
    <w:rsid w:val="004B7B76"/>
    <w:rsid w:val="004C11B0"/>
    <w:rsid w:val="004C239D"/>
    <w:rsid w:val="004C2DCA"/>
    <w:rsid w:val="004E28C5"/>
    <w:rsid w:val="004E6F9F"/>
    <w:rsid w:val="004F0F38"/>
    <w:rsid w:val="00501921"/>
    <w:rsid w:val="0050309F"/>
    <w:rsid w:val="005140F6"/>
    <w:rsid w:val="00515DA3"/>
    <w:rsid w:val="005164D6"/>
    <w:rsid w:val="00530354"/>
    <w:rsid w:val="0053625B"/>
    <w:rsid w:val="005434C6"/>
    <w:rsid w:val="00543B39"/>
    <w:rsid w:val="00550096"/>
    <w:rsid w:val="00557FF9"/>
    <w:rsid w:val="00576378"/>
    <w:rsid w:val="00577130"/>
    <w:rsid w:val="00577945"/>
    <w:rsid w:val="00577E38"/>
    <w:rsid w:val="00581C05"/>
    <w:rsid w:val="00585322"/>
    <w:rsid w:val="005857C6"/>
    <w:rsid w:val="00592F6E"/>
    <w:rsid w:val="00593AD1"/>
    <w:rsid w:val="005A0B2C"/>
    <w:rsid w:val="005A2F6C"/>
    <w:rsid w:val="005A68B6"/>
    <w:rsid w:val="005C5570"/>
    <w:rsid w:val="005C7321"/>
    <w:rsid w:val="005C79A4"/>
    <w:rsid w:val="005D5442"/>
    <w:rsid w:val="005D5924"/>
    <w:rsid w:val="005F2807"/>
    <w:rsid w:val="00600C28"/>
    <w:rsid w:val="00603F32"/>
    <w:rsid w:val="006122D4"/>
    <w:rsid w:val="006222AA"/>
    <w:rsid w:val="00625A6E"/>
    <w:rsid w:val="0062693A"/>
    <w:rsid w:val="00632398"/>
    <w:rsid w:val="006371A0"/>
    <w:rsid w:val="00640FC3"/>
    <w:rsid w:val="00642020"/>
    <w:rsid w:val="00650262"/>
    <w:rsid w:val="0065337B"/>
    <w:rsid w:val="0065419D"/>
    <w:rsid w:val="00654880"/>
    <w:rsid w:val="006604D8"/>
    <w:rsid w:val="00664A5B"/>
    <w:rsid w:val="006763D2"/>
    <w:rsid w:val="00680C08"/>
    <w:rsid w:val="00685544"/>
    <w:rsid w:val="006859AE"/>
    <w:rsid w:val="006931B1"/>
    <w:rsid w:val="006A15C0"/>
    <w:rsid w:val="006A4578"/>
    <w:rsid w:val="006C02F6"/>
    <w:rsid w:val="006C0A8A"/>
    <w:rsid w:val="006C3E2A"/>
    <w:rsid w:val="006C642F"/>
    <w:rsid w:val="006D03E5"/>
    <w:rsid w:val="006D27B0"/>
    <w:rsid w:val="006D5D3E"/>
    <w:rsid w:val="006E08B3"/>
    <w:rsid w:val="006F17AC"/>
    <w:rsid w:val="006F1C56"/>
    <w:rsid w:val="006F572E"/>
    <w:rsid w:val="007046D6"/>
    <w:rsid w:val="00705DB0"/>
    <w:rsid w:val="00707C47"/>
    <w:rsid w:val="00722B57"/>
    <w:rsid w:val="00723E77"/>
    <w:rsid w:val="00725D5D"/>
    <w:rsid w:val="00731126"/>
    <w:rsid w:val="0074253D"/>
    <w:rsid w:val="0074429B"/>
    <w:rsid w:val="007615BC"/>
    <w:rsid w:val="00762F05"/>
    <w:rsid w:val="007652FF"/>
    <w:rsid w:val="00767A98"/>
    <w:rsid w:val="00770EF1"/>
    <w:rsid w:val="00773EF7"/>
    <w:rsid w:val="00774E1D"/>
    <w:rsid w:val="0077675A"/>
    <w:rsid w:val="00780355"/>
    <w:rsid w:val="007803F1"/>
    <w:rsid w:val="007812E7"/>
    <w:rsid w:val="00782D49"/>
    <w:rsid w:val="0078433B"/>
    <w:rsid w:val="00785721"/>
    <w:rsid w:val="00793A59"/>
    <w:rsid w:val="0079468B"/>
    <w:rsid w:val="00796FC4"/>
    <w:rsid w:val="007A45E5"/>
    <w:rsid w:val="007B34F4"/>
    <w:rsid w:val="007B631B"/>
    <w:rsid w:val="007B6E9F"/>
    <w:rsid w:val="007C1216"/>
    <w:rsid w:val="007C1AF7"/>
    <w:rsid w:val="007D5D57"/>
    <w:rsid w:val="007F3A97"/>
    <w:rsid w:val="008004CA"/>
    <w:rsid w:val="00801AED"/>
    <w:rsid w:val="008031A0"/>
    <w:rsid w:val="0080419F"/>
    <w:rsid w:val="00805D27"/>
    <w:rsid w:val="00814613"/>
    <w:rsid w:val="00821776"/>
    <w:rsid w:val="00826445"/>
    <w:rsid w:val="00827800"/>
    <w:rsid w:val="008321F5"/>
    <w:rsid w:val="00832369"/>
    <w:rsid w:val="00834660"/>
    <w:rsid w:val="00836BC2"/>
    <w:rsid w:val="00844E39"/>
    <w:rsid w:val="00851B27"/>
    <w:rsid w:val="0085641B"/>
    <w:rsid w:val="00857136"/>
    <w:rsid w:val="00867371"/>
    <w:rsid w:val="008733D5"/>
    <w:rsid w:val="00885B11"/>
    <w:rsid w:val="00886A03"/>
    <w:rsid w:val="00886D15"/>
    <w:rsid w:val="00887DD8"/>
    <w:rsid w:val="00891D77"/>
    <w:rsid w:val="008927C1"/>
    <w:rsid w:val="00892EC0"/>
    <w:rsid w:val="00896018"/>
    <w:rsid w:val="008960DD"/>
    <w:rsid w:val="0089635C"/>
    <w:rsid w:val="008A2B9D"/>
    <w:rsid w:val="008A578E"/>
    <w:rsid w:val="008A5E0B"/>
    <w:rsid w:val="008A6D59"/>
    <w:rsid w:val="008B4B03"/>
    <w:rsid w:val="008B596F"/>
    <w:rsid w:val="008C159F"/>
    <w:rsid w:val="008C1623"/>
    <w:rsid w:val="008C1850"/>
    <w:rsid w:val="008C37D6"/>
    <w:rsid w:val="008C51A9"/>
    <w:rsid w:val="008E6D1D"/>
    <w:rsid w:val="008E7846"/>
    <w:rsid w:val="008F1CCC"/>
    <w:rsid w:val="008F2967"/>
    <w:rsid w:val="008F6943"/>
    <w:rsid w:val="00901136"/>
    <w:rsid w:val="00902A21"/>
    <w:rsid w:val="0090709A"/>
    <w:rsid w:val="00920330"/>
    <w:rsid w:val="009208F0"/>
    <w:rsid w:val="009219D7"/>
    <w:rsid w:val="00922D53"/>
    <w:rsid w:val="009232D3"/>
    <w:rsid w:val="009238B8"/>
    <w:rsid w:val="00923B70"/>
    <w:rsid w:val="00924482"/>
    <w:rsid w:val="009276B1"/>
    <w:rsid w:val="00930237"/>
    <w:rsid w:val="00940AC3"/>
    <w:rsid w:val="00946EA5"/>
    <w:rsid w:val="009509C5"/>
    <w:rsid w:val="00955AEE"/>
    <w:rsid w:val="00963C08"/>
    <w:rsid w:val="00972597"/>
    <w:rsid w:val="009849EB"/>
    <w:rsid w:val="0098585A"/>
    <w:rsid w:val="009A4CED"/>
    <w:rsid w:val="009A690D"/>
    <w:rsid w:val="009B1D12"/>
    <w:rsid w:val="009B416B"/>
    <w:rsid w:val="009C4BD5"/>
    <w:rsid w:val="009D0CE1"/>
    <w:rsid w:val="009D6C16"/>
    <w:rsid w:val="009D7B77"/>
    <w:rsid w:val="009E0BB0"/>
    <w:rsid w:val="009E3FBB"/>
    <w:rsid w:val="00A102E4"/>
    <w:rsid w:val="00A120BC"/>
    <w:rsid w:val="00A12C42"/>
    <w:rsid w:val="00A14DF7"/>
    <w:rsid w:val="00A3246D"/>
    <w:rsid w:val="00A36FA7"/>
    <w:rsid w:val="00A475B7"/>
    <w:rsid w:val="00A47AF7"/>
    <w:rsid w:val="00A47C3E"/>
    <w:rsid w:val="00A50226"/>
    <w:rsid w:val="00A51259"/>
    <w:rsid w:val="00A55387"/>
    <w:rsid w:val="00A60BAD"/>
    <w:rsid w:val="00A6477D"/>
    <w:rsid w:val="00A84E36"/>
    <w:rsid w:val="00A9578E"/>
    <w:rsid w:val="00A964D1"/>
    <w:rsid w:val="00AA0ED0"/>
    <w:rsid w:val="00AC2B40"/>
    <w:rsid w:val="00AC2BB2"/>
    <w:rsid w:val="00AC2C3C"/>
    <w:rsid w:val="00AC512D"/>
    <w:rsid w:val="00AD0083"/>
    <w:rsid w:val="00AD1413"/>
    <w:rsid w:val="00AD1688"/>
    <w:rsid w:val="00AD590C"/>
    <w:rsid w:val="00AE65EB"/>
    <w:rsid w:val="00AE67A7"/>
    <w:rsid w:val="00AF0436"/>
    <w:rsid w:val="00AF1D94"/>
    <w:rsid w:val="00AF60C5"/>
    <w:rsid w:val="00B009C6"/>
    <w:rsid w:val="00B01548"/>
    <w:rsid w:val="00B067EF"/>
    <w:rsid w:val="00B10344"/>
    <w:rsid w:val="00B13592"/>
    <w:rsid w:val="00B150E1"/>
    <w:rsid w:val="00B218EC"/>
    <w:rsid w:val="00B21D29"/>
    <w:rsid w:val="00B23A7E"/>
    <w:rsid w:val="00B25034"/>
    <w:rsid w:val="00B27DE1"/>
    <w:rsid w:val="00B33588"/>
    <w:rsid w:val="00B33863"/>
    <w:rsid w:val="00B37D17"/>
    <w:rsid w:val="00B4175E"/>
    <w:rsid w:val="00B452CE"/>
    <w:rsid w:val="00B51A0E"/>
    <w:rsid w:val="00B54C25"/>
    <w:rsid w:val="00B63A28"/>
    <w:rsid w:val="00B76B91"/>
    <w:rsid w:val="00B77EB1"/>
    <w:rsid w:val="00B811C6"/>
    <w:rsid w:val="00B855B0"/>
    <w:rsid w:val="00B92E08"/>
    <w:rsid w:val="00B96774"/>
    <w:rsid w:val="00B96AA5"/>
    <w:rsid w:val="00BC5BF5"/>
    <w:rsid w:val="00BC622A"/>
    <w:rsid w:val="00BD0695"/>
    <w:rsid w:val="00BE0A78"/>
    <w:rsid w:val="00BE79F0"/>
    <w:rsid w:val="00BF046D"/>
    <w:rsid w:val="00BF1190"/>
    <w:rsid w:val="00BF3568"/>
    <w:rsid w:val="00BF5D04"/>
    <w:rsid w:val="00C03240"/>
    <w:rsid w:val="00C1164D"/>
    <w:rsid w:val="00C132F2"/>
    <w:rsid w:val="00C16861"/>
    <w:rsid w:val="00C404A6"/>
    <w:rsid w:val="00C40A36"/>
    <w:rsid w:val="00C44419"/>
    <w:rsid w:val="00C45E7B"/>
    <w:rsid w:val="00C47131"/>
    <w:rsid w:val="00C471B1"/>
    <w:rsid w:val="00C6316B"/>
    <w:rsid w:val="00C634A9"/>
    <w:rsid w:val="00C64586"/>
    <w:rsid w:val="00C6553C"/>
    <w:rsid w:val="00C70D53"/>
    <w:rsid w:val="00C71381"/>
    <w:rsid w:val="00C71B14"/>
    <w:rsid w:val="00C73D0B"/>
    <w:rsid w:val="00C772FF"/>
    <w:rsid w:val="00C80137"/>
    <w:rsid w:val="00C801AF"/>
    <w:rsid w:val="00C80256"/>
    <w:rsid w:val="00C81489"/>
    <w:rsid w:val="00C87210"/>
    <w:rsid w:val="00C95895"/>
    <w:rsid w:val="00C976BD"/>
    <w:rsid w:val="00CB6BC0"/>
    <w:rsid w:val="00CC1B7C"/>
    <w:rsid w:val="00CC727F"/>
    <w:rsid w:val="00CD251E"/>
    <w:rsid w:val="00CF15C3"/>
    <w:rsid w:val="00CF19B0"/>
    <w:rsid w:val="00CF2B6F"/>
    <w:rsid w:val="00CF343D"/>
    <w:rsid w:val="00CF58B6"/>
    <w:rsid w:val="00CF7CA7"/>
    <w:rsid w:val="00D017ED"/>
    <w:rsid w:val="00D0297B"/>
    <w:rsid w:val="00D040D3"/>
    <w:rsid w:val="00D04C65"/>
    <w:rsid w:val="00D20A82"/>
    <w:rsid w:val="00D224FE"/>
    <w:rsid w:val="00D42314"/>
    <w:rsid w:val="00D6493E"/>
    <w:rsid w:val="00D7301E"/>
    <w:rsid w:val="00D772A9"/>
    <w:rsid w:val="00D81B17"/>
    <w:rsid w:val="00D83AE1"/>
    <w:rsid w:val="00D855D4"/>
    <w:rsid w:val="00D90F2B"/>
    <w:rsid w:val="00D91BEB"/>
    <w:rsid w:val="00D93466"/>
    <w:rsid w:val="00DA1124"/>
    <w:rsid w:val="00DB0D0F"/>
    <w:rsid w:val="00DB6124"/>
    <w:rsid w:val="00DB75B7"/>
    <w:rsid w:val="00DC6E02"/>
    <w:rsid w:val="00DD27A5"/>
    <w:rsid w:val="00DE02AE"/>
    <w:rsid w:val="00DE081A"/>
    <w:rsid w:val="00DF1D7F"/>
    <w:rsid w:val="00DF4BE4"/>
    <w:rsid w:val="00E02A1E"/>
    <w:rsid w:val="00E02FB4"/>
    <w:rsid w:val="00E20338"/>
    <w:rsid w:val="00E20571"/>
    <w:rsid w:val="00E235F7"/>
    <w:rsid w:val="00E23659"/>
    <w:rsid w:val="00E239D4"/>
    <w:rsid w:val="00E26130"/>
    <w:rsid w:val="00E40B22"/>
    <w:rsid w:val="00E45619"/>
    <w:rsid w:val="00E4588F"/>
    <w:rsid w:val="00E46DA3"/>
    <w:rsid w:val="00E51BB1"/>
    <w:rsid w:val="00E624A5"/>
    <w:rsid w:val="00E66F18"/>
    <w:rsid w:val="00E7344E"/>
    <w:rsid w:val="00E8425B"/>
    <w:rsid w:val="00E945AC"/>
    <w:rsid w:val="00EA616B"/>
    <w:rsid w:val="00EA634E"/>
    <w:rsid w:val="00EB0798"/>
    <w:rsid w:val="00EB32C0"/>
    <w:rsid w:val="00EB3A88"/>
    <w:rsid w:val="00EB40AD"/>
    <w:rsid w:val="00EB586E"/>
    <w:rsid w:val="00EB5FC8"/>
    <w:rsid w:val="00EC03D0"/>
    <w:rsid w:val="00EC7A85"/>
    <w:rsid w:val="00ED3CAD"/>
    <w:rsid w:val="00ED5A41"/>
    <w:rsid w:val="00EE1DE8"/>
    <w:rsid w:val="00F003FB"/>
    <w:rsid w:val="00F033EC"/>
    <w:rsid w:val="00F04F68"/>
    <w:rsid w:val="00F1189E"/>
    <w:rsid w:val="00F12670"/>
    <w:rsid w:val="00F14B27"/>
    <w:rsid w:val="00F22AE3"/>
    <w:rsid w:val="00F2628E"/>
    <w:rsid w:val="00F3148D"/>
    <w:rsid w:val="00F325C5"/>
    <w:rsid w:val="00F32FE0"/>
    <w:rsid w:val="00F35298"/>
    <w:rsid w:val="00F37819"/>
    <w:rsid w:val="00F47333"/>
    <w:rsid w:val="00F47E37"/>
    <w:rsid w:val="00F52BAA"/>
    <w:rsid w:val="00F53C07"/>
    <w:rsid w:val="00F54B65"/>
    <w:rsid w:val="00F5637B"/>
    <w:rsid w:val="00F61965"/>
    <w:rsid w:val="00F640B6"/>
    <w:rsid w:val="00F66884"/>
    <w:rsid w:val="00F80E40"/>
    <w:rsid w:val="00F848D9"/>
    <w:rsid w:val="00FA5B82"/>
    <w:rsid w:val="00FA639E"/>
    <w:rsid w:val="00FB3445"/>
    <w:rsid w:val="00FC25E4"/>
    <w:rsid w:val="00FC4EF7"/>
    <w:rsid w:val="00FD0538"/>
    <w:rsid w:val="00FD117B"/>
    <w:rsid w:val="00FD5DE2"/>
    <w:rsid w:val="00FE0000"/>
    <w:rsid w:val="00FE1DEE"/>
    <w:rsid w:val="00FE6DEE"/>
    <w:rsid w:val="00FE7968"/>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8601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90113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qFormat/>
    <w:rsid w:val="002A61F1"/>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A61F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point">
    <w:name w:val="Bullet point"/>
    <w:basedOn w:val="Normal"/>
    <w:rsid w:val="004C11B0"/>
    <w:pPr>
      <w:numPr>
        <w:numId w:val="11"/>
      </w:numPr>
      <w:tabs>
        <w:tab w:val="clear" w:pos="369"/>
        <w:tab w:val="left" w:pos="397"/>
        <w:tab w:val="num" w:pos="511"/>
      </w:tabs>
      <w:snapToGrid w:val="0"/>
      <w:spacing w:before="0" w:after="180" w:line="252" w:lineRule="auto"/>
      <w:ind w:left="397" w:firstLine="0"/>
    </w:pPr>
    <w:rPr>
      <w:rFonts w:eastAsia="Times New Roman"/>
      <w:snapToGrid w:val="0"/>
      <w:kern w:val="16"/>
      <w:sz w:val="23"/>
      <w:szCs w:val="24"/>
    </w:rPr>
  </w:style>
  <w:style w:type="paragraph" w:styleId="FootnoteText">
    <w:name w:val="footnote text"/>
    <w:basedOn w:val="Normal"/>
    <w:link w:val="FootnoteTextChar"/>
    <w:unhideWhenUsed/>
    <w:rsid w:val="00901136"/>
    <w:pPr>
      <w:spacing w:before="0" w:after="0" w:line="240" w:lineRule="auto"/>
    </w:pPr>
    <w:rPr>
      <w:sz w:val="18"/>
      <w:szCs w:val="20"/>
    </w:rPr>
  </w:style>
  <w:style w:type="character" w:customStyle="1" w:styleId="FootnoteTextChar">
    <w:name w:val="Footnote Text Char"/>
    <w:basedOn w:val="DefaultParagraphFont"/>
    <w:link w:val="FootnoteText"/>
    <w:rsid w:val="00901136"/>
    <w:rPr>
      <w:rFonts w:ascii="Cambria" w:eastAsia="Cambria" w:hAnsi="Cambria" w:cs="Times New Roman"/>
      <w:sz w:val="18"/>
      <w:szCs w:val="20"/>
    </w:rPr>
  </w:style>
  <w:style w:type="character" w:styleId="FootnoteReference">
    <w:name w:val="footnote reference"/>
    <w:basedOn w:val="DefaultParagraphFont"/>
    <w:semiHidden/>
    <w:rsid w:val="004C11B0"/>
    <w:rPr>
      <w:vertAlign w:val="superscript"/>
    </w:rPr>
  </w:style>
  <w:style w:type="character" w:customStyle="1" w:styleId="Heading8Char">
    <w:name w:val="Heading 8 Char"/>
    <w:basedOn w:val="DefaultParagraphFont"/>
    <w:link w:val="Heading8"/>
    <w:rsid w:val="002A61F1"/>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A61F1"/>
    <w:rPr>
      <w:rFonts w:ascii="Arial" w:eastAsia="Times New Roman" w:hAnsi="Arial" w:cs="Arial"/>
      <w:kern w:val="16"/>
      <w:u w:val="single"/>
      <w:lang w:eastAsia="en-AU"/>
    </w:rPr>
  </w:style>
  <w:style w:type="paragraph" w:customStyle="1" w:styleId="Bullet1">
    <w:name w:val="Bullet 1"/>
    <w:basedOn w:val="Normal"/>
    <w:rsid w:val="002A61F1"/>
    <w:pPr>
      <w:numPr>
        <w:numId w:val="14"/>
      </w:numPr>
      <w:spacing w:after="0" w:line="240" w:lineRule="auto"/>
    </w:pPr>
    <w:rPr>
      <w:rFonts w:eastAsia="Times New Roman"/>
      <w:kern w:val="24"/>
      <w:szCs w:val="24"/>
      <w:lang w:eastAsia="en-AU"/>
    </w:rPr>
  </w:style>
  <w:style w:type="paragraph" w:customStyle="1" w:styleId="Bullet2">
    <w:name w:val="Bullet 2"/>
    <w:basedOn w:val="Bullet1"/>
    <w:rsid w:val="002A61F1"/>
    <w:pPr>
      <w:numPr>
        <w:numId w:val="15"/>
      </w:numPr>
    </w:pPr>
  </w:style>
  <w:style w:type="paragraph" w:customStyle="1" w:styleId="Heading0inTOC">
    <w:name w:val="Heading 0 (in TOC)"/>
    <w:basedOn w:val="Heading1"/>
    <w:next w:val="Normal"/>
    <w:rsid w:val="002A61F1"/>
    <w:pPr>
      <w:keepLines w:val="0"/>
      <w:spacing w:before="0" w:after="120" w:line="240" w:lineRule="auto"/>
    </w:pPr>
    <w:rPr>
      <w:rFonts w:ascii="Arial" w:hAnsi="Arial" w:cs="Times New Roman"/>
      <w:bCs w:val="0"/>
      <w:kern w:val="16"/>
      <w:sz w:val="28"/>
      <w:szCs w:val="24"/>
      <w:lang w:eastAsia="en-AU"/>
    </w:rPr>
  </w:style>
  <w:style w:type="character" w:styleId="PageNumber">
    <w:name w:val="page number"/>
    <w:rsid w:val="002A61F1"/>
    <w:rPr>
      <w:sz w:val="20"/>
    </w:rPr>
  </w:style>
  <w:style w:type="paragraph" w:customStyle="1" w:styleId="TableBullet">
    <w:name w:val="Table Bullet"/>
    <w:basedOn w:val="Normal"/>
    <w:rsid w:val="002A61F1"/>
    <w:pPr>
      <w:numPr>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A61F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A61F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A61F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A61F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A61F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A61F1"/>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2A61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A61F1"/>
    <w:rPr>
      <w:rFonts w:ascii="Cambria" w:eastAsia="Times New Roman" w:hAnsi="Cambria" w:cs="Times New Roman"/>
      <w:kern w:val="16"/>
      <w:sz w:val="20"/>
      <w:szCs w:val="20"/>
      <w:lang w:eastAsia="en-AU"/>
    </w:rPr>
  </w:style>
  <w:style w:type="character" w:styleId="EndnoteReference">
    <w:name w:val="endnote reference"/>
    <w:semiHidden/>
    <w:rsid w:val="002A61F1"/>
    <w:rPr>
      <w:dstrike w:val="0"/>
      <w:vertAlign w:val="baseline"/>
    </w:rPr>
  </w:style>
  <w:style w:type="paragraph" w:customStyle="1" w:styleId="Abbreviations">
    <w:name w:val="Abbreviations"/>
    <w:basedOn w:val="Normal"/>
    <w:rsid w:val="002A61F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A61F1"/>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A61F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A61F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A61F1"/>
    <w:pPr>
      <w:numPr>
        <w:numId w:val="16"/>
      </w:numPr>
      <w:ind w:left="1134" w:firstLine="0"/>
    </w:pPr>
  </w:style>
  <w:style w:type="paragraph" w:customStyle="1" w:styleId="Instructions1">
    <w:name w:val="Instructions 1"/>
    <w:basedOn w:val="Normal"/>
    <w:qFormat/>
    <w:rsid w:val="002A61F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A61F1"/>
    <w:pPr>
      <w:numPr>
        <w:numId w:val="1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2A61F1"/>
    <w:rPr>
      <w:sz w:val="16"/>
      <w:szCs w:val="16"/>
    </w:rPr>
  </w:style>
  <w:style w:type="paragraph" w:styleId="CommentText">
    <w:name w:val="annotation text"/>
    <w:basedOn w:val="Normal"/>
    <w:link w:val="CommentTextChar"/>
    <w:uiPriority w:val="99"/>
    <w:rsid w:val="002A61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uiPriority w:val="99"/>
    <w:rsid w:val="002A61F1"/>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2A61F1"/>
    <w:rPr>
      <w:b/>
      <w:bCs/>
    </w:rPr>
  </w:style>
  <w:style w:type="character" w:customStyle="1" w:styleId="CommentSubjectChar">
    <w:name w:val="Comment Subject Char"/>
    <w:basedOn w:val="CommentTextChar"/>
    <w:link w:val="CommentSubject"/>
    <w:rsid w:val="002A61F1"/>
    <w:rPr>
      <w:b/>
      <w:bCs/>
    </w:rPr>
  </w:style>
  <w:style w:type="paragraph" w:customStyle="1" w:styleId="Contentslist1">
    <w:name w:val="Contents list 1"/>
    <w:basedOn w:val="Normal"/>
    <w:qFormat/>
    <w:rsid w:val="002A61F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A61F1"/>
    <w:pPr>
      <w:spacing w:before="0" w:after="0"/>
    </w:pPr>
    <w:rPr>
      <w:b w:val="0"/>
    </w:rPr>
  </w:style>
  <w:style w:type="paragraph" w:customStyle="1" w:styleId="Style58">
    <w:name w:val="Style58"/>
    <w:rsid w:val="002A61F1"/>
    <w:pPr>
      <w:spacing w:after="0" w:line="240" w:lineRule="auto"/>
    </w:pPr>
    <w:rPr>
      <w:rFonts w:ascii="Arial" w:eastAsia="Times New Roman" w:hAnsi="Arial" w:cs="Times New Roman"/>
      <w:snapToGrid w:val="0"/>
      <w:sz w:val="24"/>
      <w:szCs w:val="20"/>
    </w:rPr>
  </w:style>
  <w:style w:type="paragraph" w:customStyle="1" w:styleId="DepartmentalNormal">
    <w:name w:val="Departmental Normal"/>
    <w:basedOn w:val="Normal"/>
    <w:next w:val="Normal"/>
    <w:rsid w:val="002A61F1"/>
    <w:pPr>
      <w:spacing w:before="0" w:after="0" w:line="240" w:lineRule="auto"/>
    </w:pPr>
    <w:rPr>
      <w:rFonts w:ascii="Arial" w:eastAsia="Times New Roman" w:hAnsi="Arial"/>
      <w:snapToGrid w:val="0"/>
      <w:sz w:val="24"/>
      <w:szCs w:val="20"/>
    </w:rPr>
  </w:style>
  <w:style w:type="character" w:customStyle="1" w:styleId="eutitle">
    <w:name w:val="eutitle"/>
    <w:basedOn w:val="DefaultParagraphFont"/>
    <w:rsid w:val="002A61F1"/>
  </w:style>
  <w:style w:type="paragraph" w:customStyle="1" w:styleId="Default">
    <w:name w:val="Default"/>
    <w:rsid w:val="002A61F1"/>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ListParagraph">
    <w:name w:val="List Paragraph"/>
    <w:basedOn w:val="Normal"/>
    <w:qFormat/>
    <w:rsid w:val="002A61F1"/>
    <w:pPr>
      <w:spacing w:before="0" w:after="200" w:line="276" w:lineRule="auto"/>
      <w:ind w:left="720"/>
      <w:contextualSpacing/>
    </w:pPr>
    <w:rPr>
      <w:rFonts w:ascii="Calibri" w:eastAsia="Calibri" w:hAnsi="Calibri"/>
    </w:rPr>
  </w:style>
  <w:style w:type="paragraph" w:customStyle="1" w:styleId="Coverpagetitle1stline22ptBoldCentered">
    <w:name w:val="Cover page title 1st line 22 pt Bold Centered"/>
    <w:basedOn w:val="Normal"/>
    <w:semiHidden/>
    <w:locked/>
    <w:rsid w:val="002A61F1"/>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2A61F1"/>
    <w:pPr>
      <w:spacing w:before="0" w:after="0" w:line="240" w:lineRule="auto"/>
      <w:jc w:val="center"/>
    </w:pPr>
    <w:rPr>
      <w:rFonts w:ascii="Arial" w:eastAsia="Times New Roman" w:hAnsi="Arial"/>
      <w:b/>
      <w:bCs/>
      <w:sz w:val="36"/>
      <w:szCs w:val="36"/>
      <w:lang w:eastAsia="en-AU"/>
    </w:rPr>
  </w:style>
  <w:style w:type="paragraph" w:customStyle="1" w:styleId="Title1">
    <w:name w:val="Title 1"/>
    <w:rsid w:val="002A61F1"/>
    <w:pPr>
      <w:keepNext/>
      <w:spacing w:after="0" w:line="240" w:lineRule="auto"/>
      <w:ind w:left="851" w:hanging="851"/>
    </w:pPr>
    <w:rPr>
      <w:rFonts w:ascii="Times New Roman Bold" w:eastAsia="Times New Roman" w:hAnsi="Times New Roman Bold" w:cs="Times New Roman"/>
      <w:b/>
      <w:caps/>
      <w:sz w:val="32"/>
      <w:szCs w:val="20"/>
      <w:lang w:val="en-GB"/>
    </w:rPr>
  </w:style>
  <w:style w:type="table" w:styleId="TableGrid1">
    <w:name w:val="Table Grid 1"/>
    <w:basedOn w:val="TableNormal"/>
    <w:rsid w:val="002A61F1"/>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earchurl">
    <w:name w:val="searchurl"/>
    <w:basedOn w:val="DefaultParagraphFont"/>
    <w:rsid w:val="002A61F1"/>
  </w:style>
  <w:style w:type="paragraph" w:customStyle="1" w:styleId="title10">
    <w:name w:val="title1"/>
    <w:basedOn w:val="Normal"/>
    <w:rsid w:val="002A61F1"/>
    <w:pPr>
      <w:spacing w:before="0" w:after="0" w:line="240" w:lineRule="auto"/>
    </w:pPr>
    <w:rPr>
      <w:rFonts w:ascii="Times New Roman" w:eastAsia="Times New Roman" w:hAnsi="Times New Roman"/>
      <w:sz w:val="29"/>
      <w:szCs w:val="29"/>
      <w:lang w:eastAsia="en-AU"/>
    </w:rPr>
  </w:style>
  <w:style w:type="paragraph" w:customStyle="1" w:styleId="desc2">
    <w:name w:val="desc2"/>
    <w:basedOn w:val="Normal"/>
    <w:rsid w:val="002A61F1"/>
    <w:pPr>
      <w:spacing w:before="100" w:beforeAutospacing="1" w:after="100" w:afterAutospacing="1" w:line="240" w:lineRule="auto"/>
    </w:pPr>
    <w:rPr>
      <w:rFonts w:ascii="Times New Roman" w:eastAsia="Times New Roman" w:hAnsi="Times New Roman"/>
      <w:sz w:val="28"/>
      <w:szCs w:val="28"/>
      <w:lang w:eastAsia="en-AU"/>
    </w:rPr>
  </w:style>
  <w:style w:type="paragraph" w:customStyle="1" w:styleId="details1">
    <w:name w:val="details1"/>
    <w:basedOn w:val="Normal"/>
    <w:rsid w:val="002A61F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rnl">
    <w:name w:val="jrnl"/>
    <w:basedOn w:val="DefaultParagraphFont"/>
    <w:rsid w:val="002A61F1"/>
  </w:style>
  <w:style w:type="paragraph" w:styleId="NormalWeb">
    <w:name w:val="Normal (Web)"/>
    <w:basedOn w:val="Normal"/>
    <w:uiPriority w:val="99"/>
    <w:unhideWhenUsed/>
    <w:rsid w:val="002A61F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andard">
    <w:name w:val="Standard"/>
    <w:basedOn w:val="Normal"/>
    <w:link w:val="StandardChar"/>
    <w:rsid w:val="002A61F1"/>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A61F1"/>
    <w:rPr>
      <w:rFonts w:ascii="Cambria" w:eastAsia="Times New Roman" w:hAnsi="Cambria" w:cs="Times New Roman"/>
      <w:snapToGrid w:val="0"/>
      <w:kern w:val="16"/>
      <w:sz w:val="23"/>
      <w:szCs w:val="24"/>
    </w:rPr>
  </w:style>
  <w:style w:type="paragraph" w:customStyle="1" w:styleId="PISection">
    <w:name w:val="PI Section"/>
    <w:basedOn w:val="Standard"/>
    <w:next w:val="Standard"/>
    <w:rsid w:val="002A61F1"/>
    <w:pPr>
      <w:keepNext/>
      <w:spacing w:after="160"/>
      <w:outlineLvl w:val="1"/>
    </w:pPr>
    <w:rPr>
      <w:b/>
      <w:smallCaps/>
      <w:kern w:val="2"/>
    </w:rPr>
  </w:style>
  <w:style w:type="paragraph" w:styleId="Quote">
    <w:name w:val="Quote"/>
    <w:basedOn w:val="Standard"/>
    <w:next w:val="Standard"/>
    <w:link w:val="QuoteChar"/>
    <w:qFormat/>
    <w:rsid w:val="002A61F1"/>
    <w:pPr>
      <w:spacing w:after="280"/>
      <w:ind w:left="482" w:right="397" w:hanging="85"/>
    </w:pPr>
  </w:style>
  <w:style w:type="character" w:customStyle="1" w:styleId="QuoteChar">
    <w:name w:val="Quote Char"/>
    <w:basedOn w:val="DefaultParagraphFont"/>
    <w:link w:val="Quote"/>
    <w:rsid w:val="002A61F1"/>
    <w:rPr>
      <w:rFonts w:ascii="Cambria" w:eastAsia="Times New Roman" w:hAnsi="Cambria" w:cs="Times New Roman"/>
      <w:snapToGrid w:val="0"/>
      <w:kern w:val="16"/>
      <w:sz w:val="23"/>
      <w:szCs w:val="24"/>
    </w:rPr>
  </w:style>
  <w:style w:type="paragraph" w:customStyle="1" w:styleId="AssessmentSubsection">
    <w:name w:val="Assessment Subsection"/>
    <w:basedOn w:val="Standard"/>
    <w:next w:val="Standard"/>
    <w:rsid w:val="002A61F1"/>
    <w:pPr>
      <w:keepNext/>
      <w:spacing w:after="110"/>
      <w:outlineLvl w:val="2"/>
    </w:pPr>
    <w:rPr>
      <w:b/>
      <w:i/>
    </w:rPr>
  </w:style>
  <w:style w:type="character" w:styleId="Emphasis">
    <w:name w:val="Emphasis"/>
    <w:basedOn w:val="DefaultParagraphFont"/>
    <w:uiPriority w:val="20"/>
    <w:qFormat/>
    <w:rsid w:val="002A61F1"/>
    <w:rPr>
      <w:i/>
      <w:iCs/>
    </w:rPr>
  </w:style>
  <w:style w:type="paragraph" w:styleId="DocumentMap">
    <w:name w:val="Document Map"/>
    <w:basedOn w:val="Normal"/>
    <w:link w:val="DocumentMapChar"/>
    <w:uiPriority w:val="99"/>
    <w:semiHidden/>
    <w:unhideWhenUsed/>
    <w:rsid w:val="00CD251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251E"/>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94394">
      <w:bodyDiv w:val="1"/>
      <w:marLeft w:val="0"/>
      <w:marRight w:val="0"/>
      <w:marTop w:val="0"/>
      <w:marBottom w:val="0"/>
      <w:divBdr>
        <w:top w:val="none" w:sz="0" w:space="0" w:color="auto"/>
        <w:left w:val="none" w:sz="0" w:space="0" w:color="auto"/>
        <w:bottom w:val="none" w:sz="0" w:space="0" w:color="auto"/>
        <w:right w:val="none" w:sz="0" w:space="0" w:color="auto"/>
      </w:divBdr>
    </w:div>
    <w:div w:id="13457761">
      <w:bodyDiv w:val="1"/>
      <w:marLeft w:val="0"/>
      <w:marRight w:val="0"/>
      <w:marTop w:val="0"/>
      <w:marBottom w:val="0"/>
      <w:divBdr>
        <w:top w:val="none" w:sz="0" w:space="0" w:color="auto"/>
        <w:left w:val="none" w:sz="0" w:space="0" w:color="auto"/>
        <w:bottom w:val="none" w:sz="0" w:space="0" w:color="auto"/>
        <w:right w:val="none" w:sz="0" w:space="0" w:color="auto"/>
      </w:divBdr>
    </w:div>
    <w:div w:id="56049512">
      <w:bodyDiv w:val="1"/>
      <w:marLeft w:val="0"/>
      <w:marRight w:val="0"/>
      <w:marTop w:val="0"/>
      <w:marBottom w:val="0"/>
      <w:divBdr>
        <w:top w:val="none" w:sz="0" w:space="0" w:color="auto"/>
        <w:left w:val="none" w:sz="0" w:space="0" w:color="auto"/>
        <w:bottom w:val="none" w:sz="0" w:space="0" w:color="auto"/>
        <w:right w:val="none" w:sz="0" w:space="0" w:color="auto"/>
      </w:divBdr>
    </w:div>
    <w:div w:id="60714203">
      <w:bodyDiv w:val="1"/>
      <w:marLeft w:val="0"/>
      <w:marRight w:val="0"/>
      <w:marTop w:val="0"/>
      <w:marBottom w:val="0"/>
      <w:divBdr>
        <w:top w:val="none" w:sz="0" w:space="0" w:color="auto"/>
        <w:left w:val="none" w:sz="0" w:space="0" w:color="auto"/>
        <w:bottom w:val="none" w:sz="0" w:space="0" w:color="auto"/>
        <w:right w:val="none" w:sz="0" w:space="0" w:color="auto"/>
      </w:divBdr>
    </w:div>
    <w:div w:id="64422181">
      <w:bodyDiv w:val="1"/>
      <w:marLeft w:val="0"/>
      <w:marRight w:val="0"/>
      <w:marTop w:val="0"/>
      <w:marBottom w:val="0"/>
      <w:divBdr>
        <w:top w:val="none" w:sz="0" w:space="0" w:color="auto"/>
        <w:left w:val="none" w:sz="0" w:space="0" w:color="auto"/>
        <w:bottom w:val="none" w:sz="0" w:space="0" w:color="auto"/>
        <w:right w:val="none" w:sz="0" w:space="0" w:color="auto"/>
      </w:divBdr>
    </w:div>
    <w:div w:id="64912621">
      <w:bodyDiv w:val="1"/>
      <w:marLeft w:val="0"/>
      <w:marRight w:val="0"/>
      <w:marTop w:val="0"/>
      <w:marBottom w:val="0"/>
      <w:divBdr>
        <w:top w:val="none" w:sz="0" w:space="0" w:color="auto"/>
        <w:left w:val="none" w:sz="0" w:space="0" w:color="auto"/>
        <w:bottom w:val="none" w:sz="0" w:space="0" w:color="auto"/>
        <w:right w:val="none" w:sz="0" w:space="0" w:color="auto"/>
      </w:divBdr>
    </w:div>
    <w:div w:id="129784865">
      <w:bodyDiv w:val="1"/>
      <w:marLeft w:val="0"/>
      <w:marRight w:val="0"/>
      <w:marTop w:val="0"/>
      <w:marBottom w:val="0"/>
      <w:divBdr>
        <w:top w:val="none" w:sz="0" w:space="0" w:color="auto"/>
        <w:left w:val="none" w:sz="0" w:space="0" w:color="auto"/>
        <w:bottom w:val="none" w:sz="0" w:space="0" w:color="auto"/>
        <w:right w:val="none" w:sz="0" w:space="0" w:color="auto"/>
      </w:divBdr>
    </w:div>
    <w:div w:id="142548025">
      <w:bodyDiv w:val="1"/>
      <w:marLeft w:val="0"/>
      <w:marRight w:val="0"/>
      <w:marTop w:val="0"/>
      <w:marBottom w:val="0"/>
      <w:divBdr>
        <w:top w:val="none" w:sz="0" w:space="0" w:color="auto"/>
        <w:left w:val="none" w:sz="0" w:space="0" w:color="auto"/>
        <w:bottom w:val="none" w:sz="0" w:space="0" w:color="auto"/>
        <w:right w:val="none" w:sz="0" w:space="0" w:color="auto"/>
      </w:divBdr>
    </w:div>
    <w:div w:id="168059904">
      <w:bodyDiv w:val="1"/>
      <w:marLeft w:val="0"/>
      <w:marRight w:val="0"/>
      <w:marTop w:val="0"/>
      <w:marBottom w:val="0"/>
      <w:divBdr>
        <w:top w:val="none" w:sz="0" w:space="0" w:color="auto"/>
        <w:left w:val="none" w:sz="0" w:space="0" w:color="auto"/>
        <w:bottom w:val="none" w:sz="0" w:space="0" w:color="auto"/>
        <w:right w:val="none" w:sz="0" w:space="0" w:color="auto"/>
      </w:divBdr>
    </w:div>
    <w:div w:id="170918461">
      <w:bodyDiv w:val="1"/>
      <w:marLeft w:val="0"/>
      <w:marRight w:val="0"/>
      <w:marTop w:val="0"/>
      <w:marBottom w:val="0"/>
      <w:divBdr>
        <w:top w:val="none" w:sz="0" w:space="0" w:color="auto"/>
        <w:left w:val="none" w:sz="0" w:space="0" w:color="auto"/>
        <w:bottom w:val="none" w:sz="0" w:space="0" w:color="auto"/>
        <w:right w:val="none" w:sz="0" w:space="0" w:color="auto"/>
      </w:divBdr>
    </w:div>
    <w:div w:id="185338645">
      <w:bodyDiv w:val="1"/>
      <w:marLeft w:val="0"/>
      <w:marRight w:val="0"/>
      <w:marTop w:val="0"/>
      <w:marBottom w:val="0"/>
      <w:divBdr>
        <w:top w:val="none" w:sz="0" w:space="0" w:color="auto"/>
        <w:left w:val="none" w:sz="0" w:space="0" w:color="auto"/>
        <w:bottom w:val="none" w:sz="0" w:space="0" w:color="auto"/>
        <w:right w:val="none" w:sz="0" w:space="0" w:color="auto"/>
      </w:divBdr>
    </w:div>
    <w:div w:id="193929412">
      <w:bodyDiv w:val="1"/>
      <w:marLeft w:val="0"/>
      <w:marRight w:val="0"/>
      <w:marTop w:val="0"/>
      <w:marBottom w:val="0"/>
      <w:divBdr>
        <w:top w:val="none" w:sz="0" w:space="0" w:color="auto"/>
        <w:left w:val="none" w:sz="0" w:space="0" w:color="auto"/>
        <w:bottom w:val="none" w:sz="0" w:space="0" w:color="auto"/>
        <w:right w:val="none" w:sz="0" w:space="0" w:color="auto"/>
      </w:divBdr>
    </w:div>
    <w:div w:id="254752882">
      <w:bodyDiv w:val="1"/>
      <w:marLeft w:val="0"/>
      <w:marRight w:val="0"/>
      <w:marTop w:val="0"/>
      <w:marBottom w:val="0"/>
      <w:divBdr>
        <w:top w:val="none" w:sz="0" w:space="0" w:color="auto"/>
        <w:left w:val="none" w:sz="0" w:space="0" w:color="auto"/>
        <w:bottom w:val="none" w:sz="0" w:space="0" w:color="auto"/>
        <w:right w:val="none" w:sz="0" w:space="0" w:color="auto"/>
      </w:divBdr>
    </w:div>
    <w:div w:id="256596123">
      <w:bodyDiv w:val="1"/>
      <w:marLeft w:val="0"/>
      <w:marRight w:val="0"/>
      <w:marTop w:val="0"/>
      <w:marBottom w:val="0"/>
      <w:divBdr>
        <w:top w:val="none" w:sz="0" w:space="0" w:color="auto"/>
        <w:left w:val="none" w:sz="0" w:space="0" w:color="auto"/>
        <w:bottom w:val="none" w:sz="0" w:space="0" w:color="auto"/>
        <w:right w:val="none" w:sz="0" w:space="0" w:color="auto"/>
      </w:divBdr>
    </w:div>
    <w:div w:id="270749684">
      <w:bodyDiv w:val="1"/>
      <w:marLeft w:val="0"/>
      <w:marRight w:val="0"/>
      <w:marTop w:val="0"/>
      <w:marBottom w:val="0"/>
      <w:divBdr>
        <w:top w:val="none" w:sz="0" w:space="0" w:color="auto"/>
        <w:left w:val="none" w:sz="0" w:space="0" w:color="auto"/>
        <w:bottom w:val="none" w:sz="0" w:space="0" w:color="auto"/>
        <w:right w:val="none" w:sz="0" w:space="0" w:color="auto"/>
      </w:divBdr>
    </w:div>
    <w:div w:id="276832246">
      <w:bodyDiv w:val="1"/>
      <w:marLeft w:val="0"/>
      <w:marRight w:val="0"/>
      <w:marTop w:val="0"/>
      <w:marBottom w:val="0"/>
      <w:divBdr>
        <w:top w:val="none" w:sz="0" w:space="0" w:color="auto"/>
        <w:left w:val="none" w:sz="0" w:space="0" w:color="auto"/>
        <w:bottom w:val="none" w:sz="0" w:space="0" w:color="auto"/>
        <w:right w:val="none" w:sz="0" w:space="0" w:color="auto"/>
      </w:divBdr>
    </w:div>
    <w:div w:id="306016893">
      <w:bodyDiv w:val="1"/>
      <w:marLeft w:val="0"/>
      <w:marRight w:val="0"/>
      <w:marTop w:val="0"/>
      <w:marBottom w:val="0"/>
      <w:divBdr>
        <w:top w:val="none" w:sz="0" w:space="0" w:color="auto"/>
        <w:left w:val="none" w:sz="0" w:space="0" w:color="auto"/>
        <w:bottom w:val="none" w:sz="0" w:space="0" w:color="auto"/>
        <w:right w:val="none" w:sz="0" w:space="0" w:color="auto"/>
      </w:divBdr>
    </w:div>
    <w:div w:id="307781831">
      <w:bodyDiv w:val="1"/>
      <w:marLeft w:val="0"/>
      <w:marRight w:val="0"/>
      <w:marTop w:val="0"/>
      <w:marBottom w:val="0"/>
      <w:divBdr>
        <w:top w:val="none" w:sz="0" w:space="0" w:color="auto"/>
        <w:left w:val="none" w:sz="0" w:space="0" w:color="auto"/>
        <w:bottom w:val="none" w:sz="0" w:space="0" w:color="auto"/>
        <w:right w:val="none" w:sz="0" w:space="0" w:color="auto"/>
      </w:divBdr>
    </w:div>
    <w:div w:id="308174066">
      <w:bodyDiv w:val="1"/>
      <w:marLeft w:val="0"/>
      <w:marRight w:val="0"/>
      <w:marTop w:val="0"/>
      <w:marBottom w:val="0"/>
      <w:divBdr>
        <w:top w:val="none" w:sz="0" w:space="0" w:color="auto"/>
        <w:left w:val="none" w:sz="0" w:space="0" w:color="auto"/>
        <w:bottom w:val="none" w:sz="0" w:space="0" w:color="auto"/>
        <w:right w:val="none" w:sz="0" w:space="0" w:color="auto"/>
      </w:divBdr>
    </w:div>
    <w:div w:id="308898266">
      <w:bodyDiv w:val="1"/>
      <w:marLeft w:val="0"/>
      <w:marRight w:val="0"/>
      <w:marTop w:val="0"/>
      <w:marBottom w:val="0"/>
      <w:divBdr>
        <w:top w:val="none" w:sz="0" w:space="0" w:color="auto"/>
        <w:left w:val="none" w:sz="0" w:space="0" w:color="auto"/>
        <w:bottom w:val="none" w:sz="0" w:space="0" w:color="auto"/>
        <w:right w:val="none" w:sz="0" w:space="0" w:color="auto"/>
      </w:divBdr>
    </w:div>
    <w:div w:id="339357643">
      <w:bodyDiv w:val="1"/>
      <w:marLeft w:val="0"/>
      <w:marRight w:val="0"/>
      <w:marTop w:val="0"/>
      <w:marBottom w:val="0"/>
      <w:divBdr>
        <w:top w:val="none" w:sz="0" w:space="0" w:color="auto"/>
        <w:left w:val="none" w:sz="0" w:space="0" w:color="auto"/>
        <w:bottom w:val="none" w:sz="0" w:space="0" w:color="auto"/>
        <w:right w:val="none" w:sz="0" w:space="0" w:color="auto"/>
      </w:divBdr>
    </w:div>
    <w:div w:id="362902169">
      <w:bodyDiv w:val="1"/>
      <w:marLeft w:val="0"/>
      <w:marRight w:val="0"/>
      <w:marTop w:val="0"/>
      <w:marBottom w:val="0"/>
      <w:divBdr>
        <w:top w:val="none" w:sz="0" w:space="0" w:color="auto"/>
        <w:left w:val="none" w:sz="0" w:space="0" w:color="auto"/>
        <w:bottom w:val="none" w:sz="0" w:space="0" w:color="auto"/>
        <w:right w:val="none" w:sz="0" w:space="0" w:color="auto"/>
      </w:divBdr>
    </w:div>
    <w:div w:id="383408499">
      <w:bodyDiv w:val="1"/>
      <w:marLeft w:val="0"/>
      <w:marRight w:val="0"/>
      <w:marTop w:val="0"/>
      <w:marBottom w:val="0"/>
      <w:divBdr>
        <w:top w:val="none" w:sz="0" w:space="0" w:color="auto"/>
        <w:left w:val="none" w:sz="0" w:space="0" w:color="auto"/>
        <w:bottom w:val="none" w:sz="0" w:space="0" w:color="auto"/>
        <w:right w:val="none" w:sz="0" w:space="0" w:color="auto"/>
      </w:divBdr>
    </w:div>
    <w:div w:id="417750914">
      <w:bodyDiv w:val="1"/>
      <w:marLeft w:val="0"/>
      <w:marRight w:val="0"/>
      <w:marTop w:val="0"/>
      <w:marBottom w:val="0"/>
      <w:divBdr>
        <w:top w:val="none" w:sz="0" w:space="0" w:color="auto"/>
        <w:left w:val="none" w:sz="0" w:space="0" w:color="auto"/>
        <w:bottom w:val="none" w:sz="0" w:space="0" w:color="auto"/>
        <w:right w:val="none" w:sz="0" w:space="0" w:color="auto"/>
      </w:divBdr>
    </w:div>
    <w:div w:id="435948129">
      <w:bodyDiv w:val="1"/>
      <w:marLeft w:val="0"/>
      <w:marRight w:val="0"/>
      <w:marTop w:val="0"/>
      <w:marBottom w:val="0"/>
      <w:divBdr>
        <w:top w:val="none" w:sz="0" w:space="0" w:color="auto"/>
        <w:left w:val="none" w:sz="0" w:space="0" w:color="auto"/>
        <w:bottom w:val="none" w:sz="0" w:space="0" w:color="auto"/>
        <w:right w:val="none" w:sz="0" w:space="0" w:color="auto"/>
      </w:divBdr>
    </w:div>
    <w:div w:id="440149612">
      <w:bodyDiv w:val="1"/>
      <w:marLeft w:val="0"/>
      <w:marRight w:val="0"/>
      <w:marTop w:val="0"/>
      <w:marBottom w:val="0"/>
      <w:divBdr>
        <w:top w:val="none" w:sz="0" w:space="0" w:color="auto"/>
        <w:left w:val="none" w:sz="0" w:space="0" w:color="auto"/>
        <w:bottom w:val="none" w:sz="0" w:space="0" w:color="auto"/>
        <w:right w:val="none" w:sz="0" w:space="0" w:color="auto"/>
      </w:divBdr>
      <w:divsChild>
        <w:div w:id="1953826630">
          <w:marLeft w:val="0"/>
          <w:marRight w:val="0"/>
          <w:marTop w:val="0"/>
          <w:marBottom w:val="0"/>
          <w:divBdr>
            <w:top w:val="none" w:sz="0" w:space="0" w:color="auto"/>
            <w:left w:val="none" w:sz="0" w:space="0" w:color="auto"/>
            <w:bottom w:val="none" w:sz="0" w:space="0" w:color="auto"/>
            <w:right w:val="none" w:sz="0" w:space="0" w:color="auto"/>
          </w:divBdr>
          <w:divsChild>
            <w:div w:id="1875338173">
              <w:marLeft w:val="0"/>
              <w:marRight w:val="0"/>
              <w:marTop w:val="0"/>
              <w:marBottom w:val="0"/>
              <w:divBdr>
                <w:top w:val="none" w:sz="0" w:space="0" w:color="auto"/>
                <w:left w:val="none" w:sz="0" w:space="0" w:color="auto"/>
                <w:bottom w:val="none" w:sz="0" w:space="0" w:color="auto"/>
                <w:right w:val="none" w:sz="0" w:space="0" w:color="auto"/>
              </w:divBdr>
              <w:divsChild>
                <w:div w:id="172309461">
                  <w:marLeft w:val="0"/>
                  <w:marRight w:val="0"/>
                  <w:marTop w:val="0"/>
                  <w:marBottom w:val="0"/>
                  <w:divBdr>
                    <w:top w:val="none" w:sz="0" w:space="0" w:color="auto"/>
                    <w:left w:val="none" w:sz="0" w:space="0" w:color="auto"/>
                    <w:bottom w:val="none" w:sz="0" w:space="0" w:color="auto"/>
                    <w:right w:val="none" w:sz="0" w:space="0" w:color="auto"/>
                  </w:divBdr>
                  <w:divsChild>
                    <w:div w:id="76558910">
                      <w:marLeft w:val="0"/>
                      <w:marRight w:val="0"/>
                      <w:marTop w:val="0"/>
                      <w:marBottom w:val="0"/>
                      <w:divBdr>
                        <w:top w:val="none" w:sz="0" w:space="0" w:color="auto"/>
                        <w:left w:val="none" w:sz="0" w:space="0" w:color="auto"/>
                        <w:bottom w:val="none" w:sz="0" w:space="0" w:color="auto"/>
                        <w:right w:val="none" w:sz="0" w:space="0" w:color="auto"/>
                      </w:divBdr>
                      <w:divsChild>
                        <w:div w:id="16624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87638">
      <w:bodyDiv w:val="1"/>
      <w:marLeft w:val="0"/>
      <w:marRight w:val="0"/>
      <w:marTop w:val="0"/>
      <w:marBottom w:val="0"/>
      <w:divBdr>
        <w:top w:val="none" w:sz="0" w:space="0" w:color="auto"/>
        <w:left w:val="none" w:sz="0" w:space="0" w:color="auto"/>
        <w:bottom w:val="none" w:sz="0" w:space="0" w:color="auto"/>
        <w:right w:val="none" w:sz="0" w:space="0" w:color="auto"/>
      </w:divBdr>
    </w:div>
    <w:div w:id="515340056">
      <w:bodyDiv w:val="1"/>
      <w:marLeft w:val="0"/>
      <w:marRight w:val="0"/>
      <w:marTop w:val="0"/>
      <w:marBottom w:val="0"/>
      <w:divBdr>
        <w:top w:val="none" w:sz="0" w:space="0" w:color="auto"/>
        <w:left w:val="none" w:sz="0" w:space="0" w:color="auto"/>
        <w:bottom w:val="none" w:sz="0" w:space="0" w:color="auto"/>
        <w:right w:val="none" w:sz="0" w:space="0" w:color="auto"/>
      </w:divBdr>
    </w:div>
    <w:div w:id="517541816">
      <w:bodyDiv w:val="1"/>
      <w:marLeft w:val="0"/>
      <w:marRight w:val="0"/>
      <w:marTop w:val="0"/>
      <w:marBottom w:val="0"/>
      <w:divBdr>
        <w:top w:val="none" w:sz="0" w:space="0" w:color="auto"/>
        <w:left w:val="none" w:sz="0" w:space="0" w:color="auto"/>
        <w:bottom w:val="none" w:sz="0" w:space="0" w:color="auto"/>
        <w:right w:val="none" w:sz="0" w:space="0" w:color="auto"/>
      </w:divBdr>
    </w:div>
    <w:div w:id="533349016">
      <w:bodyDiv w:val="1"/>
      <w:marLeft w:val="0"/>
      <w:marRight w:val="0"/>
      <w:marTop w:val="0"/>
      <w:marBottom w:val="0"/>
      <w:divBdr>
        <w:top w:val="none" w:sz="0" w:space="0" w:color="auto"/>
        <w:left w:val="none" w:sz="0" w:space="0" w:color="auto"/>
        <w:bottom w:val="none" w:sz="0" w:space="0" w:color="auto"/>
        <w:right w:val="none" w:sz="0" w:space="0" w:color="auto"/>
      </w:divBdr>
      <w:divsChild>
        <w:div w:id="2085912419">
          <w:marLeft w:val="0"/>
          <w:marRight w:val="0"/>
          <w:marTop w:val="0"/>
          <w:marBottom w:val="0"/>
          <w:divBdr>
            <w:top w:val="none" w:sz="0" w:space="0" w:color="auto"/>
            <w:left w:val="none" w:sz="0" w:space="0" w:color="auto"/>
            <w:bottom w:val="none" w:sz="0" w:space="0" w:color="auto"/>
            <w:right w:val="none" w:sz="0" w:space="0" w:color="auto"/>
          </w:divBdr>
          <w:divsChild>
            <w:div w:id="918054052">
              <w:marLeft w:val="0"/>
              <w:marRight w:val="0"/>
              <w:marTop w:val="0"/>
              <w:marBottom w:val="0"/>
              <w:divBdr>
                <w:top w:val="none" w:sz="0" w:space="0" w:color="auto"/>
                <w:left w:val="none" w:sz="0" w:space="0" w:color="auto"/>
                <w:bottom w:val="none" w:sz="0" w:space="0" w:color="auto"/>
                <w:right w:val="none" w:sz="0" w:space="0" w:color="auto"/>
              </w:divBdr>
              <w:divsChild>
                <w:div w:id="1045524656">
                  <w:marLeft w:val="0"/>
                  <w:marRight w:val="0"/>
                  <w:marTop w:val="0"/>
                  <w:marBottom w:val="0"/>
                  <w:divBdr>
                    <w:top w:val="none" w:sz="0" w:space="0" w:color="auto"/>
                    <w:left w:val="none" w:sz="0" w:space="0" w:color="auto"/>
                    <w:bottom w:val="none" w:sz="0" w:space="0" w:color="auto"/>
                    <w:right w:val="none" w:sz="0" w:space="0" w:color="auto"/>
                  </w:divBdr>
                  <w:divsChild>
                    <w:div w:id="1591550259">
                      <w:marLeft w:val="0"/>
                      <w:marRight w:val="0"/>
                      <w:marTop w:val="0"/>
                      <w:marBottom w:val="0"/>
                      <w:divBdr>
                        <w:top w:val="none" w:sz="0" w:space="0" w:color="auto"/>
                        <w:left w:val="none" w:sz="0" w:space="0" w:color="auto"/>
                        <w:bottom w:val="none" w:sz="0" w:space="0" w:color="auto"/>
                        <w:right w:val="none" w:sz="0" w:space="0" w:color="auto"/>
                      </w:divBdr>
                      <w:divsChild>
                        <w:div w:id="17614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532652">
      <w:bodyDiv w:val="1"/>
      <w:marLeft w:val="0"/>
      <w:marRight w:val="0"/>
      <w:marTop w:val="0"/>
      <w:marBottom w:val="0"/>
      <w:divBdr>
        <w:top w:val="none" w:sz="0" w:space="0" w:color="auto"/>
        <w:left w:val="none" w:sz="0" w:space="0" w:color="auto"/>
        <w:bottom w:val="none" w:sz="0" w:space="0" w:color="auto"/>
        <w:right w:val="none" w:sz="0" w:space="0" w:color="auto"/>
      </w:divBdr>
    </w:div>
    <w:div w:id="579484502">
      <w:bodyDiv w:val="1"/>
      <w:marLeft w:val="0"/>
      <w:marRight w:val="0"/>
      <w:marTop w:val="0"/>
      <w:marBottom w:val="0"/>
      <w:divBdr>
        <w:top w:val="none" w:sz="0" w:space="0" w:color="auto"/>
        <w:left w:val="none" w:sz="0" w:space="0" w:color="auto"/>
        <w:bottom w:val="none" w:sz="0" w:space="0" w:color="auto"/>
        <w:right w:val="none" w:sz="0" w:space="0" w:color="auto"/>
      </w:divBdr>
    </w:div>
    <w:div w:id="581838871">
      <w:bodyDiv w:val="1"/>
      <w:marLeft w:val="0"/>
      <w:marRight w:val="0"/>
      <w:marTop w:val="0"/>
      <w:marBottom w:val="0"/>
      <w:divBdr>
        <w:top w:val="none" w:sz="0" w:space="0" w:color="auto"/>
        <w:left w:val="none" w:sz="0" w:space="0" w:color="auto"/>
        <w:bottom w:val="none" w:sz="0" w:space="0" w:color="auto"/>
        <w:right w:val="none" w:sz="0" w:space="0" w:color="auto"/>
      </w:divBdr>
    </w:div>
    <w:div w:id="610206271">
      <w:bodyDiv w:val="1"/>
      <w:marLeft w:val="0"/>
      <w:marRight w:val="0"/>
      <w:marTop w:val="0"/>
      <w:marBottom w:val="0"/>
      <w:divBdr>
        <w:top w:val="none" w:sz="0" w:space="0" w:color="auto"/>
        <w:left w:val="none" w:sz="0" w:space="0" w:color="auto"/>
        <w:bottom w:val="none" w:sz="0" w:space="0" w:color="auto"/>
        <w:right w:val="none" w:sz="0" w:space="0" w:color="auto"/>
      </w:divBdr>
    </w:div>
    <w:div w:id="617949807">
      <w:bodyDiv w:val="1"/>
      <w:marLeft w:val="0"/>
      <w:marRight w:val="0"/>
      <w:marTop w:val="0"/>
      <w:marBottom w:val="0"/>
      <w:divBdr>
        <w:top w:val="none" w:sz="0" w:space="0" w:color="auto"/>
        <w:left w:val="none" w:sz="0" w:space="0" w:color="auto"/>
        <w:bottom w:val="none" w:sz="0" w:space="0" w:color="auto"/>
        <w:right w:val="none" w:sz="0" w:space="0" w:color="auto"/>
      </w:divBdr>
    </w:div>
    <w:div w:id="652027022">
      <w:bodyDiv w:val="1"/>
      <w:marLeft w:val="0"/>
      <w:marRight w:val="0"/>
      <w:marTop w:val="0"/>
      <w:marBottom w:val="0"/>
      <w:divBdr>
        <w:top w:val="none" w:sz="0" w:space="0" w:color="auto"/>
        <w:left w:val="none" w:sz="0" w:space="0" w:color="auto"/>
        <w:bottom w:val="none" w:sz="0" w:space="0" w:color="auto"/>
        <w:right w:val="none" w:sz="0" w:space="0" w:color="auto"/>
      </w:divBdr>
    </w:div>
    <w:div w:id="713971180">
      <w:bodyDiv w:val="1"/>
      <w:marLeft w:val="0"/>
      <w:marRight w:val="0"/>
      <w:marTop w:val="0"/>
      <w:marBottom w:val="0"/>
      <w:divBdr>
        <w:top w:val="none" w:sz="0" w:space="0" w:color="auto"/>
        <w:left w:val="none" w:sz="0" w:space="0" w:color="auto"/>
        <w:bottom w:val="none" w:sz="0" w:space="0" w:color="auto"/>
        <w:right w:val="none" w:sz="0" w:space="0" w:color="auto"/>
      </w:divBdr>
    </w:div>
    <w:div w:id="725490424">
      <w:bodyDiv w:val="1"/>
      <w:marLeft w:val="0"/>
      <w:marRight w:val="0"/>
      <w:marTop w:val="0"/>
      <w:marBottom w:val="0"/>
      <w:divBdr>
        <w:top w:val="none" w:sz="0" w:space="0" w:color="auto"/>
        <w:left w:val="none" w:sz="0" w:space="0" w:color="auto"/>
        <w:bottom w:val="none" w:sz="0" w:space="0" w:color="auto"/>
        <w:right w:val="none" w:sz="0" w:space="0" w:color="auto"/>
      </w:divBdr>
    </w:div>
    <w:div w:id="726077055">
      <w:bodyDiv w:val="1"/>
      <w:marLeft w:val="0"/>
      <w:marRight w:val="0"/>
      <w:marTop w:val="0"/>
      <w:marBottom w:val="0"/>
      <w:divBdr>
        <w:top w:val="none" w:sz="0" w:space="0" w:color="auto"/>
        <w:left w:val="none" w:sz="0" w:space="0" w:color="auto"/>
        <w:bottom w:val="none" w:sz="0" w:space="0" w:color="auto"/>
        <w:right w:val="none" w:sz="0" w:space="0" w:color="auto"/>
      </w:divBdr>
    </w:div>
    <w:div w:id="808937627">
      <w:bodyDiv w:val="1"/>
      <w:marLeft w:val="0"/>
      <w:marRight w:val="0"/>
      <w:marTop w:val="0"/>
      <w:marBottom w:val="0"/>
      <w:divBdr>
        <w:top w:val="none" w:sz="0" w:space="0" w:color="auto"/>
        <w:left w:val="none" w:sz="0" w:space="0" w:color="auto"/>
        <w:bottom w:val="none" w:sz="0" w:space="0" w:color="auto"/>
        <w:right w:val="none" w:sz="0" w:space="0" w:color="auto"/>
      </w:divBdr>
    </w:div>
    <w:div w:id="824979495">
      <w:bodyDiv w:val="1"/>
      <w:marLeft w:val="0"/>
      <w:marRight w:val="0"/>
      <w:marTop w:val="0"/>
      <w:marBottom w:val="0"/>
      <w:divBdr>
        <w:top w:val="none" w:sz="0" w:space="0" w:color="auto"/>
        <w:left w:val="none" w:sz="0" w:space="0" w:color="auto"/>
        <w:bottom w:val="none" w:sz="0" w:space="0" w:color="auto"/>
        <w:right w:val="none" w:sz="0" w:space="0" w:color="auto"/>
      </w:divBdr>
    </w:div>
    <w:div w:id="828057991">
      <w:bodyDiv w:val="1"/>
      <w:marLeft w:val="0"/>
      <w:marRight w:val="0"/>
      <w:marTop w:val="0"/>
      <w:marBottom w:val="0"/>
      <w:divBdr>
        <w:top w:val="none" w:sz="0" w:space="0" w:color="auto"/>
        <w:left w:val="none" w:sz="0" w:space="0" w:color="auto"/>
        <w:bottom w:val="none" w:sz="0" w:space="0" w:color="auto"/>
        <w:right w:val="none" w:sz="0" w:space="0" w:color="auto"/>
      </w:divBdr>
    </w:div>
    <w:div w:id="831676587">
      <w:bodyDiv w:val="1"/>
      <w:marLeft w:val="0"/>
      <w:marRight w:val="0"/>
      <w:marTop w:val="0"/>
      <w:marBottom w:val="0"/>
      <w:divBdr>
        <w:top w:val="none" w:sz="0" w:space="0" w:color="auto"/>
        <w:left w:val="none" w:sz="0" w:space="0" w:color="auto"/>
        <w:bottom w:val="none" w:sz="0" w:space="0" w:color="auto"/>
        <w:right w:val="none" w:sz="0" w:space="0" w:color="auto"/>
      </w:divBdr>
    </w:div>
    <w:div w:id="831946081">
      <w:bodyDiv w:val="1"/>
      <w:marLeft w:val="0"/>
      <w:marRight w:val="0"/>
      <w:marTop w:val="0"/>
      <w:marBottom w:val="0"/>
      <w:divBdr>
        <w:top w:val="none" w:sz="0" w:space="0" w:color="auto"/>
        <w:left w:val="none" w:sz="0" w:space="0" w:color="auto"/>
        <w:bottom w:val="none" w:sz="0" w:space="0" w:color="auto"/>
        <w:right w:val="none" w:sz="0" w:space="0" w:color="auto"/>
      </w:divBdr>
    </w:div>
    <w:div w:id="853305020">
      <w:bodyDiv w:val="1"/>
      <w:marLeft w:val="0"/>
      <w:marRight w:val="0"/>
      <w:marTop w:val="0"/>
      <w:marBottom w:val="0"/>
      <w:divBdr>
        <w:top w:val="none" w:sz="0" w:space="0" w:color="auto"/>
        <w:left w:val="none" w:sz="0" w:space="0" w:color="auto"/>
        <w:bottom w:val="none" w:sz="0" w:space="0" w:color="auto"/>
        <w:right w:val="none" w:sz="0" w:space="0" w:color="auto"/>
      </w:divBdr>
    </w:div>
    <w:div w:id="855660354">
      <w:bodyDiv w:val="1"/>
      <w:marLeft w:val="0"/>
      <w:marRight w:val="0"/>
      <w:marTop w:val="0"/>
      <w:marBottom w:val="0"/>
      <w:divBdr>
        <w:top w:val="none" w:sz="0" w:space="0" w:color="auto"/>
        <w:left w:val="none" w:sz="0" w:space="0" w:color="auto"/>
        <w:bottom w:val="none" w:sz="0" w:space="0" w:color="auto"/>
        <w:right w:val="none" w:sz="0" w:space="0" w:color="auto"/>
      </w:divBdr>
    </w:div>
    <w:div w:id="864755064">
      <w:bodyDiv w:val="1"/>
      <w:marLeft w:val="0"/>
      <w:marRight w:val="0"/>
      <w:marTop w:val="0"/>
      <w:marBottom w:val="0"/>
      <w:divBdr>
        <w:top w:val="none" w:sz="0" w:space="0" w:color="auto"/>
        <w:left w:val="none" w:sz="0" w:space="0" w:color="auto"/>
        <w:bottom w:val="none" w:sz="0" w:space="0" w:color="auto"/>
        <w:right w:val="none" w:sz="0" w:space="0" w:color="auto"/>
      </w:divBdr>
    </w:div>
    <w:div w:id="867448797">
      <w:bodyDiv w:val="1"/>
      <w:marLeft w:val="0"/>
      <w:marRight w:val="0"/>
      <w:marTop w:val="0"/>
      <w:marBottom w:val="0"/>
      <w:divBdr>
        <w:top w:val="none" w:sz="0" w:space="0" w:color="auto"/>
        <w:left w:val="none" w:sz="0" w:space="0" w:color="auto"/>
        <w:bottom w:val="none" w:sz="0" w:space="0" w:color="auto"/>
        <w:right w:val="none" w:sz="0" w:space="0" w:color="auto"/>
      </w:divBdr>
    </w:div>
    <w:div w:id="872808902">
      <w:bodyDiv w:val="1"/>
      <w:marLeft w:val="0"/>
      <w:marRight w:val="0"/>
      <w:marTop w:val="0"/>
      <w:marBottom w:val="0"/>
      <w:divBdr>
        <w:top w:val="none" w:sz="0" w:space="0" w:color="auto"/>
        <w:left w:val="none" w:sz="0" w:space="0" w:color="auto"/>
        <w:bottom w:val="none" w:sz="0" w:space="0" w:color="auto"/>
        <w:right w:val="none" w:sz="0" w:space="0" w:color="auto"/>
      </w:divBdr>
    </w:div>
    <w:div w:id="950355505">
      <w:bodyDiv w:val="1"/>
      <w:marLeft w:val="0"/>
      <w:marRight w:val="0"/>
      <w:marTop w:val="0"/>
      <w:marBottom w:val="0"/>
      <w:divBdr>
        <w:top w:val="none" w:sz="0" w:space="0" w:color="auto"/>
        <w:left w:val="none" w:sz="0" w:space="0" w:color="auto"/>
        <w:bottom w:val="none" w:sz="0" w:space="0" w:color="auto"/>
        <w:right w:val="none" w:sz="0" w:space="0" w:color="auto"/>
      </w:divBdr>
    </w:div>
    <w:div w:id="1061056804">
      <w:bodyDiv w:val="1"/>
      <w:marLeft w:val="0"/>
      <w:marRight w:val="0"/>
      <w:marTop w:val="0"/>
      <w:marBottom w:val="0"/>
      <w:divBdr>
        <w:top w:val="none" w:sz="0" w:space="0" w:color="auto"/>
        <w:left w:val="none" w:sz="0" w:space="0" w:color="auto"/>
        <w:bottom w:val="none" w:sz="0" w:space="0" w:color="auto"/>
        <w:right w:val="none" w:sz="0" w:space="0" w:color="auto"/>
      </w:divBdr>
    </w:div>
    <w:div w:id="1110010142">
      <w:bodyDiv w:val="1"/>
      <w:marLeft w:val="0"/>
      <w:marRight w:val="0"/>
      <w:marTop w:val="0"/>
      <w:marBottom w:val="0"/>
      <w:divBdr>
        <w:top w:val="none" w:sz="0" w:space="0" w:color="auto"/>
        <w:left w:val="none" w:sz="0" w:space="0" w:color="auto"/>
        <w:bottom w:val="none" w:sz="0" w:space="0" w:color="auto"/>
        <w:right w:val="none" w:sz="0" w:space="0" w:color="auto"/>
      </w:divBdr>
    </w:div>
    <w:div w:id="1169559192">
      <w:bodyDiv w:val="1"/>
      <w:marLeft w:val="0"/>
      <w:marRight w:val="0"/>
      <w:marTop w:val="0"/>
      <w:marBottom w:val="0"/>
      <w:divBdr>
        <w:top w:val="none" w:sz="0" w:space="0" w:color="auto"/>
        <w:left w:val="none" w:sz="0" w:space="0" w:color="auto"/>
        <w:bottom w:val="none" w:sz="0" w:space="0" w:color="auto"/>
        <w:right w:val="none" w:sz="0" w:space="0" w:color="auto"/>
      </w:divBdr>
    </w:div>
    <w:div w:id="1181236132">
      <w:bodyDiv w:val="1"/>
      <w:marLeft w:val="0"/>
      <w:marRight w:val="0"/>
      <w:marTop w:val="0"/>
      <w:marBottom w:val="0"/>
      <w:divBdr>
        <w:top w:val="none" w:sz="0" w:space="0" w:color="auto"/>
        <w:left w:val="none" w:sz="0" w:space="0" w:color="auto"/>
        <w:bottom w:val="none" w:sz="0" w:space="0" w:color="auto"/>
        <w:right w:val="none" w:sz="0" w:space="0" w:color="auto"/>
      </w:divBdr>
    </w:div>
    <w:div w:id="1213931300">
      <w:bodyDiv w:val="1"/>
      <w:marLeft w:val="0"/>
      <w:marRight w:val="0"/>
      <w:marTop w:val="0"/>
      <w:marBottom w:val="0"/>
      <w:divBdr>
        <w:top w:val="none" w:sz="0" w:space="0" w:color="auto"/>
        <w:left w:val="none" w:sz="0" w:space="0" w:color="auto"/>
        <w:bottom w:val="none" w:sz="0" w:space="0" w:color="auto"/>
        <w:right w:val="none" w:sz="0" w:space="0" w:color="auto"/>
      </w:divBdr>
    </w:div>
    <w:div w:id="1222062687">
      <w:bodyDiv w:val="1"/>
      <w:marLeft w:val="0"/>
      <w:marRight w:val="0"/>
      <w:marTop w:val="0"/>
      <w:marBottom w:val="0"/>
      <w:divBdr>
        <w:top w:val="none" w:sz="0" w:space="0" w:color="auto"/>
        <w:left w:val="none" w:sz="0" w:space="0" w:color="auto"/>
        <w:bottom w:val="none" w:sz="0" w:space="0" w:color="auto"/>
        <w:right w:val="none" w:sz="0" w:space="0" w:color="auto"/>
      </w:divBdr>
    </w:div>
    <w:div w:id="1224364781">
      <w:bodyDiv w:val="1"/>
      <w:marLeft w:val="0"/>
      <w:marRight w:val="0"/>
      <w:marTop w:val="0"/>
      <w:marBottom w:val="0"/>
      <w:divBdr>
        <w:top w:val="none" w:sz="0" w:space="0" w:color="auto"/>
        <w:left w:val="none" w:sz="0" w:space="0" w:color="auto"/>
        <w:bottom w:val="none" w:sz="0" w:space="0" w:color="auto"/>
        <w:right w:val="none" w:sz="0" w:space="0" w:color="auto"/>
      </w:divBdr>
    </w:div>
    <w:div w:id="1300114640">
      <w:bodyDiv w:val="1"/>
      <w:marLeft w:val="0"/>
      <w:marRight w:val="0"/>
      <w:marTop w:val="0"/>
      <w:marBottom w:val="0"/>
      <w:divBdr>
        <w:top w:val="none" w:sz="0" w:space="0" w:color="auto"/>
        <w:left w:val="none" w:sz="0" w:space="0" w:color="auto"/>
        <w:bottom w:val="none" w:sz="0" w:space="0" w:color="auto"/>
        <w:right w:val="none" w:sz="0" w:space="0" w:color="auto"/>
      </w:divBdr>
    </w:div>
    <w:div w:id="1310789559">
      <w:bodyDiv w:val="1"/>
      <w:marLeft w:val="0"/>
      <w:marRight w:val="0"/>
      <w:marTop w:val="0"/>
      <w:marBottom w:val="0"/>
      <w:divBdr>
        <w:top w:val="none" w:sz="0" w:space="0" w:color="auto"/>
        <w:left w:val="none" w:sz="0" w:space="0" w:color="auto"/>
        <w:bottom w:val="none" w:sz="0" w:space="0" w:color="auto"/>
        <w:right w:val="none" w:sz="0" w:space="0" w:color="auto"/>
      </w:divBdr>
    </w:div>
    <w:div w:id="1313632283">
      <w:bodyDiv w:val="1"/>
      <w:marLeft w:val="0"/>
      <w:marRight w:val="0"/>
      <w:marTop w:val="0"/>
      <w:marBottom w:val="0"/>
      <w:divBdr>
        <w:top w:val="none" w:sz="0" w:space="0" w:color="auto"/>
        <w:left w:val="none" w:sz="0" w:space="0" w:color="auto"/>
        <w:bottom w:val="none" w:sz="0" w:space="0" w:color="auto"/>
        <w:right w:val="none" w:sz="0" w:space="0" w:color="auto"/>
      </w:divBdr>
    </w:div>
    <w:div w:id="1314532068">
      <w:bodyDiv w:val="1"/>
      <w:marLeft w:val="0"/>
      <w:marRight w:val="0"/>
      <w:marTop w:val="0"/>
      <w:marBottom w:val="0"/>
      <w:divBdr>
        <w:top w:val="none" w:sz="0" w:space="0" w:color="auto"/>
        <w:left w:val="none" w:sz="0" w:space="0" w:color="auto"/>
        <w:bottom w:val="none" w:sz="0" w:space="0" w:color="auto"/>
        <w:right w:val="none" w:sz="0" w:space="0" w:color="auto"/>
      </w:divBdr>
    </w:div>
    <w:div w:id="1372144485">
      <w:bodyDiv w:val="1"/>
      <w:marLeft w:val="0"/>
      <w:marRight w:val="0"/>
      <w:marTop w:val="0"/>
      <w:marBottom w:val="0"/>
      <w:divBdr>
        <w:top w:val="none" w:sz="0" w:space="0" w:color="auto"/>
        <w:left w:val="none" w:sz="0" w:space="0" w:color="auto"/>
        <w:bottom w:val="none" w:sz="0" w:space="0" w:color="auto"/>
        <w:right w:val="none" w:sz="0" w:space="0" w:color="auto"/>
      </w:divBdr>
    </w:div>
    <w:div w:id="1374815338">
      <w:bodyDiv w:val="1"/>
      <w:marLeft w:val="0"/>
      <w:marRight w:val="0"/>
      <w:marTop w:val="0"/>
      <w:marBottom w:val="0"/>
      <w:divBdr>
        <w:top w:val="none" w:sz="0" w:space="0" w:color="auto"/>
        <w:left w:val="none" w:sz="0" w:space="0" w:color="auto"/>
        <w:bottom w:val="none" w:sz="0" w:space="0" w:color="auto"/>
        <w:right w:val="none" w:sz="0" w:space="0" w:color="auto"/>
      </w:divBdr>
    </w:div>
    <w:div w:id="1375933980">
      <w:bodyDiv w:val="1"/>
      <w:marLeft w:val="0"/>
      <w:marRight w:val="0"/>
      <w:marTop w:val="0"/>
      <w:marBottom w:val="0"/>
      <w:divBdr>
        <w:top w:val="none" w:sz="0" w:space="0" w:color="auto"/>
        <w:left w:val="none" w:sz="0" w:space="0" w:color="auto"/>
        <w:bottom w:val="none" w:sz="0" w:space="0" w:color="auto"/>
        <w:right w:val="none" w:sz="0" w:space="0" w:color="auto"/>
      </w:divBdr>
    </w:div>
    <w:div w:id="1408651656">
      <w:bodyDiv w:val="1"/>
      <w:marLeft w:val="0"/>
      <w:marRight w:val="0"/>
      <w:marTop w:val="0"/>
      <w:marBottom w:val="0"/>
      <w:divBdr>
        <w:top w:val="none" w:sz="0" w:space="0" w:color="auto"/>
        <w:left w:val="none" w:sz="0" w:space="0" w:color="auto"/>
        <w:bottom w:val="none" w:sz="0" w:space="0" w:color="auto"/>
        <w:right w:val="none" w:sz="0" w:space="0" w:color="auto"/>
      </w:divBdr>
    </w:div>
    <w:div w:id="1433476554">
      <w:bodyDiv w:val="1"/>
      <w:marLeft w:val="0"/>
      <w:marRight w:val="0"/>
      <w:marTop w:val="0"/>
      <w:marBottom w:val="0"/>
      <w:divBdr>
        <w:top w:val="none" w:sz="0" w:space="0" w:color="auto"/>
        <w:left w:val="none" w:sz="0" w:space="0" w:color="auto"/>
        <w:bottom w:val="none" w:sz="0" w:space="0" w:color="auto"/>
        <w:right w:val="none" w:sz="0" w:space="0" w:color="auto"/>
      </w:divBdr>
    </w:div>
    <w:div w:id="1472868914">
      <w:bodyDiv w:val="1"/>
      <w:marLeft w:val="0"/>
      <w:marRight w:val="0"/>
      <w:marTop w:val="0"/>
      <w:marBottom w:val="0"/>
      <w:divBdr>
        <w:top w:val="none" w:sz="0" w:space="0" w:color="auto"/>
        <w:left w:val="none" w:sz="0" w:space="0" w:color="auto"/>
        <w:bottom w:val="none" w:sz="0" w:space="0" w:color="auto"/>
        <w:right w:val="none" w:sz="0" w:space="0" w:color="auto"/>
      </w:divBdr>
    </w:div>
    <w:div w:id="1513566766">
      <w:bodyDiv w:val="1"/>
      <w:marLeft w:val="0"/>
      <w:marRight w:val="0"/>
      <w:marTop w:val="0"/>
      <w:marBottom w:val="0"/>
      <w:divBdr>
        <w:top w:val="none" w:sz="0" w:space="0" w:color="auto"/>
        <w:left w:val="none" w:sz="0" w:space="0" w:color="auto"/>
        <w:bottom w:val="none" w:sz="0" w:space="0" w:color="auto"/>
        <w:right w:val="none" w:sz="0" w:space="0" w:color="auto"/>
      </w:divBdr>
    </w:div>
    <w:div w:id="1532299370">
      <w:bodyDiv w:val="1"/>
      <w:marLeft w:val="0"/>
      <w:marRight w:val="0"/>
      <w:marTop w:val="0"/>
      <w:marBottom w:val="0"/>
      <w:divBdr>
        <w:top w:val="none" w:sz="0" w:space="0" w:color="auto"/>
        <w:left w:val="none" w:sz="0" w:space="0" w:color="auto"/>
        <w:bottom w:val="none" w:sz="0" w:space="0" w:color="auto"/>
        <w:right w:val="none" w:sz="0" w:space="0" w:color="auto"/>
      </w:divBdr>
    </w:div>
    <w:div w:id="1536384076">
      <w:bodyDiv w:val="1"/>
      <w:marLeft w:val="0"/>
      <w:marRight w:val="0"/>
      <w:marTop w:val="0"/>
      <w:marBottom w:val="0"/>
      <w:divBdr>
        <w:top w:val="none" w:sz="0" w:space="0" w:color="auto"/>
        <w:left w:val="none" w:sz="0" w:space="0" w:color="auto"/>
        <w:bottom w:val="none" w:sz="0" w:space="0" w:color="auto"/>
        <w:right w:val="none" w:sz="0" w:space="0" w:color="auto"/>
      </w:divBdr>
    </w:div>
    <w:div w:id="1538395122">
      <w:bodyDiv w:val="1"/>
      <w:marLeft w:val="0"/>
      <w:marRight w:val="0"/>
      <w:marTop w:val="0"/>
      <w:marBottom w:val="0"/>
      <w:divBdr>
        <w:top w:val="none" w:sz="0" w:space="0" w:color="auto"/>
        <w:left w:val="none" w:sz="0" w:space="0" w:color="auto"/>
        <w:bottom w:val="none" w:sz="0" w:space="0" w:color="auto"/>
        <w:right w:val="none" w:sz="0" w:space="0" w:color="auto"/>
      </w:divBdr>
    </w:div>
    <w:div w:id="1560172256">
      <w:bodyDiv w:val="1"/>
      <w:marLeft w:val="0"/>
      <w:marRight w:val="0"/>
      <w:marTop w:val="0"/>
      <w:marBottom w:val="0"/>
      <w:divBdr>
        <w:top w:val="none" w:sz="0" w:space="0" w:color="auto"/>
        <w:left w:val="none" w:sz="0" w:space="0" w:color="auto"/>
        <w:bottom w:val="none" w:sz="0" w:space="0" w:color="auto"/>
        <w:right w:val="none" w:sz="0" w:space="0" w:color="auto"/>
      </w:divBdr>
    </w:div>
    <w:div w:id="1562717128">
      <w:bodyDiv w:val="1"/>
      <w:marLeft w:val="0"/>
      <w:marRight w:val="0"/>
      <w:marTop w:val="0"/>
      <w:marBottom w:val="0"/>
      <w:divBdr>
        <w:top w:val="none" w:sz="0" w:space="0" w:color="auto"/>
        <w:left w:val="none" w:sz="0" w:space="0" w:color="auto"/>
        <w:bottom w:val="none" w:sz="0" w:space="0" w:color="auto"/>
        <w:right w:val="none" w:sz="0" w:space="0" w:color="auto"/>
      </w:divBdr>
    </w:div>
    <w:div w:id="1570459173">
      <w:bodyDiv w:val="1"/>
      <w:marLeft w:val="0"/>
      <w:marRight w:val="0"/>
      <w:marTop w:val="0"/>
      <w:marBottom w:val="0"/>
      <w:divBdr>
        <w:top w:val="none" w:sz="0" w:space="0" w:color="auto"/>
        <w:left w:val="none" w:sz="0" w:space="0" w:color="auto"/>
        <w:bottom w:val="none" w:sz="0" w:space="0" w:color="auto"/>
        <w:right w:val="none" w:sz="0" w:space="0" w:color="auto"/>
      </w:divBdr>
    </w:div>
    <w:div w:id="1633055993">
      <w:bodyDiv w:val="1"/>
      <w:marLeft w:val="0"/>
      <w:marRight w:val="0"/>
      <w:marTop w:val="0"/>
      <w:marBottom w:val="0"/>
      <w:divBdr>
        <w:top w:val="none" w:sz="0" w:space="0" w:color="auto"/>
        <w:left w:val="none" w:sz="0" w:space="0" w:color="auto"/>
        <w:bottom w:val="none" w:sz="0" w:space="0" w:color="auto"/>
        <w:right w:val="none" w:sz="0" w:space="0" w:color="auto"/>
      </w:divBdr>
    </w:div>
    <w:div w:id="1686663355">
      <w:bodyDiv w:val="1"/>
      <w:marLeft w:val="0"/>
      <w:marRight w:val="0"/>
      <w:marTop w:val="0"/>
      <w:marBottom w:val="0"/>
      <w:divBdr>
        <w:top w:val="none" w:sz="0" w:space="0" w:color="auto"/>
        <w:left w:val="none" w:sz="0" w:space="0" w:color="auto"/>
        <w:bottom w:val="none" w:sz="0" w:space="0" w:color="auto"/>
        <w:right w:val="none" w:sz="0" w:space="0" w:color="auto"/>
      </w:divBdr>
    </w:div>
    <w:div w:id="1709909342">
      <w:bodyDiv w:val="1"/>
      <w:marLeft w:val="0"/>
      <w:marRight w:val="0"/>
      <w:marTop w:val="0"/>
      <w:marBottom w:val="0"/>
      <w:divBdr>
        <w:top w:val="none" w:sz="0" w:space="0" w:color="auto"/>
        <w:left w:val="none" w:sz="0" w:space="0" w:color="auto"/>
        <w:bottom w:val="none" w:sz="0" w:space="0" w:color="auto"/>
        <w:right w:val="none" w:sz="0" w:space="0" w:color="auto"/>
      </w:divBdr>
    </w:div>
    <w:div w:id="1710691312">
      <w:bodyDiv w:val="1"/>
      <w:marLeft w:val="0"/>
      <w:marRight w:val="0"/>
      <w:marTop w:val="0"/>
      <w:marBottom w:val="0"/>
      <w:divBdr>
        <w:top w:val="none" w:sz="0" w:space="0" w:color="auto"/>
        <w:left w:val="none" w:sz="0" w:space="0" w:color="auto"/>
        <w:bottom w:val="none" w:sz="0" w:space="0" w:color="auto"/>
        <w:right w:val="none" w:sz="0" w:space="0" w:color="auto"/>
      </w:divBdr>
    </w:div>
    <w:div w:id="1745031222">
      <w:bodyDiv w:val="1"/>
      <w:marLeft w:val="0"/>
      <w:marRight w:val="0"/>
      <w:marTop w:val="0"/>
      <w:marBottom w:val="0"/>
      <w:divBdr>
        <w:top w:val="none" w:sz="0" w:space="0" w:color="auto"/>
        <w:left w:val="none" w:sz="0" w:space="0" w:color="auto"/>
        <w:bottom w:val="none" w:sz="0" w:space="0" w:color="auto"/>
        <w:right w:val="none" w:sz="0" w:space="0" w:color="auto"/>
      </w:divBdr>
    </w:div>
    <w:div w:id="1746101118">
      <w:bodyDiv w:val="1"/>
      <w:marLeft w:val="0"/>
      <w:marRight w:val="0"/>
      <w:marTop w:val="0"/>
      <w:marBottom w:val="0"/>
      <w:divBdr>
        <w:top w:val="none" w:sz="0" w:space="0" w:color="auto"/>
        <w:left w:val="none" w:sz="0" w:space="0" w:color="auto"/>
        <w:bottom w:val="none" w:sz="0" w:space="0" w:color="auto"/>
        <w:right w:val="none" w:sz="0" w:space="0" w:color="auto"/>
      </w:divBdr>
    </w:div>
    <w:div w:id="1746486216">
      <w:bodyDiv w:val="1"/>
      <w:marLeft w:val="0"/>
      <w:marRight w:val="0"/>
      <w:marTop w:val="0"/>
      <w:marBottom w:val="0"/>
      <w:divBdr>
        <w:top w:val="none" w:sz="0" w:space="0" w:color="auto"/>
        <w:left w:val="none" w:sz="0" w:space="0" w:color="auto"/>
        <w:bottom w:val="none" w:sz="0" w:space="0" w:color="auto"/>
        <w:right w:val="none" w:sz="0" w:space="0" w:color="auto"/>
      </w:divBdr>
    </w:div>
    <w:div w:id="1747530864">
      <w:bodyDiv w:val="1"/>
      <w:marLeft w:val="0"/>
      <w:marRight w:val="0"/>
      <w:marTop w:val="0"/>
      <w:marBottom w:val="0"/>
      <w:divBdr>
        <w:top w:val="none" w:sz="0" w:space="0" w:color="auto"/>
        <w:left w:val="none" w:sz="0" w:space="0" w:color="auto"/>
        <w:bottom w:val="none" w:sz="0" w:space="0" w:color="auto"/>
        <w:right w:val="none" w:sz="0" w:space="0" w:color="auto"/>
      </w:divBdr>
    </w:div>
    <w:div w:id="1772701336">
      <w:bodyDiv w:val="1"/>
      <w:marLeft w:val="0"/>
      <w:marRight w:val="0"/>
      <w:marTop w:val="0"/>
      <w:marBottom w:val="0"/>
      <w:divBdr>
        <w:top w:val="none" w:sz="0" w:space="0" w:color="auto"/>
        <w:left w:val="none" w:sz="0" w:space="0" w:color="auto"/>
        <w:bottom w:val="none" w:sz="0" w:space="0" w:color="auto"/>
        <w:right w:val="none" w:sz="0" w:space="0" w:color="auto"/>
      </w:divBdr>
    </w:div>
    <w:div w:id="1778713799">
      <w:bodyDiv w:val="1"/>
      <w:marLeft w:val="0"/>
      <w:marRight w:val="0"/>
      <w:marTop w:val="0"/>
      <w:marBottom w:val="0"/>
      <w:divBdr>
        <w:top w:val="none" w:sz="0" w:space="0" w:color="auto"/>
        <w:left w:val="none" w:sz="0" w:space="0" w:color="auto"/>
        <w:bottom w:val="none" w:sz="0" w:space="0" w:color="auto"/>
        <w:right w:val="none" w:sz="0" w:space="0" w:color="auto"/>
      </w:divBdr>
    </w:div>
    <w:div w:id="1820069875">
      <w:bodyDiv w:val="1"/>
      <w:marLeft w:val="0"/>
      <w:marRight w:val="0"/>
      <w:marTop w:val="0"/>
      <w:marBottom w:val="0"/>
      <w:divBdr>
        <w:top w:val="none" w:sz="0" w:space="0" w:color="auto"/>
        <w:left w:val="none" w:sz="0" w:space="0" w:color="auto"/>
        <w:bottom w:val="none" w:sz="0" w:space="0" w:color="auto"/>
        <w:right w:val="none" w:sz="0" w:space="0" w:color="auto"/>
      </w:divBdr>
    </w:div>
    <w:div w:id="1839079398">
      <w:bodyDiv w:val="1"/>
      <w:marLeft w:val="0"/>
      <w:marRight w:val="0"/>
      <w:marTop w:val="0"/>
      <w:marBottom w:val="0"/>
      <w:divBdr>
        <w:top w:val="none" w:sz="0" w:space="0" w:color="auto"/>
        <w:left w:val="none" w:sz="0" w:space="0" w:color="auto"/>
        <w:bottom w:val="none" w:sz="0" w:space="0" w:color="auto"/>
        <w:right w:val="none" w:sz="0" w:space="0" w:color="auto"/>
      </w:divBdr>
    </w:div>
    <w:div w:id="1846283303">
      <w:bodyDiv w:val="1"/>
      <w:marLeft w:val="0"/>
      <w:marRight w:val="0"/>
      <w:marTop w:val="0"/>
      <w:marBottom w:val="0"/>
      <w:divBdr>
        <w:top w:val="none" w:sz="0" w:space="0" w:color="auto"/>
        <w:left w:val="none" w:sz="0" w:space="0" w:color="auto"/>
        <w:bottom w:val="none" w:sz="0" w:space="0" w:color="auto"/>
        <w:right w:val="none" w:sz="0" w:space="0" w:color="auto"/>
      </w:divBdr>
    </w:div>
    <w:div w:id="1858502427">
      <w:bodyDiv w:val="1"/>
      <w:marLeft w:val="0"/>
      <w:marRight w:val="0"/>
      <w:marTop w:val="0"/>
      <w:marBottom w:val="0"/>
      <w:divBdr>
        <w:top w:val="none" w:sz="0" w:space="0" w:color="auto"/>
        <w:left w:val="none" w:sz="0" w:space="0" w:color="auto"/>
        <w:bottom w:val="none" w:sz="0" w:space="0" w:color="auto"/>
        <w:right w:val="none" w:sz="0" w:space="0" w:color="auto"/>
      </w:divBdr>
    </w:div>
    <w:div w:id="1885553377">
      <w:bodyDiv w:val="1"/>
      <w:marLeft w:val="0"/>
      <w:marRight w:val="0"/>
      <w:marTop w:val="0"/>
      <w:marBottom w:val="0"/>
      <w:divBdr>
        <w:top w:val="none" w:sz="0" w:space="0" w:color="auto"/>
        <w:left w:val="none" w:sz="0" w:space="0" w:color="auto"/>
        <w:bottom w:val="none" w:sz="0" w:space="0" w:color="auto"/>
        <w:right w:val="none" w:sz="0" w:space="0" w:color="auto"/>
      </w:divBdr>
    </w:div>
    <w:div w:id="1890219695">
      <w:bodyDiv w:val="1"/>
      <w:marLeft w:val="0"/>
      <w:marRight w:val="0"/>
      <w:marTop w:val="0"/>
      <w:marBottom w:val="0"/>
      <w:divBdr>
        <w:top w:val="none" w:sz="0" w:space="0" w:color="auto"/>
        <w:left w:val="none" w:sz="0" w:space="0" w:color="auto"/>
        <w:bottom w:val="none" w:sz="0" w:space="0" w:color="auto"/>
        <w:right w:val="none" w:sz="0" w:space="0" w:color="auto"/>
      </w:divBdr>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
    <w:div w:id="1925525070">
      <w:bodyDiv w:val="1"/>
      <w:marLeft w:val="0"/>
      <w:marRight w:val="0"/>
      <w:marTop w:val="0"/>
      <w:marBottom w:val="0"/>
      <w:divBdr>
        <w:top w:val="none" w:sz="0" w:space="0" w:color="auto"/>
        <w:left w:val="none" w:sz="0" w:space="0" w:color="auto"/>
        <w:bottom w:val="none" w:sz="0" w:space="0" w:color="auto"/>
        <w:right w:val="none" w:sz="0" w:space="0" w:color="auto"/>
      </w:divBdr>
    </w:div>
    <w:div w:id="1974092025">
      <w:bodyDiv w:val="1"/>
      <w:marLeft w:val="0"/>
      <w:marRight w:val="0"/>
      <w:marTop w:val="0"/>
      <w:marBottom w:val="0"/>
      <w:divBdr>
        <w:top w:val="none" w:sz="0" w:space="0" w:color="auto"/>
        <w:left w:val="none" w:sz="0" w:space="0" w:color="auto"/>
        <w:bottom w:val="none" w:sz="0" w:space="0" w:color="auto"/>
        <w:right w:val="none" w:sz="0" w:space="0" w:color="auto"/>
      </w:divBdr>
    </w:div>
    <w:div w:id="1981689132">
      <w:bodyDiv w:val="1"/>
      <w:marLeft w:val="0"/>
      <w:marRight w:val="0"/>
      <w:marTop w:val="0"/>
      <w:marBottom w:val="0"/>
      <w:divBdr>
        <w:top w:val="none" w:sz="0" w:space="0" w:color="auto"/>
        <w:left w:val="none" w:sz="0" w:space="0" w:color="auto"/>
        <w:bottom w:val="none" w:sz="0" w:space="0" w:color="auto"/>
        <w:right w:val="none" w:sz="0" w:space="0" w:color="auto"/>
      </w:divBdr>
    </w:div>
    <w:div w:id="1996374747">
      <w:bodyDiv w:val="1"/>
      <w:marLeft w:val="0"/>
      <w:marRight w:val="0"/>
      <w:marTop w:val="0"/>
      <w:marBottom w:val="0"/>
      <w:divBdr>
        <w:top w:val="none" w:sz="0" w:space="0" w:color="auto"/>
        <w:left w:val="none" w:sz="0" w:space="0" w:color="auto"/>
        <w:bottom w:val="none" w:sz="0" w:space="0" w:color="auto"/>
        <w:right w:val="none" w:sz="0" w:space="0" w:color="auto"/>
      </w:divBdr>
    </w:div>
    <w:div w:id="2020309901">
      <w:bodyDiv w:val="1"/>
      <w:marLeft w:val="0"/>
      <w:marRight w:val="0"/>
      <w:marTop w:val="0"/>
      <w:marBottom w:val="0"/>
      <w:divBdr>
        <w:top w:val="none" w:sz="0" w:space="0" w:color="auto"/>
        <w:left w:val="none" w:sz="0" w:space="0" w:color="auto"/>
        <w:bottom w:val="none" w:sz="0" w:space="0" w:color="auto"/>
        <w:right w:val="none" w:sz="0" w:space="0" w:color="auto"/>
      </w:divBdr>
    </w:div>
    <w:div w:id="209585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image" Target="media/image26.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www.tga.gov.au/hp/information-medicines-pi.htm"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hyperlink" Target="http://www.tga.gov.au" TargetMode="External"/><Relationship Id="rId51"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399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377FC-E490-4BD0-A855-4DA0D5407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2</TotalTime>
  <Pages>64</Pages>
  <Words>17068</Words>
  <Characters>97288</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Australian public assessment for Meningococcal (groups A, C, W-135, Y) polysaccharide tetanus toxoid conjugate vaccine</vt:lpstr>
    </vt:vector>
  </TitlesOfParts>
  <Company>Department of Health Therapeutic Goods Administration</Company>
  <LinksUpToDate>false</LinksUpToDate>
  <CharactersWithSpaces>114128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Meningococcal (groups A, C, W-135, Y) polysaccharide tetanus toxoid conjugate vaccine</dc:title>
  <dc:subject>prescription medicine regulation</dc:subject>
  <dc:creator>Therapeutic Goods Administration</dc:creator>
  <cp:keywords>auspar, prescription, medicine, assessment, regulation, australia, meningococcal, group a, group c, group w-135, group y, polysaccharide, tetanus, toxoid, conjugate, vaccine, nimenrix, gloxosmithkline</cp:keywords>
  <cp:lastModifiedBy>dixonj</cp:lastModifiedBy>
  <cp:revision>5</cp:revision>
  <cp:lastPrinted>2010-12-20T22:59:00Z</cp:lastPrinted>
  <dcterms:created xsi:type="dcterms:W3CDTF">2013-12-17T21:34:00Z</dcterms:created>
  <dcterms:modified xsi:type="dcterms:W3CDTF">2013-12-17T21:46:00Z</dcterms:modified>
  <cp:category>External publication</cp:category>
</cp:coreProperties>
</file>