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pril 2018"/>
      </w:tblPr>
      <w:tblGrid>
        <w:gridCol w:w="3652"/>
      </w:tblGrid>
      <w:tr w:rsidR="008E7846" w:rsidRPr="00487162" w14:paraId="3B9F256C" w14:textId="77777777" w:rsidTr="00BF1190">
        <w:trPr>
          <w:trHeight w:val="1863"/>
        </w:trPr>
        <w:tc>
          <w:tcPr>
            <w:tcW w:w="3652" w:type="dxa"/>
            <w:tcBorders>
              <w:top w:val="nil"/>
              <w:left w:val="nil"/>
              <w:bottom w:val="nil"/>
              <w:right w:val="nil"/>
            </w:tcBorders>
          </w:tcPr>
          <w:p w14:paraId="790122C0" w14:textId="1F31E8BE" w:rsidR="008E7846" w:rsidRPr="00096AA7" w:rsidRDefault="00597010" w:rsidP="001B3476">
            <w:pPr>
              <w:rPr>
                <w:rFonts w:ascii="Arial" w:hAnsi="Arial" w:cs="Arial"/>
                <w:b/>
                <w:color w:val="002C47"/>
                <w:sz w:val="36"/>
                <w:szCs w:val="36"/>
              </w:rPr>
            </w:pPr>
            <w:bookmarkStart w:id="0" w:name="_GoBack"/>
            <w:bookmarkEnd w:id="0"/>
            <w:r>
              <w:rPr>
                <w:rFonts w:ascii="Arial" w:hAnsi="Arial" w:cs="Arial"/>
                <w:b/>
                <w:color w:val="002C47"/>
                <w:sz w:val="36"/>
                <w:szCs w:val="36"/>
              </w:rPr>
              <w:t xml:space="preserve">April </w:t>
            </w:r>
            <w:r w:rsidR="00B34330">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Description w:val="April 2018"/>
      </w:tblPr>
      <w:tblGrid>
        <w:gridCol w:w="9079"/>
      </w:tblGrid>
      <w:tr w:rsidR="0032583B" w:rsidRPr="00A964D1" w14:paraId="081E5A2C" w14:textId="77777777" w:rsidTr="0032583B">
        <w:trPr>
          <w:trHeight w:val="868"/>
        </w:trPr>
        <w:tc>
          <w:tcPr>
            <w:tcW w:w="9079" w:type="dxa"/>
          </w:tcPr>
          <w:p w14:paraId="636B7BDF" w14:textId="67FDBAE8" w:rsidR="001B3476" w:rsidRPr="001B3476" w:rsidRDefault="0032583B" w:rsidP="001B3476">
            <w:pPr>
              <w:pStyle w:val="Title"/>
              <w:rPr>
                <w:color w:val="FFFFFF" w:themeColor="background1"/>
              </w:rPr>
            </w:pPr>
            <w:r w:rsidRPr="00A964D1">
              <w:rPr>
                <w:color w:val="FFFFFF" w:themeColor="background1"/>
              </w:rPr>
              <w:t xml:space="preserve">Australian Public Assessment Report for </w:t>
            </w:r>
            <w:r w:rsidR="001B3476">
              <w:rPr>
                <w:color w:val="FFFFFF" w:themeColor="background1"/>
              </w:rPr>
              <w:t>M</w:t>
            </w:r>
            <w:r w:rsidR="001B3476" w:rsidRPr="001B3476">
              <w:rPr>
                <w:color w:val="FFFFFF" w:themeColor="background1"/>
              </w:rPr>
              <w:t>eningococcal (Groups A,</w:t>
            </w:r>
            <w:r w:rsidR="00294D4C">
              <w:rPr>
                <w:color w:val="FFFFFF" w:themeColor="background1"/>
              </w:rPr>
              <w:t xml:space="preserve"> </w:t>
            </w:r>
            <w:r w:rsidR="001B3476" w:rsidRPr="001B3476">
              <w:rPr>
                <w:color w:val="FFFFFF" w:themeColor="background1"/>
              </w:rPr>
              <w:t>C,</w:t>
            </w:r>
            <w:r w:rsidR="00294D4C">
              <w:rPr>
                <w:color w:val="FFFFFF" w:themeColor="background1"/>
              </w:rPr>
              <w:t xml:space="preserve"> </w:t>
            </w:r>
            <w:r w:rsidR="001B3476" w:rsidRPr="001B3476">
              <w:rPr>
                <w:color w:val="FFFFFF" w:themeColor="background1"/>
              </w:rPr>
              <w:t>W-135 and Y) oligosaccharide</w:t>
            </w:r>
          </w:p>
          <w:p w14:paraId="2D7BF979" w14:textId="77777777" w:rsidR="0032583B" w:rsidRPr="00A964D1" w:rsidRDefault="001B3476" w:rsidP="001B3476">
            <w:pPr>
              <w:pStyle w:val="Title"/>
              <w:rPr>
                <w:color w:val="FFFFFF" w:themeColor="background1"/>
              </w:rPr>
            </w:pPr>
            <w:r w:rsidRPr="001B3476">
              <w:rPr>
                <w:color w:val="FFFFFF" w:themeColor="background1"/>
              </w:rPr>
              <w:t>CRM197 conjugate vaccine</w:t>
            </w:r>
          </w:p>
        </w:tc>
      </w:tr>
      <w:tr w:rsidR="0032583B" w:rsidRPr="00B64760" w14:paraId="3C24CE11" w14:textId="77777777" w:rsidTr="0032583B">
        <w:tc>
          <w:tcPr>
            <w:tcW w:w="9079" w:type="dxa"/>
          </w:tcPr>
          <w:p w14:paraId="0F75FAD7" w14:textId="77777777" w:rsidR="0032583B" w:rsidRPr="008E7846" w:rsidRDefault="0032583B" w:rsidP="001B3476">
            <w:pPr>
              <w:pStyle w:val="Subtitle"/>
              <w:rPr>
                <w:color w:val="FFFFFF" w:themeColor="background1"/>
              </w:rPr>
            </w:pPr>
            <w:r w:rsidRPr="008E7846">
              <w:rPr>
                <w:color w:val="FFFFFF" w:themeColor="background1"/>
              </w:rPr>
              <w:t xml:space="preserve">Proprietary Product Name: </w:t>
            </w:r>
            <w:proofErr w:type="spellStart"/>
            <w:r w:rsidR="001B3476">
              <w:rPr>
                <w:color w:val="FFFFFF" w:themeColor="background1"/>
              </w:rPr>
              <w:t>Menveo</w:t>
            </w:r>
            <w:proofErr w:type="spellEnd"/>
            <w:r w:rsidRPr="008E7846">
              <w:rPr>
                <w:color w:val="FFFFFF" w:themeColor="background1"/>
              </w:rPr>
              <w:t xml:space="preserve"> </w:t>
            </w:r>
          </w:p>
        </w:tc>
      </w:tr>
      <w:tr w:rsidR="0032583B" w:rsidRPr="00B64760" w14:paraId="4E5267CF" w14:textId="77777777" w:rsidTr="0032583B">
        <w:trPr>
          <w:trHeight w:val="486"/>
        </w:trPr>
        <w:tc>
          <w:tcPr>
            <w:tcW w:w="9079" w:type="dxa"/>
          </w:tcPr>
          <w:p w14:paraId="6B023259"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1B3476" w:rsidRPr="001B3476">
              <w:rPr>
                <w:color w:val="FFFFFF" w:themeColor="background1"/>
              </w:rPr>
              <w:t>GlaxoSmithKline Australia Pty Lt</w:t>
            </w:r>
            <w:r w:rsidR="001B3476">
              <w:rPr>
                <w:color w:val="FFFFFF" w:themeColor="background1"/>
              </w:rPr>
              <w:t>d</w:t>
            </w:r>
          </w:p>
        </w:tc>
      </w:tr>
    </w:tbl>
    <w:p w14:paraId="4A654432" w14:textId="77777777" w:rsidR="008E7846" w:rsidRPr="0085156D" w:rsidRDefault="008E7846" w:rsidP="0085156D">
      <w:r w:rsidRPr="0085156D">
        <w:br w:type="page"/>
      </w:r>
    </w:p>
    <w:p w14:paraId="29F5FD65" w14:textId="77777777" w:rsidR="008E7846" w:rsidRPr="001F6CBA" w:rsidRDefault="008E7846" w:rsidP="008E7846">
      <w:pPr>
        <w:pStyle w:val="NonTOCHeading2"/>
      </w:pPr>
      <w:r w:rsidRPr="001F6CBA">
        <w:lastRenderedPageBreak/>
        <w:t>About the Therapeutic Goods Administration (TGA)</w:t>
      </w:r>
    </w:p>
    <w:p w14:paraId="5D06CD4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8FD0DFA"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F0E2814"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D24758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ABED72D"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7651A64C" w14:textId="77777777" w:rsidR="008E7846" w:rsidRDefault="008E7846" w:rsidP="00875A6B">
      <w:pPr>
        <w:pStyle w:val="NonTOCHeading2"/>
      </w:pPr>
      <w:r>
        <w:t xml:space="preserve">About </w:t>
      </w:r>
      <w:proofErr w:type="spellStart"/>
      <w:r>
        <w:t>AusPARs</w:t>
      </w:r>
      <w:proofErr w:type="spellEnd"/>
    </w:p>
    <w:p w14:paraId="3565A05B"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6C58885"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33131867"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7E9C0932"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4319C4F1"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4EA51C1B" w14:textId="77777777" w:rsidR="00924482" w:rsidRPr="00DF1D7F" w:rsidRDefault="00924482" w:rsidP="00F54B65">
      <w:pPr>
        <w:pStyle w:val="LegalSubheading"/>
        <w:spacing w:before="3120"/>
      </w:pPr>
      <w:r w:rsidRPr="00DF1D7F">
        <w:t>Copyright</w:t>
      </w:r>
    </w:p>
    <w:p w14:paraId="2F340762" w14:textId="3F9093EA" w:rsidR="00924482" w:rsidRDefault="00924482" w:rsidP="00924482">
      <w:pPr>
        <w:pStyle w:val="LegalCopy"/>
      </w:pPr>
      <w:r w:rsidRPr="00191B3B">
        <w:rPr>
          <w:rFonts w:cs="Arial"/>
          <w:lang w:val="en-GB"/>
        </w:rPr>
        <w:t>© Comm</w:t>
      </w:r>
      <w:r>
        <w:rPr>
          <w:rFonts w:cs="Arial"/>
          <w:lang w:val="en-GB"/>
        </w:rPr>
        <w:t>onwealth of Australia 201</w:t>
      </w:r>
      <w:r w:rsidR="002740F1">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7A0C10B1"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BE94B31" w14:textId="77777777" w:rsidR="0089635C" w:rsidRPr="0089635C" w:rsidRDefault="0089635C" w:rsidP="0010788A">
          <w:pPr>
            <w:pStyle w:val="Contents"/>
          </w:pPr>
          <w:r w:rsidRPr="0010788A">
            <w:t>Contents</w:t>
          </w:r>
        </w:p>
        <w:p w14:paraId="76E891E8" w14:textId="77777777" w:rsidR="0029203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1377337" w:history="1">
            <w:r w:rsidR="00292035" w:rsidRPr="00B3354F">
              <w:rPr>
                <w:rStyle w:val="Hyperlink"/>
                <w:noProof/>
              </w:rPr>
              <w:t>Common abbreviations</w:t>
            </w:r>
            <w:r w:rsidR="00292035">
              <w:rPr>
                <w:noProof/>
                <w:webHidden/>
              </w:rPr>
              <w:tab/>
            </w:r>
            <w:r w:rsidR="00292035">
              <w:rPr>
                <w:noProof/>
                <w:webHidden/>
              </w:rPr>
              <w:fldChar w:fldCharType="begin"/>
            </w:r>
            <w:r w:rsidR="00292035">
              <w:rPr>
                <w:noProof/>
                <w:webHidden/>
              </w:rPr>
              <w:instrText xml:space="preserve"> PAGEREF _Toc511377337 \h </w:instrText>
            </w:r>
            <w:r w:rsidR="00292035">
              <w:rPr>
                <w:noProof/>
                <w:webHidden/>
              </w:rPr>
            </w:r>
            <w:r w:rsidR="00292035">
              <w:rPr>
                <w:noProof/>
                <w:webHidden/>
              </w:rPr>
              <w:fldChar w:fldCharType="separate"/>
            </w:r>
            <w:r w:rsidR="00292035">
              <w:rPr>
                <w:noProof/>
                <w:webHidden/>
              </w:rPr>
              <w:t>4</w:t>
            </w:r>
            <w:r w:rsidR="00292035">
              <w:rPr>
                <w:noProof/>
                <w:webHidden/>
              </w:rPr>
              <w:fldChar w:fldCharType="end"/>
            </w:r>
          </w:hyperlink>
        </w:p>
        <w:p w14:paraId="533261E6" w14:textId="77777777" w:rsidR="00292035" w:rsidRDefault="002E12AE">
          <w:pPr>
            <w:pStyle w:val="TOC2"/>
            <w:rPr>
              <w:rFonts w:asciiTheme="minorHAnsi" w:eastAsiaTheme="minorEastAsia" w:hAnsiTheme="minorHAnsi" w:cstheme="minorBidi"/>
              <w:b w:val="0"/>
              <w:noProof/>
              <w:sz w:val="22"/>
              <w:lang w:eastAsia="en-AU"/>
            </w:rPr>
          </w:pPr>
          <w:hyperlink w:anchor="_Toc511377338" w:history="1">
            <w:r w:rsidR="00292035" w:rsidRPr="00B3354F">
              <w:rPr>
                <w:rStyle w:val="Hyperlink"/>
                <w:noProof/>
              </w:rPr>
              <w:t>I. Introduction to product submission</w:t>
            </w:r>
            <w:r w:rsidR="00292035">
              <w:rPr>
                <w:noProof/>
                <w:webHidden/>
              </w:rPr>
              <w:tab/>
            </w:r>
            <w:r w:rsidR="00292035">
              <w:rPr>
                <w:noProof/>
                <w:webHidden/>
              </w:rPr>
              <w:fldChar w:fldCharType="begin"/>
            </w:r>
            <w:r w:rsidR="00292035">
              <w:rPr>
                <w:noProof/>
                <w:webHidden/>
              </w:rPr>
              <w:instrText xml:space="preserve"> PAGEREF _Toc511377338 \h </w:instrText>
            </w:r>
            <w:r w:rsidR="00292035">
              <w:rPr>
                <w:noProof/>
                <w:webHidden/>
              </w:rPr>
            </w:r>
            <w:r w:rsidR="00292035">
              <w:rPr>
                <w:noProof/>
                <w:webHidden/>
              </w:rPr>
              <w:fldChar w:fldCharType="separate"/>
            </w:r>
            <w:r w:rsidR="00292035">
              <w:rPr>
                <w:noProof/>
                <w:webHidden/>
              </w:rPr>
              <w:t>6</w:t>
            </w:r>
            <w:r w:rsidR="00292035">
              <w:rPr>
                <w:noProof/>
                <w:webHidden/>
              </w:rPr>
              <w:fldChar w:fldCharType="end"/>
            </w:r>
          </w:hyperlink>
        </w:p>
        <w:p w14:paraId="4EE28EB1" w14:textId="77777777" w:rsidR="00292035" w:rsidRDefault="002E12AE">
          <w:pPr>
            <w:pStyle w:val="TOC3"/>
            <w:rPr>
              <w:rFonts w:asciiTheme="minorHAnsi" w:eastAsiaTheme="minorEastAsia" w:hAnsiTheme="minorHAnsi" w:cstheme="minorBidi"/>
              <w:noProof/>
              <w:lang w:eastAsia="en-AU"/>
            </w:rPr>
          </w:pPr>
          <w:hyperlink w:anchor="_Toc511377339" w:history="1">
            <w:r w:rsidR="00292035" w:rsidRPr="00B3354F">
              <w:rPr>
                <w:rStyle w:val="Hyperlink"/>
                <w:noProof/>
                <w:lang w:eastAsia="en-AU"/>
              </w:rPr>
              <w:t>Submission details</w:t>
            </w:r>
            <w:r w:rsidR="00292035">
              <w:rPr>
                <w:noProof/>
                <w:webHidden/>
              </w:rPr>
              <w:tab/>
            </w:r>
            <w:r w:rsidR="00292035">
              <w:rPr>
                <w:noProof/>
                <w:webHidden/>
              </w:rPr>
              <w:fldChar w:fldCharType="begin"/>
            </w:r>
            <w:r w:rsidR="00292035">
              <w:rPr>
                <w:noProof/>
                <w:webHidden/>
              </w:rPr>
              <w:instrText xml:space="preserve"> PAGEREF _Toc511377339 \h </w:instrText>
            </w:r>
            <w:r w:rsidR="00292035">
              <w:rPr>
                <w:noProof/>
                <w:webHidden/>
              </w:rPr>
            </w:r>
            <w:r w:rsidR="00292035">
              <w:rPr>
                <w:noProof/>
                <w:webHidden/>
              </w:rPr>
              <w:fldChar w:fldCharType="separate"/>
            </w:r>
            <w:r w:rsidR="00292035">
              <w:rPr>
                <w:noProof/>
                <w:webHidden/>
              </w:rPr>
              <w:t>6</w:t>
            </w:r>
            <w:r w:rsidR="00292035">
              <w:rPr>
                <w:noProof/>
                <w:webHidden/>
              </w:rPr>
              <w:fldChar w:fldCharType="end"/>
            </w:r>
          </w:hyperlink>
        </w:p>
        <w:p w14:paraId="648909D8" w14:textId="77777777" w:rsidR="00292035" w:rsidRDefault="002E12AE">
          <w:pPr>
            <w:pStyle w:val="TOC3"/>
            <w:rPr>
              <w:rFonts w:asciiTheme="minorHAnsi" w:eastAsiaTheme="minorEastAsia" w:hAnsiTheme="minorHAnsi" w:cstheme="minorBidi"/>
              <w:noProof/>
              <w:lang w:eastAsia="en-AU"/>
            </w:rPr>
          </w:pPr>
          <w:hyperlink w:anchor="_Toc511377340" w:history="1">
            <w:r w:rsidR="00292035" w:rsidRPr="00B3354F">
              <w:rPr>
                <w:rStyle w:val="Hyperlink"/>
                <w:noProof/>
              </w:rPr>
              <w:t>Product background</w:t>
            </w:r>
            <w:r w:rsidR="00292035">
              <w:rPr>
                <w:noProof/>
                <w:webHidden/>
              </w:rPr>
              <w:tab/>
            </w:r>
            <w:r w:rsidR="00292035">
              <w:rPr>
                <w:noProof/>
                <w:webHidden/>
              </w:rPr>
              <w:fldChar w:fldCharType="begin"/>
            </w:r>
            <w:r w:rsidR="00292035">
              <w:rPr>
                <w:noProof/>
                <w:webHidden/>
              </w:rPr>
              <w:instrText xml:space="preserve"> PAGEREF _Toc511377340 \h </w:instrText>
            </w:r>
            <w:r w:rsidR="00292035">
              <w:rPr>
                <w:noProof/>
                <w:webHidden/>
              </w:rPr>
            </w:r>
            <w:r w:rsidR="00292035">
              <w:rPr>
                <w:noProof/>
                <w:webHidden/>
              </w:rPr>
              <w:fldChar w:fldCharType="separate"/>
            </w:r>
            <w:r w:rsidR="00292035">
              <w:rPr>
                <w:noProof/>
                <w:webHidden/>
              </w:rPr>
              <w:t>7</w:t>
            </w:r>
            <w:r w:rsidR="00292035">
              <w:rPr>
                <w:noProof/>
                <w:webHidden/>
              </w:rPr>
              <w:fldChar w:fldCharType="end"/>
            </w:r>
          </w:hyperlink>
        </w:p>
        <w:p w14:paraId="784B92BC" w14:textId="77777777" w:rsidR="00292035" w:rsidRDefault="002E12AE">
          <w:pPr>
            <w:pStyle w:val="TOC3"/>
            <w:rPr>
              <w:rFonts w:asciiTheme="minorHAnsi" w:eastAsiaTheme="minorEastAsia" w:hAnsiTheme="minorHAnsi" w:cstheme="minorBidi"/>
              <w:noProof/>
              <w:lang w:eastAsia="en-AU"/>
            </w:rPr>
          </w:pPr>
          <w:hyperlink w:anchor="_Toc511377341" w:history="1">
            <w:r w:rsidR="00292035" w:rsidRPr="00B3354F">
              <w:rPr>
                <w:rStyle w:val="Hyperlink"/>
                <w:noProof/>
              </w:rPr>
              <w:t>Regulatory status</w:t>
            </w:r>
            <w:r w:rsidR="00292035">
              <w:rPr>
                <w:noProof/>
                <w:webHidden/>
              </w:rPr>
              <w:tab/>
            </w:r>
            <w:r w:rsidR="00292035">
              <w:rPr>
                <w:noProof/>
                <w:webHidden/>
              </w:rPr>
              <w:fldChar w:fldCharType="begin"/>
            </w:r>
            <w:r w:rsidR="00292035">
              <w:rPr>
                <w:noProof/>
                <w:webHidden/>
              </w:rPr>
              <w:instrText xml:space="preserve"> PAGEREF _Toc511377341 \h </w:instrText>
            </w:r>
            <w:r w:rsidR="00292035">
              <w:rPr>
                <w:noProof/>
                <w:webHidden/>
              </w:rPr>
            </w:r>
            <w:r w:rsidR="00292035">
              <w:rPr>
                <w:noProof/>
                <w:webHidden/>
              </w:rPr>
              <w:fldChar w:fldCharType="separate"/>
            </w:r>
            <w:r w:rsidR="00292035">
              <w:rPr>
                <w:noProof/>
                <w:webHidden/>
              </w:rPr>
              <w:t>8</w:t>
            </w:r>
            <w:r w:rsidR="00292035">
              <w:rPr>
                <w:noProof/>
                <w:webHidden/>
              </w:rPr>
              <w:fldChar w:fldCharType="end"/>
            </w:r>
          </w:hyperlink>
        </w:p>
        <w:p w14:paraId="06492C63" w14:textId="77777777" w:rsidR="00292035" w:rsidRDefault="002E12AE">
          <w:pPr>
            <w:pStyle w:val="TOC3"/>
            <w:rPr>
              <w:rFonts w:asciiTheme="minorHAnsi" w:eastAsiaTheme="minorEastAsia" w:hAnsiTheme="minorHAnsi" w:cstheme="minorBidi"/>
              <w:noProof/>
              <w:lang w:eastAsia="en-AU"/>
            </w:rPr>
          </w:pPr>
          <w:hyperlink w:anchor="_Toc511377342" w:history="1">
            <w:r w:rsidR="00292035" w:rsidRPr="00B3354F">
              <w:rPr>
                <w:rStyle w:val="Hyperlink"/>
                <w:noProof/>
              </w:rPr>
              <w:t>Product Information</w:t>
            </w:r>
            <w:r w:rsidR="00292035">
              <w:rPr>
                <w:noProof/>
                <w:webHidden/>
              </w:rPr>
              <w:tab/>
            </w:r>
            <w:r w:rsidR="00292035">
              <w:rPr>
                <w:noProof/>
                <w:webHidden/>
              </w:rPr>
              <w:fldChar w:fldCharType="begin"/>
            </w:r>
            <w:r w:rsidR="00292035">
              <w:rPr>
                <w:noProof/>
                <w:webHidden/>
              </w:rPr>
              <w:instrText xml:space="preserve"> PAGEREF _Toc511377342 \h </w:instrText>
            </w:r>
            <w:r w:rsidR="00292035">
              <w:rPr>
                <w:noProof/>
                <w:webHidden/>
              </w:rPr>
            </w:r>
            <w:r w:rsidR="00292035">
              <w:rPr>
                <w:noProof/>
                <w:webHidden/>
              </w:rPr>
              <w:fldChar w:fldCharType="separate"/>
            </w:r>
            <w:r w:rsidR="00292035">
              <w:rPr>
                <w:noProof/>
                <w:webHidden/>
              </w:rPr>
              <w:t>9</w:t>
            </w:r>
            <w:r w:rsidR="00292035">
              <w:rPr>
                <w:noProof/>
                <w:webHidden/>
              </w:rPr>
              <w:fldChar w:fldCharType="end"/>
            </w:r>
          </w:hyperlink>
        </w:p>
        <w:p w14:paraId="40388FA2" w14:textId="77777777" w:rsidR="00292035" w:rsidRDefault="002E12AE">
          <w:pPr>
            <w:pStyle w:val="TOC2"/>
            <w:rPr>
              <w:rFonts w:asciiTheme="minorHAnsi" w:eastAsiaTheme="minorEastAsia" w:hAnsiTheme="minorHAnsi" w:cstheme="minorBidi"/>
              <w:b w:val="0"/>
              <w:noProof/>
              <w:sz w:val="22"/>
              <w:lang w:eastAsia="en-AU"/>
            </w:rPr>
          </w:pPr>
          <w:hyperlink w:anchor="_Toc511377343" w:history="1">
            <w:r w:rsidR="00292035" w:rsidRPr="00B3354F">
              <w:rPr>
                <w:rStyle w:val="Hyperlink"/>
                <w:noProof/>
              </w:rPr>
              <w:t>II. Quality findings</w:t>
            </w:r>
            <w:r w:rsidR="00292035">
              <w:rPr>
                <w:noProof/>
                <w:webHidden/>
              </w:rPr>
              <w:tab/>
            </w:r>
            <w:r w:rsidR="00292035">
              <w:rPr>
                <w:noProof/>
                <w:webHidden/>
              </w:rPr>
              <w:fldChar w:fldCharType="begin"/>
            </w:r>
            <w:r w:rsidR="00292035">
              <w:rPr>
                <w:noProof/>
                <w:webHidden/>
              </w:rPr>
              <w:instrText xml:space="preserve"> PAGEREF _Toc511377343 \h </w:instrText>
            </w:r>
            <w:r w:rsidR="00292035">
              <w:rPr>
                <w:noProof/>
                <w:webHidden/>
              </w:rPr>
            </w:r>
            <w:r w:rsidR="00292035">
              <w:rPr>
                <w:noProof/>
                <w:webHidden/>
              </w:rPr>
              <w:fldChar w:fldCharType="separate"/>
            </w:r>
            <w:r w:rsidR="00292035">
              <w:rPr>
                <w:noProof/>
                <w:webHidden/>
              </w:rPr>
              <w:t>9</w:t>
            </w:r>
            <w:r w:rsidR="00292035">
              <w:rPr>
                <w:noProof/>
                <w:webHidden/>
              </w:rPr>
              <w:fldChar w:fldCharType="end"/>
            </w:r>
          </w:hyperlink>
        </w:p>
        <w:p w14:paraId="54EB0022" w14:textId="77777777" w:rsidR="00292035" w:rsidRDefault="002E12AE">
          <w:pPr>
            <w:pStyle w:val="TOC2"/>
            <w:rPr>
              <w:rFonts w:asciiTheme="minorHAnsi" w:eastAsiaTheme="minorEastAsia" w:hAnsiTheme="minorHAnsi" w:cstheme="minorBidi"/>
              <w:b w:val="0"/>
              <w:noProof/>
              <w:sz w:val="22"/>
              <w:lang w:eastAsia="en-AU"/>
            </w:rPr>
          </w:pPr>
          <w:hyperlink w:anchor="_Toc511377344" w:history="1">
            <w:r w:rsidR="00292035" w:rsidRPr="00B3354F">
              <w:rPr>
                <w:rStyle w:val="Hyperlink"/>
                <w:noProof/>
              </w:rPr>
              <w:t>III. Nonclinical findings</w:t>
            </w:r>
            <w:r w:rsidR="00292035">
              <w:rPr>
                <w:noProof/>
                <w:webHidden/>
              </w:rPr>
              <w:tab/>
            </w:r>
            <w:r w:rsidR="00292035">
              <w:rPr>
                <w:noProof/>
                <w:webHidden/>
              </w:rPr>
              <w:fldChar w:fldCharType="begin"/>
            </w:r>
            <w:r w:rsidR="00292035">
              <w:rPr>
                <w:noProof/>
                <w:webHidden/>
              </w:rPr>
              <w:instrText xml:space="preserve"> PAGEREF _Toc511377344 \h </w:instrText>
            </w:r>
            <w:r w:rsidR="00292035">
              <w:rPr>
                <w:noProof/>
                <w:webHidden/>
              </w:rPr>
            </w:r>
            <w:r w:rsidR="00292035">
              <w:rPr>
                <w:noProof/>
                <w:webHidden/>
              </w:rPr>
              <w:fldChar w:fldCharType="separate"/>
            </w:r>
            <w:r w:rsidR="00292035">
              <w:rPr>
                <w:noProof/>
                <w:webHidden/>
              </w:rPr>
              <w:t>9</w:t>
            </w:r>
            <w:r w:rsidR="00292035">
              <w:rPr>
                <w:noProof/>
                <w:webHidden/>
              </w:rPr>
              <w:fldChar w:fldCharType="end"/>
            </w:r>
          </w:hyperlink>
        </w:p>
        <w:p w14:paraId="567100BA" w14:textId="77777777" w:rsidR="00292035" w:rsidRDefault="002E12AE">
          <w:pPr>
            <w:pStyle w:val="TOC2"/>
            <w:rPr>
              <w:rFonts w:asciiTheme="minorHAnsi" w:eastAsiaTheme="minorEastAsia" w:hAnsiTheme="minorHAnsi" w:cstheme="minorBidi"/>
              <w:b w:val="0"/>
              <w:noProof/>
              <w:sz w:val="22"/>
              <w:lang w:eastAsia="en-AU"/>
            </w:rPr>
          </w:pPr>
          <w:hyperlink w:anchor="_Toc511377345" w:history="1">
            <w:r w:rsidR="00292035" w:rsidRPr="00B3354F">
              <w:rPr>
                <w:rStyle w:val="Hyperlink"/>
                <w:noProof/>
              </w:rPr>
              <w:t>IV. Clinical findings</w:t>
            </w:r>
            <w:r w:rsidR="00292035">
              <w:rPr>
                <w:noProof/>
                <w:webHidden/>
              </w:rPr>
              <w:tab/>
            </w:r>
            <w:r w:rsidR="00292035">
              <w:rPr>
                <w:noProof/>
                <w:webHidden/>
              </w:rPr>
              <w:fldChar w:fldCharType="begin"/>
            </w:r>
            <w:r w:rsidR="00292035">
              <w:rPr>
                <w:noProof/>
                <w:webHidden/>
              </w:rPr>
              <w:instrText xml:space="preserve"> PAGEREF _Toc511377345 \h </w:instrText>
            </w:r>
            <w:r w:rsidR="00292035">
              <w:rPr>
                <w:noProof/>
                <w:webHidden/>
              </w:rPr>
            </w:r>
            <w:r w:rsidR="00292035">
              <w:rPr>
                <w:noProof/>
                <w:webHidden/>
              </w:rPr>
              <w:fldChar w:fldCharType="separate"/>
            </w:r>
            <w:r w:rsidR="00292035">
              <w:rPr>
                <w:noProof/>
                <w:webHidden/>
              </w:rPr>
              <w:t>9</w:t>
            </w:r>
            <w:r w:rsidR="00292035">
              <w:rPr>
                <w:noProof/>
                <w:webHidden/>
              </w:rPr>
              <w:fldChar w:fldCharType="end"/>
            </w:r>
          </w:hyperlink>
        </w:p>
        <w:p w14:paraId="4835BA62" w14:textId="77777777" w:rsidR="00292035" w:rsidRDefault="002E12AE">
          <w:pPr>
            <w:pStyle w:val="TOC3"/>
            <w:rPr>
              <w:rFonts w:asciiTheme="minorHAnsi" w:eastAsiaTheme="minorEastAsia" w:hAnsiTheme="minorHAnsi" w:cstheme="minorBidi"/>
              <w:noProof/>
              <w:lang w:eastAsia="en-AU"/>
            </w:rPr>
          </w:pPr>
          <w:hyperlink w:anchor="_Toc511377346" w:history="1">
            <w:r w:rsidR="00292035" w:rsidRPr="00B3354F">
              <w:rPr>
                <w:rStyle w:val="Hyperlink"/>
                <w:noProof/>
              </w:rPr>
              <w:t>Introduction</w:t>
            </w:r>
            <w:r w:rsidR="00292035">
              <w:rPr>
                <w:noProof/>
                <w:webHidden/>
              </w:rPr>
              <w:tab/>
            </w:r>
            <w:r w:rsidR="00292035">
              <w:rPr>
                <w:noProof/>
                <w:webHidden/>
              </w:rPr>
              <w:fldChar w:fldCharType="begin"/>
            </w:r>
            <w:r w:rsidR="00292035">
              <w:rPr>
                <w:noProof/>
                <w:webHidden/>
              </w:rPr>
              <w:instrText xml:space="preserve"> PAGEREF _Toc511377346 \h </w:instrText>
            </w:r>
            <w:r w:rsidR="00292035">
              <w:rPr>
                <w:noProof/>
                <w:webHidden/>
              </w:rPr>
            </w:r>
            <w:r w:rsidR="00292035">
              <w:rPr>
                <w:noProof/>
                <w:webHidden/>
              </w:rPr>
              <w:fldChar w:fldCharType="separate"/>
            </w:r>
            <w:r w:rsidR="00292035">
              <w:rPr>
                <w:noProof/>
                <w:webHidden/>
              </w:rPr>
              <w:t>9</w:t>
            </w:r>
            <w:r w:rsidR="00292035">
              <w:rPr>
                <w:noProof/>
                <w:webHidden/>
              </w:rPr>
              <w:fldChar w:fldCharType="end"/>
            </w:r>
          </w:hyperlink>
        </w:p>
        <w:p w14:paraId="503C2122" w14:textId="77777777" w:rsidR="00292035" w:rsidRDefault="002E12AE">
          <w:pPr>
            <w:pStyle w:val="TOC3"/>
            <w:rPr>
              <w:rFonts w:asciiTheme="minorHAnsi" w:eastAsiaTheme="minorEastAsia" w:hAnsiTheme="minorHAnsi" w:cstheme="minorBidi"/>
              <w:noProof/>
              <w:lang w:eastAsia="en-AU"/>
            </w:rPr>
          </w:pPr>
          <w:hyperlink w:anchor="_Toc511377347" w:history="1">
            <w:r w:rsidR="00292035" w:rsidRPr="00B3354F">
              <w:rPr>
                <w:rStyle w:val="Hyperlink"/>
                <w:noProof/>
              </w:rPr>
              <w:t>Pharmacokinetics</w:t>
            </w:r>
            <w:r w:rsidR="00292035">
              <w:rPr>
                <w:noProof/>
                <w:webHidden/>
              </w:rPr>
              <w:tab/>
            </w:r>
            <w:r w:rsidR="00292035">
              <w:rPr>
                <w:noProof/>
                <w:webHidden/>
              </w:rPr>
              <w:fldChar w:fldCharType="begin"/>
            </w:r>
            <w:r w:rsidR="00292035">
              <w:rPr>
                <w:noProof/>
                <w:webHidden/>
              </w:rPr>
              <w:instrText xml:space="preserve"> PAGEREF _Toc511377347 \h </w:instrText>
            </w:r>
            <w:r w:rsidR="00292035">
              <w:rPr>
                <w:noProof/>
                <w:webHidden/>
              </w:rPr>
            </w:r>
            <w:r w:rsidR="00292035">
              <w:rPr>
                <w:noProof/>
                <w:webHidden/>
              </w:rPr>
              <w:fldChar w:fldCharType="separate"/>
            </w:r>
            <w:r w:rsidR="00292035">
              <w:rPr>
                <w:noProof/>
                <w:webHidden/>
              </w:rPr>
              <w:t>11</w:t>
            </w:r>
            <w:r w:rsidR="00292035">
              <w:rPr>
                <w:noProof/>
                <w:webHidden/>
              </w:rPr>
              <w:fldChar w:fldCharType="end"/>
            </w:r>
          </w:hyperlink>
        </w:p>
        <w:p w14:paraId="2DD005E5" w14:textId="77777777" w:rsidR="00292035" w:rsidRDefault="002E12AE">
          <w:pPr>
            <w:pStyle w:val="TOC3"/>
            <w:rPr>
              <w:rFonts w:asciiTheme="minorHAnsi" w:eastAsiaTheme="minorEastAsia" w:hAnsiTheme="minorHAnsi" w:cstheme="minorBidi"/>
              <w:noProof/>
              <w:lang w:eastAsia="en-AU"/>
            </w:rPr>
          </w:pPr>
          <w:hyperlink w:anchor="_Toc511377348" w:history="1">
            <w:r w:rsidR="00292035" w:rsidRPr="00B3354F">
              <w:rPr>
                <w:rStyle w:val="Hyperlink"/>
                <w:noProof/>
              </w:rPr>
              <w:t>Pharmacodynamics</w:t>
            </w:r>
            <w:r w:rsidR="00292035">
              <w:rPr>
                <w:noProof/>
                <w:webHidden/>
              </w:rPr>
              <w:tab/>
            </w:r>
            <w:r w:rsidR="00292035">
              <w:rPr>
                <w:noProof/>
                <w:webHidden/>
              </w:rPr>
              <w:fldChar w:fldCharType="begin"/>
            </w:r>
            <w:r w:rsidR="00292035">
              <w:rPr>
                <w:noProof/>
                <w:webHidden/>
              </w:rPr>
              <w:instrText xml:space="preserve"> PAGEREF _Toc511377348 \h </w:instrText>
            </w:r>
            <w:r w:rsidR="00292035">
              <w:rPr>
                <w:noProof/>
                <w:webHidden/>
              </w:rPr>
            </w:r>
            <w:r w:rsidR="00292035">
              <w:rPr>
                <w:noProof/>
                <w:webHidden/>
              </w:rPr>
              <w:fldChar w:fldCharType="separate"/>
            </w:r>
            <w:r w:rsidR="00292035">
              <w:rPr>
                <w:noProof/>
                <w:webHidden/>
              </w:rPr>
              <w:t>11</w:t>
            </w:r>
            <w:r w:rsidR="00292035">
              <w:rPr>
                <w:noProof/>
                <w:webHidden/>
              </w:rPr>
              <w:fldChar w:fldCharType="end"/>
            </w:r>
          </w:hyperlink>
        </w:p>
        <w:p w14:paraId="207EF54A" w14:textId="77777777" w:rsidR="00292035" w:rsidRDefault="002E12AE">
          <w:pPr>
            <w:pStyle w:val="TOC3"/>
            <w:rPr>
              <w:rFonts w:asciiTheme="minorHAnsi" w:eastAsiaTheme="minorEastAsia" w:hAnsiTheme="minorHAnsi" w:cstheme="minorBidi"/>
              <w:noProof/>
              <w:lang w:eastAsia="en-AU"/>
            </w:rPr>
          </w:pPr>
          <w:hyperlink w:anchor="_Toc511377349" w:history="1">
            <w:r w:rsidR="00292035" w:rsidRPr="00B3354F">
              <w:rPr>
                <w:rStyle w:val="Hyperlink"/>
                <w:noProof/>
              </w:rPr>
              <w:t>Dosage selection for the pivotal studies</w:t>
            </w:r>
            <w:r w:rsidR="00292035">
              <w:rPr>
                <w:noProof/>
                <w:webHidden/>
              </w:rPr>
              <w:tab/>
            </w:r>
            <w:r w:rsidR="00292035">
              <w:rPr>
                <w:noProof/>
                <w:webHidden/>
              </w:rPr>
              <w:fldChar w:fldCharType="begin"/>
            </w:r>
            <w:r w:rsidR="00292035">
              <w:rPr>
                <w:noProof/>
                <w:webHidden/>
              </w:rPr>
              <w:instrText xml:space="preserve"> PAGEREF _Toc511377349 \h </w:instrText>
            </w:r>
            <w:r w:rsidR="00292035">
              <w:rPr>
                <w:noProof/>
                <w:webHidden/>
              </w:rPr>
            </w:r>
            <w:r w:rsidR="00292035">
              <w:rPr>
                <w:noProof/>
                <w:webHidden/>
              </w:rPr>
              <w:fldChar w:fldCharType="separate"/>
            </w:r>
            <w:r w:rsidR="00292035">
              <w:rPr>
                <w:noProof/>
                <w:webHidden/>
              </w:rPr>
              <w:t>11</w:t>
            </w:r>
            <w:r w:rsidR="00292035">
              <w:rPr>
                <w:noProof/>
                <w:webHidden/>
              </w:rPr>
              <w:fldChar w:fldCharType="end"/>
            </w:r>
          </w:hyperlink>
        </w:p>
        <w:p w14:paraId="4194DC38" w14:textId="77777777" w:rsidR="00292035" w:rsidRDefault="002E12AE">
          <w:pPr>
            <w:pStyle w:val="TOC3"/>
            <w:rPr>
              <w:rFonts w:asciiTheme="minorHAnsi" w:eastAsiaTheme="minorEastAsia" w:hAnsiTheme="minorHAnsi" w:cstheme="minorBidi"/>
              <w:noProof/>
              <w:lang w:eastAsia="en-AU"/>
            </w:rPr>
          </w:pPr>
          <w:hyperlink w:anchor="_Toc511377350" w:history="1">
            <w:r w:rsidR="00292035" w:rsidRPr="00B3354F">
              <w:rPr>
                <w:rStyle w:val="Hyperlink"/>
                <w:noProof/>
              </w:rPr>
              <w:t>Efficacy</w:t>
            </w:r>
            <w:r w:rsidR="00292035">
              <w:rPr>
                <w:noProof/>
                <w:webHidden/>
              </w:rPr>
              <w:tab/>
            </w:r>
            <w:r w:rsidR="00292035">
              <w:rPr>
                <w:noProof/>
                <w:webHidden/>
              </w:rPr>
              <w:fldChar w:fldCharType="begin"/>
            </w:r>
            <w:r w:rsidR="00292035">
              <w:rPr>
                <w:noProof/>
                <w:webHidden/>
              </w:rPr>
              <w:instrText xml:space="preserve"> PAGEREF _Toc511377350 \h </w:instrText>
            </w:r>
            <w:r w:rsidR="00292035">
              <w:rPr>
                <w:noProof/>
                <w:webHidden/>
              </w:rPr>
            </w:r>
            <w:r w:rsidR="00292035">
              <w:rPr>
                <w:noProof/>
                <w:webHidden/>
              </w:rPr>
              <w:fldChar w:fldCharType="separate"/>
            </w:r>
            <w:r w:rsidR="00292035">
              <w:rPr>
                <w:noProof/>
                <w:webHidden/>
              </w:rPr>
              <w:t>11</w:t>
            </w:r>
            <w:r w:rsidR="00292035">
              <w:rPr>
                <w:noProof/>
                <w:webHidden/>
              </w:rPr>
              <w:fldChar w:fldCharType="end"/>
            </w:r>
          </w:hyperlink>
        </w:p>
        <w:p w14:paraId="06D11D00" w14:textId="77777777" w:rsidR="00292035" w:rsidRDefault="002E12AE">
          <w:pPr>
            <w:pStyle w:val="TOC3"/>
            <w:rPr>
              <w:rFonts w:asciiTheme="minorHAnsi" w:eastAsiaTheme="minorEastAsia" w:hAnsiTheme="minorHAnsi" w:cstheme="minorBidi"/>
              <w:noProof/>
              <w:lang w:eastAsia="en-AU"/>
            </w:rPr>
          </w:pPr>
          <w:hyperlink w:anchor="_Toc511377351" w:history="1">
            <w:r w:rsidR="00292035" w:rsidRPr="00B3354F">
              <w:rPr>
                <w:rStyle w:val="Hyperlink"/>
                <w:noProof/>
              </w:rPr>
              <w:t>Safety</w:t>
            </w:r>
            <w:r w:rsidR="00292035">
              <w:rPr>
                <w:noProof/>
                <w:webHidden/>
              </w:rPr>
              <w:tab/>
            </w:r>
            <w:r w:rsidR="00292035">
              <w:rPr>
                <w:noProof/>
                <w:webHidden/>
              </w:rPr>
              <w:fldChar w:fldCharType="begin"/>
            </w:r>
            <w:r w:rsidR="00292035">
              <w:rPr>
                <w:noProof/>
                <w:webHidden/>
              </w:rPr>
              <w:instrText xml:space="preserve"> PAGEREF _Toc511377351 \h </w:instrText>
            </w:r>
            <w:r w:rsidR="00292035">
              <w:rPr>
                <w:noProof/>
                <w:webHidden/>
              </w:rPr>
            </w:r>
            <w:r w:rsidR="00292035">
              <w:rPr>
                <w:noProof/>
                <w:webHidden/>
              </w:rPr>
              <w:fldChar w:fldCharType="separate"/>
            </w:r>
            <w:r w:rsidR="00292035">
              <w:rPr>
                <w:noProof/>
                <w:webHidden/>
              </w:rPr>
              <w:t>12</w:t>
            </w:r>
            <w:r w:rsidR="00292035">
              <w:rPr>
                <w:noProof/>
                <w:webHidden/>
              </w:rPr>
              <w:fldChar w:fldCharType="end"/>
            </w:r>
          </w:hyperlink>
        </w:p>
        <w:p w14:paraId="1F523582" w14:textId="77777777" w:rsidR="00292035" w:rsidRDefault="002E12AE">
          <w:pPr>
            <w:pStyle w:val="TOC3"/>
            <w:rPr>
              <w:rFonts w:asciiTheme="minorHAnsi" w:eastAsiaTheme="minorEastAsia" w:hAnsiTheme="minorHAnsi" w:cstheme="minorBidi"/>
              <w:noProof/>
              <w:lang w:eastAsia="en-AU"/>
            </w:rPr>
          </w:pPr>
          <w:hyperlink w:anchor="_Toc511377352" w:history="1">
            <w:r w:rsidR="00292035" w:rsidRPr="00B3354F">
              <w:rPr>
                <w:rStyle w:val="Hyperlink"/>
                <w:noProof/>
              </w:rPr>
              <w:t>First Round Benefit-Risk Assessment</w:t>
            </w:r>
            <w:r w:rsidR="00292035">
              <w:rPr>
                <w:noProof/>
                <w:webHidden/>
              </w:rPr>
              <w:tab/>
            </w:r>
            <w:r w:rsidR="00292035">
              <w:rPr>
                <w:noProof/>
                <w:webHidden/>
              </w:rPr>
              <w:fldChar w:fldCharType="begin"/>
            </w:r>
            <w:r w:rsidR="00292035">
              <w:rPr>
                <w:noProof/>
                <w:webHidden/>
              </w:rPr>
              <w:instrText xml:space="preserve"> PAGEREF _Toc511377352 \h </w:instrText>
            </w:r>
            <w:r w:rsidR="00292035">
              <w:rPr>
                <w:noProof/>
                <w:webHidden/>
              </w:rPr>
            </w:r>
            <w:r w:rsidR="00292035">
              <w:rPr>
                <w:noProof/>
                <w:webHidden/>
              </w:rPr>
              <w:fldChar w:fldCharType="separate"/>
            </w:r>
            <w:r w:rsidR="00292035">
              <w:rPr>
                <w:noProof/>
                <w:webHidden/>
              </w:rPr>
              <w:t>14</w:t>
            </w:r>
            <w:r w:rsidR="00292035">
              <w:rPr>
                <w:noProof/>
                <w:webHidden/>
              </w:rPr>
              <w:fldChar w:fldCharType="end"/>
            </w:r>
          </w:hyperlink>
        </w:p>
        <w:p w14:paraId="2FDB9205" w14:textId="77777777" w:rsidR="00292035" w:rsidRDefault="002E12AE">
          <w:pPr>
            <w:pStyle w:val="TOC3"/>
            <w:rPr>
              <w:rFonts w:asciiTheme="minorHAnsi" w:eastAsiaTheme="minorEastAsia" w:hAnsiTheme="minorHAnsi" w:cstheme="minorBidi"/>
              <w:noProof/>
              <w:lang w:eastAsia="en-AU"/>
            </w:rPr>
          </w:pPr>
          <w:hyperlink w:anchor="_Toc511377353" w:history="1">
            <w:r w:rsidR="00292035" w:rsidRPr="00B3354F">
              <w:rPr>
                <w:rStyle w:val="Hyperlink"/>
                <w:noProof/>
              </w:rPr>
              <w:t>First Round Recommendation Regarding Authorisation</w:t>
            </w:r>
            <w:r w:rsidR="00292035">
              <w:rPr>
                <w:noProof/>
                <w:webHidden/>
              </w:rPr>
              <w:tab/>
            </w:r>
            <w:r w:rsidR="00292035">
              <w:rPr>
                <w:noProof/>
                <w:webHidden/>
              </w:rPr>
              <w:fldChar w:fldCharType="begin"/>
            </w:r>
            <w:r w:rsidR="00292035">
              <w:rPr>
                <w:noProof/>
                <w:webHidden/>
              </w:rPr>
              <w:instrText xml:space="preserve"> PAGEREF _Toc511377353 \h </w:instrText>
            </w:r>
            <w:r w:rsidR="00292035">
              <w:rPr>
                <w:noProof/>
                <w:webHidden/>
              </w:rPr>
            </w:r>
            <w:r w:rsidR="00292035">
              <w:rPr>
                <w:noProof/>
                <w:webHidden/>
              </w:rPr>
              <w:fldChar w:fldCharType="separate"/>
            </w:r>
            <w:r w:rsidR="00292035">
              <w:rPr>
                <w:noProof/>
                <w:webHidden/>
              </w:rPr>
              <w:t>16</w:t>
            </w:r>
            <w:r w:rsidR="00292035">
              <w:rPr>
                <w:noProof/>
                <w:webHidden/>
              </w:rPr>
              <w:fldChar w:fldCharType="end"/>
            </w:r>
          </w:hyperlink>
        </w:p>
        <w:p w14:paraId="157DA2D6" w14:textId="77777777" w:rsidR="00292035" w:rsidRDefault="002E12AE">
          <w:pPr>
            <w:pStyle w:val="TOC3"/>
            <w:rPr>
              <w:rFonts w:asciiTheme="minorHAnsi" w:eastAsiaTheme="minorEastAsia" w:hAnsiTheme="minorHAnsi" w:cstheme="minorBidi"/>
              <w:noProof/>
              <w:lang w:eastAsia="en-AU"/>
            </w:rPr>
          </w:pPr>
          <w:hyperlink w:anchor="_Toc511377354" w:history="1">
            <w:r w:rsidR="00292035" w:rsidRPr="00B3354F">
              <w:rPr>
                <w:rStyle w:val="Hyperlink"/>
                <w:noProof/>
              </w:rPr>
              <w:t>Clinical Questions/Second Round Evaluation of clinical data submitted in response to questions</w:t>
            </w:r>
            <w:r w:rsidR="00292035">
              <w:rPr>
                <w:noProof/>
                <w:webHidden/>
              </w:rPr>
              <w:tab/>
            </w:r>
            <w:r w:rsidR="00292035">
              <w:rPr>
                <w:noProof/>
                <w:webHidden/>
              </w:rPr>
              <w:fldChar w:fldCharType="begin"/>
            </w:r>
            <w:r w:rsidR="00292035">
              <w:rPr>
                <w:noProof/>
                <w:webHidden/>
              </w:rPr>
              <w:instrText xml:space="preserve"> PAGEREF _Toc511377354 \h </w:instrText>
            </w:r>
            <w:r w:rsidR="00292035">
              <w:rPr>
                <w:noProof/>
                <w:webHidden/>
              </w:rPr>
            </w:r>
            <w:r w:rsidR="00292035">
              <w:rPr>
                <w:noProof/>
                <w:webHidden/>
              </w:rPr>
              <w:fldChar w:fldCharType="separate"/>
            </w:r>
            <w:r w:rsidR="00292035">
              <w:rPr>
                <w:noProof/>
                <w:webHidden/>
              </w:rPr>
              <w:t>16</w:t>
            </w:r>
            <w:r w:rsidR="00292035">
              <w:rPr>
                <w:noProof/>
                <w:webHidden/>
              </w:rPr>
              <w:fldChar w:fldCharType="end"/>
            </w:r>
          </w:hyperlink>
        </w:p>
        <w:p w14:paraId="0FDC9721" w14:textId="77777777" w:rsidR="00292035" w:rsidRDefault="002E12AE">
          <w:pPr>
            <w:pStyle w:val="TOC2"/>
            <w:rPr>
              <w:rFonts w:asciiTheme="minorHAnsi" w:eastAsiaTheme="minorEastAsia" w:hAnsiTheme="minorHAnsi" w:cstheme="minorBidi"/>
              <w:b w:val="0"/>
              <w:noProof/>
              <w:sz w:val="22"/>
              <w:lang w:eastAsia="en-AU"/>
            </w:rPr>
          </w:pPr>
          <w:hyperlink w:anchor="_Toc511377355" w:history="1">
            <w:r w:rsidR="00292035" w:rsidRPr="00B3354F">
              <w:rPr>
                <w:rStyle w:val="Hyperlink"/>
                <w:noProof/>
              </w:rPr>
              <w:t>V. Pharmacovigilance findings</w:t>
            </w:r>
            <w:r w:rsidR="00292035">
              <w:rPr>
                <w:noProof/>
                <w:webHidden/>
              </w:rPr>
              <w:tab/>
            </w:r>
            <w:r w:rsidR="00292035">
              <w:rPr>
                <w:noProof/>
                <w:webHidden/>
              </w:rPr>
              <w:fldChar w:fldCharType="begin"/>
            </w:r>
            <w:r w:rsidR="00292035">
              <w:rPr>
                <w:noProof/>
                <w:webHidden/>
              </w:rPr>
              <w:instrText xml:space="preserve"> PAGEREF _Toc511377355 \h </w:instrText>
            </w:r>
            <w:r w:rsidR="00292035">
              <w:rPr>
                <w:noProof/>
                <w:webHidden/>
              </w:rPr>
            </w:r>
            <w:r w:rsidR="00292035">
              <w:rPr>
                <w:noProof/>
                <w:webHidden/>
              </w:rPr>
              <w:fldChar w:fldCharType="separate"/>
            </w:r>
            <w:r w:rsidR="00292035">
              <w:rPr>
                <w:noProof/>
                <w:webHidden/>
              </w:rPr>
              <w:t>16</w:t>
            </w:r>
            <w:r w:rsidR="00292035">
              <w:rPr>
                <w:noProof/>
                <w:webHidden/>
              </w:rPr>
              <w:fldChar w:fldCharType="end"/>
            </w:r>
          </w:hyperlink>
        </w:p>
        <w:p w14:paraId="1C9E86FC" w14:textId="77777777" w:rsidR="00292035" w:rsidRDefault="002E12AE">
          <w:pPr>
            <w:pStyle w:val="TOC3"/>
            <w:rPr>
              <w:rFonts w:asciiTheme="minorHAnsi" w:eastAsiaTheme="minorEastAsia" w:hAnsiTheme="minorHAnsi" w:cstheme="minorBidi"/>
              <w:noProof/>
              <w:lang w:eastAsia="en-AU"/>
            </w:rPr>
          </w:pPr>
          <w:hyperlink w:anchor="_Toc511377356" w:history="1">
            <w:r w:rsidR="00292035" w:rsidRPr="00B3354F">
              <w:rPr>
                <w:rStyle w:val="Hyperlink"/>
                <w:noProof/>
                <w:lang w:eastAsia="en-AU"/>
              </w:rPr>
              <w:t>Risk management plan</w:t>
            </w:r>
            <w:r w:rsidR="00292035">
              <w:rPr>
                <w:noProof/>
                <w:webHidden/>
              </w:rPr>
              <w:tab/>
            </w:r>
            <w:r w:rsidR="00292035">
              <w:rPr>
                <w:noProof/>
                <w:webHidden/>
              </w:rPr>
              <w:fldChar w:fldCharType="begin"/>
            </w:r>
            <w:r w:rsidR="00292035">
              <w:rPr>
                <w:noProof/>
                <w:webHidden/>
              </w:rPr>
              <w:instrText xml:space="preserve"> PAGEREF _Toc511377356 \h </w:instrText>
            </w:r>
            <w:r w:rsidR="00292035">
              <w:rPr>
                <w:noProof/>
                <w:webHidden/>
              </w:rPr>
            </w:r>
            <w:r w:rsidR="00292035">
              <w:rPr>
                <w:noProof/>
                <w:webHidden/>
              </w:rPr>
              <w:fldChar w:fldCharType="separate"/>
            </w:r>
            <w:r w:rsidR="00292035">
              <w:rPr>
                <w:noProof/>
                <w:webHidden/>
              </w:rPr>
              <w:t>16</w:t>
            </w:r>
            <w:r w:rsidR="00292035">
              <w:rPr>
                <w:noProof/>
                <w:webHidden/>
              </w:rPr>
              <w:fldChar w:fldCharType="end"/>
            </w:r>
          </w:hyperlink>
        </w:p>
        <w:p w14:paraId="08AD3BA8" w14:textId="77777777" w:rsidR="00292035" w:rsidRDefault="002E12AE">
          <w:pPr>
            <w:pStyle w:val="TOC3"/>
            <w:rPr>
              <w:rFonts w:asciiTheme="minorHAnsi" w:eastAsiaTheme="minorEastAsia" w:hAnsiTheme="minorHAnsi" w:cstheme="minorBidi"/>
              <w:noProof/>
              <w:lang w:eastAsia="en-AU"/>
            </w:rPr>
          </w:pPr>
          <w:hyperlink w:anchor="_Toc511377357" w:history="1">
            <w:r w:rsidR="00292035" w:rsidRPr="00B3354F">
              <w:rPr>
                <w:rStyle w:val="Hyperlink"/>
                <w:noProof/>
              </w:rPr>
              <w:t>Second round evaluation</w:t>
            </w:r>
            <w:r w:rsidR="00292035">
              <w:rPr>
                <w:noProof/>
                <w:webHidden/>
              </w:rPr>
              <w:tab/>
            </w:r>
            <w:r w:rsidR="00292035">
              <w:rPr>
                <w:noProof/>
                <w:webHidden/>
              </w:rPr>
              <w:fldChar w:fldCharType="begin"/>
            </w:r>
            <w:r w:rsidR="00292035">
              <w:rPr>
                <w:noProof/>
                <w:webHidden/>
              </w:rPr>
              <w:instrText xml:space="preserve"> PAGEREF _Toc511377357 \h </w:instrText>
            </w:r>
            <w:r w:rsidR="00292035">
              <w:rPr>
                <w:noProof/>
                <w:webHidden/>
              </w:rPr>
            </w:r>
            <w:r w:rsidR="00292035">
              <w:rPr>
                <w:noProof/>
                <w:webHidden/>
              </w:rPr>
              <w:fldChar w:fldCharType="separate"/>
            </w:r>
            <w:r w:rsidR="00292035">
              <w:rPr>
                <w:noProof/>
                <w:webHidden/>
              </w:rPr>
              <w:t>18</w:t>
            </w:r>
            <w:r w:rsidR="00292035">
              <w:rPr>
                <w:noProof/>
                <w:webHidden/>
              </w:rPr>
              <w:fldChar w:fldCharType="end"/>
            </w:r>
          </w:hyperlink>
        </w:p>
        <w:p w14:paraId="78D641CB" w14:textId="77777777" w:rsidR="00292035" w:rsidRDefault="002E12AE">
          <w:pPr>
            <w:pStyle w:val="TOC2"/>
            <w:rPr>
              <w:rFonts w:asciiTheme="minorHAnsi" w:eastAsiaTheme="minorEastAsia" w:hAnsiTheme="minorHAnsi" w:cstheme="minorBidi"/>
              <w:b w:val="0"/>
              <w:noProof/>
              <w:sz w:val="22"/>
              <w:lang w:eastAsia="en-AU"/>
            </w:rPr>
          </w:pPr>
          <w:hyperlink w:anchor="_Toc511377358" w:history="1">
            <w:r w:rsidR="00292035" w:rsidRPr="00B3354F">
              <w:rPr>
                <w:rStyle w:val="Hyperlink"/>
                <w:noProof/>
              </w:rPr>
              <w:t>Overall conclusion and risk/benefit assessment</w:t>
            </w:r>
            <w:r w:rsidR="00292035">
              <w:rPr>
                <w:noProof/>
                <w:webHidden/>
              </w:rPr>
              <w:tab/>
            </w:r>
            <w:r w:rsidR="00292035">
              <w:rPr>
                <w:noProof/>
                <w:webHidden/>
              </w:rPr>
              <w:fldChar w:fldCharType="begin"/>
            </w:r>
            <w:r w:rsidR="00292035">
              <w:rPr>
                <w:noProof/>
                <w:webHidden/>
              </w:rPr>
              <w:instrText xml:space="preserve"> PAGEREF _Toc511377358 \h </w:instrText>
            </w:r>
            <w:r w:rsidR="00292035">
              <w:rPr>
                <w:noProof/>
                <w:webHidden/>
              </w:rPr>
            </w:r>
            <w:r w:rsidR="00292035">
              <w:rPr>
                <w:noProof/>
                <w:webHidden/>
              </w:rPr>
              <w:fldChar w:fldCharType="separate"/>
            </w:r>
            <w:r w:rsidR="00292035">
              <w:rPr>
                <w:noProof/>
                <w:webHidden/>
              </w:rPr>
              <w:t>19</w:t>
            </w:r>
            <w:r w:rsidR="00292035">
              <w:rPr>
                <w:noProof/>
                <w:webHidden/>
              </w:rPr>
              <w:fldChar w:fldCharType="end"/>
            </w:r>
          </w:hyperlink>
        </w:p>
        <w:p w14:paraId="4EA6F791" w14:textId="77777777" w:rsidR="00292035" w:rsidRDefault="002E12AE">
          <w:pPr>
            <w:pStyle w:val="TOC3"/>
            <w:rPr>
              <w:rFonts w:asciiTheme="minorHAnsi" w:eastAsiaTheme="minorEastAsia" w:hAnsiTheme="minorHAnsi" w:cstheme="minorBidi"/>
              <w:noProof/>
              <w:lang w:eastAsia="en-AU"/>
            </w:rPr>
          </w:pPr>
          <w:hyperlink w:anchor="_Toc511377359" w:history="1">
            <w:r w:rsidR="00292035" w:rsidRPr="00B3354F">
              <w:rPr>
                <w:rStyle w:val="Hyperlink"/>
                <w:noProof/>
              </w:rPr>
              <w:t>Quality</w:t>
            </w:r>
            <w:r w:rsidR="00292035">
              <w:rPr>
                <w:noProof/>
                <w:webHidden/>
              </w:rPr>
              <w:tab/>
            </w:r>
            <w:r w:rsidR="00292035">
              <w:rPr>
                <w:noProof/>
                <w:webHidden/>
              </w:rPr>
              <w:fldChar w:fldCharType="begin"/>
            </w:r>
            <w:r w:rsidR="00292035">
              <w:rPr>
                <w:noProof/>
                <w:webHidden/>
              </w:rPr>
              <w:instrText xml:space="preserve"> PAGEREF _Toc511377359 \h </w:instrText>
            </w:r>
            <w:r w:rsidR="00292035">
              <w:rPr>
                <w:noProof/>
                <w:webHidden/>
              </w:rPr>
            </w:r>
            <w:r w:rsidR="00292035">
              <w:rPr>
                <w:noProof/>
                <w:webHidden/>
              </w:rPr>
              <w:fldChar w:fldCharType="separate"/>
            </w:r>
            <w:r w:rsidR="00292035">
              <w:rPr>
                <w:noProof/>
                <w:webHidden/>
              </w:rPr>
              <w:t>19</w:t>
            </w:r>
            <w:r w:rsidR="00292035">
              <w:rPr>
                <w:noProof/>
                <w:webHidden/>
              </w:rPr>
              <w:fldChar w:fldCharType="end"/>
            </w:r>
          </w:hyperlink>
        </w:p>
        <w:p w14:paraId="76744206" w14:textId="77777777" w:rsidR="00292035" w:rsidRDefault="002E12AE">
          <w:pPr>
            <w:pStyle w:val="TOC3"/>
            <w:rPr>
              <w:rFonts w:asciiTheme="minorHAnsi" w:eastAsiaTheme="minorEastAsia" w:hAnsiTheme="minorHAnsi" w:cstheme="minorBidi"/>
              <w:noProof/>
              <w:lang w:eastAsia="en-AU"/>
            </w:rPr>
          </w:pPr>
          <w:hyperlink w:anchor="_Toc511377360" w:history="1">
            <w:r w:rsidR="00292035" w:rsidRPr="00B3354F">
              <w:rPr>
                <w:rStyle w:val="Hyperlink"/>
                <w:noProof/>
              </w:rPr>
              <w:t>Nonclinical</w:t>
            </w:r>
            <w:r w:rsidR="00292035">
              <w:rPr>
                <w:noProof/>
                <w:webHidden/>
              </w:rPr>
              <w:tab/>
            </w:r>
            <w:r w:rsidR="00292035">
              <w:rPr>
                <w:noProof/>
                <w:webHidden/>
              </w:rPr>
              <w:fldChar w:fldCharType="begin"/>
            </w:r>
            <w:r w:rsidR="00292035">
              <w:rPr>
                <w:noProof/>
                <w:webHidden/>
              </w:rPr>
              <w:instrText xml:space="preserve"> PAGEREF _Toc511377360 \h </w:instrText>
            </w:r>
            <w:r w:rsidR="00292035">
              <w:rPr>
                <w:noProof/>
                <w:webHidden/>
              </w:rPr>
            </w:r>
            <w:r w:rsidR="00292035">
              <w:rPr>
                <w:noProof/>
                <w:webHidden/>
              </w:rPr>
              <w:fldChar w:fldCharType="separate"/>
            </w:r>
            <w:r w:rsidR="00292035">
              <w:rPr>
                <w:noProof/>
                <w:webHidden/>
              </w:rPr>
              <w:t>19</w:t>
            </w:r>
            <w:r w:rsidR="00292035">
              <w:rPr>
                <w:noProof/>
                <w:webHidden/>
              </w:rPr>
              <w:fldChar w:fldCharType="end"/>
            </w:r>
          </w:hyperlink>
        </w:p>
        <w:p w14:paraId="6515E3E7" w14:textId="77777777" w:rsidR="00292035" w:rsidRDefault="002E12AE">
          <w:pPr>
            <w:pStyle w:val="TOC3"/>
            <w:rPr>
              <w:rFonts w:asciiTheme="minorHAnsi" w:eastAsiaTheme="minorEastAsia" w:hAnsiTheme="minorHAnsi" w:cstheme="minorBidi"/>
              <w:noProof/>
              <w:lang w:eastAsia="en-AU"/>
            </w:rPr>
          </w:pPr>
          <w:hyperlink w:anchor="_Toc511377361" w:history="1">
            <w:r w:rsidR="00292035" w:rsidRPr="00B3354F">
              <w:rPr>
                <w:rStyle w:val="Hyperlink"/>
                <w:noProof/>
              </w:rPr>
              <w:t>Clinical</w:t>
            </w:r>
            <w:r w:rsidR="00292035">
              <w:rPr>
                <w:noProof/>
                <w:webHidden/>
              </w:rPr>
              <w:tab/>
            </w:r>
            <w:r w:rsidR="00292035">
              <w:rPr>
                <w:noProof/>
                <w:webHidden/>
              </w:rPr>
              <w:fldChar w:fldCharType="begin"/>
            </w:r>
            <w:r w:rsidR="00292035">
              <w:rPr>
                <w:noProof/>
                <w:webHidden/>
              </w:rPr>
              <w:instrText xml:space="preserve"> PAGEREF _Toc511377361 \h </w:instrText>
            </w:r>
            <w:r w:rsidR="00292035">
              <w:rPr>
                <w:noProof/>
                <w:webHidden/>
              </w:rPr>
            </w:r>
            <w:r w:rsidR="00292035">
              <w:rPr>
                <w:noProof/>
                <w:webHidden/>
              </w:rPr>
              <w:fldChar w:fldCharType="separate"/>
            </w:r>
            <w:r w:rsidR="00292035">
              <w:rPr>
                <w:noProof/>
                <w:webHidden/>
              </w:rPr>
              <w:t>19</w:t>
            </w:r>
            <w:r w:rsidR="00292035">
              <w:rPr>
                <w:noProof/>
                <w:webHidden/>
              </w:rPr>
              <w:fldChar w:fldCharType="end"/>
            </w:r>
          </w:hyperlink>
        </w:p>
        <w:p w14:paraId="13D4FB33" w14:textId="77777777" w:rsidR="00292035" w:rsidRDefault="002E12AE">
          <w:pPr>
            <w:pStyle w:val="TOC3"/>
            <w:rPr>
              <w:rFonts w:asciiTheme="minorHAnsi" w:eastAsiaTheme="minorEastAsia" w:hAnsiTheme="minorHAnsi" w:cstheme="minorBidi"/>
              <w:noProof/>
              <w:lang w:eastAsia="en-AU"/>
            </w:rPr>
          </w:pPr>
          <w:hyperlink w:anchor="_Toc511377362" w:history="1">
            <w:r w:rsidR="00292035" w:rsidRPr="00B3354F">
              <w:rPr>
                <w:rStyle w:val="Hyperlink"/>
                <w:noProof/>
              </w:rPr>
              <w:t>Risk-benefit analysis</w:t>
            </w:r>
            <w:r w:rsidR="00292035">
              <w:rPr>
                <w:noProof/>
                <w:webHidden/>
              </w:rPr>
              <w:tab/>
            </w:r>
            <w:r w:rsidR="00292035">
              <w:rPr>
                <w:noProof/>
                <w:webHidden/>
              </w:rPr>
              <w:fldChar w:fldCharType="begin"/>
            </w:r>
            <w:r w:rsidR="00292035">
              <w:rPr>
                <w:noProof/>
                <w:webHidden/>
              </w:rPr>
              <w:instrText xml:space="preserve"> PAGEREF _Toc511377362 \h </w:instrText>
            </w:r>
            <w:r w:rsidR="00292035">
              <w:rPr>
                <w:noProof/>
                <w:webHidden/>
              </w:rPr>
            </w:r>
            <w:r w:rsidR="00292035">
              <w:rPr>
                <w:noProof/>
                <w:webHidden/>
              </w:rPr>
              <w:fldChar w:fldCharType="separate"/>
            </w:r>
            <w:r w:rsidR="00292035">
              <w:rPr>
                <w:noProof/>
                <w:webHidden/>
              </w:rPr>
              <w:t>30</w:t>
            </w:r>
            <w:r w:rsidR="00292035">
              <w:rPr>
                <w:noProof/>
                <w:webHidden/>
              </w:rPr>
              <w:fldChar w:fldCharType="end"/>
            </w:r>
          </w:hyperlink>
        </w:p>
        <w:p w14:paraId="6CB584AE" w14:textId="77777777" w:rsidR="00292035" w:rsidRDefault="002E12AE">
          <w:pPr>
            <w:pStyle w:val="TOC3"/>
            <w:rPr>
              <w:rFonts w:asciiTheme="minorHAnsi" w:eastAsiaTheme="minorEastAsia" w:hAnsiTheme="minorHAnsi" w:cstheme="minorBidi"/>
              <w:noProof/>
              <w:lang w:eastAsia="en-AU"/>
            </w:rPr>
          </w:pPr>
          <w:hyperlink w:anchor="_Toc511377363" w:history="1">
            <w:r w:rsidR="00292035" w:rsidRPr="00B3354F">
              <w:rPr>
                <w:rStyle w:val="Hyperlink"/>
                <w:noProof/>
              </w:rPr>
              <w:t>Outcome</w:t>
            </w:r>
            <w:r w:rsidR="00292035">
              <w:rPr>
                <w:noProof/>
                <w:webHidden/>
              </w:rPr>
              <w:tab/>
            </w:r>
            <w:r w:rsidR="00292035">
              <w:rPr>
                <w:noProof/>
                <w:webHidden/>
              </w:rPr>
              <w:fldChar w:fldCharType="begin"/>
            </w:r>
            <w:r w:rsidR="00292035">
              <w:rPr>
                <w:noProof/>
                <w:webHidden/>
              </w:rPr>
              <w:instrText xml:space="preserve"> PAGEREF _Toc511377363 \h </w:instrText>
            </w:r>
            <w:r w:rsidR="00292035">
              <w:rPr>
                <w:noProof/>
                <w:webHidden/>
              </w:rPr>
            </w:r>
            <w:r w:rsidR="00292035">
              <w:rPr>
                <w:noProof/>
                <w:webHidden/>
              </w:rPr>
              <w:fldChar w:fldCharType="separate"/>
            </w:r>
            <w:r w:rsidR="00292035">
              <w:rPr>
                <w:noProof/>
                <w:webHidden/>
              </w:rPr>
              <w:t>42</w:t>
            </w:r>
            <w:r w:rsidR="00292035">
              <w:rPr>
                <w:noProof/>
                <w:webHidden/>
              </w:rPr>
              <w:fldChar w:fldCharType="end"/>
            </w:r>
          </w:hyperlink>
        </w:p>
        <w:p w14:paraId="0AAFE70C" w14:textId="77777777" w:rsidR="00292035" w:rsidRDefault="002E12AE">
          <w:pPr>
            <w:pStyle w:val="TOC2"/>
            <w:rPr>
              <w:rFonts w:asciiTheme="minorHAnsi" w:eastAsiaTheme="minorEastAsia" w:hAnsiTheme="minorHAnsi" w:cstheme="minorBidi"/>
              <w:b w:val="0"/>
              <w:noProof/>
              <w:sz w:val="22"/>
              <w:lang w:eastAsia="en-AU"/>
            </w:rPr>
          </w:pPr>
          <w:hyperlink w:anchor="_Toc511377364" w:history="1">
            <w:r w:rsidR="00292035" w:rsidRPr="00B3354F">
              <w:rPr>
                <w:rStyle w:val="Hyperlink"/>
                <w:noProof/>
              </w:rPr>
              <w:t>Attachment 1. Product Information</w:t>
            </w:r>
            <w:r w:rsidR="00292035">
              <w:rPr>
                <w:noProof/>
                <w:webHidden/>
              </w:rPr>
              <w:tab/>
            </w:r>
            <w:r w:rsidR="00292035">
              <w:rPr>
                <w:noProof/>
                <w:webHidden/>
              </w:rPr>
              <w:fldChar w:fldCharType="begin"/>
            </w:r>
            <w:r w:rsidR="00292035">
              <w:rPr>
                <w:noProof/>
                <w:webHidden/>
              </w:rPr>
              <w:instrText xml:space="preserve"> PAGEREF _Toc511377364 \h </w:instrText>
            </w:r>
            <w:r w:rsidR="00292035">
              <w:rPr>
                <w:noProof/>
                <w:webHidden/>
              </w:rPr>
            </w:r>
            <w:r w:rsidR="00292035">
              <w:rPr>
                <w:noProof/>
                <w:webHidden/>
              </w:rPr>
              <w:fldChar w:fldCharType="separate"/>
            </w:r>
            <w:r w:rsidR="00292035">
              <w:rPr>
                <w:noProof/>
                <w:webHidden/>
              </w:rPr>
              <w:t>42</w:t>
            </w:r>
            <w:r w:rsidR="00292035">
              <w:rPr>
                <w:noProof/>
                <w:webHidden/>
              </w:rPr>
              <w:fldChar w:fldCharType="end"/>
            </w:r>
          </w:hyperlink>
        </w:p>
        <w:p w14:paraId="193F7720" w14:textId="77777777" w:rsidR="00292035" w:rsidRDefault="002E12AE">
          <w:pPr>
            <w:pStyle w:val="TOC2"/>
            <w:rPr>
              <w:rFonts w:asciiTheme="minorHAnsi" w:eastAsiaTheme="minorEastAsia" w:hAnsiTheme="minorHAnsi" w:cstheme="minorBidi"/>
              <w:b w:val="0"/>
              <w:noProof/>
              <w:sz w:val="22"/>
              <w:lang w:eastAsia="en-AU"/>
            </w:rPr>
          </w:pPr>
          <w:hyperlink w:anchor="_Toc511377365" w:history="1">
            <w:r w:rsidR="00292035" w:rsidRPr="00B3354F">
              <w:rPr>
                <w:rStyle w:val="Hyperlink"/>
                <w:noProof/>
                <w:lang w:eastAsia="en-AU"/>
              </w:rPr>
              <w:t>Attachment 2. Extract from the Clinical Evaluation Report</w:t>
            </w:r>
            <w:r w:rsidR="00292035">
              <w:rPr>
                <w:noProof/>
                <w:webHidden/>
              </w:rPr>
              <w:tab/>
            </w:r>
            <w:r w:rsidR="00292035">
              <w:rPr>
                <w:noProof/>
                <w:webHidden/>
              </w:rPr>
              <w:fldChar w:fldCharType="begin"/>
            </w:r>
            <w:r w:rsidR="00292035">
              <w:rPr>
                <w:noProof/>
                <w:webHidden/>
              </w:rPr>
              <w:instrText xml:space="preserve"> PAGEREF _Toc511377365 \h </w:instrText>
            </w:r>
            <w:r w:rsidR="00292035">
              <w:rPr>
                <w:noProof/>
                <w:webHidden/>
              </w:rPr>
            </w:r>
            <w:r w:rsidR="00292035">
              <w:rPr>
                <w:noProof/>
                <w:webHidden/>
              </w:rPr>
              <w:fldChar w:fldCharType="separate"/>
            </w:r>
            <w:r w:rsidR="00292035">
              <w:rPr>
                <w:noProof/>
                <w:webHidden/>
              </w:rPr>
              <w:t>42</w:t>
            </w:r>
            <w:r w:rsidR="00292035">
              <w:rPr>
                <w:noProof/>
                <w:webHidden/>
              </w:rPr>
              <w:fldChar w:fldCharType="end"/>
            </w:r>
          </w:hyperlink>
        </w:p>
        <w:p w14:paraId="20E0E7FB" w14:textId="77777777" w:rsidR="003A7F6C" w:rsidRPr="00B811C6" w:rsidRDefault="00DB6124" w:rsidP="00B811C6">
          <w:pPr>
            <w:pStyle w:val="TOC2"/>
          </w:pPr>
          <w:r>
            <w:fldChar w:fldCharType="end"/>
          </w:r>
        </w:p>
      </w:sdtContent>
    </w:sdt>
    <w:bookmarkStart w:id="3" w:name="_Toc314842482" w:displacedByCustomXml="prev"/>
    <w:p w14:paraId="28FD4D9A"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511377337"/>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90"/>
        <w:gridCol w:w="6830"/>
      </w:tblGrid>
      <w:tr w:rsidR="00FD119B" w:rsidRPr="00FD119B" w14:paraId="3BC0131F" w14:textId="77777777" w:rsidTr="000E3BB3">
        <w:trPr>
          <w:cnfStyle w:val="100000000000" w:firstRow="1" w:lastRow="0" w:firstColumn="0" w:lastColumn="0" w:oddVBand="0" w:evenVBand="0" w:oddHBand="0" w:evenHBand="0" w:firstRowFirstColumn="0" w:firstRowLastColumn="0" w:lastRowFirstColumn="0" w:lastRowLastColumn="0"/>
        </w:trPr>
        <w:tc>
          <w:tcPr>
            <w:tcW w:w="1809" w:type="dxa"/>
          </w:tcPr>
          <w:p w14:paraId="1896D81A" w14:textId="77777777" w:rsidR="00FD119B" w:rsidRPr="00CD37FB" w:rsidRDefault="00FD119B" w:rsidP="00CD37FB">
            <w:r w:rsidRPr="00CD37FB">
              <w:t>Abbreviation</w:t>
            </w:r>
          </w:p>
        </w:tc>
        <w:tc>
          <w:tcPr>
            <w:tcW w:w="6911" w:type="dxa"/>
          </w:tcPr>
          <w:p w14:paraId="6DED1809" w14:textId="77777777" w:rsidR="00FD119B" w:rsidRPr="00CD37FB" w:rsidRDefault="00FD119B" w:rsidP="00CD37FB">
            <w:r w:rsidRPr="00CD37FB">
              <w:t>Meaning</w:t>
            </w:r>
          </w:p>
        </w:tc>
      </w:tr>
      <w:tr w:rsidR="00A16253" w:rsidRPr="00734AAC" w14:paraId="58246950" w14:textId="77777777" w:rsidTr="000E3BB3">
        <w:tc>
          <w:tcPr>
            <w:tcW w:w="1809" w:type="dxa"/>
          </w:tcPr>
          <w:p w14:paraId="52AA5DDC" w14:textId="77777777" w:rsidR="00A16253" w:rsidRPr="00CD37FB" w:rsidRDefault="00A16253" w:rsidP="00CD37FB">
            <w:r w:rsidRPr="00CD37FB">
              <w:t>AE</w:t>
            </w:r>
          </w:p>
        </w:tc>
        <w:tc>
          <w:tcPr>
            <w:tcW w:w="6911" w:type="dxa"/>
          </w:tcPr>
          <w:p w14:paraId="6CDF9357" w14:textId="77777777" w:rsidR="00A16253" w:rsidRPr="00CD37FB" w:rsidRDefault="00A16253" w:rsidP="00CD37FB">
            <w:r w:rsidRPr="00CD37FB">
              <w:t>Adverse event</w:t>
            </w:r>
          </w:p>
        </w:tc>
      </w:tr>
      <w:tr w:rsidR="00A16253" w:rsidRPr="00734AAC" w14:paraId="5A193D42" w14:textId="77777777" w:rsidTr="000E3BB3">
        <w:tc>
          <w:tcPr>
            <w:tcW w:w="1809" w:type="dxa"/>
          </w:tcPr>
          <w:p w14:paraId="07E913E2" w14:textId="77777777" w:rsidR="00A16253" w:rsidRPr="00CD37FB" w:rsidRDefault="00A16253" w:rsidP="00CD37FB">
            <w:r w:rsidRPr="00CD37FB">
              <w:t>CBER</w:t>
            </w:r>
          </w:p>
        </w:tc>
        <w:tc>
          <w:tcPr>
            <w:tcW w:w="6911" w:type="dxa"/>
          </w:tcPr>
          <w:p w14:paraId="13AC7535" w14:textId="77777777" w:rsidR="00A16253" w:rsidRPr="00CD37FB" w:rsidRDefault="00A16253" w:rsidP="00CD37FB">
            <w:proofErr w:type="spellStart"/>
            <w:r w:rsidRPr="00CD37FB">
              <w:t>Center</w:t>
            </w:r>
            <w:proofErr w:type="spellEnd"/>
            <w:r w:rsidRPr="00CD37FB">
              <w:t xml:space="preserve"> for Biologics Evaluation and Research</w:t>
            </w:r>
          </w:p>
        </w:tc>
      </w:tr>
      <w:tr w:rsidR="00A16253" w:rsidRPr="00734AAC" w14:paraId="26E06FEC" w14:textId="77777777" w:rsidTr="000E3BB3">
        <w:tc>
          <w:tcPr>
            <w:tcW w:w="1809" w:type="dxa"/>
          </w:tcPr>
          <w:p w14:paraId="154FE000" w14:textId="77777777" w:rsidR="00A16253" w:rsidRPr="00CD37FB" w:rsidRDefault="00A16253" w:rsidP="00CD37FB">
            <w:r w:rsidRPr="00CD37FB">
              <w:t>CQA</w:t>
            </w:r>
          </w:p>
        </w:tc>
        <w:tc>
          <w:tcPr>
            <w:tcW w:w="6911" w:type="dxa"/>
          </w:tcPr>
          <w:p w14:paraId="34511D5E" w14:textId="77777777" w:rsidR="00A16253" w:rsidRPr="00CD37FB" w:rsidRDefault="00A16253" w:rsidP="00CD37FB">
            <w:r w:rsidRPr="00CD37FB">
              <w:t>Clinical Quality Assurance Group (within Novartis)</w:t>
            </w:r>
          </w:p>
        </w:tc>
      </w:tr>
      <w:tr w:rsidR="00A16253" w:rsidRPr="00734AAC" w14:paraId="7C8A5801" w14:textId="77777777" w:rsidTr="000E3BB3">
        <w:tc>
          <w:tcPr>
            <w:tcW w:w="1809" w:type="dxa"/>
          </w:tcPr>
          <w:p w14:paraId="0B32833C" w14:textId="77777777" w:rsidR="00A16253" w:rsidRPr="00CD37FB" w:rsidRDefault="00A16253" w:rsidP="00CD37FB">
            <w:r w:rsidRPr="00CD37FB">
              <w:t>CR</w:t>
            </w:r>
          </w:p>
        </w:tc>
        <w:tc>
          <w:tcPr>
            <w:tcW w:w="6911" w:type="dxa"/>
          </w:tcPr>
          <w:p w14:paraId="2BE147C0" w14:textId="77777777" w:rsidR="00A16253" w:rsidRPr="00CD37FB" w:rsidRDefault="00A16253" w:rsidP="00CD37FB">
            <w:r w:rsidRPr="00CD37FB">
              <w:t>Complete Response</w:t>
            </w:r>
          </w:p>
        </w:tc>
      </w:tr>
      <w:tr w:rsidR="00A16253" w:rsidRPr="00734AAC" w14:paraId="24B45602" w14:textId="77777777" w:rsidTr="000E3BB3">
        <w:tc>
          <w:tcPr>
            <w:tcW w:w="1809" w:type="dxa"/>
          </w:tcPr>
          <w:p w14:paraId="625F1499" w14:textId="77777777" w:rsidR="00A16253" w:rsidRPr="00CD37FB" w:rsidRDefault="00A16253" w:rsidP="00CD37FB">
            <w:r w:rsidRPr="00CD37FB">
              <w:t>CRA</w:t>
            </w:r>
          </w:p>
        </w:tc>
        <w:tc>
          <w:tcPr>
            <w:tcW w:w="6911" w:type="dxa"/>
          </w:tcPr>
          <w:p w14:paraId="74A623B2" w14:textId="77777777" w:rsidR="00A16253" w:rsidRPr="00CD37FB" w:rsidRDefault="00A16253" w:rsidP="00CD37FB">
            <w:r w:rsidRPr="00CD37FB">
              <w:t>Clinical research associate</w:t>
            </w:r>
          </w:p>
        </w:tc>
      </w:tr>
      <w:tr w:rsidR="00A16253" w:rsidRPr="00734AAC" w14:paraId="2E197D35" w14:textId="77777777" w:rsidTr="000E3BB3">
        <w:tc>
          <w:tcPr>
            <w:tcW w:w="1809" w:type="dxa"/>
          </w:tcPr>
          <w:p w14:paraId="35544565" w14:textId="77777777" w:rsidR="00A16253" w:rsidRPr="00CD37FB" w:rsidRDefault="00A16253" w:rsidP="00CD37FB">
            <w:r w:rsidRPr="00CD37FB">
              <w:t>CRF</w:t>
            </w:r>
          </w:p>
        </w:tc>
        <w:tc>
          <w:tcPr>
            <w:tcW w:w="6911" w:type="dxa"/>
          </w:tcPr>
          <w:p w14:paraId="7CF71625" w14:textId="77777777" w:rsidR="00A16253" w:rsidRPr="00CD37FB" w:rsidRDefault="00A16253" w:rsidP="00CD37FB">
            <w:r w:rsidRPr="00CD37FB">
              <w:t>Case report form</w:t>
            </w:r>
          </w:p>
        </w:tc>
      </w:tr>
      <w:tr w:rsidR="00A16253" w:rsidRPr="00734AAC" w14:paraId="29FF3C0E" w14:textId="77777777" w:rsidTr="000E3BB3">
        <w:tc>
          <w:tcPr>
            <w:tcW w:w="1809" w:type="dxa"/>
          </w:tcPr>
          <w:p w14:paraId="22E52629" w14:textId="77777777" w:rsidR="00A16253" w:rsidRPr="00CD37FB" w:rsidRDefault="00A16253" w:rsidP="00CD37FB">
            <w:proofErr w:type="spellStart"/>
            <w:r w:rsidRPr="00CD37FB">
              <w:t>eCRF</w:t>
            </w:r>
            <w:proofErr w:type="spellEnd"/>
          </w:p>
        </w:tc>
        <w:tc>
          <w:tcPr>
            <w:tcW w:w="6911" w:type="dxa"/>
          </w:tcPr>
          <w:p w14:paraId="4BF5A672" w14:textId="77777777" w:rsidR="00A16253" w:rsidRPr="00CD37FB" w:rsidRDefault="00A16253" w:rsidP="00CD37FB">
            <w:r w:rsidRPr="00CD37FB">
              <w:t>Electronic case report form</w:t>
            </w:r>
          </w:p>
        </w:tc>
      </w:tr>
      <w:tr w:rsidR="00A16253" w:rsidRPr="00734AAC" w14:paraId="63D232A0" w14:textId="77777777" w:rsidTr="000E3BB3">
        <w:tc>
          <w:tcPr>
            <w:tcW w:w="1809" w:type="dxa"/>
          </w:tcPr>
          <w:p w14:paraId="3FAFBA5B" w14:textId="77777777" w:rsidR="00A16253" w:rsidRPr="00CD37FB" w:rsidRDefault="00A16253" w:rsidP="00CD37FB">
            <w:r w:rsidRPr="00CD37FB">
              <w:t>CRO</w:t>
            </w:r>
          </w:p>
        </w:tc>
        <w:tc>
          <w:tcPr>
            <w:tcW w:w="6911" w:type="dxa"/>
          </w:tcPr>
          <w:p w14:paraId="538D03A8" w14:textId="77777777" w:rsidR="00A16253" w:rsidRPr="00CD37FB" w:rsidRDefault="00A16253" w:rsidP="00CD37FB">
            <w:r w:rsidRPr="00CD37FB">
              <w:t>Clinical Research Organization</w:t>
            </w:r>
          </w:p>
        </w:tc>
      </w:tr>
      <w:tr w:rsidR="00A16253" w:rsidRPr="00734AAC" w14:paraId="14FDD120" w14:textId="77777777" w:rsidTr="000E3BB3">
        <w:tc>
          <w:tcPr>
            <w:tcW w:w="1809" w:type="dxa"/>
          </w:tcPr>
          <w:p w14:paraId="11ED01DD" w14:textId="77777777" w:rsidR="00A16253" w:rsidRPr="00CD37FB" w:rsidRDefault="00A16253" w:rsidP="00CD37FB">
            <w:r w:rsidRPr="00CD37FB">
              <w:t>CSR</w:t>
            </w:r>
          </w:p>
        </w:tc>
        <w:tc>
          <w:tcPr>
            <w:tcW w:w="6911" w:type="dxa"/>
          </w:tcPr>
          <w:p w14:paraId="4C6D37AD" w14:textId="77777777" w:rsidR="00A16253" w:rsidRPr="00CD37FB" w:rsidRDefault="00A16253" w:rsidP="00CD37FB">
            <w:r w:rsidRPr="00CD37FB">
              <w:t>Clinical study report</w:t>
            </w:r>
          </w:p>
        </w:tc>
      </w:tr>
      <w:tr w:rsidR="00A16253" w:rsidRPr="00734AAC" w14:paraId="09EC0DD0" w14:textId="77777777" w:rsidTr="000E3BB3">
        <w:tc>
          <w:tcPr>
            <w:tcW w:w="1809" w:type="dxa"/>
          </w:tcPr>
          <w:p w14:paraId="684C73F7" w14:textId="77777777" w:rsidR="00A16253" w:rsidRPr="00CD37FB" w:rsidRDefault="00A16253" w:rsidP="00CD37FB">
            <w:r w:rsidRPr="00CD37FB">
              <w:t>EDC</w:t>
            </w:r>
          </w:p>
        </w:tc>
        <w:tc>
          <w:tcPr>
            <w:tcW w:w="6911" w:type="dxa"/>
          </w:tcPr>
          <w:p w14:paraId="5809C589" w14:textId="77777777" w:rsidR="00A16253" w:rsidRPr="00CD37FB" w:rsidRDefault="00A16253" w:rsidP="00CD37FB">
            <w:r w:rsidRPr="00CD37FB">
              <w:t>electronic data capture</w:t>
            </w:r>
          </w:p>
        </w:tc>
      </w:tr>
      <w:tr w:rsidR="00A16253" w:rsidRPr="00734AAC" w14:paraId="511C9240" w14:textId="77777777" w:rsidTr="000E3BB3">
        <w:tc>
          <w:tcPr>
            <w:tcW w:w="1809" w:type="dxa"/>
          </w:tcPr>
          <w:p w14:paraId="3FDA8D66" w14:textId="77777777" w:rsidR="00A16253" w:rsidRPr="00CD37FB" w:rsidRDefault="00A16253" w:rsidP="00CD37FB">
            <w:r w:rsidRPr="00CD37FB">
              <w:t>GCP</w:t>
            </w:r>
          </w:p>
        </w:tc>
        <w:tc>
          <w:tcPr>
            <w:tcW w:w="6911" w:type="dxa"/>
          </w:tcPr>
          <w:p w14:paraId="3E6F5BAB" w14:textId="77777777" w:rsidR="00A16253" w:rsidRPr="00CD37FB" w:rsidRDefault="00A16253" w:rsidP="00CD37FB">
            <w:r w:rsidRPr="00CD37FB">
              <w:t>Good Clinical Practice</w:t>
            </w:r>
          </w:p>
        </w:tc>
      </w:tr>
      <w:tr w:rsidR="00A16253" w:rsidRPr="00734AAC" w14:paraId="3A74F18C" w14:textId="77777777" w:rsidTr="000E3BB3">
        <w:tc>
          <w:tcPr>
            <w:tcW w:w="1809" w:type="dxa"/>
          </w:tcPr>
          <w:p w14:paraId="50238701" w14:textId="77777777" w:rsidR="00A16253" w:rsidRPr="00CD37FB" w:rsidRDefault="00A16253" w:rsidP="00CD37FB">
            <w:r w:rsidRPr="00CD37FB">
              <w:t>ICH</w:t>
            </w:r>
          </w:p>
        </w:tc>
        <w:tc>
          <w:tcPr>
            <w:tcW w:w="6911" w:type="dxa"/>
          </w:tcPr>
          <w:p w14:paraId="7DFEFE76" w14:textId="77777777" w:rsidR="00A16253" w:rsidRPr="00CD37FB" w:rsidRDefault="00A16253" w:rsidP="00CD37FB">
            <w:r w:rsidRPr="00CD37FB">
              <w:t>International Conference on Harmonisation</w:t>
            </w:r>
          </w:p>
        </w:tc>
      </w:tr>
      <w:tr w:rsidR="00A16253" w:rsidRPr="00734AAC" w14:paraId="14BF5B6D" w14:textId="77777777" w:rsidTr="000E3BB3">
        <w:tc>
          <w:tcPr>
            <w:tcW w:w="1809" w:type="dxa"/>
          </w:tcPr>
          <w:p w14:paraId="33636B4A" w14:textId="77777777" w:rsidR="00A16253" w:rsidRPr="00CD37FB" w:rsidRDefault="00A16253" w:rsidP="00CD37FB">
            <w:r w:rsidRPr="00CD37FB">
              <w:t>IRB</w:t>
            </w:r>
          </w:p>
        </w:tc>
        <w:tc>
          <w:tcPr>
            <w:tcW w:w="6911" w:type="dxa"/>
          </w:tcPr>
          <w:p w14:paraId="0817D126" w14:textId="77777777" w:rsidR="00A16253" w:rsidRPr="00CD37FB" w:rsidRDefault="00A16253" w:rsidP="00CD37FB">
            <w:r w:rsidRPr="00CD37FB">
              <w:t>Institutional Review Board</w:t>
            </w:r>
          </w:p>
        </w:tc>
      </w:tr>
      <w:tr w:rsidR="00A16253" w:rsidRPr="00734AAC" w14:paraId="79E84FBE" w14:textId="77777777" w:rsidTr="000E3BB3">
        <w:tc>
          <w:tcPr>
            <w:tcW w:w="1809" w:type="dxa"/>
          </w:tcPr>
          <w:p w14:paraId="0C23160E" w14:textId="77777777" w:rsidR="00A16253" w:rsidRPr="00CD37FB" w:rsidRDefault="00A16253" w:rsidP="00CD37FB">
            <w:r w:rsidRPr="00CD37FB">
              <w:t>LA/ LATAM</w:t>
            </w:r>
          </w:p>
        </w:tc>
        <w:tc>
          <w:tcPr>
            <w:tcW w:w="6911" w:type="dxa"/>
          </w:tcPr>
          <w:p w14:paraId="3911C611" w14:textId="77777777" w:rsidR="00A16253" w:rsidRPr="00CD37FB" w:rsidRDefault="00A16253" w:rsidP="00CD37FB">
            <w:r w:rsidRPr="00CD37FB">
              <w:t>Latin America</w:t>
            </w:r>
          </w:p>
        </w:tc>
      </w:tr>
      <w:tr w:rsidR="00A16253" w:rsidRPr="00734AAC" w14:paraId="6CAB03FD" w14:textId="77777777" w:rsidTr="000E3BB3">
        <w:tc>
          <w:tcPr>
            <w:tcW w:w="1809" w:type="dxa"/>
          </w:tcPr>
          <w:p w14:paraId="6048167F" w14:textId="77777777" w:rsidR="00A16253" w:rsidRPr="00CD37FB" w:rsidRDefault="00A16253" w:rsidP="00CD37FB">
            <w:r w:rsidRPr="00CD37FB">
              <w:t xml:space="preserve">MAAEs </w:t>
            </w:r>
          </w:p>
        </w:tc>
        <w:tc>
          <w:tcPr>
            <w:tcW w:w="6911" w:type="dxa"/>
          </w:tcPr>
          <w:p w14:paraId="4893E452" w14:textId="77777777" w:rsidR="00A16253" w:rsidRPr="00CD37FB" w:rsidRDefault="00AA10D9" w:rsidP="00CD37FB">
            <w:r w:rsidRPr="00CD37FB">
              <w:t>unsolicited AE that results in a visit to a medical office or emergency room visit</w:t>
            </w:r>
          </w:p>
        </w:tc>
      </w:tr>
      <w:tr w:rsidR="00A16253" w:rsidRPr="00734AAC" w14:paraId="4CDF6B25" w14:textId="77777777" w:rsidTr="000E3BB3">
        <w:tc>
          <w:tcPr>
            <w:tcW w:w="1809" w:type="dxa"/>
          </w:tcPr>
          <w:p w14:paraId="77C4F7D1" w14:textId="77777777" w:rsidR="00A16253" w:rsidRPr="00CD37FB" w:rsidRDefault="00A16253" w:rsidP="00CD37FB">
            <w:r w:rsidRPr="00CD37FB">
              <w:t>MCAR</w:t>
            </w:r>
          </w:p>
        </w:tc>
        <w:tc>
          <w:tcPr>
            <w:tcW w:w="6911" w:type="dxa"/>
          </w:tcPr>
          <w:p w14:paraId="5A641751" w14:textId="77777777" w:rsidR="00A16253" w:rsidRPr="00CD37FB" w:rsidRDefault="00A16253" w:rsidP="00CD37FB">
            <w:r w:rsidRPr="00CD37FB">
              <w:t>missing completely at random</w:t>
            </w:r>
          </w:p>
        </w:tc>
      </w:tr>
      <w:tr w:rsidR="00A16253" w:rsidRPr="00734AAC" w14:paraId="02AA0808" w14:textId="77777777" w:rsidTr="000E3BB3">
        <w:tc>
          <w:tcPr>
            <w:tcW w:w="1809" w:type="dxa"/>
          </w:tcPr>
          <w:p w14:paraId="321E59C9" w14:textId="77777777" w:rsidR="00A16253" w:rsidRPr="00CD37FB" w:rsidRDefault="00A16253" w:rsidP="00CD37FB">
            <w:proofErr w:type="spellStart"/>
            <w:r w:rsidRPr="00CD37FB">
              <w:t>MenACWY</w:t>
            </w:r>
            <w:proofErr w:type="spellEnd"/>
          </w:p>
        </w:tc>
        <w:tc>
          <w:tcPr>
            <w:tcW w:w="6911" w:type="dxa"/>
          </w:tcPr>
          <w:p w14:paraId="51674AB6" w14:textId="77777777" w:rsidR="00A16253" w:rsidRPr="00CD37FB" w:rsidRDefault="00A16253" w:rsidP="00CD37FB">
            <w:r w:rsidRPr="00CD37FB">
              <w:t>Meningococcal (Group A, C, Y and W135)</w:t>
            </w:r>
          </w:p>
        </w:tc>
      </w:tr>
      <w:tr w:rsidR="00A16253" w:rsidRPr="00734AAC" w14:paraId="591B24D0" w14:textId="77777777" w:rsidTr="000E3BB3">
        <w:tc>
          <w:tcPr>
            <w:tcW w:w="1809" w:type="dxa"/>
          </w:tcPr>
          <w:p w14:paraId="5002BB33" w14:textId="77777777" w:rsidR="00A16253" w:rsidRPr="00CD37FB" w:rsidRDefault="00A16253" w:rsidP="00CD37FB">
            <w:r w:rsidRPr="00CD37FB">
              <w:t>MMC</w:t>
            </w:r>
          </w:p>
        </w:tc>
        <w:tc>
          <w:tcPr>
            <w:tcW w:w="6911" w:type="dxa"/>
          </w:tcPr>
          <w:p w14:paraId="13D47863" w14:textId="77777777" w:rsidR="00A16253" w:rsidRPr="00CD37FB" w:rsidRDefault="00AA10D9" w:rsidP="00CD37FB">
            <w:proofErr w:type="spellStart"/>
            <w:r w:rsidRPr="00CD37FB">
              <w:t>Menveo</w:t>
            </w:r>
            <w:proofErr w:type="spellEnd"/>
            <w:r w:rsidRPr="00CD37FB">
              <w:t xml:space="preserve"> metadata collection project</w:t>
            </w:r>
          </w:p>
        </w:tc>
      </w:tr>
      <w:tr w:rsidR="00A16253" w:rsidRPr="00734AAC" w14:paraId="366243EF" w14:textId="77777777" w:rsidTr="000E3BB3">
        <w:tc>
          <w:tcPr>
            <w:tcW w:w="1809" w:type="dxa"/>
          </w:tcPr>
          <w:p w14:paraId="016017E8" w14:textId="77777777" w:rsidR="00A16253" w:rsidRPr="00CD37FB" w:rsidRDefault="00A16253" w:rsidP="00CD37FB">
            <w:r w:rsidRPr="00CD37FB">
              <w:t>MMRV</w:t>
            </w:r>
          </w:p>
        </w:tc>
        <w:tc>
          <w:tcPr>
            <w:tcW w:w="6911" w:type="dxa"/>
          </w:tcPr>
          <w:p w14:paraId="5E81D8AD" w14:textId="77777777" w:rsidR="00A16253" w:rsidRPr="00CD37FB" w:rsidRDefault="00A16253" w:rsidP="007F4D43">
            <w:r w:rsidRPr="00CD37FB">
              <w:t>Measles, mumps, rubella, and varicella</w:t>
            </w:r>
          </w:p>
        </w:tc>
      </w:tr>
      <w:tr w:rsidR="00A16253" w:rsidRPr="00734AAC" w14:paraId="61152C80" w14:textId="77777777" w:rsidTr="000E3BB3">
        <w:tc>
          <w:tcPr>
            <w:tcW w:w="1809" w:type="dxa"/>
          </w:tcPr>
          <w:p w14:paraId="72D4FA05" w14:textId="77777777" w:rsidR="00A16253" w:rsidRPr="00CD37FB" w:rsidRDefault="00A16253" w:rsidP="00CD37FB">
            <w:r w:rsidRPr="00CD37FB">
              <w:t>NCR</w:t>
            </w:r>
          </w:p>
        </w:tc>
        <w:tc>
          <w:tcPr>
            <w:tcW w:w="6911" w:type="dxa"/>
          </w:tcPr>
          <w:p w14:paraId="6F88759E" w14:textId="77777777" w:rsidR="00A16253" w:rsidRPr="00CD37FB" w:rsidRDefault="00A16253" w:rsidP="00CD37FB">
            <w:r w:rsidRPr="00CD37FB">
              <w:t>non-carbon copy</w:t>
            </w:r>
          </w:p>
        </w:tc>
      </w:tr>
      <w:tr w:rsidR="00A16253" w:rsidRPr="00734AAC" w14:paraId="7ADB18D1" w14:textId="77777777" w:rsidTr="000E3BB3">
        <w:tc>
          <w:tcPr>
            <w:tcW w:w="1809" w:type="dxa"/>
          </w:tcPr>
          <w:p w14:paraId="04591F51" w14:textId="77777777" w:rsidR="00A16253" w:rsidRPr="00CD37FB" w:rsidRDefault="00A16253" w:rsidP="00CD37FB">
            <w:r w:rsidRPr="00CD37FB">
              <w:t>PP</w:t>
            </w:r>
          </w:p>
        </w:tc>
        <w:tc>
          <w:tcPr>
            <w:tcW w:w="6911" w:type="dxa"/>
          </w:tcPr>
          <w:p w14:paraId="6A1320B8" w14:textId="77777777" w:rsidR="00A16253" w:rsidRPr="00CD37FB" w:rsidRDefault="00A16253" w:rsidP="00CD37FB">
            <w:r w:rsidRPr="00CD37FB">
              <w:t>Primary per protocol</w:t>
            </w:r>
          </w:p>
        </w:tc>
      </w:tr>
      <w:tr w:rsidR="00A16253" w:rsidRPr="00734AAC" w14:paraId="1CE4F3DE" w14:textId="77777777" w:rsidTr="000E3BB3">
        <w:tc>
          <w:tcPr>
            <w:tcW w:w="1809" w:type="dxa"/>
          </w:tcPr>
          <w:p w14:paraId="4254124C" w14:textId="77777777" w:rsidR="00A16253" w:rsidRPr="00CD37FB" w:rsidRDefault="00A16253" w:rsidP="00CD37FB">
            <w:r w:rsidRPr="00CD37FB">
              <w:t>RSS</w:t>
            </w:r>
          </w:p>
        </w:tc>
        <w:tc>
          <w:tcPr>
            <w:tcW w:w="6911" w:type="dxa"/>
          </w:tcPr>
          <w:p w14:paraId="2E4EB791" w14:textId="77777777" w:rsidR="00A16253" w:rsidRPr="00CD37FB" w:rsidRDefault="00A16253" w:rsidP="00CD37FB">
            <w:r w:rsidRPr="00CD37FB">
              <w:t>Restricted Safety Set</w:t>
            </w:r>
          </w:p>
        </w:tc>
      </w:tr>
      <w:tr w:rsidR="00A16253" w:rsidRPr="00734AAC" w14:paraId="13920E5C" w14:textId="77777777" w:rsidTr="000E3BB3">
        <w:tc>
          <w:tcPr>
            <w:tcW w:w="1809" w:type="dxa"/>
          </w:tcPr>
          <w:p w14:paraId="166C5C59" w14:textId="77777777" w:rsidR="00A16253" w:rsidRPr="00CD37FB" w:rsidRDefault="00A16253" w:rsidP="00CD37FB">
            <w:r w:rsidRPr="00CD37FB">
              <w:t>RPS</w:t>
            </w:r>
          </w:p>
        </w:tc>
        <w:tc>
          <w:tcPr>
            <w:tcW w:w="6911" w:type="dxa"/>
          </w:tcPr>
          <w:p w14:paraId="561F8DDC" w14:textId="77777777" w:rsidR="00A16253" w:rsidRPr="00CD37FB" w:rsidRDefault="00A16253" w:rsidP="00CD37FB">
            <w:r w:rsidRPr="00CD37FB">
              <w:t xml:space="preserve">Research Pharmaceutical Services, Inc. </w:t>
            </w:r>
          </w:p>
        </w:tc>
      </w:tr>
      <w:tr w:rsidR="00A16253" w:rsidRPr="00734AAC" w14:paraId="7177D324" w14:textId="77777777" w:rsidTr="000E3BB3">
        <w:tc>
          <w:tcPr>
            <w:tcW w:w="1809" w:type="dxa"/>
          </w:tcPr>
          <w:p w14:paraId="653DA64D" w14:textId="77777777" w:rsidR="00A16253" w:rsidRPr="00CD37FB" w:rsidRDefault="00A16253" w:rsidP="00CD37FB">
            <w:r w:rsidRPr="00CD37FB">
              <w:t>SAE</w:t>
            </w:r>
          </w:p>
        </w:tc>
        <w:tc>
          <w:tcPr>
            <w:tcW w:w="6911" w:type="dxa"/>
          </w:tcPr>
          <w:p w14:paraId="0921D1BC" w14:textId="77777777" w:rsidR="00A16253" w:rsidRPr="00CD37FB" w:rsidRDefault="00A16253" w:rsidP="00CD37FB">
            <w:r w:rsidRPr="00CD37FB">
              <w:t>Serious adverse event</w:t>
            </w:r>
          </w:p>
        </w:tc>
      </w:tr>
      <w:tr w:rsidR="00A16253" w:rsidRPr="00734AAC" w14:paraId="4D0A6C93" w14:textId="77777777" w:rsidTr="000E3BB3">
        <w:tc>
          <w:tcPr>
            <w:tcW w:w="1809" w:type="dxa"/>
          </w:tcPr>
          <w:p w14:paraId="1CEBEE9C" w14:textId="77777777" w:rsidR="00A16253" w:rsidRPr="00CD37FB" w:rsidRDefault="00A16253" w:rsidP="00CD37FB">
            <w:proofErr w:type="spellStart"/>
            <w:r w:rsidRPr="00CD37FB">
              <w:lastRenderedPageBreak/>
              <w:t>sBLA</w:t>
            </w:r>
            <w:proofErr w:type="spellEnd"/>
          </w:p>
        </w:tc>
        <w:tc>
          <w:tcPr>
            <w:tcW w:w="6911" w:type="dxa"/>
          </w:tcPr>
          <w:p w14:paraId="222DAB1E" w14:textId="77777777" w:rsidR="00A16253" w:rsidRPr="00CD37FB" w:rsidRDefault="00A16253" w:rsidP="00CD37FB">
            <w:r w:rsidRPr="00CD37FB">
              <w:t>supplemental Biologics License Application</w:t>
            </w:r>
          </w:p>
        </w:tc>
      </w:tr>
      <w:tr w:rsidR="00A16253" w:rsidRPr="00734AAC" w14:paraId="26498C15" w14:textId="77777777" w:rsidTr="000E3BB3">
        <w:tc>
          <w:tcPr>
            <w:tcW w:w="1809" w:type="dxa"/>
          </w:tcPr>
          <w:p w14:paraId="23F4129B" w14:textId="77777777" w:rsidR="00A16253" w:rsidRPr="00CD37FB" w:rsidRDefault="00A16253" w:rsidP="00CD37FB">
            <w:r w:rsidRPr="00CD37FB">
              <w:t>SOP</w:t>
            </w:r>
          </w:p>
        </w:tc>
        <w:tc>
          <w:tcPr>
            <w:tcW w:w="6911" w:type="dxa"/>
          </w:tcPr>
          <w:p w14:paraId="657A778F" w14:textId="77777777" w:rsidR="00A16253" w:rsidRPr="00CD37FB" w:rsidRDefault="00A16253" w:rsidP="00CD37FB">
            <w:r w:rsidRPr="00CD37FB">
              <w:t>Standard Operational Procedure</w:t>
            </w:r>
          </w:p>
        </w:tc>
      </w:tr>
      <w:tr w:rsidR="00A16253" w:rsidRPr="00734AAC" w14:paraId="613F72C3" w14:textId="77777777" w:rsidTr="000E3BB3">
        <w:tc>
          <w:tcPr>
            <w:tcW w:w="1809" w:type="dxa"/>
          </w:tcPr>
          <w:p w14:paraId="6E8FC104" w14:textId="77777777" w:rsidR="00A16253" w:rsidRPr="00CD37FB" w:rsidRDefault="00A16253" w:rsidP="00CD37FB">
            <w:r w:rsidRPr="00CD37FB">
              <w:t>TMF</w:t>
            </w:r>
          </w:p>
        </w:tc>
        <w:tc>
          <w:tcPr>
            <w:tcW w:w="6911" w:type="dxa"/>
          </w:tcPr>
          <w:p w14:paraId="1BECA9EC" w14:textId="77777777" w:rsidR="00A16253" w:rsidRPr="00CD37FB" w:rsidRDefault="00A16253" w:rsidP="00CD37FB">
            <w:r w:rsidRPr="00CD37FB">
              <w:t>Trial master file</w:t>
            </w:r>
          </w:p>
        </w:tc>
      </w:tr>
      <w:tr w:rsidR="00A16253" w:rsidRPr="00734AAC" w14:paraId="2F905154" w14:textId="77777777" w:rsidTr="000E3BB3">
        <w:tc>
          <w:tcPr>
            <w:tcW w:w="1809" w:type="dxa"/>
          </w:tcPr>
          <w:p w14:paraId="5A228D3D" w14:textId="77777777" w:rsidR="00A16253" w:rsidRPr="00CD37FB" w:rsidRDefault="00A16253" w:rsidP="00CD37FB">
            <w:r w:rsidRPr="00CD37FB">
              <w:t>US</w:t>
            </w:r>
          </w:p>
        </w:tc>
        <w:tc>
          <w:tcPr>
            <w:tcW w:w="6911" w:type="dxa"/>
          </w:tcPr>
          <w:p w14:paraId="7A91344C" w14:textId="77777777" w:rsidR="00A16253" w:rsidRPr="00CD37FB" w:rsidRDefault="00A16253" w:rsidP="00CD37FB">
            <w:r w:rsidRPr="00CD37FB">
              <w:t>United States</w:t>
            </w:r>
          </w:p>
        </w:tc>
      </w:tr>
    </w:tbl>
    <w:p w14:paraId="0C45C70C" w14:textId="77777777" w:rsidR="008E7846" w:rsidRDefault="00F53C07" w:rsidP="00F74342">
      <w:pPr>
        <w:pStyle w:val="Heading2"/>
        <w:pageBreakBefore/>
      </w:pPr>
      <w:bookmarkStart w:id="9" w:name="_Toc511377338"/>
      <w:r>
        <w:lastRenderedPageBreak/>
        <w:t>I.</w:t>
      </w:r>
      <w:r w:rsidR="008E7846">
        <w:t xml:space="preserve"> Introduction to product submission</w:t>
      </w:r>
      <w:bookmarkEnd w:id="1"/>
      <w:bookmarkEnd w:id="3"/>
      <w:bookmarkEnd w:id="9"/>
    </w:p>
    <w:p w14:paraId="6BF1C031" w14:textId="77777777" w:rsidR="008E7846" w:rsidRDefault="008E7846" w:rsidP="008E7846">
      <w:pPr>
        <w:pStyle w:val="Heading3"/>
        <w:rPr>
          <w:lang w:eastAsia="en-AU"/>
        </w:rPr>
      </w:pPr>
      <w:bookmarkStart w:id="10" w:name="_Toc247691502"/>
      <w:bookmarkStart w:id="11" w:name="_Toc314842483"/>
      <w:bookmarkStart w:id="12" w:name="_Toc511377339"/>
      <w:r>
        <w:rPr>
          <w:lang w:eastAsia="en-AU"/>
        </w:rPr>
        <w:t>Submission details</w:t>
      </w:r>
      <w:bookmarkEnd w:id="10"/>
      <w:bookmarkEnd w:id="11"/>
      <w:bookmarkEnd w:id="12"/>
    </w:p>
    <w:tbl>
      <w:tblPr>
        <w:tblW w:w="9497" w:type="dxa"/>
        <w:tblInd w:w="108" w:type="dxa"/>
        <w:tblLook w:val="01E0" w:firstRow="1" w:lastRow="1" w:firstColumn="1" w:lastColumn="1" w:noHBand="0" w:noVBand="0"/>
        <w:tblDescription w:val="Submission details"/>
      </w:tblPr>
      <w:tblGrid>
        <w:gridCol w:w="2907"/>
        <w:gridCol w:w="6307"/>
        <w:gridCol w:w="283"/>
      </w:tblGrid>
      <w:tr w:rsidR="008E7846" w:rsidRPr="003D1E62" w14:paraId="3A6AE4FD" w14:textId="77777777" w:rsidTr="002740F1">
        <w:trPr>
          <w:trHeight w:hRule="exact" w:val="454"/>
        </w:trPr>
        <w:tc>
          <w:tcPr>
            <w:tcW w:w="2907" w:type="dxa"/>
          </w:tcPr>
          <w:p w14:paraId="346717C8"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7208106C" w14:textId="77777777" w:rsidR="008E7846" w:rsidRPr="003D1E62" w:rsidRDefault="001B3476" w:rsidP="001B5C90">
            <w:r>
              <w:t>Extension of indications</w:t>
            </w:r>
          </w:p>
        </w:tc>
      </w:tr>
      <w:tr w:rsidR="008E7846" w:rsidRPr="003D1E62" w14:paraId="2B75F4FE" w14:textId="77777777" w:rsidTr="002740F1">
        <w:trPr>
          <w:trHeight w:hRule="exact" w:val="454"/>
        </w:trPr>
        <w:tc>
          <w:tcPr>
            <w:tcW w:w="2907" w:type="dxa"/>
          </w:tcPr>
          <w:p w14:paraId="31DF8B2A" w14:textId="77777777" w:rsidR="008E7846" w:rsidRPr="003D1E62" w:rsidRDefault="008E7846" w:rsidP="003D1E62">
            <w:r w:rsidRPr="003D1E62">
              <w:rPr>
                <w:i/>
              </w:rPr>
              <w:t>Decision</w:t>
            </w:r>
            <w:r w:rsidRPr="003D1E62">
              <w:t>:</w:t>
            </w:r>
          </w:p>
        </w:tc>
        <w:tc>
          <w:tcPr>
            <w:tcW w:w="6590" w:type="dxa"/>
            <w:gridSpan w:val="2"/>
          </w:tcPr>
          <w:p w14:paraId="67EA8825" w14:textId="77777777" w:rsidR="008E7846" w:rsidRPr="003D1E62" w:rsidRDefault="001B3476" w:rsidP="001B5C90">
            <w:r>
              <w:t>Approved</w:t>
            </w:r>
          </w:p>
        </w:tc>
      </w:tr>
      <w:tr w:rsidR="008E7846" w:rsidRPr="003D1E62" w14:paraId="1E30897A" w14:textId="77777777" w:rsidTr="002740F1">
        <w:trPr>
          <w:trHeight w:hRule="exact" w:val="454"/>
        </w:trPr>
        <w:tc>
          <w:tcPr>
            <w:tcW w:w="2907" w:type="dxa"/>
          </w:tcPr>
          <w:p w14:paraId="67449049"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4C601C75" w14:textId="77777777" w:rsidR="008E7846" w:rsidRPr="003D1E62" w:rsidRDefault="00790BE8" w:rsidP="001B5C90">
            <w:r>
              <w:t>3 July 2017</w:t>
            </w:r>
          </w:p>
        </w:tc>
      </w:tr>
      <w:tr w:rsidR="00ED2922" w:rsidRPr="003D1E62" w14:paraId="787C6623" w14:textId="77777777" w:rsidTr="002740F1">
        <w:trPr>
          <w:trHeight w:hRule="exact" w:val="454"/>
        </w:trPr>
        <w:tc>
          <w:tcPr>
            <w:tcW w:w="2907" w:type="dxa"/>
          </w:tcPr>
          <w:p w14:paraId="4716C00C" w14:textId="77777777" w:rsidR="00ED2922" w:rsidRPr="00441C3F" w:rsidRDefault="00ED2922" w:rsidP="001B5C90">
            <w:pPr>
              <w:rPr>
                <w:i/>
              </w:rPr>
            </w:pPr>
            <w:r w:rsidRPr="00441C3F">
              <w:rPr>
                <w:i/>
              </w:rPr>
              <w:t>Date of entry onto ARTG</w:t>
            </w:r>
          </w:p>
        </w:tc>
        <w:tc>
          <w:tcPr>
            <w:tcW w:w="6590" w:type="dxa"/>
            <w:gridSpan w:val="2"/>
          </w:tcPr>
          <w:p w14:paraId="4ED26513" w14:textId="77777777" w:rsidR="00ED2922" w:rsidRPr="00441C3F" w:rsidRDefault="00790BE8" w:rsidP="00790BE8">
            <w:pPr>
              <w:rPr>
                <w:i/>
              </w:rPr>
            </w:pPr>
            <w:r>
              <w:t>5 July 2017</w:t>
            </w:r>
          </w:p>
        </w:tc>
      </w:tr>
      <w:tr w:rsidR="008E7846" w:rsidRPr="00487162" w14:paraId="5E48D150" w14:textId="77777777" w:rsidTr="002740F1">
        <w:trPr>
          <w:gridAfter w:val="1"/>
          <w:wAfter w:w="283" w:type="dxa"/>
        </w:trPr>
        <w:tc>
          <w:tcPr>
            <w:tcW w:w="2907" w:type="dxa"/>
          </w:tcPr>
          <w:p w14:paraId="2EB15FB5" w14:textId="77777777" w:rsidR="008E7846" w:rsidRPr="00487162" w:rsidRDefault="001B5C90" w:rsidP="00E45619">
            <w:pPr>
              <w:rPr>
                <w:i/>
              </w:rPr>
            </w:pPr>
            <w:r>
              <w:rPr>
                <w:i/>
              </w:rPr>
              <w:t>Active ingredient(s):</w:t>
            </w:r>
          </w:p>
        </w:tc>
        <w:tc>
          <w:tcPr>
            <w:tcW w:w="6307" w:type="dxa"/>
          </w:tcPr>
          <w:p w14:paraId="65B1648A" w14:textId="77777777" w:rsidR="001B3476" w:rsidRDefault="001B3476" w:rsidP="001B3476">
            <w:r>
              <w:t>Meningococcal (Groups A,C,W-135 and Y) oligosaccharide</w:t>
            </w:r>
          </w:p>
          <w:p w14:paraId="616AEE67" w14:textId="77777777" w:rsidR="008E7846" w:rsidRPr="00487162" w:rsidRDefault="001B3476" w:rsidP="001B3476">
            <w:r>
              <w:t>CRM197 conjugate vaccine</w:t>
            </w:r>
          </w:p>
        </w:tc>
      </w:tr>
      <w:tr w:rsidR="008E7846" w:rsidRPr="00487162" w14:paraId="594208C1" w14:textId="77777777" w:rsidTr="002740F1">
        <w:trPr>
          <w:gridAfter w:val="1"/>
          <w:wAfter w:w="283" w:type="dxa"/>
        </w:trPr>
        <w:tc>
          <w:tcPr>
            <w:tcW w:w="2907" w:type="dxa"/>
          </w:tcPr>
          <w:p w14:paraId="2A92D97C" w14:textId="77777777" w:rsidR="008E7846" w:rsidRPr="00487162" w:rsidRDefault="008E7846" w:rsidP="001B5C90">
            <w:pPr>
              <w:rPr>
                <w:i/>
              </w:rPr>
            </w:pPr>
            <w:r w:rsidRPr="00487162">
              <w:rPr>
                <w:i/>
              </w:rPr>
              <w:t>Product</w:t>
            </w:r>
            <w:r w:rsidR="001B5C90">
              <w:rPr>
                <w:i/>
              </w:rPr>
              <w:t xml:space="preserve"> name(s):</w:t>
            </w:r>
          </w:p>
        </w:tc>
        <w:tc>
          <w:tcPr>
            <w:tcW w:w="6307" w:type="dxa"/>
          </w:tcPr>
          <w:p w14:paraId="5EAE2158" w14:textId="77777777" w:rsidR="008E7846" w:rsidRPr="00487162" w:rsidRDefault="00AA10D9" w:rsidP="001B3476">
            <w:proofErr w:type="spellStart"/>
            <w:r>
              <w:t>Menveo</w:t>
            </w:r>
            <w:proofErr w:type="spellEnd"/>
          </w:p>
        </w:tc>
      </w:tr>
      <w:tr w:rsidR="008E7846" w:rsidRPr="00487162" w14:paraId="65AF0670" w14:textId="77777777" w:rsidTr="002740F1">
        <w:trPr>
          <w:gridAfter w:val="1"/>
          <w:wAfter w:w="283" w:type="dxa"/>
        </w:trPr>
        <w:tc>
          <w:tcPr>
            <w:tcW w:w="2907" w:type="dxa"/>
          </w:tcPr>
          <w:p w14:paraId="5556C18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C4A798E" w14:textId="77777777" w:rsidR="001B3476" w:rsidRDefault="001B3476" w:rsidP="001B3476">
            <w:r w:rsidRPr="001B3476">
              <w:t>GlaxoSmithKline Australia Pty Lt</w:t>
            </w:r>
            <w:r>
              <w:t>d</w:t>
            </w:r>
          </w:p>
          <w:p w14:paraId="50263AEA" w14:textId="77777777" w:rsidR="008E7846" w:rsidRPr="00487162" w:rsidRDefault="001B3476" w:rsidP="001B3476">
            <w:r>
              <w:t>PO Box 18095 Melbourne VIC 8003</w:t>
            </w:r>
          </w:p>
        </w:tc>
      </w:tr>
      <w:tr w:rsidR="008E7846" w:rsidRPr="00487162" w14:paraId="4124CDCB" w14:textId="77777777" w:rsidTr="002740F1">
        <w:trPr>
          <w:gridAfter w:val="1"/>
          <w:wAfter w:w="283" w:type="dxa"/>
        </w:trPr>
        <w:tc>
          <w:tcPr>
            <w:tcW w:w="2907" w:type="dxa"/>
          </w:tcPr>
          <w:p w14:paraId="0696D1F4" w14:textId="77777777" w:rsidR="008E7846" w:rsidRPr="00487162" w:rsidRDefault="001B5C90" w:rsidP="00E45619">
            <w:pPr>
              <w:rPr>
                <w:i/>
              </w:rPr>
            </w:pPr>
            <w:r>
              <w:rPr>
                <w:i/>
              </w:rPr>
              <w:t>Dose form(s):</w:t>
            </w:r>
          </w:p>
        </w:tc>
        <w:tc>
          <w:tcPr>
            <w:tcW w:w="6307" w:type="dxa"/>
          </w:tcPr>
          <w:p w14:paraId="63013A41" w14:textId="77777777" w:rsidR="008E7846" w:rsidRPr="00487162" w:rsidRDefault="005D4373" w:rsidP="00AA10D9">
            <w:r w:rsidRPr="005D4373">
              <w:t>Injection, solution</w:t>
            </w:r>
            <w:r w:rsidR="0065698C">
              <w:t xml:space="preserve"> and </w:t>
            </w:r>
            <w:r w:rsidR="0065698C" w:rsidRPr="0065698C">
              <w:t xml:space="preserve">Injection, powder </w:t>
            </w:r>
          </w:p>
        </w:tc>
      </w:tr>
      <w:tr w:rsidR="008E7846" w:rsidRPr="00487162" w14:paraId="66A8585D" w14:textId="77777777" w:rsidTr="002740F1">
        <w:trPr>
          <w:gridAfter w:val="1"/>
          <w:wAfter w:w="283" w:type="dxa"/>
        </w:trPr>
        <w:tc>
          <w:tcPr>
            <w:tcW w:w="2907" w:type="dxa"/>
          </w:tcPr>
          <w:p w14:paraId="3BF7BA17" w14:textId="77777777" w:rsidR="008E7846" w:rsidRPr="00487162" w:rsidRDefault="008E7846" w:rsidP="00E45619">
            <w:pPr>
              <w:rPr>
                <w:i/>
              </w:rPr>
            </w:pPr>
            <w:r w:rsidRPr="00487162">
              <w:rPr>
                <w:i/>
              </w:rPr>
              <w:t xml:space="preserve">Strength(s): </w:t>
            </w:r>
          </w:p>
        </w:tc>
        <w:tc>
          <w:tcPr>
            <w:tcW w:w="6307" w:type="dxa"/>
          </w:tcPr>
          <w:p w14:paraId="29AAD9ED" w14:textId="77777777" w:rsidR="008E7846" w:rsidRDefault="0065698C" w:rsidP="0065698C">
            <w:r>
              <w:t xml:space="preserve">Solution: Diphtheria CRM197 protein 16 </w:t>
            </w:r>
            <w:r w:rsidR="00AA10D9">
              <w:t>µg</w:t>
            </w:r>
            <w:r>
              <w:t xml:space="preserve">/Meningococcal oligosaccharide group C 5 </w:t>
            </w:r>
            <w:r w:rsidR="00AA10D9">
              <w:t xml:space="preserve">µg </w:t>
            </w:r>
            <w:r>
              <w:t xml:space="preserve">/Meningococcal oligosaccharide group W135 5 </w:t>
            </w:r>
            <w:r w:rsidR="00AA10D9">
              <w:t xml:space="preserve">µg </w:t>
            </w:r>
            <w:r>
              <w:t xml:space="preserve">/Meningococcal oligosaccharide group Y 5 </w:t>
            </w:r>
            <w:r w:rsidR="00AA10D9">
              <w:t>µg</w:t>
            </w:r>
          </w:p>
          <w:p w14:paraId="1A771D36" w14:textId="77777777" w:rsidR="0065698C" w:rsidRPr="00487162" w:rsidRDefault="0065698C" w:rsidP="0065698C">
            <w:r>
              <w:t xml:space="preserve">Powder: Diphtheria CRM197 protein 16.7 </w:t>
            </w:r>
            <w:r w:rsidR="00AA10D9">
              <w:t>µg</w:t>
            </w:r>
            <w:r>
              <w:t xml:space="preserve"> and Meningococcal oligosaccharide group A 10 </w:t>
            </w:r>
            <w:r w:rsidR="00AA10D9">
              <w:t>µg</w:t>
            </w:r>
          </w:p>
        </w:tc>
      </w:tr>
      <w:tr w:rsidR="008E7846" w:rsidRPr="00487162" w14:paraId="72669266" w14:textId="77777777" w:rsidTr="002740F1">
        <w:trPr>
          <w:gridAfter w:val="1"/>
          <w:wAfter w:w="283" w:type="dxa"/>
        </w:trPr>
        <w:tc>
          <w:tcPr>
            <w:tcW w:w="2907" w:type="dxa"/>
          </w:tcPr>
          <w:p w14:paraId="6352C704" w14:textId="77777777" w:rsidR="008E7846" w:rsidRPr="00487162" w:rsidRDefault="008E7846" w:rsidP="00E45619">
            <w:pPr>
              <w:rPr>
                <w:i/>
              </w:rPr>
            </w:pPr>
            <w:r w:rsidRPr="00487162">
              <w:rPr>
                <w:i/>
              </w:rPr>
              <w:t>Container(s):</w:t>
            </w:r>
          </w:p>
        </w:tc>
        <w:tc>
          <w:tcPr>
            <w:tcW w:w="6307" w:type="dxa"/>
          </w:tcPr>
          <w:p w14:paraId="79A9DF7B" w14:textId="77777777" w:rsidR="001E374C" w:rsidRDefault="00AA10D9" w:rsidP="001E374C">
            <w:proofErr w:type="spellStart"/>
            <w:r>
              <w:t>Menveo</w:t>
            </w:r>
            <w:proofErr w:type="spellEnd"/>
            <w:r w:rsidR="001E374C">
              <w:t xml:space="preserve"> is presented in a Type I glass vial containing the </w:t>
            </w:r>
            <w:proofErr w:type="spellStart"/>
            <w:r w:rsidR="001E374C">
              <w:t>MenA</w:t>
            </w:r>
            <w:proofErr w:type="spellEnd"/>
            <w:r w:rsidR="001E374C">
              <w:t xml:space="preserve"> lyophilised</w:t>
            </w:r>
            <w:r w:rsidR="00790BE8">
              <w:t xml:space="preserve"> </w:t>
            </w:r>
            <w:r w:rsidR="001E374C">
              <w:t xml:space="preserve">conjugate component with a </w:t>
            </w:r>
            <w:proofErr w:type="spellStart"/>
            <w:r w:rsidR="001E374C">
              <w:t>halobutyl</w:t>
            </w:r>
            <w:proofErr w:type="spellEnd"/>
            <w:r w:rsidR="001E374C">
              <w:t xml:space="preserve"> rubber stopper.</w:t>
            </w:r>
          </w:p>
          <w:p w14:paraId="04EF7BA1" w14:textId="77777777" w:rsidR="008E7846" w:rsidRPr="00487162" w:rsidRDefault="001E374C" w:rsidP="00790BE8">
            <w:r>
              <w:t xml:space="preserve">The </w:t>
            </w:r>
            <w:proofErr w:type="spellStart"/>
            <w:r>
              <w:t>MenCWY</w:t>
            </w:r>
            <w:proofErr w:type="spellEnd"/>
            <w:r>
              <w:t xml:space="preserve"> liquid conjugate component is presented either in a Type I glass syringe</w:t>
            </w:r>
            <w:r w:rsidR="00790BE8">
              <w:t xml:space="preserve"> </w:t>
            </w:r>
            <w:r>
              <w:t>or a Type I glass vial. The syringe has a tip cap (Type I elastomeric closure with 10% of</w:t>
            </w:r>
            <w:r w:rsidR="00790BE8">
              <w:t xml:space="preserve"> </w:t>
            </w:r>
            <w:r>
              <w:t>Dry Natural rubber). The vial has a butyl rubber stopper.</w:t>
            </w:r>
          </w:p>
        </w:tc>
      </w:tr>
      <w:tr w:rsidR="008E7846" w:rsidRPr="00487162" w14:paraId="1C83E95E" w14:textId="77777777" w:rsidTr="002740F1">
        <w:trPr>
          <w:gridAfter w:val="1"/>
          <w:wAfter w:w="283" w:type="dxa"/>
        </w:trPr>
        <w:tc>
          <w:tcPr>
            <w:tcW w:w="2907" w:type="dxa"/>
          </w:tcPr>
          <w:p w14:paraId="640B34C2" w14:textId="77777777" w:rsidR="008E7846" w:rsidRPr="00487162" w:rsidRDefault="008E7846" w:rsidP="00E45619">
            <w:pPr>
              <w:rPr>
                <w:i/>
              </w:rPr>
            </w:pPr>
            <w:r w:rsidRPr="00487162">
              <w:rPr>
                <w:i/>
              </w:rPr>
              <w:t>Pack size(s):</w:t>
            </w:r>
          </w:p>
        </w:tc>
        <w:tc>
          <w:tcPr>
            <w:tcW w:w="6307" w:type="dxa"/>
          </w:tcPr>
          <w:p w14:paraId="1CF3F149" w14:textId="77777777" w:rsidR="001E374C" w:rsidRDefault="001E374C" w:rsidP="001E374C">
            <w:r>
              <w:t>The vial/syringe presentation is presented in single-dose packs. The vial/vial presentation is presented in single-dose (2 vials) and 5-doses (10 vials) multi-packs.</w:t>
            </w:r>
          </w:p>
          <w:p w14:paraId="557C4C31" w14:textId="77777777" w:rsidR="008E7846" w:rsidRPr="00487162" w:rsidRDefault="001E374C" w:rsidP="001E374C">
            <w:r>
              <w:t>Not all presentations and pack sizes may be marketed.</w:t>
            </w:r>
          </w:p>
        </w:tc>
      </w:tr>
      <w:tr w:rsidR="008E7846" w:rsidRPr="00487162" w14:paraId="4FE04AD4" w14:textId="77777777" w:rsidTr="002740F1">
        <w:trPr>
          <w:gridAfter w:val="1"/>
          <w:wAfter w:w="283" w:type="dxa"/>
        </w:trPr>
        <w:tc>
          <w:tcPr>
            <w:tcW w:w="2907" w:type="dxa"/>
          </w:tcPr>
          <w:p w14:paraId="0B9C6E6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B442230" w14:textId="77777777" w:rsidR="008E7846" w:rsidRPr="00790BE8" w:rsidRDefault="00AA10D9" w:rsidP="00790BE8">
            <w:pPr>
              <w:rPr>
                <w:rFonts w:eastAsia="MS Mincho"/>
                <w:i/>
                <w:lang w:eastAsia="ja-JP"/>
              </w:rPr>
            </w:pPr>
            <w:proofErr w:type="spellStart"/>
            <w:r>
              <w:rPr>
                <w:i/>
              </w:rPr>
              <w:t>Menveo</w:t>
            </w:r>
            <w:proofErr w:type="spellEnd"/>
            <w:r w:rsidR="00790BE8" w:rsidRPr="00790BE8">
              <w:rPr>
                <w:i/>
              </w:rPr>
              <w:t xml:space="preserve"> is indicated for active immunisation of infants and children (from 2 months of age), adolescents and adults to prevent invasive disease caused by Neisseria </w:t>
            </w:r>
            <w:proofErr w:type="spellStart"/>
            <w:r w:rsidR="00790BE8" w:rsidRPr="00790BE8">
              <w:rPr>
                <w:i/>
              </w:rPr>
              <w:t>meningitidis</w:t>
            </w:r>
            <w:proofErr w:type="spellEnd"/>
            <w:r w:rsidR="00790BE8" w:rsidRPr="00790BE8">
              <w:rPr>
                <w:i/>
              </w:rPr>
              <w:t xml:space="preserve"> serogroups A, C, W135 and Y. The use of this vaccine should be in accordance with official recommendations.</w:t>
            </w:r>
          </w:p>
        </w:tc>
      </w:tr>
      <w:tr w:rsidR="008E7846" w:rsidRPr="00487162" w14:paraId="75F91668" w14:textId="77777777" w:rsidTr="002740F1">
        <w:trPr>
          <w:gridAfter w:val="1"/>
          <w:wAfter w:w="283" w:type="dxa"/>
        </w:trPr>
        <w:tc>
          <w:tcPr>
            <w:tcW w:w="2907" w:type="dxa"/>
          </w:tcPr>
          <w:p w14:paraId="6AA3741D" w14:textId="77777777" w:rsidR="008E7846" w:rsidRPr="00487162" w:rsidRDefault="008E7846" w:rsidP="00E45619">
            <w:pPr>
              <w:rPr>
                <w:i/>
              </w:rPr>
            </w:pPr>
            <w:r w:rsidRPr="00487162">
              <w:rPr>
                <w:i/>
              </w:rPr>
              <w:t>Route(s) of administration:</w:t>
            </w:r>
          </w:p>
        </w:tc>
        <w:tc>
          <w:tcPr>
            <w:tcW w:w="6307" w:type="dxa"/>
          </w:tcPr>
          <w:p w14:paraId="1BAA7938" w14:textId="77777777" w:rsidR="008E7846" w:rsidRPr="00487162" w:rsidRDefault="005D4373" w:rsidP="00E45619">
            <w:r>
              <w:t>Intramuscular (IM)</w:t>
            </w:r>
          </w:p>
        </w:tc>
      </w:tr>
      <w:tr w:rsidR="008E7846" w:rsidRPr="00487162" w14:paraId="13F69E12" w14:textId="77777777" w:rsidTr="002740F1">
        <w:trPr>
          <w:gridAfter w:val="1"/>
          <w:wAfter w:w="283" w:type="dxa"/>
        </w:trPr>
        <w:tc>
          <w:tcPr>
            <w:tcW w:w="2907" w:type="dxa"/>
          </w:tcPr>
          <w:p w14:paraId="6FDD9568" w14:textId="77777777" w:rsidR="008E7846" w:rsidRPr="00487162" w:rsidRDefault="008E7846" w:rsidP="00E45619">
            <w:pPr>
              <w:rPr>
                <w:i/>
              </w:rPr>
            </w:pPr>
            <w:r w:rsidRPr="00487162">
              <w:rPr>
                <w:i/>
              </w:rPr>
              <w:t>Dosage:</w:t>
            </w:r>
          </w:p>
        </w:tc>
        <w:tc>
          <w:tcPr>
            <w:tcW w:w="6307" w:type="dxa"/>
          </w:tcPr>
          <w:p w14:paraId="22B999EA" w14:textId="77777777" w:rsidR="001E374C" w:rsidRDefault="001E374C" w:rsidP="001E374C">
            <w:pPr>
              <w:pStyle w:val="Heading5"/>
            </w:pPr>
            <w:r>
              <w:t>Vaccine schedule for children from 2 to 23 months of age</w:t>
            </w:r>
          </w:p>
          <w:p w14:paraId="45526579" w14:textId="77777777" w:rsidR="001E374C" w:rsidRDefault="001E374C" w:rsidP="001E374C">
            <w:pPr>
              <w:pStyle w:val="Heading6"/>
            </w:pPr>
            <w:r>
              <w:lastRenderedPageBreak/>
              <w:t>Infants initiating vaccination from 2 to 6 months of age</w:t>
            </w:r>
          </w:p>
          <w:p w14:paraId="050BA708" w14:textId="77777777" w:rsidR="008E7846" w:rsidRDefault="001E374C" w:rsidP="001E374C">
            <w:r>
              <w:t xml:space="preserve">First three doses of </w:t>
            </w:r>
            <w:proofErr w:type="spellStart"/>
            <w:r w:rsidR="00AA10D9">
              <w:t>Menveo</w:t>
            </w:r>
            <w:proofErr w:type="spellEnd"/>
            <w:r>
              <w:t>, each of 0.5 mL, should be given with an interval of at least 2 months; the fourth dose should be administered during the second year of life (at 12-16 months).</w:t>
            </w:r>
          </w:p>
          <w:p w14:paraId="2B1389BE" w14:textId="77777777" w:rsidR="001E374C" w:rsidRDefault="001E374C" w:rsidP="001E374C">
            <w:pPr>
              <w:pStyle w:val="Heading6"/>
            </w:pPr>
            <w:r>
              <w:t>Unvaccinated children from 7 to 23 months of age</w:t>
            </w:r>
          </w:p>
          <w:p w14:paraId="2797FB77" w14:textId="77777777" w:rsidR="001E374C" w:rsidRDefault="00AA10D9" w:rsidP="001E374C">
            <w:proofErr w:type="spellStart"/>
            <w:r>
              <w:t>Menveo</w:t>
            </w:r>
            <w:proofErr w:type="spellEnd"/>
            <w:r w:rsidR="001E374C">
              <w:t xml:space="preserve"> should be administered as two doses, each as a single dose (0.5 mL), with the second dose administered in the second year of life and at least two months after the first dose.</w:t>
            </w:r>
          </w:p>
          <w:p w14:paraId="0C96DBFA" w14:textId="77777777" w:rsidR="001E374C" w:rsidRDefault="001E374C" w:rsidP="001E374C">
            <w:pPr>
              <w:pStyle w:val="Heading5"/>
            </w:pPr>
            <w:r>
              <w:t>Vaccine schedule for children 2 to 10 years of age</w:t>
            </w:r>
          </w:p>
          <w:p w14:paraId="1281ADD6" w14:textId="77777777" w:rsidR="001E374C" w:rsidRPr="00487162" w:rsidRDefault="00AA10D9" w:rsidP="001E374C">
            <w:proofErr w:type="spellStart"/>
            <w:r>
              <w:t>Menveo</w:t>
            </w:r>
            <w:proofErr w:type="spellEnd"/>
            <w:r w:rsidR="001E374C">
              <w:t xml:space="preserve"> should be administered as a single 0.5 mL injection.</w:t>
            </w:r>
          </w:p>
        </w:tc>
      </w:tr>
      <w:tr w:rsidR="008E7846" w:rsidRPr="00487162" w14:paraId="6729725C" w14:textId="77777777" w:rsidTr="002740F1">
        <w:trPr>
          <w:gridAfter w:val="1"/>
          <w:wAfter w:w="283" w:type="dxa"/>
        </w:trPr>
        <w:tc>
          <w:tcPr>
            <w:tcW w:w="2907" w:type="dxa"/>
          </w:tcPr>
          <w:p w14:paraId="771ADC45" w14:textId="77777777" w:rsidR="008E7846" w:rsidRPr="00487162" w:rsidRDefault="008E7846" w:rsidP="001B5C90">
            <w:pPr>
              <w:rPr>
                <w:i/>
              </w:rPr>
            </w:pPr>
            <w:r w:rsidRPr="00487162">
              <w:rPr>
                <w:i/>
              </w:rPr>
              <w:lastRenderedPageBreak/>
              <w:t xml:space="preserve">ARTG </w:t>
            </w:r>
            <w:r w:rsidR="001B5C90">
              <w:rPr>
                <w:i/>
              </w:rPr>
              <w:t>n</w:t>
            </w:r>
            <w:r w:rsidRPr="00487162">
              <w:rPr>
                <w:i/>
              </w:rPr>
              <w:t>umber (s)</w:t>
            </w:r>
            <w:r w:rsidR="001B5C90">
              <w:rPr>
                <w:i/>
              </w:rPr>
              <w:t>:</w:t>
            </w:r>
          </w:p>
        </w:tc>
        <w:tc>
          <w:tcPr>
            <w:tcW w:w="6307" w:type="dxa"/>
          </w:tcPr>
          <w:p w14:paraId="5C814B0F" w14:textId="77777777" w:rsidR="008E7846" w:rsidRPr="00487162" w:rsidRDefault="001B3476" w:rsidP="00E45619">
            <w:r w:rsidRPr="001B3476">
              <w:t>AUST R 158447</w:t>
            </w:r>
            <w:r>
              <w:t xml:space="preserve"> </w:t>
            </w:r>
            <w:r w:rsidR="00B044DB">
              <w:t xml:space="preserve">(vial syringe) </w:t>
            </w:r>
            <w:r>
              <w:t xml:space="preserve">and </w:t>
            </w:r>
            <w:r w:rsidRPr="001B3476">
              <w:t>AUST R 192696</w:t>
            </w:r>
            <w:r w:rsidR="00B044DB">
              <w:t xml:space="preserve"> (vial/vial)</w:t>
            </w:r>
          </w:p>
        </w:tc>
      </w:tr>
    </w:tbl>
    <w:p w14:paraId="3C15338D" w14:textId="77777777" w:rsidR="008E7846" w:rsidRDefault="008E7846" w:rsidP="008E7846">
      <w:pPr>
        <w:pStyle w:val="Heading3"/>
      </w:pPr>
      <w:bookmarkStart w:id="13" w:name="_Toc247691503"/>
      <w:bookmarkStart w:id="14" w:name="_Toc314842484"/>
      <w:bookmarkStart w:id="15" w:name="_Toc511377340"/>
      <w:r>
        <w:t>Product background</w:t>
      </w:r>
      <w:bookmarkEnd w:id="13"/>
      <w:bookmarkEnd w:id="14"/>
      <w:bookmarkEnd w:id="15"/>
    </w:p>
    <w:p w14:paraId="146772EE" w14:textId="77777777" w:rsidR="001B3476" w:rsidRPr="001B3476" w:rsidRDefault="00AA10D9" w:rsidP="008D61CF">
      <w:proofErr w:type="spellStart"/>
      <w:r>
        <w:t>Menveo</w:t>
      </w:r>
      <w:proofErr w:type="spellEnd"/>
      <w:r w:rsidR="001B3476" w:rsidRPr="001B3476">
        <w:t xml:space="preserve"> is currently registered to immunize individuals 11 years of age and over to prevent invasive</w:t>
      </w:r>
      <w:r w:rsidR="001B3476">
        <w:t xml:space="preserve"> </w:t>
      </w:r>
      <w:r w:rsidR="001B3476" w:rsidRPr="001B3476">
        <w:t xml:space="preserve">disease caused by Neisseria </w:t>
      </w:r>
      <w:proofErr w:type="spellStart"/>
      <w:r w:rsidR="001B3476" w:rsidRPr="001B3476">
        <w:t>meningitidis</w:t>
      </w:r>
      <w:proofErr w:type="spellEnd"/>
      <w:r w:rsidR="001B3476" w:rsidRPr="001B3476">
        <w:t xml:space="preserve"> serogroups A, C, W135 and Y.</w:t>
      </w:r>
    </w:p>
    <w:p w14:paraId="5FB0CB9B" w14:textId="77777777" w:rsidR="00940A89" w:rsidRPr="00B34330" w:rsidRDefault="00B044DB" w:rsidP="008D61CF">
      <w:r w:rsidRPr="00B34330">
        <w:t xml:space="preserve">This </w:t>
      </w:r>
      <w:proofErr w:type="spellStart"/>
      <w:r w:rsidRPr="00B34330">
        <w:t>AusPAR</w:t>
      </w:r>
      <w:proofErr w:type="spellEnd"/>
      <w:r w:rsidRPr="00B34330">
        <w:t xml:space="preserve"> describes the application by the sponsor to </w:t>
      </w:r>
      <w:r w:rsidR="001B3476" w:rsidRPr="00B34330">
        <w:t xml:space="preserve">extend the indication </w:t>
      </w:r>
      <w:r w:rsidR="00C471A6" w:rsidRPr="00B34330">
        <w:t xml:space="preserve">for </w:t>
      </w:r>
      <w:proofErr w:type="spellStart"/>
      <w:r w:rsidR="00C471A6" w:rsidRPr="00B34330">
        <w:t>Menveo</w:t>
      </w:r>
      <w:proofErr w:type="spellEnd"/>
      <w:r w:rsidR="00C471A6" w:rsidRPr="00B34330">
        <w:t xml:space="preserve"> </w:t>
      </w:r>
      <w:r w:rsidR="001B3476" w:rsidRPr="00B34330">
        <w:t xml:space="preserve">to include </w:t>
      </w:r>
      <w:r w:rsidR="00105660" w:rsidRPr="00B34330">
        <w:t>immunisation</w:t>
      </w:r>
      <w:r w:rsidR="001B3476" w:rsidRPr="00B34330">
        <w:t xml:space="preserve"> of infants over 2 months of age and children.</w:t>
      </w:r>
    </w:p>
    <w:p w14:paraId="5D077FCC" w14:textId="35B903CA" w:rsidR="004712AD" w:rsidRDefault="004712AD" w:rsidP="00C471A6">
      <w:r w:rsidRPr="00B34330">
        <w:t>This application was submitted in consultation with the Office of Health Protection in the Commonwealth Department of Health due to the public health environment surrounding meningococcal disease. The submitted dossier was consistent with the data package submitted in the US for the same indication.</w:t>
      </w:r>
    </w:p>
    <w:p w14:paraId="1C7FED86" w14:textId="77777777" w:rsidR="00C471A6" w:rsidRDefault="00C471A6" w:rsidP="00C471A6">
      <w:proofErr w:type="spellStart"/>
      <w:r>
        <w:t>Menveo</w:t>
      </w:r>
      <w:proofErr w:type="spellEnd"/>
      <w:r w:rsidRPr="00CA2888">
        <w:t xml:space="preserve"> is supplied as one vial containing lyophilised </w:t>
      </w:r>
      <w:proofErr w:type="spellStart"/>
      <w:r w:rsidRPr="00CA2888">
        <w:t>MenA</w:t>
      </w:r>
      <w:proofErr w:type="spellEnd"/>
      <w:r w:rsidRPr="00CA2888">
        <w:t xml:space="preserve"> conjugate c</w:t>
      </w:r>
      <w:r>
        <w:t>omponent</w:t>
      </w:r>
      <w:r w:rsidRPr="00CA2888">
        <w:t xml:space="preserve"> and one syringe or vial containing liquid </w:t>
      </w:r>
      <w:proofErr w:type="spellStart"/>
      <w:r w:rsidRPr="00CA2888">
        <w:t>MenCWY</w:t>
      </w:r>
      <w:proofErr w:type="spellEnd"/>
      <w:r w:rsidRPr="00CA2888">
        <w:t xml:space="preserve"> conjugate c</w:t>
      </w:r>
      <w:r>
        <w:t>omponent.</w:t>
      </w:r>
      <w:r w:rsidR="00C50AB0">
        <w:t xml:space="preserve"> </w:t>
      </w:r>
      <w:r>
        <w:t xml:space="preserve">The reconstituted vaccine </w:t>
      </w:r>
      <w:r w:rsidRPr="00CA2888">
        <w:t>is for single intr</w:t>
      </w:r>
      <w:r>
        <w:t>amuscular injection (0.5</w:t>
      </w:r>
      <w:r w:rsidR="00C50AB0">
        <w:t xml:space="preserve"> </w:t>
      </w:r>
      <w:r>
        <w:t>mL) containing</w:t>
      </w:r>
      <w:r w:rsidRPr="00CA2888">
        <w:t xml:space="preserve"> meningococcal serogroup A (10</w:t>
      </w:r>
      <w:r w:rsidR="00C50AB0">
        <w:t xml:space="preserve"> </w:t>
      </w:r>
      <w:r w:rsidRPr="00CA2888">
        <w:t>µg), C (5µg), W-135</w:t>
      </w:r>
      <w:r>
        <w:t xml:space="preserve"> </w:t>
      </w:r>
      <w:r w:rsidRPr="00CA2888">
        <w:t>(5</w:t>
      </w:r>
      <w:r w:rsidR="00C50AB0">
        <w:t xml:space="preserve"> </w:t>
      </w:r>
      <w:r w:rsidRPr="00CA2888">
        <w:t>µg) and Y (5</w:t>
      </w:r>
      <w:r w:rsidR="00C50AB0">
        <w:t xml:space="preserve"> </w:t>
      </w:r>
      <w:r w:rsidRPr="00CA2888">
        <w:t xml:space="preserve">µg) oligosaccharides </w:t>
      </w:r>
      <w:r>
        <w:t>individually conjugated with</w:t>
      </w:r>
      <w:r w:rsidRPr="00CA2888">
        <w:t xml:space="preserve"> </w:t>
      </w:r>
      <w:r w:rsidRPr="00AC43D9">
        <w:rPr>
          <w:i/>
        </w:rPr>
        <w:t xml:space="preserve">Corynebacterium </w:t>
      </w:r>
      <w:proofErr w:type="spellStart"/>
      <w:r w:rsidRPr="00AC43D9">
        <w:rPr>
          <w:i/>
        </w:rPr>
        <w:t>diphtheriae</w:t>
      </w:r>
      <w:proofErr w:type="spellEnd"/>
      <w:r w:rsidRPr="00CA2888">
        <w:t xml:space="preserve"> (CRM197) </w:t>
      </w:r>
      <w:r>
        <w:t>protein carrier. This vaccine product does not contain any</w:t>
      </w:r>
      <w:r w:rsidRPr="00CA2888">
        <w:t xml:space="preserve"> preservative or adjuvant and is </w:t>
      </w:r>
      <w:proofErr w:type="spellStart"/>
      <w:r w:rsidRPr="00CA2888">
        <w:t>t</w:t>
      </w:r>
      <w:r w:rsidR="0025045A">
        <w:t>hiomersal</w:t>
      </w:r>
      <w:proofErr w:type="spellEnd"/>
      <w:r w:rsidR="0025045A">
        <w:t xml:space="preserve"> </w:t>
      </w:r>
      <w:r w:rsidRPr="00CA2888">
        <w:t>free.</w:t>
      </w:r>
    </w:p>
    <w:p w14:paraId="4160C1E7" w14:textId="77777777" w:rsidR="00F74342" w:rsidRDefault="00B044DB" w:rsidP="008D61CF">
      <w:r>
        <w:t xml:space="preserve">The approved dose is one 0.5mL intramuscular </w:t>
      </w:r>
      <w:r w:rsidR="0025045A">
        <w:t xml:space="preserve">(IM) </w:t>
      </w:r>
      <w:r>
        <w:t xml:space="preserve">injection. The proposed vaccination schedule is dependent on age and prior vaccination with </w:t>
      </w:r>
      <w:proofErr w:type="spellStart"/>
      <w:r w:rsidR="00AA10D9" w:rsidRPr="00C471A6">
        <w:t>Menveo</w:t>
      </w:r>
      <w:proofErr w:type="spellEnd"/>
      <w:r>
        <w:t xml:space="preserve">: </w:t>
      </w:r>
      <w:r w:rsidR="00C471A6">
        <w:t xml:space="preserve">The extension to the younger age group proposes a </w:t>
      </w:r>
      <w:r w:rsidR="00306FB2">
        <w:t>4 dose</w:t>
      </w:r>
      <w:r w:rsidR="00C471A6">
        <w:t xml:space="preserve"> schedule in infants (at 2, 4, 6, </w:t>
      </w:r>
      <w:proofErr w:type="gramStart"/>
      <w:r w:rsidR="00C471A6">
        <w:t>12</w:t>
      </w:r>
      <w:proofErr w:type="gramEnd"/>
      <w:r w:rsidR="00C471A6">
        <w:t xml:space="preserve"> to 16 months of age)</w:t>
      </w:r>
      <w:r w:rsidR="008802EC">
        <w:t>. Th</w:t>
      </w:r>
      <w:r w:rsidR="008802EC" w:rsidRPr="00294D4C">
        <w:t>e fourth dose should be administered during the second year of life (at 12-16 months)</w:t>
      </w:r>
      <w:r w:rsidR="00C64FD5">
        <w:t xml:space="preserve"> </w:t>
      </w:r>
      <w:r w:rsidR="005F0477">
        <w:t>This extension application also proposes a</w:t>
      </w:r>
      <w:r w:rsidR="00C471A6">
        <w:t xml:space="preserve"> 2 dose catch-up schedule in unvaccinated infants between 7</w:t>
      </w:r>
      <w:r w:rsidR="00C471A6" w:rsidRPr="005E5014">
        <w:rPr>
          <w:vertAlign w:val="superscript"/>
        </w:rPr>
        <w:t>th</w:t>
      </w:r>
      <w:r w:rsidR="00C471A6">
        <w:t xml:space="preserve"> and 23</w:t>
      </w:r>
      <w:r w:rsidR="00C471A6" w:rsidRPr="005E5014">
        <w:rPr>
          <w:vertAlign w:val="superscript"/>
        </w:rPr>
        <w:t>rd</w:t>
      </w:r>
      <w:r w:rsidR="00C471A6">
        <w:t xml:space="preserve"> month</w:t>
      </w:r>
      <w:r w:rsidR="008802EC">
        <w:t xml:space="preserve"> with the </w:t>
      </w:r>
      <w:r w:rsidR="008802EC" w:rsidRPr="008802EC">
        <w:t xml:space="preserve">with the second dose administered in the second year of life and at least two months after the first </w:t>
      </w:r>
      <w:proofErr w:type="spellStart"/>
      <w:r w:rsidR="008802EC" w:rsidRPr="008802EC">
        <w:t>dose.</w:t>
      </w:r>
      <w:r w:rsidR="00C64FD5">
        <w:t>A</w:t>
      </w:r>
      <w:proofErr w:type="spellEnd"/>
      <w:r w:rsidR="00C471A6">
        <w:t xml:space="preserve"> single dose schedule </w:t>
      </w:r>
      <w:r w:rsidR="00C64FD5">
        <w:t xml:space="preserve">is proposed </w:t>
      </w:r>
      <w:r w:rsidR="00C471A6">
        <w:t xml:space="preserve">in </w:t>
      </w:r>
      <w:r w:rsidR="00C64FD5">
        <w:t xml:space="preserve">the </w:t>
      </w:r>
      <w:r w:rsidR="00746C7F">
        <w:t>2 to 10</w:t>
      </w:r>
      <w:r w:rsidR="00C471A6">
        <w:t xml:space="preserve"> years age group (same as current approval in adolescents </w:t>
      </w:r>
      <w:r w:rsidR="0025045A">
        <w:t>and</w:t>
      </w:r>
      <w:r w:rsidR="00C471A6">
        <w:t xml:space="preserve"> adults</w:t>
      </w:r>
      <w:r w:rsidR="00F74342">
        <w:t>.</w:t>
      </w:r>
    </w:p>
    <w:p w14:paraId="7D3FFD38" w14:textId="739BF707" w:rsidR="00B044DB" w:rsidRDefault="00B044DB" w:rsidP="008D61CF">
      <w:r>
        <w:t>At present in Australia, no tetravalent conjugate meningococcal vaccine (</w:t>
      </w:r>
      <w:proofErr w:type="spellStart"/>
      <w:r>
        <w:t>MenACWY</w:t>
      </w:r>
      <w:proofErr w:type="spellEnd"/>
      <w:r>
        <w:t xml:space="preserve">) is approved for use in infants </w:t>
      </w:r>
      <w:r w:rsidR="00C64FD5">
        <w:t xml:space="preserve">less than 12 months of age </w:t>
      </w:r>
      <w:r>
        <w:t>(</w:t>
      </w:r>
      <w:proofErr w:type="spellStart"/>
      <w:r>
        <w:t>M</w:t>
      </w:r>
      <w:r w:rsidR="00C471A6">
        <w:t>enactra</w:t>
      </w:r>
      <w:proofErr w:type="spellEnd"/>
      <w:r>
        <w:t xml:space="preserve"> from 2-55 years age; </w:t>
      </w:r>
      <w:proofErr w:type="spellStart"/>
      <w:r w:rsidR="00C471A6">
        <w:t>Nimenrix</w:t>
      </w:r>
      <w:proofErr w:type="spellEnd"/>
      <w:r w:rsidR="00C471A6">
        <w:t xml:space="preserve"> </w:t>
      </w:r>
      <w:r>
        <w:t>from 1-55 years age). The approved monovalent C conjugate vaccines (</w:t>
      </w:r>
      <w:proofErr w:type="spellStart"/>
      <w:r w:rsidR="00C471A6">
        <w:t>Neisvac</w:t>
      </w:r>
      <w:proofErr w:type="spellEnd"/>
      <w:r>
        <w:t xml:space="preserve">-C; </w:t>
      </w:r>
      <w:proofErr w:type="spellStart"/>
      <w:r w:rsidR="00C471A6">
        <w:t>Meningitec</w:t>
      </w:r>
      <w:proofErr w:type="spellEnd"/>
      <w:r>
        <w:t xml:space="preserve">; </w:t>
      </w:r>
      <w:proofErr w:type="spellStart"/>
      <w:r w:rsidR="00C471A6">
        <w:t>Menjugate</w:t>
      </w:r>
      <w:proofErr w:type="spellEnd"/>
      <w:r>
        <w:t xml:space="preserve">) can be used from 6 weeks of age. </w:t>
      </w:r>
      <w:proofErr w:type="spellStart"/>
      <w:r>
        <w:t>MenC</w:t>
      </w:r>
      <w:proofErr w:type="spellEnd"/>
      <w:r>
        <w:t xml:space="preserve"> is also available combined with Hib (</w:t>
      </w:r>
      <w:proofErr w:type="spellStart"/>
      <w:r w:rsidR="00C471A6">
        <w:t>Menitorix</w:t>
      </w:r>
      <w:proofErr w:type="spellEnd"/>
      <w:r>
        <w:t>)</w:t>
      </w:r>
      <w:r w:rsidR="00C64FD5">
        <w:t xml:space="preserve"> from 6 weeks of age</w:t>
      </w:r>
      <w:r>
        <w:t>. A multi-component meningococcal B vaccine (</w:t>
      </w:r>
      <w:proofErr w:type="spellStart"/>
      <w:r w:rsidR="00C471A6">
        <w:t>Bexsero</w:t>
      </w:r>
      <w:proofErr w:type="spellEnd"/>
      <w:r>
        <w:t>) is approved in infants</w:t>
      </w:r>
      <w:r w:rsidR="00514B59">
        <w:t xml:space="preserve"> from </w:t>
      </w:r>
      <w:r w:rsidR="00DC6DA7">
        <w:t>2 months of age</w:t>
      </w:r>
      <w:r>
        <w:t>. Two polysaccharide tetravalent (ACWY-PC) vaccines (</w:t>
      </w:r>
      <w:proofErr w:type="spellStart"/>
      <w:r w:rsidR="00C471A6">
        <w:t>Menomune</w:t>
      </w:r>
      <w:proofErr w:type="spellEnd"/>
      <w:r w:rsidR="00C471A6">
        <w:t xml:space="preserve"> and</w:t>
      </w:r>
      <w:r>
        <w:t xml:space="preserve"> </w:t>
      </w:r>
      <w:proofErr w:type="spellStart"/>
      <w:r w:rsidR="00C471A6">
        <w:t>Mencevax</w:t>
      </w:r>
      <w:proofErr w:type="spellEnd"/>
      <w:r w:rsidR="00C471A6">
        <w:t xml:space="preserve"> </w:t>
      </w:r>
      <w:r>
        <w:t>from 2 years of age and above) are also registered.</w:t>
      </w:r>
    </w:p>
    <w:p w14:paraId="1AE252CB" w14:textId="77777777" w:rsidR="00B044DB" w:rsidRDefault="00B044DB" w:rsidP="008D61CF">
      <w:r>
        <w:t xml:space="preserve">The most at-risk groups in community are age groups &lt;5 years, 15-24 years and elderly. The infection is rare (incidence 3.5/100,000 in 2002 in Australia) but serious which can be </w:t>
      </w:r>
      <w:r>
        <w:lastRenderedPageBreak/>
        <w:t xml:space="preserve">rapidly fatal. The incidence has been declining with the introduction of </w:t>
      </w:r>
      <w:proofErr w:type="spellStart"/>
      <w:r>
        <w:t>MenC</w:t>
      </w:r>
      <w:proofErr w:type="spellEnd"/>
      <w:r>
        <w:t xml:space="preserve"> vaccine (1.1/100,000 cases in 2016). The most common infection over the past decade was serotype B (0.4/100,000 cases in 2016). However, serotype W infection has been on the rise since 2013 with 110 reported cases in 2016 compared to 92 cases of serotype B. As a result, State based ACWY vaccination is being introduced in School Years 11 </w:t>
      </w:r>
      <w:r w:rsidR="0025045A">
        <w:t>and</w:t>
      </w:r>
      <w:r>
        <w:t xml:space="preserve"> 12 with the 2017 winter season.</w:t>
      </w:r>
      <w:r w:rsidR="0025045A">
        <w:rPr>
          <w:rStyle w:val="FootnoteReference"/>
        </w:rPr>
        <w:footnoteReference w:id="1"/>
      </w:r>
    </w:p>
    <w:p w14:paraId="778EFC8D" w14:textId="4E5ECD93" w:rsidR="00B044DB" w:rsidRDefault="00AA10D9" w:rsidP="008D61CF">
      <w:proofErr w:type="spellStart"/>
      <w:r>
        <w:t>Menveo</w:t>
      </w:r>
      <w:proofErr w:type="spellEnd"/>
      <w:r w:rsidR="00B044DB" w:rsidRPr="009235D6">
        <w:t xml:space="preserve"> is approved </w:t>
      </w:r>
      <w:r w:rsidR="00B044DB">
        <w:t xml:space="preserve">in the USA from </w:t>
      </w:r>
      <w:r w:rsidR="00B044DB" w:rsidRPr="0025045A">
        <w:rPr>
          <w:i/>
        </w:rPr>
        <w:t>2 months</w:t>
      </w:r>
      <w:r w:rsidR="00B044DB">
        <w:t xml:space="preserve"> of age, whereas the approval in EU is from </w:t>
      </w:r>
      <w:r w:rsidR="00B044DB" w:rsidRPr="0025045A">
        <w:rPr>
          <w:i/>
        </w:rPr>
        <w:t>2 years</w:t>
      </w:r>
      <w:r w:rsidR="00B044DB">
        <w:t xml:space="preserve"> of age. </w:t>
      </w:r>
      <w:r w:rsidR="00901F1C">
        <w:t>A</w:t>
      </w:r>
      <w:r w:rsidR="0025045A">
        <w:t xml:space="preserve">pproval </w:t>
      </w:r>
      <w:r w:rsidR="00901F1C">
        <w:t>in the US was granted in 2013 for a</w:t>
      </w:r>
      <w:r w:rsidR="0025045A">
        <w:t xml:space="preserve"> 4 </w:t>
      </w:r>
      <w:r w:rsidR="00B044DB">
        <w:t xml:space="preserve">dose series in infants </w:t>
      </w:r>
      <w:r w:rsidR="00901F1C">
        <w:t xml:space="preserve">2 months and </w:t>
      </w:r>
      <w:proofErr w:type="gramStart"/>
      <w:r w:rsidR="00901F1C">
        <w:t>over ,</w:t>
      </w:r>
      <w:proofErr w:type="gramEnd"/>
      <w:r w:rsidR="00901F1C">
        <w:t xml:space="preserve"> </w:t>
      </w:r>
      <w:r w:rsidR="00306FB2">
        <w:t>2 dose</w:t>
      </w:r>
      <w:r w:rsidR="00B044DB">
        <w:t xml:space="preserve"> catch-up in infants </w:t>
      </w:r>
      <w:r w:rsidR="00514B59">
        <w:t>7 to 23 months and a single dose in children 2-10 years of age</w:t>
      </w:r>
      <w:r w:rsidR="00901F1C">
        <w:t xml:space="preserve"> </w:t>
      </w:r>
      <w:r w:rsidR="00B044DB">
        <w:t>, as is being proposed here.</w:t>
      </w:r>
    </w:p>
    <w:p w14:paraId="437BA003" w14:textId="77777777" w:rsidR="004A2438" w:rsidRDefault="004A2438" w:rsidP="008D61CF">
      <w:pPr>
        <w:pStyle w:val="Heading4"/>
      </w:pPr>
      <w:bookmarkStart w:id="16" w:name="_Toc479327258"/>
      <w:r w:rsidRPr="00E709B3">
        <w:t>Information on the condition being treated</w:t>
      </w:r>
      <w:bookmarkEnd w:id="16"/>
    </w:p>
    <w:p w14:paraId="78B6776A" w14:textId="4CD83425" w:rsidR="004A2438" w:rsidRPr="00105660" w:rsidRDefault="004A2438" w:rsidP="004A2438">
      <w:pPr>
        <w:rPr>
          <w:i/>
          <w:lang w:eastAsia="ja-JP"/>
        </w:rPr>
      </w:pPr>
      <w:r>
        <w:rPr>
          <w:lang w:eastAsia="ja-JP"/>
        </w:rPr>
        <w:t xml:space="preserve">Meningococcal disease is caused by a gram-negative diplococcus, </w:t>
      </w:r>
      <w:r w:rsidRPr="005B373C">
        <w:rPr>
          <w:i/>
          <w:lang w:eastAsia="ja-JP"/>
        </w:rPr>
        <w:t xml:space="preserve">Neisseria </w:t>
      </w:r>
      <w:proofErr w:type="spellStart"/>
      <w:r w:rsidRPr="005B373C">
        <w:rPr>
          <w:i/>
          <w:lang w:eastAsia="ja-JP"/>
        </w:rPr>
        <w:t>meningitidis</w:t>
      </w:r>
      <w:proofErr w:type="spellEnd"/>
      <w:r w:rsidRPr="005B373C">
        <w:rPr>
          <w:i/>
          <w:lang w:eastAsia="ja-JP"/>
        </w:rPr>
        <w:t xml:space="preserve">. N. </w:t>
      </w:r>
      <w:proofErr w:type="spellStart"/>
      <w:r w:rsidRPr="005B373C">
        <w:rPr>
          <w:i/>
          <w:lang w:eastAsia="ja-JP"/>
        </w:rPr>
        <w:t>meningitidis</w:t>
      </w:r>
      <w:proofErr w:type="spellEnd"/>
      <w:r>
        <w:rPr>
          <w:lang w:eastAsia="ja-JP"/>
        </w:rPr>
        <w:t xml:space="preserve"> </w:t>
      </w:r>
      <w:r w:rsidR="00105660">
        <w:t>is a gram negative diplococcus</w:t>
      </w:r>
      <w:r w:rsidR="00105660">
        <w:rPr>
          <w:lang w:eastAsia="ja-JP"/>
        </w:rPr>
        <w:t xml:space="preserve"> which </w:t>
      </w:r>
      <w:r>
        <w:rPr>
          <w:lang w:eastAsia="ja-JP"/>
        </w:rPr>
        <w:t xml:space="preserve">causes life-threatening disease worldwide. </w:t>
      </w:r>
      <w:r w:rsidR="00105660">
        <w:t xml:space="preserve">It has no natural animal reservoir and survives in human oropharynx of carriers. </w:t>
      </w:r>
      <w:r>
        <w:rPr>
          <w:lang w:eastAsia="ja-JP"/>
        </w:rPr>
        <w:t xml:space="preserve">Based on antigenic variations in capsular polysaccharide structure, 13 serogroups of </w:t>
      </w:r>
      <w:r w:rsidRPr="00105660">
        <w:rPr>
          <w:i/>
          <w:lang w:eastAsia="ja-JP"/>
        </w:rPr>
        <w:t xml:space="preserve">N. </w:t>
      </w:r>
      <w:proofErr w:type="spellStart"/>
      <w:r w:rsidRPr="00105660">
        <w:rPr>
          <w:i/>
          <w:lang w:eastAsia="ja-JP"/>
        </w:rPr>
        <w:t>meningitidis</w:t>
      </w:r>
      <w:proofErr w:type="spellEnd"/>
      <w:r>
        <w:rPr>
          <w:lang w:eastAsia="ja-JP"/>
        </w:rPr>
        <w:t xml:space="preserve"> have been identified. Globally, 5 serogroups, A, B, C, W-135 and Y cause almost all invasive meningococcal infections. Invasive infection by </w:t>
      </w:r>
      <w:r w:rsidRPr="005B373C">
        <w:rPr>
          <w:i/>
          <w:lang w:eastAsia="ja-JP"/>
        </w:rPr>
        <w:t xml:space="preserve">N. </w:t>
      </w:r>
      <w:proofErr w:type="spellStart"/>
      <w:r w:rsidRPr="005B373C">
        <w:rPr>
          <w:i/>
          <w:lang w:eastAsia="ja-JP"/>
        </w:rPr>
        <w:t>meningitidis</w:t>
      </w:r>
      <w:proofErr w:type="spellEnd"/>
      <w:r>
        <w:rPr>
          <w:lang w:eastAsia="ja-JP"/>
        </w:rPr>
        <w:t xml:space="preserve"> most often manifests as bacteraemia and/or meningitis and can also more rarely present as arthritis, myocarditis, pericarditis, </w:t>
      </w:r>
      <w:proofErr w:type="spellStart"/>
      <w:r>
        <w:rPr>
          <w:lang w:eastAsia="ja-JP"/>
        </w:rPr>
        <w:t>endophthalmitis</w:t>
      </w:r>
      <w:proofErr w:type="spellEnd"/>
      <w:r>
        <w:rPr>
          <w:lang w:eastAsia="ja-JP"/>
        </w:rPr>
        <w:t>, pneumonia or infection at other anatomic sites. Symptoms of infection may include headache, stiff neck, fever, chills, malaise and prostration. Disease can progress rapidly. About 10% of cases die, even with appropriate antimicrobial and supportive treatment; with meningococcal septicaemia up to 40% of cases die</w:t>
      </w:r>
      <w:r w:rsidRPr="00C3388F">
        <w:rPr>
          <w:lang w:eastAsia="ja-JP"/>
        </w:rPr>
        <w:t>. The</w:t>
      </w:r>
      <w:r w:rsidRPr="005F0477">
        <w:rPr>
          <w:lang w:eastAsia="ja-JP"/>
        </w:rPr>
        <w:t xml:space="preserve"> most common meningococcal diseases in Australia are caused by </w:t>
      </w:r>
      <w:r w:rsidRPr="00A62E34">
        <w:rPr>
          <w:lang w:eastAsia="ja-JP"/>
        </w:rPr>
        <w:t xml:space="preserve">serogroups </w:t>
      </w:r>
      <w:r w:rsidR="005F0477" w:rsidRPr="00C3388F">
        <w:rPr>
          <w:lang w:eastAsia="ja-JP"/>
        </w:rPr>
        <w:t xml:space="preserve">W followed by </w:t>
      </w:r>
      <w:r w:rsidRPr="005F0477">
        <w:rPr>
          <w:lang w:eastAsia="ja-JP"/>
        </w:rPr>
        <w:t xml:space="preserve">B and </w:t>
      </w:r>
      <w:r w:rsidR="005F0477" w:rsidRPr="00C3388F">
        <w:rPr>
          <w:lang w:eastAsia="ja-JP"/>
        </w:rPr>
        <w:t>Y</w:t>
      </w:r>
      <w:r w:rsidRPr="00A62E34">
        <w:rPr>
          <w:lang w:eastAsia="ja-JP"/>
        </w:rPr>
        <w:t xml:space="preserve"> with few cases caused by serogroups A</w:t>
      </w:r>
      <w:r w:rsidRPr="005F0477">
        <w:rPr>
          <w:lang w:eastAsia="ja-JP"/>
        </w:rPr>
        <w:t>. Children under 5 years of age and young adults aged 15 to 24 years are at the highest risk of acquiring meningococcal disease.</w:t>
      </w:r>
    </w:p>
    <w:p w14:paraId="0B102608" w14:textId="77777777" w:rsidR="004A2438" w:rsidRDefault="004A2438" w:rsidP="008D61CF">
      <w:pPr>
        <w:pStyle w:val="Heading4"/>
      </w:pPr>
      <w:bookmarkStart w:id="17" w:name="_Toc479327259"/>
      <w:r>
        <w:t>Current treatment options</w:t>
      </w:r>
      <w:bookmarkEnd w:id="17"/>
    </w:p>
    <w:p w14:paraId="503B64E1" w14:textId="77777777" w:rsidR="00F74342" w:rsidRDefault="004A2438" w:rsidP="004A2438">
      <w:pPr>
        <w:rPr>
          <w:lang w:eastAsia="ja-JP"/>
        </w:rPr>
      </w:pPr>
      <w:r>
        <w:rPr>
          <w:lang w:eastAsia="ja-JP"/>
        </w:rPr>
        <w:t xml:space="preserve">There are antibiotics to treat meningococcal infection. Even with appropriate antibiotic treatment, meningococcal infection has a significant mortality and a high morbidity. </w:t>
      </w:r>
      <w:proofErr w:type="spellStart"/>
      <w:r>
        <w:rPr>
          <w:lang w:eastAsia="ja-JP"/>
        </w:rPr>
        <w:t>MenACWY</w:t>
      </w:r>
      <w:proofErr w:type="spellEnd"/>
      <w:r>
        <w:rPr>
          <w:lang w:eastAsia="ja-JP"/>
        </w:rPr>
        <w:t xml:space="preserve"> vaccine provides </w:t>
      </w:r>
      <w:r w:rsidRPr="00E301D7">
        <w:rPr>
          <w:lang w:eastAsia="ja-JP"/>
        </w:rPr>
        <w:t>broad serogroup coverage (</w:t>
      </w:r>
      <w:r w:rsidR="00105660">
        <w:rPr>
          <w:lang w:eastAsia="ja-JP"/>
        </w:rPr>
        <w:t>that is,</w:t>
      </w:r>
      <w:r w:rsidRPr="00E301D7">
        <w:rPr>
          <w:lang w:eastAsia="ja-JP"/>
        </w:rPr>
        <w:t xml:space="preserve"> for serogroups A, C, W, and Y) </w:t>
      </w:r>
      <w:r>
        <w:rPr>
          <w:lang w:eastAsia="ja-JP"/>
        </w:rPr>
        <w:t>for vaccination against Meningococcal infection</w:t>
      </w:r>
      <w:r w:rsidR="00F74342">
        <w:rPr>
          <w:lang w:eastAsia="ja-JP"/>
        </w:rPr>
        <w:t>.</w:t>
      </w:r>
    </w:p>
    <w:p w14:paraId="5B2B2C5B" w14:textId="77777777" w:rsidR="00F74342" w:rsidRDefault="004A2438" w:rsidP="004A2438">
      <w:pPr>
        <w:rPr>
          <w:lang w:eastAsia="ja-JP"/>
        </w:rPr>
      </w:pPr>
      <w:proofErr w:type="spellStart"/>
      <w:r>
        <w:rPr>
          <w:lang w:eastAsia="ja-JP"/>
        </w:rPr>
        <w:t>MenACWY</w:t>
      </w:r>
      <w:proofErr w:type="spellEnd"/>
      <w:r>
        <w:rPr>
          <w:lang w:eastAsia="ja-JP"/>
        </w:rPr>
        <w:t xml:space="preserve"> is</w:t>
      </w:r>
      <w:r w:rsidR="00105660">
        <w:rPr>
          <w:lang w:eastAsia="ja-JP"/>
        </w:rPr>
        <w:t xml:space="preserve"> currently registered to immunis</w:t>
      </w:r>
      <w:r>
        <w:rPr>
          <w:lang w:eastAsia="ja-JP"/>
        </w:rPr>
        <w:t xml:space="preserve">e individuals 11 years of age and over to prevent invasive disease caused by </w:t>
      </w:r>
      <w:r w:rsidRPr="00105660">
        <w:rPr>
          <w:i/>
          <w:lang w:eastAsia="ja-JP"/>
        </w:rPr>
        <w:t xml:space="preserve">Neisseria </w:t>
      </w:r>
      <w:proofErr w:type="spellStart"/>
      <w:r w:rsidRPr="00105660">
        <w:rPr>
          <w:i/>
          <w:lang w:eastAsia="ja-JP"/>
        </w:rPr>
        <w:t>meningitidis</w:t>
      </w:r>
      <w:proofErr w:type="spellEnd"/>
      <w:r>
        <w:rPr>
          <w:lang w:eastAsia="ja-JP"/>
        </w:rPr>
        <w:t xml:space="preserve"> serogroups A, C, W135 and Y. This application proposes to extend t</w:t>
      </w:r>
      <w:r w:rsidR="00105660">
        <w:rPr>
          <w:lang w:eastAsia="ja-JP"/>
        </w:rPr>
        <w:t>he indication to include immunis</w:t>
      </w:r>
      <w:r>
        <w:rPr>
          <w:lang w:eastAsia="ja-JP"/>
        </w:rPr>
        <w:t>ation of infants over 2 months of age</w:t>
      </w:r>
      <w:r w:rsidR="00105660">
        <w:rPr>
          <w:lang w:eastAsia="ja-JP"/>
        </w:rPr>
        <w:t xml:space="preserve"> and children</w:t>
      </w:r>
      <w:r w:rsidR="00F74342">
        <w:rPr>
          <w:lang w:eastAsia="ja-JP"/>
        </w:rPr>
        <w:t>.</w:t>
      </w:r>
    </w:p>
    <w:p w14:paraId="74599A71" w14:textId="1199FA7C" w:rsidR="004A2438" w:rsidRDefault="00105660" w:rsidP="004A2438">
      <w:pPr>
        <w:rPr>
          <w:lang w:eastAsia="ja-JP"/>
        </w:rPr>
      </w:pPr>
      <w:r>
        <w:rPr>
          <w:lang w:eastAsia="ja-JP"/>
        </w:rPr>
        <w:t>The application was</w:t>
      </w:r>
      <w:r w:rsidR="004A2438">
        <w:rPr>
          <w:lang w:eastAsia="ja-JP"/>
        </w:rPr>
        <w:t xml:space="preserve"> submitted, following discussions between the Department of Health, TGA and GSK Australia.</w:t>
      </w:r>
    </w:p>
    <w:p w14:paraId="2C86CCB9" w14:textId="77777777" w:rsidR="008E7846" w:rsidRPr="003F31A2" w:rsidRDefault="00386150" w:rsidP="008E7846">
      <w:pPr>
        <w:pStyle w:val="Heading3"/>
      </w:pPr>
      <w:bookmarkStart w:id="18" w:name="_Toc314842485"/>
      <w:bookmarkStart w:id="19" w:name="_Toc247691504"/>
      <w:bookmarkStart w:id="20" w:name="_Toc511377341"/>
      <w:r>
        <w:t>Regulatory s</w:t>
      </w:r>
      <w:r w:rsidR="008E7846">
        <w:t>tatus</w:t>
      </w:r>
      <w:bookmarkEnd w:id="18"/>
      <w:bookmarkEnd w:id="19"/>
      <w:bookmarkEnd w:id="20"/>
    </w:p>
    <w:p w14:paraId="4A68AFCC" w14:textId="77777777" w:rsidR="004A2438" w:rsidRDefault="004A2438" w:rsidP="008D61CF">
      <w:pPr>
        <w:pStyle w:val="Heading4"/>
      </w:pPr>
      <w:bookmarkStart w:id="21" w:name="_Toc247691505"/>
      <w:bookmarkStart w:id="22" w:name="_Toc314842486"/>
      <w:r>
        <w:t>Australian regulatory history</w:t>
      </w:r>
    </w:p>
    <w:p w14:paraId="2D2CEFBD" w14:textId="77777777" w:rsidR="004A2438" w:rsidRDefault="004A2438" w:rsidP="004A2438">
      <w:pPr>
        <w:rPr>
          <w:lang w:eastAsia="ja-JP"/>
        </w:rPr>
      </w:pPr>
      <w:proofErr w:type="spellStart"/>
      <w:r>
        <w:rPr>
          <w:lang w:eastAsia="ja-JP"/>
        </w:rPr>
        <w:t>MenACWY</w:t>
      </w:r>
      <w:proofErr w:type="spellEnd"/>
      <w:r>
        <w:rPr>
          <w:lang w:eastAsia="ja-JP"/>
        </w:rPr>
        <w:t xml:space="preserve"> was approved for use</w:t>
      </w:r>
      <w:r w:rsidRPr="00E301D7">
        <w:rPr>
          <w:lang w:eastAsia="ja-JP"/>
        </w:rPr>
        <w:t xml:space="preserve"> in adolescents and adults 11-55 years of age </w:t>
      </w:r>
      <w:r>
        <w:rPr>
          <w:lang w:eastAsia="ja-JP"/>
        </w:rPr>
        <w:t xml:space="preserve">in May 2010. </w:t>
      </w:r>
      <w:proofErr w:type="spellStart"/>
      <w:r>
        <w:rPr>
          <w:lang w:eastAsia="ja-JP"/>
        </w:rPr>
        <w:t>MenACWY</w:t>
      </w:r>
      <w:proofErr w:type="spellEnd"/>
      <w:r w:rsidRPr="009235D6">
        <w:rPr>
          <w:lang w:eastAsia="ja-JP"/>
        </w:rPr>
        <w:t xml:space="preserve"> is </w:t>
      </w:r>
      <w:r>
        <w:rPr>
          <w:lang w:eastAsia="ja-JP"/>
        </w:rPr>
        <w:t xml:space="preserve">currently </w:t>
      </w:r>
      <w:r w:rsidRPr="009235D6">
        <w:rPr>
          <w:lang w:eastAsia="ja-JP"/>
        </w:rPr>
        <w:t xml:space="preserve">indicated for active </w:t>
      </w:r>
      <w:r w:rsidR="00105660">
        <w:rPr>
          <w:lang w:eastAsia="ja-JP"/>
        </w:rPr>
        <w:t>immunisation</w:t>
      </w:r>
      <w:r w:rsidRPr="009235D6">
        <w:rPr>
          <w:lang w:eastAsia="ja-JP"/>
        </w:rPr>
        <w:t xml:space="preserve"> of adolescents (from 11 years of age) and adults to prevent invasive disease caused by </w:t>
      </w:r>
      <w:r w:rsidRPr="005B373C">
        <w:rPr>
          <w:i/>
          <w:lang w:eastAsia="ja-JP"/>
        </w:rPr>
        <w:t xml:space="preserve">Neisseria </w:t>
      </w:r>
      <w:proofErr w:type="spellStart"/>
      <w:r w:rsidRPr="005B373C">
        <w:rPr>
          <w:i/>
          <w:lang w:eastAsia="ja-JP"/>
        </w:rPr>
        <w:t>meningitidis</w:t>
      </w:r>
      <w:proofErr w:type="spellEnd"/>
      <w:r w:rsidRPr="009235D6">
        <w:rPr>
          <w:lang w:eastAsia="ja-JP"/>
        </w:rPr>
        <w:t xml:space="preserve"> </w:t>
      </w:r>
      <w:r w:rsidRPr="009235D6">
        <w:rPr>
          <w:lang w:eastAsia="ja-JP"/>
        </w:rPr>
        <w:lastRenderedPageBreak/>
        <w:t>serogroups A, C, W135 and Y. The use of this vaccine should be in accordance with official recommendations.</w:t>
      </w:r>
    </w:p>
    <w:p w14:paraId="2FF5FC34" w14:textId="77777777" w:rsidR="004A2438" w:rsidRDefault="004A2438" w:rsidP="008D61CF">
      <w:pPr>
        <w:pStyle w:val="Heading4"/>
      </w:pPr>
      <w:r>
        <w:t>Overseas regulatory history</w:t>
      </w:r>
    </w:p>
    <w:p w14:paraId="0AD928DE" w14:textId="77777777" w:rsidR="00105660" w:rsidRDefault="004A2438" w:rsidP="004A2438">
      <w:pPr>
        <w:rPr>
          <w:lang w:eastAsia="ja-JP"/>
        </w:rPr>
      </w:pPr>
      <w:proofErr w:type="spellStart"/>
      <w:r>
        <w:rPr>
          <w:lang w:eastAsia="ja-JP"/>
        </w:rPr>
        <w:t>MenACWY</w:t>
      </w:r>
      <w:proofErr w:type="spellEnd"/>
      <w:r w:rsidRPr="009235D6">
        <w:rPr>
          <w:lang w:eastAsia="ja-JP"/>
        </w:rPr>
        <w:t xml:space="preserve"> is approved in the US and Canada for </w:t>
      </w:r>
      <w:r w:rsidR="00105660">
        <w:rPr>
          <w:lang w:eastAsia="ja-JP"/>
        </w:rPr>
        <w:t>immunisation</w:t>
      </w:r>
      <w:r w:rsidRPr="009235D6">
        <w:rPr>
          <w:lang w:eastAsia="ja-JP"/>
        </w:rPr>
        <w:t xml:space="preserve"> of infants (&gt;2 months of age), children, adolescents and adults. </w:t>
      </w:r>
      <w:proofErr w:type="spellStart"/>
      <w:r>
        <w:rPr>
          <w:lang w:eastAsia="ja-JP"/>
        </w:rPr>
        <w:t>MenACWY</w:t>
      </w:r>
      <w:proofErr w:type="spellEnd"/>
      <w:r w:rsidRPr="009235D6">
        <w:rPr>
          <w:lang w:eastAsia="ja-JP"/>
        </w:rPr>
        <w:t xml:space="preserve"> was approved for </w:t>
      </w:r>
      <w:r w:rsidR="00105660">
        <w:rPr>
          <w:lang w:eastAsia="ja-JP"/>
        </w:rPr>
        <w:t>immunisation</w:t>
      </w:r>
      <w:r w:rsidRPr="009235D6">
        <w:rPr>
          <w:lang w:eastAsia="ja-JP"/>
        </w:rPr>
        <w:t xml:space="preserve"> of infants over 2 months of age and children in the USA in August 2013 and in</w:t>
      </w:r>
      <w:r w:rsidR="00105660">
        <w:rPr>
          <w:lang w:eastAsia="ja-JP"/>
        </w:rPr>
        <w:t xml:space="preserve"> Canada in December 2014.</w:t>
      </w:r>
    </w:p>
    <w:p w14:paraId="4801752F" w14:textId="77777777" w:rsidR="004A2438" w:rsidRDefault="004A2438" w:rsidP="004A2438">
      <w:pPr>
        <w:rPr>
          <w:lang w:eastAsia="ja-JP"/>
        </w:rPr>
      </w:pPr>
      <w:proofErr w:type="spellStart"/>
      <w:r>
        <w:rPr>
          <w:lang w:eastAsia="ja-JP"/>
        </w:rPr>
        <w:t>MenACWY</w:t>
      </w:r>
      <w:proofErr w:type="spellEnd"/>
      <w:r w:rsidRPr="009235D6">
        <w:rPr>
          <w:lang w:eastAsia="ja-JP"/>
        </w:rPr>
        <w:t xml:space="preserve"> was also approved in Europe via a centralised procedure to the </w:t>
      </w:r>
      <w:r w:rsidR="00105660">
        <w:rPr>
          <w:lang w:eastAsia="ja-JP"/>
        </w:rPr>
        <w:t>European Medicines Agency (</w:t>
      </w:r>
      <w:r w:rsidRPr="009235D6">
        <w:rPr>
          <w:lang w:eastAsia="ja-JP"/>
        </w:rPr>
        <w:t>EMA</w:t>
      </w:r>
      <w:r w:rsidR="00105660">
        <w:rPr>
          <w:lang w:eastAsia="ja-JP"/>
        </w:rPr>
        <w:t>)</w:t>
      </w:r>
      <w:r w:rsidRPr="009235D6">
        <w:rPr>
          <w:lang w:eastAsia="ja-JP"/>
        </w:rPr>
        <w:t xml:space="preserve"> for use in children 2 </w:t>
      </w:r>
      <w:r w:rsidR="00105660">
        <w:rPr>
          <w:lang w:eastAsia="ja-JP"/>
        </w:rPr>
        <w:t>to</w:t>
      </w:r>
      <w:r w:rsidRPr="009235D6">
        <w:rPr>
          <w:lang w:eastAsia="ja-JP"/>
        </w:rPr>
        <w:t xml:space="preserve"> 10 years of age in March 2012.</w:t>
      </w:r>
    </w:p>
    <w:p w14:paraId="7AF9702D" w14:textId="77777777" w:rsidR="008E7846" w:rsidRDefault="008E7846" w:rsidP="00940A89">
      <w:pPr>
        <w:pStyle w:val="Heading3"/>
      </w:pPr>
      <w:bookmarkStart w:id="23" w:name="_Toc511377342"/>
      <w:r>
        <w:t>Product Information</w:t>
      </w:r>
      <w:bookmarkEnd w:id="21"/>
      <w:bookmarkEnd w:id="22"/>
      <w:bookmarkEnd w:id="23"/>
    </w:p>
    <w:p w14:paraId="4E5161F6" w14:textId="77777777" w:rsidR="00940A89" w:rsidRDefault="006136D7" w:rsidP="00940A89">
      <w:pPr>
        <w:rPr>
          <w:b/>
          <w:bCs/>
        </w:rPr>
      </w:pPr>
      <w:bookmarkStart w:id="24" w:name="_Toc247691506"/>
      <w:bookmarkStart w:id="25"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2327FEB3" w14:textId="77777777" w:rsidR="008E7846" w:rsidRPr="003602A9" w:rsidRDefault="008E7846" w:rsidP="008E7846">
      <w:pPr>
        <w:pStyle w:val="Heading2"/>
        <w:ind w:left="-11"/>
      </w:pPr>
      <w:bookmarkStart w:id="26" w:name="_Toc511377343"/>
      <w:r>
        <w:t>II. Quality</w:t>
      </w:r>
      <w:bookmarkEnd w:id="2"/>
      <w:r>
        <w:t xml:space="preserve"> findings</w:t>
      </w:r>
      <w:bookmarkEnd w:id="24"/>
      <w:bookmarkEnd w:id="25"/>
      <w:bookmarkEnd w:id="26"/>
    </w:p>
    <w:p w14:paraId="5062D4D2" w14:textId="77777777" w:rsidR="00940A89" w:rsidRDefault="00940A89" w:rsidP="00940A89">
      <w:bookmarkStart w:id="27" w:name="_Toc247691507"/>
      <w:bookmarkStart w:id="28" w:name="_Toc314842488"/>
      <w:r w:rsidRPr="00940A89">
        <w:t>There was no requirement for a quality evaluation in a submission of this type.</w:t>
      </w:r>
    </w:p>
    <w:p w14:paraId="7A8B542D" w14:textId="77777777" w:rsidR="004A2438" w:rsidRPr="008D61CF" w:rsidRDefault="004A2438" w:rsidP="008D61CF">
      <w:r w:rsidRPr="008D61CF">
        <w:t>The four polysaccharides are manufactured</w:t>
      </w:r>
      <w:r w:rsidR="008D61CF">
        <w:t xml:space="preserve"> </w:t>
      </w:r>
      <w:r w:rsidRPr="008D61CF">
        <w:t>by extraction and purification of the polysaccharide from each o</w:t>
      </w:r>
      <w:r w:rsidR="008D61CF">
        <w:t>f</w:t>
      </w:r>
      <w:r w:rsidRPr="008D61CF">
        <w:t xml:space="preserve"> four serotypes of </w:t>
      </w:r>
      <w:r w:rsidRPr="00306FB2">
        <w:rPr>
          <w:i/>
        </w:rPr>
        <w:t xml:space="preserve">N. </w:t>
      </w:r>
      <w:proofErr w:type="spellStart"/>
      <w:r w:rsidRPr="00306FB2">
        <w:rPr>
          <w:i/>
        </w:rPr>
        <w:t>meningitidis</w:t>
      </w:r>
      <w:proofErr w:type="spellEnd"/>
      <w:r w:rsidR="00306FB2">
        <w:t>.</w:t>
      </w:r>
      <w:r w:rsidRPr="008D61CF">
        <w:t xml:space="preserve"> Strains are cultured, inactivated using formaldehyde and the polysaccharides recovered using a series of purification steps. The CRM197 carrier protein is extracted and purified from a non-toxigenic strain of Corynebacterium </w:t>
      </w:r>
      <w:proofErr w:type="spellStart"/>
      <w:r w:rsidRPr="008D61CF">
        <w:t>diphtheriae</w:t>
      </w:r>
      <w:proofErr w:type="spellEnd"/>
      <w:r w:rsidRPr="008D61CF">
        <w:t>.</w:t>
      </w:r>
    </w:p>
    <w:p w14:paraId="4E294506" w14:textId="77777777" w:rsidR="004A2438" w:rsidRPr="008D61CF" w:rsidRDefault="004A2438" w:rsidP="008D61CF">
      <w:r w:rsidRPr="008D61CF">
        <w:t>The polysaccharides are then hydrolysed and sized into oligosaccharides, before being covalently linked to the CRM197 protein via a linker molecule (</w:t>
      </w:r>
      <w:proofErr w:type="spellStart"/>
      <w:r w:rsidRPr="008D61CF">
        <w:t>bis</w:t>
      </w:r>
      <w:proofErr w:type="spellEnd"/>
      <w:r w:rsidRPr="008D61CF">
        <w:t>-N-</w:t>
      </w:r>
      <w:proofErr w:type="spellStart"/>
      <w:r w:rsidRPr="008D61CF">
        <w:t>hydroxysuccinimide</w:t>
      </w:r>
      <w:proofErr w:type="spellEnd"/>
      <w:r w:rsidRPr="008D61CF">
        <w:t xml:space="preserve"> ester of </w:t>
      </w:r>
      <w:proofErr w:type="spellStart"/>
      <w:r w:rsidRPr="008D61CF">
        <w:t>adipic</w:t>
      </w:r>
      <w:proofErr w:type="spellEnd"/>
      <w:r w:rsidRPr="008D61CF">
        <w:t xml:space="preserve"> acid) </w:t>
      </w:r>
    </w:p>
    <w:p w14:paraId="2049C8A1" w14:textId="77777777" w:rsidR="004A2438" w:rsidRPr="008D61CF" w:rsidRDefault="004A2438" w:rsidP="008D61CF">
      <w:r w:rsidRPr="008D61CF">
        <w:t xml:space="preserve">There </w:t>
      </w:r>
      <w:r w:rsidR="00746C7F">
        <w:t>is</w:t>
      </w:r>
      <w:r w:rsidRPr="008D61CF">
        <w:t xml:space="preserve"> no viral safety or transmissible spongiform encephalopathies (TSE) issues</w:t>
      </w:r>
      <w:r w:rsidR="00746C7F">
        <w:t>. In addition,</w:t>
      </w:r>
      <w:r w:rsidRPr="008D61CF">
        <w:t xml:space="preserve"> the use of material derived from human or animal sources has been kept to a minimum.</w:t>
      </w:r>
    </w:p>
    <w:p w14:paraId="49A28CF9" w14:textId="77777777" w:rsidR="008E7846" w:rsidRDefault="008E7846" w:rsidP="008E7846">
      <w:pPr>
        <w:pStyle w:val="Heading2"/>
      </w:pPr>
      <w:bookmarkStart w:id="29" w:name="_Toc196046439"/>
      <w:bookmarkStart w:id="30" w:name="_Toc247691510"/>
      <w:bookmarkStart w:id="31" w:name="_Toc314842494"/>
      <w:bookmarkStart w:id="32" w:name="_Toc511377344"/>
      <w:bookmarkEnd w:id="27"/>
      <w:bookmarkEnd w:id="28"/>
      <w:r>
        <w:t>III. Nonclinical</w:t>
      </w:r>
      <w:bookmarkEnd w:id="29"/>
      <w:r>
        <w:t xml:space="preserve"> findings</w:t>
      </w:r>
      <w:bookmarkEnd w:id="30"/>
      <w:bookmarkEnd w:id="31"/>
      <w:bookmarkEnd w:id="32"/>
    </w:p>
    <w:p w14:paraId="7C07070B" w14:textId="77777777" w:rsidR="00940A89" w:rsidRDefault="00940A89" w:rsidP="000E6196">
      <w:bookmarkStart w:id="33" w:name="_Toc247691511"/>
      <w:bookmarkStart w:id="34" w:name="_Toc314842495"/>
      <w:r>
        <w:t>There was no requirement for a nonclinical evaluation in a submission of this type.</w:t>
      </w:r>
    </w:p>
    <w:p w14:paraId="34A621FD" w14:textId="77777777" w:rsidR="008E7846" w:rsidRPr="00254787" w:rsidRDefault="008E7846" w:rsidP="008E7846">
      <w:pPr>
        <w:pStyle w:val="Heading2"/>
      </w:pPr>
      <w:bookmarkStart w:id="35" w:name="_Toc196046462"/>
      <w:bookmarkStart w:id="36" w:name="_Toc247691516"/>
      <w:bookmarkStart w:id="37" w:name="_Toc314842500"/>
      <w:bookmarkStart w:id="38" w:name="_Toc511377345"/>
      <w:bookmarkStart w:id="39" w:name="_Toc163441353"/>
      <w:bookmarkStart w:id="40" w:name="_Toc163441348"/>
      <w:bookmarkEnd w:id="33"/>
      <w:bookmarkEnd w:id="34"/>
      <w:r>
        <w:t xml:space="preserve">IV. </w:t>
      </w:r>
      <w:r w:rsidRPr="00254787">
        <w:t>Clinical</w:t>
      </w:r>
      <w:bookmarkEnd w:id="35"/>
      <w:r>
        <w:t xml:space="preserve"> </w:t>
      </w:r>
      <w:r w:rsidR="003A7F6C">
        <w:t>f</w:t>
      </w:r>
      <w:r>
        <w:t>indings</w:t>
      </w:r>
      <w:bookmarkEnd w:id="36"/>
      <w:bookmarkEnd w:id="37"/>
      <w:bookmarkEnd w:id="38"/>
    </w:p>
    <w:p w14:paraId="6472BD73" w14:textId="77777777" w:rsidR="00C80137" w:rsidRDefault="00C80137" w:rsidP="00D425BB">
      <w:bookmarkStart w:id="4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0DADD1D" w14:textId="77777777" w:rsidR="008E7846" w:rsidRDefault="008E7846" w:rsidP="008E7846">
      <w:pPr>
        <w:pStyle w:val="Heading3"/>
      </w:pPr>
      <w:bookmarkStart w:id="42" w:name="_Toc247691517"/>
      <w:bookmarkStart w:id="43" w:name="_Toc314842501"/>
      <w:bookmarkStart w:id="44" w:name="_Toc511377346"/>
      <w:r w:rsidRPr="00254787">
        <w:t>Introduction</w:t>
      </w:r>
      <w:bookmarkEnd w:id="41"/>
      <w:bookmarkEnd w:id="42"/>
      <w:bookmarkEnd w:id="43"/>
      <w:bookmarkEnd w:id="44"/>
    </w:p>
    <w:p w14:paraId="07617070" w14:textId="77777777" w:rsidR="00605AD4" w:rsidRDefault="00605AD4" w:rsidP="00605AD4">
      <w:pPr>
        <w:pStyle w:val="Heading4"/>
      </w:pPr>
      <w:bookmarkStart w:id="45" w:name="_Toc196046464"/>
      <w:bookmarkStart w:id="46" w:name="_Toc247691518"/>
      <w:bookmarkStart w:id="47" w:name="_Toc314842502"/>
      <w:r w:rsidRPr="00605AD4">
        <w:t xml:space="preserve">Clinical </w:t>
      </w:r>
      <w:r w:rsidR="00EF59DC">
        <w:t>r</w:t>
      </w:r>
      <w:r w:rsidRPr="00605AD4">
        <w:t>ationale</w:t>
      </w:r>
    </w:p>
    <w:p w14:paraId="74E42DEA" w14:textId="77777777" w:rsidR="00F74342" w:rsidRDefault="0036653D" w:rsidP="0036653D">
      <w:pPr>
        <w:rPr>
          <w:lang w:eastAsia="ja-JP"/>
        </w:rPr>
      </w:pPr>
      <w:r>
        <w:rPr>
          <w:lang w:eastAsia="ja-JP"/>
        </w:rPr>
        <w:t xml:space="preserve">There are antibiotics to treat meningococcal infection. Even with appropriate antibiotic treatment, meningococcal infection has a significant mortality and a high morbidity. </w:t>
      </w:r>
      <w:proofErr w:type="spellStart"/>
      <w:r>
        <w:rPr>
          <w:lang w:eastAsia="ja-JP"/>
        </w:rPr>
        <w:lastRenderedPageBreak/>
        <w:t>MenACWY</w:t>
      </w:r>
      <w:proofErr w:type="spellEnd"/>
      <w:r>
        <w:rPr>
          <w:lang w:eastAsia="ja-JP"/>
        </w:rPr>
        <w:t xml:space="preserve"> vaccine provides broad serogroup coverage (that is, for serogroups A, C, W, and Y) for vaccination against Meningococcal infection</w:t>
      </w:r>
      <w:r w:rsidR="00F74342">
        <w:rPr>
          <w:lang w:eastAsia="ja-JP"/>
        </w:rPr>
        <w:t>.</w:t>
      </w:r>
    </w:p>
    <w:p w14:paraId="4023366E" w14:textId="25923411" w:rsidR="00FB5FEA" w:rsidRDefault="0036653D" w:rsidP="0036653D">
      <w:pPr>
        <w:rPr>
          <w:lang w:eastAsia="ja-JP"/>
        </w:rPr>
      </w:pPr>
      <w:proofErr w:type="spellStart"/>
      <w:r>
        <w:rPr>
          <w:lang w:eastAsia="ja-JP"/>
        </w:rPr>
        <w:t>MenACWY</w:t>
      </w:r>
      <w:proofErr w:type="spellEnd"/>
      <w:r>
        <w:rPr>
          <w:lang w:eastAsia="ja-JP"/>
        </w:rPr>
        <w:t xml:space="preserve"> is currently registered to immunize individuals 11 years of age and over to prevent invasive disease caused by Neisseria </w:t>
      </w:r>
      <w:proofErr w:type="spellStart"/>
      <w:r>
        <w:rPr>
          <w:lang w:eastAsia="ja-JP"/>
        </w:rPr>
        <w:t>meningitidis</w:t>
      </w:r>
      <w:proofErr w:type="spellEnd"/>
      <w:r>
        <w:rPr>
          <w:lang w:eastAsia="ja-JP"/>
        </w:rPr>
        <w:t xml:space="preserve"> serogroups A, C, W135 and Y. This application proposes to extend the indication to include immunisation of infants over 2 months of age and children. The application is being submitted, following discussions between the Department of Health, TGA and GSK Australia.</w:t>
      </w:r>
    </w:p>
    <w:p w14:paraId="21EBE737" w14:textId="77777777" w:rsidR="00605AD4" w:rsidRDefault="00605AD4" w:rsidP="00605AD4">
      <w:pPr>
        <w:pStyle w:val="Heading4"/>
      </w:pPr>
      <w:r w:rsidRPr="00605AD4">
        <w:t>Guidance</w:t>
      </w:r>
    </w:p>
    <w:p w14:paraId="7211E6DE" w14:textId="77777777" w:rsidR="006571F8" w:rsidRDefault="00FB5FEA" w:rsidP="00FB5FEA">
      <w:pPr>
        <w:rPr>
          <w:lang w:eastAsia="ja-JP"/>
        </w:rPr>
      </w:pPr>
      <w:r>
        <w:rPr>
          <w:lang w:eastAsia="ja-JP"/>
        </w:rPr>
        <w:t xml:space="preserve">In contrast </w:t>
      </w:r>
      <w:r w:rsidR="00306FB2">
        <w:rPr>
          <w:lang w:eastAsia="ja-JP"/>
        </w:rPr>
        <w:t>to</w:t>
      </w:r>
      <w:r>
        <w:rPr>
          <w:lang w:eastAsia="ja-JP"/>
        </w:rPr>
        <w:t xml:space="preserve"> the </w:t>
      </w:r>
      <w:r w:rsidR="00306FB2">
        <w:rPr>
          <w:lang w:eastAsia="ja-JP"/>
        </w:rPr>
        <w:t>application</w:t>
      </w:r>
      <w:r>
        <w:rPr>
          <w:lang w:eastAsia="ja-JP"/>
        </w:rPr>
        <w:t xml:space="preserve"> for </w:t>
      </w:r>
      <w:r w:rsidR="00306FB2">
        <w:rPr>
          <w:lang w:eastAsia="ja-JP"/>
        </w:rPr>
        <w:t xml:space="preserve">use in </w:t>
      </w:r>
      <w:r>
        <w:rPr>
          <w:lang w:eastAsia="ja-JP"/>
        </w:rPr>
        <w:t xml:space="preserve">11 to 55 </w:t>
      </w:r>
      <w:r w:rsidR="00306FB2">
        <w:rPr>
          <w:lang w:eastAsia="ja-JP"/>
        </w:rPr>
        <w:t xml:space="preserve">year olds </w:t>
      </w:r>
      <w:r>
        <w:rPr>
          <w:lang w:eastAsia="ja-JP"/>
        </w:rPr>
        <w:t xml:space="preserve">which used single dose vaccination regimen, the current submission involves </w:t>
      </w:r>
      <w:proofErr w:type="spellStart"/>
      <w:r>
        <w:rPr>
          <w:lang w:eastAsia="ja-JP"/>
        </w:rPr>
        <w:t>multidose</w:t>
      </w:r>
      <w:proofErr w:type="spellEnd"/>
      <w:r>
        <w:rPr>
          <w:lang w:eastAsia="ja-JP"/>
        </w:rPr>
        <w:t xml:space="preserve"> regimens, mainly 4 dose primary vaccination in infant/toddlers. The results observed after the first of a </w:t>
      </w:r>
      <w:r w:rsidR="00306FB2">
        <w:rPr>
          <w:lang w:eastAsia="ja-JP"/>
        </w:rPr>
        <w:t>2 dose</w:t>
      </w:r>
      <w:r>
        <w:rPr>
          <w:lang w:eastAsia="ja-JP"/>
        </w:rPr>
        <w:t xml:space="preserve"> infant/toddler series in studies V59P7 and V59P9 indicated that an additional dose would provide a substantial increase in the proportion of subjects achieving </w:t>
      </w:r>
      <w:proofErr w:type="spellStart"/>
      <w:r>
        <w:rPr>
          <w:lang w:eastAsia="ja-JP"/>
        </w:rPr>
        <w:t>hSBA</w:t>
      </w:r>
      <w:proofErr w:type="spellEnd"/>
      <w:r>
        <w:rPr>
          <w:lang w:eastAsia="ja-JP"/>
        </w:rPr>
        <w:t xml:space="preserve"> </w:t>
      </w:r>
      <w:r w:rsidR="00B07393">
        <w:rPr>
          <w:lang w:eastAsia="ja-JP"/>
        </w:rPr>
        <w:t xml:space="preserve">≥ </w:t>
      </w:r>
      <w:r>
        <w:rPr>
          <w:lang w:eastAsia="ja-JP"/>
        </w:rPr>
        <w:t>1:8 and in the short-term persiste</w:t>
      </w:r>
      <w:r w:rsidR="006571F8">
        <w:rPr>
          <w:lang w:eastAsia="ja-JP"/>
        </w:rPr>
        <w:t>nce of bactericidal antibodies.</w:t>
      </w:r>
    </w:p>
    <w:p w14:paraId="33D2D433" w14:textId="77777777" w:rsidR="00306FB2" w:rsidRDefault="00FB5FEA" w:rsidP="00FB5FEA">
      <w:pPr>
        <w:rPr>
          <w:lang w:eastAsia="ja-JP"/>
        </w:rPr>
      </w:pPr>
      <w:r>
        <w:rPr>
          <w:lang w:eastAsia="ja-JP"/>
        </w:rPr>
        <w:t xml:space="preserve">Based on these considerations and a </w:t>
      </w:r>
      <w:r w:rsidR="00306FB2">
        <w:rPr>
          <w:lang w:eastAsia="ja-JP"/>
        </w:rPr>
        <w:t>Phase II</w:t>
      </w:r>
      <w:r>
        <w:rPr>
          <w:lang w:eastAsia="ja-JP"/>
        </w:rPr>
        <w:t xml:space="preserve"> study specifically examining immunogenicity in infants (V59P5) it was decided that the proposed primary regimen for young infants would be a </w:t>
      </w:r>
      <w:r w:rsidR="00306FB2">
        <w:rPr>
          <w:lang w:eastAsia="ja-JP"/>
        </w:rPr>
        <w:t>4 dose</w:t>
      </w:r>
      <w:r>
        <w:rPr>
          <w:lang w:eastAsia="ja-JP"/>
        </w:rPr>
        <w:t xml:space="preserve"> schedule at 2, 4, and 6 months of age, with a fourth dose to be administered in the second year of life, and that the proposed catch-up dosing regimen for immunologically naïve older infants </w:t>
      </w:r>
      <w:r w:rsidR="00B07393">
        <w:rPr>
          <w:lang w:eastAsia="ja-JP"/>
        </w:rPr>
        <w:t xml:space="preserve">≥ </w:t>
      </w:r>
      <w:r>
        <w:rPr>
          <w:lang w:eastAsia="ja-JP"/>
        </w:rPr>
        <w:t>6 months of age would be 2 doses, separated by at least 2 months, with the second dose gi</w:t>
      </w:r>
      <w:r w:rsidR="00306FB2">
        <w:rPr>
          <w:lang w:eastAsia="ja-JP"/>
        </w:rPr>
        <w:t>ven in the second year of life.</w:t>
      </w:r>
    </w:p>
    <w:p w14:paraId="3A23849D" w14:textId="77777777" w:rsidR="00FB5FEA" w:rsidRDefault="00306FB2" w:rsidP="00FB5FEA">
      <w:pPr>
        <w:rPr>
          <w:lang w:eastAsia="ja-JP"/>
        </w:rPr>
      </w:pPr>
      <w:r>
        <w:rPr>
          <w:lang w:eastAsia="ja-JP"/>
        </w:rPr>
        <w:t>There is no change in formulation.</w:t>
      </w:r>
    </w:p>
    <w:p w14:paraId="7FA35DF0" w14:textId="77777777" w:rsidR="00605AD4" w:rsidRDefault="00605AD4" w:rsidP="00605AD4">
      <w:pPr>
        <w:pStyle w:val="Heading4"/>
      </w:pPr>
      <w:r w:rsidRPr="00605AD4">
        <w:t>Contents of the clinical dossier</w:t>
      </w:r>
    </w:p>
    <w:p w14:paraId="3957B766" w14:textId="77777777" w:rsidR="008D61CF" w:rsidRPr="00A55675" w:rsidRDefault="008D61CF" w:rsidP="008D61CF">
      <w:pPr>
        <w:pStyle w:val="ListBullet"/>
        <w:numPr>
          <w:ilvl w:val="0"/>
          <w:numId w:val="3"/>
        </w:numPr>
      </w:pPr>
      <w:r>
        <w:t>3 d</w:t>
      </w:r>
      <w:r w:rsidRPr="00A55675">
        <w:t>ose-finding</w:t>
      </w:r>
      <w:r>
        <w:t>/supportive</w:t>
      </w:r>
      <w:r w:rsidRPr="00A55675">
        <w:t xml:space="preserve"> studies.</w:t>
      </w:r>
    </w:p>
    <w:p w14:paraId="75239D97" w14:textId="77777777" w:rsidR="008D61CF" w:rsidRPr="00A55675" w:rsidRDefault="008D61CF" w:rsidP="008D61CF">
      <w:pPr>
        <w:pStyle w:val="ListBullet"/>
        <w:numPr>
          <w:ilvl w:val="0"/>
          <w:numId w:val="3"/>
        </w:numPr>
      </w:pPr>
      <w:r>
        <w:t>5 p</w:t>
      </w:r>
      <w:r w:rsidRPr="00A55675">
        <w:t>ivotal efficacy/safety studies.</w:t>
      </w:r>
    </w:p>
    <w:p w14:paraId="7261AC61" w14:textId="77777777" w:rsidR="008D61CF" w:rsidRDefault="008D61CF" w:rsidP="008D61CF">
      <w:pPr>
        <w:pStyle w:val="ListBullet"/>
        <w:numPr>
          <w:ilvl w:val="0"/>
          <w:numId w:val="3"/>
        </w:numPr>
      </w:pPr>
      <w:r>
        <w:t>1 o</w:t>
      </w:r>
      <w:r w:rsidRPr="00A55675">
        <w:t>ther efficacy/safety studies.</w:t>
      </w:r>
    </w:p>
    <w:p w14:paraId="45CDB814" w14:textId="77777777" w:rsidR="00FB5FEA" w:rsidRDefault="00FB5FEA" w:rsidP="00C3388F">
      <w:pPr>
        <w:pStyle w:val="ListBullet"/>
        <w:numPr>
          <w:ilvl w:val="0"/>
          <w:numId w:val="0"/>
        </w:numPr>
        <w:rPr>
          <w:lang w:eastAsia="ja-JP"/>
        </w:rPr>
      </w:pPr>
      <w:r w:rsidRPr="008829D3">
        <w:rPr>
          <w:lang w:eastAsia="ja-JP"/>
        </w:rPr>
        <w:t>The dossier documented a development program of dose-finding, pivotal and other clinical trials relating to the proposed extension of indications.</w:t>
      </w:r>
    </w:p>
    <w:p w14:paraId="001BAFD6" w14:textId="77777777" w:rsidR="00FB5FEA" w:rsidRDefault="00FB5FEA" w:rsidP="00FB5FEA">
      <w:pPr>
        <w:rPr>
          <w:lang w:eastAsia="ja-JP"/>
        </w:rPr>
      </w:pPr>
      <w:r>
        <w:rPr>
          <w:lang w:eastAsia="ja-JP"/>
        </w:rPr>
        <w:t>Clinical data is provided to support 2 specific age groups:</w:t>
      </w:r>
    </w:p>
    <w:p w14:paraId="41354CAE" w14:textId="77777777" w:rsidR="00FB5FEA" w:rsidRDefault="00FB5FEA" w:rsidP="008D61CF">
      <w:pPr>
        <w:pStyle w:val="ListBullet"/>
        <w:rPr>
          <w:lang w:eastAsia="ja-JP"/>
        </w:rPr>
      </w:pPr>
      <w:r>
        <w:rPr>
          <w:lang w:eastAsia="ja-JP"/>
        </w:rPr>
        <w:t>Infants/toddlers: 2 months to 23 months of age</w:t>
      </w:r>
    </w:p>
    <w:p w14:paraId="34CB81EF" w14:textId="77777777" w:rsidR="00FB5FEA" w:rsidRDefault="00FB5FEA" w:rsidP="008D61CF">
      <w:pPr>
        <w:pStyle w:val="ListBullet"/>
        <w:rPr>
          <w:lang w:eastAsia="ja-JP"/>
        </w:rPr>
      </w:pPr>
      <w:r>
        <w:rPr>
          <w:lang w:eastAsia="ja-JP"/>
        </w:rPr>
        <w:t xml:space="preserve">Children: </w:t>
      </w:r>
      <w:r w:rsidR="006571F8">
        <w:rPr>
          <w:lang w:eastAsia="ja-JP"/>
        </w:rPr>
        <w:t>2 to 10</w:t>
      </w:r>
      <w:r>
        <w:rPr>
          <w:lang w:eastAsia="ja-JP"/>
        </w:rPr>
        <w:t xml:space="preserve"> years of age</w:t>
      </w:r>
    </w:p>
    <w:p w14:paraId="7E448410" w14:textId="77777777" w:rsidR="00FB5FEA" w:rsidRPr="000F1EE0" w:rsidRDefault="00FB5FEA" w:rsidP="008D61CF">
      <w:pPr>
        <w:pStyle w:val="Heading5"/>
        <w:rPr>
          <w:lang w:eastAsia="ja-JP"/>
        </w:rPr>
      </w:pPr>
      <w:r w:rsidRPr="000F1EE0">
        <w:rPr>
          <w:lang w:eastAsia="ja-JP"/>
        </w:rPr>
        <w:t>Infants</w:t>
      </w:r>
      <w:r>
        <w:rPr>
          <w:lang w:eastAsia="ja-JP"/>
        </w:rPr>
        <w:t>/toddlers</w:t>
      </w:r>
      <w:r w:rsidRPr="000F1EE0">
        <w:rPr>
          <w:lang w:eastAsia="ja-JP"/>
        </w:rPr>
        <w:t>:</w:t>
      </w:r>
    </w:p>
    <w:p w14:paraId="258B5CA4" w14:textId="77777777" w:rsidR="00FB5FEA" w:rsidRDefault="00FB5FEA" w:rsidP="00FB5FEA">
      <w:pPr>
        <w:rPr>
          <w:lang w:eastAsia="ja-JP"/>
        </w:rPr>
      </w:pPr>
      <w:r>
        <w:rPr>
          <w:lang w:eastAsia="ja-JP"/>
        </w:rPr>
        <w:t>The pivotal immunogenicity and safety studies supporting this age group are:</w:t>
      </w:r>
    </w:p>
    <w:p w14:paraId="6E6DB8BF" w14:textId="77777777" w:rsidR="00FB5FEA" w:rsidRDefault="00FB5FEA" w:rsidP="008D61CF">
      <w:pPr>
        <w:pStyle w:val="Numberbullet2"/>
        <w:rPr>
          <w:lang w:eastAsia="ja-JP"/>
        </w:rPr>
      </w:pPr>
      <w:r>
        <w:rPr>
          <w:lang w:eastAsia="ja-JP"/>
        </w:rPr>
        <w:t xml:space="preserve">V59P14 and V59_33 supporting a </w:t>
      </w:r>
      <w:r w:rsidR="00306FB2">
        <w:rPr>
          <w:lang w:eastAsia="ja-JP"/>
        </w:rPr>
        <w:t>4 dose</w:t>
      </w:r>
      <w:r>
        <w:rPr>
          <w:lang w:eastAsia="ja-JP"/>
        </w:rPr>
        <w:t xml:space="preserve"> series infant schedule, </w:t>
      </w:r>
    </w:p>
    <w:p w14:paraId="025567EF" w14:textId="77777777" w:rsidR="00FB5FEA" w:rsidRDefault="00FB5FEA" w:rsidP="008D61CF">
      <w:pPr>
        <w:pStyle w:val="Numberbullet2"/>
        <w:rPr>
          <w:lang w:eastAsia="ja-JP"/>
        </w:rPr>
      </w:pPr>
      <w:r>
        <w:rPr>
          <w:lang w:eastAsia="ja-JP"/>
        </w:rPr>
        <w:t xml:space="preserve">V59P21 supporting a </w:t>
      </w:r>
      <w:r w:rsidR="00306FB2">
        <w:rPr>
          <w:lang w:eastAsia="ja-JP"/>
        </w:rPr>
        <w:t>2 dose</w:t>
      </w:r>
      <w:r>
        <w:rPr>
          <w:lang w:eastAsia="ja-JP"/>
        </w:rPr>
        <w:t xml:space="preserve"> series in children over 6 months of age who did not receive a </w:t>
      </w:r>
      <w:r w:rsidR="00306FB2">
        <w:rPr>
          <w:lang w:eastAsia="ja-JP"/>
        </w:rPr>
        <w:t>4 dose</w:t>
      </w:r>
      <w:r>
        <w:rPr>
          <w:lang w:eastAsia="ja-JP"/>
        </w:rPr>
        <w:t xml:space="preserve"> schedule, </w:t>
      </w:r>
    </w:p>
    <w:p w14:paraId="2180E8B5" w14:textId="77777777" w:rsidR="00FB5FEA" w:rsidRDefault="006571F8" w:rsidP="008D61CF">
      <w:pPr>
        <w:pStyle w:val="Numberbullet2"/>
        <w:rPr>
          <w:lang w:eastAsia="ja-JP"/>
        </w:rPr>
      </w:pPr>
      <w:r>
        <w:rPr>
          <w:lang w:eastAsia="ja-JP"/>
        </w:rPr>
        <w:t>P</w:t>
      </w:r>
      <w:r w:rsidR="00FB5FEA">
        <w:rPr>
          <w:lang w:eastAsia="ja-JP"/>
        </w:rPr>
        <w:t xml:space="preserve">ivotal safety </w:t>
      </w:r>
      <w:r>
        <w:rPr>
          <w:lang w:eastAsia="ja-JP"/>
        </w:rPr>
        <w:t>Study V59</w:t>
      </w:r>
      <w:r w:rsidR="00FB5FEA">
        <w:rPr>
          <w:lang w:eastAsia="ja-JP"/>
        </w:rPr>
        <w:t xml:space="preserve">P23 in children receiving a </w:t>
      </w:r>
      <w:r w:rsidR="00306FB2">
        <w:rPr>
          <w:lang w:eastAsia="ja-JP"/>
        </w:rPr>
        <w:t>4 dose</w:t>
      </w:r>
      <w:r w:rsidR="00FB5FEA">
        <w:rPr>
          <w:lang w:eastAsia="ja-JP"/>
        </w:rPr>
        <w:t xml:space="preserve"> series concomitantly with routine infant toddler vaccines.</w:t>
      </w:r>
    </w:p>
    <w:p w14:paraId="696C3A06" w14:textId="77777777" w:rsidR="00FB5FEA" w:rsidRDefault="00FB5FEA" w:rsidP="008D61CF">
      <w:pPr>
        <w:pStyle w:val="Heading5"/>
        <w:rPr>
          <w:lang w:eastAsia="ja-JP"/>
        </w:rPr>
      </w:pPr>
      <w:r>
        <w:rPr>
          <w:lang w:eastAsia="ja-JP"/>
        </w:rPr>
        <w:t>Children</w:t>
      </w:r>
    </w:p>
    <w:p w14:paraId="77FAF9F4" w14:textId="43DEF056" w:rsidR="00FB5FEA" w:rsidRDefault="00FB5FEA" w:rsidP="00FB5FEA">
      <w:pPr>
        <w:rPr>
          <w:lang w:eastAsia="ja-JP"/>
        </w:rPr>
      </w:pPr>
      <w:r>
        <w:rPr>
          <w:lang w:eastAsia="ja-JP"/>
        </w:rPr>
        <w:t xml:space="preserve">V59P20: safety and efficacy study for </w:t>
      </w:r>
      <w:r w:rsidR="00B21C71">
        <w:rPr>
          <w:lang w:eastAsia="ja-JP"/>
        </w:rPr>
        <w:t>1 or 2</w:t>
      </w:r>
      <w:r>
        <w:rPr>
          <w:lang w:eastAsia="ja-JP"/>
        </w:rPr>
        <w:t xml:space="preserve"> dose regimens in children </w:t>
      </w:r>
      <w:r w:rsidR="00746C7F">
        <w:rPr>
          <w:lang w:eastAsia="ja-JP"/>
        </w:rPr>
        <w:t>2 to 10</w:t>
      </w:r>
      <w:r>
        <w:rPr>
          <w:lang w:eastAsia="ja-JP"/>
        </w:rPr>
        <w:t xml:space="preserve"> years.</w:t>
      </w:r>
    </w:p>
    <w:p w14:paraId="7253F68E" w14:textId="77777777" w:rsidR="00605AD4" w:rsidRDefault="00605AD4" w:rsidP="00605AD4">
      <w:pPr>
        <w:pStyle w:val="Heading4"/>
      </w:pPr>
      <w:r w:rsidRPr="00605AD4">
        <w:t>Paediatric data</w:t>
      </w:r>
    </w:p>
    <w:p w14:paraId="1A269B9A" w14:textId="77777777" w:rsidR="00FB5FEA" w:rsidRDefault="00FB5FEA" w:rsidP="00FB5FEA">
      <w:pPr>
        <w:rPr>
          <w:lang w:eastAsia="ja-JP"/>
        </w:rPr>
      </w:pPr>
      <w:r>
        <w:rPr>
          <w:lang w:eastAsia="ja-JP"/>
        </w:rPr>
        <w:t>All the studies included in this submission are paediatric.</w:t>
      </w:r>
    </w:p>
    <w:p w14:paraId="562C19B8" w14:textId="77777777" w:rsidR="00605AD4" w:rsidRDefault="00605AD4" w:rsidP="00605AD4">
      <w:pPr>
        <w:pStyle w:val="Heading4"/>
      </w:pPr>
      <w:r w:rsidRPr="00605AD4">
        <w:lastRenderedPageBreak/>
        <w:t>Good clinical practice</w:t>
      </w:r>
      <w:r w:rsidR="006571F8">
        <w:t xml:space="preserve"> (GCP)</w:t>
      </w:r>
    </w:p>
    <w:p w14:paraId="74E37937" w14:textId="344DCBD9" w:rsidR="00FB5FEA" w:rsidRDefault="00FB5FEA" w:rsidP="00FB5FEA">
      <w:pPr>
        <w:rPr>
          <w:lang w:eastAsia="ja-JP"/>
        </w:rPr>
      </w:pPr>
      <w:r>
        <w:rPr>
          <w:lang w:eastAsia="ja-JP"/>
        </w:rPr>
        <w:t xml:space="preserve">During the original review of the data </w:t>
      </w:r>
      <w:r w:rsidR="006571F8">
        <w:rPr>
          <w:lang w:eastAsia="ja-JP"/>
        </w:rPr>
        <w:t xml:space="preserve">collected </w:t>
      </w:r>
      <w:r>
        <w:rPr>
          <w:lang w:eastAsia="ja-JP"/>
        </w:rPr>
        <w:t xml:space="preserve">in the US, the TGA had some concerns with the conduct of </w:t>
      </w:r>
      <w:r w:rsidRPr="00681B2D">
        <w:rPr>
          <w:lang w:eastAsia="ja-JP"/>
        </w:rPr>
        <w:t>Studies V59P14, V59P21, and US sites in V59P23</w:t>
      </w:r>
      <w:r>
        <w:rPr>
          <w:lang w:eastAsia="ja-JP"/>
        </w:rPr>
        <w:t xml:space="preserve">. These related mainly to the manner of collection some of the safety data that allowed for reconstruction, as there were no time frames set for the recollection and documentation of the data (collected in diaries). Following this, there was an extensive effort by the applicant to verify the reliability of the safety data. They also identified a site at which GCP had not been applied (and so this site was excluded from all analysis). Also, initially immunogenicity evaluations were not blinded for Study </w:t>
      </w:r>
      <w:r w:rsidR="00B21C71">
        <w:rPr>
          <w:lang w:eastAsia="ja-JP"/>
        </w:rPr>
        <w:t>V59P14</w:t>
      </w:r>
      <w:r>
        <w:rPr>
          <w:lang w:eastAsia="ja-JP"/>
        </w:rPr>
        <w:t>. After discussions, remaining serum samples were re-tested in a blinded manner and the applicant found concordance with the previous assay results.</w:t>
      </w:r>
    </w:p>
    <w:p w14:paraId="55AE16DC" w14:textId="77777777" w:rsidR="008E7846" w:rsidRDefault="008E7846" w:rsidP="00605AD4">
      <w:pPr>
        <w:pStyle w:val="Heading3"/>
      </w:pPr>
      <w:bookmarkStart w:id="48" w:name="_Toc511377347"/>
      <w:r w:rsidRPr="00254787">
        <w:t>Pharmacokinetics</w:t>
      </w:r>
      <w:bookmarkEnd w:id="39"/>
      <w:bookmarkEnd w:id="45"/>
      <w:bookmarkEnd w:id="46"/>
      <w:bookmarkEnd w:id="47"/>
      <w:bookmarkEnd w:id="48"/>
    </w:p>
    <w:p w14:paraId="12AFD4B6" w14:textId="77777777" w:rsidR="00605AD4" w:rsidRPr="00FB2770" w:rsidRDefault="00FB5FEA" w:rsidP="00FB5FEA">
      <w:r>
        <w:t>No new studies submitted.</w:t>
      </w:r>
    </w:p>
    <w:p w14:paraId="7E7FF4F9" w14:textId="77777777" w:rsidR="008E7846" w:rsidRDefault="008E7846" w:rsidP="008E7846">
      <w:pPr>
        <w:pStyle w:val="Heading3"/>
      </w:pPr>
      <w:bookmarkStart w:id="49" w:name="_Toc196046481"/>
      <w:bookmarkStart w:id="50" w:name="_Toc247691520"/>
      <w:bookmarkStart w:id="51" w:name="_Toc314842503"/>
      <w:bookmarkStart w:id="52" w:name="_Toc511377348"/>
      <w:r w:rsidRPr="00254787">
        <w:t>Pharmacodynamics</w:t>
      </w:r>
      <w:bookmarkEnd w:id="40"/>
      <w:bookmarkEnd w:id="49"/>
      <w:bookmarkEnd w:id="50"/>
      <w:bookmarkEnd w:id="51"/>
      <w:bookmarkEnd w:id="52"/>
    </w:p>
    <w:p w14:paraId="0DE5F0C4" w14:textId="77777777" w:rsidR="00FB5FEA" w:rsidRDefault="00FB5FEA" w:rsidP="00FB5FEA">
      <w:pPr>
        <w:rPr>
          <w:lang w:eastAsia="ja-JP"/>
        </w:rPr>
      </w:pPr>
      <w:r>
        <w:rPr>
          <w:lang w:eastAsia="ja-JP"/>
        </w:rPr>
        <w:t>For vaccination studies, pharmacodynamics is generally measured in terms of immunogenicity.</w:t>
      </w:r>
    </w:p>
    <w:p w14:paraId="49524FDE" w14:textId="77777777" w:rsidR="008E7846" w:rsidRDefault="00605AD4" w:rsidP="00605AD4">
      <w:pPr>
        <w:pStyle w:val="Heading3"/>
      </w:pPr>
      <w:bookmarkStart w:id="53" w:name="_Toc511377349"/>
      <w:r>
        <w:t>Dosage selection for the pivotal studies</w:t>
      </w:r>
      <w:bookmarkEnd w:id="53"/>
    </w:p>
    <w:p w14:paraId="75CEC81E" w14:textId="77777777" w:rsidR="00FB5FEA" w:rsidRDefault="00FB5FEA" w:rsidP="00FB5FEA">
      <w:pPr>
        <w:rPr>
          <w:lang w:eastAsia="ja-JP"/>
        </w:rPr>
      </w:pPr>
      <w:r>
        <w:rPr>
          <w:lang w:eastAsia="ja-JP"/>
        </w:rPr>
        <w:t xml:space="preserve">Dosage per vaccination is unchanged. Previous submissions of this vaccine for individuals 11 to 55 years of age used single dose vaccination </w:t>
      </w:r>
      <w:r w:rsidR="007F4D43">
        <w:rPr>
          <w:lang w:eastAsia="ja-JP"/>
        </w:rPr>
        <w:t>regimens;</w:t>
      </w:r>
      <w:r>
        <w:rPr>
          <w:lang w:eastAsia="ja-JP"/>
        </w:rPr>
        <w:t xml:space="preserve"> the current submission involves </w:t>
      </w:r>
      <w:proofErr w:type="spellStart"/>
      <w:r>
        <w:rPr>
          <w:lang w:eastAsia="ja-JP"/>
        </w:rPr>
        <w:t>multidose</w:t>
      </w:r>
      <w:proofErr w:type="spellEnd"/>
      <w:r>
        <w:rPr>
          <w:lang w:eastAsia="ja-JP"/>
        </w:rPr>
        <w:t xml:space="preserve"> regimens. Experience with other infant vaccinations created a precedent and an expectation that multiple doses of inactivated vaccines would be required to induce adequate antibody responses in infants. Subsequently, the results observed after the first of a </w:t>
      </w:r>
      <w:r w:rsidR="00306FB2">
        <w:rPr>
          <w:lang w:eastAsia="ja-JP"/>
        </w:rPr>
        <w:t>2 dose</w:t>
      </w:r>
      <w:r>
        <w:rPr>
          <w:lang w:eastAsia="ja-JP"/>
        </w:rPr>
        <w:t xml:space="preserve"> infant/toddler series in </w:t>
      </w:r>
      <w:r w:rsidR="006571F8">
        <w:rPr>
          <w:lang w:eastAsia="ja-JP"/>
        </w:rPr>
        <w:t>S</w:t>
      </w:r>
      <w:r>
        <w:rPr>
          <w:lang w:eastAsia="ja-JP"/>
        </w:rPr>
        <w:t xml:space="preserve">tudies V59P7 and V59P9 indicated that an additional dose would provide a substantial increase in the proportion of subjects achieving </w:t>
      </w:r>
      <w:proofErr w:type="spellStart"/>
      <w:r>
        <w:rPr>
          <w:lang w:eastAsia="ja-JP"/>
        </w:rPr>
        <w:t>hSBA</w:t>
      </w:r>
      <w:proofErr w:type="spellEnd"/>
      <w:r>
        <w:rPr>
          <w:lang w:eastAsia="ja-JP"/>
        </w:rPr>
        <w:t xml:space="preserve"> </w:t>
      </w:r>
      <w:r w:rsidR="00B07393">
        <w:rPr>
          <w:lang w:eastAsia="ja-JP"/>
        </w:rPr>
        <w:t xml:space="preserve">≥ </w:t>
      </w:r>
      <w:r>
        <w:rPr>
          <w:lang w:eastAsia="ja-JP"/>
        </w:rPr>
        <w:t xml:space="preserve">1:8 and in the short-term persistence of bactericidal antibodies. Based on these considerations and a </w:t>
      </w:r>
      <w:r w:rsidR="00306FB2">
        <w:rPr>
          <w:lang w:eastAsia="ja-JP"/>
        </w:rPr>
        <w:t>Phase II</w:t>
      </w:r>
      <w:r>
        <w:rPr>
          <w:lang w:eastAsia="ja-JP"/>
        </w:rPr>
        <w:t xml:space="preserve"> study specifically examining immunogenicity in infants (V59P5), it was decided that the proposed primary regimen for young infants would be a </w:t>
      </w:r>
      <w:r w:rsidR="00306FB2">
        <w:rPr>
          <w:lang w:eastAsia="ja-JP"/>
        </w:rPr>
        <w:t>4 dose</w:t>
      </w:r>
      <w:r>
        <w:rPr>
          <w:lang w:eastAsia="ja-JP"/>
        </w:rPr>
        <w:t xml:space="preserve"> schedule at 2, 4, and 6 months of age, with a fourth dose to be administered in the second year of life</w:t>
      </w:r>
      <w:r w:rsidR="006571F8">
        <w:rPr>
          <w:lang w:eastAsia="ja-JP"/>
        </w:rPr>
        <w:t>. T</w:t>
      </w:r>
      <w:r>
        <w:rPr>
          <w:lang w:eastAsia="ja-JP"/>
        </w:rPr>
        <w:t xml:space="preserve">he proposed catch-up dosing regimen for immunologically naïve older infants </w:t>
      </w:r>
      <w:r w:rsidR="007F4D43">
        <w:rPr>
          <w:lang w:eastAsia="ja-JP"/>
        </w:rPr>
        <w:t>(</w:t>
      </w:r>
      <w:r w:rsidR="00B07393">
        <w:rPr>
          <w:lang w:eastAsia="ja-JP"/>
        </w:rPr>
        <w:t xml:space="preserve">≥ </w:t>
      </w:r>
      <w:r>
        <w:rPr>
          <w:lang w:eastAsia="ja-JP"/>
        </w:rPr>
        <w:t>6 months of age</w:t>
      </w:r>
      <w:r w:rsidR="007F4D43">
        <w:rPr>
          <w:lang w:eastAsia="ja-JP"/>
        </w:rPr>
        <w:t>)</w:t>
      </w:r>
      <w:r>
        <w:rPr>
          <w:lang w:eastAsia="ja-JP"/>
        </w:rPr>
        <w:t xml:space="preserve"> would be 2 doses, separated by at least 2 months, with the second dose given in the second year of life.</w:t>
      </w:r>
    </w:p>
    <w:p w14:paraId="18E02A40" w14:textId="77777777" w:rsidR="008E7846" w:rsidRPr="00254787" w:rsidRDefault="008E7846" w:rsidP="008E7846">
      <w:pPr>
        <w:pStyle w:val="Heading3"/>
      </w:pPr>
      <w:bookmarkStart w:id="54" w:name="_Toc163441372"/>
      <w:bookmarkStart w:id="55" w:name="_Toc196046485"/>
      <w:bookmarkStart w:id="56" w:name="_Toc247691521"/>
      <w:bookmarkStart w:id="57" w:name="_Toc314842504"/>
      <w:bookmarkStart w:id="58" w:name="_Toc511377350"/>
      <w:r w:rsidRPr="00254787">
        <w:t>Efficacy</w:t>
      </w:r>
      <w:bookmarkEnd w:id="54"/>
      <w:bookmarkEnd w:id="55"/>
      <w:bookmarkEnd w:id="56"/>
      <w:bookmarkEnd w:id="57"/>
      <w:bookmarkEnd w:id="58"/>
    </w:p>
    <w:p w14:paraId="6AC19CC2" w14:textId="77777777" w:rsidR="00605AD4" w:rsidRDefault="00605AD4" w:rsidP="00605AD4">
      <w:pPr>
        <w:pStyle w:val="Heading4"/>
      </w:pPr>
      <w:bookmarkStart w:id="59" w:name="_Toc184439992"/>
      <w:bookmarkStart w:id="60" w:name="_Toc184440279"/>
      <w:bookmarkStart w:id="61" w:name="_Toc184444657"/>
      <w:bookmarkStart w:id="62" w:name="_Toc196046487"/>
      <w:r>
        <w:t>Studies providing efficacy data</w:t>
      </w:r>
    </w:p>
    <w:p w14:paraId="20A7B192" w14:textId="77777777" w:rsidR="00FB5FEA" w:rsidRDefault="00FB5FEA" w:rsidP="00FB5FEA">
      <w:pPr>
        <w:rPr>
          <w:lang w:eastAsia="ja-JP"/>
        </w:rPr>
      </w:pPr>
      <w:r>
        <w:rPr>
          <w:lang w:eastAsia="ja-JP"/>
        </w:rPr>
        <w:t xml:space="preserve">The studies submitted in this dossier include pivotal immunogenicity and safety studies in infants and toddlers &lt;2 years are V59P14, V59_33, V59P21, and pivotal safety </w:t>
      </w:r>
      <w:r w:rsidR="006571F8">
        <w:rPr>
          <w:lang w:eastAsia="ja-JP"/>
        </w:rPr>
        <w:t>Study V59</w:t>
      </w:r>
      <w:r>
        <w:rPr>
          <w:lang w:eastAsia="ja-JP"/>
        </w:rPr>
        <w:t xml:space="preserve">P23 and supportive studies V59P5, V59P7, V59P8 (safety only), and V59P9. These are summarised in </w:t>
      </w:r>
      <w:r w:rsidR="00746C7F">
        <w:rPr>
          <w:lang w:eastAsia="ja-JP"/>
        </w:rPr>
        <w:t>a table (see Attachment 2).</w:t>
      </w:r>
      <w:r>
        <w:rPr>
          <w:lang w:eastAsia="ja-JP"/>
        </w:rPr>
        <w:t xml:space="preserve"> The pivotal immunogenicity and safety study supporting the 2</w:t>
      </w:r>
      <w:r w:rsidR="00746C7F">
        <w:rPr>
          <w:lang w:eastAsia="ja-JP"/>
        </w:rPr>
        <w:t xml:space="preserve"> to</w:t>
      </w:r>
      <w:r>
        <w:rPr>
          <w:lang w:eastAsia="ja-JP"/>
        </w:rPr>
        <w:t xml:space="preserve">10 year age group is </w:t>
      </w:r>
      <w:r w:rsidR="006571F8">
        <w:rPr>
          <w:lang w:eastAsia="ja-JP"/>
        </w:rPr>
        <w:t>Study V59</w:t>
      </w:r>
      <w:r>
        <w:rPr>
          <w:lang w:eastAsia="ja-JP"/>
        </w:rPr>
        <w:t xml:space="preserve">P20 a </w:t>
      </w:r>
      <w:r w:rsidR="00746C7F">
        <w:rPr>
          <w:lang w:eastAsia="ja-JP"/>
        </w:rPr>
        <w:t>Phase III</w:t>
      </w:r>
      <w:r>
        <w:rPr>
          <w:lang w:eastAsia="ja-JP"/>
        </w:rPr>
        <w:t xml:space="preserve">, </w:t>
      </w:r>
      <w:r w:rsidR="00746C7F">
        <w:rPr>
          <w:lang w:eastAsia="ja-JP"/>
        </w:rPr>
        <w:t>randomised</w:t>
      </w:r>
      <w:r>
        <w:rPr>
          <w:lang w:eastAsia="ja-JP"/>
        </w:rPr>
        <w:t xml:space="preserve">, observer-blind, multicentre study conducted in the US and Canada in children </w:t>
      </w:r>
      <w:r w:rsidR="00746C7F">
        <w:rPr>
          <w:lang w:eastAsia="ja-JP"/>
        </w:rPr>
        <w:t>2 to 10</w:t>
      </w:r>
      <w:r>
        <w:rPr>
          <w:lang w:eastAsia="ja-JP"/>
        </w:rPr>
        <w:t xml:space="preserve"> years of age to compare the safety and immunogenicity of </w:t>
      </w:r>
      <w:proofErr w:type="spellStart"/>
      <w:r>
        <w:rPr>
          <w:lang w:eastAsia="ja-JP"/>
        </w:rPr>
        <w:t>MenACWY</w:t>
      </w:r>
      <w:proofErr w:type="spellEnd"/>
      <w:r>
        <w:rPr>
          <w:lang w:eastAsia="ja-JP"/>
        </w:rPr>
        <w:t xml:space="preserve"> with </w:t>
      </w:r>
      <w:proofErr w:type="spellStart"/>
      <w:r>
        <w:rPr>
          <w:lang w:eastAsia="ja-JP"/>
        </w:rPr>
        <w:t>Menactra</w:t>
      </w:r>
      <w:proofErr w:type="spellEnd"/>
      <w:r>
        <w:rPr>
          <w:lang w:eastAsia="ja-JP"/>
        </w:rPr>
        <w:t>.</w:t>
      </w:r>
    </w:p>
    <w:p w14:paraId="5C53E183" w14:textId="77777777" w:rsidR="008E7846" w:rsidRDefault="00605AD4" w:rsidP="00605AD4">
      <w:pPr>
        <w:pStyle w:val="Heading4"/>
      </w:pPr>
      <w:r>
        <w:lastRenderedPageBreak/>
        <w:t>Evaluator’s conclusions on efficacy</w:t>
      </w:r>
    </w:p>
    <w:p w14:paraId="18FF56A1" w14:textId="77777777" w:rsidR="00CB1F4E" w:rsidRDefault="00CB1F4E" w:rsidP="00CB1F4E">
      <w:pPr>
        <w:rPr>
          <w:lang w:eastAsia="ja-JP"/>
        </w:rPr>
      </w:pPr>
      <w:r>
        <w:rPr>
          <w:lang w:eastAsia="ja-JP"/>
        </w:rPr>
        <w:t xml:space="preserve">Overall, the data presented above support the claim that </w:t>
      </w:r>
      <w:proofErr w:type="spellStart"/>
      <w:r>
        <w:rPr>
          <w:lang w:eastAsia="ja-JP"/>
        </w:rPr>
        <w:t>MenACWY</w:t>
      </w:r>
      <w:proofErr w:type="spellEnd"/>
      <w:r>
        <w:rPr>
          <w:lang w:eastAsia="ja-JP"/>
        </w:rPr>
        <w:t xml:space="preserve"> is highly immunogenic in the infant/toddler population; specifically, the </w:t>
      </w:r>
      <w:r w:rsidR="00306FB2">
        <w:rPr>
          <w:lang w:eastAsia="ja-JP"/>
        </w:rPr>
        <w:t>4 dose</w:t>
      </w:r>
      <w:r>
        <w:rPr>
          <w:lang w:eastAsia="ja-JP"/>
        </w:rPr>
        <w:t xml:space="preserve"> series proposed for licensure within this application (the first 3 doses at 2, 4, and 6 months of age and a fourth dose in the second year of life) meets the adequacy of immune response criteria predefined by Novartis (GSK) in accordance with feedback obtained from </w:t>
      </w:r>
      <w:proofErr w:type="spellStart"/>
      <w:r w:rsidR="00CC4471" w:rsidRPr="00CD37FB">
        <w:t>Center</w:t>
      </w:r>
      <w:proofErr w:type="spellEnd"/>
      <w:r w:rsidR="00CC4471" w:rsidRPr="00CD37FB">
        <w:t xml:space="preserve"> for Biologics Evaluation and Research</w:t>
      </w:r>
      <w:r w:rsidR="00CC4471">
        <w:rPr>
          <w:lang w:eastAsia="ja-JP"/>
        </w:rPr>
        <w:t xml:space="preserve"> (</w:t>
      </w:r>
      <w:r>
        <w:rPr>
          <w:lang w:eastAsia="ja-JP"/>
        </w:rPr>
        <w:t>CBER</w:t>
      </w:r>
      <w:r w:rsidR="00CC4471">
        <w:rPr>
          <w:lang w:eastAsia="ja-JP"/>
        </w:rPr>
        <w:t>)</w:t>
      </w:r>
      <w:r>
        <w:rPr>
          <w:lang w:eastAsia="ja-JP"/>
        </w:rPr>
        <w:t xml:space="preserve">. Collectively, from these studies, the data also support the claim that the first 3 doses of </w:t>
      </w:r>
      <w:proofErr w:type="spellStart"/>
      <w:r>
        <w:rPr>
          <w:lang w:eastAsia="ja-JP"/>
        </w:rPr>
        <w:t>MenACWY</w:t>
      </w:r>
      <w:proofErr w:type="spellEnd"/>
      <w:r>
        <w:rPr>
          <w:lang w:eastAsia="ja-JP"/>
        </w:rPr>
        <w:t xml:space="preserve"> can be administered concomitantly with </w:t>
      </w:r>
      <w:r w:rsidR="00CC4471" w:rsidRPr="00CC4471">
        <w:rPr>
          <w:lang w:eastAsia="ja-JP"/>
        </w:rPr>
        <w:t xml:space="preserve">diphtheria, tetanus, and whooping cough (pertussis) </w:t>
      </w:r>
      <w:r w:rsidR="00CC4471">
        <w:rPr>
          <w:lang w:eastAsia="ja-JP"/>
        </w:rPr>
        <w:t>(</w:t>
      </w:r>
      <w:proofErr w:type="spellStart"/>
      <w:r>
        <w:rPr>
          <w:lang w:eastAsia="ja-JP"/>
        </w:rPr>
        <w:t>DTaP</w:t>
      </w:r>
      <w:proofErr w:type="spellEnd"/>
      <w:r w:rsidR="00CC4471">
        <w:rPr>
          <w:lang w:eastAsia="ja-JP"/>
        </w:rPr>
        <w:t>)</w:t>
      </w:r>
      <w:r>
        <w:rPr>
          <w:lang w:eastAsia="ja-JP"/>
        </w:rPr>
        <w:t xml:space="preserve">, </w:t>
      </w:r>
      <w:r w:rsidR="00746C7F" w:rsidRPr="00746C7F">
        <w:rPr>
          <w:lang w:eastAsia="ja-JP"/>
        </w:rPr>
        <w:t xml:space="preserve">Haemophilus </w:t>
      </w:r>
      <w:proofErr w:type="spellStart"/>
      <w:r w:rsidR="00746C7F" w:rsidRPr="00746C7F">
        <w:rPr>
          <w:lang w:eastAsia="ja-JP"/>
        </w:rPr>
        <w:t>influenzae</w:t>
      </w:r>
      <w:proofErr w:type="spellEnd"/>
      <w:r w:rsidR="00746C7F" w:rsidRPr="00746C7F">
        <w:rPr>
          <w:lang w:eastAsia="ja-JP"/>
        </w:rPr>
        <w:t xml:space="preserve"> type b </w:t>
      </w:r>
      <w:r w:rsidR="00746C7F">
        <w:rPr>
          <w:lang w:eastAsia="ja-JP"/>
        </w:rPr>
        <w:t>(</w:t>
      </w:r>
      <w:r>
        <w:rPr>
          <w:lang w:eastAsia="ja-JP"/>
        </w:rPr>
        <w:t>Hib</w:t>
      </w:r>
      <w:r w:rsidR="00746C7F">
        <w:rPr>
          <w:lang w:eastAsia="ja-JP"/>
        </w:rPr>
        <w:t>)</w:t>
      </w:r>
      <w:r>
        <w:rPr>
          <w:lang w:eastAsia="ja-JP"/>
        </w:rPr>
        <w:t xml:space="preserve">, </w:t>
      </w:r>
      <w:r w:rsidR="00CC4471" w:rsidRPr="00CC4471">
        <w:rPr>
          <w:lang w:eastAsia="ja-JP"/>
        </w:rPr>
        <w:t xml:space="preserve">Hepatitis B virus </w:t>
      </w:r>
      <w:r w:rsidR="00CC4471">
        <w:rPr>
          <w:lang w:eastAsia="ja-JP"/>
        </w:rPr>
        <w:t>(</w:t>
      </w:r>
      <w:r>
        <w:rPr>
          <w:lang w:eastAsia="ja-JP"/>
        </w:rPr>
        <w:t>HBV</w:t>
      </w:r>
      <w:r w:rsidR="00CC4471">
        <w:rPr>
          <w:lang w:eastAsia="ja-JP"/>
        </w:rPr>
        <w:t>)</w:t>
      </w:r>
      <w:r>
        <w:rPr>
          <w:lang w:eastAsia="ja-JP"/>
        </w:rPr>
        <w:t xml:space="preserve">, </w:t>
      </w:r>
      <w:r w:rsidR="00746C7F" w:rsidRPr="00746C7F">
        <w:rPr>
          <w:lang w:eastAsia="ja-JP"/>
        </w:rPr>
        <w:t xml:space="preserve">Inactivated Poliovirus Vaccine </w:t>
      </w:r>
      <w:r w:rsidR="00746C7F">
        <w:rPr>
          <w:lang w:eastAsia="ja-JP"/>
        </w:rPr>
        <w:t>(</w:t>
      </w:r>
      <w:r>
        <w:rPr>
          <w:lang w:eastAsia="ja-JP"/>
        </w:rPr>
        <w:t>IPV</w:t>
      </w:r>
      <w:r w:rsidR="00746C7F">
        <w:rPr>
          <w:lang w:eastAsia="ja-JP"/>
        </w:rPr>
        <w:t>)</w:t>
      </w:r>
      <w:r>
        <w:rPr>
          <w:lang w:eastAsia="ja-JP"/>
        </w:rPr>
        <w:t xml:space="preserve">, and </w:t>
      </w:r>
      <w:r w:rsidR="00CC4471" w:rsidRPr="00CC4471">
        <w:rPr>
          <w:lang w:eastAsia="ja-JP"/>
        </w:rPr>
        <w:t xml:space="preserve">cross-reacting material </w:t>
      </w:r>
      <w:r w:rsidR="00CC4471">
        <w:rPr>
          <w:lang w:eastAsia="ja-JP"/>
        </w:rPr>
        <w:t>(</w:t>
      </w:r>
      <w:r>
        <w:rPr>
          <w:lang w:eastAsia="ja-JP"/>
        </w:rPr>
        <w:t>CRM</w:t>
      </w:r>
      <w:r w:rsidR="00CC4471">
        <w:rPr>
          <w:lang w:eastAsia="ja-JP"/>
        </w:rPr>
        <w:t xml:space="preserve">) </w:t>
      </w:r>
      <w:r>
        <w:rPr>
          <w:lang w:eastAsia="ja-JP"/>
        </w:rPr>
        <w:t>containing pneumococcal vaccines (</w:t>
      </w:r>
      <w:proofErr w:type="spellStart"/>
      <w:r>
        <w:rPr>
          <w:lang w:eastAsia="ja-JP"/>
        </w:rPr>
        <w:t>Prevnar</w:t>
      </w:r>
      <w:proofErr w:type="spellEnd"/>
      <w:r>
        <w:rPr>
          <w:lang w:eastAsia="ja-JP"/>
        </w:rPr>
        <w:t xml:space="preserve"> and </w:t>
      </w:r>
      <w:proofErr w:type="spellStart"/>
      <w:r>
        <w:rPr>
          <w:lang w:eastAsia="ja-JP"/>
        </w:rPr>
        <w:t>Prevnar</w:t>
      </w:r>
      <w:proofErr w:type="spellEnd"/>
      <w:r>
        <w:rPr>
          <w:lang w:eastAsia="ja-JP"/>
        </w:rPr>
        <w:t xml:space="preserve"> 13) at 2, 4, and 6 months of age without risk of interference. Similar, data from the two dose studies and Study V50P20 supports the immunogenicity of the two dose course in children </w:t>
      </w:r>
      <w:r w:rsidR="00746C7F">
        <w:rPr>
          <w:lang w:eastAsia="ja-JP"/>
        </w:rPr>
        <w:t>2 to 10</w:t>
      </w:r>
      <w:r>
        <w:rPr>
          <w:lang w:eastAsia="ja-JP"/>
        </w:rPr>
        <w:t xml:space="preserve"> years of age.</w:t>
      </w:r>
    </w:p>
    <w:p w14:paraId="16AB1184" w14:textId="77777777" w:rsidR="008E7846" w:rsidRPr="002E238E" w:rsidRDefault="008E7846" w:rsidP="008E7846">
      <w:pPr>
        <w:pStyle w:val="Heading3"/>
      </w:pPr>
      <w:bookmarkStart w:id="63" w:name="_Toc163441378"/>
      <w:bookmarkStart w:id="64" w:name="_Toc196046495"/>
      <w:bookmarkStart w:id="65" w:name="_Toc247691522"/>
      <w:bookmarkStart w:id="66" w:name="_Toc314842505"/>
      <w:bookmarkStart w:id="67" w:name="_Toc511377351"/>
      <w:bookmarkEnd w:id="59"/>
      <w:bookmarkEnd w:id="60"/>
      <w:bookmarkEnd w:id="61"/>
      <w:bookmarkEnd w:id="62"/>
      <w:r w:rsidRPr="002E238E">
        <w:t>Safety</w:t>
      </w:r>
      <w:bookmarkEnd w:id="63"/>
      <w:bookmarkEnd w:id="64"/>
      <w:bookmarkEnd w:id="65"/>
      <w:bookmarkEnd w:id="66"/>
      <w:bookmarkEnd w:id="67"/>
    </w:p>
    <w:p w14:paraId="3BCBC32E" w14:textId="77777777" w:rsidR="00605AD4" w:rsidRDefault="00605AD4" w:rsidP="00605AD4">
      <w:pPr>
        <w:pStyle w:val="Heading4"/>
      </w:pPr>
      <w:bookmarkStart w:id="68" w:name="_Toc247691524"/>
      <w:bookmarkStart w:id="69" w:name="_Toc314842508"/>
      <w:bookmarkStart w:id="70" w:name="_Toc196046504"/>
      <w:bookmarkStart w:id="71" w:name="_Toc163441390"/>
      <w:r w:rsidRPr="00605AD4">
        <w:t>Studies providing safety data</w:t>
      </w:r>
    </w:p>
    <w:p w14:paraId="130B8777" w14:textId="77777777" w:rsidR="00CB1F4E" w:rsidRDefault="00CB1F4E" w:rsidP="00CB1F4E">
      <w:pPr>
        <w:rPr>
          <w:lang w:eastAsia="ja-JP"/>
        </w:rPr>
      </w:pPr>
      <w:r>
        <w:rPr>
          <w:lang w:eastAsia="ja-JP"/>
        </w:rPr>
        <w:t xml:space="preserve">When the licensing submission for </w:t>
      </w:r>
      <w:proofErr w:type="spellStart"/>
      <w:r>
        <w:rPr>
          <w:lang w:eastAsia="ja-JP"/>
        </w:rPr>
        <w:t>MenACWY</w:t>
      </w:r>
      <w:proofErr w:type="spellEnd"/>
      <w:r>
        <w:rPr>
          <w:lang w:eastAsia="ja-JP"/>
        </w:rPr>
        <w:t xml:space="preserve"> was first prepared in the US, there were some concerns about the integrity and consistency of some of the safety data because of the way it had been collected. They felt that in some sites the worksheets were altered by adding in recall at visits. So after initial review and meetings, an agreement on the size and composition of the infant safety database was made between CBER and Novartis</w:t>
      </w:r>
      <w:r w:rsidR="00336B5F">
        <w:rPr>
          <w:lang w:eastAsia="ja-JP"/>
        </w:rPr>
        <w:t>;</w:t>
      </w:r>
      <w:r>
        <w:rPr>
          <w:lang w:eastAsia="ja-JP"/>
        </w:rPr>
        <w:t xml:space="preserve"> CBER re-iterated their </w:t>
      </w:r>
      <w:r w:rsidR="00336B5F">
        <w:rPr>
          <w:lang w:eastAsia="ja-JP"/>
        </w:rPr>
        <w:t>end-of-phase 2 (</w:t>
      </w:r>
      <w:r>
        <w:rPr>
          <w:lang w:eastAsia="ja-JP"/>
        </w:rPr>
        <w:t>EOP2</w:t>
      </w:r>
      <w:r w:rsidR="00336B5F">
        <w:rPr>
          <w:lang w:eastAsia="ja-JP"/>
        </w:rPr>
        <w:t>)</w:t>
      </w:r>
      <w:r>
        <w:rPr>
          <w:lang w:eastAsia="ja-JP"/>
        </w:rPr>
        <w:t xml:space="preserve"> guidance</w:t>
      </w:r>
      <w:r w:rsidR="00336B5F">
        <w:rPr>
          <w:rStyle w:val="FootnoteReference"/>
          <w:lang w:eastAsia="ja-JP"/>
        </w:rPr>
        <w:footnoteReference w:id="2"/>
      </w:r>
      <w:r>
        <w:rPr>
          <w:lang w:eastAsia="ja-JP"/>
        </w:rPr>
        <w:t xml:space="preserve"> on the requirement to provide adequate infant safety data for licensure</w:t>
      </w:r>
      <w:r w:rsidR="00336B5F">
        <w:rPr>
          <w:lang w:eastAsia="ja-JP"/>
        </w:rPr>
        <w:t xml:space="preserve"> that</w:t>
      </w:r>
      <w:r>
        <w:rPr>
          <w:lang w:eastAsia="ja-JP"/>
        </w:rPr>
        <w:t>:</w:t>
      </w:r>
    </w:p>
    <w:p w14:paraId="3C58AC35" w14:textId="77777777" w:rsidR="00CB1F4E" w:rsidRDefault="00CB1F4E" w:rsidP="00CB1F4E">
      <w:pPr>
        <w:rPr>
          <w:lang w:eastAsia="ja-JP"/>
        </w:rPr>
      </w:pPr>
      <w:r>
        <w:rPr>
          <w:lang w:eastAsia="ja-JP"/>
        </w:rPr>
        <w:t>a) ‘</w:t>
      </w:r>
      <w:r w:rsidR="007F4D43">
        <w:rPr>
          <w:lang w:eastAsia="ja-JP"/>
        </w:rPr>
        <w:t>Detailed</w:t>
      </w:r>
      <w:r>
        <w:rPr>
          <w:lang w:eastAsia="ja-JP"/>
        </w:rPr>
        <w:t>’ safety data (</w:t>
      </w:r>
      <w:r w:rsidR="00336B5F">
        <w:rPr>
          <w:lang w:eastAsia="ja-JP"/>
        </w:rPr>
        <w:t>that is,</w:t>
      </w:r>
      <w:r>
        <w:rPr>
          <w:lang w:eastAsia="ja-JP"/>
        </w:rPr>
        <w:t xml:space="preserve"> including local and systemic </w:t>
      </w:r>
      <w:proofErr w:type="spellStart"/>
      <w:r>
        <w:rPr>
          <w:lang w:eastAsia="ja-JP"/>
        </w:rPr>
        <w:t>reactogenicity</w:t>
      </w:r>
      <w:proofErr w:type="spellEnd"/>
      <w:r>
        <w:rPr>
          <w:lang w:eastAsia="ja-JP"/>
        </w:rPr>
        <w:t xml:space="preserve">) be collected from 3000 </w:t>
      </w:r>
      <w:r w:rsidR="00746C7F">
        <w:rPr>
          <w:lang w:eastAsia="ja-JP"/>
        </w:rPr>
        <w:t>randomised</w:t>
      </w:r>
      <w:r>
        <w:rPr>
          <w:lang w:eastAsia="ja-JP"/>
        </w:rPr>
        <w:t xml:space="preserve"> controlled subjects receiving the intended infant schedule with US licensed vaccines;</w:t>
      </w:r>
    </w:p>
    <w:p w14:paraId="30D34E23" w14:textId="77777777" w:rsidR="00CB1F4E" w:rsidRDefault="00CB1F4E" w:rsidP="00CB1F4E">
      <w:pPr>
        <w:rPr>
          <w:lang w:eastAsia="ja-JP"/>
        </w:rPr>
      </w:pPr>
      <w:r>
        <w:rPr>
          <w:lang w:eastAsia="ja-JP"/>
        </w:rPr>
        <w:t xml:space="preserve">b) </w:t>
      </w:r>
      <w:r w:rsidR="007F4D43">
        <w:rPr>
          <w:lang w:eastAsia="ja-JP"/>
        </w:rPr>
        <w:t>Safety</w:t>
      </w:r>
      <w:r>
        <w:rPr>
          <w:lang w:eastAsia="ja-JP"/>
        </w:rPr>
        <w:t xml:space="preserve"> </w:t>
      </w:r>
      <w:r w:rsidR="007F4D43">
        <w:rPr>
          <w:lang w:eastAsia="ja-JP"/>
        </w:rPr>
        <w:t>is</w:t>
      </w:r>
      <w:r>
        <w:rPr>
          <w:lang w:eastAsia="ja-JP"/>
        </w:rPr>
        <w:t xml:space="preserve"> assessed for 6 months following the final dose in the series;</w:t>
      </w:r>
    </w:p>
    <w:p w14:paraId="3569693C" w14:textId="77777777" w:rsidR="00CB1F4E" w:rsidRDefault="00CB1F4E" w:rsidP="00CB1F4E">
      <w:pPr>
        <w:rPr>
          <w:lang w:eastAsia="ja-JP"/>
        </w:rPr>
      </w:pPr>
      <w:r>
        <w:rPr>
          <w:lang w:eastAsia="ja-JP"/>
        </w:rPr>
        <w:t xml:space="preserve">c) 50% or more of the safety database </w:t>
      </w:r>
      <w:r w:rsidR="007F4D43">
        <w:rPr>
          <w:lang w:eastAsia="ja-JP"/>
        </w:rPr>
        <w:t>is</w:t>
      </w:r>
      <w:r>
        <w:rPr>
          <w:lang w:eastAsia="ja-JP"/>
        </w:rPr>
        <w:t xml:space="preserve"> from US infants;</w:t>
      </w:r>
    </w:p>
    <w:p w14:paraId="27F6F871" w14:textId="77777777" w:rsidR="00CB1F4E" w:rsidRDefault="00CB1F4E" w:rsidP="00CB1F4E">
      <w:pPr>
        <w:rPr>
          <w:lang w:eastAsia="ja-JP"/>
        </w:rPr>
      </w:pPr>
      <w:r>
        <w:rPr>
          <w:lang w:eastAsia="ja-JP"/>
        </w:rPr>
        <w:t xml:space="preserve">d) </w:t>
      </w:r>
      <w:r w:rsidR="007F4D43">
        <w:rPr>
          <w:lang w:eastAsia="ja-JP"/>
        </w:rPr>
        <w:t>Additional</w:t>
      </w:r>
      <w:r>
        <w:rPr>
          <w:lang w:eastAsia="ja-JP"/>
        </w:rPr>
        <w:t xml:space="preserve"> extended safety data (</w:t>
      </w:r>
      <w:r w:rsidR="00336B5F">
        <w:rPr>
          <w:lang w:eastAsia="ja-JP"/>
        </w:rPr>
        <w:t>serious adverse events (</w:t>
      </w:r>
      <w:r>
        <w:rPr>
          <w:lang w:eastAsia="ja-JP"/>
        </w:rPr>
        <w:t>SAE</w:t>
      </w:r>
      <w:r w:rsidR="00336B5F">
        <w:rPr>
          <w:lang w:eastAsia="ja-JP"/>
        </w:rPr>
        <w:t>)</w:t>
      </w:r>
      <w:r>
        <w:rPr>
          <w:lang w:eastAsia="ja-JP"/>
        </w:rPr>
        <w:t xml:space="preserve"> and medically significant events) be collected from a further 3000 infants.</w:t>
      </w:r>
    </w:p>
    <w:p w14:paraId="48A5D221" w14:textId="77777777" w:rsidR="00CB1F4E" w:rsidRPr="003302C4" w:rsidRDefault="00CB1F4E" w:rsidP="00CB1F4E">
      <w:pPr>
        <w:rPr>
          <w:lang w:eastAsia="ja-JP"/>
        </w:rPr>
      </w:pPr>
      <w:r>
        <w:rPr>
          <w:lang w:eastAsia="ja-JP"/>
        </w:rPr>
        <w:t xml:space="preserve">Based on the data available at the time, CBER and Novartis agreed on the number of infants from </w:t>
      </w:r>
      <w:r w:rsidR="006571F8">
        <w:rPr>
          <w:lang w:eastAsia="ja-JP"/>
        </w:rPr>
        <w:t>Study V59</w:t>
      </w:r>
      <w:r>
        <w:rPr>
          <w:lang w:eastAsia="ja-JP"/>
        </w:rPr>
        <w:t xml:space="preserve">P14 that were considered adequately controlled for </w:t>
      </w:r>
      <w:r w:rsidR="00336B5F">
        <w:rPr>
          <w:lang w:eastAsia="ja-JP"/>
        </w:rPr>
        <w:t>‘</w:t>
      </w:r>
      <w:r>
        <w:rPr>
          <w:lang w:eastAsia="ja-JP"/>
        </w:rPr>
        <w:t>detailed safety</w:t>
      </w:r>
      <w:r w:rsidR="00336B5F">
        <w:rPr>
          <w:lang w:eastAsia="ja-JP"/>
        </w:rPr>
        <w:t>’</w:t>
      </w:r>
      <w:r>
        <w:rPr>
          <w:lang w:eastAsia="ja-JP"/>
        </w:rPr>
        <w:t xml:space="preserve">. Over the next several months, CBER and Novartis came to an agreement on the design and conduct of a study which would appropriately supplement </w:t>
      </w:r>
      <w:r w:rsidR="006571F8">
        <w:rPr>
          <w:lang w:eastAsia="ja-JP"/>
        </w:rPr>
        <w:t>Study V59</w:t>
      </w:r>
      <w:r>
        <w:rPr>
          <w:lang w:eastAsia="ja-JP"/>
        </w:rPr>
        <w:t xml:space="preserve">P14 to meet CBER’s expectations for the detailed safety database. To achieve this, the planned extended safety data </w:t>
      </w:r>
      <w:r w:rsidR="006571F8">
        <w:rPr>
          <w:lang w:eastAsia="ja-JP"/>
        </w:rPr>
        <w:t>Study V59</w:t>
      </w:r>
      <w:r>
        <w:rPr>
          <w:lang w:eastAsia="ja-JP"/>
        </w:rPr>
        <w:t xml:space="preserve">P23 was amended to collect additional detailed safety data from 1840 infants, 1380 of whom would receive </w:t>
      </w:r>
      <w:proofErr w:type="spellStart"/>
      <w:r>
        <w:rPr>
          <w:lang w:eastAsia="ja-JP"/>
        </w:rPr>
        <w:t>MenACWY</w:t>
      </w:r>
      <w:proofErr w:type="spellEnd"/>
      <w:r>
        <w:rPr>
          <w:lang w:eastAsia="ja-JP"/>
        </w:rPr>
        <w:t xml:space="preserve"> in a </w:t>
      </w:r>
      <w:r w:rsidR="00306FB2">
        <w:rPr>
          <w:lang w:eastAsia="ja-JP"/>
        </w:rPr>
        <w:t>4 dose</w:t>
      </w:r>
      <w:r>
        <w:rPr>
          <w:lang w:eastAsia="ja-JP"/>
        </w:rPr>
        <w:t xml:space="preserve"> series. CBER requested the total database of extended safety subjects be expanded to 4000 </w:t>
      </w:r>
      <w:proofErr w:type="spellStart"/>
      <w:r>
        <w:rPr>
          <w:lang w:eastAsia="ja-JP"/>
        </w:rPr>
        <w:t>MenACWY</w:t>
      </w:r>
      <w:proofErr w:type="spellEnd"/>
      <w:r>
        <w:rPr>
          <w:lang w:eastAsia="ja-JP"/>
        </w:rPr>
        <w:t xml:space="preserve"> recipients and that full enrolment of V59P23 be complete at the time of an infant submission.</w:t>
      </w:r>
    </w:p>
    <w:p w14:paraId="1C7B15FB" w14:textId="77777777" w:rsidR="00CB1F4E" w:rsidRDefault="00CB1F4E" w:rsidP="00CB1F4E">
      <w:pPr>
        <w:pStyle w:val="Heading4"/>
      </w:pPr>
      <w:bookmarkStart w:id="72" w:name="_Toc421005275"/>
      <w:bookmarkStart w:id="73" w:name="_Toc432079157"/>
      <w:bookmarkStart w:id="74" w:name="_Toc432080730"/>
      <w:r>
        <w:t>P</w:t>
      </w:r>
      <w:r w:rsidRPr="00C3572A">
        <w:t>ivotal studies that assessed safety as the sole primary outcome</w:t>
      </w:r>
      <w:bookmarkEnd w:id="72"/>
      <w:bookmarkEnd w:id="73"/>
      <w:bookmarkEnd w:id="74"/>
    </w:p>
    <w:p w14:paraId="3906F76E" w14:textId="77777777" w:rsidR="00CB1F4E" w:rsidRPr="00906459" w:rsidRDefault="006571F8" w:rsidP="00CB1F4E">
      <w:pPr>
        <w:rPr>
          <w:lang w:eastAsia="ja-JP"/>
        </w:rPr>
      </w:pPr>
      <w:r>
        <w:rPr>
          <w:lang w:eastAsia="ja-JP"/>
        </w:rPr>
        <w:t>Study V59</w:t>
      </w:r>
      <w:r w:rsidR="00CB1F4E" w:rsidRPr="00A804B2">
        <w:rPr>
          <w:lang w:eastAsia="ja-JP"/>
        </w:rPr>
        <w:t xml:space="preserve"> P23 was </w:t>
      </w:r>
      <w:r w:rsidR="00CB1F4E">
        <w:rPr>
          <w:lang w:eastAsia="ja-JP"/>
        </w:rPr>
        <w:t>a</w:t>
      </w:r>
      <w:r w:rsidR="00CB1F4E" w:rsidRPr="00A804B2">
        <w:rPr>
          <w:lang w:eastAsia="ja-JP"/>
        </w:rPr>
        <w:t xml:space="preserve"> Phase </w:t>
      </w:r>
      <w:proofErr w:type="spellStart"/>
      <w:r w:rsidR="00336B5F">
        <w:rPr>
          <w:lang w:eastAsia="ja-JP"/>
        </w:rPr>
        <w:t>IIIb</w:t>
      </w:r>
      <w:proofErr w:type="spellEnd"/>
      <w:r w:rsidR="00336B5F">
        <w:rPr>
          <w:lang w:eastAsia="ja-JP"/>
        </w:rPr>
        <w:t>, Open-Label, Randomis</w:t>
      </w:r>
      <w:r w:rsidR="00CB1F4E" w:rsidRPr="00A804B2">
        <w:rPr>
          <w:lang w:eastAsia="ja-JP"/>
        </w:rPr>
        <w:t>ed, Parallel-Group, Multi-</w:t>
      </w:r>
      <w:proofErr w:type="spellStart"/>
      <w:r w:rsidR="00CB1F4E" w:rsidRPr="00A804B2">
        <w:rPr>
          <w:lang w:eastAsia="ja-JP"/>
        </w:rPr>
        <w:t>Center</w:t>
      </w:r>
      <w:proofErr w:type="spellEnd"/>
      <w:r w:rsidR="00CB1F4E" w:rsidRPr="00A804B2">
        <w:rPr>
          <w:lang w:eastAsia="ja-JP"/>
        </w:rPr>
        <w:t xml:space="preserve"> </w:t>
      </w:r>
      <w:r w:rsidR="00CB1F4E">
        <w:rPr>
          <w:lang w:eastAsia="ja-JP"/>
        </w:rPr>
        <w:t>study to evaluate the s</w:t>
      </w:r>
      <w:r w:rsidR="00CB1F4E" w:rsidRPr="00A804B2">
        <w:rPr>
          <w:lang w:eastAsia="ja-JP"/>
        </w:rPr>
        <w:t>afety of</w:t>
      </w:r>
      <w:r w:rsidR="00CB1F4E" w:rsidRPr="00A804B2">
        <w:rPr>
          <w:sz w:val="20"/>
          <w:lang w:eastAsia="ja-JP"/>
        </w:rPr>
        <w:t xml:space="preserve"> </w:t>
      </w:r>
      <w:r w:rsidR="00CB1F4E">
        <w:rPr>
          <w:lang w:eastAsia="ja-JP"/>
        </w:rPr>
        <w:t xml:space="preserve">Novartis </w:t>
      </w:r>
      <w:proofErr w:type="spellStart"/>
      <w:r w:rsidR="00CB1F4E">
        <w:rPr>
          <w:lang w:eastAsia="ja-JP"/>
        </w:rPr>
        <w:t>MenACWY</w:t>
      </w:r>
      <w:proofErr w:type="spellEnd"/>
      <w:r w:rsidR="00CB1F4E">
        <w:rPr>
          <w:lang w:eastAsia="ja-JP"/>
        </w:rPr>
        <w:t xml:space="preserve"> Conjugate vaccine when administered with routine infant vaccinations to healthy infants.</w:t>
      </w:r>
    </w:p>
    <w:p w14:paraId="5B4F081B" w14:textId="77777777" w:rsidR="00CB1F4E" w:rsidRPr="00545B14" w:rsidRDefault="00CB1F4E" w:rsidP="00CB1F4E">
      <w:pPr>
        <w:pStyle w:val="Heading4"/>
      </w:pPr>
      <w:bookmarkStart w:id="75" w:name="_Ref268776745"/>
      <w:bookmarkStart w:id="76" w:name="_Toc421005276"/>
      <w:bookmarkStart w:id="77" w:name="_Toc432079158"/>
      <w:bookmarkStart w:id="78" w:name="_Toc432080731"/>
      <w:r w:rsidRPr="00545B14">
        <w:lastRenderedPageBreak/>
        <w:t xml:space="preserve">Pivotal </w:t>
      </w:r>
      <w:r>
        <w:t xml:space="preserve">and/or main </w:t>
      </w:r>
      <w:r w:rsidRPr="00545B14">
        <w:t>efficacy studies</w:t>
      </w:r>
      <w:bookmarkEnd w:id="75"/>
      <w:bookmarkEnd w:id="76"/>
      <w:bookmarkEnd w:id="77"/>
      <w:bookmarkEnd w:id="78"/>
    </w:p>
    <w:p w14:paraId="01F6E927" w14:textId="77777777" w:rsidR="00CB1F4E" w:rsidRDefault="006571F8" w:rsidP="00CB1F4E">
      <w:pPr>
        <w:rPr>
          <w:lang w:eastAsia="ja-JP"/>
        </w:rPr>
      </w:pPr>
      <w:bookmarkStart w:id="79" w:name="_Toc421005277"/>
      <w:bookmarkStart w:id="80" w:name="_Toc432079159"/>
      <w:bookmarkStart w:id="81" w:name="_Toc432080732"/>
      <w:r>
        <w:rPr>
          <w:lang w:eastAsia="ja-JP"/>
        </w:rPr>
        <w:t>Stud</w:t>
      </w:r>
      <w:r w:rsidR="00336B5F">
        <w:rPr>
          <w:lang w:eastAsia="ja-JP"/>
        </w:rPr>
        <w:t>ies</w:t>
      </w:r>
      <w:r>
        <w:rPr>
          <w:lang w:eastAsia="ja-JP"/>
        </w:rPr>
        <w:t xml:space="preserve"> V59</w:t>
      </w:r>
      <w:r w:rsidR="00CB1F4E">
        <w:rPr>
          <w:lang w:eastAsia="ja-JP"/>
        </w:rPr>
        <w:t>P14 and V59P_33 are described in Section 7</w:t>
      </w:r>
      <w:r w:rsidR="00336B5F">
        <w:rPr>
          <w:lang w:eastAsia="ja-JP"/>
        </w:rPr>
        <w:t xml:space="preserve"> in Attachment 2</w:t>
      </w:r>
      <w:r w:rsidR="00CB1F4E">
        <w:rPr>
          <w:lang w:eastAsia="ja-JP"/>
        </w:rPr>
        <w:t xml:space="preserve">. These along with V59P23 provide the bulk of the safety data in infants. V59P20 and V59P8 provide much of the data in children </w:t>
      </w:r>
      <w:r w:rsidR="00746C7F">
        <w:rPr>
          <w:lang w:eastAsia="ja-JP"/>
        </w:rPr>
        <w:t>2 to 10</w:t>
      </w:r>
      <w:r w:rsidR="00CB1F4E">
        <w:rPr>
          <w:lang w:eastAsia="ja-JP"/>
        </w:rPr>
        <w:t>.</w:t>
      </w:r>
    </w:p>
    <w:p w14:paraId="785B1B83" w14:textId="77777777" w:rsidR="00CB1F4E" w:rsidRDefault="00CB1F4E" w:rsidP="00CB1F4E">
      <w:pPr>
        <w:pStyle w:val="Heading4"/>
      </w:pPr>
      <w:r>
        <w:t>Other</w:t>
      </w:r>
      <w:r w:rsidRPr="00545B14">
        <w:t xml:space="preserve"> studies</w:t>
      </w:r>
      <w:bookmarkEnd w:id="79"/>
      <w:bookmarkEnd w:id="80"/>
      <w:bookmarkEnd w:id="81"/>
    </w:p>
    <w:p w14:paraId="5A3B6016" w14:textId="77777777" w:rsidR="00CB1F4E" w:rsidRPr="00073FEC" w:rsidRDefault="00CB1F4E" w:rsidP="00CB1F4E">
      <w:pPr>
        <w:pStyle w:val="Heading5"/>
      </w:pPr>
      <w:r w:rsidRPr="00073FEC">
        <w:t>Other efficacy studies</w:t>
      </w:r>
    </w:p>
    <w:p w14:paraId="32E20156" w14:textId="77777777" w:rsidR="00CB1F4E" w:rsidRDefault="00CB1F4E" w:rsidP="00CB1F4E">
      <w:pPr>
        <w:rPr>
          <w:lang w:eastAsia="ja-JP"/>
        </w:rPr>
      </w:pPr>
      <w:r>
        <w:rPr>
          <w:lang w:eastAsia="ja-JP"/>
        </w:rPr>
        <w:t>Studies V59P5 and V59P9 also provide safety data as detailed below.</w:t>
      </w:r>
    </w:p>
    <w:p w14:paraId="235A15D0" w14:textId="77777777" w:rsidR="00605AD4" w:rsidRDefault="00605AD4" w:rsidP="00605AD4">
      <w:pPr>
        <w:pStyle w:val="Heading4"/>
      </w:pPr>
      <w:r w:rsidRPr="00605AD4">
        <w:t>Patient exposure</w:t>
      </w:r>
    </w:p>
    <w:p w14:paraId="6B8E8117" w14:textId="77777777" w:rsidR="00F74342" w:rsidRDefault="00CB1F4E" w:rsidP="00CB1F4E">
      <w:pPr>
        <w:rPr>
          <w:lang w:eastAsia="ja-JP"/>
        </w:rPr>
      </w:pPr>
      <w:r>
        <w:rPr>
          <w:lang w:eastAsia="ja-JP"/>
        </w:rPr>
        <w:t xml:space="preserve">Between studies V59P14, V59P23, and V59_33, the safety database now includes 9171 infants from 2 months of age exposed to at least one dose of </w:t>
      </w:r>
      <w:proofErr w:type="spellStart"/>
      <w:r>
        <w:rPr>
          <w:lang w:eastAsia="ja-JP"/>
        </w:rPr>
        <w:t>MenACWY</w:t>
      </w:r>
      <w:proofErr w:type="spellEnd"/>
      <w:r>
        <w:rPr>
          <w:lang w:eastAsia="ja-JP"/>
        </w:rPr>
        <w:t xml:space="preserve"> (as either a 3-dose or </w:t>
      </w:r>
      <w:r w:rsidR="00306FB2">
        <w:rPr>
          <w:lang w:eastAsia="ja-JP"/>
        </w:rPr>
        <w:t>4 dose</w:t>
      </w:r>
      <w:r>
        <w:rPr>
          <w:lang w:eastAsia="ja-JP"/>
        </w:rPr>
        <w:t xml:space="preserve"> series</w:t>
      </w:r>
      <w:r w:rsidR="00261A1E">
        <w:rPr>
          <w:lang w:eastAsia="ja-JP"/>
        </w:rPr>
        <w:t xml:space="preserve"> Table 1</w:t>
      </w:r>
      <w:r>
        <w:rPr>
          <w:lang w:eastAsia="ja-JP"/>
        </w:rPr>
        <w:t xml:space="preserve">), of whom 3466 provided detailed safety data through one month post- dose 4. All subjects were to be followed for 6 months </w:t>
      </w:r>
      <w:proofErr w:type="spellStart"/>
      <w:r>
        <w:rPr>
          <w:lang w:eastAsia="ja-JP"/>
        </w:rPr>
        <w:t>postdose</w:t>
      </w:r>
      <w:proofErr w:type="spellEnd"/>
      <w:r>
        <w:rPr>
          <w:lang w:eastAsia="ja-JP"/>
        </w:rPr>
        <w:t xml:space="preserve"> 4. Across the 3 studies, US subjects contributed 55% of the detailed safety data, and 44% of all safety data through dose 4</w:t>
      </w:r>
      <w:r w:rsidR="00F74342">
        <w:rPr>
          <w:lang w:eastAsia="ja-JP"/>
        </w:rPr>
        <w:t>.</w:t>
      </w:r>
    </w:p>
    <w:p w14:paraId="43AA266D" w14:textId="77777777" w:rsidR="00F74342" w:rsidRDefault="00CB1F4E" w:rsidP="00CB1F4E">
      <w:pPr>
        <w:rPr>
          <w:lang w:eastAsia="ja-JP"/>
        </w:rPr>
      </w:pPr>
      <w:r>
        <w:rPr>
          <w:lang w:eastAsia="ja-JP"/>
        </w:rPr>
        <w:t xml:space="preserve">The </w:t>
      </w:r>
      <w:proofErr w:type="spellStart"/>
      <w:r w:rsidR="00261A1E" w:rsidRPr="00261A1E">
        <w:rPr>
          <w:lang w:eastAsia="ja-JP"/>
        </w:rPr>
        <w:t>Menveo</w:t>
      </w:r>
      <w:proofErr w:type="spellEnd"/>
      <w:r w:rsidR="00261A1E" w:rsidRPr="00261A1E">
        <w:rPr>
          <w:lang w:eastAsia="ja-JP"/>
        </w:rPr>
        <w:t xml:space="preserve"> </w:t>
      </w:r>
      <w:r w:rsidR="00261A1E">
        <w:rPr>
          <w:lang w:eastAsia="ja-JP"/>
        </w:rPr>
        <w:t>Metadata C</w:t>
      </w:r>
      <w:r w:rsidR="00261A1E" w:rsidRPr="00261A1E">
        <w:rPr>
          <w:lang w:eastAsia="ja-JP"/>
        </w:rPr>
        <w:t xml:space="preserve">ollection </w:t>
      </w:r>
      <w:r w:rsidR="00261A1E">
        <w:rPr>
          <w:lang w:eastAsia="ja-JP"/>
        </w:rPr>
        <w:t>(</w:t>
      </w:r>
      <w:r>
        <w:rPr>
          <w:lang w:eastAsia="ja-JP"/>
        </w:rPr>
        <w:t>MMC</w:t>
      </w:r>
      <w:r w:rsidR="00261A1E">
        <w:rPr>
          <w:lang w:eastAsia="ja-JP"/>
        </w:rPr>
        <w:t>)</w:t>
      </w:r>
      <w:r>
        <w:rPr>
          <w:lang w:eastAsia="ja-JP"/>
        </w:rPr>
        <w:t xml:space="preserve"> project was specifically designed to assess the accuracy, reliability, and verifiability of safety data collected in the 3 pivotal studies and</w:t>
      </w:r>
      <w:r w:rsidRPr="009921EF">
        <w:rPr>
          <w:lang w:eastAsia="ja-JP"/>
        </w:rPr>
        <w:t xml:space="preserve"> </w:t>
      </w:r>
      <w:r>
        <w:rPr>
          <w:lang w:eastAsia="ja-JP"/>
        </w:rPr>
        <w:t>included 7740 subjects. The data collected in the MMC project enabled Novartis to provide additional analyses of these data that showed the original data included in the submission to be complete, reliable and verifiable. The MMC project showed that the sites, with the exception of one, conducted the 3 pivotal studies according to International Conference on Harmonization (ICH)</w:t>
      </w:r>
      <w:r w:rsidR="00336B5F">
        <w:rPr>
          <w:lang w:eastAsia="ja-JP"/>
        </w:rPr>
        <w:t xml:space="preserve"> and </w:t>
      </w:r>
      <w:r>
        <w:rPr>
          <w:lang w:eastAsia="ja-JP"/>
        </w:rPr>
        <w:t>GCP</w:t>
      </w:r>
      <w:r w:rsidR="00F74342">
        <w:rPr>
          <w:lang w:eastAsia="ja-JP"/>
        </w:rPr>
        <w:t>.</w:t>
      </w:r>
    </w:p>
    <w:p w14:paraId="2AA14A74" w14:textId="54FB3196" w:rsidR="00CB1F4E" w:rsidRPr="00520D27" w:rsidRDefault="00CB1F4E" w:rsidP="00CB1F4E">
      <w:r>
        <w:rPr>
          <w:lang w:eastAsia="ja-JP"/>
        </w:rPr>
        <w:t xml:space="preserve">Nineteen hundred and eighty five (1985) older infants/toddlers (referred to as </w:t>
      </w:r>
      <w:r w:rsidR="00336B5F">
        <w:rPr>
          <w:lang w:eastAsia="ja-JP"/>
        </w:rPr>
        <w:t>‘</w:t>
      </w:r>
      <w:r>
        <w:rPr>
          <w:lang w:eastAsia="ja-JP"/>
        </w:rPr>
        <w:t>catch-ups</w:t>
      </w:r>
      <w:r w:rsidR="00336B5F">
        <w:rPr>
          <w:lang w:eastAsia="ja-JP"/>
        </w:rPr>
        <w:t>’</w:t>
      </w:r>
      <w:r>
        <w:rPr>
          <w:lang w:eastAsia="ja-JP"/>
        </w:rPr>
        <w:t xml:space="preserve">) 6 months to 12 months of age at enrolment are included in the safety population for a </w:t>
      </w:r>
      <w:r w:rsidR="00306FB2">
        <w:rPr>
          <w:lang w:eastAsia="ja-JP"/>
        </w:rPr>
        <w:t>2 dose</w:t>
      </w:r>
      <w:r>
        <w:rPr>
          <w:lang w:eastAsia="ja-JP"/>
        </w:rPr>
        <w:t xml:space="preserve"> series of </w:t>
      </w:r>
      <w:proofErr w:type="spellStart"/>
      <w:r>
        <w:rPr>
          <w:lang w:eastAsia="ja-JP"/>
        </w:rPr>
        <w:t>MenACWY</w:t>
      </w:r>
      <w:proofErr w:type="spellEnd"/>
      <w:r>
        <w:rPr>
          <w:lang w:eastAsia="ja-JP"/>
        </w:rPr>
        <w:t>, of which 1841 received 2 doses (</w:t>
      </w:r>
      <w:r w:rsidR="00336B5F">
        <w:rPr>
          <w:lang w:eastAsia="ja-JP"/>
        </w:rPr>
        <w:t xml:space="preserve">see </w:t>
      </w:r>
      <w:r w:rsidR="00261A1E">
        <w:rPr>
          <w:lang w:eastAsia="ja-JP"/>
        </w:rPr>
        <w:t>Table 2</w:t>
      </w:r>
      <w:r>
        <w:rPr>
          <w:lang w:eastAsia="ja-JP"/>
        </w:rPr>
        <w:t xml:space="preserve">). In addition to the pooled population, per a request from CBER, the infant data is also presented for US subjects (4093 </w:t>
      </w:r>
      <w:proofErr w:type="spellStart"/>
      <w:r>
        <w:rPr>
          <w:lang w:eastAsia="ja-JP"/>
        </w:rPr>
        <w:t>MenACWY</w:t>
      </w:r>
      <w:proofErr w:type="spellEnd"/>
      <w:r>
        <w:rPr>
          <w:lang w:eastAsia="ja-JP"/>
        </w:rPr>
        <w:t xml:space="preserve"> subjects and 1540 control subjects) and non-US subjects (4642 </w:t>
      </w:r>
      <w:proofErr w:type="spellStart"/>
      <w:r>
        <w:rPr>
          <w:lang w:eastAsia="ja-JP"/>
        </w:rPr>
        <w:t>MenACWY</w:t>
      </w:r>
      <w:proofErr w:type="spellEnd"/>
      <w:r>
        <w:rPr>
          <w:lang w:eastAsia="ja-JP"/>
        </w:rPr>
        <w:t xml:space="preserve"> subjects and 1324 control subjects).</w:t>
      </w:r>
      <w:r w:rsidRPr="003D23AB">
        <w:t xml:space="preserve"> </w:t>
      </w:r>
      <w:r>
        <w:t>The pooled analysis of adverse reactions after the first/single meningococcal vaccination in the overall 2 to 10 years age group was perfo</w:t>
      </w:r>
      <w:r w:rsidR="00336B5F">
        <w:t xml:space="preserve">rmed in 3107 </w:t>
      </w:r>
      <w:proofErr w:type="spellStart"/>
      <w:r w:rsidR="00336B5F">
        <w:t>MenACWY</w:t>
      </w:r>
      <w:proofErr w:type="spellEnd"/>
      <w:r w:rsidR="00336B5F">
        <w:t xml:space="preserve"> subjects (S</w:t>
      </w:r>
      <w:r>
        <w:t xml:space="preserve">tudies V59P7, V59P8, V59P10, and V59P20), 1255 </w:t>
      </w:r>
      <w:proofErr w:type="spellStart"/>
      <w:r>
        <w:t>Menactra</w:t>
      </w:r>
      <w:proofErr w:type="spellEnd"/>
      <w:r>
        <w:t xml:space="preserve"> subjects (</w:t>
      </w:r>
      <w:r w:rsidR="006571F8">
        <w:t>Study V59</w:t>
      </w:r>
      <w:r>
        <w:t>P2</w:t>
      </w:r>
      <w:r w:rsidR="00261A1E">
        <w:t xml:space="preserve">0), and 861 </w:t>
      </w:r>
      <w:proofErr w:type="spellStart"/>
      <w:r w:rsidR="00261A1E">
        <w:t>Menomune</w:t>
      </w:r>
      <w:proofErr w:type="spellEnd"/>
      <w:r w:rsidR="00261A1E">
        <w:t xml:space="preserve"> subjects (S</w:t>
      </w:r>
      <w:r>
        <w:t>tudies V59P8 and V59P10)</w:t>
      </w:r>
      <w:r w:rsidRPr="00520D27">
        <w:t xml:space="preserve"> </w:t>
      </w:r>
      <w:r w:rsidR="00261A1E">
        <w:t>(see Tables 26-29 in Attachment 2)</w:t>
      </w:r>
      <w:r w:rsidRPr="00520D27">
        <w:t>.</w:t>
      </w:r>
    </w:p>
    <w:p w14:paraId="08B218E3" w14:textId="77777777" w:rsidR="00CB1F4E" w:rsidRDefault="00CB1F4E" w:rsidP="00261A1E">
      <w:pPr>
        <w:pStyle w:val="TableTitle"/>
      </w:pPr>
      <w:bookmarkStart w:id="82" w:name="_Ref476599527"/>
      <w:bookmarkStart w:id="83" w:name="_Toc478120887"/>
      <w:r>
        <w:t xml:space="preserve">Table </w:t>
      </w:r>
      <w:r w:rsidR="00261A1E">
        <w:t>1:</w:t>
      </w:r>
      <w:bookmarkEnd w:id="82"/>
      <w:r>
        <w:t xml:space="preserve"> Number of Subjects from Each Study Contributing to Unsolicited Adverse Event tables by Time Period, for Infants</w:t>
      </w:r>
      <w:bookmarkEnd w:id="83"/>
    </w:p>
    <w:p w14:paraId="337180A7" w14:textId="77777777" w:rsidR="00CB1F4E" w:rsidRDefault="00CB1F4E" w:rsidP="00CB1F4E">
      <w:r>
        <w:rPr>
          <w:noProof/>
          <w:lang w:eastAsia="en-AU"/>
        </w:rPr>
        <w:drawing>
          <wp:inline distT="0" distB="0" distL="0" distR="0" wp14:anchorId="3067FE2A" wp14:editId="208E5EBC">
            <wp:extent cx="5389369" cy="1987826"/>
            <wp:effectExtent l="0" t="0" r="1905" b="0"/>
            <wp:docPr id="35" name="Picture 35" descr="Table 1: Number of Subjects from Each Study Contributing to Unsolicited Adverse Event tables by Time Period, for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389287" cy="1987796"/>
                    </a:xfrm>
                    <a:prstGeom prst="rect">
                      <a:avLst/>
                    </a:prstGeom>
                    <a:noFill/>
                    <a:ln>
                      <a:noFill/>
                    </a:ln>
                  </pic:spPr>
                </pic:pic>
              </a:graphicData>
            </a:graphic>
          </wp:inline>
        </w:drawing>
      </w:r>
    </w:p>
    <w:p w14:paraId="24614563" w14:textId="77777777" w:rsidR="00CB1F4E" w:rsidRPr="00B30E10" w:rsidRDefault="00CB1F4E" w:rsidP="00261A1E">
      <w:pPr>
        <w:pStyle w:val="TableTitle"/>
      </w:pPr>
      <w:bookmarkStart w:id="84" w:name="_Toc478120888"/>
      <w:r>
        <w:lastRenderedPageBreak/>
        <w:t xml:space="preserve">Table </w:t>
      </w:r>
      <w:r w:rsidR="00261A1E">
        <w:t>2:</w:t>
      </w:r>
      <w:r>
        <w:t xml:space="preserve"> Summary of Toddler Safety Populations Included in this submission, Catch-up Subjects</w:t>
      </w:r>
      <w:bookmarkEnd w:id="84"/>
    </w:p>
    <w:p w14:paraId="42AF9BB7" w14:textId="77777777" w:rsidR="00CB1F4E" w:rsidRPr="00B30E10" w:rsidRDefault="00CB1F4E" w:rsidP="00CB1F4E">
      <w:r>
        <w:rPr>
          <w:noProof/>
          <w:lang w:eastAsia="en-AU"/>
        </w:rPr>
        <w:drawing>
          <wp:inline distT="0" distB="0" distL="0" distR="0" wp14:anchorId="10D52519" wp14:editId="5BFCD88B">
            <wp:extent cx="4691380" cy="1033780"/>
            <wp:effectExtent l="0" t="0" r="0" b="0"/>
            <wp:docPr id="37" name="Picture 37" descr="Table 2: Summary of Toddler Safety Populations Included in this submission, Catch-up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4691380" cy="1033780"/>
                    </a:xfrm>
                    <a:prstGeom prst="rect">
                      <a:avLst/>
                    </a:prstGeom>
                    <a:noFill/>
                    <a:ln>
                      <a:noFill/>
                    </a:ln>
                  </pic:spPr>
                </pic:pic>
              </a:graphicData>
            </a:graphic>
          </wp:inline>
        </w:drawing>
      </w:r>
    </w:p>
    <w:p w14:paraId="63239A2D" w14:textId="77777777" w:rsidR="00F74342" w:rsidRDefault="00CB1F4E" w:rsidP="00261A1E">
      <w:pPr>
        <w:pStyle w:val="TableDescription"/>
      </w:pPr>
      <w:r w:rsidRPr="00B30E10">
        <w:t xml:space="preserve">a V59P8: a single dose given alone at 12 to 23 months of age or a single dose given with </w:t>
      </w:r>
      <w:proofErr w:type="spellStart"/>
      <w:r w:rsidRPr="00B30E10">
        <w:t>Prevnar</w:t>
      </w:r>
      <w:proofErr w:type="spellEnd"/>
      <w:r w:rsidRPr="00B30E10">
        <w:t xml:space="preserve"> at 12 to 15</w:t>
      </w:r>
      <w:r>
        <w:t xml:space="preserve"> </w:t>
      </w:r>
      <w:r w:rsidRPr="00B30E10">
        <w:t xml:space="preserve">months or </w:t>
      </w:r>
      <w:proofErr w:type="spellStart"/>
      <w:r w:rsidRPr="00B30E10">
        <w:t>DTaP</w:t>
      </w:r>
      <w:proofErr w:type="spellEnd"/>
      <w:r w:rsidRPr="00B30E10">
        <w:t xml:space="preserve"> at 16 to 23 months of age.</w:t>
      </w:r>
      <w:r>
        <w:t xml:space="preserve"> </w:t>
      </w:r>
      <w:proofErr w:type="gramStart"/>
      <w:r w:rsidRPr="00B30E10">
        <w:t>b</w:t>
      </w:r>
      <w:proofErr w:type="gramEnd"/>
      <w:r w:rsidRPr="00B30E10">
        <w:t xml:space="preserve"> V59P9: 2 doses given at 6 and 12 months of age; 6-month dose was concomitant with </w:t>
      </w:r>
      <w:proofErr w:type="spellStart"/>
      <w:r w:rsidRPr="00B30E10">
        <w:t>Pentacel</w:t>
      </w:r>
      <w:proofErr w:type="spellEnd"/>
      <w:r w:rsidRPr="00B30E10">
        <w:t xml:space="preserve"> and</w:t>
      </w:r>
      <w:r>
        <w:t xml:space="preserve"> </w:t>
      </w:r>
      <w:proofErr w:type="spellStart"/>
      <w:r w:rsidRPr="00B30E10">
        <w:t>Prevnar</w:t>
      </w:r>
      <w:proofErr w:type="spellEnd"/>
      <w:r w:rsidRPr="00B30E10">
        <w:t xml:space="preserve"> and 12-month dose was given with </w:t>
      </w:r>
      <w:proofErr w:type="spellStart"/>
      <w:r w:rsidRPr="00B30E10">
        <w:t>Prevnar</w:t>
      </w:r>
      <w:proofErr w:type="spellEnd"/>
      <w:r w:rsidRPr="00B30E10">
        <w:t>.</w:t>
      </w:r>
      <w:r>
        <w:t xml:space="preserve"> </w:t>
      </w:r>
      <w:proofErr w:type="gramStart"/>
      <w:r w:rsidRPr="00B30E10">
        <w:t>c</w:t>
      </w:r>
      <w:proofErr w:type="gramEnd"/>
      <w:r w:rsidRPr="00B30E10">
        <w:t xml:space="preserve"> V59P14: Includes study groups US2, US4a, US4b, LA2, LA4, LA6a, and LA6b (groups described in ISE:</w:t>
      </w:r>
      <w:r>
        <w:t xml:space="preserve"> </w:t>
      </w:r>
      <w:r w:rsidRPr="00B30E10">
        <w:t>section 2.1).</w:t>
      </w:r>
      <w:r>
        <w:t xml:space="preserve"> </w:t>
      </w:r>
      <w:proofErr w:type="gramStart"/>
      <w:r w:rsidRPr="00B30E10">
        <w:t>d</w:t>
      </w:r>
      <w:proofErr w:type="gramEnd"/>
      <w:r w:rsidRPr="00B30E10">
        <w:t xml:space="preserve"> Control subjects during the infant series who had visits where they were to receive </w:t>
      </w:r>
      <w:proofErr w:type="spellStart"/>
      <w:r w:rsidRPr="00B30E10">
        <w:t>MenACWY</w:t>
      </w:r>
      <w:proofErr w:type="spellEnd"/>
      <w:r w:rsidRPr="00B30E10">
        <w:t xml:space="preserve"> during</w:t>
      </w:r>
      <w:r>
        <w:t xml:space="preserve"> </w:t>
      </w:r>
      <w:r w:rsidRPr="00B30E10">
        <w:t>their toddler year at either 12 and 15 months of age or 13 and 15 month</w:t>
      </w:r>
      <w:r>
        <w:t xml:space="preserve">s of age. The 12-month dose was </w:t>
      </w:r>
      <w:r w:rsidRPr="00B30E10">
        <w:t xml:space="preserve">given concomitantly with </w:t>
      </w:r>
      <w:proofErr w:type="spellStart"/>
      <w:r w:rsidRPr="00B30E10">
        <w:t>ProQuad</w:t>
      </w:r>
      <w:proofErr w:type="spellEnd"/>
      <w:r w:rsidRPr="00B30E10">
        <w:t>,</w:t>
      </w:r>
      <w:r>
        <w:t xml:space="preserve"> </w:t>
      </w:r>
      <w:proofErr w:type="spellStart"/>
      <w:r>
        <w:t>Prevnar</w:t>
      </w:r>
      <w:proofErr w:type="spellEnd"/>
      <w:r>
        <w:t xml:space="preserve">, and </w:t>
      </w:r>
      <w:proofErr w:type="spellStart"/>
      <w:r>
        <w:t>Havrix</w:t>
      </w:r>
      <w:proofErr w:type="spellEnd"/>
      <w:r w:rsidR="00F74342">
        <w:t>.</w:t>
      </w:r>
    </w:p>
    <w:p w14:paraId="18B644BE" w14:textId="719102C1" w:rsidR="00605AD4" w:rsidRDefault="00605AD4" w:rsidP="00605AD4">
      <w:pPr>
        <w:pStyle w:val="Heading4"/>
      </w:pPr>
      <w:proofErr w:type="spellStart"/>
      <w:r w:rsidRPr="00605AD4">
        <w:t>Postmarketing</w:t>
      </w:r>
      <w:proofErr w:type="spellEnd"/>
      <w:r w:rsidRPr="00605AD4">
        <w:t xml:space="preserve"> data</w:t>
      </w:r>
    </w:p>
    <w:p w14:paraId="2377DB42" w14:textId="77777777" w:rsidR="00CB1F4E" w:rsidRPr="00CB1F4E" w:rsidRDefault="00CB1F4E" w:rsidP="00CB1F4E">
      <w:r w:rsidRPr="00CB1F4E">
        <w:t xml:space="preserve">There are 4 post-marketing studies completed, reports submitted late (April 2017). These are briefly summarised </w:t>
      </w:r>
      <w:r w:rsidR="0037251C">
        <w:t xml:space="preserve">under </w:t>
      </w:r>
      <w:proofErr w:type="spellStart"/>
      <w:r w:rsidR="0037251C">
        <w:t>Postmarketing</w:t>
      </w:r>
      <w:proofErr w:type="spellEnd"/>
      <w:r w:rsidR="0037251C">
        <w:t xml:space="preserve"> in Attachment 2</w:t>
      </w:r>
      <w:r w:rsidRPr="00CB1F4E">
        <w:t>.</w:t>
      </w:r>
    </w:p>
    <w:p w14:paraId="48232939" w14:textId="77777777" w:rsidR="00605AD4" w:rsidRPr="00605AD4" w:rsidRDefault="00605AD4" w:rsidP="00605AD4">
      <w:pPr>
        <w:pStyle w:val="Heading4"/>
      </w:pPr>
      <w:r w:rsidRPr="00605AD4">
        <w:t>Evaluator’s conclusions on safety</w:t>
      </w:r>
    </w:p>
    <w:p w14:paraId="07F15D08" w14:textId="77777777" w:rsidR="00CB1F4E" w:rsidRPr="00CB1F4E" w:rsidRDefault="00CB1F4E" w:rsidP="00CB1F4E">
      <w:r w:rsidRPr="00CB1F4E">
        <w:t xml:space="preserve">Overall, </w:t>
      </w:r>
      <w:proofErr w:type="spellStart"/>
      <w:r w:rsidRPr="00CB1F4E">
        <w:t>MenACWY</w:t>
      </w:r>
      <w:proofErr w:type="spellEnd"/>
      <w:r w:rsidRPr="00CB1F4E">
        <w:t xml:space="preserve"> has an acceptable safety profile in infants and toddlers 2 to 23 months of age based on data from 8735 infants enrolled to receive the </w:t>
      </w:r>
      <w:r w:rsidR="00306FB2">
        <w:t>4 dose</w:t>
      </w:r>
      <w:r w:rsidRPr="00CB1F4E">
        <w:t xml:space="preserve"> infant series and 1985 older infants and toddlers receiving </w:t>
      </w:r>
      <w:proofErr w:type="spellStart"/>
      <w:r w:rsidRPr="00CB1F4E">
        <w:t>MenACWY</w:t>
      </w:r>
      <w:proofErr w:type="spellEnd"/>
      <w:r w:rsidRPr="00CB1F4E">
        <w:t xml:space="preserve">. The majority of local and systemic AEs reported after </w:t>
      </w:r>
      <w:proofErr w:type="spellStart"/>
      <w:r w:rsidRPr="00CB1F4E">
        <w:t>MenACWY</w:t>
      </w:r>
      <w:proofErr w:type="spellEnd"/>
      <w:r w:rsidRPr="00CB1F4E">
        <w:t xml:space="preserve"> occurred within the first 3 days post vaccination; they were mostly of mild to moderate severity and transient duration. Overall, the frequency and character of the unsolicited AEs were similar between </w:t>
      </w:r>
      <w:proofErr w:type="spellStart"/>
      <w:r w:rsidRPr="00CB1F4E">
        <w:t>MenACWY</w:t>
      </w:r>
      <w:proofErr w:type="spellEnd"/>
      <w:r w:rsidRPr="00CB1F4E">
        <w:t xml:space="preserve"> and control groups. The majority of local and systemic AEs reported after </w:t>
      </w:r>
      <w:proofErr w:type="spellStart"/>
      <w:r w:rsidRPr="00CB1F4E">
        <w:t>MenACWY</w:t>
      </w:r>
      <w:proofErr w:type="spellEnd"/>
      <w:r w:rsidRPr="00CB1F4E">
        <w:t xml:space="preserve"> occurred within the first 3 days post vaccination; they were mostly of mild to moderate severity and transient duration.</w:t>
      </w:r>
    </w:p>
    <w:p w14:paraId="518AAFE8" w14:textId="77777777" w:rsidR="00CB1F4E" w:rsidRPr="00CB1F4E" w:rsidRDefault="00CB1F4E" w:rsidP="00CB1F4E">
      <w:r w:rsidRPr="00CB1F4E">
        <w:t xml:space="preserve">The overall </w:t>
      </w:r>
      <w:proofErr w:type="spellStart"/>
      <w:r w:rsidRPr="00CB1F4E">
        <w:t>MenACWY</w:t>
      </w:r>
      <w:proofErr w:type="spellEnd"/>
      <w:r w:rsidRPr="00CB1F4E">
        <w:t xml:space="preserve"> </w:t>
      </w:r>
      <w:proofErr w:type="spellStart"/>
      <w:r w:rsidRPr="00CB1F4E">
        <w:t>reactogenicity</w:t>
      </w:r>
      <w:proofErr w:type="spellEnd"/>
      <w:r w:rsidRPr="00CB1F4E">
        <w:t xml:space="preserve"> profile tended to be comparable to that observed for the US</w:t>
      </w:r>
      <w:r w:rsidR="0037251C">
        <w:t xml:space="preserve"> </w:t>
      </w:r>
      <w:r w:rsidRPr="00CB1F4E">
        <w:t xml:space="preserve">licensed conjugate vaccine, </w:t>
      </w:r>
      <w:proofErr w:type="spellStart"/>
      <w:r w:rsidRPr="00CB1F4E">
        <w:t>Menactra</w:t>
      </w:r>
      <w:proofErr w:type="spellEnd"/>
      <w:r w:rsidRPr="00CB1F4E">
        <w:t xml:space="preserve">; </w:t>
      </w:r>
      <w:proofErr w:type="spellStart"/>
      <w:r w:rsidRPr="00CB1F4E">
        <w:t>MenACWY</w:t>
      </w:r>
      <w:proofErr w:type="spellEnd"/>
      <w:r w:rsidRPr="00CB1F4E">
        <w:t xml:space="preserve"> appeared to be slightly more </w:t>
      </w:r>
      <w:proofErr w:type="spellStart"/>
      <w:r w:rsidRPr="00CB1F4E">
        <w:t>reactogenic</w:t>
      </w:r>
      <w:proofErr w:type="spellEnd"/>
      <w:r w:rsidRPr="00CB1F4E">
        <w:t xml:space="preserve"> than the US</w:t>
      </w:r>
      <w:r w:rsidR="0037251C">
        <w:t xml:space="preserve"> </w:t>
      </w:r>
      <w:r w:rsidRPr="00CB1F4E">
        <w:t xml:space="preserve">licensed polysaccharide comparator </w:t>
      </w:r>
      <w:proofErr w:type="spellStart"/>
      <w:r w:rsidRPr="00CB1F4E">
        <w:t>Menomune</w:t>
      </w:r>
      <w:proofErr w:type="spellEnd"/>
      <w:r w:rsidRPr="00CB1F4E">
        <w:t xml:space="preserve"> (particularly the incidence of severe erythema (of transient duration, usually less than 3 days). The majority of local and systemic reactions reported after </w:t>
      </w:r>
      <w:proofErr w:type="spellStart"/>
      <w:r w:rsidRPr="00CB1F4E">
        <w:t>MenACWY</w:t>
      </w:r>
      <w:proofErr w:type="spellEnd"/>
      <w:r w:rsidRPr="00CB1F4E">
        <w:t xml:space="preserve"> occurred within the first 3 days </w:t>
      </w:r>
      <w:proofErr w:type="spellStart"/>
      <w:r w:rsidRPr="00CB1F4E">
        <w:t>postvaccination</w:t>
      </w:r>
      <w:proofErr w:type="spellEnd"/>
      <w:r w:rsidRPr="00CB1F4E">
        <w:t xml:space="preserve">; they were mostly of mild to moderate severity and transient duration. Study P59_34OB found an increased risk of Bell’s palsy after </w:t>
      </w:r>
      <w:proofErr w:type="spellStart"/>
      <w:r w:rsidRPr="00CB1F4E">
        <w:t>MenACWY</w:t>
      </w:r>
      <w:proofErr w:type="spellEnd"/>
      <w:r w:rsidRPr="00CB1F4E">
        <w:t>, especially when combined with other routine vaccinations and this association needs further investigation.</w:t>
      </w:r>
    </w:p>
    <w:p w14:paraId="508B335E" w14:textId="77777777" w:rsidR="00605AD4" w:rsidRPr="00605AD4" w:rsidRDefault="00605AD4" w:rsidP="00605AD4">
      <w:pPr>
        <w:pStyle w:val="Heading3"/>
        <w:rPr>
          <w:rFonts w:eastAsia="Cambria"/>
        </w:rPr>
      </w:pPr>
      <w:bookmarkStart w:id="85" w:name="_Toc511377352"/>
      <w:r w:rsidRPr="00605AD4">
        <w:rPr>
          <w:rFonts w:eastAsia="Cambria"/>
        </w:rPr>
        <w:t>First Round Benefit-Risk Assessment</w:t>
      </w:r>
      <w:bookmarkEnd w:id="85"/>
    </w:p>
    <w:p w14:paraId="073E800F" w14:textId="77777777" w:rsidR="00CB1F4E" w:rsidRPr="00545B14" w:rsidRDefault="00CB1F4E" w:rsidP="00CB1F4E">
      <w:pPr>
        <w:pStyle w:val="Heading4"/>
      </w:pPr>
      <w:bookmarkStart w:id="86" w:name="_Toc236802592"/>
      <w:bookmarkStart w:id="87" w:name="_Toc241374331"/>
      <w:bookmarkStart w:id="88" w:name="_Ref272160836"/>
      <w:bookmarkStart w:id="89" w:name="_Toc272414693"/>
      <w:bookmarkStart w:id="90" w:name="_Toc290888557"/>
      <w:bookmarkStart w:id="91" w:name="_Toc416353772"/>
      <w:bookmarkStart w:id="92" w:name="_Toc421005314"/>
      <w:bookmarkStart w:id="93" w:name="_Toc432079185"/>
      <w:bookmarkStart w:id="94" w:name="_Toc432080758"/>
      <w:bookmarkStart w:id="95" w:name="_Toc479327290"/>
      <w:r w:rsidRPr="00545B14">
        <w:t xml:space="preserve">First round assessment of </w:t>
      </w:r>
      <w:r w:rsidRPr="000D5752">
        <w:t>benefits</w:t>
      </w:r>
      <w:bookmarkEnd w:id="86"/>
      <w:bookmarkEnd w:id="87"/>
      <w:bookmarkEnd w:id="88"/>
      <w:bookmarkEnd w:id="89"/>
      <w:bookmarkEnd w:id="90"/>
      <w:bookmarkEnd w:id="91"/>
      <w:bookmarkEnd w:id="92"/>
      <w:bookmarkEnd w:id="93"/>
      <w:bookmarkEnd w:id="94"/>
      <w:bookmarkEnd w:id="95"/>
      <w:r>
        <w:t xml:space="preserve"> </w:t>
      </w:r>
    </w:p>
    <w:tbl>
      <w:tblPr>
        <w:tblStyle w:val="TableGrid"/>
        <w:tblW w:w="0" w:type="auto"/>
        <w:tblInd w:w="108" w:type="dxa"/>
        <w:tblLook w:val="04A0" w:firstRow="1" w:lastRow="0" w:firstColumn="1" w:lastColumn="0" w:noHBand="0" w:noVBand="1"/>
        <w:tblDescription w:val="First Round Benefit-Risk Assessment"/>
      </w:tblPr>
      <w:tblGrid>
        <w:gridCol w:w="3544"/>
        <w:gridCol w:w="5068"/>
      </w:tblGrid>
      <w:tr w:rsidR="00CB1F4E" w:rsidRPr="00C37A1D" w14:paraId="7AC3CF49" w14:textId="77777777" w:rsidTr="00CB1F4E">
        <w:trPr>
          <w:tblHeader/>
        </w:trPr>
        <w:tc>
          <w:tcPr>
            <w:tcW w:w="8612" w:type="dxa"/>
            <w:gridSpan w:val="2"/>
            <w:shd w:val="clear" w:color="auto" w:fill="006DA7" w:themeFill="accent3"/>
          </w:tcPr>
          <w:p w14:paraId="03C369F0" w14:textId="77777777" w:rsidR="00CB1F4E" w:rsidRPr="0013182D" w:rsidRDefault="00CB1F4E" w:rsidP="0025045A">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CB1F4E" w:rsidRPr="00C37A1D" w14:paraId="46E068C7" w14:textId="77777777" w:rsidTr="0037251C">
        <w:trPr>
          <w:tblHeader/>
        </w:trPr>
        <w:tc>
          <w:tcPr>
            <w:tcW w:w="3544" w:type="dxa"/>
            <w:shd w:val="clear" w:color="auto" w:fill="00517D" w:themeFill="accent3" w:themeFillShade="BF"/>
          </w:tcPr>
          <w:p w14:paraId="44F41F14" w14:textId="77777777" w:rsidR="00CB1F4E" w:rsidRPr="0013182D" w:rsidRDefault="00CB1F4E" w:rsidP="0025045A">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5068" w:type="dxa"/>
            <w:shd w:val="clear" w:color="auto" w:fill="00517D" w:themeFill="accent3" w:themeFillShade="BF"/>
          </w:tcPr>
          <w:p w14:paraId="645909F8" w14:textId="77777777" w:rsidR="00CB1F4E" w:rsidRPr="0013182D" w:rsidRDefault="00CB1F4E" w:rsidP="0025045A">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CB1F4E" w:rsidRPr="00C37A1D" w14:paraId="7A48198E" w14:textId="77777777" w:rsidTr="00F322E8">
        <w:tc>
          <w:tcPr>
            <w:tcW w:w="3544" w:type="dxa"/>
            <w:vAlign w:val="center"/>
          </w:tcPr>
          <w:p w14:paraId="2A207389" w14:textId="77777777" w:rsidR="00CB1F4E" w:rsidRPr="0037251C" w:rsidRDefault="00CB1F4E" w:rsidP="00F322E8">
            <w:pPr>
              <w:rPr>
                <w:rFonts w:asciiTheme="minorHAnsi" w:hAnsiTheme="minorHAnsi" w:cstheme="minorHAnsi"/>
                <w:sz w:val="20"/>
                <w:szCs w:val="20"/>
              </w:rPr>
            </w:pPr>
            <w:r w:rsidRPr="0037251C">
              <w:rPr>
                <w:rFonts w:asciiTheme="minorHAnsi" w:hAnsiTheme="minorHAnsi" w:cstheme="minorHAnsi"/>
                <w:sz w:val="20"/>
                <w:szCs w:val="20"/>
              </w:rPr>
              <w:t xml:space="preserve">Prevention of invasive meningococcal disease in infants (&lt;2) and children </w:t>
            </w:r>
            <w:r w:rsidR="00746C7F" w:rsidRPr="0037251C">
              <w:rPr>
                <w:rFonts w:asciiTheme="minorHAnsi" w:hAnsiTheme="minorHAnsi" w:cstheme="minorHAnsi"/>
                <w:sz w:val="20"/>
                <w:szCs w:val="20"/>
              </w:rPr>
              <w:t>2 to 10</w:t>
            </w:r>
            <w:r w:rsidRPr="0037251C">
              <w:rPr>
                <w:rFonts w:asciiTheme="minorHAnsi" w:hAnsiTheme="minorHAnsi" w:cstheme="minorHAnsi"/>
                <w:sz w:val="20"/>
                <w:szCs w:val="20"/>
              </w:rPr>
              <w:t xml:space="preserve"> years.</w:t>
            </w:r>
          </w:p>
          <w:p w14:paraId="186FF6BF" w14:textId="77777777" w:rsidR="00CB1F4E" w:rsidRPr="0037251C" w:rsidRDefault="00CB1F4E" w:rsidP="00F322E8">
            <w:pPr>
              <w:rPr>
                <w:rFonts w:asciiTheme="minorHAnsi" w:hAnsiTheme="minorHAnsi" w:cstheme="minorHAnsi"/>
                <w:sz w:val="20"/>
                <w:szCs w:val="20"/>
              </w:rPr>
            </w:pPr>
            <w:r w:rsidRPr="0037251C">
              <w:rPr>
                <w:rFonts w:asciiTheme="minorHAnsi" w:hAnsiTheme="minorHAnsi" w:cstheme="minorHAnsi"/>
                <w:sz w:val="20"/>
                <w:szCs w:val="20"/>
              </w:rPr>
              <w:lastRenderedPageBreak/>
              <w:t>Acceptable safety profile</w:t>
            </w:r>
          </w:p>
        </w:tc>
        <w:tc>
          <w:tcPr>
            <w:tcW w:w="5068" w:type="dxa"/>
          </w:tcPr>
          <w:p w14:paraId="1A59CD7D" w14:textId="77777777" w:rsidR="00CB1F4E" w:rsidRPr="0037251C" w:rsidRDefault="00CB1F4E" w:rsidP="0025045A">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37251C">
              <w:rPr>
                <w:rFonts w:asciiTheme="minorHAnsi" w:hAnsiTheme="minorHAnsi" w:cstheme="minorHAnsi"/>
                <w:sz w:val="20"/>
                <w:szCs w:val="20"/>
              </w:rPr>
              <w:lastRenderedPageBreak/>
              <w:t xml:space="preserve">In infants and toddlers, aged 2 to 23 months, </w:t>
            </w:r>
            <w:proofErr w:type="spellStart"/>
            <w:r w:rsidRPr="0037251C">
              <w:rPr>
                <w:rFonts w:asciiTheme="minorHAnsi" w:hAnsiTheme="minorHAnsi" w:cstheme="minorHAnsi"/>
                <w:sz w:val="20"/>
                <w:szCs w:val="20"/>
              </w:rPr>
              <w:t>MenACWY</w:t>
            </w:r>
            <w:proofErr w:type="spellEnd"/>
            <w:r w:rsidRPr="0037251C">
              <w:rPr>
                <w:rFonts w:asciiTheme="minorHAnsi" w:hAnsiTheme="minorHAnsi" w:cstheme="minorHAnsi"/>
                <w:sz w:val="20"/>
                <w:szCs w:val="20"/>
              </w:rPr>
              <w:t xml:space="preserve"> has been shown to be highly immunogenic in infants, with a high proportion of subjects achieving </w:t>
            </w:r>
            <w:proofErr w:type="spellStart"/>
            <w:r w:rsidRPr="0037251C">
              <w:rPr>
                <w:rFonts w:asciiTheme="minorHAnsi" w:hAnsiTheme="minorHAnsi" w:cstheme="minorHAnsi"/>
                <w:sz w:val="20"/>
                <w:szCs w:val="20"/>
              </w:rPr>
              <w:t>hSBA</w:t>
            </w:r>
            <w:proofErr w:type="spellEnd"/>
            <w:r w:rsidRPr="0037251C">
              <w:rPr>
                <w:rFonts w:asciiTheme="minorHAnsi" w:hAnsiTheme="minorHAnsi" w:cstheme="minorHAnsi"/>
                <w:sz w:val="20"/>
                <w:szCs w:val="20"/>
              </w:rPr>
              <w:t xml:space="preserve"> </w:t>
            </w:r>
            <w:r w:rsidR="00B07393">
              <w:rPr>
                <w:rFonts w:asciiTheme="minorHAnsi" w:hAnsiTheme="minorHAnsi" w:cstheme="minorHAnsi"/>
                <w:sz w:val="20"/>
                <w:szCs w:val="20"/>
              </w:rPr>
              <w:t xml:space="preserve">≥ </w:t>
            </w:r>
            <w:r w:rsidRPr="0037251C">
              <w:rPr>
                <w:rFonts w:asciiTheme="minorHAnsi" w:hAnsiTheme="minorHAnsi" w:cstheme="minorHAnsi"/>
                <w:sz w:val="20"/>
                <w:szCs w:val="20"/>
              </w:rPr>
              <w:t xml:space="preserve">1:8 </w:t>
            </w:r>
            <w:r w:rsidRPr="0037251C">
              <w:rPr>
                <w:rFonts w:asciiTheme="minorHAnsi" w:hAnsiTheme="minorHAnsi" w:cstheme="minorHAnsi"/>
                <w:sz w:val="20"/>
                <w:szCs w:val="20"/>
              </w:rPr>
              <w:lastRenderedPageBreak/>
              <w:t xml:space="preserve">for all serogroups using a validated bactericidal antibody assay after a </w:t>
            </w:r>
            <w:r w:rsidR="00306FB2" w:rsidRPr="0037251C">
              <w:rPr>
                <w:rFonts w:asciiTheme="minorHAnsi" w:hAnsiTheme="minorHAnsi" w:cstheme="minorHAnsi"/>
                <w:sz w:val="20"/>
                <w:szCs w:val="20"/>
              </w:rPr>
              <w:t>4 dose</w:t>
            </w:r>
            <w:r w:rsidRPr="0037251C">
              <w:rPr>
                <w:rFonts w:asciiTheme="minorHAnsi" w:hAnsiTheme="minorHAnsi" w:cstheme="minorHAnsi"/>
                <w:sz w:val="20"/>
                <w:szCs w:val="20"/>
              </w:rPr>
              <w:t xml:space="preserve"> series beginning from 2 months of age or as a </w:t>
            </w:r>
            <w:r w:rsidR="00306FB2" w:rsidRPr="0037251C">
              <w:rPr>
                <w:rFonts w:asciiTheme="minorHAnsi" w:hAnsiTheme="minorHAnsi" w:cstheme="minorHAnsi"/>
                <w:sz w:val="20"/>
                <w:szCs w:val="20"/>
              </w:rPr>
              <w:t>2 dose</w:t>
            </w:r>
            <w:r w:rsidRPr="0037251C">
              <w:rPr>
                <w:rFonts w:asciiTheme="minorHAnsi" w:hAnsiTheme="minorHAnsi" w:cstheme="minorHAnsi"/>
                <w:sz w:val="20"/>
                <w:szCs w:val="20"/>
              </w:rPr>
              <w:t xml:space="preserve"> catch-up series beginning from 6 months of age. In </w:t>
            </w:r>
            <w:r w:rsidR="006571F8" w:rsidRPr="0037251C">
              <w:rPr>
                <w:rFonts w:asciiTheme="minorHAnsi" w:hAnsiTheme="minorHAnsi" w:cstheme="minorHAnsi"/>
                <w:sz w:val="20"/>
                <w:szCs w:val="20"/>
              </w:rPr>
              <w:t>Study V59</w:t>
            </w:r>
            <w:r w:rsidRPr="0037251C">
              <w:rPr>
                <w:rFonts w:asciiTheme="minorHAnsi" w:hAnsiTheme="minorHAnsi" w:cstheme="minorHAnsi"/>
                <w:sz w:val="20"/>
                <w:szCs w:val="20"/>
              </w:rPr>
              <w:t xml:space="preserve">P14 and </w:t>
            </w:r>
            <w:r w:rsidR="006571F8" w:rsidRPr="0037251C">
              <w:rPr>
                <w:rFonts w:asciiTheme="minorHAnsi" w:hAnsiTheme="minorHAnsi" w:cstheme="minorHAnsi"/>
                <w:sz w:val="20"/>
                <w:szCs w:val="20"/>
              </w:rPr>
              <w:t>Study V59</w:t>
            </w:r>
            <w:r w:rsidRPr="0037251C">
              <w:rPr>
                <w:rFonts w:asciiTheme="minorHAnsi" w:hAnsiTheme="minorHAnsi" w:cstheme="minorHAnsi"/>
                <w:sz w:val="20"/>
                <w:szCs w:val="20"/>
              </w:rPr>
              <w:t xml:space="preserve">_33, the predefined success criteria for the proportion of subjects with </w:t>
            </w:r>
            <w:proofErr w:type="spellStart"/>
            <w:r w:rsidRPr="0037251C">
              <w:rPr>
                <w:rFonts w:asciiTheme="minorHAnsi" w:hAnsiTheme="minorHAnsi" w:cstheme="minorHAnsi"/>
                <w:sz w:val="20"/>
                <w:szCs w:val="20"/>
              </w:rPr>
              <w:t>hSBA</w:t>
            </w:r>
            <w:proofErr w:type="spellEnd"/>
            <w:r w:rsidRPr="0037251C">
              <w:rPr>
                <w:rFonts w:asciiTheme="minorHAnsi" w:hAnsiTheme="minorHAnsi" w:cstheme="minorHAnsi"/>
                <w:sz w:val="20"/>
                <w:szCs w:val="20"/>
              </w:rPr>
              <w:t xml:space="preserve"> </w:t>
            </w:r>
            <w:r w:rsidR="00B07393">
              <w:rPr>
                <w:rFonts w:asciiTheme="minorHAnsi" w:hAnsiTheme="minorHAnsi" w:cstheme="minorHAnsi"/>
                <w:sz w:val="20"/>
                <w:szCs w:val="20"/>
              </w:rPr>
              <w:t xml:space="preserve">≥ </w:t>
            </w:r>
            <w:r w:rsidRPr="0037251C">
              <w:rPr>
                <w:rFonts w:asciiTheme="minorHAnsi" w:hAnsiTheme="minorHAnsi" w:cstheme="minorHAnsi"/>
                <w:sz w:val="20"/>
                <w:szCs w:val="20"/>
              </w:rPr>
              <w:t>1:8 post-dose 4 were met for all serogroups.</w:t>
            </w:r>
          </w:p>
          <w:p w14:paraId="022CEE8F" w14:textId="77777777" w:rsidR="00CB1F4E" w:rsidRPr="0037251C" w:rsidRDefault="00CB1F4E" w:rsidP="0025045A">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37251C">
              <w:rPr>
                <w:rFonts w:asciiTheme="minorHAnsi" w:hAnsiTheme="minorHAnsi" w:cstheme="minorHAnsi"/>
                <w:sz w:val="20"/>
                <w:szCs w:val="20"/>
              </w:rPr>
              <w:t xml:space="preserve">The post-dose 4 success criteria for the proportion of subjects with </w:t>
            </w:r>
            <w:proofErr w:type="spellStart"/>
            <w:r w:rsidRPr="0037251C">
              <w:rPr>
                <w:rFonts w:asciiTheme="minorHAnsi" w:hAnsiTheme="minorHAnsi" w:cstheme="minorHAnsi"/>
                <w:sz w:val="20"/>
                <w:szCs w:val="20"/>
              </w:rPr>
              <w:t>hSBA</w:t>
            </w:r>
            <w:proofErr w:type="spellEnd"/>
            <w:r w:rsidRPr="0037251C">
              <w:rPr>
                <w:rFonts w:asciiTheme="minorHAnsi" w:hAnsiTheme="minorHAnsi" w:cstheme="minorHAnsi"/>
                <w:sz w:val="20"/>
                <w:szCs w:val="20"/>
              </w:rPr>
              <w:t xml:space="preserve"> </w:t>
            </w:r>
            <w:r w:rsidR="00B07393">
              <w:rPr>
                <w:rFonts w:asciiTheme="minorHAnsi" w:hAnsiTheme="minorHAnsi" w:cstheme="minorHAnsi"/>
                <w:sz w:val="20"/>
                <w:szCs w:val="20"/>
              </w:rPr>
              <w:t xml:space="preserve">≥ </w:t>
            </w:r>
            <w:r w:rsidRPr="0037251C">
              <w:rPr>
                <w:rFonts w:asciiTheme="minorHAnsi" w:hAnsiTheme="minorHAnsi" w:cstheme="minorHAnsi"/>
                <w:sz w:val="20"/>
                <w:szCs w:val="20"/>
              </w:rPr>
              <w:t xml:space="preserve">1:8 were met when applied to </w:t>
            </w:r>
            <w:r w:rsidR="00306FB2" w:rsidRPr="0037251C">
              <w:rPr>
                <w:rFonts w:asciiTheme="minorHAnsi" w:hAnsiTheme="minorHAnsi" w:cstheme="minorHAnsi"/>
                <w:sz w:val="20"/>
                <w:szCs w:val="20"/>
              </w:rPr>
              <w:t>2 dose</w:t>
            </w:r>
            <w:r w:rsidR="0037251C">
              <w:rPr>
                <w:rFonts w:asciiTheme="minorHAnsi" w:hAnsiTheme="minorHAnsi" w:cstheme="minorHAnsi"/>
                <w:sz w:val="20"/>
                <w:szCs w:val="20"/>
              </w:rPr>
              <w:t xml:space="preserve"> catch-up series from 2 Phase III</w:t>
            </w:r>
            <w:r w:rsidRPr="0037251C">
              <w:rPr>
                <w:rFonts w:asciiTheme="minorHAnsi" w:hAnsiTheme="minorHAnsi" w:cstheme="minorHAnsi"/>
                <w:sz w:val="20"/>
                <w:szCs w:val="20"/>
              </w:rPr>
              <w:t xml:space="preserve"> studies (V59P14 and V59P21).</w:t>
            </w:r>
          </w:p>
          <w:p w14:paraId="10C895A1" w14:textId="77777777" w:rsidR="00CB1F4E" w:rsidRPr="0037251C" w:rsidRDefault="00CB1F4E" w:rsidP="0025045A">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37251C">
              <w:rPr>
                <w:rFonts w:asciiTheme="minorHAnsi" w:hAnsiTheme="minorHAnsi" w:cstheme="minorHAnsi"/>
                <w:sz w:val="20"/>
                <w:szCs w:val="20"/>
              </w:rPr>
              <w:t xml:space="preserve">In children, aged </w:t>
            </w:r>
            <w:r w:rsidR="00746C7F" w:rsidRPr="0037251C">
              <w:rPr>
                <w:rFonts w:asciiTheme="minorHAnsi" w:hAnsiTheme="minorHAnsi" w:cstheme="minorHAnsi"/>
                <w:sz w:val="20"/>
                <w:szCs w:val="20"/>
              </w:rPr>
              <w:t>2 to 10</w:t>
            </w:r>
            <w:r w:rsidRPr="0037251C">
              <w:rPr>
                <w:rFonts w:asciiTheme="minorHAnsi" w:hAnsiTheme="minorHAnsi" w:cstheme="minorHAnsi"/>
                <w:sz w:val="20"/>
                <w:szCs w:val="20"/>
              </w:rPr>
              <w:t xml:space="preserve"> years, </w:t>
            </w:r>
            <w:proofErr w:type="spellStart"/>
            <w:r w:rsidRPr="0037251C">
              <w:rPr>
                <w:rFonts w:asciiTheme="minorHAnsi" w:hAnsiTheme="minorHAnsi" w:cstheme="minorHAnsi"/>
                <w:sz w:val="20"/>
                <w:szCs w:val="20"/>
              </w:rPr>
              <w:t>MenACWY</w:t>
            </w:r>
            <w:proofErr w:type="spellEnd"/>
            <w:r w:rsidRPr="0037251C">
              <w:rPr>
                <w:rFonts w:asciiTheme="minorHAnsi" w:hAnsiTheme="minorHAnsi" w:cstheme="minorHAnsi"/>
                <w:sz w:val="20"/>
                <w:szCs w:val="20"/>
              </w:rPr>
              <w:t xml:space="preserve"> has been shown to elicit statistically higher immune responses than </w:t>
            </w:r>
            <w:proofErr w:type="spellStart"/>
            <w:r w:rsidRPr="0037251C">
              <w:rPr>
                <w:rFonts w:asciiTheme="minorHAnsi" w:hAnsiTheme="minorHAnsi" w:cstheme="minorHAnsi"/>
                <w:sz w:val="20"/>
                <w:szCs w:val="20"/>
              </w:rPr>
              <w:t>quadrivalent</w:t>
            </w:r>
            <w:proofErr w:type="spellEnd"/>
            <w:r w:rsidRPr="0037251C">
              <w:rPr>
                <w:rFonts w:asciiTheme="minorHAnsi" w:hAnsiTheme="minorHAnsi" w:cstheme="minorHAnsi"/>
                <w:sz w:val="20"/>
                <w:szCs w:val="20"/>
              </w:rPr>
              <w:t xml:space="preserve"> polysaccharide meningococcal vaccines for all four serogroups, and non-inferior to the licensed </w:t>
            </w:r>
            <w:proofErr w:type="spellStart"/>
            <w:r w:rsidRPr="0037251C">
              <w:rPr>
                <w:rFonts w:asciiTheme="minorHAnsi" w:hAnsiTheme="minorHAnsi" w:cstheme="minorHAnsi"/>
                <w:sz w:val="20"/>
                <w:szCs w:val="20"/>
              </w:rPr>
              <w:t>quadrivalent</w:t>
            </w:r>
            <w:proofErr w:type="spellEnd"/>
            <w:r w:rsidRPr="0037251C">
              <w:rPr>
                <w:rFonts w:asciiTheme="minorHAnsi" w:hAnsiTheme="minorHAnsi" w:cstheme="minorHAnsi"/>
                <w:sz w:val="20"/>
                <w:szCs w:val="20"/>
              </w:rPr>
              <w:t xml:space="preserve"> conjugate vaccine </w:t>
            </w:r>
            <w:proofErr w:type="spellStart"/>
            <w:r w:rsidRPr="0037251C">
              <w:rPr>
                <w:rFonts w:asciiTheme="minorHAnsi" w:hAnsiTheme="minorHAnsi" w:cstheme="minorHAnsi"/>
                <w:sz w:val="20"/>
                <w:szCs w:val="20"/>
              </w:rPr>
              <w:t>Menactra</w:t>
            </w:r>
            <w:proofErr w:type="spellEnd"/>
            <w:r w:rsidRPr="0037251C">
              <w:rPr>
                <w:rFonts w:asciiTheme="minorHAnsi" w:hAnsiTheme="minorHAnsi" w:cstheme="minorHAnsi"/>
                <w:sz w:val="20"/>
                <w:szCs w:val="20"/>
              </w:rPr>
              <w:t>.</w:t>
            </w:r>
          </w:p>
          <w:p w14:paraId="7A21055F" w14:textId="77777777" w:rsidR="00CB1F4E" w:rsidRPr="0037251C" w:rsidRDefault="00CB1F4E" w:rsidP="0025045A">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37251C">
              <w:rPr>
                <w:rFonts w:asciiTheme="minorHAnsi" w:hAnsiTheme="minorHAnsi" w:cstheme="minorHAnsi"/>
                <w:sz w:val="20"/>
                <w:szCs w:val="20"/>
              </w:rPr>
              <w:t>Statistical definition of non-inferiority was not met in the 2</w:t>
            </w:r>
            <w:r w:rsidR="0037251C">
              <w:rPr>
                <w:rFonts w:asciiTheme="minorHAnsi" w:hAnsiTheme="minorHAnsi" w:cstheme="minorHAnsi"/>
                <w:sz w:val="20"/>
                <w:szCs w:val="20"/>
              </w:rPr>
              <w:t xml:space="preserve"> to </w:t>
            </w:r>
            <w:r w:rsidRPr="0037251C">
              <w:rPr>
                <w:rFonts w:asciiTheme="minorHAnsi" w:hAnsiTheme="minorHAnsi" w:cstheme="minorHAnsi"/>
                <w:sz w:val="20"/>
                <w:szCs w:val="20"/>
              </w:rPr>
              <w:t>5 and 6</w:t>
            </w:r>
            <w:r w:rsidR="0037251C">
              <w:rPr>
                <w:rFonts w:asciiTheme="minorHAnsi" w:hAnsiTheme="minorHAnsi" w:cstheme="minorHAnsi"/>
                <w:sz w:val="20"/>
                <w:szCs w:val="20"/>
              </w:rPr>
              <w:t xml:space="preserve"> to </w:t>
            </w:r>
            <w:r w:rsidRPr="0037251C">
              <w:rPr>
                <w:rFonts w:asciiTheme="minorHAnsi" w:hAnsiTheme="minorHAnsi" w:cstheme="minorHAnsi"/>
                <w:sz w:val="20"/>
                <w:szCs w:val="20"/>
              </w:rPr>
              <w:t xml:space="preserve">10 age groups for serogroup A, when compared to </w:t>
            </w:r>
            <w:proofErr w:type="spellStart"/>
            <w:r w:rsidRPr="0037251C">
              <w:rPr>
                <w:rFonts w:asciiTheme="minorHAnsi" w:hAnsiTheme="minorHAnsi" w:cstheme="minorHAnsi"/>
                <w:sz w:val="20"/>
                <w:szCs w:val="20"/>
              </w:rPr>
              <w:t>Menactra</w:t>
            </w:r>
            <w:proofErr w:type="spellEnd"/>
            <w:r w:rsidRPr="0037251C">
              <w:rPr>
                <w:rFonts w:asciiTheme="minorHAnsi" w:hAnsiTheme="minorHAnsi" w:cstheme="minorHAnsi"/>
                <w:sz w:val="20"/>
                <w:szCs w:val="20"/>
              </w:rPr>
              <w:t xml:space="preserve"> but was seen in the overall </w:t>
            </w:r>
            <w:r w:rsidR="00746C7F" w:rsidRPr="0037251C">
              <w:rPr>
                <w:rFonts w:asciiTheme="minorHAnsi" w:hAnsiTheme="minorHAnsi" w:cstheme="minorHAnsi"/>
                <w:sz w:val="20"/>
                <w:szCs w:val="20"/>
              </w:rPr>
              <w:t>2 to 10</w:t>
            </w:r>
            <w:r w:rsidRPr="0037251C">
              <w:rPr>
                <w:rFonts w:asciiTheme="minorHAnsi" w:hAnsiTheme="minorHAnsi" w:cstheme="minorHAnsi"/>
                <w:sz w:val="20"/>
                <w:szCs w:val="20"/>
              </w:rPr>
              <w:t xml:space="preserve"> age group.</w:t>
            </w:r>
          </w:p>
          <w:p w14:paraId="5FD81415" w14:textId="279218A7" w:rsidR="00CB1F4E" w:rsidRPr="0037251C" w:rsidRDefault="00CB1F4E" w:rsidP="0025045A">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37251C">
              <w:rPr>
                <w:rFonts w:asciiTheme="minorHAnsi" w:hAnsiTheme="minorHAnsi" w:cstheme="minorHAnsi"/>
                <w:sz w:val="20"/>
                <w:szCs w:val="20"/>
              </w:rPr>
              <w:t xml:space="preserve">Two major risks relate to the immunity against serotype C, especially in relation to currently available monovalent C vaccines available for infants. One risk is that this </w:t>
            </w:r>
            <w:proofErr w:type="spellStart"/>
            <w:r w:rsidRPr="0037251C">
              <w:rPr>
                <w:rFonts w:asciiTheme="minorHAnsi" w:hAnsiTheme="minorHAnsi" w:cstheme="minorHAnsi"/>
                <w:sz w:val="20"/>
                <w:szCs w:val="20"/>
              </w:rPr>
              <w:t>quadrivalent</w:t>
            </w:r>
            <w:proofErr w:type="spellEnd"/>
            <w:r w:rsidRPr="0037251C">
              <w:rPr>
                <w:rFonts w:asciiTheme="minorHAnsi" w:hAnsiTheme="minorHAnsi" w:cstheme="minorHAnsi"/>
                <w:sz w:val="20"/>
                <w:szCs w:val="20"/>
              </w:rPr>
              <w:t xml:space="preserve"> vaccine is not quite as immunogenic against serogroup </w:t>
            </w:r>
            <w:proofErr w:type="gramStart"/>
            <w:r w:rsidRPr="0037251C">
              <w:rPr>
                <w:rFonts w:asciiTheme="minorHAnsi" w:hAnsiTheme="minorHAnsi" w:cstheme="minorHAnsi"/>
                <w:sz w:val="20"/>
                <w:szCs w:val="20"/>
              </w:rPr>
              <w:t>C  and</w:t>
            </w:r>
            <w:proofErr w:type="gramEnd"/>
            <w:r w:rsidRPr="0037251C">
              <w:rPr>
                <w:rFonts w:asciiTheme="minorHAnsi" w:hAnsiTheme="minorHAnsi" w:cstheme="minorHAnsi"/>
                <w:sz w:val="20"/>
                <w:szCs w:val="20"/>
              </w:rPr>
              <w:t xml:space="preserve"> the second, is that there is a dip in immunity prior to the 4 dose (12 months) during which children would be less protected than by the monovalent C vaccine.</w:t>
            </w:r>
          </w:p>
          <w:p w14:paraId="7F874C28" w14:textId="77777777" w:rsidR="00CB1F4E" w:rsidRPr="0037251C" w:rsidRDefault="00CB1F4E" w:rsidP="0025045A">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37251C">
              <w:rPr>
                <w:rFonts w:asciiTheme="minorHAnsi" w:hAnsiTheme="minorHAnsi" w:cstheme="minorHAnsi"/>
                <w:sz w:val="20"/>
                <w:szCs w:val="20"/>
              </w:rPr>
              <w:t xml:space="preserve">The safety database includes 8735 infants who were </w:t>
            </w:r>
            <w:r w:rsidR="00746C7F" w:rsidRPr="0037251C">
              <w:rPr>
                <w:rFonts w:asciiTheme="minorHAnsi" w:hAnsiTheme="minorHAnsi" w:cstheme="minorHAnsi"/>
                <w:sz w:val="20"/>
                <w:szCs w:val="20"/>
              </w:rPr>
              <w:t>randomised</w:t>
            </w:r>
            <w:r w:rsidRPr="0037251C">
              <w:rPr>
                <w:rFonts w:asciiTheme="minorHAnsi" w:hAnsiTheme="minorHAnsi" w:cstheme="minorHAnsi"/>
                <w:sz w:val="20"/>
                <w:szCs w:val="20"/>
              </w:rPr>
              <w:t xml:space="preserve"> to receive a </w:t>
            </w:r>
            <w:r w:rsidR="00306FB2" w:rsidRPr="0037251C">
              <w:rPr>
                <w:rFonts w:asciiTheme="minorHAnsi" w:hAnsiTheme="minorHAnsi" w:cstheme="minorHAnsi"/>
                <w:sz w:val="20"/>
                <w:szCs w:val="20"/>
              </w:rPr>
              <w:t>4 dose</w:t>
            </w:r>
            <w:r w:rsidRPr="0037251C">
              <w:rPr>
                <w:rFonts w:asciiTheme="minorHAnsi" w:hAnsiTheme="minorHAnsi" w:cstheme="minorHAnsi"/>
                <w:sz w:val="20"/>
                <w:szCs w:val="20"/>
              </w:rPr>
              <w:t xml:space="preserve"> series of </w:t>
            </w:r>
            <w:proofErr w:type="spellStart"/>
            <w:r w:rsidRPr="0037251C">
              <w:rPr>
                <w:rFonts w:asciiTheme="minorHAnsi" w:hAnsiTheme="minorHAnsi" w:cstheme="minorHAnsi"/>
                <w:sz w:val="20"/>
                <w:szCs w:val="20"/>
              </w:rPr>
              <w:t>MenACWY</w:t>
            </w:r>
            <w:proofErr w:type="spellEnd"/>
            <w:r w:rsidRPr="0037251C">
              <w:rPr>
                <w:rFonts w:asciiTheme="minorHAnsi" w:hAnsiTheme="minorHAnsi" w:cstheme="minorHAnsi"/>
                <w:sz w:val="20"/>
                <w:szCs w:val="20"/>
              </w:rPr>
              <w:t xml:space="preserve">, as well as 1985 older infants and toddlers to support a </w:t>
            </w:r>
            <w:r w:rsidR="00306FB2" w:rsidRPr="0037251C">
              <w:rPr>
                <w:rFonts w:asciiTheme="minorHAnsi" w:hAnsiTheme="minorHAnsi" w:cstheme="minorHAnsi"/>
                <w:sz w:val="20"/>
                <w:szCs w:val="20"/>
              </w:rPr>
              <w:t>2 dose</w:t>
            </w:r>
            <w:r w:rsidRPr="0037251C">
              <w:rPr>
                <w:rFonts w:asciiTheme="minorHAnsi" w:hAnsiTheme="minorHAnsi" w:cstheme="minorHAnsi"/>
                <w:sz w:val="20"/>
                <w:szCs w:val="20"/>
              </w:rPr>
              <w:t xml:space="preserve"> catch-up series, the vaccine has been shown to be well tolerated with acceptable local and systemic </w:t>
            </w:r>
            <w:proofErr w:type="spellStart"/>
            <w:r w:rsidRPr="0037251C">
              <w:rPr>
                <w:rFonts w:asciiTheme="minorHAnsi" w:hAnsiTheme="minorHAnsi" w:cstheme="minorHAnsi"/>
                <w:sz w:val="20"/>
                <w:szCs w:val="20"/>
              </w:rPr>
              <w:t>reactogenicity</w:t>
            </w:r>
            <w:proofErr w:type="spellEnd"/>
            <w:r w:rsidRPr="0037251C">
              <w:rPr>
                <w:rFonts w:asciiTheme="minorHAnsi" w:hAnsiTheme="minorHAnsi" w:cstheme="minorHAnsi"/>
                <w:sz w:val="20"/>
                <w:szCs w:val="20"/>
              </w:rPr>
              <w:t xml:space="preserve">. </w:t>
            </w:r>
            <w:proofErr w:type="spellStart"/>
            <w:r w:rsidRPr="0037251C">
              <w:rPr>
                <w:rFonts w:asciiTheme="minorHAnsi" w:hAnsiTheme="minorHAnsi" w:cstheme="minorHAnsi"/>
                <w:sz w:val="20"/>
                <w:szCs w:val="20"/>
              </w:rPr>
              <w:t>Reactogenicity</w:t>
            </w:r>
            <w:proofErr w:type="spellEnd"/>
            <w:r w:rsidRPr="0037251C">
              <w:rPr>
                <w:rFonts w:asciiTheme="minorHAnsi" w:hAnsiTheme="minorHAnsi" w:cstheme="minorHAnsi"/>
                <w:sz w:val="20"/>
                <w:szCs w:val="20"/>
              </w:rPr>
              <w:t xml:space="preserve"> probably slightly higher than </w:t>
            </w:r>
            <w:proofErr w:type="spellStart"/>
            <w:r w:rsidRPr="0037251C">
              <w:rPr>
                <w:rFonts w:asciiTheme="minorHAnsi" w:hAnsiTheme="minorHAnsi" w:cstheme="minorHAnsi"/>
                <w:sz w:val="20"/>
                <w:szCs w:val="20"/>
              </w:rPr>
              <w:t>Menomune</w:t>
            </w:r>
            <w:proofErr w:type="spellEnd"/>
            <w:r w:rsidRPr="0037251C">
              <w:rPr>
                <w:rFonts w:asciiTheme="minorHAnsi" w:hAnsiTheme="minorHAnsi" w:cstheme="minorHAnsi"/>
                <w:sz w:val="20"/>
                <w:szCs w:val="20"/>
              </w:rPr>
              <w:t xml:space="preserve"> (polysaccharide vaccine) and similar to other licensed conjugate vaccine (</w:t>
            </w:r>
            <w:proofErr w:type="spellStart"/>
            <w:r w:rsidRPr="0037251C">
              <w:rPr>
                <w:rFonts w:asciiTheme="minorHAnsi" w:hAnsiTheme="minorHAnsi" w:cstheme="minorHAnsi"/>
                <w:sz w:val="20"/>
                <w:szCs w:val="20"/>
              </w:rPr>
              <w:t>Menactra</w:t>
            </w:r>
            <w:proofErr w:type="spellEnd"/>
            <w:r w:rsidRPr="0037251C">
              <w:rPr>
                <w:rFonts w:asciiTheme="minorHAnsi" w:hAnsiTheme="minorHAnsi" w:cstheme="minorHAnsi"/>
                <w:sz w:val="20"/>
                <w:szCs w:val="20"/>
              </w:rPr>
              <w:t>).</w:t>
            </w:r>
          </w:p>
          <w:p w14:paraId="04819545" w14:textId="77777777" w:rsidR="00CB1F4E" w:rsidRPr="0037251C" w:rsidRDefault="00CB1F4E" w:rsidP="0025045A">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37251C">
              <w:rPr>
                <w:rFonts w:asciiTheme="minorHAnsi" w:hAnsiTheme="minorHAnsi" w:cstheme="minorHAnsi"/>
                <w:sz w:val="20"/>
                <w:szCs w:val="20"/>
              </w:rPr>
              <w:t>A recorded incidence of Kawasaki disease in the study population, which is difficult to ascertain whether it is equivalent to that in other similar vaccine populations (and also whether it is similar to non-study paediatric populations). So needs to continue to be examined in post-marketing data.</w:t>
            </w:r>
          </w:p>
        </w:tc>
      </w:tr>
    </w:tbl>
    <w:p w14:paraId="3B096435" w14:textId="26D739A8" w:rsidR="00CB1F4E" w:rsidRPr="000D5752" w:rsidRDefault="00CB1F4E" w:rsidP="00CB1F4E">
      <w:pPr>
        <w:pStyle w:val="Heading4"/>
      </w:pPr>
      <w:bookmarkStart w:id="96" w:name="_Toc236802596"/>
      <w:bookmarkStart w:id="97" w:name="_Toc241374334"/>
      <w:bookmarkStart w:id="98" w:name="_Ref272160964"/>
      <w:bookmarkStart w:id="99" w:name="_Toc272414694"/>
      <w:bookmarkStart w:id="100" w:name="_Toc290888558"/>
      <w:bookmarkStart w:id="101" w:name="_Toc416353773"/>
      <w:bookmarkStart w:id="102" w:name="_Toc421005315"/>
      <w:bookmarkStart w:id="103" w:name="_Toc432079186"/>
      <w:bookmarkStart w:id="104" w:name="_Toc432080759"/>
      <w:bookmarkStart w:id="105" w:name="_Toc479327291"/>
      <w:r w:rsidRPr="000D5752">
        <w:lastRenderedPageBreak/>
        <w:t>First round assessment of risks</w:t>
      </w:r>
      <w:bookmarkEnd w:id="96"/>
      <w:bookmarkEnd w:id="97"/>
      <w:bookmarkEnd w:id="98"/>
      <w:bookmarkEnd w:id="99"/>
      <w:bookmarkEnd w:id="100"/>
      <w:bookmarkEnd w:id="101"/>
      <w:bookmarkEnd w:id="102"/>
      <w:bookmarkEnd w:id="103"/>
      <w:bookmarkEnd w:id="104"/>
      <w:bookmarkEnd w:id="105"/>
    </w:p>
    <w:tbl>
      <w:tblPr>
        <w:tblStyle w:val="TableGrid"/>
        <w:tblW w:w="0" w:type="auto"/>
        <w:tblInd w:w="108" w:type="dxa"/>
        <w:tblLook w:val="04A0" w:firstRow="1" w:lastRow="0" w:firstColumn="1" w:lastColumn="0" w:noHBand="0" w:noVBand="1"/>
        <w:tblDescription w:val="First round assessment of risks"/>
      </w:tblPr>
      <w:tblGrid>
        <w:gridCol w:w="3544"/>
        <w:gridCol w:w="758"/>
        <w:gridCol w:w="4310"/>
      </w:tblGrid>
      <w:tr w:rsidR="00CB1F4E" w:rsidRPr="00C37A1D" w14:paraId="6367B38C" w14:textId="77777777" w:rsidTr="00CB1F4E">
        <w:trPr>
          <w:tblHeader/>
        </w:trPr>
        <w:tc>
          <w:tcPr>
            <w:tcW w:w="4302" w:type="dxa"/>
            <w:gridSpan w:val="2"/>
            <w:shd w:val="clear" w:color="auto" w:fill="006DA7" w:themeFill="accent3"/>
          </w:tcPr>
          <w:p w14:paraId="72561666" w14:textId="77777777" w:rsidR="00CB1F4E" w:rsidRPr="0013182D" w:rsidRDefault="00CB1F4E" w:rsidP="0025045A">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10" w:type="dxa"/>
            <w:shd w:val="clear" w:color="auto" w:fill="006DA7" w:themeFill="accent3"/>
          </w:tcPr>
          <w:p w14:paraId="6BA63C64" w14:textId="77777777" w:rsidR="00CB1F4E" w:rsidRPr="0013182D" w:rsidRDefault="00CB1F4E" w:rsidP="0025045A">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CB1F4E" w:rsidRPr="00C37A1D" w14:paraId="7645363F" w14:textId="77777777" w:rsidTr="0037251C">
        <w:tc>
          <w:tcPr>
            <w:tcW w:w="3544" w:type="dxa"/>
          </w:tcPr>
          <w:p w14:paraId="1C5FFF5E" w14:textId="77777777" w:rsidR="00CB1F4E" w:rsidRPr="0037251C" w:rsidRDefault="00CB1F4E" w:rsidP="0025045A">
            <w:pPr>
              <w:rPr>
                <w:rFonts w:asciiTheme="minorHAnsi" w:hAnsiTheme="minorHAnsi" w:cstheme="minorHAnsi"/>
                <w:sz w:val="20"/>
                <w:szCs w:val="20"/>
              </w:rPr>
            </w:pPr>
            <w:r w:rsidRPr="0037251C">
              <w:rPr>
                <w:rFonts w:asciiTheme="minorHAnsi" w:hAnsiTheme="minorHAnsi" w:cstheme="minorHAnsi"/>
                <w:sz w:val="20"/>
                <w:szCs w:val="20"/>
              </w:rPr>
              <w:t xml:space="preserve">Statistically higher responses followed </w:t>
            </w:r>
            <w:proofErr w:type="spellStart"/>
            <w:r w:rsidRPr="0037251C">
              <w:rPr>
                <w:rFonts w:asciiTheme="minorHAnsi" w:hAnsiTheme="minorHAnsi" w:cstheme="minorHAnsi"/>
                <w:sz w:val="20"/>
                <w:szCs w:val="20"/>
              </w:rPr>
              <w:t>MenACWY</w:t>
            </w:r>
            <w:proofErr w:type="spellEnd"/>
            <w:r w:rsidRPr="0037251C">
              <w:rPr>
                <w:rFonts w:asciiTheme="minorHAnsi" w:hAnsiTheme="minorHAnsi" w:cstheme="minorHAnsi"/>
                <w:sz w:val="20"/>
                <w:szCs w:val="20"/>
              </w:rPr>
              <w:t xml:space="preserve"> compared with </w:t>
            </w:r>
            <w:proofErr w:type="spellStart"/>
            <w:r w:rsidRPr="0037251C">
              <w:rPr>
                <w:rFonts w:asciiTheme="minorHAnsi" w:hAnsiTheme="minorHAnsi" w:cstheme="minorHAnsi"/>
                <w:sz w:val="20"/>
                <w:szCs w:val="20"/>
              </w:rPr>
              <w:t>Menactra</w:t>
            </w:r>
            <w:proofErr w:type="spellEnd"/>
            <w:r w:rsidRPr="0037251C">
              <w:rPr>
                <w:rFonts w:asciiTheme="minorHAnsi" w:hAnsiTheme="minorHAnsi" w:cstheme="minorHAnsi"/>
                <w:sz w:val="20"/>
                <w:szCs w:val="20"/>
              </w:rPr>
              <w:t xml:space="preserve"> for serogroups W and Y, C was non-inferior but in the groups 2-5 and 6-</w:t>
            </w:r>
            <w:r w:rsidRPr="0037251C">
              <w:rPr>
                <w:rFonts w:asciiTheme="minorHAnsi" w:hAnsiTheme="minorHAnsi" w:cstheme="minorHAnsi"/>
                <w:sz w:val="20"/>
                <w:szCs w:val="20"/>
              </w:rPr>
              <w:lastRenderedPageBreak/>
              <w:t>10, the response to serogroup A was inferior (but not when the groups were combined).</w:t>
            </w:r>
          </w:p>
          <w:p w14:paraId="56C5175F" w14:textId="77777777" w:rsidR="00CB1F4E" w:rsidRPr="0037251C" w:rsidRDefault="00CB1F4E" w:rsidP="0037251C">
            <w:pPr>
              <w:rPr>
                <w:rFonts w:asciiTheme="minorHAnsi" w:hAnsiTheme="minorHAnsi" w:cstheme="minorHAnsi"/>
                <w:sz w:val="20"/>
                <w:szCs w:val="20"/>
              </w:rPr>
            </w:pPr>
            <w:r w:rsidRPr="0037251C">
              <w:rPr>
                <w:rFonts w:asciiTheme="minorHAnsi" w:hAnsiTheme="minorHAnsi" w:cstheme="minorHAnsi"/>
                <w:sz w:val="20"/>
                <w:szCs w:val="20"/>
              </w:rPr>
              <w:t>Unexpected serious adverse events</w:t>
            </w:r>
            <w:r w:rsidR="0037251C">
              <w:rPr>
                <w:rFonts w:asciiTheme="minorHAnsi" w:hAnsiTheme="minorHAnsi" w:cstheme="minorHAnsi"/>
                <w:sz w:val="20"/>
                <w:szCs w:val="20"/>
              </w:rPr>
              <w:t>;</w:t>
            </w:r>
            <w:r w:rsidRPr="0037251C">
              <w:rPr>
                <w:rFonts w:asciiTheme="minorHAnsi" w:hAnsiTheme="minorHAnsi" w:cstheme="minorHAnsi"/>
                <w:sz w:val="20"/>
                <w:szCs w:val="20"/>
              </w:rPr>
              <w:t xml:space="preserve"> in particular Kawasaki disease was identified in 5 children who rec</w:t>
            </w:r>
            <w:r w:rsidR="0037251C">
              <w:rPr>
                <w:rFonts w:asciiTheme="minorHAnsi" w:hAnsiTheme="minorHAnsi" w:cstheme="minorHAnsi"/>
                <w:sz w:val="20"/>
                <w:szCs w:val="20"/>
              </w:rPr>
              <w:t xml:space="preserve">eived </w:t>
            </w:r>
            <w:proofErr w:type="spellStart"/>
            <w:r w:rsidR="0037251C">
              <w:rPr>
                <w:rFonts w:asciiTheme="minorHAnsi" w:hAnsiTheme="minorHAnsi" w:cstheme="minorHAnsi"/>
                <w:sz w:val="20"/>
                <w:szCs w:val="20"/>
              </w:rPr>
              <w:t>MenACWY</w:t>
            </w:r>
            <w:proofErr w:type="spellEnd"/>
            <w:r w:rsidR="0037251C">
              <w:rPr>
                <w:rFonts w:asciiTheme="minorHAnsi" w:hAnsiTheme="minorHAnsi" w:cstheme="minorHAnsi"/>
                <w:sz w:val="20"/>
                <w:szCs w:val="20"/>
              </w:rPr>
              <w:t xml:space="preserve"> (within 30 days).</w:t>
            </w:r>
          </w:p>
        </w:tc>
        <w:tc>
          <w:tcPr>
            <w:tcW w:w="5068" w:type="dxa"/>
            <w:gridSpan w:val="2"/>
          </w:tcPr>
          <w:p w14:paraId="621E7E9C" w14:textId="77777777" w:rsidR="00CB1F4E" w:rsidRPr="0037251C" w:rsidRDefault="00CB1F4E" w:rsidP="0025045A">
            <w:pPr>
              <w:rPr>
                <w:rFonts w:asciiTheme="minorHAnsi" w:hAnsiTheme="minorHAnsi" w:cstheme="minorHAnsi"/>
                <w:sz w:val="20"/>
                <w:szCs w:val="20"/>
              </w:rPr>
            </w:pPr>
            <w:r w:rsidRPr="0037251C">
              <w:rPr>
                <w:rFonts w:asciiTheme="minorHAnsi" w:hAnsiTheme="minorHAnsi" w:cstheme="minorHAnsi"/>
                <w:sz w:val="20"/>
                <w:szCs w:val="20"/>
              </w:rPr>
              <w:lastRenderedPageBreak/>
              <w:t>Currently serogroup A disease is extremely rare in Australia but if other serogroup disease was reduced, there is a possibility of ‘gap’ filling if the immunity against this serogroup is not as strong.</w:t>
            </w:r>
          </w:p>
          <w:p w14:paraId="6C40352F" w14:textId="77777777" w:rsidR="00CB1F4E" w:rsidRPr="0037251C" w:rsidRDefault="00CB1F4E" w:rsidP="0025045A">
            <w:pPr>
              <w:rPr>
                <w:rFonts w:cstheme="minorHAnsi"/>
                <w:sz w:val="20"/>
                <w:szCs w:val="20"/>
                <w:u w:val="single"/>
              </w:rPr>
            </w:pPr>
            <w:r w:rsidRPr="0037251C">
              <w:rPr>
                <w:rFonts w:asciiTheme="minorHAnsi" w:hAnsiTheme="minorHAnsi" w:cstheme="minorHAnsi"/>
                <w:sz w:val="20"/>
                <w:szCs w:val="20"/>
              </w:rPr>
              <w:lastRenderedPageBreak/>
              <w:t>The company did an analysis on similar groups of children in their other pre-licensure studies and found a similar incidence of Kawasaki disease in both the study and the control arms of these. They argue that there is probably a similar incidence in the community but it is not as well diagnosed or documented.</w:t>
            </w:r>
          </w:p>
        </w:tc>
      </w:tr>
    </w:tbl>
    <w:p w14:paraId="583EF78F" w14:textId="77777777" w:rsidR="00CB1F4E" w:rsidRPr="00545B14" w:rsidRDefault="00CB1F4E" w:rsidP="00CB1F4E">
      <w:pPr>
        <w:pStyle w:val="Heading4"/>
      </w:pPr>
      <w:bookmarkStart w:id="106" w:name="_Toc236802597"/>
      <w:bookmarkStart w:id="107" w:name="_Toc241374335"/>
      <w:bookmarkStart w:id="108" w:name="_Toc272414695"/>
      <w:bookmarkStart w:id="109" w:name="_Toc290888559"/>
      <w:bookmarkStart w:id="110" w:name="_Toc416353775"/>
      <w:bookmarkStart w:id="111" w:name="_Toc421005316"/>
      <w:bookmarkStart w:id="112" w:name="_Toc432079187"/>
      <w:bookmarkStart w:id="113" w:name="_Toc432080760"/>
      <w:bookmarkStart w:id="114" w:name="_Toc479327292"/>
      <w:r w:rsidRPr="00545B14">
        <w:lastRenderedPageBreak/>
        <w:t>First round assessment of benefit-risk</w:t>
      </w:r>
      <w:bookmarkEnd w:id="106"/>
      <w:bookmarkEnd w:id="107"/>
      <w:bookmarkEnd w:id="108"/>
      <w:bookmarkEnd w:id="109"/>
      <w:bookmarkEnd w:id="110"/>
      <w:bookmarkEnd w:id="111"/>
      <w:r>
        <w:t xml:space="preserve"> balance</w:t>
      </w:r>
      <w:bookmarkEnd w:id="112"/>
      <w:bookmarkEnd w:id="113"/>
      <w:bookmarkEnd w:id="114"/>
    </w:p>
    <w:p w14:paraId="617ECD0E" w14:textId="77777777" w:rsidR="00F74342" w:rsidRDefault="00CB1F4E" w:rsidP="00CB1F4E">
      <w:pPr>
        <w:rPr>
          <w:lang w:eastAsia="ja-JP"/>
        </w:rPr>
      </w:pPr>
      <w:r w:rsidRPr="005E6D2E">
        <w:rPr>
          <w:lang w:eastAsia="ja-JP"/>
        </w:rPr>
        <w:t xml:space="preserve">The benefit-risk balance of </w:t>
      </w:r>
      <w:proofErr w:type="spellStart"/>
      <w:r>
        <w:rPr>
          <w:lang w:eastAsia="ja-JP"/>
        </w:rPr>
        <w:t>MenACWY</w:t>
      </w:r>
      <w:proofErr w:type="spellEnd"/>
      <w:r w:rsidRPr="005E6D2E">
        <w:rPr>
          <w:lang w:eastAsia="ja-JP"/>
        </w:rPr>
        <w:t xml:space="preserve"> for the proposed usage is </w:t>
      </w:r>
      <w:r>
        <w:rPr>
          <w:lang w:eastAsia="ja-JP"/>
        </w:rPr>
        <w:t>currently favourable with a few caveats</w:t>
      </w:r>
      <w:r w:rsidR="00F74342">
        <w:rPr>
          <w:lang w:eastAsia="ja-JP"/>
        </w:rPr>
        <w:t>.</w:t>
      </w:r>
    </w:p>
    <w:p w14:paraId="20495F23" w14:textId="67DE981F" w:rsidR="00605AD4" w:rsidRPr="00CB1F4E" w:rsidRDefault="00605AD4" w:rsidP="00CB1F4E">
      <w:pPr>
        <w:pStyle w:val="Heading3"/>
        <w:rPr>
          <w:rFonts w:eastAsia="Cambria"/>
        </w:rPr>
      </w:pPr>
      <w:bookmarkStart w:id="115" w:name="_Toc511377353"/>
      <w:r w:rsidRPr="00605AD4">
        <w:rPr>
          <w:rFonts w:eastAsia="Cambria"/>
        </w:rPr>
        <w:t>First Round Recommendation Regarding Authorisation</w:t>
      </w:r>
      <w:bookmarkEnd w:id="115"/>
    </w:p>
    <w:p w14:paraId="447DB441" w14:textId="77777777" w:rsidR="00F74342" w:rsidRDefault="0037251C" w:rsidP="00CB1F4E">
      <w:pPr>
        <w:rPr>
          <w:lang w:eastAsia="ja-JP"/>
        </w:rPr>
      </w:pPr>
      <w:r>
        <w:rPr>
          <w:lang w:eastAsia="ja-JP"/>
        </w:rPr>
        <w:t>The evaluator</w:t>
      </w:r>
      <w:r w:rsidR="00CB1F4E">
        <w:rPr>
          <w:lang w:eastAsia="ja-JP"/>
        </w:rPr>
        <w:t xml:space="preserve"> recommend</w:t>
      </w:r>
      <w:r>
        <w:rPr>
          <w:lang w:eastAsia="ja-JP"/>
        </w:rPr>
        <w:t>ed</w:t>
      </w:r>
      <w:r w:rsidR="00CB1F4E">
        <w:rPr>
          <w:lang w:eastAsia="ja-JP"/>
        </w:rPr>
        <w:t xml:space="preserve"> authorisation of this vaccine for prevention of meningococcal infection in children 2 months and over, with the proviso that any further post-marketing data from studies and populations where it is now being used in this population are forwarded for assessment.</w:t>
      </w:r>
      <w:r w:rsidR="00CB1F4E" w:rsidRPr="002A009B">
        <w:rPr>
          <w:lang w:eastAsia="ja-JP"/>
        </w:rPr>
        <w:t xml:space="preserve"> </w:t>
      </w:r>
      <w:r w:rsidR="00CB1F4E">
        <w:rPr>
          <w:lang w:eastAsia="ja-JP"/>
        </w:rPr>
        <w:t>More post-marketing data is needed for rare immunological events (including Kawasaki disease) and also Bell’s palsy</w:t>
      </w:r>
      <w:r w:rsidR="00F74342">
        <w:rPr>
          <w:lang w:eastAsia="ja-JP"/>
        </w:rPr>
        <w:t>.</w:t>
      </w:r>
    </w:p>
    <w:p w14:paraId="03461ED2" w14:textId="588D6C39" w:rsidR="00CB1F4E" w:rsidRDefault="00CB1F4E" w:rsidP="00CB1F4E">
      <w:pPr>
        <w:rPr>
          <w:lang w:eastAsia="ja-JP"/>
        </w:rPr>
      </w:pPr>
      <w:r>
        <w:rPr>
          <w:lang w:eastAsia="ja-JP"/>
        </w:rPr>
        <w:t>Some further (possible epidemiological) data/modelling would be useful to see if there is any break</w:t>
      </w:r>
      <w:r w:rsidR="0037251C">
        <w:rPr>
          <w:lang w:eastAsia="ja-JP"/>
        </w:rPr>
        <w:t>-</w:t>
      </w:r>
      <w:r>
        <w:rPr>
          <w:lang w:eastAsia="ja-JP"/>
        </w:rPr>
        <w:t>th</w:t>
      </w:r>
      <w:r w:rsidR="0037251C">
        <w:rPr>
          <w:lang w:eastAsia="ja-JP"/>
        </w:rPr>
        <w:t>r</w:t>
      </w:r>
      <w:r>
        <w:rPr>
          <w:lang w:eastAsia="ja-JP"/>
        </w:rPr>
        <w:t xml:space="preserve">ough or gap filling with serogroup C disease in places where there is significant uptake of this vaccine in comparison to a monovalent C vaccine in infants, given the concerns raised about it being less immunogenic in </w:t>
      </w:r>
      <w:r w:rsidR="006571F8">
        <w:rPr>
          <w:lang w:eastAsia="ja-JP"/>
        </w:rPr>
        <w:t>Study V59</w:t>
      </w:r>
      <w:r>
        <w:rPr>
          <w:lang w:eastAsia="ja-JP"/>
        </w:rPr>
        <w:t>P22 (not included in this submission). In many countries this vaccine has already replaced the Conjugate C vaccine in the recommended adolescent vaccination.</w:t>
      </w:r>
    </w:p>
    <w:p w14:paraId="34191058" w14:textId="77777777" w:rsidR="00605AD4" w:rsidRPr="00B34330" w:rsidRDefault="00CB1F4E" w:rsidP="00605AD4">
      <w:pPr>
        <w:pStyle w:val="Heading3"/>
        <w:rPr>
          <w:rFonts w:eastAsia="Cambria"/>
        </w:rPr>
      </w:pPr>
      <w:bookmarkStart w:id="116" w:name="_Toc511377354"/>
      <w:r w:rsidRPr="00B34330">
        <w:rPr>
          <w:rFonts w:eastAsia="Cambria"/>
        </w:rPr>
        <w:t>Clinical Questions/</w:t>
      </w:r>
      <w:r w:rsidR="00605AD4" w:rsidRPr="00B34330">
        <w:rPr>
          <w:rFonts w:eastAsia="Cambria"/>
        </w:rPr>
        <w:t>Second Round Evaluation of clinical data submitted in response to questions</w:t>
      </w:r>
      <w:bookmarkEnd w:id="116"/>
    </w:p>
    <w:p w14:paraId="2AC9C00B" w14:textId="77777777" w:rsidR="00F74342" w:rsidRDefault="00A62E34" w:rsidP="00CB1F4E">
      <w:r w:rsidRPr="00C3388F">
        <w:t xml:space="preserve">The sponsor’s response to this evaluation report </w:t>
      </w:r>
      <w:r w:rsidR="00C3388F">
        <w:t>was</w:t>
      </w:r>
      <w:r w:rsidRPr="00C3388F">
        <w:t xml:space="preserve"> considered by the Delegate and addressed in the Delegate’s Overview (see Overall conclusions and Risk benefit analysis below)</w:t>
      </w:r>
      <w:r w:rsidR="00F74342">
        <w:t>.</w:t>
      </w:r>
    </w:p>
    <w:p w14:paraId="25A36ED9" w14:textId="2578EA85" w:rsidR="008E7846" w:rsidRPr="00E41208" w:rsidRDefault="008E7846" w:rsidP="00546154">
      <w:pPr>
        <w:pStyle w:val="Heading2"/>
      </w:pPr>
      <w:bookmarkStart w:id="117" w:name="_Toc511377355"/>
      <w:r w:rsidRPr="00E41208">
        <w:t xml:space="preserve">V. Pharmacovigilance </w:t>
      </w:r>
      <w:r>
        <w:t>f</w:t>
      </w:r>
      <w:r w:rsidRPr="00E41208">
        <w:t>indings</w:t>
      </w:r>
      <w:bookmarkEnd w:id="68"/>
      <w:bookmarkEnd w:id="69"/>
      <w:bookmarkEnd w:id="117"/>
    </w:p>
    <w:p w14:paraId="09E038E0" w14:textId="77777777" w:rsidR="008E7846" w:rsidRDefault="00386150" w:rsidP="008E7846">
      <w:pPr>
        <w:pStyle w:val="Heading3"/>
        <w:rPr>
          <w:lang w:eastAsia="en-AU"/>
        </w:rPr>
      </w:pPr>
      <w:bookmarkStart w:id="118" w:name="_Toc247691526"/>
      <w:bookmarkStart w:id="119" w:name="_Toc314842509"/>
      <w:bookmarkStart w:id="120" w:name="_Toc511377356"/>
      <w:r>
        <w:rPr>
          <w:lang w:eastAsia="en-AU"/>
        </w:rPr>
        <w:t>Risk m</w:t>
      </w:r>
      <w:r w:rsidR="008E7846">
        <w:rPr>
          <w:lang w:eastAsia="en-AU"/>
        </w:rPr>
        <w:t xml:space="preserve">anagement </w:t>
      </w:r>
      <w:r>
        <w:rPr>
          <w:lang w:eastAsia="en-AU"/>
        </w:rPr>
        <w:t>p</w:t>
      </w:r>
      <w:r w:rsidR="008E7846">
        <w:rPr>
          <w:lang w:eastAsia="en-AU"/>
        </w:rPr>
        <w:t>lan</w:t>
      </w:r>
      <w:bookmarkEnd w:id="118"/>
      <w:bookmarkEnd w:id="119"/>
      <w:bookmarkEnd w:id="120"/>
    </w:p>
    <w:p w14:paraId="5D39F70A" w14:textId="77777777" w:rsidR="00F74342" w:rsidRDefault="00B044DB" w:rsidP="00BD2338">
      <w:pPr>
        <w:pStyle w:val="ListBullet"/>
      </w:pPr>
      <w:bookmarkStart w:id="121" w:name="_Toc247691527"/>
      <w:bookmarkStart w:id="122" w:name="_Toc314842510"/>
      <w:r w:rsidRPr="00814ECA">
        <w:t>GlaxoSmithKline Australia Pty Ltd has submitted EU-RMP version 8.2 (18 April 2016; DLP 14 March 2014) and ASA version 1.0 (</w:t>
      </w:r>
      <w:r>
        <w:t xml:space="preserve">initial version dated </w:t>
      </w:r>
      <w:r w:rsidRPr="00814ECA">
        <w:t>21 February 2017</w:t>
      </w:r>
      <w:r>
        <w:t xml:space="preserve">, updated version provided with </w:t>
      </w:r>
      <w:r w:rsidR="00BD2338">
        <w:t>the sponsor’s</w:t>
      </w:r>
      <w:r>
        <w:t xml:space="preserve"> response dated 26 April 2017</w:t>
      </w:r>
      <w:r w:rsidRPr="00814ECA">
        <w:t>).</w:t>
      </w:r>
      <w:r>
        <w:t xml:space="preserve"> </w:t>
      </w:r>
      <w:r w:rsidRPr="00814ECA">
        <w:t xml:space="preserve">This is the first evaluation of the risk management plan for </w:t>
      </w:r>
      <w:proofErr w:type="spellStart"/>
      <w:r w:rsidR="00AA10D9" w:rsidRPr="00BD2338">
        <w:t>Menveo</w:t>
      </w:r>
      <w:proofErr w:type="spellEnd"/>
      <w:r w:rsidRPr="00473EE0">
        <w:rPr>
          <w:smallCaps/>
        </w:rPr>
        <w:t xml:space="preserve"> </w:t>
      </w:r>
      <w:r>
        <w:t>by TGA</w:t>
      </w:r>
      <w:r w:rsidR="00F74342">
        <w:t>.</w:t>
      </w:r>
    </w:p>
    <w:p w14:paraId="6DC28E7B" w14:textId="18D923AA" w:rsidR="00BD2338" w:rsidRDefault="00B044DB" w:rsidP="00BD2338">
      <w:pPr>
        <w:pStyle w:val="ListBullet"/>
      </w:pPr>
      <w:r w:rsidRPr="0095719C">
        <w:t>The proposed Summary of Safety Concerns and their associated risk monitoring and mitigation strategies are summarised below</w:t>
      </w:r>
      <w:r w:rsidR="00BD2338">
        <w:t xml:space="preserve"> in Table 3</w:t>
      </w:r>
      <w:r w:rsidRPr="0095719C">
        <w:t>:</w:t>
      </w:r>
    </w:p>
    <w:p w14:paraId="5BE107E2" w14:textId="77777777" w:rsidR="00BD2338" w:rsidRDefault="00BD2338" w:rsidP="00726B26">
      <w:pPr>
        <w:pStyle w:val="TableTitle"/>
        <w:keepLines/>
        <w:pageBreakBefore/>
      </w:pPr>
      <w:r>
        <w:lastRenderedPageBreak/>
        <w:t>Table 3: Summary of safety concerns</w:t>
      </w:r>
    </w:p>
    <w:p w14:paraId="62F84509" w14:textId="77777777" w:rsidR="00BD2338" w:rsidRPr="009D77B4" w:rsidRDefault="00BD2338" w:rsidP="009D77B4">
      <w:pPr>
        <w:pStyle w:val="TableDescription"/>
        <w:rPr>
          <w:b/>
        </w:rPr>
      </w:pPr>
      <w:r w:rsidRPr="009D77B4">
        <w:rPr>
          <w:b/>
        </w:rPr>
        <w:t>R=routine and A=additional</w:t>
      </w:r>
    </w:p>
    <w:tbl>
      <w:tblPr>
        <w:tblStyle w:val="TableTGAblue"/>
        <w:tblW w:w="9180" w:type="dxa"/>
        <w:tblLayout w:type="fixed"/>
        <w:tblLook w:val="04A0" w:firstRow="1" w:lastRow="0" w:firstColumn="1" w:lastColumn="0" w:noHBand="0" w:noVBand="1"/>
        <w:tblDescription w:val="Table 3: Summary of safety concerns"/>
      </w:tblPr>
      <w:tblGrid>
        <w:gridCol w:w="1668"/>
        <w:gridCol w:w="3402"/>
        <w:gridCol w:w="283"/>
        <w:gridCol w:w="992"/>
        <w:gridCol w:w="431"/>
        <w:gridCol w:w="703"/>
        <w:gridCol w:w="289"/>
        <w:gridCol w:w="1412"/>
      </w:tblGrid>
      <w:tr w:rsidR="00B044DB" w:rsidRPr="004F1C07" w14:paraId="6A583B7F" w14:textId="77777777" w:rsidTr="00670EC4">
        <w:trPr>
          <w:cnfStyle w:val="100000000000" w:firstRow="1" w:lastRow="0" w:firstColumn="0" w:lastColumn="0" w:oddVBand="0" w:evenVBand="0" w:oddHBand="0" w:evenHBand="0" w:firstRowFirstColumn="0" w:firstRowLastColumn="0" w:lastRowFirstColumn="0" w:lastRowLastColumn="0"/>
          <w:cantSplit/>
          <w:trHeight w:val="131"/>
        </w:trPr>
        <w:tc>
          <w:tcPr>
            <w:tcW w:w="5353" w:type="dxa"/>
            <w:gridSpan w:val="3"/>
            <w:vMerge w:val="restart"/>
          </w:tcPr>
          <w:p w14:paraId="697D6599" w14:textId="77777777" w:rsidR="00670EC4" w:rsidRDefault="00B044DB" w:rsidP="00670EC4">
            <w:pPr>
              <w:pStyle w:val="Tabletext"/>
            </w:pPr>
            <w:r w:rsidRPr="00BD2338">
              <w:t xml:space="preserve">Summary of safety concerns </w:t>
            </w:r>
          </w:p>
          <w:p w14:paraId="0AAF9E0A" w14:textId="77777777" w:rsidR="00B044DB" w:rsidRPr="00BD2338" w:rsidRDefault="00B044DB" w:rsidP="00670EC4">
            <w:pPr>
              <w:pStyle w:val="Tabletext"/>
            </w:pPr>
            <w:r w:rsidRPr="00BD2338">
              <w:t>EU-RMP v8.2 with ASA v1.0</w:t>
            </w:r>
          </w:p>
        </w:tc>
        <w:tc>
          <w:tcPr>
            <w:tcW w:w="2415" w:type="dxa"/>
            <w:gridSpan w:val="4"/>
          </w:tcPr>
          <w:p w14:paraId="0E4E97FD" w14:textId="77777777" w:rsidR="00B044DB" w:rsidRPr="00BD2338" w:rsidRDefault="00B044DB" w:rsidP="00FB5FEA">
            <w:pPr>
              <w:pStyle w:val="Tabletext"/>
              <w:jc w:val="center"/>
              <w:rPr>
                <w:sz w:val="18"/>
              </w:rPr>
            </w:pPr>
            <w:r w:rsidRPr="00BD2338">
              <w:rPr>
                <w:sz w:val="18"/>
              </w:rPr>
              <w:t>Pharmacovigilance</w:t>
            </w:r>
          </w:p>
        </w:tc>
        <w:tc>
          <w:tcPr>
            <w:tcW w:w="1412" w:type="dxa"/>
          </w:tcPr>
          <w:p w14:paraId="78297AC8" w14:textId="77777777" w:rsidR="00B044DB" w:rsidRPr="00BD2338" w:rsidRDefault="00B044DB" w:rsidP="00FB5FEA">
            <w:pPr>
              <w:pStyle w:val="Tabletext"/>
              <w:jc w:val="center"/>
              <w:rPr>
                <w:sz w:val="18"/>
              </w:rPr>
            </w:pPr>
            <w:r w:rsidRPr="00BD2338">
              <w:rPr>
                <w:sz w:val="18"/>
              </w:rPr>
              <w:t xml:space="preserve">Risk </w:t>
            </w:r>
            <w:proofErr w:type="spellStart"/>
            <w:r w:rsidRPr="00BD2338">
              <w:rPr>
                <w:sz w:val="18"/>
              </w:rPr>
              <w:t>Minimi</w:t>
            </w:r>
            <w:r w:rsidR="00670EC4">
              <w:rPr>
                <w:sz w:val="18"/>
              </w:rPr>
              <w:t>-</w:t>
            </w:r>
            <w:r w:rsidRPr="00BD2338">
              <w:rPr>
                <w:sz w:val="18"/>
              </w:rPr>
              <w:t>sation</w:t>
            </w:r>
            <w:proofErr w:type="spellEnd"/>
          </w:p>
        </w:tc>
      </w:tr>
      <w:tr w:rsidR="00B044DB" w:rsidRPr="004F1C07" w14:paraId="78F8ED97" w14:textId="77777777" w:rsidTr="00670EC4">
        <w:trPr>
          <w:cantSplit/>
          <w:trHeight w:val="150"/>
        </w:trPr>
        <w:tc>
          <w:tcPr>
            <w:tcW w:w="5353" w:type="dxa"/>
            <w:gridSpan w:val="3"/>
            <w:vMerge/>
          </w:tcPr>
          <w:p w14:paraId="55EF6641" w14:textId="77777777" w:rsidR="00B044DB" w:rsidRPr="00BD2338" w:rsidRDefault="00B044DB" w:rsidP="00FB5FEA">
            <w:pPr>
              <w:pStyle w:val="Tabletext"/>
            </w:pPr>
          </w:p>
        </w:tc>
        <w:tc>
          <w:tcPr>
            <w:tcW w:w="1423" w:type="dxa"/>
            <w:gridSpan w:val="2"/>
          </w:tcPr>
          <w:p w14:paraId="5C32B3C3" w14:textId="77777777" w:rsidR="00B044DB" w:rsidRPr="00BD2338" w:rsidRDefault="00BD2338" w:rsidP="00670EC4">
            <w:pPr>
              <w:pStyle w:val="Tabletext"/>
              <w:rPr>
                <w:sz w:val="18"/>
              </w:rPr>
            </w:pPr>
            <w:r w:rsidRPr="00BD2338">
              <w:rPr>
                <w:sz w:val="18"/>
              </w:rPr>
              <w:t>R</w:t>
            </w:r>
          </w:p>
        </w:tc>
        <w:tc>
          <w:tcPr>
            <w:tcW w:w="992" w:type="dxa"/>
            <w:gridSpan w:val="2"/>
          </w:tcPr>
          <w:p w14:paraId="20272C1D" w14:textId="77777777" w:rsidR="00B044DB" w:rsidRPr="00BD2338" w:rsidRDefault="00B044DB" w:rsidP="00670EC4">
            <w:pPr>
              <w:pStyle w:val="Tabletext"/>
              <w:ind w:left="0"/>
              <w:rPr>
                <w:sz w:val="18"/>
              </w:rPr>
            </w:pPr>
            <w:r w:rsidRPr="00BD2338">
              <w:rPr>
                <w:sz w:val="18"/>
              </w:rPr>
              <w:t>A</w:t>
            </w:r>
          </w:p>
        </w:tc>
        <w:tc>
          <w:tcPr>
            <w:tcW w:w="1412" w:type="dxa"/>
          </w:tcPr>
          <w:p w14:paraId="19D41A12" w14:textId="735C8165" w:rsidR="00B044DB" w:rsidRPr="00BD2338" w:rsidRDefault="00B044DB" w:rsidP="00FB5FEA">
            <w:pPr>
              <w:pStyle w:val="Tabletext"/>
              <w:jc w:val="center"/>
              <w:rPr>
                <w:sz w:val="18"/>
              </w:rPr>
            </w:pPr>
            <w:r w:rsidRPr="00BD2338">
              <w:rPr>
                <w:sz w:val="18"/>
              </w:rPr>
              <w:t>Routine only</w:t>
            </w:r>
          </w:p>
        </w:tc>
      </w:tr>
      <w:tr w:rsidR="00B044DB" w:rsidRPr="004F1C07" w14:paraId="56E43CAD" w14:textId="77777777" w:rsidTr="00670EC4">
        <w:trPr>
          <w:trHeight w:val="284"/>
        </w:trPr>
        <w:tc>
          <w:tcPr>
            <w:tcW w:w="9180" w:type="dxa"/>
            <w:gridSpan w:val="8"/>
          </w:tcPr>
          <w:p w14:paraId="00BFBDE2" w14:textId="77777777" w:rsidR="00B044DB" w:rsidRPr="00363CAF" w:rsidRDefault="00B044DB" w:rsidP="00FB5FEA">
            <w:pPr>
              <w:pStyle w:val="Tabletext"/>
              <w:spacing w:after="0"/>
              <w:rPr>
                <w:b/>
              </w:rPr>
            </w:pPr>
            <w:r w:rsidRPr="00363CAF">
              <w:rPr>
                <w:b/>
              </w:rPr>
              <w:t>No important identified risks</w:t>
            </w:r>
          </w:p>
        </w:tc>
      </w:tr>
      <w:tr w:rsidR="00B044DB" w:rsidRPr="004F1C07" w14:paraId="62FEBC7B" w14:textId="77777777" w:rsidTr="00670EC4">
        <w:trPr>
          <w:trHeight w:val="159"/>
        </w:trPr>
        <w:tc>
          <w:tcPr>
            <w:tcW w:w="1668" w:type="dxa"/>
            <w:vMerge w:val="restart"/>
          </w:tcPr>
          <w:p w14:paraId="0CF88DD2" w14:textId="77777777" w:rsidR="00B044DB" w:rsidRPr="00363CAF" w:rsidRDefault="00B044DB" w:rsidP="00FB5FEA">
            <w:pPr>
              <w:pStyle w:val="Tabletext"/>
              <w:rPr>
                <w:b/>
              </w:rPr>
            </w:pPr>
            <w:r w:rsidRPr="00363CAF">
              <w:rPr>
                <w:b/>
              </w:rPr>
              <w:t>Important potential risks</w:t>
            </w:r>
          </w:p>
        </w:tc>
        <w:tc>
          <w:tcPr>
            <w:tcW w:w="3402" w:type="dxa"/>
          </w:tcPr>
          <w:p w14:paraId="36656F7B" w14:textId="77777777" w:rsidR="00B044DB" w:rsidRPr="00363CAF" w:rsidRDefault="00B044DB" w:rsidP="00FB5FEA">
            <w:pPr>
              <w:pStyle w:val="Summaryofsafetyconcerns"/>
              <w:rPr>
                <w:b w:val="0"/>
              </w:rPr>
            </w:pPr>
            <w:proofErr w:type="spellStart"/>
            <w:r w:rsidRPr="00363CAF">
              <w:rPr>
                <w:b w:val="0"/>
              </w:rPr>
              <w:t>Guillain-Barré</w:t>
            </w:r>
            <w:proofErr w:type="spellEnd"/>
            <w:r w:rsidRPr="00363CAF">
              <w:rPr>
                <w:b w:val="0"/>
              </w:rPr>
              <w:t xml:space="preserve"> syndrome</w:t>
            </w:r>
          </w:p>
        </w:tc>
        <w:tc>
          <w:tcPr>
            <w:tcW w:w="1275" w:type="dxa"/>
            <w:gridSpan w:val="2"/>
          </w:tcPr>
          <w:p w14:paraId="6C729261" w14:textId="77777777" w:rsidR="00B044DB" w:rsidRPr="00363CAF" w:rsidRDefault="00B044DB" w:rsidP="00FB5FEA">
            <w:pPr>
              <w:pStyle w:val="Tabletext"/>
              <w:jc w:val="center"/>
            </w:pPr>
            <w:r w:rsidRPr="00363CAF">
              <w:sym w:font="Wingdings" w:char="F0FC"/>
            </w:r>
            <w:r w:rsidRPr="00363CAF">
              <w:t>*</w:t>
            </w:r>
          </w:p>
        </w:tc>
        <w:tc>
          <w:tcPr>
            <w:tcW w:w="1134" w:type="dxa"/>
            <w:gridSpan w:val="2"/>
          </w:tcPr>
          <w:p w14:paraId="02668522" w14:textId="77777777" w:rsidR="00B044DB" w:rsidRPr="00363CAF" w:rsidRDefault="00B044DB" w:rsidP="00FB5FEA">
            <w:pPr>
              <w:pStyle w:val="Tabletext"/>
              <w:jc w:val="center"/>
            </w:pPr>
            <w:r w:rsidRPr="00363CAF">
              <w:sym w:font="Wingdings" w:char="F0FC"/>
            </w:r>
            <w:r w:rsidRPr="00363CAF">
              <w:rPr>
                <w:szCs w:val="20"/>
              </w:rPr>
              <w:t>†</w:t>
            </w:r>
          </w:p>
        </w:tc>
        <w:tc>
          <w:tcPr>
            <w:tcW w:w="1701" w:type="dxa"/>
            <w:gridSpan w:val="2"/>
          </w:tcPr>
          <w:p w14:paraId="320E206D" w14:textId="77777777" w:rsidR="00B044DB" w:rsidRPr="00363CAF" w:rsidRDefault="00B044DB" w:rsidP="00FB5FEA">
            <w:pPr>
              <w:pStyle w:val="Tabletext"/>
              <w:jc w:val="center"/>
            </w:pPr>
            <w:r w:rsidRPr="00363CAF">
              <w:sym w:font="Wingdings" w:char="F0FC"/>
            </w:r>
            <w:r>
              <w:t xml:space="preserve"> </w:t>
            </w:r>
            <w:r w:rsidRPr="00363CAF">
              <w:rPr>
                <w:szCs w:val="20"/>
              </w:rPr>
              <w:t>§</w:t>
            </w:r>
          </w:p>
        </w:tc>
      </w:tr>
      <w:tr w:rsidR="00B044DB" w:rsidRPr="004F1C07" w14:paraId="13909F63" w14:textId="77777777" w:rsidTr="00670EC4">
        <w:trPr>
          <w:trHeight w:val="122"/>
        </w:trPr>
        <w:tc>
          <w:tcPr>
            <w:tcW w:w="1668" w:type="dxa"/>
            <w:vMerge/>
          </w:tcPr>
          <w:p w14:paraId="6191A514" w14:textId="77777777" w:rsidR="00B044DB" w:rsidRPr="00363CAF" w:rsidRDefault="00B044DB" w:rsidP="00FB5FEA">
            <w:pPr>
              <w:pStyle w:val="Tabletext"/>
              <w:rPr>
                <w:b/>
              </w:rPr>
            </w:pPr>
          </w:p>
        </w:tc>
        <w:tc>
          <w:tcPr>
            <w:tcW w:w="3402" w:type="dxa"/>
          </w:tcPr>
          <w:p w14:paraId="2B76EDC6" w14:textId="77777777" w:rsidR="00B044DB" w:rsidRPr="00363CAF" w:rsidRDefault="00B044DB" w:rsidP="00FB5FEA">
            <w:pPr>
              <w:pStyle w:val="Summaryofsafetyconcerns"/>
              <w:rPr>
                <w:b w:val="0"/>
              </w:rPr>
            </w:pPr>
            <w:r w:rsidRPr="00363CAF">
              <w:rPr>
                <w:b w:val="0"/>
              </w:rPr>
              <w:t>Acute disseminated encephalomyelitis</w:t>
            </w:r>
          </w:p>
        </w:tc>
        <w:tc>
          <w:tcPr>
            <w:tcW w:w="1275" w:type="dxa"/>
            <w:gridSpan w:val="2"/>
          </w:tcPr>
          <w:p w14:paraId="0C8C81ED" w14:textId="77777777" w:rsidR="00B044DB" w:rsidRPr="00363CAF" w:rsidRDefault="00B044DB" w:rsidP="00FB5FEA">
            <w:pPr>
              <w:pStyle w:val="Tabletext"/>
              <w:jc w:val="center"/>
            </w:pPr>
            <w:r w:rsidRPr="00363CAF">
              <w:sym w:font="Wingdings" w:char="F0FC"/>
            </w:r>
            <w:r w:rsidRPr="00363CAF">
              <w:t>*</w:t>
            </w:r>
          </w:p>
        </w:tc>
        <w:tc>
          <w:tcPr>
            <w:tcW w:w="1134" w:type="dxa"/>
            <w:gridSpan w:val="2"/>
          </w:tcPr>
          <w:p w14:paraId="05610F08" w14:textId="77777777" w:rsidR="00B044DB" w:rsidRPr="00363CAF" w:rsidRDefault="00B044DB" w:rsidP="00FB5FEA">
            <w:pPr>
              <w:pStyle w:val="Tabletext"/>
              <w:jc w:val="center"/>
            </w:pPr>
            <w:r w:rsidRPr="00363CAF">
              <w:sym w:font="Wingdings" w:char="F0FC"/>
            </w:r>
            <w:r w:rsidRPr="00363CAF">
              <w:rPr>
                <w:szCs w:val="20"/>
              </w:rPr>
              <w:t>†</w:t>
            </w:r>
          </w:p>
        </w:tc>
        <w:tc>
          <w:tcPr>
            <w:tcW w:w="1701" w:type="dxa"/>
            <w:gridSpan w:val="2"/>
          </w:tcPr>
          <w:p w14:paraId="778A66A4" w14:textId="77777777" w:rsidR="00B044DB" w:rsidRPr="00363CAF" w:rsidRDefault="00B044DB" w:rsidP="00FB5FEA">
            <w:pPr>
              <w:pStyle w:val="Tabletext"/>
              <w:jc w:val="center"/>
            </w:pPr>
            <w:r w:rsidRPr="00363CAF">
              <w:t>-</w:t>
            </w:r>
          </w:p>
        </w:tc>
      </w:tr>
      <w:tr w:rsidR="00B044DB" w:rsidRPr="004F1C07" w14:paraId="6B1B92BD" w14:textId="77777777" w:rsidTr="00670EC4">
        <w:trPr>
          <w:trHeight w:val="122"/>
        </w:trPr>
        <w:tc>
          <w:tcPr>
            <w:tcW w:w="1668" w:type="dxa"/>
            <w:vMerge/>
          </w:tcPr>
          <w:p w14:paraId="2E3F4B8B" w14:textId="77777777" w:rsidR="00B044DB" w:rsidRPr="00363CAF" w:rsidRDefault="00B044DB" w:rsidP="00FB5FEA">
            <w:pPr>
              <w:pStyle w:val="Tabletext"/>
              <w:rPr>
                <w:b/>
              </w:rPr>
            </w:pPr>
          </w:p>
        </w:tc>
        <w:tc>
          <w:tcPr>
            <w:tcW w:w="3402" w:type="dxa"/>
          </w:tcPr>
          <w:p w14:paraId="4D41DE46" w14:textId="77777777" w:rsidR="00B044DB" w:rsidRPr="00363CAF" w:rsidRDefault="00B044DB" w:rsidP="00FB5FEA">
            <w:pPr>
              <w:pStyle w:val="Summaryofsafetyconcerns"/>
              <w:rPr>
                <w:b w:val="0"/>
              </w:rPr>
            </w:pPr>
            <w:r w:rsidRPr="00363CAF">
              <w:rPr>
                <w:b w:val="0"/>
              </w:rPr>
              <w:t>Thrombocytopenia</w:t>
            </w:r>
          </w:p>
        </w:tc>
        <w:tc>
          <w:tcPr>
            <w:tcW w:w="1275" w:type="dxa"/>
            <w:gridSpan w:val="2"/>
          </w:tcPr>
          <w:p w14:paraId="72F907E8" w14:textId="77777777" w:rsidR="00B044DB" w:rsidRPr="00363CAF" w:rsidRDefault="00B044DB" w:rsidP="00FB5FEA">
            <w:pPr>
              <w:pStyle w:val="Tabletext"/>
              <w:jc w:val="center"/>
            </w:pPr>
            <w:r w:rsidRPr="00363CAF">
              <w:sym w:font="Wingdings" w:char="F0FC"/>
            </w:r>
          </w:p>
        </w:tc>
        <w:tc>
          <w:tcPr>
            <w:tcW w:w="1134" w:type="dxa"/>
            <w:gridSpan w:val="2"/>
          </w:tcPr>
          <w:p w14:paraId="56B13F5F" w14:textId="77777777" w:rsidR="00B044DB" w:rsidRPr="00363CAF" w:rsidRDefault="00B044DB" w:rsidP="00FB5FEA">
            <w:pPr>
              <w:pStyle w:val="Tabletext"/>
              <w:jc w:val="center"/>
            </w:pPr>
            <w:r w:rsidRPr="00363CAF">
              <w:sym w:font="Wingdings" w:char="F0FC"/>
            </w:r>
            <w:r w:rsidRPr="00363CAF">
              <w:rPr>
                <w:szCs w:val="20"/>
              </w:rPr>
              <w:t>†</w:t>
            </w:r>
          </w:p>
        </w:tc>
        <w:tc>
          <w:tcPr>
            <w:tcW w:w="1701" w:type="dxa"/>
            <w:gridSpan w:val="2"/>
          </w:tcPr>
          <w:p w14:paraId="68D91586" w14:textId="77777777" w:rsidR="00B044DB" w:rsidRPr="00363CAF" w:rsidRDefault="00B044DB" w:rsidP="00FB5FEA">
            <w:pPr>
              <w:pStyle w:val="Tabletext"/>
              <w:jc w:val="center"/>
            </w:pPr>
            <w:r w:rsidRPr="00363CAF">
              <w:sym w:font="Wingdings" w:char="F0FC"/>
            </w:r>
          </w:p>
        </w:tc>
      </w:tr>
      <w:tr w:rsidR="00B044DB" w:rsidRPr="004F1C07" w14:paraId="45563A3F" w14:textId="77777777" w:rsidTr="00670EC4">
        <w:trPr>
          <w:trHeight w:val="122"/>
        </w:trPr>
        <w:tc>
          <w:tcPr>
            <w:tcW w:w="1668" w:type="dxa"/>
            <w:vMerge/>
          </w:tcPr>
          <w:p w14:paraId="1BD94D6E" w14:textId="77777777" w:rsidR="00B044DB" w:rsidRPr="00363CAF" w:rsidRDefault="00B044DB" w:rsidP="00FB5FEA">
            <w:pPr>
              <w:pStyle w:val="Tabletext"/>
              <w:rPr>
                <w:b/>
              </w:rPr>
            </w:pPr>
          </w:p>
        </w:tc>
        <w:tc>
          <w:tcPr>
            <w:tcW w:w="3402" w:type="dxa"/>
          </w:tcPr>
          <w:p w14:paraId="7A7C36AB" w14:textId="77777777" w:rsidR="00B044DB" w:rsidRPr="00363CAF" w:rsidRDefault="00B044DB" w:rsidP="00FB5FEA">
            <w:pPr>
              <w:pStyle w:val="Summaryofsafetyconcerns"/>
              <w:rPr>
                <w:b w:val="0"/>
              </w:rPr>
            </w:pPr>
            <w:r w:rsidRPr="00363CAF">
              <w:rPr>
                <w:b w:val="0"/>
              </w:rPr>
              <w:t>Vasculitis including Kawasaki disease</w:t>
            </w:r>
          </w:p>
        </w:tc>
        <w:tc>
          <w:tcPr>
            <w:tcW w:w="1275" w:type="dxa"/>
            <w:gridSpan w:val="2"/>
          </w:tcPr>
          <w:p w14:paraId="0A4A49CB" w14:textId="77777777" w:rsidR="00B044DB" w:rsidRPr="00363CAF" w:rsidRDefault="00B044DB" w:rsidP="00FB5FEA">
            <w:pPr>
              <w:pStyle w:val="Tabletext"/>
              <w:jc w:val="center"/>
            </w:pPr>
            <w:r w:rsidRPr="00363CAF">
              <w:sym w:font="Wingdings" w:char="F0FC"/>
            </w:r>
            <w:r w:rsidRPr="00363CAF">
              <w:t>*</w:t>
            </w:r>
          </w:p>
        </w:tc>
        <w:tc>
          <w:tcPr>
            <w:tcW w:w="1134" w:type="dxa"/>
            <w:gridSpan w:val="2"/>
          </w:tcPr>
          <w:p w14:paraId="5EFD9409" w14:textId="77777777" w:rsidR="00B044DB" w:rsidRPr="00363CAF" w:rsidRDefault="00B044DB" w:rsidP="00FB5FEA">
            <w:pPr>
              <w:pStyle w:val="Tabletext"/>
              <w:jc w:val="center"/>
            </w:pPr>
            <w:r w:rsidRPr="00363CAF">
              <w:sym w:font="Wingdings" w:char="F0FC"/>
            </w:r>
          </w:p>
        </w:tc>
        <w:tc>
          <w:tcPr>
            <w:tcW w:w="1701" w:type="dxa"/>
            <w:gridSpan w:val="2"/>
          </w:tcPr>
          <w:p w14:paraId="41250C50" w14:textId="77777777" w:rsidR="00B044DB" w:rsidRPr="00363CAF" w:rsidRDefault="00B044DB" w:rsidP="00FB5FEA">
            <w:pPr>
              <w:pStyle w:val="Tabletext"/>
              <w:jc w:val="center"/>
            </w:pPr>
            <w:r w:rsidRPr="00363CAF">
              <w:t>-</w:t>
            </w:r>
          </w:p>
        </w:tc>
      </w:tr>
      <w:tr w:rsidR="00B044DB" w:rsidRPr="004F1C07" w14:paraId="1E8E3FF1" w14:textId="77777777" w:rsidTr="00670EC4">
        <w:trPr>
          <w:trHeight w:val="122"/>
        </w:trPr>
        <w:tc>
          <w:tcPr>
            <w:tcW w:w="1668" w:type="dxa"/>
            <w:vMerge/>
          </w:tcPr>
          <w:p w14:paraId="18054CEB" w14:textId="77777777" w:rsidR="00B044DB" w:rsidRPr="00363CAF" w:rsidRDefault="00B044DB" w:rsidP="00FB5FEA">
            <w:pPr>
              <w:pStyle w:val="Tabletext"/>
              <w:rPr>
                <w:b/>
              </w:rPr>
            </w:pPr>
          </w:p>
        </w:tc>
        <w:tc>
          <w:tcPr>
            <w:tcW w:w="3402" w:type="dxa"/>
          </w:tcPr>
          <w:p w14:paraId="1E649888" w14:textId="77777777" w:rsidR="00B044DB" w:rsidRPr="00363CAF" w:rsidRDefault="00B044DB" w:rsidP="00FB5FEA">
            <w:pPr>
              <w:pStyle w:val="Summaryofsafetyconcerns"/>
              <w:rPr>
                <w:b w:val="0"/>
              </w:rPr>
            </w:pPr>
            <w:r w:rsidRPr="00363CAF">
              <w:rPr>
                <w:b w:val="0"/>
              </w:rPr>
              <w:t>Brachial neuritis</w:t>
            </w:r>
          </w:p>
        </w:tc>
        <w:tc>
          <w:tcPr>
            <w:tcW w:w="1275" w:type="dxa"/>
            <w:gridSpan w:val="2"/>
          </w:tcPr>
          <w:p w14:paraId="143C65FC" w14:textId="77777777" w:rsidR="00B044DB" w:rsidRPr="00363CAF" w:rsidRDefault="00B044DB" w:rsidP="00FB5FEA">
            <w:pPr>
              <w:pStyle w:val="Tabletext"/>
              <w:jc w:val="center"/>
            </w:pPr>
            <w:r w:rsidRPr="00363CAF">
              <w:sym w:font="Wingdings" w:char="F0FC"/>
            </w:r>
          </w:p>
        </w:tc>
        <w:tc>
          <w:tcPr>
            <w:tcW w:w="1134" w:type="dxa"/>
            <w:gridSpan w:val="2"/>
          </w:tcPr>
          <w:p w14:paraId="6C214072" w14:textId="77777777" w:rsidR="00B044DB" w:rsidRPr="00363CAF" w:rsidRDefault="00B044DB" w:rsidP="00FB5FEA">
            <w:pPr>
              <w:pStyle w:val="Tabletext"/>
              <w:jc w:val="center"/>
            </w:pPr>
            <w:r w:rsidRPr="00363CAF">
              <w:sym w:font="Wingdings" w:char="F0FC"/>
            </w:r>
            <w:r w:rsidRPr="00363CAF">
              <w:rPr>
                <w:szCs w:val="20"/>
              </w:rPr>
              <w:t>†</w:t>
            </w:r>
          </w:p>
        </w:tc>
        <w:tc>
          <w:tcPr>
            <w:tcW w:w="1701" w:type="dxa"/>
            <w:gridSpan w:val="2"/>
          </w:tcPr>
          <w:p w14:paraId="52B255B1" w14:textId="77777777" w:rsidR="00B044DB" w:rsidRPr="00363CAF" w:rsidRDefault="00B044DB" w:rsidP="00FB5FEA">
            <w:pPr>
              <w:pStyle w:val="Tabletext"/>
              <w:jc w:val="center"/>
            </w:pPr>
            <w:r w:rsidRPr="00363CAF">
              <w:t>-</w:t>
            </w:r>
          </w:p>
        </w:tc>
      </w:tr>
      <w:tr w:rsidR="00B044DB" w:rsidRPr="004F1C07" w14:paraId="130CA271" w14:textId="77777777" w:rsidTr="00670EC4">
        <w:trPr>
          <w:trHeight w:val="122"/>
        </w:trPr>
        <w:tc>
          <w:tcPr>
            <w:tcW w:w="1668" w:type="dxa"/>
            <w:vMerge/>
          </w:tcPr>
          <w:p w14:paraId="5237D5D2" w14:textId="77777777" w:rsidR="00B044DB" w:rsidRPr="00363CAF" w:rsidRDefault="00B044DB" w:rsidP="00FB5FEA">
            <w:pPr>
              <w:pStyle w:val="Tabletext"/>
              <w:rPr>
                <w:b/>
              </w:rPr>
            </w:pPr>
          </w:p>
        </w:tc>
        <w:tc>
          <w:tcPr>
            <w:tcW w:w="3402" w:type="dxa"/>
          </w:tcPr>
          <w:p w14:paraId="4312A7E4" w14:textId="77777777" w:rsidR="00B044DB" w:rsidRPr="00363CAF" w:rsidRDefault="00B044DB" w:rsidP="00FB5FEA">
            <w:pPr>
              <w:pStyle w:val="Summaryofsafetyconcerns"/>
              <w:rPr>
                <w:b w:val="0"/>
              </w:rPr>
            </w:pPr>
            <w:r w:rsidRPr="00363CAF">
              <w:rPr>
                <w:b w:val="0"/>
              </w:rPr>
              <w:t>Facial Paresis</w:t>
            </w:r>
          </w:p>
        </w:tc>
        <w:tc>
          <w:tcPr>
            <w:tcW w:w="1275" w:type="dxa"/>
            <w:gridSpan w:val="2"/>
          </w:tcPr>
          <w:p w14:paraId="3DBF9E0F" w14:textId="77777777" w:rsidR="00B044DB" w:rsidRPr="00363CAF" w:rsidRDefault="00B044DB" w:rsidP="00FB5FEA">
            <w:pPr>
              <w:pStyle w:val="Tabletext"/>
              <w:jc w:val="center"/>
            </w:pPr>
            <w:r w:rsidRPr="00363CAF">
              <w:sym w:font="Wingdings" w:char="F0FC"/>
            </w:r>
          </w:p>
        </w:tc>
        <w:tc>
          <w:tcPr>
            <w:tcW w:w="1134" w:type="dxa"/>
            <w:gridSpan w:val="2"/>
          </w:tcPr>
          <w:p w14:paraId="7B1F832E" w14:textId="77777777" w:rsidR="00B044DB" w:rsidRPr="00363CAF" w:rsidRDefault="00B044DB" w:rsidP="00FB5FEA">
            <w:pPr>
              <w:pStyle w:val="Tabletext"/>
              <w:jc w:val="center"/>
            </w:pPr>
            <w:r w:rsidRPr="00363CAF">
              <w:sym w:font="Wingdings" w:char="F0FC"/>
            </w:r>
          </w:p>
        </w:tc>
        <w:tc>
          <w:tcPr>
            <w:tcW w:w="1701" w:type="dxa"/>
            <w:gridSpan w:val="2"/>
          </w:tcPr>
          <w:p w14:paraId="02F884D5" w14:textId="77777777" w:rsidR="00B044DB" w:rsidRPr="00363CAF" w:rsidRDefault="00B044DB" w:rsidP="00FB5FEA">
            <w:pPr>
              <w:pStyle w:val="Tabletext"/>
              <w:jc w:val="center"/>
            </w:pPr>
            <w:r w:rsidRPr="00363CAF">
              <w:t>-</w:t>
            </w:r>
          </w:p>
        </w:tc>
      </w:tr>
      <w:tr w:rsidR="00B044DB" w:rsidRPr="004F1C07" w14:paraId="02E4B60C" w14:textId="77777777" w:rsidTr="00670EC4">
        <w:trPr>
          <w:trHeight w:val="122"/>
        </w:trPr>
        <w:tc>
          <w:tcPr>
            <w:tcW w:w="1668" w:type="dxa"/>
            <w:vMerge/>
          </w:tcPr>
          <w:p w14:paraId="66C09255" w14:textId="77777777" w:rsidR="00B044DB" w:rsidRPr="00363CAF" w:rsidRDefault="00B044DB" w:rsidP="00FB5FEA">
            <w:pPr>
              <w:pStyle w:val="Tabletext"/>
              <w:rPr>
                <w:b/>
              </w:rPr>
            </w:pPr>
          </w:p>
        </w:tc>
        <w:tc>
          <w:tcPr>
            <w:tcW w:w="3402" w:type="dxa"/>
          </w:tcPr>
          <w:p w14:paraId="04BAAA17" w14:textId="77777777" w:rsidR="00B044DB" w:rsidRPr="00363CAF" w:rsidRDefault="00B044DB" w:rsidP="00FB5FEA">
            <w:pPr>
              <w:pStyle w:val="Summaryofsafetyconcerns"/>
              <w:rPr>
                <w:b w:val="0"/>
              </w:rPr>
            </w:pPr>
            <w:r w:rsidRPr="00363CAF">
              <w:rPr>
                <w:b w:val="0"/>
              </w:rPr>
              <w:t>Severe injection site reactions</w:t>
            </w:r>
          </w:p>
        </w:tc>
        <w:tc>
          <w:tcPr>
            <w:tcW w:w="1275" w:type="dxa"/>
            <w:gridSpan w:val="2"/>
          </w:tcPr>
          <w:p w14:paraId="081BD45B" w14:textId="77777777" w:rsidR="00B044DB" w:rsidRPr="00363CAF" w:rsidRDefault="00B044DB" w:rsidP="00FB5FEA">
            <w:pPr>
              <w:pStyle w:val="Tabletext"/>
              <w:jc w:val="center"/>
            </w:pPr>
            <w:r w:rsidRPr="00363CAF">
              <w:sym w:font="Wingdings" w:char="F0FC"/>
            </w:r>
          </w:p>
        </w:tc>
        <w:tc>
          <w:tcPr>
            <w:tcW w:w="1134" w:type="dxa"/>
            <w:gridSpan w:val="2"/>
          </w:tcPr>
          <w:p w14:paraId="2EAE49AD" w14:textId="77777777" w:rsidR="00B044DB" w:rsidRPr="00363CAF" w:rsidRDefault="00B044DB" w:rsidP="00FB5FEA">
            <w:pPr>
              <w:pStyle w:val="Tabletext"/>
              <w:jc w:val="center"/>
            </w:pPr>
            <w:r w:rsidRPr="00363CAF">
              <w:sym w:font="Wingdings" w:char="F0FC"/>
            </w:r>
          </w:p>
        </w:tc>
        <w:tc>
          <w:tcPr>
            <w:tcW w:w="1701" w:type="dxa"/>
            <w:gridSpan w:val="2"/>
          </w:tcPr>
          <w:p w14:paraId="6F4D488A" w14:textId="77777777" w:rsidR="00B044DB" w:rsidRPr="00363CAF" w:rsidRDefault="00B044DB" w:rsidP="00FB5FEA">
            <w:pPr>
              <w:pStyle w:val="Tabletext"/>
              <w:jc w:val="center"/>
            </w:pPr>
            <w:r w:rsidRPr="00363CAF">
              <w:t>-</w:t>
            </w:r>
          </w:p>
        </w:tc>
      </w:tr>
      <w:tr w:rsidR="00B044DB" w:rsidRPr="004F1C07" w14:paraId="395E30B4" w14:textId="77777777" w:rsidTr="00670EC4">
        <w:trPr>
          <w:trHeight w:val="122"/>
        </w:trPr>
        <w:tc>
          <w:tcPr>
            <w:tcW w:w="1668" w:type="dxa"/>
            <w:vMerge/>
          </w:tcPr>
          <w:p w14:paraId="1B288AA8" w14:textId="77777777" w:rsidR="00B044DB" w:rsidRPr="00363CAF" w:rsidRDefault="00B044DB" w:rsidP="00FB5FEA">
            <w:pPr>
              <w:pStyle w:val="Tabletext"/>
              <w:rPr>
                <w:b/>
              </w:rPr>
            </w:pPr>
          </w:p>
        </w:tc>
        <w:tc>
          <w:tcPr>
            <w:tcW w:w="3402" w:type="dxa"/>
          </w:tcPr>
          <w:p w14:paraId="7D5C0D85" w14:textId="77777777" w:rsidR="00B044DB" w:rsidRPr="00FB38E8" w:rsidRDefault="00B044DB" w:rsidP="00FB5FEA">
            <w:pPr>
              <w:pStyle w:val="Summaryofsafetyconcerns"/>
              <w:rPr>
                <w:b w:val="0"/>
                <w:strike/>
              </w:rPr>
            </w:pPr>
            <w:r w:rsidRPr="00FB38E8">
              <w:rPr>
                <w:b w:val="0"/>
                <w:strike/>
              </w:rPr>
              <w:t>Systemic reactions (severe), including</w:t>
            </w:r>
          </w:p>
          <w:p w14:paraId="4F7FAAE4" w14:textId="77777777" w:rsidR="00B044DB" w:rsidRPr="00363CAF" w:rsidRDefault="00B044DB" w:rsidP="00FB5FEA">
            <w:pPr>
              <w:pStyle w:val="Summaryofsafetyconcerns"/>
              <w:rPr>
                <w:b w:val="0"/>
              </w:rPr>
            </w:pPr>
            <w:r w:rsidRPr="00FB38E8">
              <w:rPr>
                <w:b w:val="0"/>
                <w:strike/>
              </w:rPr>
              <w:t>febrile convulsion</w:t>
            </w:r>
          </w:p>
        </w:tc>
        <w:tc>
          <w:tcPr>
            <w:tcW w:w="1275" w:type="dxa"/>
            <w:gridSpan w:val="2"/>
          </w:tcPr>
          <w:p w14:paraId="6FCBC52A" w14:textId="77777777" w:rsidR="00B044DB" w:rsidRPr="00363CAF" w:rsidRDefault="00B044DB" w:rsidP="00FB5FEA">
            <w:pPr>
              <w:pStyle w:val="Tabletext"/>
              <w:jc w:val="center"/>
            </w:pPr>
            <w:r w:rsidRPr="00363CAF">
              <w:sym w:font="Wingdings" w:char="F0FC"/>
            </w:r>
          </w:p>
        </w:tc>
        <w:tc>
          <w:tcPr>
            <w:tcW w:w="1134" w:type="dxa"/>
            <w:gridSpan w:val="2"/>
          </w:tcPr>
          <w:p w14:paraId="7757E260" w14:textId="77777777" w:rsidR="00B044DB" w:rsidRPr="00363CAF" w:rsidRDefault="00B044DB" w:rsidP="00FB5FEA">
            <w:pPr>
              <w:pStyle w:val="Tabletext"/>
              <w:jc w:val="center"/>
            </w:pPr>
            <w:r w:rsidRPr="00363CAF">
              <w:sym w:font="Wingdings" w:char="F0FC"/>
            </w:r>
          </w:p>
        </w:tc>
        <w:tc>
          <w:tcPr>
            <w:tcW w:w="1701" w:type="dxa"/>
            <w:gridSpan w:val="2"/>
          </w:tcPr>
          <w:p w14:paraId="0194827A" w14:textId="77777777" w:rsidR="00B044DB" w:rsidRPr="00363CAF" w:rsidRDefault="00B044DB" w:rsidP="00FB5FEA">
            <w:pPr>
              <w:pStyle w:val="Tabletext"/>
              <w:jc w:val="center"/>
            </w:pPr>
            <w:r w:rsidRPr="00363CAF">
              <w:t>-</w:t>
            </w:r>
          </w:p>
        </w:tc>
      </w:tr>
      <w:tr w:rsidR="00B044DB" w:rsidRPr="004F1C07" w14:paraId="1FEE5687" w14:textId="77777777" w:rsidTr="00670EC4">
        <w:trPr>
          <w:trHeight w:val="112"/>
        </w:trPr>
        <w:tc>
          <w:tcPr>
            <w:tcW w:w="1668" w:type="dxa"/>
            <w:vMerge/>
          </w:tcPr>
          <w:p w14:paraId="6D7F2D93" w14:textId="77777777" w:rsidR="00B044DB" w:rsidRPr="00363CAF" w:rsidRDefault="00B044DB" w:rsidP="00FB5FEA">
            <w:pPr>
              <w:pStyle w:val="Tabletext"/>
              <w:rPr>
                <w:b/>
              </w:rPr>
            </w:pPr>
          </w:p>
        </w:tc>
        <w:tc>
          <w:tcPr>
            <w:tcW w:w="3402" w:type="dxa"/>
          </w:tcPr>
          <w:p w14:paraId="430450F2" w14:textId="77777777" w:rsidR="00B044DB" w:rsidRPr="00363CAF" w:rsidRDefault="00B044DB" w:rsidP="00FB5FEA">
            <w:pPr>
              <w:pStyle w:val="Summaryofsafetyconcerns"/>
              <w:rPr>
                <w:b w:val="0"/>
              </w:rPr>
            </w:pPr>
            <w:r w:rsidRPr="00363CAF">
              <w:rPr>
                <w:b w:val="0"/>
              </w:rPr>
              <w:t>Vaccination failure (lack of efficacy)</w:t>
            </w:r>
          </w:p>
        </w:tc>
        <w:tc>
          <w:tcPr>
            <w:tcW w:w="1275" w:type="dxa"/>
            <w:gridSpan w:val="2"/>
          </w:tcPr>
          <w:p w14:paraId="17A2272A" w14:textId="77777777" w:rsidR="00B044DB" w:rsidRPr="00363CAF" w:rsidRDefault="00B044DB" w:rsidP="00FB5FEA">
            <w:pPr>
              <w:pStyle w:val="Tabletext"/>
              <w:jc w:val="center"/>
            </w:pPr>
            <w:r w:rsidRPr="00363CAF">
              <w:sym w:font="Wingdings" w:char="F0FC"/>
            </w:r>
          </w:p>
        </w:tc>
        <w:tc>
          <w:tcPr>
            <w:tcW w:w="1134" w:type="dxa"/>
            <w:gridSpan w:val="2"/>
          </w:tcPr>
          <w:p w14:paraId="42C5222A" w14:textId="77777777" w:rsidR="00B044DB" w:rsidRPr="00363CAF" w:rsidRDefault="00B044DB" w:rsidP="00FB5FEA">
            <w:pPr>
              <w:pStyle w:val="Tabletext"/>
              <w:jc w:val="center"/>
            </w:pPr>
            <w:r w:rsidRPr="00363CAF">
              <w:sym w:font="Wingdings" w:char="F0FC"/>
            </w:r>
          </w:p>
        </w:tc>
        <w:tc>
          <w:tcPr>
            <w:tcW w:w="1701" w:type="dxa"/>
            <w:gridSpan w:val="2"/>
          </w:tcPr>
          <w:p w14:paraId="1FBC9008" w14:textId="77777777" w:rsidR="00B044DB" w:rsidRPr="00363CAF" w:rsidRDefault="00B044DB" w:rsidP="00FB5FEA">
            <w:pPr>
              <w:pStyle w:val="Tabletext"/>
              <w:jc w:val="center"/>
            </w:pPr>
            <w:r w:rsidRPr="00363CAF">
              <w:t>-</w:t>
            </w:r>
          </w:p>
        </w:tc>
      </w:tr>
      <w:tr w:rsidR="00B044DB" w:rsidRPr="004F1C07" w14:paraId="70F61114" w14:textId="77777777" w:rsidTr="00670EC4">
        <w:trPr>
          <w:trHeight w:val="178"/>
        </w:trPr>
        <w:tc>
          <w:tcPr>
            <w:tcW w:w="1668" w:type="dxa"/>
            <w:vMerge w:val="restart"/>
          </w:tcPr>
          <w:p w14:paraId="157A47CC" w14:textId="77777777" w:rsidR="00B044DB" w:rsidRPr="00363CAF" w:rsidRDefault="00B044DB" w:rsidP="00FB5FEA">
            <w:pPr>
              <w:pStyle w:val="Tabletext"/>
              <w:rPr>
                <w:b/>
              </w:rPr>
            </w:pPr>
            <w:r w:rsidRPr="00363CAF">
              <w:rPr>
                <w:b/>
              </w:rPr>
              <w:t>Missing information</w:t>
            </w:r>
          </w:p>
        </w:tc>
        <w:tc>
          <w:tcPr>
            <w:tcW w:w="3402" w:type="dxa"/>
          </w:tcPr>
          <w:p w14:paraId="0F210CEB" w14:textId="77777777" w:rsidR="00B044DB" w:rsidRPr="00363CAF" w:rsidRDefault="00B044DB" w:rsidP="00FB5FEA">
            <w:pPr>
              <w:pStyle w:val="Summaryofsafetyconcerns"/>
              <w:rPr>
                <w:b w:val="0"/>
              </w:rPr>
            </w:pPr>
            <w:r w:rsidRPr="00363CAF">
              <w:rPr>
                <w:b w:val="0"/>
              </w:rPr>
              <w:t>Safety during pregnancy or lactation</w:t>
            </w:r>
          </w:p>
        </w:tc>
        <w:tc>
          <w:tcPr>
            <w:tcW w:w="1275" w:type="dxa"/>
            <w:gridSpan w:val="2"/>
          </w:tcPr>
          <w:p w14:paraId="01F94281" w14:textId="77777777" w:rsidR="00B044DB" w:rsidRPr="00363CAF" w:rsidRDefault="00B044DB" w:rsidP="00FB5FEA">
            <w:pPr>
              <w:pStyle w:val="Tabletext"/>
              <w:jc w:val="center"/>
            </w:pPr>
            <w:r w:rsidRPr="00363CAF">
              <w:sym w:font="Wingdings" w:char="F0FC"/>
            </w:r>
          </w:p>
        </w:tc>
        <w:tc>
          <w:tcPr>
            <w:tcW w:w="1134" w:type="dxa"/>
            <w:gridSpan w:val="2"/>
          </w:tcPr>
          <w:p w14:paraId="52790C01" w14:textId="77777777" w:rsidR="00B044DB" w:rsidRPr="00363CAF" w:rsidRDefault="00B044DB" w:rsidP="00FB5FEA">
            <w:pPr>
              <w:pStyle w:val="Tabletext"/>
              <w:jc w:val="center"/>
            </w:pPr>
            <w:r w:rsidRPr="00363CAF">
              <w:t>?</w:t>
            </w:r>
          </w:p>
        </w:tc>
        <w:tc>
          <w:tcPr>
            <w:tcW w:w="1701" w:type="dxa"/>
            <w:gridSpan w:val="2"/>
          </w:tcPr>
          <w:p w14:paraId="08CE649A" w14:textId="77777777" w:rsidR="00B044DB" w:rsidRPr="00363CAF" w:rsidRDefault="00B044DB" w:rsidP="00FB5FEA">
            <w:pPr>
              <w:pStyle w:val="Tabletext"/>
              <w:jc w:val="center"/>
            </w:pPr>
            <w:r w:rsidRPr="00363CAF">
              <w:sym w:font="Wingdings" w:char="F0FC"/>
            </w:r>
          </w:p>
        </w:tc>
      </w:tr>
      <w:tr w:rsidR="00B044DB" w:rsidRPr="004F1C07" w14:paraId="200FE07B" w14:textId="77777777" w:rsidTr="00670EC4">
        <w:trPr>
          <w:trHeight w:val="103"/>
        </w:trPr>
        <w:tc>
          <w:tcPr>
            <w:tcW w:w="1668" w:type="dxa"/>
            <w:vMerge/>
          </w:tcPr>
          <w:p w14:paraId="2AFA21C1" w14:textId="77777777" w:rsidR="00B044DB" w:rsidRPr="00363CAF" w:rsidRDefault="00B044DB" w:rsidP="00FB5FEA">
            <w:pPr>
              <w:pStyle w:val="Tabletext"/>
            </w:pPr>
          </w:p>
        </w:tc>
        <w:tc>
          <w:tcPr>
            <w:tcW w:w="3402" w:type="dxa"/>
          </w:tcPr>
          <w:p w14:paraId="58EDBBC2" w14:textId="77777777" w:rsidR="00B044DB" w:rsidRPr="00363CAF" w:rsidRDefault="00B044DB" w:rsidP="00FB5FEA">
            <w:pPr>
              <w:pStyle w:val="Summaryofsafetyconcerns"/>
              <w:rPr>
                <w:b w:val="0"/>
              </w:rPr>
            </w:pPr>
            <w:r w:rsidRPr="00363CAF">
              <w:rPr>
                <w:b w:val="0"/>
              </w:rPr>
              <w:t xml:space="preserve">Safety in altered </w:t>
            </w:r>
            <w:proofErr w:type="spellStart"/>
            <w:r w:rsidRPr="00363CAF">
              <w:rPr>
                <w:b w:val="0"/>
              </w:rPr>
              <w:t>immunocompetence</w:t>
            </w:r>
            <w:proofErr w:type="spellEnd"/>
            <w:r w:rsidRPr="00363CAF">
              <w:rPr>
                <w:b w:val="0"/>
              </w:rPr>
              <w:t xml:space="preserve"> subjects</w:t>
            </w:r>
          </w:p>
        </w:tc>
        <w:tc>
          <w:tcPr>
            <w:tcW w:w="1275" w:type="dxa"/>
            <w:gridSpan w:val="2"/>
          </w:tcPr>
          <w:p w14:paraId="3348E8BB" w14:textId="77777777" w:rsidR="00B044DB" w:rsidRPr="00363CAF" w:rsidRDefault="00B044DB" w:rsidP="00FB5FEA">
            <w:pPr>
              <w:pStyle w:val="Tabletext"/>
              <w:jc w:val="center"/>
            </w:pPr>
            <w:r w:rsidRPr="00363CAF">
              <w:sym w:font="Wingdings" w:char="F0FC"/>
            </w:r>
          </w:p>
        </w:tc>
        <w:tc>
          <w:tcPr>
            <w:tcW w:w="1134" w:type="dxa"/>
            <w:gridSpan w:val="2"/>
          </w:tcPr>
          <w:p w14:paraId="0F150CF4" w14:textId="77777777" w:rsidR="00B044DB" w:rsidRPr="00363CAF" w:rsidRDefault="00B044DB" w:rsidP="00FB5FEA">
            <w:pPr>
              <w:pStyle w:val="Tabletext"/>
              <w:jc w:val="center"/>
            </w:pPr>
            <w:r w:rsidRPr="00363CAF">
              <w:t>-</w:t>
            </w:r>
          </w:p>
        </w:tc>
        <w:tc>
          <w:tcPr>
            <w:tcW w:w="1701" w:type="dxa"/>
            <w:gridSpan w:val="2"/>
          </w:tcPr>
          <w:p w14:paraId="359E96E7" w14:textId="77777777" w:rsidR="00B044DB" w:rsidRPr="00363CAF" w:rsidRDefault="00B044DB" w:rsidP="00FB5FEA">
            <w:pPr>
              <w:pStyle w:val="Tabletext"/>
              <w:jc w:val="center"/>
            </w:pPr>
            <w:r w:rsidRPr="00363CAF">
              <w:sym w:font="Wingdings" w:char="F0FC"/>
            </w:r>
          </w:p>
        </w:tc>
      </w:tr>
      <w:tr w:rsidR="00B044DB" w:rsidRPr="004F1C07" w14:paraId="7FD75C31" w14:textId="77777777" w:rsidTr="00670EC4">
        <w:trPr>
          <w:trHeight w:val="103"/>
        </w:trPr>
        <w:tc>
          <w:tcPr>
            <w:tcW w:w="1668" w:type="dxa"/>
            <w:vMerge/>
          </w:tcPr>
          <w:p w14:paraId="1C2389E1" w14:textId="77777777" w:rsidR="00B044DB" w:rsidRPr="00363CAF" w:rsidRDefault="00B044DB" w:rsidP="00FB5FEA">
            <w:pPr>
              <w:pStyle w:val="Tabletext"/>
            </w:pPr>
          </w:p>
        </w:tc>
        <w:tc>
          <w:tcPr>
            <w:tcW w:w="3402" w:type="dxa"/>
          </w:tcPr>
          <w:p w14:paraId="1A6D4340" w14:textId="77777777" w:rsidR="00B044DB" w:rsidRPr="00363CAF" w:rsidRDefault="00B044DB" w:rsidP="00FB5FEA">
            <w:pPr>
              <w:pStyle w:val="Summaryofsafetyconcerns"/>
              <w:rPr>
                <w:b w:val="0"/>
              </w:rPr>
            </w:pPr>
            <w:r w:rsidRPr="00363CAF">
              <w:rPr>
                <w:b w:val="0"/>
              </w:rPr>
              <w:t>Safety in bleeding disorder patients</w:t>
            </w:r>
          </w:p>
        </w:tc>
        <w:tc>
          <w:tcPr>
            <w:tcW w:w="1275" w:type="dxa"/>
            <w:gridSpan w:val="2"/>
          </w:tcPr>
          <w:p w14:paraId="6CB99ECD" w14:textId="77777777" w:rsidR="00B044DB" w:rsidRPr="00363CAF" w:rsidRDefault="00B044DB" w:rsidP="00FB5FEA">
            <w:pPr>
              <w:pStyle w:val="Tabletext"/>
              <w:jc w:val="center"/>
            </w:pPr>
            <w:r w:rsidRPr="00363CAF">
              <w:sym w:font="Wingdings" w:char="F0FC"/>
            </w:r>
          </w:p>
        </w:tc>
        <w:tc>
          <w:tcPr>
            <w:tcW w:w="1134" w:type="dxa"/>
            <w:gridSpan w:val="2"/>
          </w:tcPr>
          <w:p w14:paraId="280E134A" w14:textId="77777777" w:rsidR="00B044DB" w:rsidRPr="00363CAF" w:rsidRDefault="00B044DB" w:rsidP="00FB5FEA">
            <w:pPr>
              <w:pStyle w:val="Tabletext"/>
              <w:jc w:val="center"/>
            </w:pPr>
            <w:r w:rsidRPr="00363CAF">
              <w:t>-</w:t>
            </w:r>
          </w:p>
        </w:tc>
        <w:tc>
          <w:tcPr>
            <w:tcW w:w="1701" w:type="dxa"/>
            <w:gridSpan w:val="2"/>
          </w:tcPr>
          <w:p w14:paraId="3F06B841" w14:textId="77777777" w:rsidR="00B044DB" w:rsidRPr="00363CAF" w:rsidRDefault="00B044DB" w:rsidP="00FB5FEA">
            <w:pPr>
              <w:pStyle w:val="Tabletext"/>
              <w:jc w:val="center"/>
            </w:pPr>
            <w:r w:rsidRPr="00363CAF">
              <w:sym w:font="Wingdings" w:char="F0FC"/>
            </w:r>
          </w:p>
        </w:tc>
      </w:tr>
      <w:tr w:rsidR="00B044DB" w:rsidRPr="004F1C07" w14:paraId="007B1A67" w14:textId="77777777" w:rsidTr="00670EC4">
        <w:trPr>
          <w:trHeight w:val="103"/>
        </w:trPr>
        <w:tc>
          <w:tcPr>
            <w:tcW w:w="1668" w:type="dxa"/>
            <w:vMerge/>
          </w:tcPr>
          <w:p w14:paraId="03F8C80E" w14:textId="77777777" w:rsidR="00B044DB" w:rsidRPr="00363CAF" w:rsidRDefault="00B044DB" w:rsidP="00FB5FEA">
            <w:pPr>
              <w:pStyle w:val="Tabletext"/>
            </w:pPr>
          </w:p>
        </w:tc>
        <w:tc>
          <w:tcPr>
            <w:tcW w:w="3402" w:type="dxa"/>
          </w:tcPr>
          <w:p w14:paraId="7A1F6520" w14:textId="77777777" w:rsidR="00B044DB" w:rsidRPr="00363CAF" w:rsidRDefault="00B044DB" w:rsidP="00FB5FEA">
            <w:pPr>
              <w:pStyle w:val="Summaryofsafetyconcerns"/>
              <w:rPr>
                <w:b w:val="0"/>
              </w:rPr>
            </w:pPr>
            <w:r w:rsidRPr="00363CAF">
              <w:rPr>
                <w:b w:val="0"/>
              </w:rPr>
              <w:t>Safety in serious acute, chronic or progressive disease patients</w:t>
            </w:r>
          </w:p>
        </w:tc>
        <w:tc>
          <w:tcPr>
            <w:tcW w:w="1275" w:type="dxa"/>
            <w:gridSpan w:val="2"/>
          </w:tcPr>
          <w:p w14:paraId="217764A1" w14:textId="77777777" w:rsidR="00B044DB" w:rsidRPr="00363CAF" w:rsidRDefault="00B044DB" w:rsidP="00FB5FEA">
            <w:pPr>
              <w:pStyle w:val="Tabletext"/>
              <w:jc w:val="center"/>
            </w:pPr>
            <w:r w:rsidRPr="00363CAF">
              <w:sym w:font="Wingdings" w:char="F0FC"/>
            </w:r>
          </w:p>
        </w:tc>
        <w:tc>
          <w:tcPr>
            <w:tcW w:w="1134" w:type="dxa"/>
            <w:gridSpan w:val="2"/>
          </w:tcPr>
          <w:p w14:paraId="7C5C2C75" w14:textId="77777777" w:rsidR="00B044DB" w:rsidRPr="00363CAF" w:rsidRDefault="00B044DB" w:rsidP="00FB5FEA">
            <w:pPr>
              <w:pStyle w:val="Tabletext"/>
              <w:jc w:val="center"/>
            </w:pPr>
            <w:r w:rsidRPr="00363CAF">
              <w:t>-</w:t>
            </w:r>
          </w:p>
        </w:tc>
        <w:tc>
          <w:tcPr>
            <w:tcW w:w="1701" w:type="dxa"/>
            <w:gridSpan w:val="2"/>
          </w:tcPr>
          <w:p w14:paraId="772278A4" w14:textId="77777777" w:rsidR="00B044DB" w:rsidRPr="00363CAF" w:rsidRDefault="00B044DB" w:rsidP="00FB5FEA">
            <w:pPr>
              <w:pStyle w:val="Tabletext"/>
              <w:jc w:val="center"/>
            </w:pPr>
            <w:r w:rsidRPr="00363CAF">
              <w:t>-</w:t>
            </w:r>
          </w:p>
        </w:tc>
      </w:tr>
      <w:tr w:rsidR="00B044DB" w:rsidRPr="004F1C07" w14:paraId="195239EC" w14:textId="77777777" w:rsidTr="00670EC4">
        <w:trPr>
          <w:trHeight w:val="103"/>
        </w:trPr>
        <w:tc>
          <w:tcPr>
            <w:tcW w:w="1668" w:type="dxa"/>
            <w:vMerge/>
          </w:tcPr>
          <w:p w14:paraId="0DB08769" w14:textId="77777777" w:rsidR="00B044DB" w:rsidRPr="00363CAF" w:rsidRDefault="00B044DB" w:rsidP="00FB5FEA">
            <w:pPr>
              <w:pStyle w:val="Tabletext"/>
            </w:pPr>
          </w:p>
        </w:tc>
        <w:tc>
          <w:tcPr>
            <w:tcW w:w="3402" w:type="dxa"/>
          </w:tcPr>
          <w:p w14:paraId="48477E25" w14:textId="77777777" w:rsidR="00B044DB" w:rsidRPr="00363CAF" w:rsidRDefault="00B044DB" w:rsidP="00FB5FEA">
            <w:pPr>
              <w:pStyle w:val="Summaryofsafetyconcerns"/>
              <w:rPr>
                <w:b w:val="0"/>
              </w:rPr>
            </w:pPr>
            <w:r w:rsidRPr="00363CAF">
              <w:rPr>
                <w:b w:val="0"/>
              </w:rPr>
              <w:t xml:space="preserve">Safety in subjects with a history of </w:t>
            </w:r>
            <w:proofErr w:type="spellStart"/>
            <w:r w:rsidRPr="00363CAF">
              <w:rPr>
                <w:b w:val="0"/>
              </w:rPr>
              <w:t>Guillain-Barré</w:t>
            </w:r>
            <w:proofErr w:type="spellEnd"/>
            <w:r w:rsidRPr="00363CAF">
              <w:rPr>
                <w:b w:val="0"/>
              </w:rPr>
              <w:t xml:space="preserve"> syndrome</w:t>
            </w:r>
          </w:p>
        </w:tc>
        <w:tc>
          <w:tcPr>
            <w:tcW w:w="1275" w:type="dxa"/>
            <w:gridSpan w:val="2"/>
          </w:tcPr>
          <w:p w14:paraId="79BF1CDB" w14:textId="77777777" w:rsidR="00B044DB" w:rsidRPr="00363CAF" w:rsidRDefault="00B044DB" w:rsidP="00FB5FEA">
            <w:pPr>
              <w:pStyle w:val="Tabletext"/>
              <w:jc w:val="center"/>
            </w:pPr>
            <w:r w:rsidRPr="00363CAF">
              <w:sym w:font="Wingdings" w:char="F0FC"/>
            </w:r>
          </w:p>
        </w:tc>
        <w:tc>
          <w:tcPr>
            <w:tcW w:w="1134" w:type="dxa"/>
            <w:gridSpan w:val="2"/>
          </w:tcPr>
          <w:p w14:paraId="33C2E3C3" w14:textId="77777777" w:rsidR="00B044DB" w:rsidRPr="00363CAF" w:rsidRDefault="00B044DB" w:rsidP="00FB5FEA">
            <w:pPr>
              <w:pStyle w:val="Tabletext"/>
              <w:jc w:val="center"/>
            </w:pPr>
            <w:r w:rsidRPr="00363CAF">
              <w:t>-</w:t>
            </w:r>
          </w:p>
        </w:tc>
        <w:tc>
          <w:tcPr>
            <w:tcW w:w="1701" w:type="dxa"/>
            <w:gridSpan w:val="2"/>
          </w:tcPr>
          <w:p w14:paraId="56A88063" w14:textId="77777777" w:rsidR="00B044DB" w:rsidRPr="00363CAF" w:rsidRDefault="00B044DB" w:rsidP="00FB5FEA">
            <w:pPr>
              <w:pStyle w:val="Tabletext"/>
              <w:jc w:val="center"/>
            </w:pPr>
            <w:r w:rsidRPr="00363CAF">
              <w:t>-</w:t>
            </w:r>
          </w:p>
        </w:tc>
      </w:tr>
      <w:tr w:rsidR="00B044DB" w:rsidRPr="004F1C07" w14:paraId="101964A7" w14:textId="77777777" w:rsidTr="00670EC4">
        <w:trPr>
          <w:trHeight w:val="140"/>
        </w:trPr>
        <w:tc>
          <w:tcPr>
            <w:tcW w:w="1668" w:type="dxa"/>
            <w:vMerge/>
          </w:tcPr>
          <w:p w14:paraId="0284D20E" w14:textId="77777777" w:rsidR="00B044DB" w:rsidRPr="00363CAF" w:rsidRDefault="00B044DB" w:rsidP="00FB5FEA">
            <w:pPr>
              <w:pStyle w:val="Tabletext"/>
            </w:pPr>
          </w:p>
        </w:tc>
        <w:tc>
          <w:tcPr>
            <w:tcW w:w="3402" w:type="dxa"/>
          </w:tcPr>
          <w:p w14:paraId="3C7B02DB" w14:textId="77777777" w:rsidR="00B044DB" w:rsidRPr="00D248DC" w:rsidRDefault="00B044DB" w:rsidP="00FB5FEA">
            <w:pPr>
              <w:pStyle w:val="Summaryofsafetyconcerns"/>
              <w:rPr>
                <w:b w:val="0"/>
                <w:strike/>
              </w:rPr>
            </w:pPr>
            <w:r w:rsidRPr="00D248DC">
              <w:rPr>
                <w:b w:val="0"/>
                <w:strike/>
              </w:rPr>
              <w:t>Exposure to repeated doses, including booster</w:t>
            </w:r>
          </w:p>
        </w:tc>
        <w:tc>
          <w:tcPr>
            <w:tcW w:w="1275" w:type="dxa"/>
            <w:gridSpan w:val="2"/>
          </w:tcPr>
          <w:p w14:paraId="56296600" w14:textId="77777777" w:rsidR="00B044DB" w:rsidRPr="00363CAF" w:rsidRDefault="00B044DB" w:rsidP="00FB5FEA">
            <w:pPr>
              <w:pStyle w:val="Tabletext"/>
              <w:jc w:val="center"/>
            </w:pPr>
            <w:r w:rsidRPr="00363CAF">
              <w:sym w:font="Wingdings" w:char="F0FC"/>
            </w:r>
          </w:p>
        </w:tc>
        <w:tc>
          <w:tcPr>
            <w:tcW w:w="1134" w:type="dxa"/>
            <w:gridSpan w:val="2"/>
          </w:tcPr>
          <w:p w14:paraId="0D3AE1B3" w14:textId="77777777" w:rsidR="00B044DB" w:rsidRPr="00363CAF" w:rsidRDefault="00B044DB" w:rsidP="00FB5FEA">
            <w:pPr>
              <w:pStyle w:val="Tabletext"/>
              <w:jc w:val="center"/>
            </w:pPr>
            <w:r w:rsidRPr="00363CAF">
              <w:sym w:font="Wingdings" w:char="F0FC"/>
            </w:r>
            <w:r w:rsidRPr="00363CAF">
              <w:t>‡</w:t>
            </w:r>
          </w:p>
        </w:tc>
        <w:tc>
          <w:tcPr>
            <w:tcW w:w="1701" w:type="dxa"/>
            <w:gridSpan w:val="2"/>
          </w:tcPr>
          <w:p w14:paraId="26F13F62" w14:textId="77777777" w:rsidR="00B044DB" w:rsidRPr="00363CAF" w:rsidRDefault="00B044DB" w:rsidP="00FB5FEA">
            <w:pPr>
              <w:pStyle w:val="Tabletext"/>
              <w:jc w:val="center"/>
            </w:pPr>
            <w:r w:rsidRPr="00363CAF">
              <w:t>-</w:t>
            </w:r>
          </w:p>
        </w:tc>
      </w:tr>
      <w:tr w:rsidR="00B044DB" w:rsidRPr="004F1C07" w14:paraId="7E15D462" w14:textId="77777777" w:rsidTr="00670EC4">
        <w:trPr>
          <w:trHeight w:val="140"/>
        </w:trPr>
        <w:tc>
          <w:tcPr>
            <w:tcW w:w="9180" w:type="dxa"/>
            <w:gridSpan w:val="8"/>
          </w:tcPr>
          <w:p w14:paraId="39370A2C" w14:textId="77777777" w:rsidR="00B044DB" w:rsidRDefault="00B044DB" w:rsidP="009D77B4">
            <w:pPr>
              <w:pStyle w:val="TableDescription"/>
            </w:pPr>
            <w:r>
              <w:t>Missing information: ‘</w:t>
            </w:r>
            <w:r w:rsidRPr="00F80614">
              <w:t>Safety and immunogenicity data in elderly subjects (above 65 years of age)</w:t>
            </w:r>
            <w:r>
              <w:t>’</w:t>
            </w:r>
            <w:r w:rsidRPr="00F80614">
              <w:rPr>
                <w:b/>
              </w:rPr>
              <w:t xml:space="preserve"> </w:t>
            </w:r>
            <w:r>
              <w:t xml:space="preserve">is </w:t>
            </w:r>
            <w:r w:rsidRPr="00F80614">
              <w:t>in</w:t>
            </w:r>
            <w:r>
              <w:t>cluded in</w:t>
            </w:r>
            <w:r w:rsidRPr="00F80614">
              <w:t xml:space="preserve"> the EU-RMP</w:t>
            </w:r>
            <w:r>
              <w:t xml:space="preserve"> and not in the ASA</w:t>
            </w:r>
            <w:r w:rsidR="00BD2338">
              <w:t>.</w:t>
            </w:r>
          </w:p>
          <w:p w14:paraId="0F8E19F9" w14:textId="77777777" w:rsidR="00B044DB" w:rsidRDefault="00B044DB" w:rsidP="009D77B4">
            <w:pPr>
              <w:pStyle w:val="TableDescription"/>
            </w:pPr>
            <w:r>
              <w:t xml:space="preserve">The following safety concerns (struck through above) are proposed to be removed in the </w:t>
            </w:r>
            <w:r w:rsidR="00BD2338">
              <w:t>sponsor’s</w:t>
            </w:r>
            <w:r>
              <w:t xml:space="preserve"> response:</w:t>
            </w:r>
          </w:p>
          <w:p w14:paraId="59870CB8" w14:textId="77777777" w:rsidR="00B044DB" w:rsidRDefault="00B044DB" w:rsidP="009D77B4">
            <w:pPr>
              <w:pStyle w:val="TableDescription"/>
            </w:pPr>
            <w:r w:rsidRPr="00FB38E8">
              <w:t xml:space="preserve">Important potential risk: ‘Systemic reactions (severe) including febrile convulsion’ </w:t>
            </w:r>
          </w:p>
          <w:p w14:paraId="2CFFCF94" w14:textId="77777777" w:rsidR="00B044DB" w:rsidRDefault="00B044DB" w:rsidP="009D77B4">
            <w:pPr>
              <w:pStyle w:val="TableDescription"/>
            </w:pPr>
            <w:r>
              <w:t>Missing information: ‘Exposure to repeated doses, including booster</w:t>
            </w:r>
          </w:p>
          <w:p w14:paraId="6CCB2758" w14:textId="77777777" w:rsidR="00B044DB" w:rsidRPr="00FB38E8" w:rsidRDefault="00B044DB" w:rsidP="009D77B4">
            <w:pPr>
              <w:pStyle w:val="TableDescription"/>
            </w:pPr>
            <w:r w:rsidRPr="00FB38E8">
              <w:t>Key:</w:t>
            </w:r>
            <w:r w:rsidRPr="00FB38E8">
              <w:tab/>
              <w:t xml:space="preserve">* targeted follow up questionnaires, § Australian only routine risk minimisation, </w:t>
            </w:r>
          </w:p>
          <w:p w14:paraId="48B15F38" w14:textId="77777777" w:rsidR="00B044DB" w:rsidRDefault="00B044DB" w:rsidP="009D77B4">
            <w:pPr>
              <w:pStyle w:val="TableDescription"/>
            </w:pPr>
            <w:r>
              <w:tab/>
            </w:r>
            <w:r w:rsidRPr="00F80614">
              <w:t>†</w:t>
            </w:r>
            <w:r>
              <w:t xml:space="preserve"> Completed studies (</w:t>
            </w:r>
            <w:r w:rsidRPr="00F80614">
              <w:t>V59_54OB, V59_34OB</w:t>
            </w:r>
            <w:r>
              <w:t xml:space="preserve">) </w:t>
            </w:r>
            <w:r w:rsidRPr="00F80614">
              <w:t xml:space="preserve">‡ Completed studies </w:t>
            </w:r>
            <w:r>
              <w:t>(</w:t>
            </w:r>
            <w:r w:rsidRPr="00F80614">
              <w:t>V59_57, V59P20E1</w:t>
            </w:r>
            <w:r>
              <w:t xml:space="preserve">) </w:t>
            </w:r>
          </w:p>
          <w:p w14:paraId="579EB1BF" w14:textId="77777777" w:rsidR="00B044DB" w:rsidRPr="00AE4AEB" w:rsidRDefault="00B044DB" w:rsidP="009D77B4">
            <w:pPr>
              <w:pStyle w:val="TableDescription"/>
            </w:pPr>
            <w:r>
              <w:tab/>
            </w:r>
            <w:r w:rsidRPr="00F80614">
              <w:t>? Pregnancy ‘Post marketi</w:t>
            </w:r>
            <w:r>
              <w:t>ng Surveill</w:t>
            </w:r>
            <w:r w:rsidR="009D77B4">
              <w:t>ance’ – Inadequately described.</w:t>
            </w:r>
          </w:p>
        </w:tc>
      </w:tr>
    </w:tbl>
    <w:p w14:paraId="2681B84D" w14:textId="77777777" w:rsidR="00B044DB" w:rsidRPr="008F04B5" w:rsidRDefault="00B044DB" w:rsidP="00BD2338">
      <w:pPr>
        <w:pStyle w:val="ListBullet"/>
      </w:pPr>
      <w:r>
        <w:t>Ongoing p</w:t>
      </w:r>
      <w:r w:rsidRPr="008F04B5">
        <w:t>harmacovigilance activities</w:t>
      </w:r>
      <w:r>
        <w:t xml:space="preserve"> include:</w:t>
      </w:r>
    </w:p>
    <w:p w14:paraId="59882FD2" w14:textId="77777777" w:rsidR="00B044DB" w:rsidRDefault="00B044DB" w:rsidP="00BD2338">
      <w:pPr>
        <w:pStyle w:val="ListBullet2"/>
      </w:pPr>
      <w:r w:rsidRPr="008F04B5">
        <w:t xml:space="preserve">Routine </w:t>
      </w:r>
      <w:r>
        <w:t>pharmacovigilance with</w:t>
      </w:r>
      <w:r w:rsidRPr="008F04B5">
        <w:t xml:space="preserve"> </w:t>
      </w:r>
      <w:r>
        <w:t>limited use of targeted follow-</w:t>
      </w:r>
      <w:r w:rsidRPr="008F04B5">
        <w:t>up questionnaires</w:t>
      </w:r>
      <w:r>
        <w:t xml:space="preserve"> </w:t>
      </w:r>
    </w:p>
    <w:p w14:paraId="589F80ED" w14:textId="77777777" w:rsidR="00B044DB" w:rsidRDefault="006571F8" w:rsidP="00BD2338">
      <w:pPr>
        <w:pStyle w:val="ListBullet2"/>
      </w:pPr>
      <w:r>
        <w:lastRenderedPageBreak/>
        <w:t>Study V59</w:t>
      </w:r>
      <w:r w:rsidR="00B044DB">
        <w:t>_74OB:</w:t>
      </w:r>
      <w:r w:rsidR="00B044DB" w:rsidRPr="00BE3626">
        <w:t xml:space="preserve"> </w:t>
      </w:r>
      <w:r w:rsidR="00B044DB">
        <w:t xml:space="preserve">Post-licensure observational safety surveillance study of </w:t>
      </w:r>
      <w:proofErr w:type="spellStart"/>
      <w:r w:rsidR="00B044DB">
        <w:t>quadrivalent</w:t>
      </w:r>
      <w:proofErr w:type="spellEnd"/>
      <w:r w:rsidR="00B044DB">
        <w:t xml:space="preserve"> meningococcal ACWY conjugate vaccine </w:t>
      </w:r>
      <w:proofErr w:type="spellStart"/>
      <w:r w:rsidR="00B044DB">
        <w:t>MenACWY</w:t>
      </w:r>
      <w:proofErr w:type="spellEnd"/>
      <w:r w:rsidR="007F4D43">
        <w:t>-</w:t>
      </w:r>
      <w:r w:rsidR="00B044DB">
        <w:t>CRM (</w:t>
      </w:r>
      <w:proofErr w:type="spellStart"/>
      <w:r w:rsidR="00AA10D9">
        <w:t>Menveo</w:t>
      </w:r>
      <w:proofErr w:type="spellEnd"/>
      <w:r w:rsidR="00B044DB">
        <w:t xml:space="preserve">®) in children </w:t>
      </w:r>
      <w:r w:rsidR="00B044DB" w:rsidRPr="00BD2338">
        <w:rPr>
          <w:i/>
        </w:rPr>
        <w:t>2 months through 23 months of age</w:t>
      </w:r>
      <w:r w:rsidR="00B044DB">
        <w:t>. (US)</w:t>
      </w:r>
    </w:p>
    <w:p w14:paraId="7A21E4AD" w14:textId="77777777" w:rsidR="00B044DB" w:rsidRDefault="00B044DB" w:rsidP="00BD2338">
      <w:pPr>
        <w:pStyle w:val="ListBullet2"/>
      </w:pPr>
      <w:r>
        <w:t>Post market surveillance of exposure in pregnancy is proposed including enhanced routine pharmacovigilance with structured follow-up. However, the status of the sponsor’s proposed pregnancy surveillance studies is unclear and must be clarified in an update to the RMP.</w:t>
      </w:r>
    </w:p>
    <w:p w14:paraId="014EC639" w14:textId="77777777" w:rsidR="00B044DB" w:rsidRDefault="006571F8" w:rsidP="00BD2338">
      <w:pPr>
        <w:pStyle w:val="ListBullet3"/>
      </w:pPr>
      <w:r>
        <w:t>Study V59</w:t>
      </w:r>
      <w:r w:rsidR="00B044DB">
        <w:t xml:space="preserve">_04OB [to be closed due to non-recruitment, EU-RMP III.5.2 Table 32] </w:t>
      </w:r>
    </w:p>
    <w:p w14:paraId="46173879" w14:textId="77777777" w:rsidR="00B044DB" w:rsidRPr="008F04B5" w:rsidRDefault="006571F8" w:rsidP="00BD2338">
      <w:pPr>
        <w:pStyle w:val="ListBullet3"/>
      </w:pPr>
      <w:r>
        <w:t>Study V59</w:t>
      </w:r>
      <w:r w:rsidR="00B044DB">
        <w:t>_72OB [noted by ACV to have failed to enrol any patients in the PBRER]</w:t>
      </w:r>
    </w:p>
    <w:p w14:paraId="5996DE8A" w14:textId="77777777" w:rsidR="00F74342" w:rsidRDefault="00B044DB" w:rsidP="00B044DB">
      <w:pPr>
        <w:pStyle w:val="Bulletlist"/>
        <w:ind w:left="426"/>
      </w:pPr>
      <w:r w:rsidRPr="008F04B5">
        <w:t xml:space="preserve">Routine risk minimisation </w:t>
      </w:r>
      <w:r>
        <w:t>activities</w:t>
      </w:r>
      <w:r w:rsidRPr="008F04B5">
        <w:t xml:space="preserve"> only are proposed</w:t>
      </w:r>
      <w:r>
        <w:t>. This is acceptable, given that the product has been used previously in this age group in line with official recommendations</w:t>
      </w:r>
      <w:r w:rsidR="00F74342">
        <w:t>.</w:t>
      </w:r>
    </w:p>
    <w:p w14:paraId="00D1D250" w14:textId="13C72303" w:rsidR="00BD2338" w:rsidRDefault="00BD2338" w:rsidP="00CB1F4E">
      <w:pPr>
        <w:pStyle w:val="Heading3"/>
      </w:pPr>
      <w:bookmarkStart w:id="123" w:name="_Toc511377357"/>
      <w:bookmarkStart w:id="124" w:name="_Toc485307453"/>
      <w:r>
        <w:t>Second round evaluation</w:t>
      </w:r>
      <w:bookmarkEnd w:id="123"/>
    </w:p>
    <w:p w14:paraId="0C7DFDFD" w14:textId="77777777" w:rsidR="00B044DB" w:rsidRDefault="00B044DB" w:rsidP="00BD2338">
      <w:pPr>
        <w:pStyle w:val="Heading4"/>
      </w:pPr>
      <w:r>
        <w:t>New and outstanding recommendations</w:t>
      </w:r>
      <w:bookmarkEnd w:id="124"/>
    </w:p>
    <w:p w14:paraId="58858BDB" w14:textId="77777777" w:rsidR="00B044DB" w:rsidRPr="00B93AA1" w:rsidRDefault="00B044DB" w:rsidP="00BD2338">
      <w:r>
        <w:t>The Risk Management Plan is acceptable; however, the three (3) minor recommendations below should be addressed in a post approval update. In addition, there are two recommendations for the Delegate’s consideration (see Advice to the Delegate, below).</w:t>
      </w:r>
    </w:p>
    <w:p w14:paraId="165337B3" w14:textId="77777777" w:rsidR="00B044DB" w:rsidRPr="005E4471" w:rsidRDefault="00BD2338" w:rsidP="00BD2338">
      <w:pPr>
        <w:rPr>
          <w:rFonts w:eastAsia="Times New Roman"/>
          <w:snapToGrid w:val="0"/>
        </w:rPr>
      </w:pPr>
      <w:r w:rsidRPr="00BD2338">
        <w:rPr>
          <w:rStyle w:val="Heading5Char"/>
          <w:rFonts w:eastAsia="Cambria"/>
        </w:rPr>
        <w:t>Recommendation 11</w:t>
      </w:r>
      <w:r>
        <w:rPr>
          <w:rFonts w:eastAsia="Times New Roman"/>
          <w:snapToGrid w:val="0"/>
        </w:rPr>
        <w:t xml:space="preserve"> </w:t>
      </w:r>
      <w:r w:rsidR="00B044DB" w:rsidRPr="005E4471">
        <w:rPr>
          <w:rFonts w:eastAsia="Times New Roman"/>
          <w:snapToGrid w:val="0"/>
        </w:rPr>
        <w:t xml:space="preserve">The </w:t>
      </w:r>
      <w:r w:rsidR="00B044DB">
        <w:rPr>
          <w:rFonts w:eastAsia="Times New Roman"/>
          <w:snapToGrid w:val="0"/>
        </w:rPr>
        <w:t>sponsor must submit the</w:t>
      </w:r>
      <w:r w:rsidR="00B044DB" w:rsidRPr="005E4471">
        <w:rPr>
          <w:rFonts w:eastAsia="Times New Roman"/>
          <w:snapToGrid w:val="0"/>
        </w:rPr>
        <w:t xml:space="preserve"> </w:t>
      </w:r>
      <w:r w:rsidR="00B044DB">
        <w:rPr>
          <w:rFonts w:eastAsia="Times New Roman"/>
          <w:snapToGrid w:val="0"/>
        </w:rPr>
        <w:t xml:space="preserve">draft revised </w:t>
      </w:r>
      <w:r w:rsidR="00B044DB" w:rsidRPr="005E4471">
        <w:rPr>
          <w:rFonts w:eastAsia="Times New Roman"/>
          <w:snapToGrid w:val="0"/>
        </w:rPr>
        <w:t xml:space="preserve">EU-RMP </w:t>
      </w:r>
      <w:r w:rsidR="00B044DB">
        <w:rPr>
          <w:rFonts w:eastAsia="Times New Roman"/>
          <w:snapToGrid w:val="0"/>
        </w:rPr>
        <w:t xml:space="preserve">and final agreed revised EU-RMP </w:t>
      </w:r>
      <w:r w:rsidR="00B044DB" w:rsidRPr="005E4471">
        <w:rPr>
          <w:rFonts w:eastAsia="Times New Roman"/>
          <w:snapToGrid w:val="0"/>
        </w:rPr>
        <w:t xml:space="preserve">with an </w:t>
      </w:r>
      <w:r w:rsidR="00B044DB" w:rsidRPr="005E4471">
        <w:rPr>
          <w:rStyle w:val="StandardChar"/>
          <w:rFonts w:eastAsiaTheme="minorHAnsi"/>
        </w:rPr>
        <w:t>appropriately updated ASA. These should include the changes proposed in the response and</w:t>
      </w:r>
      <w:r w:rsidR="00B044DB">
        <w:rPr>
          <w:rStyle w:val="StandardChar"/>
          <w:rFonts w:eastAsiaTheme="minorHAnsi"/>
        </w:rPr>
        <w:t xml:space="preserve"> </w:t>
      </w:r>
      <w:r w:rsidR="00B044DB" w:rsidRPr="005E4471">
        <w:rPr>
          <w:rStyle w:val="StandardChar"/>
          <w:rFonts w:eastAsiaTheme="minorHAnsi"/>
        </w:rPr>
        <w:t>updated pharmacovigilance plan which must clarify the status of ongoing studies including V59_72OB.</w:t>
      </w:r>
    </w:p>
    <w:p w14:paraId="4C9EF14D" w14:textId="77777777" w:rsidR="00F74342" w:rsidRDefault="00BD2338" w:rsidP="00BD2338">
      <w:r w:rsidRPr="00827008">
        <w:rPr>
          <w:rStyle w:val="Heading5Char"/>
          <w:rFonts w:eastAsia="Cambria"/>
        </w:rPr>
        <w:t>Recommendation 12</w:t>
      </w:r>
      <w:r>
        <w:t xml:space="preserve"> </w:t>
      </w:r>
      <w:r w:rsidR="00B044DB" w:rsidRPr="00B93AA1">
        <w:t xml:space="preserve">The </w:t>
      </w:r>
      <w:r w:rsidR="00B044DB">
        <w:t>structured</w:t>
      </w:r>
      <w:r w:rsidR="00B044DB" w:rsidRPr="00B93AA1">
        <w:t xml:space="preserve"> follow-up </w:t>
      </w:r>
      <w:r w:rsidR="00B044DB">
        <w:t>of adverse event reports s</w:t>
      </w:r>
      <w:r w:rsidR="00B044DB" w:rsidRPr="00B93AA1">
        <w:t>hould collect appropriate ethnic demographic information</w:t>
      </w:r>
      <w:r w:rsidR="00B044DB">
        <w:t xml:space="preserve"> for Australia</w:t>
      </w:r>
      <w:r w:rsidR="00B044DB" w:rsidRPr="00B93AA1">
        <w:t xml:space="preserve">. This must include Australian indigenous identity (ATSI) categories as follows: Aboriginal, Torres Strait Islander, Aboriginal and Torres Strait Islander, </w:t>
      </w:r>
      <w:r w:rsidR="007F4D43">
        <w:t>‘</w:t>
      </w:r>
      <w:r w:rsidR="00B044DB" w:rsidRPr="00B93AA1">
        <w:t>Neither</w:t>
      </w:r>
      <w:r w:rsidR="007F4D43">
        <w:t>’</w:t>
      </w:r>
      <w:r w:rsidR="00F74342">
        <w:t>.</w:t>
      </w:r>
    </w:p>
    <w:p w14:paraId="595C007D" w14:textId="0BE433AB" w:rsidR="00B044DB" w:rsidRDefault="00BD2338" w:rsidP="00BD2338">
      <w:r w:rsidRPr="00827008">
        <w:rPr>
          <w:rStyle w:val="Heading5Char"/>
          <w:rFonts w:eastAsia="Cambria"/>
        </w:rPr>
        <w:t>Recommendation 13</w:t>
      </w:r>
      <w:r>
        <w:t xml:space="preserve"> </w:t>
      </w:r>
      <w:r w:rsidR="00B044DB">
        <w:t>The sponsor should adequately address the following advice from the resolution of the</w:t>
      </w:r>
      <w:r w:rsidR="00827008">
        <w:t xml:space="preserve"> Advisory Committee on Vaccines</w:t>
      </w:r>
      <w:r w:rsidR="00B044DB">
        <w:t xml:space="preserve"> and update the risk management plan accordingly:</w:t>
      </w:r>
    </w:p>
    <w:p w14:paraId="398B9088" w14:textId="77777777" w:rsidR="00B044DB" w:rsidRPr="00827008" w:rsidRDefault="00336B5F" w:rsidP="00827008">
      <w:pPr>
        <w:ind w:left="720"/>
        <w:rPr>
          <w:i/>
        </w:rPr>
      </w:pPr>
      <w:r w:rsidRPr="00827008">
        <w:rPr>
          <w:i/>
        </w:rPr>
        <w:t>‘</w:t>
      </w:r>
      <w:r w:rsidR="00B044DB" w:rsidRPr="00827008">
        <w:rPr>
          <w:i/>
        </w:rPr>
        <w:t>The committee queried the status of post-marketing surveillance of administration of the vaccine during pregnancy (V59_72OB); the Periodic Benefit Risk Evaluation Report stated that the study seeks to enrol 100 exposed pregnancies over a three-year period starting 30 September 2014 but that nil women had been enrolled as at February 2016.</w:t>
      </w:r>
      <w:r w:rsidRPr="00827008">
        <w:rPr>
          <w:i/>
        </w:rPr>
        <w:t>’</w:t>
      </w:r>
      <w:r w:rsidR="00B044DB" w:rsidRPr="00827008">
        <w:rPr>
          <w:i/>
        </w:rPr>
        <w:t xml:space="preserve"> </w:t>
      </w:r>
    </w:p>
    <w:p w14:paraId="3A347212" w14:textId="77777777" w:rsidR="00B044DB" w:rsidRPr="00827008" w:rsidRDefault="00336B5F" w:rsidP="00827008">
      <w:pPr>
        <w:ind w:left="720"/>
        <w:rPr>
          <w:i/>
        </w:rPr>
      </w:pPr>
      <w:r w:rsidRPr="00827008">
        <w:rPr>
          <w:i/>
        </w:rPr>
        <w:t>‘</w:t>
      </w:r>
      <w:r w:rsidR="00B044DB" w:rsidRPr="00827008">
        <w:rPr>
          <w:i/>
        </w:rPr>
        <w:t>The utility of the targeted follow-up questionnaire for acute disseminated encephalomyelitis, Guillain-Barre syndrome and vasculitis/Kawasaki syndrome was unclear, but the signals did not seem to justify an active surveillance program at this time.</w:t>
      </w:r>
      <w:r w:rsidRPr="00827008">
        <w:rPr>
          <w:i/>
        </w:rPr>
        <w:t>’</w:t>
      </w:r>
      <w:r w:rsidR="00B044DB" w:rsidRPr="00827008">
        <w:rPr>
          <w:i/>
        </w:rPr>
        <w:t xml:space="preserve"> </w:t>
      </w:r>
    </w:p>
    <w:p w14:paraId="0908ED04" w14:textId="77777777" w:rsidR="00B044DB" w:rsidRPr="00827008" w:rsidRDefault="00336B5F" w:rsidP="00827008">
      <w:pPr>
        <w:ind w:left="720"/>
        <w:rPr>
          <w:i/>
        </w:rPr>
      </w:pPr>
      <w:r w:rsidRPr="00827008">
        <w:rPr>
          <w:i/>
        </w:rPr>
        <w:t>‘</w:t>
      </w:r>
      <w:r w:rsidR="00B044DB" w:rsidRPr="00827008">
        <w:rPr>
          <w:i/>
        </w:rPr>
        <w:t>The ACV noted the surveillance data on vaccine failures provided by the sponsor in its pre-ACV response, and recommended that capture of vaccine failure data for the extended schedules in infants should be part of pharmacovigilance activities.</w:t>
      </w:r>
      <w:r w:rsidRPr="00827008">
        <w:rPr>
          <w:i/>
        </w:rPr>
        <w:t>’</w:t>
      </w:r>
    </w:p>
    <w:p w14:paraId="36796914" w14:textId="77777777" w:rsidR="00B044DB" w:rsidRPr="00827008" w:rsidRDefault="00336B5F" w:rsidP="00827008">
      <w:pPr>
        <w:ind w:left="720"/>
        <w:rPr>
          <w:i/>
        </w:rPr>
      </w:pPr>
      <w:r w:rsidRPr="00827008">
        <w:rPr>
          <w:i/>
        </w:rPr>
        <w:t>‘</w:t>
      </w:r>
      <w:r w:rsidR="00B044DB" w:rsidRPr="00827008">
        <w:rPr>
          <w:i/>
        </w:rPr>
        <w:t>Targeted long-term follow-up studies of persistence of immunity should be required.</w:t>
      </w:r>
      <w:r w:rsidRPr="00827008">
        <w:rPr>
          <w:i/>
        </w:rPr>
        <w:t>’</w:t>
      </w:r>
    </w:p>
    <w:p w14:paraId="6AC0E7B3" w14:textId="77777777" w:rsidR="00B044DB" w:rsidRPr="00B93AA1" w:rsidRDefault="00B044DB" w:rsidP="00827008">
      <w:pPr>
        <w:pStyle w:val="Heading4"/>
      </w:pPr>
      <w:r w:rsidRPr="00B93AA1">
        <w:lastRenderedPageBreak/>
        <w:t>A</w:t>
      </w:r>
      <w:r>
        <w:t>dvice to the Delegate</w:t>
      </w:r>
    </w:p>
    <w:p w14:paraId="0585AA27" w14:textId="77777777" w:rsidR="00B044DB" w:rsidRPr="002B253D" w:rsidRDefault="00B044DB" w:rsidP="00B044DB">
      <w:pPr>
        <w:pStyle w:val="Standard"/>
        <w:rPr>
          <w:color w:val="0070C0"/>
        </w:rPr>
      </w:pPr>
      <w:r>
        <w:t>The Delegate is requested to consider the following comments on the Product information</w:t>
      </w:r>
    </w:p>
    <w:p w14:paraId="73DD51C3" w14:textId="77777777" w:rsidR="00B044DB" w:rsidRPr="00595E19" w:rsidRDefault="00B044DB" w:rsidP="00827008">
      <w:pPr>
        <w:pStyle w:val="ListBullet"/>
      </w:pPr>
      <w:r w:rsidRPr="00595E19">
        <w:t xml:space="preserve">The PI should include a statement on </w:t>
      </w:r>
      <w:proofErr w:type="spellStart"/>
      <w:r w:rsidRPr="00595E19">
        <w:t>Serogoup</w:t>
      </w:r>
      <w:proofErr w:type="spellEnd"/>
      <w:r w:rsidRPr="00595E19">
        <w:t xml:space="preserve"> A immune response persistence [</w:t>
      </w:r>
      <w:r>
        <w:t xml:space="preserve">RMP recommendation, supported in the Resolution of </w:t>
      </w:r>
      <w:r w:rsidRPr="00595E19">
        <w:t>ACV]</w:t>
      </w:r>
      <w:r>
        <w:t>.</w:t>
      </w:r>
    </w:p>
    <w:p w14:paraId="0C969D81" w14:textId="77777777" w:rsidR="00B044DB" w:rsidRPr="00595E19" w:rsidRDefault="00B044DB" w:rsidP="00F31227">
      <w:pPr>
        <w:pStyle w:val="ListBullet"/>
      </w:pPr>
      <w:r>
        <w:t>Important potential risks which are observed r</w:t>
      </w:r>
      <w:r w:rsidRPr="00595E19">
        <w:t>are adverse events (</w:t>
      </w:r>
      <w:r>
        <w:t xml:space="preserve">such as </w:t>
      </w:r>
      <w:proofErr w:type="gramStart"/>
      <w:r w:rsidR="00F31227" w:rsidRPr="00F31227">
        <w:t>Acute</w:t>
      </w:r>
      <w:proofErr w:type="gramEnd"/>
      <w:r w:rsidR="00F31227" w:rsidRPr="00F31227">
        <w:t xml:space="preserve"> disseminated encephalomyelitis (ADEM)</w:t>
      </w:r>
      <w:r w:rsidR="00F31227">
        <w:t xml:space="preserve"> and </w:t>
      </w:r>
      <w:proofErr w:type="spellStart"/>
      <w:r w:rsidR="00F31227" w:rsidRPr="00F31227">
        <w:t>Guillain-Barré</w:t>
      </w:r>
      <w:proofErr w:type="spellEnd"/>
      <w:r w:rsidR="00F31227" w:rsidRPr="00F31227">
        <w:t xml:space="preserve"> Syndrome (GBS)</w:t>
      </w:r>
      <w:r w:rsidRPr="00595E19">
        <w:t xml:space="preserve">) </w:t>
      </w:r>
      <w:r>
        <w:t xml:space="preserve">should be listed </w:t>
      </w:r>
      <w:r w:rsidRPr="00595E19">
        <w:t>in the PI: ‘Adverse Events’ section</w:t>
      </w:r>
      <w:r>
        <w:t>.</w:t>
      </w:r>
    </w:p>
    <w:p w14:paraId="0925147D" w14:textId="77777777" w:rsidR="00B044DB" w:rsidRDefault="00B044DB" w:rsidP="00827008">
      <w:pPr>
        <w:pStyle w:val="Heading4"/>
      </w:pPr>
      <w:r w:rsidRPr="00B93AA1">
        <w:t>Wording for conditions of registration</w:t>
      </w:r>
    </w:p>
    <w:p w14:paraId="6E8FC2D8" w14:textId="77777777" w:rsidR="00B044DB" w:rsidRDefault="00B044DB" w:rsidP="00827008">
      <w:r>
        <w:t>[Amended on 21 June 2017, to correctly reference the ASA dated 26 April 2017]</w:t>
      </w:r>
    </w:p>
    <w:p w14:paraId="606F78DF" w14:textId="77777777" w:rsidR="00F74342" w:rsidRDefault="00B044DB" w:rsidP="00827008">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rsidR="00F74342">
        <w:t>.</w:t>
      </w:r>
    </w:p>
    <w:p w14:paraId="62ACB2E4" w14:textId="089BEA12" w:rsidR="00B044DB" w:rsidRPr="00812E06" w:rsidRDefault="00B044DB" w:rsidP="00827008">
      <w:r w:rsidRPr="006A39FA">
        <w:t xml:space="preserve">The suggested wording is: </w:t>
      </w:r>
    </w:p>
    <w:p w14:paraId="1657AD19" w14:textId="77777777" w:rsidR="00B044DB" w:rsidRPr="00827008" w:rsidRDefault="00B044DB" w:rsidP="00827008">
      <w:pPr>
        <w:pStyle w:val="Numberbullet0"/>
        <w:numPr>
          <w:ilvl w:val="0"/>
          <w:numId w:val="40"/>
        </w:numPr>
      </w:pPr>
      <w:r w:rsidRPr="00827008">
        <w:t xml:space="preserve">Implement the </w:t>
      </w:r>
      <w:proofErr w:type="spellStart"/>
      <w:r w:rsidR="00AA10D9" w:rsidRPr="00827008">
        <w:t>Menveo</w:t>
      </w:r>
      <w:proofErr w:type="spellEnd"/>
      <w:r w:rsidRPr="00827008">
        <w:rPr>
          <w:smallCaps/>
        </w:rPr>
        <w:t xml:space="preserve"> </w:t>
      </w:r>
      <w:r w:rsidRPr="00827008">
        <w:t>EU-RMP version 8.2, 18 April 2016 (data lock point 14 March 2014) with Australian Specific Annex version 1.0, 26 April 2017 submitted with PM-2017-00536-1-2, to be revised to the satisfaction of the TGA, and any future updates as a condition of registration.</w:t>
      </w:r>
    </w:p>
    <w:p w14:paraId="67F73D69" w14:textId="77777777" w:rsidR="00F74342" w:rsidRDefault="00B044DB" w:rsidP="00827008">
      <w:pPr>
        <w:pStyle w:val="Numberbullet0"/>
        <w:numPr>
          <w:ilvl w:val="0"/>
          <w:numId w:val="40"/>
        </w:numPr>
      </w:pPr>
      <w:r w:rsidRPr="00827008">
        <w:t>The sponsor has committed to providing the TGA with the soon to be agreed, revised EU-RMP. The ASA should also be updated accordingly, as agreed.</w:t>
      </w:r>
      <w:r w:rsidR="008E7846" w:rsidRPr="00827008">
        <w:t>VI</w:t>
      </w:r>
      <w:r w:rsidR="00F74342">
        <w:t>.</w:t>
      </w:r>
    </w:p>
    <w:p w14:paraId="396F406F" w14:textId="2F7CF607" w:rsidR="008E7846" w:rsidRPr="00792A32" w:rsidRDefault="008E7846" w:rsidP="00B044DB">
      <w:pPr>
        <w:pStyle w:val="Heading2"/>
      </w:pPr>
      <w:bookmarkStart w:id="125" w:name="_Toc511377358"/>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0"/>
      <w:bookmarkEnd w:id="121"/>
      <w:bookmarkEnd w:id="122"/>
      <w:bookmarkEnd w:id="125"/>
    </w:p>
    <w:p w14:paraId="7C07A8AE" w14:textId="77777777" w:rsidR="008E7846" w:rsidRDefault="008E7846" w:rsidP="008E7846">
      <w:bookmarkStart w:id="126" w:name="_Toc247691528"/>
      <w:r>
        <w:t xml:space="preserve">The submission was summarised in the following </w:t>
      </w:r>
      <w:r w:rsidRPr="00EF5C48">
        <w:t xml:space="preserve">Delegate’s </w:t>
      </w:r>
      <w:r>
        <w:t>overview</w:t>
      </w:r>
      <w:r w:rsidRPr="00EF5C48">
        <w:t xml:space="preserve"> and recommendation</w:t>
      </w:r>
      <w:r>
        <w:t>s:</w:t>
      </w:r>
    </w:p>
    <w:p w14:paraId="4CDF0A8E" w14:textId="77777777" w:rsidR="008E7846" w:rsidRDefault="008E7846" w:rsidP="008E7846">
      <w:pPr>
        <w:pStyle w:val="Heading3"/>
      </w:pPr>
      <w:bookmarkStart w:id="127" w:name="_Toc314842511"/>
      <w:bookmarkStart w:id="128" w:name="_Toc511377359"/>
      <w:r>
        <w:t>Quality</w:t>
      </w:r>
      <w:bookmarkEnd w:id="126"/>
      <w:bookmarkEnd w:id="127"/>
      <w:bookmarkEnd w:id="128"/>
    </w:p>
    <w:p w14:paraId="23A4C06E" w14:textId="77777777" w:rsidR="00E45619" w:rsidRDefault="008E7846" w:rsidP="003A7F6C">
      <w:r>
        <w:t>There was no requirement for a quality evaluation in a submission of this type.</w:t>
      </w:r>
    </w:p>
    <w:p w14:paraId="02770372" w14:textId="77777777" w:rsidR="008E7846" w:rsidRDefault="008E7846" w:rsidP="008E7846">
      <w:pPr>
        <w:pStyle w:val="Heading3"/>
      </w:pPr>
      <w:bookmarkStart w:id="129" w:name="_Toc314842512"/>
      <w:bookmarkStart w:id="130" w:name="_Toc511377360"/>
      <w:r>
        <w:t>Nonclinical</w:t>
      </w:r>
      <w:bookmarkEnd w:id="129"/>
      <w:bookmarkEnd w:id="130"/>
    </w:p>
    <w:p w14:paraId="2ACBEAD5" w14:textId="77777777" w:rsidR="008E7846" w:rsidRDefault="008E7846" w:rsidP="008E7846">
      <w:r>
        <w:t>There was no requirement for a nonclinical evaluation in a submission of this type.</w:t>
      </w:r>
    </w:p>
    <w:p w14:paraId="6BFCAC9E" w14:textId="77777777" w:rsidR="008E7846" w:rsidRDefault="008E7846" w:rsidP="008E7846">
      <w:pPr>
        <w:pStyle w:val="Heading3"/>
      </w:pPr>
      <w:bookmarkStart w:id="131" w:name="_Toc247691530"/>
      <w:bookmarkStart w:id="132" w:name="_Toc314842513"/>
      <w:bookmarkStart w:id="133" w:name="_Toc511377361"/>
      <w:r>
        <w:t>Clinical</w:t>
      </w:r>
      <w:bookmarkEnd w:id="131"/>
      <w:bookmarkEnd w:id="132"/>
      <w:bookmarkEnd w:id="133"/>
    </w:p>
    <w:p w14:paraId="577725EE" w14:textId="77777777" w:rsidR="00A3412C" w:rsidRDefault="00A3412C" w:rsidP="00F31227">
      <w:bookmarkStart w:id="134" w:name="_Toc314842514"/>
      <w:r>
        <w:t xml:space="preserve">This Overview captures salient data/studies from this submission for the attention of the ACV. For full details, please refer to the accompanying TGA </w:t>
      </w:r>
      <w:r w:rsidR="00517EB6">
        <w:t>clinical evaluation r</w:t>
      </w:r>
      <w:r>
        <w:t>eport (CER</w:t>
      </w:r>
      <w:r w:rsidR="00517EB6">
        <w:t>; Attachment 2</w:t>
      </w:r>
      <w:r>
        <w:t xml:space="preserve">). Studies </w:t>
      </w:r>
      <w:r w:rsidRPr="00752B0A">
        <w:t xml:space="preserve">V59_33 </w:t>
      </w:r>
      <w:r w:rsidR="00517EB6">
        <w:t>and</w:t>
      </w:r>
      <w:r w:rsidRPr="00752B0A">
        <w:t xml:space="preserve"> V59P14 are pivotal data supporting the </w:t>
      </w:r>
      <w:r w:rsidR="00306FB2">
        <w:t>4 dose</w:t>
      </w:r>
      <w:r w:rsidRPr="00752B0A">
        <w:t xml:space="preserve"> infant series. </w:t>
      </w:r>
      <w:r w:rsidR="006571F8">
        <w:t>Study V59</w:t>
      </w:r>
      <w:r w:rsidRPr="00752B0A">
        <w:t>P21 is the pivotal study supporting th</w:t>
      </w:r>
      <w:r>
        <w:t xml:space="preserve">e </w:t>
      </w:r>
      <w:r w:rsidR="00306FB2">
        <w:t>2 dose</w:t>
      </w:r>
      <w:r>
        <w:t xml:space="preserve"> catch-up schedule</w:t>
      </w:r>
      <w:r w:rsidRPr="00752B0A">
        <w:t xml:space="preserve"> in infants</w:t>
      </w:r>
      <w:r>
        <w:t xml:space="preserve"> 7-23 months</w:t>
      </w:r>
      <w:r w:rsidRPr="00752B0A">
        <w:t xml:space="preserve"> of age. </w:t>
      </w:r>
      <w:r w:rsidR="006571F8">
        <w:t>Study V59</w:t>
      </w:r>
      <w:r w:rsidRPr="00752B0A">
        <w:t>P20 is pivotal study for</w:t>
      </w:r>
      <w:r>
        <w:t xml:space="preserve"> single dose recommendation in</w:t>
      </w:r>
      <w:r w:rsidRPr="00752B0A">
        <w:t xml:space="preserve"> </w:t>
      </w:r>
      <w:r w:rsidR="00746C7F">
        <w:t>2 to 10</w:t>
      </w:r>
      <w:r w:rsidRPr="00752B0A">
        <w:t xml:space="preserve"> years of age group. </w:t>
      </w:r>
      <w:r w:rsidR="006571F8">
        <w:t>Study V59</w:t>
      </w:r>
      <w:r w:rsidRPr="00752B0A">
        <w:t xml:space="preserve">P23 was a safety study in the </w:t>
      </w:r>
      <w:r w:rsidR="00306FB2">
        <w:t>4 dose</w:t>
      </w:r>
      <w:r w:rsidRPr="00752B0A">
        <w:t xml:space="preserve"> recipient infants.</w:t>
      </w:r>
      <w:r>
        <w:t xml:space="preserve"> These studies were controlled, randomised, open-label trials in healthy infant/toddler/children population.</w:t>
      </w:r>
    </w:p>
    <w:p w14:paraId="10F6F11B" w14:textId="77777777" w:rsidR="00A3412C" w:rsidRPr="00517EB6" w:rsidRDefault="00A3412C" w:rsidP="00F31227">
      <w:r w:rsidRPr="00517EB6">
        <w:t xml:space="preserve">The main design features of these studies are presented in the Tables </w:t>
      </w:r>
      <w:r w:rsidR="00355F48">
        <w:t xml:space="preserve">4-7 </w:t>
      </w:r>
      <w:r w:rsidRPr="00517EB6">
        <w:t>below:</w:t>
      </w:r>
    </w:p>
    <w:p w14:paraId="6C8C63E2" w14:textId="77777777" w:rsidR="00A3412C" w:rsidRPr="005D09A0" w:rsidRDefault="00517EB6" w:rsidP="00517EB6">
      <w:pPr>
        <w:pStyle w:val="TableTitle"/>
      </w:pPr>
      <w:r w:rsidRPr="00517EB6">
        <w:lastRenderedPageBreak/>
        <w:t xml:space="preserve">Table 4: </w:t>
      </w:r>
      <w:r w:rsidR="006571F8" w:rsidRPr="00517EB6">
        <w:t>Study V59</w:t>
      </w:r>
      <w:r w:rsidR="00A3412C" w:rsidRPr="00517EB6">
        <w:t>P14</w:t>
      </w:r>
      <w:r w:rsidR="00A3412C" w:rsidRPr="00517EB6">
        <w:rPr>
          <w:sz w:val="18"/>
          <w:szCs w:val="18"/>
        </w:rPr>
        <w:t xml:space="preserve"> </w:t>
      </w:r>
      <w:r w:rsidR="00A3412C" w:rsidRPr="00517EB6">
        <w:t>(early study with</w:t>
      </w:r>
      <w:r w:rsidR="00A3412C">
        <w:t xml:space="preserve"> </w:t>
      </w:r>
      <w:r w:rsidR="00A3412C" w:rsidRPr="005D09A0">
        <w:t xml:space="preserve">multiple </w:t>
      </w:r>
      <w:r w:rsidR="00A3412C">
        <w:t xml:space="preserve">treatment arms; US </w:t>
      </w:r>
      <w:r>
        <w:t>and</w:t>
      </w:r>
      <w:r w:rsidR="00A3412C">
        <w:t xml:space="preserve"> LA cohorts)</w:t>
      </w:r>
    </w:p>
    <w:p w14:paraId="60E0D574" w14:textId="77777777" w:rsidR="00A3412C" w:rsidRDefault="00A3412C" w:rsidP="00A3412C">
      <w:pPr>
        <w:spacing w:before="0" w:after="0" w:line="240" w:lineRule="auto"/>
        <w:rPr>
          <w:b/>
          <w:sz w:val="20"/>
        </w:rPr>
      </w:pPr>
      <w:r w:rsidRPr="00E03C10">
        <w:rPr>
          <w:b/>
          <w:noProof/>
          <w:sz w:val="20"/>
          <w:lang w:eastAsia="en-AU"/>
        </w:rPr>
        <w:drawing>
          <wp:inline distT="0" distB="0" distL="0" distR="0" wp14:anchorId="0E0C29A3" wp14:editId="03A5FD3A">
            <wp:extent cx="5138057" cy="1507653"/>
            <wp:effectExtent l="0" t="0" r="5715" b="0"/>
            <wp:docPr id="20" name="Picture 4" descr="Table 4: Study V59P14 (early study with multiple treatment arms; US and LA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20000" contrast="40000"/>
                    </a:blip>
                    <a:srcRect/>
                    <a:stretch>
                      <a:fillRect/>
                    </a:stretch>
                  </pic:blipFill>
                  <pic:spPr bwMode="auto">
                    <a:xfrm>
                      <a:off x="0" y="0"/>
                      <a:ext cx="5142075" cy="1508832"/>
                    </a:xfrm>
                    <a:prstGeom prst="rect">
                      <a:avLst/>
                    </a:prstGeom>
                    <a:noFill/>
                    <a:ln w="9525">
                      <a:noFill/>
                      <a:miter lim="800000"/>
                      <a:headEnd/>
                      <a:tailEnd/>
                    </a:ln>
                  </pic:spPr>
                </pic:pic>
              </a:graphicData>
            </a:graphic>
          </wp:inline>
        </w:drawing>
      </w:r>
    </w:p>
    <w:p w14:paraId="2C69A2D3" w14:textId="77777777" w:rsidR="00A3412C" w:rsidRDefault="00517EB6" w:rsidP="00517EB6">
      <w:pPr>
        <w:pStyle w:val="TableTitle"/>
      </w:pPr>
      <w:r w:rsidRPr="00517EB6">
        <w:t xml:space="preserve">Table 5: </w:t>
      </w:r>
      <w:r w:rsidR="006571F8" w:rsidRPr="00517EB6">
        <w:t>Study V59</w:t>
      </w:r>
      <w:r w:rsidR="00A3412C" w:rsidRPr="00517EB6">
        <w:t>_33 (subsequent</w:t>
      </w:r>
      <w:r w:rsidR="00A3412C">
        <w:t xml:space="preserve"> </w:t>
      </w:r>
      <w:r w:rsidR="00306FB2">
        <w:t>4 dose</w:t>
      </w:r>
      <w:r w:rsidR="00A3412C">
        <w:t xml:space="preserve"> pivotal study in infants)</w:t>
      </w:r>
    </w:p>
    <w:p w14:paraId="6B9850C4" w14:textId="77777777" w:rsidR="00517EB6" w:rsidRDefault="00517EB6" w:rsidP="00517EB6">
      <w:pPr>
        <w:pStyle w:val="TableTitle"/>
      </w:pPr>
      <w:r>
        <w:rPr>
          <w:noProof/>
          <w:lang w:eastAsia="en-AU"/>
        </w:rPr>
        <w:drawing>
          <wp:inline distT="0" distB="0" distL="0" distR="0" wp14:anchorId="11F05797" wp14:editId="4C5CF433">
            <wp:extent cx="5390788" cy="1873045"/>
            <wp:effectExtent l="0" t="0" r="635" b="0"/>
            <wp:docPr id="13" name="Picture 13" descr="Table 5: Study V59_33 (subsequent 4 dose pivotal study in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t="4151" b="1"/>
                    <a:stretch/>
                  </pic:blipFill>
                  <pic:spPr bwMode="auto">
                    <a:xfrm>
                      <a:off x="0" y="0"/>
                      <a:ext cx="5400040" cy="1876260"/>
                    </a:xfrm>
                    <a:prstGeom prst="rect">
                      <a:avLst/>
                    </a:prstGeom>
                    <a:ln>
                      <a:noFill/>
                    </a:ln>
                    <a:extLst>
                      <a:ext uri="{53640926-AAD7-44D8-BBD7-CCE9431645EC}">
                        <a14:shadowObscured xmlns:a14="http://schemas.microsoft.com/office/drawing/2010/main"/>
                      </a:ext>
                    </a:extLst>
                  </pic:spPr>
                </pic:pic>
              </a:graphicData>
            </a:graphic>
          </wp:inline>
        </w:drawing>
      </w:r>
    </w:p>
    <w:p w14:paraId="5F02D464" w14:textId="77777777" w:rsidR="00A3412C" w:rsidRPr="00517EB6" w:rsidRDefault="00517EB6" w:rsidP="008C6452">
      <w:pPr>
        <w:pStyle w:val="TableTitle"/>
      </w:pPr>
      <w:r>
        <w:t xml:space="preserve">Table 6: </w:t>
      </w:r>
      <w:r w:rsidR="006571F8" w:rsidRPr="00517EB6">
        <w:t>Study V59</w:t>
      </w:r>
      <w:r w:rsidR="00A3412C" w:rsidRPr="00517EB6">
        <w:t>P21 (</w:t>
      </w:r>
      <w:r w:rsidR="00306FB2" w:rsidRPr="00517EB6">
        <w:t>2 dose</w:t>
      </w:r>
      <w:r w:rsidR="00A3412C" w:rsidRPr="00517EB6">
        <w:t xml:space="preserve"> catch-up study in 7, 12-23 month old infants)</w:t>
      </w:r>
    </w:p>
    <w:p w14:paraId="0A9AF346" w14:textId="77777777" w:rsidR="00A3412C" w:rsidRPr="00517EB6" w:rsidRDefault="00517EB6" w:rsidP="00A3412C">
      <w:pPr>
        <w:spacing w:before="0" w:after="0" w:line="240" w:lineRule="auto"/>
        <w:rPr>
          <w:sz w:val="20"/>
        </w:rPr>
      </w:pPr>
      <w:r>
        <w:rPr>
          <w:noProof/>
          <w:lang w:eastAsia="en-AU"/>
        </w:rPr>
        <w:drawing>
          <wp:inline distT="0" distB="0" distL="0" distR="0" wp14:anchorId="25113926" wp14:editId="20CA1A82">
            <wp:extent cx="5397910" cy="1814052"/>
            <wp:effectExtent l="0" t="0" r="0" b="0"/>
            <wp:docPr id="3" name="Picture 3" descr="Table 6: Study V59P21 (2 dose catch-up study in 7, 12-23 month old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rcRect b="7046"/>
                    <a:stretch/>
                  </pic:blipFill>
                  <pic:spPr bwMode="auto">
                    <a:xfrm>
                      <a:off x="0" y="0"/>
                      <a:ext cx="5400040" cy="1814768"/>
                    </a:xfrm>
                    <a:prstGeom prst="rect">
                      <a:avLst/>
                    </a:prstGeom>
                    <a:ln>
                      <a:noFill/>
                    </a:ln>
                    <a:extLst>
                      <a:ext uri="{53640926-AAD7-44D8-BBD7-CCE9431645EC}">
                        <a14:shadowObscured xmlns:a14="http://schemas.microsoft.com/office/drawing/2010/main"/>
                      </a:ext>
                    </a:extLst>
                  </pic:spPr>
                </pic:pic>
              </a:graphicData>
            </a:graphic>
          </wp:inline>
        </w:drawing>
      </w:r>
    </w:p>
    <w:p w14:paraId="757369F7" w14:textId="77777777" w:rsidR="00517EB6" w:rsidRPr="00517EB6" w:rsidRDefault="00517EB6" w:rsidP="00A3412C">
      <w:pPr>
        <w:spacing w:before="0" w:after="0" w:line="240" w:lineRule="auto"/>
        <w:rPr>
          <w:b/>
          <w:sz w:val="20"/>
        </w:rPr>
      </w:pPr>
    </w:p>
    <w:p w14:paraId="67B52901" w14:textId="77777777" w:rsidR="00A3412C" w:rsidRPr="003C4E71" w:rsidRDefault="00517EB6" w:rsidP="00517EB6">
      <w:pPr>
        <w:pStyle w:val="TableTitle"/>
      </w:pPr>
      <w:r>
        <w:t xml:space="preserve">Table 7: </w:t>
      </w:r>
      <w:r w:rsidR="006571F8" w:rsidRPr="00517EB6">
        <w:t>Study V59</w:t>
      </w:r>
      <w:r w:rsidR="00A3412C" w:rsidRPr="00517EB6">
        <w:t>P20 (active</w:t>
      </w:r>
      <w:r w:rsidR="00A3412C">
        <w:t xml:space="preserve"> comparator controlled, single dose study in </w:t>
      </w:r>
      <w:r w:rsidR="00746C7F">
        <w:t>2 to 10</w:t>
      </w:r>
      <w:r w:rsidR="00A3412C">
        <w:t xml:space="preserve"> years old children)</w:t>
      </w:r>
    </w:p>
    <w:p w14:paraId="2BF30A5E" w14:textId="77777777" w:rsidR="00A3412C" w:rsidRDefault="00A3412C" w:rsidP="00A3412C">
      <w:pPr>
        <w:spacing w:before="0" w:after="0" w:line="240" w:lineRule="auto"/>
        <w:rPr>
          <w:b/>
          <w:sz w:val="20"/>
        </w:rPr>
      </w:pPr>
      <w:r w:rsidRPr="00E03C10">
        <w:rPr>
          <w:b/>
          <w:noProof/>
          <w:sz w:val="20"/>
          <w:lang w:eastAsia="en-AU"/>
        </w:rPr>
        <w:drawing>
          <wp:inline distT="0" distB="0" distL="0" distR="0" wp14:anchorId="0467AD72" wp14:editId="18759514">
            <wp:extent cx="5203372" cy="1110944"/>
            <wp:effectExtent l="0" t="0" r="0" b="0"/>
            <wp:docPr id="27" name="Picture 2" descr="Table 7: Study V59P20 (active comparator controlled, single dose study in 2 to 10 years ol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20000" contrast="40000"/>
                    </a:blip>
                    <a:srcRect/>
                    <a:stretch>
                      <a:fillRect/>
                    </a:stretch>
                  </pic:blipFill>
                  <pic:spPr bwMode="auto">
                    <a:xfrm>
                      <a:off x="0" y="0"/>
                      <a:ext cx="5204072" cy="1111093"/>
                    </a:xfrm>
                    <a:prstGeom prst="rect">
                      <a:avLst/>
                    </a:prstGeom>
                    <a:noFill/>
                    <a:ln w="9525">
                      <a:noFill/>
                      <a:miter lim="800000"/>
                      <a:headEnd/>
                      <a:tailEnd/>
                    </a:ln>
                  </pic:spPr>
                </pic:pic>
              </a:graphicData>
            </a:graphic>
          </wp:inline>
        </w:drawing>
      </w:r>
    </w:p>
    <w:p w14:paraId="25E18D6B" w14:textId="77777777" w:rsidR="00A3412C" w:rsidRPr="00370C2E" w:rsidRDefault="00517EB6" w:rsidP="00517EB6">
      <w:pPr>
        <w:pStyle w:val="Heading4"/>
      </w:pPr>
      <w:r w:rsidRPr="00FE03C7">
        <w:t>Results</w:t>
      </w:r>
      <w:r>
        <w:t xml:space="preserve"> of </w:t>
      </w:r>
      <w:r w:rsidRPr="00FE03C7">
        <w:t>Immunogenicity</w:t>
      </w:r>
      <w:r w:rsidR="00A3412C" w:rsidRPr="00154F78">
        <w:t>- ACWY</w:t>
      </w:r>
    </w:p>
    <w:p w14:paraId="58FB1078" w14:textId="77777777" w:rsidR="00A3412C" w:rsidRPr="009217E8" w:rsidRDefault="006571F8" w:rsidP="00F31227">
      <w:r w:rsidRPr="00517EB6">
        <w:rPr>
          <w:rStyle w:val="Heading5Char"/>
          <w:rFonts w:eastAsia="Cambria"/>
        </w:rPr>
        <w:t>Study V59</w:t>
      </w:r>
      <w:r w:rsidR="00A3412C" w:rsidRPr="00517EB6">
        <w:rPr>
          <w:rStyle w:val="Heading5Char"/>
          <w:rFonts w:eastAsia="Cambria"/>
        </w:rPr>
        <w:t>14</w:t>
      </w:r>
      <w:r w:rsidR="00A3412C">
        <w:t xml:space="preserve">: One month after completion of </w:t>
      </w:r>
      <w:r w:rsidR="00306FB2">
        <w:t>4 dose</w:t>
      </w:r>
      <w:r w:rsidR="00A3412C">
        <w:t xml:space="preserve"> series (at 2, 4, 6, </w:t>
      </w:r>
      <w:r w:rsidR="00A3412C" w:rsidRPr="00B07393">
        <w:rPr>
          <w:i/>
        </w:rPr>
        <w:t>12</w:t>
      </w:r>
      <w:r w:rsidR="00A3412C">
        <w:t xml:space="preserve"> months of age - US cohort), the percentage of subjects with </w:t>
      </w:r>
      <w:proofErr w:type="spellStart"/>
      <w:r w:rsidR="00A3412C">
        <w:t>hSBA</w:t>
      </w:r>
      <w:proofErr w:type="spellEnd"/>
      <w:r w:rsidR="00A3412C">
        <w:t xml:space="preserve"> </w:t>
      </w:r>
      <w:r w:rsidR="00B07393">
        <w:t xml:space="preserve">≥ </w:t>
      </w:r>
      <w:r w:rsidR="00A3412C">
        <w:t xml:space="preserve">1:8 ranged from 94% to 100% across </w:t>
      </w:r>
      <w:r w:rsidR="00A3412C">
        <w:lastRenderedPageBreak/>
        <w:t>the 4 serotypes with LL of 95%CI of 87%, 92%, 96% and 96% for serotypes A, C, W and Y respectively.</w:t>
      </w:r>
    </w:p>
    <w:p w14:paraId="32B3BA30" w14:textId="77777777" w:rsidR="00A3412C" w:rsidRDefault="00A3412C" w:rsidP="00F31227">
      <w:r>
        <w:t xml:space="preserve">One month after completion of </w:t>
      </w:r>
      <w:r w:rsidR="00306FB2">
        <w:t>4 dose</w:t>
      </w:r>
      <w:r>
        <w:t xml:space="preserve"> series (at 2, 4, 6, </w:t>
      </w:r>
      <w:r w:rsidRPr="00B07393">
        <w:rPr>
          <w:i/>
        </w:rPr>
        <w:t>16</w:t>
      </w:r>
      <w:r>
        <w:t xml:space="preserve"> months of age – LA cohort), the percentage of subjects with </w:t>
      </w:r>
      <w:proofErr w:type="spellStart"/>
      <w:r>
        <w:t>hSBA</w:t>
      </w:r>
      <w:proofErr w:type="spellEnd"/>
      <w:r>
        <w:t xml:space="preserve"> </w:t>
      </w:r>
      <w:r w:rsidR="00B07393">
        <w:t xml:space="preserve">≥ </w:t>
      </w:r>
      <w:r>
        <w:t>1:8 ranged from 95% to 100% across the 4 serotypes with LL of 95%CI of 89%, 94%, 97% and 95% for serotypes A, C, W and Y respectively.</w:t>
      </w:r>
    </w:p>
    <w:p w14:paraId="33FAA12D" w14:textId="77777777" w:rsidR="00A3412C" w:rsidRPr="00370C2E" w:rsidRDefault="006571F8" w:rsidP="00F31227">
      <w:pPr>
        <w:rPr>
          <w:i/>
          <w:u w:val="single"/>
        </w:rPr>
      </w:pPr>
      <w:r w:rsidRPr="00B07393">
        <w:rPr>
          <w:rStyle w:val="Heading5Char"/>
          <w:rFonts w:eastAsia="Cambria"/>
        </w:rPr>
        <w:t>Study V59</w:t>
      </w:r>
      <w:r w:rsidR="00A3412C" w:rsidRPr="00B07393">
        <w:rPr>
          <w:rStyle w:val="Heading5Char"/>
          <w:rFonts w:eastAsia="Cambria"/>
        </w:rPr>
        <w:t>_33:</w:t>
      </w:r>
      <w:r w:rsidR="00A3412C" w:rsidRPr="00370C2E">
        <w:rPr>
          <w:i/>
        </w:rPr>
        <w:t xml:space="preserve"> </w:t>
      </w:r>
      <w:r w:rsidR="00A3412C">
        <w:t xml:space="preserve">One month after completion of </w:t>
      </w:r>
      <w:r w:rsidR="00306FB2">
        <w:t>4 dose</w:t>
      </w:r>
      <w:r w:rsidR="00A3412C">
        <w:t xml:space="preserve"> series (at 2, 4, 6, </w:t>
      </w:r>
      <w:r w:rsidR="00A3412C" w:rsidRPr="00B07393">
        <w:rPr>
          <w:i/>
        </w:rPr>
        <w:t>12</w:t>
      </w:r>
      <w:r w:rsidR="00A3412C">
        <w:t xml:space="preserve"> months of age), the percentage of subjects with </w:t>
      </w:r>
      <w:proofErr w:type="spellStart"/>
      <w:r w:rsidR="00A3412C">
        <w:t>hSBA</w:t>
      </w:r>
      <w:proofErr w:type="spellEnd"/>
      <w:r w:rsidR="00A3412C">
        <w:t xml:space="preserve"> </w:t>
      </w:r>
      <w:r w:rsidR="00B07393">
        <w:t xml:space="preserve">≥ </w:t>
      </w:r>
      <w:r w:rsidR="00A3412C">
        <w:t>1:8 ranged from 89% to 97% across the 4 serotypes with LL of 95%CI of 83%, 90%, 93% and 92% for serotypes A, C, W and Y respectively.</w:t>
      </w:r>
    </w:p>
    <w:p w14:paraId="3105F7BE" w14:textId="77777777" w:rsidR="00A3412C" w:rsidRDefault="006571F8" w:rsidP="00F31227">
      <w:r w:rsidRPr="00B07393">
        <w:rPr>
          <w:rStyle w:val="Heading5Char"/>
          <w:rFonts w:eastAsia="Cambria"/>
        </w:rPr>
        <w:t>Study V59</w:t>
      </w:r>
      <w:r w:rsidR="00A3412C" w:rsidRPr="00B07393">
        <w:rPr>
          <w:rStyle w:val="Heading5Char"/>
          <w:rFonts w:eastAsia="Cambria"/>
        </w:rPr>
        <w:t>P21</w:t>
      </w:r>
      <w:r w:rsidR="00A3412C" w:rsidRPr="00370C2E">
        <w:rPr>
          <w:i/>
        </w:rPr>
        <w:t xml:space="preserve">: </w:t>
      </w:r>
      <w:r w:rsidR="00A3412C">
        <w:t xml:space="preserve">One month after completion of </w:t>
      </w:r>
      <w:r w:rsidR="00306FB2">
        <w:t>2 dose</w:t>
      </w:r>
      <w:r w:rsidR="00A3412C">
        <w:t xml:space="preserve"> series (at 7-9 and at 12 months of age), the percentage of subjects with </w:t>
      </w:r>
      <w:proofErr w:type="spellStart"/>
      <w:r w:rsidR="00A3412C">
        <w:t>hSBA</w:t>
      </w:r>
      <w:proofErr w:type="spellEnd"/>
      <w:r w:rsidR="00A3412C">
        <w:t xml:space="preserve"> </w:t>
      </w:r>
      <w:r w:rsidR="00B07393">
        <w:t xml:space="preserve">≥ </w:t>
      </w:r>
      <w:r w:rsidR="00A3412C">
        <w:t>1:8 ranged from 88% to 100% across the 4 serotypes with LL of 95%CI of 84%, 98%, 96% and 93% for serotypes A, C, W and Y respectively.</w:t>
      </w:r>
    </w:p>
    <w:p w14:paraId="4CFDF6EF" w14:textId="77777777" w:rsidR="00B07393" w:rsidRPr="00370C2E" w:rsidRDefault="00B07393" w:rsidP="00B07393">
      <w:pPr>
        <w:pStyle w:val="TableTitle"/>
      </w:pPr>
      <w:r>
        <w:t xml:space="preserve">Table 8: Percentage of subjects with </w:t>
      </w:r>
      <w:proofErr w:type="spellStart"/>
      <w:r>
        <w:t>hSBA</w:t>
      </w:r>
      <w:proofErr w:type="spellEnd"/>
      <w:r>
        <w:t xml:space="preserve"> ≥1:8 at 1 month after completing the age specific </w:t>
      </w:r>
      <w:proofErr w:type="spellStart"/>
      <w:r>
        <w:t>MenACWY</w:t>
      </w:r>
      <w:proofErr w:type="spellEnd"/>
      <w:r>
        <w:t xml:space="preserve"> vaccination schedule. Studies V59_33, V59P14, V59P9, V59P7 and V59P13</w:t>
      </w:r>
    </w:p>
    <w:p w14:paraId="45F71088" w14:textId="77777777" w:rsidR="00A3412C" w:rsidRDefault="00A3412C" w:rsidP="00A3412C">
      <w:pPr>
        <w:spacing w:before="0" w:after="0"/>
        <w:rPr>
          <w:rFonts w:asciiTheme="minorHAnsi" w:hAnsiTheme="minorHAnsi"/>
        </w:rPr>
      </w:pPr>
      <w:r w:rsidRPr="00FE03C7">
        <w:rPr>
          <w:rFonts w:asciiTheme="minorHAnsi" w:hAnsiTheme="minorHAnsi"/>
          <w:noProof/>
          <w:lang w:eastAsia="en-AU"/>
        </w:rPr>
        <w:drawing>
          <wp:inline distT="0" distB="0" distL="0" distR="0" wp14:anchorId="71E4EF9D" wp14:editId="76C94195">
            <wp:extent cx="5582502" cy="2558143"/>
            <wp:effectExtent l="0" t="0" r="0" b="0"/>
            <wp:docPr id="133" name="Picture 59" descr="Table 8: Percentage of subjects with hSBA ≥1:8 at 1 month after completing the age specific MenACWY vaccination schedule. Studies V59_33, V59P14, V59P9, V59P7 and V59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lum bright="-20000" contrast="40000"/>
                    </a:blip>
                    <a:srcRect/>
                    <a:stretch>
                      <a:fillRect/>
                    </a:stretch>
                  </pic:blipFill>
                  <pic:spPr bwMode="auto">
                    <a:xfrm>
                      <a:off x="0" y="0"/>
                      <a:ext cx="5586102" cy="2559793"/>
                    </a:xfrm>
                    <a:prstGeom prst="rect">
                      <a:avLst/>
                    </a:prstGeom>
                    <a:noFill/>
                    <a:ln w="9525">
                      <a:noFill/>
                      <a:miter lim="800000"/>
                      <a:headEnd/>
                      <a:tailEnd/>
                    </a:ln>
                  </pic:spPr>
                </pic:pic>
              </a:graphicData>
            </a:graphic>
          </wp:inline>
        </w:drawing>
      </w:r>
    </w:p>
    <w:p w14:paraId="324205DA" w14:textId="77777777" w:rsidR="00A3412C" w:rsidRDefault="00A3412C" w:rsidP="00A3412C">
      <w:pPr>
        <w:jc w:val="both"/>
        <w:rPr>
          <w:rFonts w:asciiTheme="minorHAnsi" w:hAnsiTheme="minorHAnsi"/>
        </w:rPr>
      </w:pPr>
      <w:r>
        <w:rPr>
          <w:rFonts w:asciiTheme="minorHAnsi" w:hAnsiTheme="minorHAnsi"/>
        </w:rPr>
        <w:t xml:space="preserve">Table </w:t>
      </w:r>
      <w:r w:rsidR="00355F48">
        <w:rPr>
          <w:rFonts w:asciiTheme="minorHAnsi" w:hAnsiTheme="minorHAnsi"/>
        </w:rPr>
        <w:t xml:space="preserve">8 </w:t>
      </w:r>
      <w:r>
        <w:rPr>
          <w:rFonts w:asciiTheme="minorHAnsi" w:hAnsiTheme="minorHAnsi"/>
        </w:rPr>
        <w:t xml:space="preserve">above also shows results of </w:t>
      </w:r>
      <w:r w:rsidR="00306FB2">
        <w:rPr>
          <w:rFonts w:asciiTheme="minorHAnsi" w:hAnsiTheme="minorHAnsi"/>
        </w:rPr>
        <w:t>2 dose</w:t>
      </w:r>
      <w:r>
        <w:rPr>
          <w:rFonts w:asciiTheme="minorHAnsi" w:hAnsiTheme="minorHAnsi"/>
        </w:rPr>
        <w:t xml:space="preserve"> series in other studies/study arms as well as historical comparison with the currently approved age group (single dose in adolescents </w:t>
      </w:r>
      <w:r w:rsidR="00517EB6">
        <w:rPr>
          <w:rFonts w:asciiTheme="minorHAnsi" w:hAnsiTheme="minorHAnsi"/>
        </w:rPr>
        <w:t>and</w:t>
      </w:r>
      <w:r>
        <w:rPr>
          <w:rFonts w:asciiTheme="minorHAnsi" w:hAnsiTheme="minorHAnsi"/>
        </w:rPr>
        <w:t xml:space="preserve"> adults).</w:t>
      </w:r>
    </w:p>
    <w:p w14:paraId="29E74ADF" w14:textId="77777777" w:rsidR="00A3412C" w:rsidRDefault="00A3412C" w:rsidP="00F31227">
      <w:r>
        <w:t>For</w:t>
      </w:r>
      <w:r w:rsidRPr="00F31227">
        <w:t xml:space="preserve"> </w:t>
      </w:r>
      <w:r>
        <w:t xml:space="preserve">the </w:t>
      </w:r>
      <w:r w:rsidR="00306FB2">
        <w:t>4 dose</w:t>
      </w:r>
      <w:r>
        <w:t xml:space="preserve"> series in infants, results of </w:t>
      </w:r>
      <w:r w:rsidR="00336B5F">
        <w:t>‘</w:t>
      </w:r>
      <w:r>
        <w:t xml:space="preserve">% with </w:t>
      </w:r>
      <w:proofErr w:type="spellStart"/>
      <w:r>
        <w:t>hSBA</w:t>
      </w:r>
      <w:proofErr w:type="spellEnd"/>
      <w:r>
        <w:t xml:space="preserve"> </w:t>
      </w:r>
      <w:r w:rsidR="00B07393">
        <w:t xml:space="preserve">≥ </w:t>
      </w:r>
      <w:r>
        <w:t>1:8</w:t>
      </w:r>
      <w:r w:rsidR="00336B5F">
        <w:t>’</w:t>
      </w:r>
      <w:r>
        <w:t xml:space="preserve"> at various time</w:t>
      </w:r>
      <w:r w:rsidR="00B07393">
        <w:t>-</w:t>
      </w:r>
      <w:r>
        <w:t xml:space="preserve">points from multiples arms of the </w:t>
      </w:r>
      <w:r w:rsidR="006571F8">
        <w:t>Study V59</w:t>
      </w:r>
      <w:r>
        <w:t xml:space="preserve">P14 (US </w:t>
      </w:r>
      <w:r w:rsidR="00517EB6">
        <w:t>and</w:t>
      </w:r>
      <w:r>
        <w:t xml:space="preserve"> Latin American (LA) groups) and the </w:t>
      </w:r>
      <w:r w:rsidR="006571F8">
        <w:t>Study V59</w:t>
      </w:r>
      <w:r>
        <w:t>_33 were indicative of good immune response post Dose</w:t>
      </w:r>
      <w:r w:rsidR="00B07393">
        <w:t xml:space="preserve"> </w:t>
      </w:r>
      <w:r>
        <w:t>3 but in all instances the pre Dose</w:t>
      </w:r>
      <w:r w:rsidR="00B07393">
        <w:t xml:space="preserve"> </w:t>
      </w:r>
      <w:r>
        <w:t xml:space="preserve">4 levels showed precipitous drop in </w:t>
      </w:r>
      <w:proofErr w:type="spellStart"/>
      <w:r>
        <w:t>seroprotection</w:t>
      </w:r>
      <w:proofErr w:type="spellEnd"/>
      <w:r>
        <w:t xml:space="preserve"> levels as shown below in Table</w:t>
      </w:r>
      <w:r w:rsidR="007F4D43">
        <w:t xml:space="preserve"> 9</w:t>
      </w:r>
      <w:r>
        <w:t xml:space="preserve"> which also includes GMT data:</w:t>
      </w:r>
    </w:p>
    <w:p w14:paraId="29301C36" w14:textId="77777777" w:rsidR="00B07393" w:rsidRPr="00370C2E" w:rsidRDefault="00B07393" w:rsidP="00B07393">
      <w:pPr>
        <w:pStyle w:val="TableTitle"/>
      </w:pPr>
      <w:r>
        <w:rPr>
          <w:rFonts w:asciiTheme="minorHAnsi" w:hAnsiTheme="minorHAnsi"/>
        </w:rPr>
        <w:lastRenderedPageBreak/>
        <w:t xml:space="preserve">Table 9: </w:t>
      </w:r>
      <w:r>
        <w:t xml:space="preserve">Percentage of subjects (95% CI) with </w:t>
      </w:r>
      <w:proofErr w:type="spellStart"/>
      <w:r>
        <w:t>hSBA</w:t>
      </w:r>
      <w:proofErr w:type="spellEnd"/>
      <w:r>
        <w:t xml:space="preserve"> ≥1:8 GMTs (95% CI) at baseline, Post 3</w:t>
      </w:r>
      <w:r w:rsidRPr="00B07393">
        <w:rPr>
          <w:vertAlign w:val="superscript"/>
        </w:rPr>
        <w:t>rd</w:t>
      </w:r>
      <w:r>
        <w:t xml:space="preserve"> and Pre and Post 4</w:t>
      </w:r>
      <w:r w:rsidRPr="00B07393">
        <w:rPr>
          <w:vertAlign w:val="superscript"/>
        </w:rPr>
        <w:t>th</w:t>
      </w:r>
      <w:r>
        <w:t xml:space="preserve"> dose, </w:t>
      </w:r>
      <w:proofErr w:type="spellStart"/>
      <w:r w:rsidR="007F4D43">
        <w:t>MenACWY</w:t>
      </w:r>
      <w:proofErr w:type="spellEnd"/>
      <w:r>
        <w:t xml:space="preserve"> 4 dose series Studies V59_33 and V59P14</w:t>
      </w:r>
    </w:p>
    <w:p w14:paraId="35B71D3B" w14:textId="77777777" w:rsidR="00A3412C" w:rsidRPr="00FE03C7" w:rsidRDefault="00A3412C" w:rsidP="00A3412C">
      <w:pPr>
        <w:spacing w:before="0"/>
        <w:rPr>
          <w:rFonts w:asciiTheme="minorHAnsi" w:hAnsiTheme="minorHAnsi"/>
        </w:rPr>
      </w:pPr>
      <w:r w:rsidRPr="00FE03C7">
        <w:rPr>
          <w:rFonts w:asciiTheme="minorHAnsi" w:hAnsiTheme="minorHAnsi"/>
          <w:noProof/>
          <w:lang w:eastAsia="en-AU"/>
        </w:rPr>
        <w:drawing>
          <wp:inline distT="0" distB="0" distL="0" distR="0" wp14:anchorId="21E5F288" wp14:editId="5C77630C">
            <wp:extent cx="5796000" cy="2833185"/>
            <wp:effectExtent l="0" t="0" r="0" b="5715"/>
            <wp:docPr id="135" name="Picture 45" descr="Screen image of a table showing the Percentage of subjects (95% CI) with hSBA ≥1:8 GMTs (95% CI) at baseline, Post 3rd and Pre and Post 4th dose, MenACWY 4 dose series Studies V59_33 and V59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lum bright="-20000" contrast="40000"/>
                    </a:blip>
                    <a:srcRect/>
                    <a:stretch>
                      <a:fillRect/>
                    </a:stretch>
                  </pic:blipFill>
                  <pic:spPr bwMode="auto">
                    <a:xfrm>
                      <a:off x="0" y="0"/>
                      <a:ext cx="5796000" cy="2833185"/>
                    </a:xfrm>
                    <a:prstGeom prst="rect">
                      <a:avLst/>
                    </a:prstGeom>
                    <a:noFill/>
                    <a:ln w="9525">
                      <a:noFill/>
                      <a:miter lim="800000"/>
                      <a:headEnd/>
                      <a:tailEnd/>
                    </a:ln>
                  </pic:spPr>
                </pic:pic>
              </a:graphicData>
            </a:graphic>
          </wp:inline>
        </w:drawing>
      </w:r>
    </w:p>
    <w:p w14:paraId="4CE94390" w14:textId="77777777" w:rsidR="00A3412C" w:rsidRPr="00E72441" w:rsidRDefault="006571F8" w:rsidP="00F31227">
      <w:r w:rsidRPr="00B07393">
        <w:rPr>
          <w:rStyle w:val="Heading5Char"/>
          <w:rFonts w:eastAsia="Cambria"/>
        </w:rPr>
        <w:t>Study V59</w:t>
      </w:r>
      <w:r w:rsidR="00A3412C" w:rsidRPr="00B07393">
        <w:rPr>
          <w:rStyle w:val="Heading5Char"/>
          <w:rFonts w:eastAsia="Cambria"/>
        </w:rPr>
        <w:t>P20:</w:t>
      </w:r>
      <w:r w:rsidR="00A3412C" w:rsidRPr="00936C27">
        <w:rPr>
          <w:rFonts w:asciiTheme="minorHAnsi" w:hAnsiTheme="minorHAnsi"/>
          <w:i/>
        </w:rPr>
        <w:t xml:space="preserve"> </w:t>
      </w:r>
      <w:r w:rsidR="00A3412C" w:rsidRPr="00E72441">
        <w:t>Immunogenic non-inferiority (</w:t>
      </w:r>
      <w:r w:rsidR="00336B5F" w:rsidRPr="00E72441">
        <w:t>‘</w:t>
      </w:r>
      <w:r w:rsidR="00A3412C" w:rsidRPr="00E72441">
        <w:t xml:space="preserve">% with </w:t>
      </w:r>
      <w:proofErr w:type="spellStart"/>
      <w:r w:rsidR="00A3412C" w:rsidRPr="00E72441">
        <w:t>hSBA</w:t>
      </w:r>
      <w:proofErr w:type="spellEnd"/>
      <w:r w:rsidR="00A3412C" w:rsidRPr="00E72441">
        <w:t xml:space="preserve"> </w:t>
      </w:r>
      <w:r w:rsidR="00B07393" w:rsidRPr="00E72441">
        <w:t xml:space="preserve">≥ </w:t>
      </w:r>
      <w:r w:rsidR="00A3412C" w:rsidRPr="00E72441">
        <w:t>1:8</w:t>
      </w:r>
      <w:r w:rsidR="00336B5F" w:rsidRPr="00E72441">
        <w:t>’</w:t>
      </w:r>
      <w:r w:rsidR="00A3412C" w:rsidRPr="00E72441">
        <w:t xml:space="preserve">) was demonstrated between a single dose of </w:t>
      </w:r>
      <w:proofErr w:type="spellStart"/>
      <w:r w:rsidR="00AA10D9" w:rsidRPr="00E72441">
        <w:t>Menveo</w:t>
      </w:r>
      <w:proofErr w:type="spellEnd"/>
      <w:r w:rsidR="00A3412C" w:rsidRPr="00E72441">
        <w:t xml:space="preserve"> and a single dose of </w:t>
      </w:r>
      <w:proofErr w:type="spellStart"/>
      <w:r w:rsidR="00E72441">
        <w:t>Menactra</w:t>
      </w:r>
      <w:proofErr w:type="spellEnd"/>
      <w:r w:rsidR="00A3412C" w:rsidRPr="00E72441">
        <w:t xml:space="preserve"> in healthy children</w:t>
      </w:r>
      <w:r w:rsidR="00A3412C" w:rsidRPr="00E72441">
        <w:br/>
      </w:r>
      <w:r w:rsidR="00746C7F" w:rsidRPr="00E72441">
        <w:t>2 to 10</w:t>
      </w:r>
      <w:r w:rsidR="00A3412C" w:rsidRPr="00E72441">
        <w:t xml:space="preserve"> years of age according to the predefined criterion (LL95%CI no worse than -10% for the group difference), although for serotype A the result was marginal and statistically significant (-6% [95%CI -9.0%, -2.0%]) </w:t>
      </w:r>
      <w:r w:rsidR="00E72441">
        <w:t>that is,</w:t>
      </w:r>
      <w:r w:rsidR="00A3412C" w:rsidRPr="00E72441">
        <w:t xml:space="preserve"> interval fell below zero. The age stratified results (2-5 years of age </w:t>
      </w:r>
      <w:r w:rsidR="00517EB6" w:rsidRPr="00E72441">
        <w:t>and</w:t>
      </w:r>
      <w:r w:rsidR="00A3412C" w:rsidRPr="00E72441">
        <w:t xml:space="preserve"> 6-10 years of age) could not demonstrate non-inferiority for serotype </w:t>
      </w:r>
      <w:proofErr w:type="gramStart"/>
      <w:r w:rsidR="00A3412C" w:rsidRPr="00E72441">
        <w:t>A</w:t>
      </w:r>
      <w:proofErr w:type="gramEnd"/>
      <w:r w:rsidR="00A3412C" w:rsidRPr="00E72441">
        <w:t xml:space="preserve"> </w:t>
      </w:r>
      <w:r w:rsidR="00E72441">
        <w:t>that is,</w:t>
      </w:r>
      <w:r w:rsidR="00A3412C" w:rsidRPr="00E72441">
        <w:t xml:space="preserve"> LL95%CI breached -10% limit in both strata:</w:t>
      </w:r>
    </w:p>
    <w:p w14:paraId="2BD1D111" w14:textId="77777777" w:rsidR="00A3412C" w:rsidRDefault="00E72441" w:rsidP="00E72441">
      <w:pPr>
        <w:pStyle w:val="TableTitle"/>
      </w:pPr>
      <w:r>
        <w:lastRenderedPageBreak/>
        <w:t xml:space="preserve">Table 10: </w:t>
      </w:r>
      <w:r w:rsidR="006571F8">
        <w:t>Study V59</w:t>
      </w:r>
      <w:r w:rsidR="00A3412C" w:rsidRPr="007F3A55">
        <w:t>P20</w:t>
      </w:r>
      <w:r w:rsidR="00A3412C">
        <w:t xml:space="preserve">: </w:t>
      </w:r>
      <w:proofErr w:type="spellStart"/>
      <w:r w:rsidR="00AA10D9">
        <w:t>Menveo</w:t>
      </w:r>
      <w:proofErr w:type="spellEnd"/>
      <w:r w:rsidR="00A3412C">
        <w:t xml:space="preserve"> v</w:t>
      </w:r>
      <w:r>
        <w:t>ersus</w:t>
      </w:r>
      <w:r w:rsidR="00A3412C" w:rsidRPr="00154F78">
        <w:t xml:space="preserve"> </w:t>
      </w:r>
      <w:proofErr w:type="spellStart"/>
      <w:r w:rsidR="00A3412C" w:rsidRPr="00154F78">
        <w:t>M</w:t>
      </w:r>
      <w:r>
        <w:t>enactra</w:t>
      </w:r>
      <w:proofErr w:type="spellEnd"/>
      <w:r w:rsidR="00A3412C" w:rsidRPr="00154F78">
        <w:t xml:space="preserve"> </w:t>
      </w:r>
      <w:r w:rsidR="00A3412C">
        <w:t xml:space="preserve">ACWY immunogenicity – one month after vaccination in children </w:t>
      </w:r>
      <w:r w:rsidR="00746C7F">
        <w:t>2 to 10</w:t>
      </w:r>
      <w:r w:rsidR="00A3412C">
        <w:t xml:space="preserve"> years of age (single dose schedule)</w:t>
      </w:r>
    </w:p>
    <w:p w14:paraId="2B4E4647" w14:textId="77777777" w:rsidR="00E72441" w:rsidRPr="00154F78" w:rsidRDefault="00E72441" w:rsidP="00E72441">
      <w:pPr>
        <w:pStyle w:val="TableTitle"/>
        <w:jc w:val="both"/>
      </w:pPr>
      <w:r>
        <w:rPr>
          <w:noProof/>
          <w:lang w:eastAsia="en-AU"/>
        </w:rPr>
        <w:drawing>
          <wp:inline distT="0" distB="0" distL="0" distR="0" wp14:anchorId="525F47BC" wp14:editId="2C4FC766">
            <wp:extent cx="5019675" cy="7496175"/>
            <wp:effectExtent l="0" t="0" r="9525" b="9525"/>
            <wp:docPr id="16" name="Picture 16" descr="Table 10: Study V59P20: Menveo vs. MENACTRA ACWY immunogenicity – one month after vaccination in children 2 to 10 years of age (single dos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019675" cy="7496175"/>
                    </a:xfrm>
                    <a:prstGeom prst="rect">
                      <a:avLst/>
                    </a:prstGeom>
                  </pic:spPr>
                </pic:pic>
              </a:graphicData>
            </a:graphic>
          </wp:inline>
        </w:drawing>
      </w:r>
    </w:p>
    <w:p w14:paraId="74EAE81C" w14:textId="77777777" w:rsidR="00A3412C" w:rsidRDefault="00A3412C" w:rsidP="00F31227">
      <w:r>
        <w:t xml:space="preserve">The </w:t>
      </w:r>
      <w:r w:rsidR="00E72441">
        <w:t>s</w:t>
      </w:r>
      <w:r>
        <w:t xml:space="preserve">ponsor’s response to the CER indicates that </w:t>
      </w:r>
      <w:proofErr w:type="spellStart"/>
      <w:r w:rsidR="00E72441">
        <w:t>Menactra</w:t>
      </w:r>
      <w:proofErr w:type="spellEnd"/>
      <w:r>
        <w:t xml:space="preserve"> licensed in the US and Canada may be a polysaccharide vaccine in which case this study can only be meaningfully interpreted as a single</w:t>
      </w:r>
      <w:r w:rsidR="00E72441">
        <w:t xml:space="preserve"> arm (uncontrolled) study. The s</w:t>
      </w:r>
      <w:r>
        <w:t xml:space="preserve">ponsor is requested to please confirm whether </w:t>
      </w:r>
      <w:proofErr w:type="spellStart"/>
      <w:r w:rsidR="00E72441">
        <w:t>Menactra</w:t>
      </w:r>
      <w:proofErr w:type="spellEnd"/>
      <w:r>
        <w:t xml:space="preserve"> used in this study was a conjugate or a polysaccharide formulation.</w:t>
      </w:r>
    </w:p>
    <w:p w14:paraId="72D75D99" w14:textId="77777777" w:rsidR="00A3412C" w:rsidRDefault="00A3412C" w:rsidP="00F31227">
      <w:r>
        <w:lastRenderedPageBreak/>
        <w:t>This</w:t>
      </w:r>
      <w:r w:rsidRPr="00FE03C7">
        <w:t xml:space="preserve"> study also sought to expl</w:t>
      </w:r>
      <w:r>
        <w:t>ore immune response in a subgroup of 2-</w:t>
      </w:r>
      <w:r w:rsidRPr="00FE03C7">
        <w:t xml:space="preserve">5 years of age after </w:t>
      </w:r>
      <w:r>
        <w:t xml:space="preserve">a </w:t>
      </w:r>
      <w:r w:rsidR="00E72441">
        <w:t>second</w:t>
      </w:r>
      <w:r>
        <w:t xml:space="preserve"> dose of </w:t>
      </w:r>
      <w:proofErr w:type="spellStart"/>
      <w:r w:rsidR="00AA10D9">
        <w:t>Menveo</w:t>
      </w:r>
      <w:proofErr w:type="spellEnd"/>
      <w:r>
        <w:t xml:space="preserve"> given at least 2 months after the </w:t>
      </w:r>
      <w:r w:rsidR="00E72441">
        <w:t>first</w:t>
      </w:r>
      <w:r w:rsidRPr="00FE03C7">
        <w:t xml:space="preserve"> dose of </w:t>
      </w:r>
      <w:proofErr w:type="spellStart"/>
      <w:r w:rsidR="00AA10D9">
        <w:t>Menveo</w:t>
      </w:r>
      <w:proofErr w:type="spellEnd"/>
      <w:r w:rsidRPr="00FE03C7">
        <w:t>.</w:t>
      </w:r>
      <w:r>
        <w:t xml:space="preserve"> These results are provided in Table </w:t>
      </w:r>
      <w:r w:rsidR="007F4D43">
        <w:t xml:space="preserve">11 </w:t>
      </w:r>
      <w:r>
        <w:t>below:</w:t>
      </w:r>
    </w:p>
    <w:p w14:paraId="4B2EB848" w14:textId="77777777" w:rsidR="00A3412C" w:rsidRPr="0007621F" w:rsidRDefault="00E72441" w:rsidP="00E72441">
      <w:pPr>
        <w:pStyle w:val="TableTitle"/>
      </w:pPr>
      <w:r>
        <w:t xml:space="preserve">Table 11: </w:t>
      </w:r>
      <w:r w:rsidR="006571F8">
        <w:t>Study V59</w:t>
      </w:r>
      <w:r w:rsidR="00A3412C" w:rsidRPr="0007621F">
        <w:t>P20: Pe</w:t>
      </w:r>
      <w:r w:rsidR="00A3412C">
        <w:t xml:space="preserve">rcentage of Subjects with </w:t>
      </w:r>
      <w:proofErr w:type="spellStart"/>
      <w:r w:rsidR="00A3412C">
        <w:t>hSBA</w:t>
      </w:r>
      <w:proofErr w:type="spellEnd"/>
      <w:r w:rsidR="00A3412C">
        <w:t xml:space="preserve"> </w:t>
      </w:r>
      <w:r>
        <w:t>t</w:t>
      </w:r>
      <w:r w:rsidRPr="0007621F">
        <w:t>it</w:t>
      </w:r>
      <w:r>
        <w:t>res</w:t>
      </w:r>
      <w:r w:rsidR="00A3412C" w:rsidRPr="0007621F">
        <w:t xml:space="preserve"> </w:t>
      </w:r>
      <w:r w:rsidR="00B07393">
        <w:t xml:space="preserve">≥ </w:t>
      </w:r>
      <w:r w:rsidR="00A3412C" w:rsidRPr="0007621F">
        <w:t xml:space="preserve">1:8 and GMTs of Subjects at Day 1 and at One Month Post-Vaccination, Children </w:t>
      </w:r>
      <w:r w:rsidR="00A3412C">
        <w:t>2 to 5 years of age (2 doses v</w:t>
      </w:r>
      <w:r>
        <w:t>ersus</w:t>
      </w:r>
      <w:r w:rsidR="00A3412C">
        <w:t xml:space="preserve"> 1dose)</w:t>
      </w:r>
    </w:p>
    <w:p w14:paraId="5A608C2E" w14:textId="77777777" w:rsidR="00A3412C" w:rsidRPr="00FE03C7" w:rsidRDefault="00A3412C" w:rsidP="00A3412C">
      <w:pPr>
        <w:autoSpaceDE w:val="0"/>
        <w:autoSpaceDN w:val="0"/>
        <w:spacing w:before="0" w:after="0" w:line="240" w:lineRule="auto"/>
        <w:rPr>
          <w:rFonts w:asciiTheme="minorHAnsi" w:eastAsiaTheme="minorHAnsi" w:hAnsiTheme="minorHAnsi"/>
          <w:b/>
          <w:bCs/>
        </w:rPr>
      </w:pPr>
      <w:r w:rsidRPr="00FE03C7">
        <w:rPr>
          <w:rFonts w:asciiTheme="minorHAnsi" w:eastAsiaTheme="minorHAnsi" w:hAnsiTheme="minorHAnsi"/>
          <w:b/>
          <w:bCs/>
          <w:noProof/>
          <w:lang w:eastAsia="en-AU"/>
        </w:rPr>
        <w:drawing>
          <wp:inline distT="0" distB="0" distL="0" distR="0" wp14:anchorId="0BA14E34" wp14:editId="4641D291">
            <wp:extent cx="5400040" cy="2583716"/>
            <wp:effectExtent l="0" t="0" r="0" b="7620"/>
            <wp:docPr id="19" name="Picture 3" descr="Table 11: Study V59P20: Percentage of Subjects with hSBA titers ≥ 1:8 and GMTs of Subjects at Day 1 and at One Month Post-Vaccination, Children 2 to 5 years of age (2 doses vs. 1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lum bright="-20000" contrast="40000"/>
                    </a:blip>
                    <a:srcRect/>
                    <a:stretch>
                      <a:fillRect/>
                    </a:stretch>
                  </pic:blipFill>
                  <pic:spPr bwMode="auto">
                    <a:xfrm>
                      <a:off x="0" y="0"/>
                      <a:ext cx="5400040" cy="2583716"/>
                    </a:xfrm>
                    <a:prstGeom prst="rect">
                      <a:avLst/>
                    </a:prstGeom>
                    <a:noFill/>
                    <a:ln w="9525">
                      <a:noFill/>
                      <a:miter lim="800000"/>
                      <a:headEnd/>
                      <a:tailEnd/>
                    </a:ln>
                  </pic:spPr>
                </pic:pic>
              </a:graphicData>
            </a:graphic>
          </wp:inline>
        </w:drawing>
      </w:r>
    </w:p>
    <w:p w14:paraId="44EE9B60" w14:textId="77777777" w:rsidR="00A3412C" w:rsidRPr="006B0379" w:rsidRDefault="00E72441" w:rsidP="00E72441">
      <w:pPr>
        <w:pStyle w:val="Heading4"/>
      </w:pPr>
      <w:r>
        <w:rPr>
          <w:u w:val="single"/>
        </w:rPr>
        <w:t>Results</w:t>
      </w:r>
      <w:r>
        <w:t xml:space="preserve"> </w:t>
      </w:r>
      <w:r w:rsidRPr="0055209B">
        <w:t xml:space="preserve">Immunogenicity </w:t>
      </w:r>
      <w:r>
        <w:t>of Concomitant Vaccines o</w:t>
      </w:r>
      <w:r w:rsidRPr="0055209B">
        <w:t xml:space="preserve">n Concomitant Administration </w:t>
      </w:r>
      <w:r>
        <w:t>w</w:t>
      </w:r>
      <w:r w:rsidRPr="0055209B">
        <w:t xml:space="preserve">ith </w:t>
      </w:r>
      <w:proofErr w:type="spellStart"/>
      <w:r>
        <w:t>Menveo</w:t>
      </w:r>
      <w:proofErr w:type="spellEnd"/>
    </w:p>
    <w:p w14:paraId="10CB837A" w14:textId="77777777" w:rsidR="00A3412C" w:rsidRDefault="006571F8" w:rsidP="00F31227">
      <w:r w:rsidRPr="00E72441">
        <w:rPr>
          <w:rStyle w:val="Heading5Char"/>
          <w:rFonts w:eastAsia="Cambria"/>
        </w:rPr>
        <w:t>Study V59</w:t>
      </w:r>
      <w:r w:rsidR="00A3412C" w:rsidRPr="00E72441">
        <w:rPr>
          <w:rStyle w:val="Heading5Char"/>
          <w:rFonts w:eastAsia="Cambria"/>
        </w:rPr>
        <w:t>P14:</w:t>
      </w:r>
      <w:r w:rsidR="00A3412C">
        <w:t xml:space="preserve"> Concomitant administration of routine infant/toddler vaccines (3 doses at 2, 4, 6 months age) with </w:t>
      </w:r>
      <w:proofErr w:type="spellStart"/>
      <w:r w:rsidR="00AA10D9">
        <w:t>Menveo</w:t>
      </w:r>
      <w:proofErr w:type="spellEnd"/>
      <w:r w:rsidR="00A3412C">
        <w:t xml:space="preserve"> did not indicate any interference with immune response for diphtheria, tetanus, polio (type 1, 2, 3), hepatitis B and Hib vaccine antigens.</w:t>
      </w:r>
    </w:p>
    <w:p w14:paraId="6A7F8B60" w14:textId="77777777" w:rsidR="00A3412C" w:rsidRDefault="00A3412C" w:rsidP="00F31227">
      <w:r>
        <w:t>Non-inferiority (</w:t>
      </w:r>
      <w:proofErr w:type="spellStart"/>
      <w:r>
        <w:t>seroresponse</w:t>
      </w:r>
      <w:proofErr w:type="spellEnd"/>
      <w:r>
        <w:t>) could not be demonstrated for pneumococcal (</w:t>
      </w:r>
      <w:proofErr w:type="spellStart"/>
      <w:r>
        <w:t>PnC</w:t>
      </w:r>
      <w:proofErr w:type="spellEnd"/>
      <w:r>
        <w:t>) antigen 6B (-8% [LL95%CI -14 to -1%]) based on US cohorts.</w:t>
      </w:r>
    </w:p>
    <w:p w14:paraId="3A12DA96" w14:textId="77777777" w:rsidR="00A3412C" w:rsidRDefault="00A3412C" w:rsidP="00F31227">
      <w:r>
        <w:t xml:space="preserve">Immune response to pertussis antigens (PT, FHA, PRN) in terms of GMC was equivalent (non-inferior) with or without </w:t>
      </w:r>
      <w:proofErr w:type="spellStart"/>
      <w:r w:rsidR="00AA10D9">
        <w:t>Menveo</w:t>
      </w:r>
      <w:proofErr w:type="spellEnd"/>
      <w:r>
        <w:t xml:space="preserve"> </w:t>
      </w:r>
      <w:r w:rsidR="00517EB6">
        <w:t>and</w:t>
      </w:r>
      <w:r>
        <w:t xml:space="preserve"> routine vaccines according to the predefined criterion (</w:t>
      </w:r>
      <w:r w:rsidR="00E72441">
        <w:t>geometric mean concentration (</w:t>
      </w:r>
      <w:r>
        <w:t>GMC</w:t>
      </w:r>
      <w:r w:rsidR="00E72441">
        <w:t>)</w:t>
      </w:r>
      <w:r>
        <w:t xml:space="preserve"> ratio &gt;0.67). However, note that response to PT was statistically significantly lower in the LA cohorts (GMC ratio 0.8 [95%CI 0.66, 0.97]) </w:t>
      </w:r>
      <w:r w:rsidR="000E0284">
        <w:t>that is,</w:t>
      </w:r>
      <w:r>
        <w:t xml:space="preserve"> interval wholly below 1.0.</w:t>
      </w:r>
    </w:p>
    <w:p w14:paraId="005877E0" w14:textId="77777777" w:rsidR="00A3412C" w:rsidRDefault="006571F8" w:rsidP="00F31227">
      <w:r w:rsidRPr="00E72441">
        <w:rPr>
          <w:rStyle w:val="Heading5Char"/>
          <w:rFonts w:eastAsia="Cambria"/>
        </w:rPr>
        <w:t>Study V59</w:t>
      </w:r>
      <w:r w:rsidR="00A3412C" w:rsidRPr="00E72441">
        <w:rPr>
          <w:rStyle w:val="Heading5Char"/>
          <w:rFonts w:eastAsia="Cambria"/>
        </w:rPr>
        <w:t>_33:</w:t>
      </w:r>
      <w:r w:rsidR="00A3412C">
        <w:t xml:space="preserve"> Concomitant administration of routine infant/toddler vaccines with </w:t>
      </w:r>
      <w:proofErr w:type="spellStart"/>
      <w:r w:rsidR="00AA10D9">
        <w:t>Menveo</w:t>
      </w:r>
      <w:proofErr w:type="spellEnd"/>
      <w:r w:rsidR="00A3412C">
        <w:t xml:space="preserve"> did not indicate any interference with immune response for diphtheria, tetanus, polio (type 1, 2, 3), hepatitis B and Hib vaccine antigens.</w:t>
      </w:r>
    </w:p>
    <w:p w14:paraId="5CFB7582" w14:textId="77777777" w:rsidR="00A3412C" w:rsidRDefault="00A3412C" w:rsidP="00F31227">
      <w:r>
        <w:t>Non-inferiority (</w:t>
      </w:r>
      <w:proofErr w:type="spellStart"/>
      <w:r>
        <w:t>seroresponse</w:t>
      </w:r>
      <w:proofErr w:type="spellEnd"/>
      <w:r>
        <w:t>) could not be demonstrated for pneumococcal (</w:t>
      </w:r>
      <w:proofErr w:type="spellStart"/>
      <w:r>
        <w:t>PnC</w:t>
      </w:r>
      <w:proofErr w:type="spellEnd"/>
      <w:r>
        <w:t>) antigens 6B (LL95%CI -10.3%) and 23F (LL95%CI -11.4%). Non-inferiority (</w:t>
      </w:r>
      <w:proofErr w:type="spellStart"/>
      <w:r>
        <w:t>seroresponse</w:t>
      </w:r>
      <w:proofErr w:type="spellEnd"/>
      <w:r>
        <w:t xml:space="preserve">) could not be demonstrated for pertussis with LL95%CI being -12.1% and -10.6% for PT and FIM antigens respectively. A post-hoc analysis with adjustment of factors was also done for which please see the footnote to Table </w:t>
      </w:r>
      <w:r w:rsidR="007F4D43">
        <w:t xml:space="preserve">12 </w:t>
      </w:r>
      <w:r>
        <w:t>below.</w:t>
      </w:r>
    </w:p>
    <w:p w14:paraId="35D7F1B7" w14:textId="77777777" w:rsidR="00A3412C" w:rsidRDefault="00A3412C" w:rsidP="00F31227">
      <w:r>
        <w:t xml:space="preserve">Pertussis antigens response in terms of GMC ratio was equivalent (non-inferior) for with or without </w:t>
      </w:r>
      <w:proofErr w:type="spellStart"/>
      <w:r w:rsidR="00AA10D9">
        <w:t>Menveo</w:t>
      </w:r>
      <w:proofErr w:type="spellEnd"/>
      <w:r>
        <w:t>.</w:t>
      </w:r>
    </w:p>
    <w:p w14:paraId="3860DA83" w14:textId="77777777" w:rsidR="00A3412C" w:rsidRDefault="00A3412C" w:rsidP="00F31227">
      <w:r>
        <w:t>The detailed results (studies V59P14 and V59_33) are provided in Table</w:t>
      </w:r>
      <w:r w:rsidR="00B43E05">
        <w:t xml:space="preserve"> </w:t>
      </w:r>
      <w:r w:rsidR="007F4D43">
        <w:t xml:space="preserve">12 </w:t>
      </w:r>
      <w:r w:rsidR="00B43E05">
        <w:t>below</w:t>
      </w:r>
      <w:r>
        <w:t>:</w:t>
      </w:r>
    </w:p>
    <w:p w14:paraId="76ABB60B" w14:textId="77777777" w:rsidR="00B43E05" w:rsidRPr="0007621F" w:rsidRDefault="00B43E05" w:rsidP="00B43E05">
      <w:pPr>
        <w:pStyle w:val="TableTitle"/>
      </w:pPr>
      <w:r>
        <w:lastRenderedPageBreak/>
        <w:t>Table 12: Immune response (95% CI) for concomitant antigen at 1 month after the third dose (7 months of age) Key secondary immunogenicity endpoints, Study V59P14 (US and LA groups) and Study V59_33 (unadjusted analysis)</w:t>
      </w:r>
    </w:p>
    <w:p w14:paraId="3473B7C3" w14:textId="77777777" w:rsidR="00A3412C" w:rsidRDefault="00B43E05" w:rsidP="00B43E05">
      <w:pPr>
        <w:rPr>
          <w:rFonts w:asciiTheme="minorHAnsi" w:hAnsiTheme="minorHAnsi"/>
        </w:rPr>
      </w:pPr>
      <w:r>
        <w:rPr>
          <w:noProof/>
          <w:lang w:eastAsia="en-AU"/>
        </w:rPr>
        <w:drawing>
          <wp:inline distT="0" distB="0" distL="0" distR="0" wp14:anchorId="6637EEEC" wp14:editId="0AD5C34E">
            <wp:extent cx="5467350" cy="7990742"/>
            <wp:effectExtent l="0" t="0" r="0" b="0"/>
            <wp:docPr id="17" name="Picture 17" descr="Table 12: Immune response (95% CI) for concomitant antigen at 1 month after the third dose (7 months of age) Key secondary immunogenicity endpoints, Study V59P14 (US and LA groups) and Study V59_33 (unadjus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5470435" cy="7995250"/>
                    </a:xfrm>
                    <a:prstGeom prst="rect">
                      <a:avLst/>
                    </a:prstGeom>
                  </pic:spPr>
                </pic:pic>
              </a:graphicData>
            </a:graphic>
          </wp:inline>
        </w:drawing>
      </w:r>
    </w:p>
    <w:p w14:paraId="565D7FBE" w14:textId="77777777" w:rsidR="00A3412C" w:rsidRDefault="00A3412C" w:rsidP="00F31227">
      <w:r>
        <w:lastRenderedPageBreak/>
        <w:t>GMC analysis of the 7 pneumococcal vaccine antigens was also provided for both studies V59P14 and V59_33 and non-inferiority was claimed on the pre-defined criterion of LL95%CI &gt;0.5 for the GMC ratio as shown below in Table</w:t>
      </w:r>
      <w:r w:rsidR="00B43E05">
        <w:t xml:space="preserve"> </w:t>
      </w:r>
      <w:r w:rsidR="007F4D43">
        <w:t xml:space="preserve">13 </w:t>
      </w:r>
      <w:r w:rsidR="00B43E05">
        <w:t>below</w:t>
      </w:r>
      <w:r>
        <w:t>:</w:t>
      </w:r>
    </w:p>
    <w:p w14:paraId="5BFA75F0" w14:textId="77777777" w:rsidR="00B43E05" w:rsidRPr="00FE03C7" w:rsidRDefault="00B43E05" w:rsidP="00B43E05">
      <w:pPr>
        <w:pStyle w:val="TableTitle"/>
      </w:pPr>
      <w:r>
        <w:t>Table 13: GMCs and GMC ratios (95% CI) of pneumococcal antibodies at 1 month after the 4</w:t>
      </w:r>
      <w:r w:rsidRPr="00B43E05">
        <w:rPr>
          <w:vertAlign w:val="superscript"/>
        </w:rPr>
        <w:t>th</w:t>
      </w:r>
      <w:r>
        <w:t xml:space="preserve"> dose of </w:t>
      </w:r>
      <w:proofErr w:type="spellStart"/>
      <w:r w:rsidR="007F4D43">
        <w:t>Prevnar</w:t>
      </w:r>
      <w:proofErr w:type="spellEnd"/>
      <w:r>
        <w:t xml:space="preserve"> given at 12 months of age with and without concomitant </w:t>
      </w:r>
      <w:proofErr w:type="spellStart"/>
      <w:r>
        <w:t>MenACWY</w:t>
      </w:r>
      <w:proofErr w:type="spellEnd"/>
      <w:r>
        <w:t xml:space="preserve"> Key secondary immunogenicity end points Studies V59P14 and V59_33</w:t>
      </w:r>
    </w:p>
    <w:p w14:paraId="328B50D4" w14:textId="77777777" w:rsidR="00A3412C" w:rsidRPr="00FE03C7" w:rsidRDefault="00A3412C" w:rsidP="00554CC0">
      <w:pPr>
        <w:spacing w:before="240"/>
        <w:rPr>
          <w:rFonts w:asciiTheme="minorHAnsi" w:hAnsiTheme="minorHAnsi"/>
        </w:rPr>
      </w:pPr>
      <w:r w:rsidRPr="00FE03C7">
        <w:rPr>
          <w:rFonts w:asciiTheme="minorHAnsi" w:hAnsiTheme="minorHAnsi"/>
          <w:noProof/>
          <w:lang w:eastAsia="en-AU"/>
        </w:rPr>
        <w:drawing>
          <wp:inline distT="0" distB="0" distL="0" distR="0" wp14:anchorId="45B24C92" wp14:editId="64305095">
            <wp:extent cx="4514850" cy="3873995"/>
            <wp:effectExtent l="0" t="0" r="0" b="0"/>
            <wp:docPr id="142" name="Picture 53" descr="Table 13: GMCs and GMC ratios (95% CI) of pneumococcal antibodies at 1 month after the 4th dose of Prevenar given at 12 months of age with and without concomitant MenACWY Key secondary immunogenicity end points Studies V59P14 and V59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lum bright="-20000" contrast="40000"/>
                    </a:blip>
                    <a:srcRect/>
                    <a:stretch>
                      <a:fillRect/>
                    </a:stretch>
                  </pic:blipFill>
                  <pic:spPr bwMode="auto">
                    <a:xfrm>
                      <a:off x="0" y="0"/>
                      <a:ext cx="4522349" cy="3880430"/>
                    </a:xfrm>
                    <a:prstGeom prst="rect">
                      <a:avLst/>
                    </a:prstGeom>
                    <a:noFill/>
                    <a:ln w="9525">
                      <a:noFill/>
                      <a:miter lim="800000"/>
                      <a:headEnd/>
                      <a:tailEnd/>
                    </a:ln>
                  </pic:spPr>
                </pic:pic>
              </a:graphicData>
            </a:graphic>
          </wp:inline>
        </w:drawing>
      </w:r>
    </w:p>
    <w:p w14:paraId="25A8AA49" w14:textId="77777777" w:rsidR="00A3412C" w:rsidRPr="00FE03C7" w:rsidRDefault="006571F8" w:rsidP="00F31227">
      <w:r w:rsidRPr="00554CC0">
        <w:rPr>
          <w:rStyle w:val="Heading5Char"/>
          <w:rFonts w:eastAsia="Cambria"/>
        </w:rPr>
        <w:t>Study V59</w:t>
      </w:r>
      <w:r w:rsidR="00A3412C" w:rsidRPr="00554CC0">
        <w:rPr>
          <w:rStyle w:val="Heading5Char"/>
          <w:rFonts w:eastAsia="Cambria"/>
        </w:rPr>
        <w:t>P21</w:t>
      </w:r>
      <w:r w:rsidR="00A3412C">
        <w:t xml:space="preserve">: Concomitant administration of MMRV with </w:t>
      </w:r>
      <w:proofErr w:type="spellStart"/>
      <w:r w:rsidR="00AA10D9">
        <w:t>Menveo</w:t>
      </w:r>
      <w:proofErr w:type="spellEnd"/>
      <w:r w:rsidR="00A3412C">
        <w:t xml:space="preserve"> did not indicate interference of immune response:</w:t>
      </w:r>
    </w:p>
    <w:p w14:paraId="5299811E" w14:textId="77777777" w:rsidR="00A3412C" w:rsidRPr="00FE03C7" w:rsidRDefault="00554CC0" w:rsidP="00554CC0">
      <w:pPr>
        <w:pStyle w:val="TableTitle"/>
      </w:pPr>
      <w:r>
        <w:t xml:space="preserve">Table 14: </w:t>
      </w:r>
      <w:r w:rsidR="00A3412C">
        <w:t xml:space="preserve">V59P21 Immunogenicity of MMRV with or without concomitant </w:t>
      </w:r>
      <w:proofErr w:type="spellStart"/>
      <w:r w:rsidR="00AA10D9">
        <w:t>Menveo</w:t>
      </w:r>
      <w:proofErr w:type="spellEnd"/>
    </w:p>
    <w:p w14:paraId="65FB4A7E" w14:textId="77777777" w:rsidR="00A3412C" w:rsidRPr="00FE03C7" w:rsidRDefault="00A3412C" w:rsidP="00A3412C">
      <w:pPr>
        <w:rPr>
          <w:rFonts w:asciiTheme="minorHAnsi" w:hAnsiTheme="minorHAnsi"/>
        </w:rPr>
      </w:pPr>
      <w:r w:rsidRPr="00FE03C7">
        <w:rPr>
          <w:rFonts w:asciiTheme="minorHAnsi" w:hAnsiTheme="minorHAnsi"/>
          <w:noProof/>
          <w:lang w:eastAsia="en-AU"/>
        </w:rPr>
        <w:drawing>
          <wp:inline distT="0" distB="0" distL="0" distR="0" wp14:anchorId="2C905246" wp14:editId="37B121B8">
            <wp:extent cx="5157456" cy="2362200"/>
            <wp:effectExtent l="0" t="0" r="5715" b="0"/>
            <wp:docPr id="101" name="Picture 10" descr="Table 14: V59P21 Immunogenicity of MMRV with or without concomitant Menv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20000" contrast="40000"/>
                    </a:blip>
                    <a:srcRect/>
                    <a:stretch>
                      <a:fillRect/>
                    </a:stretch>
                  </pic:blipFill>
                  <pic:spPr bwMode="auto">
                    <a:xfrm>
                      <a:off x="0" y="0"/>
                      <a:ext cx="5160737" cy="2363703"/>
                    </a:xfrm>
                    <a:prstGeom prst="rect">
                      <a:avLst/>
                    </a:prstGeom>
                    <a:noFill/>
                    <a:ln w="9525">
                      <a:noFill/>
                      <a:miter lim="800000"/>
                      <a:headEnd/>
                      <a:tailEnd/>
                    </a:ln>
                  </pic:spPr>
                </pic:pic>
              </a:graphicData>
            </a:graphic>
          </wp:inline>
        </w:drawing>
      </w:r>
    </w:p>
    <w:p w14:paraId="7465A181" w14:textId="77777777" w:rsidR="00A3412C" w:rsidRDefault="00A3412C" w:rsidP="00F31227">
      <w:r>
        <w:t xml:space="preserve">Similarly the analyses of GMTs were fully supportive of non-inferior </w:t>
      </w:r>
      <w:r w:rsidRPr="00FE03C7">
        <w:t>immunogeni</w:t>
      </w:r>
      <w:r>
        <w:t xml:space="preserve">city for the </w:t>
      </w:r>
      <w:r w:rsidRPr="00FE03C7">
        <w:t xml:space="preserve">MMRV </w:t>
      </w:r>
      <w:r>
        <w:t xml:space="preserve">vaccine </w:t>
      </w:r>
      <w:r w:rsidRPr="00FE03C7">
        <w:t>antigens</w:t>
      </w:r>
      <w:r>
        <w:t xml:space="preserve"> when administered with or without </w:t>
      </w:r>
      <w:proofErr w:type="spellStart"/>
      <w:r w:rsidR="00AA10D9">
        <w:t>Menveo</w:t>
      </w:r>
      <w:proofErr w:type="spellEnd"/>
      <w:r>
        <w:t>.</w:t>
      </w:r>
    </w:p>
    <w:p w14:paraId="79F1DAFB" w14:textId="77777777" w:rsidR="00A3412C" w:rsidRDefault="00554CC0" w:rsidP="00554CC0">
      <w:pPr>
        <w:pStyle w:val="Heading4"/>
      </w:pPr>
      <w:r>
        <w:lastRenderedPageBreak/>
        <w:t>Clinical safety</w:t>
      </w:r>
    </w:p>
    <w:p w14:paraId="4E6AB89B" w14:textId="77777777" w:rsidR="00A3412C" w:rsidRPr="0055766E" w:rsidRDefault="006571F8" w:rsidP="00F31227">
      <w:r>
        <w:t>Study V59</w:t>
      </w:r>
      <w:r w:rsidR="00A3412C">
        <w:t xml:space="preserve">P23 was a pivotal safety study in infants who received </w:t>
      </w:r>
      <w:r w:rsidR="00306FB2">
        <w:t>4 dose</w:t>
      </w:r>
      <w:r w:rsidR="00A3412C">
        <w:t xml:space="preserve"> (2, 4, 6, 12 months of age) </w:t>
      </w:r>
      <w:proofErr w:type="spellStart"/>
      <w:r w:rsidR="00AA10D9">
        <w:t>Menveo</w:t>
      </w:r>
      <w:proofErr w:type="spellEnd"/>
      <w:r w:rsidR="00A3412C">
        <w:t xml:space="preserve"> vaccination</w:t>
      </w:r>
      <w:r w:rsidR="00554CC0">
        <w:t>s</w:t>
      </w:r>
      <w:r w:rsidR="00A3412C">
        <w:t>. Immunogenicity data were not collected in this study. The design of this study was as follows:</w:t>
      </w:r>
    </w:p>
    <w:p w14:paraId="6F390206" w14:textId="77777777" w:rsidR="00A3412C" w:rsidRDefault="00554CC0" w:rsidP="00554CC0">
      <w:pPr>
        <w:pStyle w:val="TableTitle"/>
      </w:pPr>
      <w:r w:rsidRPr="00554CC0">
        <w:t xml:space="preserve">Table 15: </w:t>
      </w:r>
      <w:r w:rsidR="006571F8" w:rsidRPr="00554CC0">
        <w:t>Study V59</w:t>
      </w:r>
      <w:r w:rsidR="00A3412C" w:rsidRPr="00554CC0">
        <w:t>P23 (safety study</w:t>
      </w:r>
      <w:r w:rsidR="00A3412C">
        <w:t xml:space="preserve"> of </w:t>
      </w:r>
      <w:r w:rsidR="00306FB2">
        <w:t>4 dose</w:t>
      </w:r>
      <w:r w:rsidR="00A3412C">
        <w:t xml:space="preserve"> schedule in infants)</w:t>
      </w:r>
    </w:p>
    <w:p w14:paraId="790F99B6" w14:textId="77777777" w:rsidR="00554CC0" w:rsidRPr="003C4E71" w:rsidRDefault="00554CC0" w:rsidP="00554CC0">
      <w:pPr>
        <w:pStyle w:val="TableTitle"/>
      </w:pPr>
      <w:r>
        <w:rPr>
          <w:noProof/>
          <w:lang w:eastAsia="en-AU"/>
        </w:rPr>
        <w:drawing>
          <wp:inline distT="0" distB="0" distL="0" distR="0" wp14:anchorId="216764F7" wp14:editId="16991865">
            <wp:extent cx="5474830" cy="1749287"/>
            <wp:effectExtent l="0" t="0" r="0" b="3810"/>
            <wp:docPr id="23" name="Picture 23" descr="Table 15: Study V59P23 (safety study of 4 dose schedule in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1326"/>
                    <a:stretch/>
                  </pic:blipFill>
                  <pic:spPr bwMode="auto">
                    <a:xfrm>
                      <a:off x="0" y="0"/>
                      <a:ext cx="5477835" cy="1750247"/>
                    </a:xfrm>
                    <a:prstGeom prst="rect">
                      <a:avLst/>
                    </a:prstGeom>
                    <a:ln>
                      <a:noFill/>
                    </a:ln>
                    <a:extLst>
                      <a:ext uri="{53640926-AAD7-44D8-BBD7-CCE9431645EC}">
                        <a14:shadowObscured xmlns:a14="http://schemas.microsoft.com/office/drawing/2010/main"/>
                      </a:ext>
                    </a:extLst>
                  </pic:spPr>
                </pic:pic>
              </a:graphicData>
            </a:graphic>
          </wp:inline>
        </w:drawing>
      </w:r>
    </w:p>
    <w:p w14:paraId="6688CCEE" w14:textId="77777777" w:rsidR="00A3412C" w:rsidRDefault="00A3412C" w:rsidP="00F31227">
      <w:r>
        <w:t xml:space="preserve">Overall, in the US trial population, with the </w:t>
      </w:r>
      <w:r w:rsidR="00306FB2">
        <w:t>4 dose</w:t>
      </w:r>
      <w:r>
        <w:t xml:space="preserve"> infant vaccination in studies V59P14, V59_33 and V59_P23, solicited adverse events (AEs) were reported in 55% </w:t>
      </w:r>
      <w:r w:rsidR="00554CC0">
        <w:t>versus</w:t>
      </w:r>
      <w:r>
        <w:t xml:space="preserve"> 68% subjects in </w:t>
      </w:r>
      <w:proofErr w:type="spellStart"/>
      <w:r w:rsidR="00AA10D9">
        <w:t>Menveo</w:t>
      </w:r>
      <w:proofErr w:type="spellEnd"/>
      <w:r>
        <w:t xml:space="preserve"> </w:t>
      </w:r>
      <w:r w:rsidR="00517EB6">
        <w:t>and</w:t>
      </w:r>
      <w:r>
        <w:t xml:space="preserve"> Control (routine infant vaccination) groups respectively, whereas unsolicited AEs were reported in 44% v</w:t>
      </w:r>
      <w:r w:rsidR="00554CC0">
        <w:t>ersus</w:t>
      </w:r>
      <w:r>
        <w:t xml:space="preserve"> 48% subjects in </w:t>
      </w:r>
      <w:proofErr w:type="spellStart"/>
      <w:r w:rsidR="00AA10D9">
        <w:t>Menveo</w:t>
      </w:r>
      <w:proofErr w:type="spellEnd"/>
      <w:r>
        <w:t xml:space="preserve"> </w:t>
      </w:r>
      <w:r w:rsidR="00517EB6">
        <w:t>and</w:t>
      </w:r>
      <w:r>
        <w:t xml:space="preserve"> Control groups respectively.</w:t>
      </w:r>
    </w:p>
    <w:p w14:paraId="292AC35E" w14:textId="77777777" w:rsidR="00A3412C" w:rsidRDefault="00A3412C" w:rsidP="00F31227">
      <w:r>
        <w:t xml:space="preserve">Overall, in the non-US trial population, with the </w:t>
      </w:r>
      <w:r w:rsidR="00306FB2">
        <w:t>4 dose</w:t>
      </w:r>
      <w:r>
        <w:t xml:space="preserve"> infant vaccination in studies V59P14, V59_33 and V59_P23, solicited AEs were reported in 45% </w:t>
      </w:r>
      <w:r w:rsidR="00554CC0">
        <w:t>versus</w:t>
      </w:r>
      <w:r>
        <w:t xml:space="preserve"> 32% subjects, and unsolicited AEs were reported in 56% </w:t>
      </w:r>
      <w:r w:rsidR="00554CC0">
        <w:t>versus</w:t>
      </w:r>
      <w:r>
        <w:t xml:space="preserve"> 52% subjects in </w:t>
      </w:r>
      <w:proofErr w:type="spellStart"/>
      <w:r w:rsidR="00AA10D9">
        <w:t>Menveo</w:t>
      </w:r>
      <w:proofErr w:type="spellEnd"/>
      <w:r>
        <w:t xml:space="preserve"> </w:t>
      </w:r>
      <w:r w:rsidR="00517EB6">
        <w:t>and</w:t>
      </w:r>
      <w:r>
        <w:t xml:space="preserve"> Control groups respectively:</w:t>
      </w:r>
    </w:p>
    <w:p w14:paraId="6895BF1E" w14:textId="77777777" w:rsidR="00554CC0" w:rsidRPr="00FE03C7" w:rsidRDefault="00554CC0" w:rsidP="00554CC0">
      <w:pPr>
        <w:pStyle w:val="TableTitle"/>
      </w:pPr>
      <w:r>
        <w:t xml:space="preserve">Table 16: Summary of 4 dose </w:t>
      </w:r>
      <w:proofErr w:type="spellStart"/>
      <w:r>
        <w:t>MenACWY</w:t>
      </w:r>
      <w:proofErr w:type="spellEnd"/>
      <w:r>
        <w:t xml:space="preserve"> subjects with safety data from Studies V59P14, V59P23 and V59_33 trials</w:t>
      </w:r>
    </w:p>
    <w:p w14:paraId="53D1D729" w14:textId="77777777" w:rsidR="00A3412C" w:rsidRPr="00FE03C7" w:rsidRDefault="00A3412C" w:rsidP="00554CC0">
      <w:pPr>
        <w:spacing w:before="0"/>
        <w:rPr>
          <w:rFonts w:asciiTheme="minorHAnsi" w:hAnsiTheme="minorHAnsi"/>
        </w:rPr>
      </w:pPr>
      <w:r w:rsidRPr="00FE03C7">
        <w:rPr>
          <w:rFonts w:asciiTheme="minorHAnsi" w:hAnsiTheme="minorHAnsi"/>
          <w:noProof/>
          <w:lang w:eastAsia="en-AU"/>
        </w:rPr>
        <w:drawing>
          <wp:inline distT="0" distB="0" distL="0" distR="0" wp14:anchorId="0A49AB2B" wp14:editId="4738473E">
            <wp:extent cx="4381500" cy="3286269"/>
            <wp:effectExtent l="0" t="0" r="0" b="9525"/>
            <wp:docPr id="115" name="Picture 61" descr="Table 16: Summary of 4 dose MenACWY subjects with safety data from Studies V59P14, V59P23 and V59_33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lum bright="-20000" contrast="40000"/>
                    </a:blip>
                    <a:srcRect/>
                    <a:stretch>
                      <a:fillRect/>
                    </a:stretch>
                  </pic:blipFill>
                  <pic:spPr bwMode="auto">
                    <a:xfrm>
                      <a:off x="0" y="0"/>
                      <a:ext cx="4382075" cy="3286700"/>
                    </a:xfrm>
                    <a:prstGeom prst="rect">
                      <a:avLst/>
                    </a:prstGeom>
                    <a:noFill/>
                    <a:ln w="9525">
                      <a:noFill/>
                      <a:miter lim="800000"/>
                      <a:headEnd/>
                      <a:tailEnd/>
                    </a:ln>
                  </pic:spPr>
                </pic:pic>
              </a:graphicData>
            </a:graphic>
          </wp:inline>
        </w:drawing>
      </w:r>
    </w:p>
    <w:p w14:paraId="34382400" w14:textId="77777777" w:rsidR="00A3412C" w:rsidRDefault="00A3412C" w:rsidP="00A3412C">
      <w:pPr>
        <w:spacing w:line="240" w:lineRule="auto"/>
        <w:jc w:val="both"/>
        <w:rPr>
          <w:rFonts w:asciiTheme="minorHAnsi" w:hAnsiTheme="minorHAnsi"/>
        </w:rPr>
      </w:pPr>
      <w:r>
        <w:rPr>
          <w:rFonts w:asciiTheme="minorHAnsi" w:hAnsiTheme="minorHAnsi"/>
        </w:rPr>
        <w:t>As noted, V59P23 was a dedicated safety study and had a predefined primary safety hypothesis in respect of solicited adverse reactions (ADRs) which was not met as follows:</w:t>
      </w:r>
    </w:p>
    <w:p w14:paraId="68C9E140" w14:textId="77777777" w:rsidR="00554CC0" w:rsidRDefault="00554CC0" w:rsidP="00554CC0">
      <w:pPr>
        <w:pStyle w:val="TableTitle"/>
      </w:pPr>
      <w:r>
        <w:lastRenderedPageBreak/>
        <w:t>Table 17: Results of V59P23 Primary safety outcome</w:t>
      </w:r>
    </w:p>
    <w:p w14:paraId="23D33882" w14:textId="77777777" w:rsidR="00A3412C" w:rsidRPr="00FE03C7" w:rsidRDefault="00A3412C" w:rsidP="00B3381F">
      <w:pPr>
        <w:spacing w:line="276" w:lineRule="auto"/>
        <w:rPr>
          <w:rFonts w:asciiTheme="minorHAnsi" w:hAnsiTheme="minorHAnsi"/>
        </w:rPr>
      </w:pPr>
      <w:r>
        <w:rPr>
          <w:rFonts w:asciiTheme="minorHAnsi" w:hAnsiTheme="minorHAnsi"/>
          <w:noProof/>
          <w:lang w:eastAsia="en-AU"/>
        </w:rPr>
        <w:drawing>
          <wp:inline distT="0" distB="0" distL="0" distR="0" wp14:anchorId="5511FF52" wp14:editId="2E7CD8E9">
            <wp:extent cx="4397072" cy="1008360"/>
            <wp:effectExtent l="0" t="0" r="3810" b="1905"/>
            <wp:docPr id="6" name="Picture 6" descr="Table 17: Results of V59P23 Primary safet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t="13181" r="23858"/>
                    <a:stretch/>
                  </pic:blipFill>
                  <pic:spPr bwMode="auto">
                    <a:xfrm>
                      <a:off x="0" y="0"/>
                      <a:ext cx="4398361" cy="1008656"/>
                    </a:xfrm>
                    <a:prstGeom prst="rect">
                      <a:avLst/>
                    </a:prstGeom>
                    <a:noFill/>
                    <a:ln>
                      <a:noFill/>
                    </a:ln>
                    <a:extLst>
                      <a:ext uri="{53640926-AAD7-44D8-BBD7-CCE9431645EC}">
                        <a14:shadowObscured xmlns:a14="http://schemas.microsoft.com/office/drawing/2010/main"/>
                      </a:ext>
                    </a:extLst>
                  </pic:spPr>
                </pic:pic>
              </a:graphicData>
            </a:graphic>
          </wp:inline>
        </w:drawing>
      </w:r>
    </w:p>
    <w:p w14:paraId="792B880C" w14:textId="77777777" w:rsidR="00A3412C" w:rsidRDefault="00A3412C" w:rsidP="00A3412C">
      <w:pPr>
        <w:spacing w:line="276" w:lineRule="auto"/>
        <w:rPr>
          <w:rFonts w:asciiTheme="minorHAnsi" w:hAnsiTheme="minorHAnsi"/>
        </w:rPr>
      </w:pPr>
      <w:r>
        <w:rPr>
          <w:rFonts w:asciiTheme="minorHAnsi" w:hAnsiTheme="minorHAnsi"/>
        </w:rPr>
        <w:t>In an analysis using a restricted safety set (RSS), the criterion was met:</w:t>
      </w:r>
    </w:p>
    <w:p w14:paraId="160F36BD" w14:textId="77777777" w:rsidR="00B3381F" w:rsidRDefault="00B3381F" w:rsidP="00B3381F">
      <w:pPr>
        <w:pStyle w:val="TableTitle"/>
        <w:rPr>
          <w:rFonts w:asciiTheme="minorHAnsi" w:hAnsiTheme="minorHAnsi"/>
        </w:rPr>
      </w:pPr>
      <w:r>
        <w:rPr>
          <w:rFonts w:asciiTheme="minorHAnsi" w:hAnsiTheme="minorHAnsi"/>
        </w:rPr>
        <w:t xml:space="preserve">Table 18: </w:t>
      </w:r>
      <w:r>
        <w:t>Results of V59P23 Primary safety outcome in RSS</w:t>
      </w:r>
    </w:p>
    <w:p w14:paraId="60B3A63B" w14:textId="77777777" w:rsidR="00A3412C" w:rsidRPr="00FE03C7" w:rsidRDefault="00A3412C" w:rsidP="00A3412C">
      <w:pPr>
        <w:spacing w:before="0" w:after="0" w:line="276" w:lineRule="auto"/>
        <w:rPr>
          <w:rFonts w:asciiTheme="minorHAnsi" w:hAnsiTheme="minorHAnsi"/>
        </w:rPr>
      </w:pPr>
      <w:r>
        <w:rPr>
          <w:rFonts w:asciiTheme="minorHAnsi" w:hAnsiTheme="minorHAnsi"/>
          <w:noProof/>
          <w:lang w:eastAsia="en-AU"/>
        </w:rPr>
        <w:drawing>
          <wp:inline distT="0" distB="0" distL="0" distR="0" wp14:anchorId="069A409C" wp14:editId="66AD4B9B">
            <wp:extent cx="4325510" cy="984100"/>
            <wp:effectExtent l="0" t="0" r="0" b="6985"/>
            <wp:docPr id="7" name="Picture 7" descr="Table 18: Results of V59P23 Primary safety outcome in 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t="14894" r="22271"/>
                    <a:stretch/>
                  </pic:blipFill>
                  <pic:spPr bwMode="auto">
                    <a:xfrm>
                      <a:off x="0" y="0"/>
                      <a:ext cx="4332775" cy="985753"/>
                    </a:xfrm>
                    <a:prstGeom prst="rect">
                      <a:avLst/>
                    </a:prstGeom>
                    <a:noFill/>
                    <a:ln>
                      <a:noFill/>
                    </a:ln>
                    <a:extLst>
                      <a:ext uri="{53640926-AAD7-44D8-BBD7-CCE9431645EC}">
                        <a14:shadowObscured xmlns:a14="http://schemas.microsoft.com/office/drawing/2010/main"/>
                      </a:ext>
                    </a:extLst>
                  </pic:spPr>
                </pic:pic>
              </a:graphicData>
            </a:graphic>
          </wp:inline>
        </w:drawing>
      </w:r>
    </w:p>
    <w:p w14:paraId="66FD20C3" w14:textId="77777777" w:rsidR="00A3412C" w:rsidRPr="00FE03C7" w:rsidRDefault="00A3412C" w:rsidP="00F31227">
      <w:r>
        <w:t xml:space="preserve">Across all studies, 14 serious adverse events </w:t>
      </w:r>
      <w:r w:rsidRPr="00FE03C7">
        <w:t xml:space="preserve">were considered by the investigator </w:t>
      </w:r>
      <w:r w:rsidR="00B3381F">
        <w:t xml:space="preserve">to be possibly </w:t>
      </w:r>
      <w:r>
        <w:t xml:space="preserve">related to </w:t>
      </w:r>
      <w:proofErr w:type="spellStart"/>
      <w:r w:rsidR="00AA10D9">
        <w:t>Menveo</w:t>
      </w:r>
      <w:proofErr w:type="spellEnd"/>
      <w:r w:rsidRPr="00FE03C7">
        <w:t>, of which 1</w:t>
      </w:r>
      <w:r>
        <w:t>2 occurred in subjects who received</w:t>
      </w:r>
      <w:r w:rsidRPr="00FE03C7">
        <w:t xml:space="preserve"> the final formulation of </w:t>
      </w:r>
      <w:proofErr w:type="spellStart"/>
      <w:r w:rsidR="00AA10D9">
        <w:t>Menveo</w:t>
      </w:r>
      <w:proofErr w:type="spellEnd"/>
      <w:r w:rsidRPr="00FE03C7">
        <w:t xml:space="preserve"> concomita</w:t>
      </w:r>
      <w:r>
        <w:t>ntly with routine childhood vaccines:</w:t>
      </w:r>
    </w:p>
    <w:p w14:paraId="17DED84C" w14:textId="77777777" w:rsidR="00A3412C" w:rsidRDefault="00B3381F" w:rsidP="00B3381F">
      <w:pPr>
        <w:pStyle w:val="TableTitle"/>
      </w:pPr>
      <w:r>
        <w:t xml:space="preserve">Table 19: </w:t>
      </w:r>
      <w:r w:rsidR="00A3412C">
        <w:t>Serious adverse reactions</w:t>
      </w:r>
      <w:r>
        <w:t xml:space="preserve"> </w:t>
      </w:r>
      <w:r w:rsidR="00A3412C">
        <w:t>considered possibly related to vaccination by the i</w:t>
      </w:r>
      <w:r w:rsidR="00A3412C" w:rsidRPr="00FE03C7">
        <w:t>nvestigator</w:t>
      </w:r>
      <w:r w:rsidR="00FF017F">
        <w:t>. [</w:t>
      </w:r>
      <w:r>
        <w:t>Patient identifier column</w:t>
      </w:r>
      <w:r w:rsidR="00FF017F">
        <w:t xml:space="preserve"> </w:t>
      </w:r>
      <w:r>
        <w:t>ha</w:t>
      </w:r>
      <w:r w:rsidR="00FF017F">
        <w:t>s been redacted from this table]</w:t>
      </w:r>
    </w:p>
    <w:p w14:paraId="528FEEE7" w14:textId="5CE82E81" w:rsidR="006E089F" w:rsidRDefault="006E089F" w:rsidP="00B3381F">
      <w:pPr>
        <w:pStyle w:val="TableTitle"/>
      </w:pPr>
      <w:r>
        <w:rPr>
          <w:noProof/>
          <w:lang w:eastAsia="en-AU"/>
        </w:rPr>
        <w:drawing>
          <wp:inline distT="0" distB="0" distL="0" distR="0" wp14:anchorId="524CE440" wp14:editId="42E4ED17">
            <wp:extent cx="2620209" cy="3699536"/>
            <wp:effectExtent l="0" t="0" r="8890" b="0"/>
            <wp:docPr id="5" name="Picture 5" descr="screen capture of a table showing the serious adverse reactions considered possibly related to vaccination by the investigator. [Patient identifier column has been redacted from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18571" cy="3697224"/>
                    </a:xfrm>
                    <a:prstGeom prst="rect">
                      <a:avLst/>
                    </a:prstGeom>
                  </pic:spPr>
                </pic:pic>
              </a:graphicData>
            </a:graphic>
          </wp:inline>
        </w:drawing>
      </w:r>
    </w:p>
    <w:p w14:paraId="717EF29A" w14:textId="77777777" w:rsidR="00A3412C" w:rsidRPr="0034476A" w:rsidRDefault="00A3412C" w:rsidP="00B3381F">
      <w:pPr>
        <w:pStyle w:val="TableDescription"/>
      </w:pPr>
      <w:r w:rsidRPr="0034476A">
        <w:t>*Acute Disseminated Encephalomyelitis.</w:t>
      </w:r>
    </w:p>
    <w:p w14:paraId="2E2DEECA" w14:textId="77777777" w:rsidR="00A3412C" w:rsidRDefault="00A3412C" w:rsidP="00F31227">
      <w:r>
        <w:t>Note the 3 cases of Kawasaki Disease considered possibly-related to the vaccination were out of a total of 7 reported potential cases (1 case in control group) as follows:</w:t>
      </w:r>
    </w:p>
    <w:p w14:paraId="332E8424" w14:textId="77777777" w:rsidR="00FF017F" w:rsidRDefault="00FF017F" w:rsidP="00FF017F">
      <w:pPr>
        <w:pStyle w:val="TableTitle"/>
      </w:pPr>
      <w:r>
        <w:lastRenderedPageBreak/>
        <w:t xml:space="preserve">Table 20: Possible cases of Kawasaki disease in </w:t>
      </w:r>
      <w:proofErr w:type="spellStart"/>
      <w:r>
        <w:t>MenACWY</w:t>
      </w:r>
      <w:proofErr w:type="spellEnd"/>
      <w:r>
        <w:t xml:space="preserve"> studies</w:t>
      </w:r>
    </w:p>
    <w:p w14:paraId="0F61BAD3" w14:textId="515BEABE" w:rsidR="006E089F" w:rsidRDefault="006E089F" w:rsidP="00FF017F">
      <w:pPr>
        <w:pStyle w:val="TableTitle"/>
      </w:pPr>
      <w:r>
        <w:rPr>
          <w:noProof/>
          <w:lang w:eastAsia="en-AU"/>
        </w:rPr>
        <w:drawing>
          <wp:inline distT="0" distB="0" distL="0" distR="0" wp14:anchorId="4E496280" wp14:editId="32840655">
            <wp:extent cx="5616000" cy="1527598"/>
            <wp:effectExtent l="0" t="0" r="3810" b="0"/>
            <wp:docPr id="9" name="Picture 9" descr="screen capture of a table showing the Possible cases of Kawasaki disease in MenACW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6000" cy="1527598"/>
                    </a:xfrm>
                    <a:prstGeom prst="rect">
                      <a:avLst/>
                    </a:prstGeom>
                  </pic:spPr>
                </pic:pic>
              </a:graphicData>
            </a:graphic>
          </wp:inline>
        </w:drawing>
      </w:r>
    </w:p>
    <w:p w14:paraId="25637C8F" w14:textId="77777777" w:rsidR="00A3412C" w:rsidRDefault="00A3412C" w:rsidP="00F31227">
      <w:r>
        <w:t xml:space="preserve">The </w:t>
      </w:r>
      <w:r w:rsidR="00FF017F">
        <w:t>s</w:t>
      </w:r>
      <w:r>
        <w:t xml:space="preserve">ponsor reports that based on 5 confirmed cases of Kawasaki Disease (KD) with a cumulative 15,776 person-years (PY) of surveillance in all MENVO studies </w:t>
      </w:r>
      <w:r w:rsidRPr="00FF017F">
        <w:rPr>
          <w:i/>
        </w:rPr>
        <w:t>in children up to the age of 5 years,</w:t>
      </w:r>
      <w:r>
        <w:t xml:space="preserve"> the estimated annual incidence of KD is 32 per 100,000 children (95%CI 10, 74). The estimated annual incidence of KD in control group based on 1 case and 4,722 </w:t>
      </w:r>
      <w:r w:rsidR="00FF017F">
        <w:t>patient years (</w:t>
      </w:r>
      <w:r>
        <w:t>PY</w:t>
      </w:r>
      <w:r w:rsidR="00FF017F">
        <w:t>)</w:t>
      </w:r>
      <w:r>
        <w:t xml:space="preserve"> is 21 cases per 100,000 children (95%CI 0.5, 118). This amounts to a relative risk (RR) of developing KD of 1.5 fold (95%CI 0.17, 70) with </w:t>
      </w:r>
      <w:proofErr w:type="spellStart"/>
      <w:r w:rsidR="00AA10D9">
        <w:t>Menveo</w:t>
      </w:r>
      <w:proofErr w:type="spellEnd"/>
      <w:r>
        <w:t xml:space="preserve"> vaccination.</w:t>
      </w:r>
    </w:p>
    <w:p w14:paraId="74AE3F7B" w14:textId="77777777" w:rsidR="00A3412C" w:rsidRDefault="00A3412C" w:rsidP="00F31227">
      <w:r>
        <w:t xml:space="preserve">A total of 11 deaths were reported (all were in 2 studies </w:t>
      </w:r>
      <w:r w:rsidR="000E0284">
        <w:t>that is,</w:t>
      </w:r>
      <w:r>
        <w:t xml:space="preserve"> V59P23 and V59P14). Of these 8 were reported in the </w:t>
      </w:r>
      <w:r w:rsidR="006571F8">
        <w:t>Study V59</w:t>
      </w:r>
      <w:r>
        <w:t xml:space="preserve">P23 (one in Control, 7 in </w:t>
      </w:r>
      <w:proofErr w:type="spellStart"/>
      <w:r w:rsidR="00AA10D9">
        <w:t>Menveo</w:t>
      </w:r>
      <w:proofErr w:type="spellEnd"/>
      <w:r>
        <w:t xml:space="preserve"> group) and 3 in the </w:t>
      </w:r>
      <w:r w:rsidR="006571F8">
        <w:t>Study V59</w:t>
      </w:r>
      <w:r>
        <w:t>P14 as follows:</w:t>
      </w:r>
    </w:p>
    <w:p w14:paraId="5BC6411A" w14:textId="77777777" w:rsidR="00FF017F" w:rsidRDefault="00FF017F" w:rsidP="00FF017F">
      <w:pPr>
        <w:pStyle w:val="TableTitle"/>
      </w:pPr>
      <w:r>
        <w:t>Table 21: Details of deaths [patient identifiers have been redacted from table]</w:t>
      </w:r>
    </w:p>
    <w:p w14:paraId="5FBC602E" w14:textId="52D1CDFD" w:rsidR="00FF017F" w:rsidRPr="0045594C" w:rsidRDefault="00245FF7" w:rsidP="00FF017F">
      <w:pPr>
        <w:pStyle w:val="TableTitle"/>
      </w:pPr>
      <w:r>
        <w:rPr>
          <w:noProof/>
          <w:lang w:eastAsia="en-AU"/>
        </w:rPr>
        <w:drawing>
          <wp:inline distT="0" distB="0" distL="0" distR="0" wp14:anchorId="5D95A305" wp14:editId="07A40B9E">
            <wp:extent cx="1019908" cy="4544011"/>
            <wp:effectExtent l="19050" t="19050" r="27940" b="28575"/>
            <wp:docPr id="4" name="Picture 4" descr="Table 21: Details of deaths [patient identifiers have been redacted fr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Lst>
                    </a:blip>
                    <a:srcRect l="1149" t="2721" r="74265"/>
                    <a:stretch/>
                  </pic:blipFill>
                  <pic:spPr bwMode="auto">
                    <a:xfrm>
                      <a:off x="0" y="0"/>
                      <a:ext cx="1021588" cy="455149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F017F">
        <w:rPr>
          <w:noProof/>
          <w:lang w:eastAsia="en-AU"/>
        </w:rPr>
        <w:drawing>
          <wp:inline distT="0" distB="0" distL="0" distR="0" wp14:anchorId="4FE8F8ED" wp14:editId="407366E2">
            <wp:extent cx="1948243" cy="4543865"/>
            <wp:effectExtent l="19050" t="19050" r="13970" b="28575"/>
            <wp:docPr id="30" name="Picture 30" descr="Table 21: Details of deaths [patient identifiers have been redacted fr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Lst>
                    </a:blip>
                    <a:srcRect l="53034" t="2721"/>
                    <a:stretch/>
                  </pic:blipFill>
                  <pic:spPr bwMode="auto">
                    <a:xfrm>
                      <a:off x="0" y="0"/>
                      <a:ext cx="1951515" cy="455149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C2A777" w14:textId="77777777" w:rsidR="00A3412C" w:rsidRPr="0045594C" w:rsidRDefault="00A3412C" w:rsidP="00FF017F">
      <w:pPr>
        <w:pStyle w:val="TableDescription"/>
      </w:pPr>
      <w:r w:rsidRPr="0045594C">
        <w:t>*Total Anomalous Pulmonary Venous Connection with Pulmonary Hypertension</w:t>
      </w:r>
    </w:p>
    <w:p w14:paraId="3E9F6981" w14:textId="77777777" w:rsidR="00A3412C" w:rsidRPr="00FE03C7" w:rsidRDefault="00FF017F" w:rsidP="00FF017F">
      <w:pPr>
        <w:pStyle w:val="Heading4"/>
      </w:pPr>
      <w:r>
        <w:lastRenderedPageBreak/>
        <w:t>Post-market data/R</w:t>
      </w:r>
      <w:r w:rsidRPr="00FE03C7">
        <w:t>isk management plan (</w:t>
      </w:r>
      <w:r w:rsidR="00F31227">
        <w:t>RMP</w:t>
      </w:r>
      <w:r w:rsidRPr="00FE03C7">
        <w:t>)</w:t>
      </w:r>
    </w:p>
    <w:p w14:paraId="049F5B93" w14:textId="77777777" w:rsidR="00A3412C" w:rsidRPr="00FE03C7" w:rsidRDefault="00A3412C" w:rsidP="00F31227">
      <w:r w:rsidRPr="00FE03C7">
        <w:t xml:space="preserve">Please see the RMP </w:t>
      </w:r>
      <w:r>
        <w:t xml:space="preserve">evaluation </w:t>
      </w:r>
      <w:r w:rsidR="00F31227">
        <w:t>above</w:t>
      </w:r>
      <w:r w:rsidRPr="00FE03C7">
        <w:t>.</w:t>
      </w:r>
    </w:p>
    <w:p w14:paraId="7088C47B" w14:textId="77777777" w:rsidR="00A3412C" w:rsidRDefault="00A3412C" w:rsidP="00F31227">
      <w:r w:rsidRPr="00FE03C7">
        <w:t xml:space="preserve">Please </w:t>
      </w:r>
      <w:r>
        <w:t xml:space="preserve">also </w:t>
      </w:r>
      <w:r w:rsidRPr="00FE03C7">
        <w:t xml:space="preserve">see review of 4 post-market studies (V59_36, V59_57, V59_34OB and V59_54OB) in </w:t>
      </w:r>
      <w:r>
        <w:t>the CER (</w:t>
      </w:r>
      <w:r w:rsidR="00F31227">
        <w:t>Attachment 2</w:t>
      </w:r>
      <w:r>
        <w:t xml:space="preserve">), in particular the </w:t>
      </w:r>
      <w:r w:rsidR="006571F8">
        <w:t>Study V59</w:t>
      </w:r>
      <w:r>
        <w:t>_40B which was a large (N=55,397) surveillance study in 11</w:t>
      </w:r>
      <w:r w:rsidR="00F31227">
        <w:t xml:space="preserve"> to </w:t>
      </w:r>
      <w:r>
        <w:t>21 year old population of past ACWY recipients.</w:t>
      </w:r>
    </w:p>
    <w:p w14:paraId="49E697B9" w14:textId="77777777" w:rsidR="00A3412C" w:rsidRDefault="00A3412C" w:rsidP="00F31227">
      <w:r>
        <w:t xml:space="preserve">The information on </w:t>
      </w:r>
      <w:proofErr w:type="spellStart"/>
      <w:r>
        <w:t>coadministration</w:t>
      </w:r>
      <w:proofErr w:type="spellEnd"/>
      <w:r>
        <w:t xml:space="preserve"> of 13 valent pneumococcal conjugate vaccine in </w:t>
      </w:r>
      <w:r w:rsidR="006571F8">
        <w:t>Study V59</w:t>
      </w:r>
      <w:r>
        <w:t>_36 is noted.</w:t>
      </w:r>
    </w:p>
    <w:p w14:paraId="2E57638F" w14:textId="77777777" w:rsidR="00A3412C" w:rsidRPr="00DE5028" w:rsidRDefault="00A3412C" w:rsidP="00F31227">
      <w:r w:rsidRPr="00DE5028">
        <w:t>Also noted is a potential as</w:t>
      </w:r>
      <w:r w:rsidR="00F31227">
        <w:t>sociation with Bell’s palsy in S</w:t>
      </w:r>
      <w:r w:rsidRPr="00DE5028">
        <w:t>tudy P59_34OB on co</w:t>
      </w:r>
      <w:r w:rsidR="00F31227">
        <w:t>-</w:t>
      </w:r>
      <w:r w:rsidRPr="00DE5028">
        <w:t xml:space="preserve">administration with routine infant vaccines. The study found </w:t>
      </w:r>
      <w:r>
        <w:t>an increased relative risk of 2.9 fold (95%CI 1.1, 7.5) for</w:t>
      </w:r>
      <w:r w:rsidRPr="00DE5028">
        <w:t xml:space="preserve"> Bell's palsy in 84 days (risk window) following </w:t>
      </w:r>
      <w:proofErr w:type="spellStart"/>
      <w:r w:rsidR="00AA10D9">
        <w:rPr>
          <w:iCs/>
        </w:rPr>
        <w:t>Menveo</w:t>
      </w:r>
      <w:proofErr w:type="spellEnd"/>
      <w:r w:rsidRPr="00DE5028">
        <w:rPr>
          <w:i/>
          <w:iCs/>
        </w:rPr>
        <w:t xml:space="preserve"> </w:t>
      </w:r>
      <w:r w:rsidRPr="00DE5028">
        <w:t>vaccina</w:t>
      </w:r>
      <w:r>
        <w:t>tion mainly on co</w:t>
      </w:r>
      <w:r w:rsidR="00F31227">
        <w:t>-</w:t>
      </w:r>
      <w:r>
        <w:t>administration with other vaccines.</w:t>
      </w:r>
    </w:p>
    <w:p w14:paraId="69932622" w14:textId="77777777" w:rsidR="00A3412C" w:rsidRPr="00DE5028" w:rsidRDefault="00A3412C" w:rsidP="00F31227">
      <w:r>
        <w:t xml:space="preserve">The clinical evaluator has also drawn attention to a case of GBS reported in the FDA approved prescribing information. The </w:t>
      </w:r>
      <w:r w:rsidR="00F31227">
        <w:t>s</w:t>
      </w:r>
      <w:r>
        <w:t>ponsor has indicated that this may have occurred in relation to</w:t>
      </w:r>
      <w:r w:rsidRPr="00DE5028">
        <w:t xml:space="preserve"> polysaccharide vaccine licensed in Canada and the US</w:t>
      </w:r>
      <w:r w:rsidR="00F31227">
        <w:t>. The s</w:t>
      </w:r>
      <w:r>
        <w:t xml:space="preserve">ponsor has been requested to clarify the nature of </w:t>
      </w:r>
      <w:proofErr w:type="spellStart"/>
      <w:r w:rsidR="00E72441">
        <w:t>Menactra</w:t>
      </w:r>
      <w:proofErr w:type="spellEnd"/>
      <w:r>
        <w:t xml:space="preserve"> vaccine used as active comparator in the </w:t>
      </w:r>
      <w:r w:rsidR="006571F8">
        <w:t>Study V59</w:t>
      </w:r>
      <w:r>
        <w:t>P20.</w:t>
      </w:r>
    </w:p>
    <w:p w14:paraId="4D2AE79A" w14:textId="77777777" w:rsidR="00A3412C" w:rsidRPr="00EB6A56" w:rsidRDefault="00A3412C" w:rsidP="00F31227">
      <w:pPr>
        <w:rPr>
          <w:rFonts w:cstheme="minorHAnsi"/>
        </w:rPr>
      </w:pPr>
      <w:r>
        <w:t xml:space="preserve">The </w:t>
      </w:r>
      <w:r w:rsidR="00F31227">
        <w:t>s</w:t>
      </w:r>
      <w:r>
        <w:t xml:space="preserve">ponsor is also requested to comment whether vaccine (efficacy) failure data specific to completed </w:t>
      </w:r>
      <w:r w:rsidR="00306FB2">
        <w:t>4 dose</w:t>
      </w:r>
      <w:r>
        <w:t xml:space="preserve"> series and </w:t>
      </w:r>
      <w:r w:rsidR="00306FB2">
        <w:t>2 dose</w:t>
      </w:r>
      <w:r>
        <w:t xml:space="preserve"> catch-up series in infants and one dose vaccination in </w:t>
      </w:r>
      <w:r w:rsidR="00746C7F">
        <w:t>2 to 10</w:t>
      </w:r>
      <w:r>
        <w:t xml:space="preserve"> years old children are available from post-market surveillance and include a summary in its response </w:t>
      </w:r>
      <w:r w:rsidR="00F31227">
        <w:t xml:space="preserve">to this overview </w:t>
      </w:r>
      <w:r>
        <w:t>if available.</w:t>
      </w:r>
    </w:p>
    <w:p w14:paraId="0203E574" w14:textId="77777777" w:rsidR="008E7846" w:rsidRDefault="00AA0ED0" w:rsidP="008E7846">
      <w:pPr>
        <w:pStyle w:val="Heading3"/>
      </w:pPr>
      <w:bookmarkStart w:id="135" w:name="_Toc247691531"/>
      <w:bookmarkStart w:id="136" w:name="_Toc314842515"/>
      <w:bookmarkStart w:id="137" w:name="_Toc511377362"/>
      <w:bookmarkStart w:id="138" w:name="_Toc196046505"/>
      <w:bookmarkStart w:id="139" w:name="_Toc196046949"/>
      <w:bookmarkEnd w:id="134"/>
      <w:r>
        <w:t>Risk-benefit a</w:t>
      </w:r>
      <w:r w:rsidR="008E7846">
        <w:t>nalysis</w:t>
      </w:r>
      <w:bookmarkEnd w:id="135"/>
      <w:bookmarkEnd w:id="136"/>
      <w:bookmarkEnd w:id="137"/>
    </w:p>
    <w:p w14:paraId="6A8632D5" w14:textId="77777777" w:rsidR="00D23139" w:rsidRDefault="00D23139" w:rsidP="00D23139">
      <w:pPr>
        <w:pStyle w:val="Heading4"/>
      </w:pPr>
      <w:r w:rsidRPr="00D23139">
        <w:t xml:space="preserve">Delegate’s considerations </w:t>
      </w:r>
    </w:p>
    <w:p w14:paraId="39590F37" w14:textId="77777777" w:rsidR="00A3412C" w:rsidRPr="00697FED" w:rsidRDefault="00A3412C" w:rsidP="00F31227">
      <w:pPr>
        <w:pStyle w:val="Numberbullet0"/>
        <w:numPr>
          <w:ilvl w:val="0"/>
          <w:numId w:val="41"/>
        </w:numPr>
      </w:pPr>
      <w:r>
        <w:t>The prophylactic efficacy of meningococcal vaccines cannot be established in prospective clinical trials as the incidence of disease is extremely low. The use of immunogenicity data (</w:t>
      </w:r>
      <w:r w:rsidRPr="00697FED">
        <w:t>serum bactericidal activity with human complement</w:t>
      </w:r>
      <w:r>
        <w:t>) is well established and acceptable for regulatory purposes. This is expected to be supplemented with appropriate post-market surveillance.</w:t>
      </w:r>
    </w:p>
    <w:p w14:paraId="28A988CC" w14:textId="77777777" w:rsidR="00A3412C" w:rsidRPr="00F55A43" w:rsidRDefault="000E0284" w:rsidP="00F31227">
      <w:pPr>
        <w:pStyle w:val="Numberbullet0"/>
        <w:numPr>
          <w:ilvl w:val="0"/>
          <w:numId w:val="41"/>
        </w:numPr>
      </w:pPr>
      <w:r>
        <w:rPr>
          <w:rFonts w:cstheme="minorHAnsi"/>
        </w:rPr>
        <w:t>In S</w:t>
      </w:r>
      <w:r w:rsidR="00A3412C" w:rsidRPr="00F31227">
        <w:rPr>
          <w:rFonts w:cstheme="minorHAnsi"/>
        </w:rPr>
        <w:t>tudies V59P14 and V59_33, the predefined criterion (</w:t>
      </w:r>
      <w:r w:rsidR="00A3412C" w:rsidRPr="00F31227">
        <w:rPr>
          <w:rFonts w:cstheme="minorHAnsi"/>
          <w:i/>
        </w:rPr>
        <w:t xml:space="preserve">percentage of subjects with </w:t>
      </w:r>
      <w:proofErr w:type="spellStart"/>
      <w:r w:rsidR="00A3412C" w:rsidRPr="00F31227">
        <w:rPr>
          <w:rFonts w:cstheme="minorHAnsi"/>
          <w:i/>
        </w:rPr>
        <w:t>hSBA</w:t>
      </w:r>
      <w:proofErr w:type="spellEnd"/>
      <w:r w:rsidR="00A3412C" w:rsidRPr="00F31227">
        <w:rPr>
          <w:rFonts w:cstheme="minorHAnsi"/>
          <w:i/>
        </w:rPr>
        <w:t xml:space="preserve"> </w:t>
      </w:r>
      <w:r w:rsidR="00B07393" w:rsidRPr="00F31227">
        <w:rPr>
          <w:rFonts w:cstheme="minorHAnsi"/>
          <w:i/>
        </w:rPr>
        <w:t xml:space="preserve">≥ </w:t>
      </w:r>
      <w:r w:rsidR="00A3412C" w:rsidRPr="00F31227">
        <w:rPr>
          <w:rFonts w:cstheme="minorHAnsi"/>
          <w:i/>
        </w:rPr>
        <w:t>1:8</w:t>
      </w:r>
      <w:r w:rsidR="00A3412C" w:rsidRPr="00F31227">
        <w:rPr>
          <w:rFonts w:cstheme="minorHAnsi"/>
        </w:rPr>
        <w:t xml:space="preserve">) with a </w:t>
      </w:r>
      <w:r w:rsidR="00306FB2" w:rsidRPr="00F31227">
        <w:rPr>
          <w:rFonts w:cstheme="minorHAnsi"/>
        </w:rPr>
        <w:t>4 dose</w:t>
      </w:r>
      <w:r w:rsidR="00A3412C" w:rsidRPr="00F31227">
        <w:rPr>
          <w:rFonts w:cstheme="minorHAnsi"/>
        </w:rPr>
        <w:t xml:space="preserve"> infant schedule (at 2, 4, 6 and 12-16 months of age) were met for all 4 serogroups (ACWY) in both studies:</w:t>
      </w:r>
    </w:p>
    <w:p w14:paraId="0AF1CF75" w14:textId="77777777" w:rsidR="00A3412C" w:rsidRDefault="00A3412C" w:rsidP="000E0284">
      <w:pPr>
        <w:pStyle w:val="ListBullet2"/>
      </w:pPr>
      <w:r>
        <w:t>LL95%CI were 83%, 90%, 93% and 92% for A, C, W, Y serotypes respectively in V59_33.</w:t>
      </w:r>
    </w:p>
    <w:p w14:paraId="79B06AB5" w14:textId="77777777" w:rsidR="00A3412C" w:rsidRDefault="00A3412C" w:rsidP="000E0284">
      <w:pPr>
        <w:pStyle w:val="ListBullet2"/>
      </w:pPr>
      <w:r>
        <w:t>LL95%CI were 87%, 92%, 96% and 96% for A, C, W, Y serotypes respectively in V59P14 (US cohort).</w:t>
      </w:r>
    </w:p>
    <w:p w14:paraId="7FFA8C39" w14:textId="77777777" w:rsidR="00A3412C" w:rsidRPr="00C138C2" w:rsidRDefault="00A3412C" w:rsidP="000E0284">
      <w:pPr>
        <w:pStyle w:val="ListBullet2"/>
      </w:pPr>
      <w:r>
        <w:t>LL95%CI were 89%, 94%, 97% and 95% for A, C, W, Y serotypes respectively in V59P14 (LA cohort).</w:t>
      </w:r>
    </w:p>
    <w:p w14:paraId="49E26B41" w14:textId="77777777" w:rsidR="00A3412C" w:rsidRPr="001B7366" w:rsidRDefault="00A3412C" w:rsidP="00C13965">
      <w:pPr>
        <w:ind w:left="360"/>
      </w:pPr>
      <w:r w:rsidRPr="00697FED">
        <w:t xml:space="preserve">The </w:t>
      </w:r>
      <w:r w:rsidR="006571F8">
        <w:t>Study V59</w:t>
      </w:r>
      <w:r w:rsidRPr="00697FED">
        <w:t xml:space="preserve">_33 is </w:t>
      </w:r>
      <w:r>
        <w:t xml:space="preserve">the </w:t>
      </w:r>
      <w:r w:rsidRPr="00697FED">
        <w:t xml:space="preserve">largest single study providing pivotal immunogenicity data for the </w:t>
      </w:r>
      <w:r w:rsidR="00306FB2">
        <w:t>4 dose</w:t>
      </w:r>
      <w:r w:rsidRPr="00697FED">
        <w:t xml:space="preserve"> series in infants </w:t>
      </w:r>
      <w:r>
        <w:t xml:space="preserve">and overtakes the previous </w:t>
      </w:r>
      <w:r w:rsidRPr="00697FED">
        <w:t>study V50P14 in</w:t>
      </w:r>
      <w:r>
        <w:t xml:space="preserve"> terms of design, follow-up and reliability of data, although the recommendation for the 4</w:t>
      </w:r>
      <w:r w:rsidRPr="001B7366">
        <w:rPr>
          <w:vertAlign w:val="superscript"/>
        </w:rPr>
        <w:t>th</w:t>
      </w:r>
      <w:r>
        <w:t xml:space="preserve"> dose in 12-16 months age range is based on the LA cohort in the </w:t>
      </w:r>
      <w:r w:rsidR="006571F8">
        <w:t>Study V59</w:t>
      </w:r>
      <w:r>
        <w:t>P14.</w:t>
      </w:r>
    </w:p>
    <w:p w14:paraId="0E3982E5" w14:textId="77777777" w:rsidR="00A3412C" w:rsidRDefault="00A3412C" w:rsidP="00C13965">
      <w:pPr>
        <w:ind w:left="360"/>
      </w:pPr>
      <w:r>
        <w:t>A</w:t>
      </w:r>
      <w:r w:rsidRPr="00697FED">
        <w:t xml:space="preserve"> </w:t>
      </w:r>
      <w:r>
        <w:t>3-</w:t>
      </w:r>
      <w:r w:rsidRPr="00697FED">
        <w:t xml:space="preserve">dose infant series </w:t>
      </w:r>
      <w:r>
        <w:t xml:space="preserve">(2, 4, 6 months) </w:t>
      </w:r>
      <w:r w:rsidRPr="00697FED">
        <w:t>is not supp</w:t>
      </w:r>
      <w:r>
        <w:t xml:space="preserve">orted by either study (V59_33 or V50P14). There was a significant decline in the </w:t>
      </w:r>
      <w:r w:rsidRPr="000E0284">
        <w:rPr>
          <w:i/>
        </w:rPr>
        <w:t xml:space="preserve">percentage of children with </w:t>
      </w:r>
      <w:proofErr w:type="spellStart"/>
      <w:r w:rsidRPr="000E0284">
        <w:rPr>
          <w:i/>
        </w:rPr>
        <w:t>hSBA</w:t>
      </w:r>
      <w:proofErr w:type="spellEnd"/>
      <w:r w:rsidRPr="000E0284">
        <w:rPr>
          <w:i/>
        </w:rPr>
        <w:t xml:space="preserve"> </w:t>
      </w:r>
      <w:r w:rsidR="00B07393" w:rsidRPr="000E0284">
        <w:rPr>
          <w:i/>
        </w:rPr>
        <w:t xml:space="preserve">≥ </w:t>
      </w:r>
      <w:r w:rsidRPr="000E0284">
        <w:rPr>
          <w:i/>
        </w:rPr>
        <w:t>1:8</w:t>
      </w:r>
      <w:r>
        <w:t xml:space="preserve"> at pre Dose-4 time</w:t>
      </w:r>
      <w:r w:rsidR="000E0284">
        <w:t>-</w:t>
      </w:r>
      <w:r>
        <w:t xml:space="preserve">point in studies V59_33 and V59P14 (US cohort) </w:t>
      </w:r>
      <w:r w:rsidR="000E0284">
        <w:t>that is</w:t>
      </w:r>
      <w:r>
        <w:t xml:space="preserve"> antibody persistence at 6 months (2, 4, 6, 12 months schedule) and at pre Dose-4 time</w:t>
      </w:r>
      <w:r w:rsidR="000E0284">
        <w:t>-</w:t>
      </w:r>
      <w:r>
        <w:t xml:space="preserve">point in </w:t>
      </w:r>
      <w:r w:rsidR="006571F8">
        <w:lastRenderedPageBreak/>
        <w:t>Study V59</w:t>
      </w:r>
      <w:r>
        <w:t xml:space="preserve">P14 (LA cohort) </w:t>
      </w:r>
      <w:r w:rsidR="000E0284">
        <w:t>that is,</w:t>
      </w:r>
      <w:r>
        <w:t xml:space="preserve"> antibody persistence at 10 months (2, 4, 6, 16 months schedule).</w:t>
      </w:r>
    </w:p>
    <w:p w14:paraId="4F5F3C58" w14:textId="77777777" w:rsidR="00A3412C" w:rsidRDefault="00A3412C" w:rsidP="000E0284">
      <w:pPr>
        <w:pStyle w:val="ListBullet2"/>
      </w:pPr>
      <w:r>
        <w:t xml:space="preserve">Pre Dose-4 LL95%CI were 4%, 30%, 62% and 45% for A, C, W, Y serotypes respectively in </w:t>
      </w:r>
      <w:r w:rsidR="006571F8">
        <w:t>Study V59</w:t>
      </w:r>
      <w:r>
        <w:t>_33.</w:t>
      </w:r>
    </w:p>
    <w:p w14:paraId="139ADBCE" w14:textId="77777777" w:rsidR="00A3412C" w:rsidRDefault="00A3412C" w:rsidP="000E0284">
      <w:pPr>
        <w:pStyle w:val="ListBullet2"/>
      </w:pPr>
      <w:r>
        <w:t xml:space="preserve">Pre-Dose-4 LL95%CI were 4%, 39%, 60% and 49% for A, C, W, Y serotypes respectively in </w:t>
      </w:r>
      <w:r w:rsidR="006571F8">
        <w:t>Study V59</w:t>
      </w:r>
      <w:r>
        <w:t>P14 (US cohort).</w:t>
      </w:r>
    </w:p>
    <w:p w14:paraId="36EF2D87" w14:textId="77777777" w:rsidR="00A3412C" w:rsidRDefault="00A3412C" w:rsidP="000E0284">
      <w:pPr>
        <w:pStyle w:val="ListBullet2"/>
      </w:pPr>
      <w:r>
        <w:t xml:space="preserve">Pre Dose-4 LL95%CI were 8%, 15%, 52% and 37% for A, C, W, Y serotypes respectively in </w:t>
      </w:r>
      <w:r w:rsidR="006571F8">
        <w:t>Study V59</w:t>
      </w:r>
      <w:r>
        <w:t>P14 (LA cohort).</w:t>
      </w:r>
    </w:p>
    <w:p w14:paraId="10B256A8" w14:textId="77777777" w:rsidR="00A3412C" w:rsidRPr="001B7366" w:rsidRDefault="00A3412C" w:rsidP="00C13965">
      <w:pPr>
        <w:ind w:left="360"/>
        <w:rPr>
          <w:rFonts w:asciiTheme="minorHAnsi" w:hAnsiTheme="minorHAnsi"/>
        </w:rPr>
      </w:pPr>
      <w:r w:rsidRPr="000E0284">
        <w:t xml:space="preserve">It is noted that long-term antibody persistence data for the </w:t>
      </w:r>
      <w:r w:rsidR="00306FB2" w:rsidRPr="000E0284">
        <w:t>4 dose</w:t>
      </w:r>
      <w:r w:rsidRPr="000E0284">
        <w:t xml:space="preserve"> schedule ar</w:t>
      </w:r>
      <w:r w:rsidR="000E0284">
        <w:t>e currently not available. The s</w:t>
      </w:r>
      <w:r w:rsidRPr="000E0284">
        <w:t xml:space="preserve">ponsor is requested to comment and provide a summary of antibody persistence data, if available, from the cohorts of subjects who completed </w:t>
      </w:r>
      <w:r w:rsidR="00306FB2" w:rsidRPr="000E0284">
        <w:t>4 dose</w:t>
      </w:r>
      <w:r w:rsidRPr="000E0284">
        <w:t xml:space="preserve"> vaccination </w:t>
      </w:r>
      <w:r w:rsidR="007F4D43" w:rsidRPr="000E0284">
        <w:t>schedules</w:t>
      </w:r>
      <w:r w:rsidRPr="000E0284">
        <w:t xml:space="preserve"> in</w:t>
      </w:r>
      <w:r>
        <w:rPr>
          <w:rFonts w:asciiTheme="minorHAnsi" w:hAnsiTheme="minorHAnsi" w:cstheme="minorHAnsi"/>
        </w:rPr>
        <w:t xml:space="preserve"> these 2 trials.</w:t>
      </w:r>
    </w:p>
    <w:p w14:paraId="24B330DE" w14:textId="77777777" w:rsidR="00A3412C" w:rsidRPr="0071634D" w:rsidRDefault="00A3412C" w:rsidP="00C13965">
      <w:pPr>
        <w:pStyle w:val="Numberbullet0"/>
        <w:numPr>
          <w:ilvl w:val="0"/>
          <w:numId w:val="41"/>
        </w:numPr>
      </w:pPr>
      <w:r>
        <w:t>The</w:t>
      </w:r>
      <w:r w:rsidRPr="00697FED">
        <w:t xml:space="preserve"> </w:t>
      </w:r>
      <w:r w:rsidRPr="00C13965">
        <w:rPr>
          <w:i/>
        </w:rPr>
        <w:t xml:space="preserve">percentage of subjects with </w:t>
      </w:r>
      <w:proofErr w:type="spellStart"/>
      <w:r w:rsidRPr="00C13965">
        <w:rPr>
          <w:i/>
        </w:rPr>
        <w:t>hSBA</w:t>
      </w:r>
      <w:proofErr w:type="spellEnd"/>
      <w:r w:rsidRPr="00C13965">
        <w:rPr>
          <w:i/>
        </w:rPr>
        <w:t xml:space="preserve"> </w:t>
      </w:r>
      <w:r w:rsidR="00B07393" w:rsidRPr="00C13965">
        <w:rPr>
          <w:i/>
        </w:rPr>
        <w:t xml:space="preserve">≥ </w:t>
      </w:r>
      <w:r w:rsidRPr="00C13965">
        <w:rPr>
          <w:i/>
        </w:rPr>
        <w:t>1:8</w:t>
      </w:r>
      <w:r w:rsidRPr="0071634D">
        <w:t xml:space="preserve"> criterion </w:t>
      </w:r>
      <w:r>
        <w:t>was similarly satisfactorily met with</w:t>
      </w:r>
      <w:r w:rsidRPr="00697FED">
        <w:t xml:space="preserve"> </w:t>
      </w:r>
      <w:r>
        <w:t xml:space="preserve">a </w:t>
      </w:r>
      <w:r w:rsidR="00306FB2">
        <w:t>2 dose</w:t>
      </w:r>
      <w:r w:rsidRPr="00697FED">
        <w:t xml:space="preserve"> catch-</w:t>
      </w:r>
      <w:r>
        <w:t>up schedule in 7-23</w:t>
      </w:r>
      <w:r w:rsidRPr="00697FED">
        <w:t xml:space="preserve"> months old</w:t>
      </w:r>
      <w:r>
        <w:t xml:space="preserve"> unvaccinated</w:t>
      </w:r>
      <w:r w:rsidRPr="00697FED">
        <w:t xml:space="preserve"> infants in </w:t>
      </w:r>
      <w:r w:rsidR="006571F8">
        <w:t>Study V59</w:t>
      </w:r>
      <w:r w:rsidRPr="00697FED">
        <w:t>P21</w:t>
      </w:r>
      <w:r>
        <w:t xml:space="preserve"> (Dose 1 at 7 months of age and Dose 2 in 2</w:t>
      </w:r>
      <w:r w:rsidRPr="00C13965">
        <w:rPr>
          <w:vertAlign w:val="superscript"/>
        </w:rPr>
        <w:t>nd</w:t>
      </w:r>
      <w:r>
        <w:t xml:space="preserve"> year of life)</w:t>
      </w:r>
      <w:r w:rsidRPr="00697FED">
        <w:t>.</w:t>
      </w:r>
      <w:r>
        <w:t xml:space="preserve"> The LL95%CI was 84%, 98%, 96% and 93% in A, C, W and Y serotypes respectively.</w:t>
      </w:r>
    </w:p>
    <w:p w14:paraId="09667338" w14:textId="77777777" w:rsidR="00A3412C" w:rsidRPr="00632856" w:rsidRDefault="000E0284" w:rsidP="00C13965">
      <w:pPr>
        <w:ind w:left="425"/>
      </w:pPr>
      <w:r>
        <w:t>In its pre-ACV response, the s</w:t>
      </w:r>
      <w:r w:rsidR="00A3412C">
        <w:t>ponsor is requested to comment and provide summary of longer term antibody persistence data from this study if available.</w:t>
      </w:r>
    </w:p>
    <w:p w14:paraId="3A5ED228" w14:textId="77777777" w:rsidR="00A3412C" w:rsidRPr="00632856" w:rsidRDefault="00A3412C" w:rsidP="000E0284">
      <w:pPr>
        <w:pStyle w:val="Numberbullet0"/>
      </w:pPr>
      <w:r w:rsidRPr="00697FED">
        <w:t xml:space="preserve">There </w:t>
      </w:r>
      <w:r>
        <w:t>was some evidence of immune</w:t>
      </w:r>
      <w:r w:rsidRPr="00697FED">
        <w:t xml:space="preserve"> interference </w:t>
      </w:r>
      <w:r>
        <w:t>(</w:t>
      </w:r>
      <w:proofErr w:type="spellStart"/>
      <w:r>
        <w:t>seroresponse</w:t>
      </w:r>
      <w:proofErr w:type="spellEnd"/>
      <w:r>
        <w:t xml:space="preserve">) </w:t>
      </w:r>
      <w:r w:rsidRPr="00697FED">
        <w:t>in respect of 7-valent pneumococcal conjuga</w:t>
      </w:r>
      <w:r>
        <w:t>te vaccine (</w:t>
      </w:r>
      <w:r w:rsidRPr="00697FED">
        <w:t xml:space="preserve">individual antigens </w:t>
      </w:r>
      <w:r>
        <w:t>6B and 23F but not the overall response in terms of 0.35</w:t>
      </w:r>
      <w:r w:rsidR="000E0284">
        <w:t xml:space="preserve"> </w:t>
      </w:r>
      <w:r>
        <w:t xml:space="preserve">µg/mL </w:t>
      </w:r>
      <w:proofErr w:type="gramStart"/>
      <w:r>
        <w:t>level</w:t>
      </w:r>
      <w:proofErr w:type="gramEnd"/>
      <w:r w:rsidRPr="00697FED">
        <w:t xml:space="preserve">) and pertussis in the </w:t>
      </w:r>
      <w:r w:rsidR="00306FB2">
        <w:t>4 dose</w:t>
      </w:r>
      <w:r w:rsidRPr="00697FED">
        <w:t xml:space="preserve"> infant series.</w:t>
      </w:r>
      <w:r>
        <w:t xml:space="preserve"> The results were more in line with the predefined non-inferiority criteria based on GMTs.</w:t>
      </w:r>
    </w:p>
    <w:p w14:paraId="62B125D1" w14:textId="77777777" w:rsidR="00A3412C" w:rsidRPr="00034293" w:rsidRDefault="00A3412C" w:rsidP="000E0284">
      <w:pPr>
        <w:pStyle w:val="Numberbullet0"/>
      </w:pPr>
      <w:r w:rsidRPr="00632856">
        <w:t xml:space="preserve">In children </w:t>
      </w:r>
      <w:r w:rsidR="00746C7F">
        <w:t>2 to 10</w:t>
      </w:r>
      <w:r w:rsidRPr="00632856">
        <w:t xml:space="preserve"> years</w:t>
      </w:r>
      <w:r>
        <w:t xml:space="preserve"> of age</w:t>
      </w:r>
      <w:r w:rsidRPr="00632856">
        <w:t xml:space="preserve">, </w:t>
      </w:r>
      <w:r>
        <w:t xml:space="preserve">a </w:t>
      </w:r>
      <w:r w:rsidRPr="00632856">
        <w:t xml:space="preserve">single dose </w:t>
      </w:r>
      <w:proofErr w:type="spellStart"/>
      <w:r w:rsidR="00AA10D9">
        <w:t>Menveo</w:t>
      </w:r>
      <w:proofErr w:type="spellEnd"/>
      <w:r w:rsidRPr="00632856">
        <w:t xml:space="preserve"> was non-inferior to </w:t>
      </w:r>
      <w:r>
        <w:t>a single dose of</w:t>
      </w:r>
      <w:r w:rsidRPr="00632856">
        <w:t xml:space="preserve"> </w:t>
      </w:r>
      <w:proofErr w:type="spellStart"/>
      <w:r w:rsidR="00E72441">
        <w:t>Menactra</w:t>
      </w:r>
      <w:proofErr w:type="spellEnd"/>
      <w:r w:rsidRPr="00632856">
        <w:t xml:space="preserve"> </w:t>
      </w:r>
      <w:r>
        <w:t xml:space="preserve">overall with respect to </w:t>
      </w:r>
      <w:r w:rsidRPr="00E85C24">
        <w:t xml:space="preserve">percentages of subjects with </w:t>
      </w:r>
      <w:proofErr w:type="spellStart"/>
      <w:r w:rsidRPr="00E85C24">
        <w:t>hSBA</w:t>
      </w:r>
      <w:proofErr w:type="spellEnd"/>
      <w:r w:rsidRPr="00E85C24">
        <w:t xml:space="preserve"> </w:t>
      </w:r>
      <w:r w:rsidR="00B07393">
        <w:t xml:space="preserve">≥ </w:t>
      </w:r>
      <w:r>
        <w:t>1:8, but</w:t>
      </w:r>
      <w:r w:rsidRPr="00632856">
        <w:t xml:space="preserve"> non-inferiority could not be demonstrated</w:t>
      </w:r>
      <w:r>
        <w:t xml:space="preserve"> for serotype A</w:t>
      </w:r>
      <w:r w:rsidRPr="00632856">
        <w:t xml:space="preserve"> in the 2-5 </w:t>
      </w:r>
      <w:r>
        <w:t>years old and the 6-10 old</w:t>
      </w:r>
      <w:r w:rsidRPr="00632856">
        <w:t xml:space="preserve"> age st</w:t>
      </w:r>
      <w:r>
        <w:t>rata separately. The results for serotypes C, W and Y were equivalent or better, although a 2</w:t>
      </w:r>
      <w:r w:rsidRPr="00034293">
        <w:rPr>
          <w:vertAlign w:val="superscript"/>
        </w:rPr>
        <w:t>nd</w:t>
      </w:r>
      <w:r>
        <w:t xml:space="preserve"> dose of </w:t>
      </w:r>
      <w:proofErr w:type="spellStart"/>
      <w:r w:rsidR="00AA10D9">
        <w:t>Menveo</w:t>
      </w:r>
      <w:proofErr w:type="spellEnd"/>
      <w:r>
        <w:t xml:space="preserve"> 2 months later in </w:t>
      </w:r>
      <w:proofErr w:type="spellStart"/>
      <w:r w:rsidR="00AA10D9">
        <w:t>Menveo</w:t>
      </w:r>
      <w:proofErr w:type="spellEnd"/>
      <w:r>
        <w:t xml:space="preserve"> group resulted in a much stronger immune response.</w:t>
      </w:r>
    </w:p>
    <w:p w14:paraId="4104A23C" w14:textId="77777777" w:rsidR="00A3412C" w:rsidRPr="0086582E" w:rsidRDefault="000E0284" w:rsidP="00C13965">
      <w:pPr>
        <w:ind w:left="425"/>
      </w:pPr>
      <w:r>
        <w:t>The s</w:t>
      </w:r>
      <w:r w:rsidR="00A3412C" w:rsidRPr="00632856">
        <w:t>ponsor has been</w:t>
      </w:r>
      <w:r w:rsidR="00A3412C">
        <w:t xml:space="preserve"> requested to clarify the type</w:t>
      </w:r>
      <w:r w:rsidR="00A3412C" w:rsidRPr="00632856">
        <w:t xml:space="preserve"> of </w:t>
      </w:r>
      <w:proofErr w:type="spellStart"/>
      <w:r w:rsidR="00E72441">
        <w:t>Menactra</w:t>
      </w:r>
      <w:proofErr w:type="spellEnd"/>
      <w:r w:rsidR="00A3412C" w:rsidRPr="00632856">
        <w:t xml:space="preserve"> formulation</w:t>
      </w:r>
      <w:r w:rsidR="00A3412C">
        <w:t xml:space="preserve"> (polysaccharide or conjugate)</w:t>
      </w:r>
      <w:r w:rsidR="00A3412C" w:rsidRPr="00632856">
        <w:t xml:space="preserve"> that was used in this study.</w:t>
      </w:r>
      <w:r w:rsidR="00A3412C">
        <w:t xml:space="preserve"> Longer term persistence data</w:t>
      </w:r>
      <w:r w:rsidR="00A3412C" w:rsidRPr="0086582E">
        <w:t xml:space="preserve"> </w:t>
      </w:r>
      <w:r w:rsidR="00A3412C">
        <w:t>(5 years) following one dose (</w:t>
      </w:r>
      <w:r w:rsidR="006571F8">
        <w:t>Study V59</w:t>
      </w:r>
      <w:r w:rsidR="00A3412C">
        <w:t xml:space="preserve">P20E1) </w:t>
      </w:r>
      <w:r w:rsidR="00A3412C" w:rsidRPr="0086582E">
        <w:t>is proposed for inclusion in the Aust</w:t>
      </w:r>
      <w:r w:rsidR="00A3412C">
        <w:t xml:space="preserve">ralian PI, which reports that </w:t>
      </w:r>
      <w:r w:rsidR="00A3412C" w:rsidRPr="00E85C24">
        <w:t xml:space="preserve">percentages of subjects with </w:t>
      </w:r>
      <w:proofErr w:type="spellStart"/>
      <w:r w:rsidR="00A3412C" w:rsidRPr="00E85C24">
        <w:t>hSBA</w:t>
      </w:r>
      <w:proofErr w:type="spellEnd"/>
      <w:r w:rsidR="00A3412C" w:rsidRPr="00E85C24">
        <w:t xml:space="preserve"> </w:t>
      </w:r>
      <w:r w:rsidR="00B07393">
        <w:t xml:space="preserve">≥ </w:t>
      </w:r>
      <w:r w:rsidR="00A3412C">
        <w:t xml:space="preserve">1:8 was 32% </w:t>
      </w:r>
      <w:r w:rsidR="00517EB6">
        <w:t>and</w:t>
      </w:r>
      <w:r w:rsidR="00A3412C" w:rsidRPr="00E85C24">
        <w:t xml:space="preserve"> 56% against serogroup C</w:t>
      </w:r>
      <w:r w:rsidR="00A3412C">
        <w:t xml:space="preserve">, </w:t>
      </w:r>
      <w:r w:rsidR="00A3412C" w:rsidRPr="00E85C24">
        <w:t>7</w:t>
      </w:r>
      <w:r w:rsidR="00A3412C">
        <w:t xml:space="preserve">4% </w:t>
      </w:r>
      <w:r w:rsidR="00517EB6">
        <w:t>and</w:t>
      </w:r>
      <w:r w:rsidR="00A3412C">
        <w:t xml:space="preserve"> 80% against serogroup W and </w:t>
      </w:r>
      <w:r w:rsidR="00A3412C" w:rsidRPr="00E85C24">
        <w:t>4</w:t>
      </w:r>
      <w:r w:rsidR="00A3412C">
        <w:t xml:space="preserve">8% </w:t>
      </w:r>
      <w:r w:rsidR="00517EB6">
        <w:t>and</w:t>
      </w:r>
      <w:r w:rsidR="00A3412C">
        <w:t xml:space="preserve"> 53% against serogroup Y in age groups 2-5 years and 6-10 years respectively. For serogroup A, 14% </w:t>
      </w:r>
      <w:r w:rsidR="00517EB6">
        <w:t>and</w:t>
      </w:r>
      <w:r w:rsidR="00A3412C" w:rsidRPr="00E85C24">
        <w:t xml:space="preserve"> 22% of subjects </w:t>
      </w:r>
      <w:r w:rsidR="00A3412C">
        <w:t xml:space="preserve">in </w:t>
      </w:r>
      <w:r w:rsidR="00A3412C" w:rsidRPr="00E85C24">
        <w:t xml:space="preserve">2-5 and 6-10 years of age </w:t>
      </w:r>
      <w:r w:rsidR="00A3412C">
        <w:t>groups respectively</w:t>
      </w:r>
      <w:r w:rsidR="00A3412C" w:rsidRPr="00E85C24">
        <w:t xml:space="preserve"> had </w:t>
      </w:r>
      <w:proofErr w:type="spellStart"/>
      <w:r w:rsidR="00A3412C" w:rsidRPr="00E85C24">
        <w:t>hSBA</w:t>
      </w:r>
      <w:proofErr w:type="spellEnd"/>
      <w:r w:rsidR="00A3412C" w:rsidRPr="00E85C24">
        <w:t xml:space="preserve"> </w:t>
      </w:r>
      <w:r w:rsidR="00B07393">
        <w:t xml:space="preserve">≥ </w:t>
      </w:r>
      <w:r>
        <w:t>1:8. The s</w:t>
      </w:r>
      <w:r w:rsidR="00A3412C">
        <w:t>ponsor is requested to include of a summary of long-term persistence data from this study in its Pre-ACV response by primary doses (1 or 2) and by booster where relevant.</w:t>
      </w:r>
    </w:p>
    <w:p w14:paraId="69D0B36F" w14:textId="77777777" w:rsidR="00A3412C" w:rsidRDefault="00A3412C" w:rsidP="000E0284">
      <w:pPr>
        <w:pStyle w:val="Numberbullet0"/>
      </w:pPr>
      <w:r>
        <w:t xml:space="preserve">In terms of safety, specifically with respect to the </w:t>
      </w:r>
      <w:r w:rsidR="00306FB2">
        <w:t>4 dose</w:t>
      </w:r>
      <w:r>
        <w:t xml:space="preserve"> series proposed in infants, attention of the ACV is brought to the reported imbalance in incidence of deaths, Kawasaki Disease and Bell’s palsy in association with </w:t>
      </w:r>
      <w:proofErr w:type="spellStart"/>
      <w:r w:rsidR="00AA10D9">
        <w:t>Menveo</w:t>
      </w:r>
      <w:proofErr w:type="spellEnd"/>
      <w:r>
        <w:t xml:space="preserve"> and routine infant/toddler vaccines. A small degree of immune response interference, of undefined significance, for the latter vaccines (pneumococcal/pertussis) was also noted.</w:t>
      </w:r>
    </w:p>
    <w:p w14:paraId="068088C9" w14:textId="77777777" w:rsidR="00A3412C" w:rsidRDefault="00A3412C" w:rsidP="00C13965">
      <w:pPr>
        <w:ind w:left="425"/>
      </w:pPr>
      <w:r>
        <w:t>None of the deaths were considered causally-related to the study vaccines. However, causality is not an issue in the presence of controlled data and any imbalance in deaths (and other serious outcomes) in vaccine trials in healthy infants requir</w:t>
      </w:r>
      <w:r w:rsidR="007F4D43">
        <w:t>e</w:t>
      </w:r>
      <w:r>
        <w:t xml:space="preserve"> further explanation.</w:t>
      </w:r>
    </w:p>
    <w:p w14:paraId="0C0C4A3C" w14:textId="77777777" w:rsidR="00A3412C" w:rsidRDefault="000E0284" w:rsidP="00C13965">
      <w:pPr>
        <w:ind w:left="425"/>
      </w:pPr>
      <w:r>
        <w:lastRenderedPageBreak/>
        <w:t xml:space="preserve">The Delegate does </w:t>
      </w:r>
      <w:r w:rsidR="00A3412C">
        <w:t xml:space="preserve">note different exposures in the two groups (nearly 3 times more follow up in </w:t>
      </w:r>
      <w:proofErr w:type="spellStart"/>
      <w:r w:rsidR="00AA10D9">
        <w:t>Menveo</w:t>
      </w:r>
      <w:proofErr w:type="spellEnd"/>
      <w:r w:rsidR="00A3412C">
        <w:t xml:space="preserve"> groups than for control groups). Absence of deaths in the </w:t>
      </w:r>
      <w:r w:rsidR="006571F8">
        <w:t>Study V59</w:t>
      </w:r>
      <w:r w:rsidR="00A3412C">
        <w:t>_33 is also noted. The burden of disease in &lt;1 years of age group is also acknowledged:</w:t>
      </w:r>
    </w:p>
    <w:p w14:paraId="4E8890A6" w14:textId="77777777" w:rsidR="000E0284" w:rsidRDefault="000E0284" w:rsidP="000E0284">
      <w:pPr>
        <w:pStyle w:val="FigureTitle"/>
      </w:pPr>
      <w:r>
        <w:t xml:space="preserve">Figure 1: Age specific notifications and rate </w:t>
      </w:r>
      <w:proofErr w:type="spellStart"/>
      <w:r>
        <w:t>MenW</w:t>
      </w:r>
      <w:proofErr w:type="spellEnd"/>
      <w:r>
        <w:t xml:space="preserve"> notifications Australia 2012-2017 YTD</w:t>
      </w:r>
    </w:p>
    <w:p w14:paraId="68221AA0" w14:textId="77777777" w:rsidR="00A3412C" w:rsidRDefault="00A3412C" w:rsidP="00A3412C">
      <w:pPr>
        <w:pStyle w:val="ListParagraph"/>
        <w:ind w:left="0"/>
        <w:jc w:val="center"/>
        <w:rPr>
          <w:rFonts w:asciiTheme="minorHAnsi" w:hAnsiTheme="minorHAnsi"/>
          <w:szCs w:val="22"/>
        </w:rPr>
      </w:pPr>
      <w:r>
        <w:rPr>
          <w:rFonts w:asciiTheme="minorHAnsi" w:hAnsiTheme="minorHAnsi"/>
          <w:noProof/>
          <w:szCs w:val="22"/>
        </w:rPr>
        <w:drawing>
          <wp:inline distT="0" distB="0" distL="0" distR="0" wp14:anchorId="6D6B372D" wp14:editId="4530BB93">
            <wp:extent cx="5179806" cy="2456953"/>
            <wp:effectExtent l="0" t="0" r="1905" b="635"/>
            <wp:docPr id="11" name="Picture 11" descr="Figure 1: Age specific notifications and rate MenW notifications Australia 2012-2017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t="7485"/>
                    <a:stretch/>
                  </pic:blipFill>
                  <pic:spPr bwMode="auto">
                    <a:xfrm>
                      <a:off x="0" y="0"/>
                      <a:ext cx="5187740" cy="2460717"/>
                    </a:xfrm>
                    <a:prstGeom prst="rect">
                      <a:avLst/>
                    </a:prstGeom>
                    <a:noFill/>
                    <a:ln>
                      <a:noFill/>
                    </a:ln>
                    <a:extLst>
                      <a:ext uri="{53640926-AAD7-44D8-BBD7-CCE9431645EC}">
                        <a14:shadowObscured xmlns:a14="http://schemas.microsoft.com/office/drawing/2010/main"/>
                      </a:ext>
                    </a:extLst>
                  </pic:spPr>
                </pic:pic>
              </a:graphicData>
            </a:graphic>
          </wp:inline>
        </w:drawing>
      </w:r>
    </w:p>
    <w:p w14:paraId="7F6462A8" w14:textId="77777777" w:rsidR="00A3412C" w:rsidRPr="00B0489A" w:rsidRDefault="00A3412C" w:rsidP="000E0284">
      <w:pPr>
        <w:pStyle w:val="FigureDescription"/>
      </w:pPr>
      <w:r w:rsidRPr="00B0489A">
        <w:t>(Department of Health, Invasive Meningococcal Disease National Surveillance Report)</w:t>
      </w:r>
    </w:p>
    <w:p w14:paraId="4929D4DF" w14:textId="77777777" w:rsidR="00A3412C" w:rsidRDefault="00A3412C" w:rsidP="00D23139">
      <w:pPr>
        <w:pStyle w:val="Heading4"/>
      </w:pPr>
      <w:r>
        <w:t>Summary of issues</w:t>
      </w:r>
    </w:p>
    <w:p w14:paraId="64D84301" w14:textId="77777777" w:rsidR="00A3412C" w:rsidRDefault="00A3412C" w:rsidP="007F4D43">
      <w:pPr>
        <w:pStyle w:val="ListBullet"/>
      </w:pPr>
      <w:r>
        <w:t xml:space="preserve">Risk/Benefit of </w:t>
      </w:r>
      <w:r w:rsidR="00306FB2">
        <w:t>4 dose</w:t>
      </w:r>
      <w:r>
        <w:t xml:space="preserve"> infant schedule.</w:t>
      </w:r>
    </w:p>
    <w:p w14:paraId="578F6EF4" w14:textId="77777777" w:rsidR="00A3412C" w:rsidRPr="00A3412C" w:rsidRDefault="00A3412C" w:rsidP="007F4D43">
      <w:pPr>
        <w:pStyle w:val="ListBullet"/>
      </w:pPr>
      <w:r>
        <w:t xml:space="preserve">Adequacy of single dose schedule in </w:t>
      </w:r>
      <w:r w:rsidR="00746C7F">
        <w:t>2 to 10</w:t>
      </w:r>
      <w:r>
        <w:t xml:space="preserve"> years of age group.</w:t>
      </w:r>
    </w:p>
    <w:p w14:paraId="34A06E91" w14:textId="77777777" w:rsidR="00D23139" w:rsidRDefault="00D23139" w:rsidP="00D23139">
      <w:pPr>
        <w:pStyle w:val="Heading4"/>
      </w:pPr>
      <w:r w:rsidRPr="00D23139">
        <w:t>Proposed action</w:t>
      </w:r>
    </w:p>
    <w:p w14:paraId="09BE880C" w14:textId="77777777" w:rsidR="00A3412C" w:rsidRDefault="00A3412C" w:rsidP="00C13965">
      <w:r>
        <w:t xml:space="preserve">The data support the use of </w:t>
      </w:r>
      <w:r w:rsidR="00306FB2">
        <w:t>2 dose</w:t>
      </w:r>
      <w:r>
        <w:t xml:space="preserve"> </w:t>
      </w:r>
      <w:proofErr w:type="spellStart"/>
      <w:r w:rsidR="00AA10D9">
        <w:t>Menveo</w:t>
      </w:r>
      <w:proofErr w:type="spellEnd"/>
      <w:r>
        <w:t xml:space="preserve"> vaccination schedule in infants (Dose 1 at 7 months of age, Dose 2 in 2</w:t>
      </w:r>
      <w:r w:rsidRPr="001A7AFC">
        <w:rPr>
          <w:vertAlign w:val="superscript"/>
        </w:rPr>
        <w:t>nd</w:t>
      </w:r>
      <w:r>
        <w:t xml:space="preserve"> year of life). This may be considered a primary or alternative ACWY vaccination strategy in infants rather than a catch-up schedule in unvaccinated infants.</w:t>
      </w:r>
    </w:p>
    <w:p w14:paraId="6D75DFE4" w14:textId="77777777" w:rsidR="00D23139" w:rsidRDefault="00D23139" w:rsidP="00D23139">
      <w:pPr>
        <w:pStyle w:val="Heading4"/>
      </w:pPr>
      <w:r w:rsidRPr="00D23139">
        <w:t>Request for AC</w:t>
      </w:r>
      <w:r w:rsidR="00A3412C">
        <w:t>V</w:t>
      </w:r>
      <w:r w:rsidRPr="00D23139">
        <w:t xml:space="preserve"> advice</w:t>
      </w:r>
    </w:p>
    <w:p w14:paraId="5E1B1C1F" w14:textId="77777777" w:rsidR="00A3412C" w:rsidRPr="001A04F3" w:rsidRDefault="00A3412C" w:rsidP="00A3412C">
      <w:pPr>
        <w:spacing w:before="60" w:after="60"/>
      </w:pPr>
      <w:r>
        <w:t>The ACV</w:t>
      </w:r>
      <w:r w:rsidRPr="001A04F3">
        <w:t xml:space="preserve"> is requested to provide advice on the following specific issues:</w:t>
      </w:r>
    </w:p>
    <w:p w14:paraId="5112B97C" w14:textId="77777777" w:rsidR="00A3412C" w:rsidRPr="001A04F3" w:rsidRDefault="00A3412C" w:rsidP="00C13965">
      <w:pPr>
        <w:pStyle w:val="Numberbullet0"/>
        <w:numPr>
          <w:ilvl w:val="0"/>
          <w:numId w:val="43"/>
        </w:numPr>
      </w:pPr>
      <w:r>
        <w:t xml:space="preserve">Advice is requested from the ACV regarding Risk/Benefit of the proposed </w:t>
      </w:r>
      <w:r w:rsidR="00306FB2">
        <w:t>4 dose</w:t>
      </w:r>
      <w:r>
        <w:t xml:space="preserve"> infant schedule (2, 4, 6 and 12-16 months of age).</w:t>
      </w:r>
    </w:p>
    <w:p w14:paraId="5662BD49" w14:textId="77777777" w:rsidR="00A3412C" w:rsidRPr="001A04F3" w:rsidRDefault="00A3412C" w:rsidP="00C13965">
      <w:pPr>
        <w:pStyle w:val="Numberbullet0"/>
        <w:numPr>
          <w:ilvl w:val="0"/>
          <w:numId w:val="43"/>
        </w:numPr>
      </w:pPr>
      <w:r>
        <w:t xml:space="preserve">Advice is requested from the ACV of the suitability of a </w:t>
      </w:r>
      <w:r w:rsidR="00306FB2">
        <w:t>2 dose</w:t>
      </w:r>
      <w:r>
        <w:t xml:space="preserve"> schedule based on the </w:t>
      </w:r>
      <w:r w:rsidR="00306FB2">
        <w:t>2 dose</w:t>
      </w:r>
      <w:r>
        <w:t xml:space="preserve"> data in the </w:t>
      </w:r>
      <w:r w:rsidR="006571F8">
        <w:t>Study V59</w:t>
      </w:r>
      <w:r>
        <w:t>V20.</w:t>
      </w:r>
    </w:p>
    <w:p w14:paraId="63FF1FFC" w14:textId="77777777" w:rsidR="00F74342" w:rsidRDefault="00A3412C" w:rsidP="00A3412C">
      <w:r>
        <w:t>The C</w:t>
      </w:r>
      <w:r w:rsidRPr="001A04F3">
        <w:t>ommittee is also requested to provide advice on any other issues that it thinks may be relevant to a decision on whether or not to approve this application</w:t>
      </w:r>
      <w:r w:rsidR="00F74342">
        <w:t>.</w:t>
      </w:r>
    </w:p>
    <w:p w14:paraId="38E10A0A" w14:textId="12FBE14E" w:rsidR="00A3412C" w:rsidRPr="00A3412C" w:rsidRDefault="007F4D43" w:rsidP="00A3412C">
      <w:r>
        <w:rPr>
          <w:rFonts w:asciiTheme="minorHAnsi" w:hAnsiTheme="minorHAnsi"/>
        </w:rPr>
        <w:t>This Overview was s</w:t>
      </w:r>
      <w:r w:rsidR="00A3412C">
        <w:rPr>
          <w:rFonts w:asciiTheme="minorHAnsi" w:hAnsiTheme="minorHAnsi"/>
        </w:rPr>
        <w:t>ubmitted for advice from the ACV.</w:t>
      </w:r>
    </w:p>
    <w:p w14:paraId="2C4AFBC6" w14:textId="77777777" w:rsidR="00D23139" w:rsidRDefault="00D23139" w:rsidP="00D23139">
      <w:pPr>
        <w:pStyle w:val="Heading4"/>
      </w:pPr>
      <w:r w:rsidRPr="00D23139">
        <w:t xml:space="preserve">Response from Sponsor </w:t>
      </w:r>
    </w:p>
    <w:p w14:paraId="53A9A21C" w14:textId="77777777" w:rsidR="000448E6" w:rsidRPr="00002E81" w:rsidRDefault="000448E6" w:rsidP="00002E81">
      <w:pPr>
        <w:pStyle w:val="BodyText"/>
        <w:kinsoku w:val="0"/>
        <w:overflowPunct w:val="0"/>
        <w:spacing w:before="4"/>
        <w:ind w:left="0"/>
        <w:rPr>
          <w:rStyle w:val="Heading5Char"/>
          <w:rFonts w:eastAsiaTheme="minorEastAsia"/>
        </w:rPr>
      </w:pPr>
      <w:r w:rsidRPr="00002E81">
        <w:rPr>
          <w:rStyle w:val="Heading5Char"/>
          <w:rFonts w:eastAsiaTheme="minorEastAsia"/>
        </w:rPr>
        <w:t>Executive Summary</w:t>
      </w:r>
    </w:p>
    <w:p w14:paraId="2DBCFB71" w14:textId="77777777" w:rsidR="000448E6" w:rsidRPr="00823C10" w:rsidRDefault="000448E6" w:rsidP="00002E81">
      <w:r>
        <w:t xml:space="preserve">In consultation with the Office of Health Protection in the Commonwealth Department of Health and in light of the current public health environment surrounding meningococcal </w:t>
      </w:r>
      <w:r>
        <w:lastRenderedPageBreak/>
        <w:t xml:space="preserve">disease, GSK is applying for registration of </w:t>
      </w:r>
      <w:proofErr w:type="spellStart"/>
      <w:r w:rsidR="00AA10D9">
        <w:t>Menveo</w:t>
      </w:r>
      <w:proofErr w:type="spellEnd"/>
      <w:r>
        <w:t xml:space="preserve"> for use in infants 2 months </w:t>
      </w:r>
      <w:r w:rsidR="00002E81">
        <w:t>old</w:t>
      </w:r>
      <w:r>
        <w:t xml:space="preserve"> and over and children </w:t>
      </w:r>
      <w:r w:rsidR="00746C7F">
        <w:t>2 to 10</w:t>
      </w:r>
      <w:r>
        <w:t xml:space="preserve"> </w:t>
      </w:r>
      <w:r w:rsidRPr="00823C10">
        <w:t>years. GSK and the TGA have cooperated to bring this application before the ACV in an expedited</w:t>
      </w:r>
      <w:r w:rsidR="00B07393" w:rsidRPr="00823C10">
        <w:t xml:space="preserve"> </w:t>
      </w:r>
      <w:r w:rsidRPr="00823C10">
        <w:t>timeframe.</w:t>
      </w:r>
    </w:p>
    <w:p w14:paraId="4606EDC6" w14:textId="77777777" w:rsidR="000448E6" w:rsidRPr="00823C10" w:rsidRDefault="000448E6" w:rsidP="00002E81">
      <w:pPr>
        <w:pStyle w:val="ListBullet"/>
      </w:pPr>
      <w:r w:rsidRPr="00823C10">
        <w:t>According to the Invasive Meningococcal Disease National Surveillance Report published in 2017</w:t>
      </w:r>
      <w:r w:rsidR="00823C10" w:rsidRPr="00823C10">
        <w:rPr>
          <w:rStyle w:val="FootnoteReference"/>
        </w:rPr>
        <w:footnoteReference w:id="3"/>
      </w:r>
      <w:r w:rsidRPr="00823C10">
        <w:t xml:space="preserve">, serogroup W followed by B are now the most common cause of invasive meningococcal disease in Australia. There are currently conjugated </w:t>
      </w:r>
      <w:proofErr w:type="spellStart"/>
      <w:r w:rsidRPr="00823C10">
        <w:t>MenACWY</w:t>
      </w:r>
      <w:proofErr w:type="spellEnd"/>
      <w:r w:rsidRPr="00823C10">
        <w:t xml:space="preserve"> vaccines registered for use in children 2 years and above, however, none are registered for use in infants who are at the greatest risk of invasive meningococcal disease, with a notification rate up to 10 times higher than the national</w:t>
      </w:r>
      <w:r w:rsidR="00B07393" w:rsidRPr="00823C10">
        <w:t xml:space="preserve"> </w:t>
      </w:r>
      <w:r w:rsidRPr="00823C10">
        <w:t>average.</w:t>
      </w:r>
      <w:bookmarkStart w:id="140" w:name="_Ref499212264"/>
      <w:r w:rsidR="00823C10" w:rsidRPr="00823C10">
        <w:rPr>
          <w:rStyle w:val="FootnoteReference"/>
        </w:rPr>
        <w:footnoteReference w:id="4"/>
      </w:r>
      <w:bookmarkEnd w:id="140"/>
    </w:p>
    <w:p w14:paraId="12DCA8F6" w14:textId="77777777" w:rsidR="000448E6" w:rsidRPr="00823C10" w:rsidRDefault="00002E81" w:rsidP="00002E81">
      <w:pPr>
        <w:pStyle w:val="ListBullet"/>
      </w:pPr>
      <w:r w:rsidRPr="00823C10">
        <w:t>A</w:t>
      </w:r>
      <w:r w:rsidR="000448E6" w:rsidRPr="00823C10">
        <w:rPr>
          <w:spacing w:val="-7"/>
        </w:rPr>
        <w:t xml:space="preserve"> </w:t>
      </w:r>
      <w:r w:rsidR="000448E6" w:rsidRPr="00823C10">
        <w:t>recognised</w:t>
      </w:r>
      <w:r w:rsidR="000448E6" w:rsidRPr="00823C10">
        <w:rPr>
          <w:spacing w:val="-6"/>
        </w:rPr>
        <w:t xml:space="preserve"> </w:t>
      </w:r>
      <w:r w:rsidR="000448E6" w:rsidRPr="00823C10">
        <w:t>Australian</w:t>
      </w:r>
      <w:r w:rsidR="000448E6" w:rsidRPr="00823C10">
        <w:rPr>
          <w:spacing w:val="-7"/>
        </w:rPr>
        <w:t xml:space="preserve"> </w:t>
      </w:r>
      <w:r w:rsidR="000448E6" w:rsidRPr="00823C10">
        <w:t>expert</w:t>
      </w:r>
      <w:r w:rsidR="000448E6" w:rsidRPr="00823C10">
        <w:rPr>
          <w:spacing w:val="-7"/>
        </w:rPr>
        <w:t xml:space="preserve"> </w:t>
      </w:r>
      <w:r w:rsidR="000448E6" w:rsidRPr="00823C10">
        <w:t>in</w:t>
      </w:r>
      <w:r w:rsidR="000448E6" w:rsidRPr="00823C10">
        <w:rPr>
          <w:spacing w:val="-6"/>
        </w:rPr>
        <w:t xml:space="preserve"> </w:t>
      </w:r>
      <w:r w:rsidR="000448E6" w:rsidRPr="00823C10">
        <w:t>paediatric</w:t>
      </w:r>
      <w:r w:rsidR="000448E6" w:rsidRPr="00823C10">
        <w:rPr>
          <w:spacing w:val="-7"/>
        </w:rPr>
        <w:t xml:space="preserve"> </w:t>
      </w:r>
      <w:r w:rsidR="000448E6" w:rsidRPr="00823C10">
        <w:t>meningococcal</w:t>
      </w:r>
      <w:r w:rsidR="000448E6" w:rsidRPr="00823C10">
        <w:rPr>
          <w:spacing w:val="-9"/>
        </w:rPr>
        <w:t xml:space="preserve"> </w:t>
      </w:r>
      <w:r w:rsidR="000448E6" w:rsidRPr="00823C10">
        <w:t xml:space="preserve">disease supports the medical need for vaccination of infants and children against meningococcal serotypes ACWY and hence </w:t>
      </w:r>
      <w:r w:rsidRPr="00823C10">
        <w:t>supports GSKs application</w:t>
      </w:r>
      <w:r w:rsidR="000448E6" w:rsidRPr="00823C10">
        <w:t>.</w:t>
      </w:r>
    </w:p>
    <w:p w14:paraId="364AABA7" w14:textId="77777777" w:rsidR="000448E6" w:rsidRDefault="000448E6" w:rsidP="00002E81">
      <w:r>
        <w:t xml:space="preserve">GSK supports the clinical evaluator’s recommendation to register </w:t>
      </w:r>
      <w:proofErr w:type="spellStart"/>
      <w:r w:rsidR="00AA10D9">
        <w:t>Menveo</w:t>
      </w:r>
      <w:proofErr w:type="spellEnd"/>
      <w:r>
        <w:t xml:space="preserve"> for use in infants and children. GSK also welcomes the Delegate’s preliminary assessment that the </w:t>
      </w:r>
      <w:r w:rsidR="00306FB2">
        <w:t>2 dose</w:t>
      </w:r>
      <w:r>
        <w:t xml:space="preserve"> </w:t>
      </w:r>
      <w:proofErr w:type="spellStart"/>
      <w:r w:rsidR="00AA10D9">
        <w:t>Menveo</w:t>
      </w:r>
      <w:proofErr w:type="spellEnd"/>
      <w:r>
        <w:t xml:space="preserve"> vaccination schedule at 7 months and 12 months of age is supported, and acknowledges the advice being sought on GSK’s proposed 4 dose primary schedule in infants from 2 to 6 months of age and single dose schedule in children 2 -10 years of</w:t>
      </w:r>
      <w:r>
        <w:rPr>
          <w:spacing w:val="19"/>
        </w:rPr>
        <w:t xml:space="preserve"> </w:t>
      </w:r>
      <w:r>
        <w:t>age.</w:t>
      </w:r>
    </w:p>
    <w:p w14:paraId="69A7E7AD" w14:textId="77777777" w:rsidR="000448E6" w:rsidRDefault="000448E6" w:rsidP="00002E81">
      <w:r>
        <w:t xml:space="preserve">GSKs application aligns with the registered use of </w:t>
      </w:r>
      <w:proofErr w:type="spellStart"/>
      <w:r w:rsidR="00AA10D9">
        <w:t>Menveo</w:t>
      </w:r>
      <w:proofErr w:type="spellEnd"/>
      <w:r>
        <w:t xml:space="preserve"> in the US (since 2013), Canada (since 2014), Singapore (since 2014) and many other countries</w:t>
      </w:r>
      <w:r>
        <w:rPr>
          <w:spacing w:val="52"/>
        </w:rPr>
        <w:t xml:space="preserve"> </w:t>
      </w:r>
      <w:r>
        <w:t>worldwide.</w:t>
      </w:r>
    </w:p>
    <w:p w14:paraId="696FD906" w14:textId="77777777" w:rsidR="000448E6" w:rsidRDefault="000448E6" w:rsidP="00002E81">
      <w:pPr>
        <w:pStyle w:val="Heading5"/>
      </w:pPr>
      <w:r>
        <w:t>Pivotal Clinical Studies in infants 2 months – 23</w:t>
      </w:r>
      <w:r w:rsidR="00B07393">
        <w:t xml:space="preserve"> </w:t>
      </w:r>
      <w:r>
        <w:t>months</w:t>
      </w:r>
    </w:p>
    <w:p w14:paraId="02E59AB8" w14:textId="77777777" w:rsidR="000448E6" w:rsidRDefault="000448E6" w:rsidP="00002E81">
      <w:pPr>
        <w:pStyle w:val="ListBullet"/>
      </w:pPr>
      <w:r>
        <w:t xml:space="preserve">Supports a 4 dose vaccination schedule in infants with the primary 3-dose series at 2, 4 and 6 months demonstrating a robust immune response against all 4 serogroups 1 month after the </w:t>
      </w:r>
      <w:r w:rsidR="00002E81">
        <w:t>third</w:t>
      </w:r>
      <w:r w:rsidR="00B07393">
        <w:t xml:space="preserve"> </w:t>
      </w:r>
      <w:r>
        <w:t>vaccination.</w:t>
      </w:r>
    </w:p>
    <w:p w14:paraId="3D6D28A9" w14:textId="77777777" w:rsidR="000448E6" w:rsidRDefault="000448E6" w:rsidP="00002E81">
      <w:pPr>
        <w:pStyle w:val="ListBullet"/>
      </w:pPr>
      <w:r>
        <w:t xml:space="preserve">The fourth dose of </w:t>
      </w:r>
      <w:proofErr w:type="spellStart"/>
      <w:r w:rsidR="00AA10D9">
        <w:t>Menveo</w:t>
      </w:r>
      <w:proofErr w:type="spellEnd"/>
      <w:r>
        <w:t xml:space="preserve"> given at 12 or 16 months of age induced a robust increase in antibody titres to a greater degree than seen after the primary vaccination</w:t>
      </w:r>
      <w:r w:rsidR="00B07393">
        <w:t xml:space="preserve"> </w:t>
      </w:r>
      <w:r>
        <w:t>series.</w:t>
      </w:r>
    </w:p>
    <w:p w14:paraId="1FBDAE7F" w14:textId="77777777" w:rsidR="000448E6" w:rsidRDefault="000448E6" w:rsidP="00002E81">
      <w:pPr>
        <w:pStyle w:val="ListBullet"/>
      </w:pPr>
      <w:r>
        <w:t>The clinical studies also support a catch up 2 dose series for infants not vaccinated in the first six months of</w:t>
      </w:r>
      <w:r>
        <w:rPr>
          <w:spacing w:val="3"/>
        </w:rPr>
        <w:t xml:space="preserve"> </w:t>
      </w:r>
      <w:r>
        <w:t>life.</w:t>
      </w:r>
    </w:p>
    <w:p w14:paraId="4ADBF31C" w14:textId="77777777" w:rsidR="000448E6" w:rsidRDefault="000448E6" w:rsidP="00002E81">
      <w:pPr>
        <w:pStyle w:val="ListBullet"/>
      </w:pPr>
      <w:r>
        <w:t>Optimum protection in the first year of life is not provided by the 2 dose schedule (see GSK position below)</w:t>
      </w:r>
    </w:p>
    <w:p w14:paraId="730A631E" w14:textId="77777777" w:rsidR="000448E6" w:rsidRDefault="007F4D43" w:rsidP="00002E81">
      <w:pPr>
        <w:pStyle w:val="ListBullet"/>
      </w:pPr>
      <w:r>
        <w:t>The sponsor</w:t>
      </w:r>
      <w:r w:rsidR="000448E6">
        <w:t xml:space="preserve"> believes that registration of both the primary 4 dose</w:t>
      </w:r>
      <w:r>
        <w:t>s</w:t>
      </w:r>
      <w:r w:rsidR="000448E6">
        <w:t xml:space="preserve"> and catch up 2 dose schedules for infants provide immunisation flexibility for the prescribing</w:t>
      </w:r>
      <w:r w:rsidR="000448E6">
        <w:rPr>
          <w:spacing w:val="55"/>
        </w:rPr>
        <w:t xml:space="preserve"> </w:t>
      </w:r>
      <w:r w:rsidR="000448E6">
        <w:t>physician.</w:t>
      </w:r>
    </w:p>
    <w:p w14:paraId="70896FF4" w14:textId="77777777" w:rsidR="000448E6" w:rsidRDefault="000448E6" w:rsidP="00002E81">
      <w:pPr>
        <w:pStyle w:val="Heading5"/>
      </w:pPr>
      <w:r>
        <w:t xml:space="preserve">Pivotal Studies in children </w:t>
      </w:r>
      <w:r w:rsidR="00746C7F">
        <w:t>2 to 10</w:t>
      </w:r>
      <w:r>
        <w:t xml:space="preserve"> years of age</w:t>
      </w:r>
    </w:p>
    <w:p w14:paraId="6398DFCC" w14:textId="77777777" w:rsidR="000448E6" w:rsidRDefault="000448E6" w:rsidP="00002E81">
      <w:pPr>
        <w:pStyle w:val="ListBullet"/>
      </w:pPr>
      <w:r>
        <w:t xml:space="preserve">Demonstrates non inferiority to </w:t>
      </w:r>
      <w:proofErr w:type="spellStart"/>
      <w:r>
        <w:t>Menactra</w:t>
      </w:r>
      <w:proofErr w:type="spellEnd"/>
      <w:r>
        <w:t xml:space="preserve"> (registered in Australia for use in this age</w:t>
      </w:r>
      <w:r w:rsidR="00B07393">
        <w:t xml:space="preserve"> </w:t>
      </w:r>
      <w:r>
        <w:t>cohort).</w:t>
      </w:r>
    </w:p>
    <w:p w14:paraId="7ACE6E32" w14:textId="77777777" w:rsidR="000448E6" w:rsidRDefault="000448E6" w:rsidP="00002E81">
      <w:pPr>
        <w:pStyle w:val="ListBullet"/>
      </w:pPr>
      <w:r>
        <w:t>Demonstrates substantial antibody persistence up to 5 years in the open labelled extension</w:t>
      </w:r>
      <w:r w:rsidR="00B07393">
        <w:t xml:space="preserve"> </w:t>
      </w:r>
      <w:r>
        <w:t>study.</w:t>
      </w:r>
    </w:p>
    <w:p w14:paraId="5C66733E" w14:textId="77777777" w:rsidR="000448E6" w:rsidRDefault="000448E6" w:rsidP="00002E81">
      <w:pPr>
        <w:pStyle w:val="ListBullet"/>
      </w:pPr>
      <w:r>
        <w:t>A single dose schedule in line with the registered dose in children over 11 years of age is</w:t>
      </w:r>
      <w:r w:rsidR="00B07393">
        <w:t xml:space="preserve"> </w:t>
      </w:r>
      <w:r>
        <w:t>justified.</w:t>
      </w:r>
    </w:p>
    <w:p w14:paraId="615FEDC2" w14:textId="77777777" w:rsidR="000448E6" w:rsidRDefault="000448E6" w:rsidP="00002E81">
      <w:pPr>
        <w:pStyle w:val="Heading5"/>
      </w:pPr>
      <w:r>
        <w:lastRenderedPageBreak/>
        <w:t>Safety Profile in infants and children</w:t>
      </w:r>
    </w:p>
    <w:p w14:paraId="38311C52" w14:textId="77777777" w:rsidR="000448E6" w:rsidRDefault="000448E6" w:rsidP="00002E81">
      <w:r>
        <w:t xml:space="preserve">The safety profile of </w:t>
      </w:r>
      <w:proofErr w:type="spellStart"/>
      <w:r w:rsidR="00AA10D9">
        <w:t>Menveo</w:t>
      </w:r>
      <w:proofErr w:type="spellEnd"/>
      <w:r>
        <w:t xml:space="preserve"> with all proposed dosing schedules in infants and children is acceptable as concluded in the benefit risk assessment of the clinical evaluation report where the evaluator states </w:t>
      </w:r>
      <w:r w:rsidR="00336B5F">
        <w:t>‘</w:t>
      </w:r>
      <w:r w:rsidRPr="00002E81">
        <w:rPr>
          <w:i/>
        </w:rPr>
        <w:t>the vaccine has been shown to be well tolerated with acceptable local and systemic</w:t>
      </w:r>
      <w:r w:rsidR="00B07393" w:rsidRPr="00002E81">
        <w:rPr>
          <w:i/>
        </w:rPr>
        <w:t xml:space="preserve"> </w:t>
      </w:r>
      <w:proofErr w:type="spellStart"/>
      <w:r w:rsidRPr="00002E81">
        <w:rPr>
          <w:i/>
        </w:rPr>
        <w:t>reactogenicity</w:t>
      </w:r>
      <w:proofErr w:type="spellEnd"/>
      <w:r w:rsidR="00336B5F" w:rsidRPr="00002E81">
        <w:rPr>
          <w:i/>
        </w:rPr>
        <w:t>’</w:t>
      </w:r>
      <w:r>
        <w:t>.</w:t>
      </w:r>
    </w:p>
    <w:p w14:paraId="4F183E65" w14:textId="77777777" w:rsidR="00002E81" w:rsidRDefault="00002E81" w:rsidP="00002E81">
      <w:pPr>
        <w:pStyle w:val="Heading5"/>
      </w:pPr>
      <w:r>
        <w:t>Conclusion</w:t>
      </w:r>
    </w:p>
    <w:p w14:paraId="701E82E7" w14:textId="77777777" w:rsidR="000448E6" w:rsidRDefault="000448E6" w:rsidP="00002E81">
      <w:r>
        <w:t xml:space="preserve">The benefit-risk balance is favourable, as assessed by the TGA clinical evaluator and supported by a recognised Australian clinical expert, for registration of the 4 dose and 2 dose catch up schedules in infants 2 months of age and over and a single dose schedule in children </w:t>
      </w:r>
      <w:r w:rsidR="00746C7F">
        <w:t>2 to 10</w:t>
      </w:r>
      <w:r>
        <w:t xml:space="preserve"> years of</w:t>
      </w:r>
      <w:r w:rsidR="00B07393">
        <w:t xml:space="preserve"> </w:t>
      </w:r>
      <w:r>
        <w:t>age.</w:t>
      </w:r>
    </w:p>
    <w:p w14:paraId="5D90CC6E" w14:textId="77777777" w:rsidR="000448E6" w:rsidRDefault="000448E6" w:rsidP="00002E81">
      <w:pPr>
        <w:pStyle w:val="Heading5"/>
      </w:pPr>
      <w:r w:rsidRPr="000448E6">
        <w:t>Specific Questions Raised by the TGA Delegate for the ACV’s</w:t>
      </w:r>
      <w:r w:rsidR="00B07393">
        <w:t xml:space="preserve"> </w:t>
      </w:r>
      <w:r w:rsidRPr="000448E6">
        <w:t>advice</w:t>
      </w:r>
    </w:p>
    <w:p w14:paraId="16FF8330" w14:textId="77777777" w:rsidR="000448E6" w:rsidRDefault="000448E6" w:rsidP="00002E81">
      <w:pPr>
        <w:pStyle w:val="Heading6"/>
      </w:pPr>
      <w:r>
        <w:t>Risk Benefit of the proposed 4 dose infant schedule (2,</w:t>
      </w:r>
      <w:r w:rsidR="007F4D43">
        <w:t xml:space="preserve"> </w:t>
      </w:r>
      <w:r>
        <w:t>4,</w:t>
      </w:r>
      <w:r w:rsidR="00002E81">
        <w:t xml:space="preserve"> </w:t>
      </w:r>
      <w:r>
        <w:t>6 and 12-16</w:t>
      </w:r>
      <w:r w:rsidR="00B07393">
        <w:t xml:space="preserve"> </w:t>
      </w:r>
      <w:r>
        <w:t>months)</w:t>
      </w:r>
    </w:p>
    <w:p w14:paraId="63587924" w14:textId="77777777" w:rsidR="000448E6" w:rsidRDefault="000448E6" w:rsidP="00002E81">
      <w:r>
        <w:t xml:space="preserve">GSK consider a </w:t>
      </w:r>
      <w:r w:rsidR="00306FB2">
        <w:t>4 dose</w:t>
      </w:r>
      <w:r>
        <w:t xml:space="preserve"> vaccination schedule given at 2, 4, 6 and 12 months of age, is the appropriate schedule for priming of infants based on the clinical data</w:t>
      </w:r>
      <w:r>
        <w:rPr>
          <w:spacing w:val="53"/>
        </w:rPr>
        <w:t xml:space="preserve"> </w:t>
      </w:r>
      <w:r>
        <w:t>available.</w:t>
      </w:r>
    </w:p>
    <w:p w14:paraId="542C3677" w14:textId="77777777" w:rsidR="000448E6" w:rsidRDefault="000448E6" w:rsidP="00002E81">
      <w:pPr>
        <w:rPr>
          <w:color w:val="000000"/>
        </w:rPr>
      </w:pPr>
      <w:r>
        <w:t xml:space="preserve">The </w:t>
      </w:r>
      <w:r w:rsidR="00002E81">
        <w:t>sponsor</w:t>
      </w:r>
      <w:r>
        <w:t xml:space="preserve"> has developed </w:t>
      </w:r>
      <w:proofErr w:type="spellStart"/>
      <w:r w:rsidR="00AA10D9">
        <w:t>Menveo</w:t>
      </w:r>
      <w:proofErr w:type="spellEnd"/>
      <w:r>
        <w:t xml:space="preserve"> as a </w:t>
      </w:r>
      <w:r w:rsidR="00306FB2">
        <w:t>4 dose</w:t>
      </w:r>
      <w:r>
        <w:t xml:space="preserve"> vaccine in infants starting vaccination from 2 months of</w:t>
      </w:r>
      <w:r w:rsidR="00B07393">
        <w:t xml:space="preserve"> </w:t>
      </w:r>
      <w:r>
        <w:t xml:space="preserve">age, with the first 3 doses given at 2, 4 and 6 months of age, and a fourth dose administered in the second year of life. Substantial immunogenicity and safety data was generated in clinical studies V59P14, V59_33 and V59_36 to support this vaccination schedule. Across these studies, a 3-dose series in the first year of life resulted in a robust immune response against all 4 serogroups, by 1 month after the </w:t>
      </w:r>
      <w:r w:rsidR="00002E81">
        <w:t>third</w:t>
      </w:r>
      <w:r>
        <w:t xml:space="preserve"> vaccination (with percentages of subjects with </w:t>
      </w:r>
      <w:proofErr w:type="spellStart"/>
      <w:r>
        <w:t>hSBA</w:t>
      </w:r>
      <w:proofErr w:type="spellEnd"/>
      <w:r>
        <w:t xml:space="preserve"> titres </w:t>
      </w:r>
      <w:r w:rsidR="00B07393">
        <w:t xml:space="preserve">≥ </w:t>
      </w:r>
      <w:r>
        <w:t xml:space="preserve">1:8 ranging from 67%-89% against serogroup A, 95%-97% against serogroup C, 96%-99% against serogroup W and 91%-98% against serogroup Y). The fourth dose of </w:t>
      </w:r>
      <w:proofErr w:type="spellStart"/>
      <w:r w:rsidR="00AA10D9">
        <w:t>Menveo</w:t>
      </w:r>
      <w:proofErr w:type="spellEnd"/>
      <w:r>
        <w:t xml:space="preserve"> given at 12 or 16 months of age induced a robust increase in antibody titres to a greater degree than seen after the primary vaccination series (overall, 89%</w:t>
      </w:r>
      <w:r w:rsidR="00A21AF0">
        <w:t xml:space="preserve"> to </w:t>
      </w:r>
      <w:r>
        <w:t xml:space="preserve">100% of subjects had </w:t>
      </w:r>
      <w:proofErr w:type="spellStart"/>
      <w:r>
        <w:t>hSBA</w:t>
      </w:r>
      <w:proofErr w:type="spellEnd"/>
      <w:r>
        <w:t xml:space="preserve"> titres </w:t>
      </w:r>
      <w:r w:rsidR="00B07393">
        <w:t xml:space="preserve">≥ </w:t>
      </w:r>
      <w:r>
        <w:t>1:8 after the 4th dose) (</w:t>
      </w:r>
      <w:r w:rsidR="00A21AF0">
        <w:t>Table 22)</w:t>
      </w:r>
      <w:r>
        <w:rPr>
          <w:color w:val="000000"/>
        </w:rPr>
        <w:t xml:space="preserve">. Furthermore, there was no impact of repeated doses either on </w:t>
      </w:r>
      <w:proofErr w:type="spellStart"/>
      <w:r>
        <w:rPr>
          <w:color w:val="000000"/>
        </w:rPr>
        <w:t>reactogenicity</w:t>
      </w:r>
      <w:proofErr w:type="spellEnd"/>
      <w:r>
        <w:rPr>
          <w:color w:val="000000"/>
        </w:rPr>
        <w:t xml:space="preserve"> or on the overall safety profile of the</w:t>
      </w:r>
      <w:r>
        <w:rPr>
          <w:color w:val="000000"/>
          <w:spacing w:val="29"/>
        </w:rPr>
        <w:t xml:space="preserve"> </w:t>
      </w:r>
      <w:r>
        <w:rPr>
          <w:color w:val="000000"/>
        </w:rPr>
        <w:t>subjects.</w:t>
      </w:r>
    </w:p>
    <w:p w14:paraId="3F324BA5" w14:textId="77777777" w:rsidR="00A21AF0" w:rsidRDefault="00A21AF0" w:rsidP="00A21AF0">
      <w:pPr>
        <w:pStyle w:val="TableTitle"/>
      </w:pPr>
      <w:r>
        <w:lastRenderedPageBreak/>
        <w:t xml:space="preserve">Table 22: Percentages of infants with </w:t>
      </w:r>
      <w:proofErr w:type="spellStart"/>
      <w:r>
        <w:t>hSBA</w:t>
      </w:r>
      <w:proofErr w:type="spellEnd"/>
      <w:r>
        <w:t xml:space="preserve"> ≥1:8 and </w:t>
      </w:r>
      <w:proofErr w:type="spellStart"/>
      <w:r>
        <w:t>hSBA</w:t>
      </w:r>
      <w:proofErr w:type="spellEnd"/>
      <w:r>
        <w:t xml:space="preserve"> GMTs: Post infant series, pre toddler dose and post toddler dose</w:t>
      </w:r>
    </w:p>
    <w:p w14:paraId="078CDFAC" w14:textId="77777777" w:rsidR="00A21AF0" w:rsidRDefault="00A21AF0" w:rsidP="00002E81">
      <w:pPr>
        <w:rPr>
          <w:color w:val="000000"/>
        </w:rPr>
      </w:pPr>
      <w:r>
        <w:rPr>
          <w:noProof/>
          <w:lang w:eastAsia="en-AU"/>
        </w:rPr>
        <w:drawing>
          <wp:inline distT="0" distB="0" distL="0" distR="0" wp14:anchorId="7998C48D" wp14:editId="74B9405E">
            <wp:extent cx="4365266" cy="4731026"/>
            <wp:effectExtent l="0" t="0" r="0" b="0"/>
            <wp:docPr id="1" name="Picture 1" descr="Table 22: Percentages of infants with hSBA ≥1:8 and hSBA GMTs: Post infant series, pre toddler dose and post toddler do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Lst>
                    </a:blip>
                    <a:srcRect l="1924" t="7895" r="2021"/>
                    <a:stretch/>
                  </pic:blipFill>
                  <pic:spPr bwMode="auto">
                    <a:xfrm>
                      <a:off x="0" y="0"/>
                      <a:ext cx="4364164" cy="4729832"/>
                    </a:xfrm>
                    <a:prstGeom prst="rect">
                      <a:avLst/>
                    </a:prstGeom>
                    <a:ln>
                      <a:noFill/>
                    </a:ln>
                    <a:extLst>
                      <a:ext uri="{53640926-AAD7-44D8-BBD7-CCE9431645EC}">
                        <a14:shadowObscured xmlns:a14="http://schemas.microsoft.com/office/drawing/2010/main"/>
                      </a:ext>
                    </a:extLst>
                  </pic:spPr>
                </pic:pic>
              </a:graphicData>
            </a:graphic>
          </wp:inline>
        </w:drawing>
      </w:r>
    </w:p>
    <w:p w14:paraId="426D7E16" w14:textId="77777777" w:rsidR="000448E6" w:rsidRDefault="000448E6" w:rsidP="00002E81">
      <w:pPr>
        <w:rPr>
          <w:color w:val="000000"/>
        </w:rPr>
      </w:pPr>
      <w:r>
        <w:t xml:space="preserve">Data from these studies also show that </w:t>
      </w:r>
      <w:proofErr w:type="spellStart"/>
      <w:r w:rsidR="00AA10D9">
        <w:t>Menveo</w:t>
      </w:r>
      <w:proofErr w:type="spellEnd"/>
      <w:r>
        <w:t xml:space="preserve"> can be co-administered with several </w:t>
      </w:r>
      <w:r w:rsidR="00A21AF0">
        <w:t xml:space="preserve">other </w:t>
      </w:r>
      <w:r>
        <w:t xml:space="preserve">routine infant vaccines, without compromising the immune response or the safety profile of any vaccine administered. There was a small degree of immune interference noted for some of the pertussis antigens included in the routinely administered vaccine, as well as up to 2 (out of 13) pneumococcal vaccine serotypes across studies, only after completion of the 3 infant doses, while no interference was seen after the </w:t>
      </w:r>
      <w:r w:rsidR="00002E81">
        <w:t>fourth</w:t>
      </w:r>
      <w:r>
        <w:rPr>
          <w:position w:val="9"/>
          <w:sz w:val="15"/>
          <w:szCs w:val="15"/>
        </w:rPr>
        <w:t xml:space="preserve"> </w:t>
      </w:r>
      <w:r>
        <w:t>dose. Of note, no single antigen failed the non-inferiority assessment consistently in every study and there were also substantial percentages</w:t>
      </w:r>
      <w:r w:rsidR="00B07393">
        <w:t xml:space="preserve"> </w:t>
      </w:r>
      <w:r>
        <w:t>of</w:t>
      </w:r>
      <w:r>
        <w:rPr>
          <w:spacing w:val="-8"/>
        </w:rPr>
        <w:t xml:space="preserve"> </w:t>
      </w:r>
      <w:r>
        <w:t>subjects</w:t>
      </w:r>
      <w:r>
        <w:rPr>
          <w:spacing w:val="-8"/>
        </w:rPr>
        <w:t xml:space="preserve"> </w:t>
      </w:r>
      <w:r>
        <w:t>with</w:t>
      </w:r>
      <w:r>
        <w:rPr>
          <w:spacing w:val="-8"/>
        </w:rPr>
        <w:t xml:space="preserve"> </w:t>
      </w:r>
      <w:r>
        <w:t>antibody</w:t>
      </w:r>
      <w:r>
        <w:rPr>
          <w:spacing w:val="-9"/>
        </w:rPr>
        <w:t xml:space="preserve"> </w:t>
      </w:r>
      <w:r>
        <w:t>levels</w:t>
      </w:r>
      <w:r>
        <w:rPr>
          <w:spacing w:val="-9"/>
        </w:rPr>
        <w:t xml:space="preserve"> </w:t>
      </w:r>
      <w:r>
        <w:t>above</w:t>
      </w:r>
      <w:r>
        <w:rPr>
          <w:spacing w:val="-9"/>
        </w:rPr>
        <w:t xml:space="preserve"> </w:t>
      </w:r>
      <w:r>
        <w:t>pre-specified</w:t>
      </w:r>
      <w:r>
        <w:rPr>
          <w:spacing w:val="-8"/>
        </w:rPr>
        <w:t xml:space="preserve"> </w:t>
      </w:r>
      <w:r>
        <w:t>protective</w:t>
      </w:r>
      <w:r>
        <w:rPr>
          <w:spacing w:val="-7"/>
        </w:rPr>
        <w:t xml:space="preserve"> </w:t>
      </w:r>
      <w:r>
        <w:t>thresholds</w:t>
      </w:r>
      <w:r>
        <w:rPr>
          <w:spacing w:val="-8"/>
        </w:rPr>
        <w:t xml:space="preserve"> </w:t>
      </w:r>
      <w:r>
        <w:t>for</w:t>
      </w:r>
      <w:r>
        <w:rPr>
          <w:spacing w:val="-7"/>
        </w:rPr>
        <w:t xml:space="preserve"> </w:t>
      </w:r>
      <w:r>
        <w:t>all</w:t>
      </w:r>
      <w:r>
        <w:rPr>
          <w:spacing w:val="-7"/>
        </w:rPr>
        <w:t xml:space="preserve"> </w:t>
      </w:r>
      <w:r>
        <w:t>antigens,</w:t>
      </w:r>
      <w:r>
        <w:rPr>
          <w:spacing w:val="-8"/>
        </w:rPr>
        <w:t xml:space="preserve"> </w:t>
      </w:r>
      <w:r>
        <w:t>suggesting</w:t>
      </w:r>
      <w:r>
        <w:rPr>
          <w:spacing w:val="-7"/>
        </w:rPr>
        <w:t xml:space="preserve"> </w:t>
      </w:r>
      <w:r w:rsidRPr="00823C10">
        <w:t>that</w:t>
      </w:r>
      <w:r w:rsidRPr="00823C10">
        <w:rPr>
          <w:spacing w:val="-7"/>
        </w:rPr>
        <w:t xml:space="preserve"> </w:t>
      </w:r>
      <w:r w:rsidRPr="00823C10">
        <w:t>these are chance findings that inevitably arise in the setting of multiple comparisons</w:t>
      </w:r>
      <w:r w:rsidRPr="00823C10">
        <w:rPr>
          <w:color w:val="000000"/>
        </w:rPr>
        <w:t>.</w:t>
      </w:r>
      <w:r w:rsidR="00823C10" w:rsidRPr="00823C10">
        <w:rPr>
          <w:rStyle w:val="FootnoteReference"/>
          <w:color w:val="000000"/>
        </w:rPr>
        <w:footnoteReference w:id="5"/>
      </w:r>
      <w:r w:rsidRPr="00823C10">
        <w:rPr>
          <w:color w:val="000000"/>
        </w:rPr>
        <w:t xml:space="preserve"> The clinical evaluation</w:t>
      </w:r>
      <w:r w:rsidR="00B07393" w:rsidRPr="00823C10">
        <w:rPr>
          <w:color w:val="000000"/>
        </w:rPr>
        <w:t xml:space="preserve"> </w:t>
      </w:r>
      <w:r w:rsidRPr="00823C10">
        <w:rPr>
          <w:color w:val="000000"/>
        </w:rPr>
        <w:t xml:space="preserve">report recommends </w:t>
      </w:r>
      <w:r w:rsidR="00336B5F" w:rsidRPr="00823C10">
        <w:rPr>
          <w:i/>
          <w:color w:val="000000"/>
        </w:rPr>
        <w:t>‘</w:t>
      </w:r>
      <w:r w:rsidRPr="00823C10">
        <w:rPr>
          <w:i/>
          <w:color w:val="000000"/>
        </w:rPr>
        <w:t xml:space="preserve">licencing of the vaccine for use in </w:t>
      </w:r>
      <w:proofErr w:type="gramStart"/>
      <w:r w:rsidRPr="00823C10">
        <w:rPr>
          <w:i/>
          <w:color w:val="000000"/>
        </w:rPr>
        <w:t>infants</w:t>
      </w:r>
      <w:proofErr w:type="gramEnd"/>
      <w:r w:rsidRPr="00823C10">
        <w:rPr>
          <w:i/>
          <w:color w:val="000000"/>
        </w:rPr>
        <w:t xml:space="preserve"> means that</w:t>
      </w:r>
      <w:r w:rsidRPr="00691E2F">
        <w:rPr>
          <w:i/>
          <w:color w:val="000000"/>
        </w:rPr>
        <w:t xml:space="preserve"> it can be given in conjunction with other infant vaccines given at the same time</w:t>
      </w:r>
      <w:r w:rsidRPr="00691E2F">
        <w:rPr>
          <w:i/>
          <w:color w:val="000000"/>
          <w:spacing w:val="44"/>
        </w:rPr>
        <w:t xml:space="preserve"> </w:t>
      </w:r>
      <w:r w:rsidRPr="00691E2F">
        <w:rPr>
          <w:i/>
          <w:color w:val="000000"/>
        </w:rPr>
        <w:t>points</w:t>
      </w:r>
      <w:r w:rsidR="00336B5F" w:rsidRPr="00691E2F">
        <w:rPr>
          <w:i/>
          <w:color w:val="000000"/>
        </w:rPr>
        <w:t>’</w:t>
      </w:r>
      <w:r>
        <w:rPr>
          <w:color w:val="000000"/>
        </w:rPr>
        <w:t>.</w:t>
      </w:r>
    </w:p>
    <w:p w14:paraId="7D8AD919" w14:textId="77777777" w:rsidR="000448E6" w:rsidRDefault="000448E6" w:rsidP="00002E81">
      <w:pPr>
        <w:rPr>
          <w:color w:val="000000"/>
        </w:rPr>
      </w:pPr>
      <w:r>
        <w:t>While</w:t>
      </w:r>
      <w:r>
        <w:rPr>
          <w:spacing w:val="-8"/>
        </w:rPr>
        <w:t xml:space="preserve"> </w:t>
      </w:r>
      <w:r>
        <w:t>an</w:t>
      </w:r>
      <w:r>
        <w:rPr>
          <w:spacing w:val="-5"/>
        </w:rPr>
        <w:t xml:space="preserve"> </w:t>
      </w:r>
      <w:r>
        <w:t>alternative</w:t>
      </w:r>
      <w:r>
        <w:rPr>
          <w:spacing w:val="-9"/>
        </w:rPr>
        <w:t xml:space="preserve"> </w:t>
      </w:r>
      <w:r w:rsidR="00306FB2">
        <w:t>2 dose</w:t>
      </w:r>
      <w:r>
        <w:rPr>
          <w:spacing w:val="-9"/>
        </w:rPr>
        <w:t xml:space="preserve"> </w:t>
      </w:r>
      <w:r>
        <w:t>vaccination</w:t>
      </w:r>
      <w:r>
        <w:rPr>
          <w:spacing w:val="-8"/>
        </w:rPr>
        <w:t xml:space="preserve"> </w:t>
      </w:r>
      <w:r>
        <w:t>schedule</w:t>
      </w:r>
      <w:r>
        <w:rPr>
          <w:spacing w:val="-8"/>
        </w:rPr>
        <w:t xml:space="preserve"> </w:t>
      </w:r>
      <w:r>
        <w:t>starting</w:t>
      </w:r>
      <w:r>
        <w:rPr>
          <w:spacing w:val="-6"/>
        </w:rPr>
        <w:t xml:space="preserve"> </w:t>
      </w:r>
      <w:r>
        <w:t>at</w:t>
      </w:r>
      <w:r>
        <w:rPr>
          <w:spacing w:val="-8"/>
        </w:rPr>
        <w:t xml:space="preserve"> </w:t>
      </w:r>
      <w:r>
        <w:t>6</w:t>
      </w:r>
      <w:r w:rsidR="00691E2F">
        <w:t xml:space="preserve"> to </w:t>
      </w:r>
      <w:r>
        <w:t>8</w:t>
      </w:r>
      <w:r>
        <w:rPr>
          <w:spacing w:val="-5"/>
        </w:rPr>
        <w:t xml:space="preserve"> </w:t>
      </w:r>
      <w:r>
        <w:t>months</w:t>
      </w:r>
      <w:r>
        <w:rPr>
          <w:spacing w:val="-8"/>
        </w:rPr>
        <w:t xml:space="preserve"> </w:t>
      </w:r>
      <w:r>
        <w:t>of</w:t>
      </w:r>
      <w:r>
        <w:rPr>
          <w:spacing w:val="-8"/>
        </w:rPr>
        <w:t xml:space="preserve"> </w:t>
      </w:r>
      <w:r>
        <w:t>age</w:t>
      </w:r>
      <w:r>
        <w:rPr>
          <w:spacing w:val="-8"/>
        </w:rPr>
        <w:t xml:space="preserve"> </w:t>
      </w:r>
      <w:r>
        <w:t>with</w:t>
      </w:r>
      <w:r>
        <w:rPr>
          <w:spacing w:val="-6"/>
        </w:rPr>
        <w:t xml:space="preserve"> </w:t>
      </w:r>
      <w:r>
        <w:t>a</w:t>
      </w:r>
      <w:r>
        <w:rPr>
          <w:spacing w:val="-8"/>
        </w:rPr>
        <w:t xml:space="preserve"> </w:t>
      </w:r>
      <w:r>
        <w:t>second</w:t>
      </w:r>
      <w:r>
        <w:rPr>
          <w:spacing w:val="-6"/>
        </w:rPr>
        <w:t xml:space="preserve"> </w:t>
      </w:r>
      <w:r>
        <w:t>dose</w:t>
      </w:r>
      <w:r>
        <w:rPr>
          <w:spacing w:val="-6"/>
        </w:rPr>
        <w:t xml:space="preserve"> </w:t>
      </w:r>
      <w:r>
        <w:t>at</w:t>
      </w:r>
      <w:r>
        <w:rPr>
          <w:spacing w:val="-5"/>
        </w:rPr>
        <w:t xml:space="preserve"> </w:t>
      </w:r>
      <w:r>
        <w:t>12</w:t>
      </w:r>
      <w:r>
        <w:rPr>
          <w:spacing w:val="-5"/>
        </w:rPr>
        <w:t xml:space="preserve"> </w:t>
      </w:r>
      <w:r>
        <w:t xml:space="preserve">months of </w:t>
      </w:r>
      <w:r w:rsidR="00691E2F">
        <w:t>age has also been explored (in S</w:t>
      </w:r>
      <w:r>
        <w:t>tudies V59P21, V59P22 and V59P14), this schedule does not provide optimal</w:t>
      </w:r>
      <w:r>
        <w:rPr>
          <w:spacing w:val="-8"/>
        </w:rPr>
        <w:t xml:space="preserve"> </w:t>
      </w:r>
      <w:r>
        <w:t>protection</w:t>
      </w:r>
      <w:r>
        <w:rPr>
          <w:spacing w:val="-8"/>
        </w:rPr>
        <w:t xml:space="preserve"> </w:t>
      </w:r>
      <w:r>
        <w:t>to</w:t>
      </w:r>
      <w:r>
        <w:rPr>
          <w:spacing w:val="-8"/>
        </w:rPr>
        <w:t xml:space="preserve"> </w:t>
      </w:r>
      <w:r>
        <w:t>infants</w:t>
      </w:r>
      <w:r>
        <w:rPr>
          <w:spacing w:val="-8"/>
        </w:rPr>
        <w:t xml:space="preserve"> </w:t>
      </w:r>
      <w:r>
        <w:t>before</w:t>
      </w:r>
      <w:r>
        <w:rPr>
          <w:spacing w:val="-8"/>
        </w:rPr>
        <w:t xml:space="preserve"> </w:t>
      </w:r>
      <w:r>
        <w:t>the</w:t>
      </w:r>
      <w:r>
        <w:rPr>
          <w:spacing w:val="-8"/>
        </w:rPr>
        <w:t xml:space="preserve"> </w:t>
      </w:r>
      <w:r>
        <w:t>administration</w:t>
      </w:r>
      <w:r>
        <w:rPr>
          <w:spacing w:val="-9"/>
        </w:rPr>
        <w:t xml:space="preserve"> </w:t>
      </w:r>
      <w:r>
        <w:t>of</w:t>
      </w:r>
      <w:r>
        <w:rPr>
          <w:spacing w:val="-12"/>
        </w:rPr>
        <w:t xml:space="preserve"> </w:t>
      </w:r>
      <w:r>
        <w:t>the</w:t>
      </w:r>
      <w:r>
        <w:rPr>
          <w:spacing w:val="-9"/>
        </w:rPr>
        <w:t xml:space="preserve"> </w:t>
      </w:r>
      <w:r>
        <w:t>second</w:t>
      </w:r>
      <w:r>
        <w:rPr>
          <w:spacing w:val="-9"/>
        </w:rPr>
        <w:t xml:space="preserve"> </w:t>
      </w:r>
      <w:r>
        <w:t>dose</w:t>
      </w:r>
      <w:r>
        <w:rPr>
          <w:spacing w:val="-9"/>
        </w:rPr>
        <w:t xml:space="preserve"> </w:t>
      </w:r>
      <w:r>
        <w:t>at</w:t>
      </w:r>
      <w:r>
        <w:rPr>
          <w:spacing w:val="-9"/>
        </w:rPr>
        <w:t xml:space="preserve"> </w:t>
      </w:r>
      <w:r>
        <w:t>12</w:t>
      </w:r>
      <w:r>
        <w:rPr>
          <w:spacing w:val="-6"/>
        </w:rPr>
        <w:t xml:space="preserve"> </w:t>
      </w:r>
      <w:r>
        <w:t>months</w:t>
      </w:r>
      <w:r>
        <w:rPr>
          <w:spacing w:val="-9"/>
        </w:rPr>
        <w:t xml:space="preserve"> </w:t>
      </w:r>
      <w:r>
        <w:t>of</w:t>
      </w:r>
      <w:r>
        <w:rPr>
          <w:spacing w:val="-8"/>
        </w:rPr>
        <w:t xml:space="preserve"> </w:t>
      </w:r>
      <w:r>
        <w:t>age.</w:t>
      </w:r>
      <w:r>
        <w:rPr>
          <w:spacing w:val="-9"/>
        </w:rPr>
        <w:t xml:space="preserve"> </w:t>
      </w:r>
      <w:r>
        <w:t>Indeed,</w:t>
      </w:r>
      <w:r>
        <w:rPr>
          <w:spacing w:val="-9"/>
        </w:rPr>
        <w:t xml:space="preserve"> </w:t>
      </w:r>
      <w:r>
        <w:t xml:space="preserve">antibody titres after one dose of </w:t>
      </w:r>
      <w:proofErr w:type="spellStart"/>
      <w:r w:rsidR="00AA10D9">
        <w:t>Menveo</w:t>
      </w:r>
      <w:proofErr w:type="spellEnd"/>
      <w:r>
        <w:t xml:space="preserve"> given at 6</w:t>
      </w:r>
      <w:r w:rsidR="00691E2F">
        <w:t xml:space="preserve"> to </w:t>
      </w:r>
      <w:r>
        <w:t>8 months of age are low, specifically for serogroups W and Y, with only 31%</w:t>
      </w:r>
      <w:r w:rsidR="00691E2F">
        <w:t xml:space="preserve"> to </w:t>
      </w:r>
      <w:r>
        <w:t>43% and 32%</w:t>
      </w:r>
      <w:r w:rsidR="00691E2F">
        <w:t xml:space="preserve"> to </w:t>
      </w:r>
      <w:r>
        <w:t xml:space="preserve">37% of subjects, respectively, achieving </w:t>
      </w:r>
      <w:proofErr w:type="spellStart"/>
      <w:r>
        <w:t>hSBA</w:t>
      </w:r>
      <w:proofErr w:type="spellEnd"/>
      <w:r>
        <w:t xml:space="preserve"> titres </w:t>
      </w:r>
      <w:r w:rsidR="00B07393">
        <w:t xml:space="preserve">≥ </w:t>
      </w:r>
      <w:r>
        <w:t>1:8, compared with 91%</w:t>
      </w:r>
      <w:r w:rsidR="00691E2F">
        <w:t xml:space="preserve"> to </w:t>
      </w:r>
      <w:r>
        <w:t xml:space="preserve">99% of subjects after 3 infant doses. Against serogroup A as </w:t>
      </w:r>
      <w:r>
        <w:lastRenderedPageBreak/>
        <w:t>well, protection offered by a single dose is lower, with only 42%</w:t>
      </w:r>
      <w:r w:rsidR="00691E2F">
        <w:t xml:space="preserve"> to </w:t>
      </w:r>
      <w:r>
        <w:t xml:space="preserve">50% of subjects achieving </w:t>
      </w:r>
      <w:proofErr w:type="spellStart"/>
      <w:r>
        <w:t>hSBA</w:t>
      </w:r>
      <w:proofErr w:type="spellEnd"/>
      <w:r>
        <w:t xml:space="preserve"> titres </w:t>
      </w:r>
      <w:r w:rsidR="00B07393">
        <w:t xml:space="preserve">≥ </w:t>
      </w:r>
      <w:r>
        <w:t>1:8, compared with 67%</w:t>
      </w:r>
      <w:r w:rsidR="00691E2F">
        <w:t xml:space="preserve"> to </w:t>
      </w:r>
      <w:r>
        <w:t xml:space="preserve">89% of subjects after 3 infant doses. The </w:t>
      </w:r>
      <w:proofErr w:type="spellStart"/>
      <w:r>
        <w:t>hSBA</w:t>
      </w:r>
      <w:proofErr w:type="spellEnd"/>
      <w:r>
        <w:t xml:space="preserve"> GMTs after a single dose at 6</w:t>
      </w:r>
      <w:r w:rsidR="00691E2F">
        <w:t xml:space="preserve"> to </w:t>
      </w:r>
      <w:r>
        <w:t>8 months are also substantially lower (6.8</w:t>
      </w:r>
      <w:r w:rsidR="00691E2F">
        <w:t xml:space="preserve"> to </w:t>
      </w:r>
      <w:r>
        <w:t>8.16 against serogroup A, 26</w:t>
      </w:r>
      <w:r w:rsidR="00691E2F">
        <w:t xml:space="preserve"> to </w:t>
      </w:r>
      <w:r>
        <w:t>32 against serogroup C, 5.11</w:t>
      </w:r>
      <w:r w:rsidR="00691E2F">
        <w:t xml:space="preserve"> to </w:t>
      </w:r>
      <w:r>
        <w:t>5.75 against serogroup W and 4.09</w:t>
      </w:r>
      <w:r w:rsidR="00691E2F">
        <w:t xml:space="preserve"> to </w:t>
      </w:r>
      <w:r>
        <w:t>4.82 against serogroup Y) than those seen after 3 primary doses at 2, 4 and 6 months (GMTs ranging from 13</w:t>
      </w:r>
      <w:r w:rsidR="00691E2F">
        <w:t xml:space="preserve"> to </w:t>
      </w:r>
      <w:r>
        <w:t>43 against serogroup A, 83</w:t>
      </w:r>
      <w:r w:rsidR="00691E2F">
        <w:t xml:space="preserve"> to </w:t>
      </w:r>
      <w:r>
        <w:t>150 against serogroup C, 74</w:t>
      </w:r>
      <w:r w:rsidR="00691E2F">
        <w:t xml:space="preserve"> to </w:t>
      </w:r>
      <w:r>
        <w:t>182 against serogroup W and 48</w:t>
      </w:r>
      <w:r w:rsidR="00691E2F">
        <w:t xml:space="preserve"> to </w:t>
      </w:r>
      <w:r>
        <w:t xml:space="preserve">125 against serogroup Y). It is also noteworthy that, although the levels of </w:t>
      </w:r>
      <w:proofErr w:type="spellStart"/>
      <w:r>
        <w:t>seroprotection</w:t>
      </w:r>
      <w:proofErr w:type="spellEnd"/>
      <w:r>
        <w:t xml:space="preserve"> achieved after completion of a </w:t>
      </w:r>
      <w:r w:rsidR="00306FB2">
        <w:t>4 dose</w:t>
      </w:r>
      <w:r>
        <w:t xml:space="preserve"> primary or a 2 dose series are comparable, </w:t>
      </w:r>
      <w:proofErr w:type="spellStart"/>
      <w:r>
        <w:t>hSBA</w:t>
      </w:r>
      <w:proofErr w:type="spellEnd"/>
      <w:r>
        <w:t xml:space="preserve"> GMTs after completion of the </w:t>
      </w:r>
      <w:r w:rsidR="00306FB2">
        <w:t>2 dose</w:t>
      </w:r>
      <w:r>
        <w:t xml:space="preserve"> series (37</w:t>
      </w:r>
      <w:r w:rsidR="00691E2F">
        <w:t xml:space="preserve"> to </w:t>
      </w:r>
      <w:r>
        <w:t>68 against serogroup A, 180</w:t>
      </w:r>
      <w:r w:rsidR="00691E2F">
        <w:t xml:space="preserve"> to </w:t>
      </w:r>
      <w:r>
        <w:t>224 against serogroup C, 119</w:t>
      </w:r>
      <w:r w:rsidR="00691E2F">
        <w:t xml:space="preserve"> to </w:t>
      </w:r>
      <w:r>
        <w:t>191 against serogroup W and 88</w:t>
      </w:r>
      <w:r w:rsidR="00691E2F">
        <w:t xml:space="preserve"> to </w:t>
      </w:r>
      <w:r>
        <w:t xml:space="preserve">137 against serogroup Y) are lower than those seen after completion of the </w:t>
      </w:r>
      <w:r w:rsidR="00306FB2">
        <w:t>4 dose</w:t>
      </w:r>
      <w:r>
        <w:t xml:space="preserve"> infant series (</w:t>
      </w:r>
      <w:r w:rsidR="00A81081">
        <w:t>Table 23)</w:t>
      </w:r>
      <w:r>
        <w:rPr>
          <w:color w:val="000000"/>
        </w:rPr>
        <w:t>, against serogroups A, W and Y, and are similar against serogroup</w:t>
      </w:r>
      <w:r>
        <w:rPr>
          <w:color w:val="000000"/>
          <w:spacing w:val="31"/>
        </w:rPr>
        <w:t xml:space="preserve"> </w:t>
      </w:r>
      <w:r>
        <w:rPr>
          <w:color w:val="000000"/>
        </w:rPr>
        <w:t>C.</w:t>
      </w:r>
    </w:p>
    <w:p w14:paraId="52B77C62" w14:textId="77777777" w:rsidR="00A81081" w:rsidRDefault="00A81081" w:rsidP="00A81081">
      <w:pPr>
        <w:pStyle w:val="TableTitle"/>
      </w:pPr>
      <w:r>
        <w:t xml:space="preserve">Table 23: Percentages of infants with </w:t>
      </w:r>
      <w:proofErr w:type="spellStart"/>
      <w:r>
        <w:t>hSBA</w:t>
      </w:r>
      <w:proofErr w:type="spellEnd"/>
      <w:r>
        <w:t xml:space="preserve"> ≥1:8and </w:t>
      </w:r>
      <w:proofErr w:type="spellStart"/>
      <w:r>
        <w:t>hSBA</w:t>
      </w:r>
      <w:proofErr w:type="spellEnd"/>
      <w:r>
        <w:t xml:space="preserve"> GMTs in Study V59P21</w:t>
      </w:r>
    </w:p>
    <w:p w14:paraId="642B8F72" w14:textId="77777777" w:rsidR="00A81081" w:rsidRDefault="00A81081" w:rsidP="00002E81">
      <w:pPr>
        <w:rPr>
          <w:color w:val="000000"/>
        </w:rPr>
      </w:pPr>
      <w:r>
        <w:rPr>
          <w:noProof/>
          <w:lang w:eastAsia="en-AU"/>
        </w:rPr>
        <w:drawing>
          <wp:inline distT="0" distB="0" distL="0" distR="0" wp14:anchorId="01E74CC4" wp14:editId="21789CFF">
            <wp:extent cx="4524292" cy="3633746"/>
            <wp:effectExtent l="0" t="0" r="0" b="5080"/>
            <wp:docPr id="2" name="Picture 2" descr="Table 23: Percentages of infants with hSBA ≥1:8and hSBA GMTs in Study V59P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Lst>
                    </a:blip>
                    <a:srcRect l="4970" t="6777" r="4715" b="3663"/>
                    <a:stretch/>
                  </pic:blipFill>
                  <pic:spPr bwMode="auto">
                    <a:xfrm>
                      <a:off x="0" y="0"/>
                      <a:ext cx="4527026" cy="3635942"/>
                    </a:xfrm>
                    <a:prstGeom prst="rect">
                      <a:avLst/>
                    </a:prstGeom>
                    <a:ln>
                      <a:noFill/>
                    </a:ln>
                    <a:extLst>
                      <a:ext uri="{53640926-AAD7-44D8-BBD7-CCE9431645EC}">
                        <a14:shadowObscured xmlns:a14="http://schemas.microsoft.com/office/drawing/2010/main"/>
                      </a:ext>
                    </a:extLst>
                  </pic:spPr>
                </pic:pic>
              </a:graphicData>
            </a:graphic>
          </wp:inline>
        </w:drawing>
      </w:r>
    </w:p>
    <w:p w14:paraId="762AEC11" w14:textId="77777777" w:rsidR="000448E6" w:rsidRDefault="000448E6" w:rsidP="00002E81">
      <w:pPr>
        <w:rPr>
          <w:color w:val="000000"/>
        </w:rPr>
      </w:pPr>
      <w:r>
        <w:t>Therefore, based</w:t>
      </w:r>
      <w:r w:rsidR="00A737A1">
        <w:t xml:space="preserve"> on the immunogenicity data a 3 </w:t>
      </w:r>
      <w:r>
        <w:t xml:space="preserve">dose series in infants offers better protection during the first year of life, when the risk for acquiring meningococcal disease is the highest. Infants less than one year are at the greatest risk of invasive meningococcal disease, with a notification rate up to 10 times higher </w:t>
      </w:r>
      <w:r w:rsidRPr="00823C10">
        <w:t>than the national average</w:t>
      </w:r>
      <w:r w:rsidR="00823C10" w:rsidRPr="00823C10">
        <w:t>.</w:t>
      </w:r>
      <w:r w:rsidR="00823C10" w:rsidRPr="00823C10">
        <w:rPr>
          <w:vertAlign w:val="superscript"/>
        </w:rPr>
        <w:fldChar w:fldCharType="begin"/>
      </w:r>
      <w:r w:rsidR="00823C10" w:rsidRPr="00823C10">
        <w:rPr>
          <w:vertAlign w:val="superscript"/>
        </w:rPr>
        <w:instrText xml:space="preserve"> NOTEREF _Ref499212264 \h  \* MERGEFORMAT </w:instrText>
      </w:r>
      <w:r w:rsidR="00823C10" w:rsidRPr="00823C10">
        <w:rPr>
          <w:vertAlign w:val="superscript"/>
        </w:rPr>
      </w:r>
      <w:r w:rsidR="00823C10" w:rsidRPr="00823C10">
        <w:rPr>
          <w:vertAlign w:val="superscript"/>
        </w:rPr>
        <w:fldChar w:fldCharType="separate"/>
      </w:r>
      <w:r w:rsidR="009B58BB">
        <w:rPr>
          <w:vertAlign w:val="superscript"/>
        </w:rPr>
        <w:t>4</w:t>
      </w:r>
      <w:r w:rsidR="00823C10" w:rsidRPr="00823C10">
        <w:rPr>
          <w:vertAlign w:val="superscript"/>
        </w:rPr>
        <w:fldChar w:fldCharType="end"/>
      </w:r>
      <w:r w:rsidRPr="00823C10">
        <w:rPr>
          <w:color w:val="000000"/>
        </w:rPr>
        <w:t xml:space="preserve"> Infants less than one year also have the highest rate of hospitalisation and death due to </w:t>
      </w:r>
      <w:r w:rsidRPr="00823C10">
        <w:t>meningococcal disease</w:t>
      </w:r>
      <w:r w:rsidRPr="00823C10">
        <w:rPr>
          <w:color w:val="000000"/>
        </w:rPr>
        <w:t>.</w:t>
      </w:r>
      <w:r w:rsidR="00823C10" w:rsidRPr="00823C10">
        <w:rPr>
          <w:rStyle w:val="FootnoteReference"/>
          <w:color w:val="000000"/>
        </w:rPr>
        <w:footnoteReference w:id="6"/>
      </w:r>
      <w:r w:rsidRPr="00823C10">
        <w:rPr>
          <w:color w:val="000000"/>
        </w:rPr>
        <w:t xml:space="preserve"> As such, it is critical to afford the maximum possible protection for infants during this high risk period, as early as</w:t>
      </w:r>
      <w:r w:rsidR="00B07393" w:rsidRPr="00823C10">
        <w:rPr>
          <w:color w:val="000000"/>
        </w:rPr>
        <w:t xml:space="preserve"> </w:t>
      </w:r>
      <w:r w:rsidRPr="00823C10">
        <w:rPr>
          <w:color w:val="000000"/>
        </w:rPr>
        <w:t>possible.</w:t>
      </w:r>
    </w:p>
    <w:p w14:paraId="67AF3857" w14:textId="77777777" w:rsidR="000448E6" w:rsidRDefault="000448E6" w:rsidP="00002E81">
      <w:r>
        <w:t xml:space="preserve">The safety profile of </w:t>
      </w:r>
      <w:proofErr w:type="spellStart"/>
      <w:r w:rsidR="00AA10D9">
        <w:t>Menveo</w:t>
      </w:r>
      <w:proofErr w:type="spellEnd"/>
      <w:r>
        <w:t xml:space="preserve"> is supported via exposure of 31,866 participants in clinical trials and recipients of 28,399,909 doses worldwide. The rise in antibody titres following the </w:t>
      </w:r>
      <w:r w:rsidR="00A737A1">
        <w:t>fourth</w:t>
      </w:r>
      <w:r>
        <w:t xml:space="preserve"> dose in the second year of life demonstrates the additional benefit that this dosing regimen can provide to a vulnerable population, in the absence of greater safety concerns. GSK believes that the available clinical data for </w:t>
      </w:r>
      <w:proofErr w:type="spellStart"/>
      <w:r w:rsidR="00AA10D9">
        <w:t>Menveo</w:t>
      </w:r>
      <w:proofErr w:type="spellEnd"/>
      <w:r>
        <w:t xml:space="preserve"> demonstrate clearly that </w:t>
      </w:r>
      <w:r>
        <w:lastRenderedPageBreak/>
        <w:t>the benefits of protection against the serotypes ACWY outweigh the risks of vaccination, which</w:t>
      </w:r>
      <w:r w:rsidR="00B07393">
        <w:t xml:space="preserve"> </w:t>
      </w:r>
      <w:r>
        <w:t>in turn, are greatly outweighed by the risks of</w:t>
      </w:r>
      <w:r>
        <w:rPr>
          <w:spacing w:val="45"/>
        </w:rPr>
        <w:t xml:space="preserve"> </w:t>
      </w:r>
      <w:r>
        <w:t>non-vaccination.</w:t>
      </w:r>
    </w:p>
    <w:p w14:paraId="48115EA9" w14:textId="77777777" w:rsidR="000448E6" w:rsidRDefault="000448E6" w:rsidP="00002E81">
      <w:r>
        <w:t xml:space="preserve">Based on these considerations, GSK continues to consider a </w:t>
      </w:r>
      <w:r w:rsidR="00306FB2">
        <w:t>4 dose</w:t>
      </w:r>
      <w:r>
        <w:t xml:space="preserve"> vaccination schedule given at 2, 4 and 6 months of age, and a fourth dose administered in the second year of life, as the primary schedule for priming of infants, a population that remains at the highest risk for contracting invasive meningococcal disease. In addition, the 2 dose schedule at 7 and 12 months of age, also supported by the data available ensures an appropriate catch up schedule is available for those infants not vaccinated within the first 6 months of</w:t>
      </w:r>
      <w:r w:rsidR="00B07393">
        <w:t xml:space="preserve"> </w:t>
      </w:r>
      <w:r>
        <w:t>life.</w:t>
      </w:r>
    </w:p>
    <w:p w14:paraId="5D69594D" w14:textId="77777777" w:rsidR="000448E6" w:rsidRDefault="000448E6" w:rsidP="00C048A1">
      <w:pPr>
        <w:pStyle w:val="Heading5"/>
      </w:pPr>
      <w:r>
        <w:t xml:space="preserve">Suitability of a 1 or 2 dose schedule in children </w:t>
      </w:r>
      <w:r w:rsidR="006571F8">
        <w:t>2 to 10</w:t>
      </w:r>
      <w:r>
        <w:t xml:space="preserve"> years of</w:t>
      </w:r>
      <w:r w:rsidR="00B07393">
        <w:t xml:space="preserve"> </w:t>
      </w:r>
      <w:r>
        <w:t>age</w:t>
      </w:r>
    </w:p>
    <w:p w14:paraId="2D93CBFF" w14:textId="77777777" w:rsidR="000448E6" w:rsidRDefault="000448E6" w:rsidP="00C048A1">
      <w:r>
        <w:t>GSK</w:t>
      </w:r>
      <w:r>
        <w:rPr>
          <w:spacing w:val="-5"/>
        </w:rPr>
        <w:t xml:space="preserve"> </w:t>
      </w:r>
      <w:r>
        <w:t>considers</w:t>
      </w:r>
      <w:r>
        <w:rPr>
          <w:spacing w:val="-7"/>
        </w:rPr>
        <w:t xml:space="preserve"> </w:t>
      </w:r>
      <w:r>
        <w:t>that</w:t>
      </w:r>
      <w:r>
        <w:rPr>
          <w:spacing w:val="-5"/>
        </w:rPr>
        <w:t xml:space="preserve"> </w:t>
      </w:r>
      <w:r>
        <w:t>a</w:t>
      </w:r>
      <w:r>
        <w:rPr>
          <w:spacing w:val="-5"/>
        </w:rPr>
        <w:t xml:space="preserve"> </w:t>
      </w:r>
      <w:r>
        <w:t>single</w:t>
      </w:r>
      <w:r>
        <w:rPr>
          <w:spacing w:val="-6"/>
        </w:rPr>
        <w:t xml:space="preserve"> </w:t>
      </w:r>
      <w:r>
        <w:t>dose</w:t>
      </w:r>
      <w:r>
        <w:rPr>
          <w:spacing w:val="-6"/>
        </w:rPr>
        <w:t xml:space="preserve"> </w:t>
      </w:r>
      <w:r>
        <w:t>of</w:t>
      </w:r>
      <w:r>
        <w:rPr>
          <w:spacing w:val="-6"/>
        </w:rPr>
        <w:t xml:space="preserve"> </w:t>
      </w:r>
      <w:proofErr w:type="spellStart"/>
      <w:r w:rsidR="00AA10D9">
        <w:t>Menveo</w:t>
      </w:r>
      <w:proofErr w:type="spellEnd"/>
      <w:r>
        <w:rPr>
          <w:spacing w:val="-5"/>
        </w:rPr>
        <w:t xml:space="preserve"> </w:t>
      </w:r>
      <w:r>
        <w:t>provides</w:t>
      </w:r>
      <w:r>
        <w:rPr>
          <w:spacing w:val="-5"/>
        </w:rPr>
        <w:t xml:space="preserve"> </w:t>
      </w:r>
      <w:r>
        <w:t>adequate</w:t>
      </w:r>
      <w:r>
        <w:rPr>
          <w:spacing w:val="-6"/>
        </w:rPr>
        <w:t xml:space="preserve"> </w:t>
      </w:r>
      <w:r>
        <w:t>protection</w:t>
      </w:r>
      <w:r>
        <w:rPr>
          <w:spacing w:val="-3"/>
        </w:rPr>
        <w:t xml:space="preserve"> </w:t>
      </w:r>
      <w:r>
        <w:t>for</w:t>
      </w:r>
      <w:r>
        <w:rPr>
          <w:spacing w:val="-6"/>
        </w:rPr>
        <w:t xml:space="preserve"> </w:t>
      </w:r>
      <w:r>
        <w:t>children</w:t>
      </w:r>
      <w:r>
        <w:rPr>
          <w:spacing w:val="-5"/>
        </w:rPr>
        <w:t xml:space="preserve"> </w:t>
      </w:r>
      <w:r>
        <w:t>aged</w:t>
      </w:r>
      <w:r>
        <w:rPr>
          <w:spacing w:val="-5"/>
        </w:rPr>
        <w:t xml:space="preserve"> </w:t>
      </w:r>
      <w:r>
        <w:t>2</w:t>
      </w:r>
      <w:r>
        <w:rPr>
          <w:spacing w:val="-5"/>
        </w:rPr>
        <w:t xml:space="preserve"> </w:t>
      </w:r>
      <w:r>
        <w:t>through</w:t>
      </w:r>
      <w:r>
        <w:rPr>
          <w:spacing w:val="-5"/>
        </w:rPr>
        <w:t xml:space="preserve"> </w:t>
      </w:r>
      <w:r>
        <w:t>10</w:t>
      </w:r>
      <w:r>
        <w:rPr>
          <w:spacing w:val="-5"/>
        </w:rPr>
        <w:t xml:space="preserve"> </w:t>
      </w:r>
      <w:r>
        <w:t>years and is supported by the efficacy and safety data</w:t>
      </w:r>
      <w:r>
        <w:rPr>
          <w:spacing w:val="52"/>
        </w:rPr>
        <w:t xml:space="preserve"> </w:t>
      </w:r>
      <w:r>
        <w:t>available.</w:t>
      </w:r>
    </w:p>
    <w:p w14:paraId="1A05B421" w14:textId="77777777" w:rsidR="00C048A1" w:rsidRDefault="00AA10D9" w:rsidP="00C048A1">
      <w:proofErr w:type="spellStart"/>
      <w:r>
        <w:t>Menveo</w:t>
      </w:r>
      <w:proofErr w:type="spellEnd"/>
      <w:r w:rsidR="000448E6">
        <w:t xml:space="preserve"> is recommended for use as a single dose in children </w:t>
      </w:r>
      <w:r w:rsidR="00746C7F">
        <w:t>2 to 10</w:t>
      </w:r>
      <w:r w:rsidR="000448E6">
        <w:t xml:space="preserve"> years of age in the majority of the countries in which this product is registered for use in children 2 years and over. The clinical data supporting this recommendation comes from the pivotal V59P20 trial conducted in the US, in which 1170 children were vaccinated</w:t>
      </w:r>
      <w:r w:rsidR="000448E6">
        <w:rPr>
          <w:spacing w:val="-8"/>
        </w:rPr>
        <w:t xml:space="preserve"> </w:t>
      </w:r>
      <w:r w:rsidR="000448E6">
        <w:t>with</w:t>
      </w:r>
      <w:r w:rsidR="000448E6">
        <w:rPr>
          <w:spacing w:val="-5"/>
        </w:rPr>
        <w:t xml:space="preserve"> </w:t>
      </w:r>
      <w:proofErr w:type="spellStart"/>
      <w:r>
        <w:t>Menveo</w:t>
      </w:r>
      <w:proofErr w:type="spellEnd"/>
      <w:r w:rsidR="000448E6">
        <w:rPr>
          <w:spacing w:val="-5"/>
        </w:rPr>
        <w:t xml:space="preserve"> </w:t>
      </w:r>
      <w:r w:rsidR="000448E6">
        <w:t>and</w:t>
      </w:r>
      <w:r w:rsidR="000448E6">
        <w:rPr>
          <w:spacing w:val="-8"/>
        </w:rPr>
        <w:t xml:space="preserve"> </w:t>
      </w:r>
      <w:r w:rsidR="000448E6">
        <w:t>1161</w:t>
      </w:r>
      <w:r w:rsidR="000448E6">
        <w:rPr>
          <w:spacing w:val="-4"/>
        </w:rPr>
        <w:t xml:space="preserve"> </w:t>
      </w:r>
      <w:r w:rsidR="000448E6">
        <w:t>received</w:t>
      </w:r>
      <w:r w:rsidR="000448E6">
        <w:rPr>
          <w:spacing w:val="-8"/>
        </w:rPr>
        <w:t xml:space="preserve"> </w:t>
      </w:r>
      <w:r w:rsidR="000448E6">
        <w:t>the</w:t>
      </w:r>
      <w:r w:rsidR="000448E6">
        <w:rPr>
          <w:spacing w:val="-8"/>
        </w:rPr>
        <w:t xml:space="preserve"> </w:t>
      </w:r>
      <w:r w:rsidR="000448E6">
        <w:t>comparator</w:t>
      </w:r>
      <w:r w:rsidR="000448E6">
        <w:rPr>
          <w:spacing w:val="-8"/>
        </w:rPr>
        <w:t xml:space="preserve"> </w:t>
      </w:r>
      <w:r w:rsidR="000448E6">
        <w:t>vaccine</w:t>
      </w:r>
      <w:r w:rsidR="000448E6">
        <w:rPr>
          <w:spacing w:val="-9"/>
        </w:rPr>
        <w:t xml:space="preserve"> </w:t>
      </w:r>
      <w:r w:rsidR="000448E6">
        <w:t>(</w:t>
      </w:r>
      <w:proofErr w:type="spellStart"/>
      <w:r w:rsidR="000448E6">
        <w:t>Menactra</w:t>
      </w:r>
      <w:proofErr w:type="spellEnd"/>
      <w:r w:rsidR="000448E6">
        <w:t>)</w:t>
      </w:r>
      <w:r w:rsidR="000448E6">
        <w:rPr>
          <w:spacing w:val="-8"/>
        </w:rPr>
        <w:t xml:space="preserve"> </w:t>
      </w:r>
      <w:r w:rsidR="000448E6">
        <w:t>in</w:t>
      </w:r>
      <w:r w:rsidR="000448E6">
        <w:rPr>
          <w:spacing w:val="-5"/>
        </w:rPr>
        <w:t xml:space="preserve"> </w:t>
      </w:r>
      <w:r w:rsidR="000448E6">
        <w:t>the</w:t>
      </w:r>
      <w:r w:rsidR="000448E6">
        <w:rPr>
          <w:spacing w:val="-9"/>
        </w:rPr>
        <w:t xml:space="preserve"> </w:t>
      </w:r>
      <w:r w:rsidR="000448E6">
        <w:t>per</w:t>
      </w:r>
      <w:r w:rsidR="000448E6">
        <w:rPr>
          <w:spacing w:val="-8"/>
        </w:rPr>
        <w:t xml:space="preserve"> </w:t>
      </w:r>
      <w:r w:rsidR="000448E6">
        <w:t>protocol</w:t>
      </w:r>
      <w:r w:rsidR="000448E6">
        <w:rPr>
          <w:spacing w:val="-9"/>
        </w:rPr>
        <w:t xml:space="preserve"> </w:t>
      </w:r>
      <w:r w:rsidR="000448E6">
        <w:t xml:space="preserve">populations. A single dose of </w:t>
      </w:r>
      <w:proofErr w:type="spellStart"/>
      <w:r>
        <w:t>Menveo</w:t>
      </w:r>
      <w:proofErr w:type="spellEnd"/>
      <w:r w:rsidR="000448E6">
        <w:t xml:space="preserve"> induced robust immune responses, with 72%</w:t>
      </w:r>
      <w:r w:rsidR="00C048A1">
        <w:t xml:space="preserve"> to </w:t>
      </w:r>
      <w:r w:rsidR="000448E6">
        <w:t xml:space="preserve">90% of subjects achieving </w:t>
      </w:r>
      <w:proofErr w:type="spellStart"/>
      <w:r w:rsidR="000448E6">
        <w:t>hSBA</w:t>
      </w:r>
      <w:proofErr w:type="spellEnd"/>
      <w:r w:rsidR="000448E6">
        <w:rPr>
          <w:spacing w:val="45"/>
        </w:rPr>
        <w:t xml:space="preserve"> </w:t>
      </w:r>
      <w:r w:rsidR="000448E6">
        <w:t>titres</w:t>
      </w:r>
      <w:r w:rsidR="00C048A1">
        <w:t xml:space="preserve"> </w:t>
      </w:r>
      <w:r w:rsidR="00B07393">
        <w:t xml:space="preserve">≥ </w:t>
      </w:r>
      <w:r w:rsidR="000448E6">
        <w:t xml:space="preserve">1:8 at 1 month after vaccination and </w:t>
      </w:r>
      <w:proofErr w:type="spellStart"/>
      <w:r w:rsidR="000448E6">
        <w:t>seroresponse</w:t>
      </w:r>
      <w:proofErr w:type="spellEnd"/>
      <w:r w:rsidR="000448E6">
        <w:t xml:space="preserve"> rates ranging from 62% to 72%, across serogroups. In the same study, a separate group of children, 2 through 5 years of age (N=297) in the per protocol population were immunized with two doses of </w:t>
      </w:r>
      <w:proofErr w:type="spellStart"/>
      <w:r>
        <w:t>Menveo</w:t>
      </w:r>
      <w:proofErr w:type="spellEnd"/>
      <w:r w:rsidR="000448E6">
        <w:t>, two months apart, with 91%</w:t>
      </w:r>
      <w:r w:rsidR="00C048A1">
        <w:t xml:space="preserve"> to </w:t>
      </w:r>
      <w:r w:rsidR="000448E6">
        <w:t xml:space="preserve">99% of subjects achieving </w:t>
      </w:r>
      <w:proofErr w:type="spellStart"/>
      <w:r w:rsidR="000448E6">
        <w:t>hSBA</w:t>
      </w:r>
      <w:proofErr w:type="spellEnd"/>
      <w:r w:rsidR="000448E6">
        <w:t xml:space="preserve"> titres</w:t>
      </w:r>
      <w:r w:rsidR="00C048A1">
        <w:t xml:space="preserve"> </w:t>
      </w:r>
      <w:r w:rsidR="00B07393">
        <w:t xml:space="preserve">≥ </w:t>
      </w:r>
      <w:r w:rsidR="000448E6">
        <w:t xml:space="preserve">1:8 at 1 month after vaccination and </w:t>
      </w:r>
      <w:proofErr w:type="spellStart"/>
      <w:r w:rsidR="000448E6">
        <w:t>seroresponse</w:t>
      </w:r>
      <w:proofErr w:type="spellEnd"/>
      <w:r w:rsidR="000448E6">
        <w:t xml:space="preserve"> rates ranging from 89%</w:t>
      </w:r>
      <w:r w:rsidR="00C048A1">
        <w:t xml:space="preserve"> to 98%, across serogroups.</w:t>
      </w:r>
    </w:p>
    <w:p w14:paraId="67DC1C32" w14:textId="77777777" w:rsidR="00C048A1" w:rsidRDefault="000448E6" w:rsidP="00C048A1">
      <w:pPr>
        <w:rPr>
          <w:color w:val="000000"/>
        </w:rPr>
      </w:pPr>
      <w:r>
        <w:t xml:space="preserve">Based on these results in a limited pool of children aged 2-5 years, the </w:t>
      </w:r>
      <w:r w:rsidR="00C048A1">
        <w:t>sponsor</w:t>
      </w:r>
      <w:r>
        <w:t xml:space="preserve"> decided to explore the potential</w:t>
      </w:r>
      <w:r w:rsidR="00B07393">
        <w:t xml:space="preserve"> </w:t>
      </w:r>
      <w:r>
        <w:t xml:space="preserve">benefit of a second dose in children </w:t>
      </w:r>
      <w:r w:rsidR="00746C7F">
        <w:t>2 to 10</w:t>
      </w:r>
      <w:r>
        <w:t xml:space="preserve"> years of age in another study also conducted in the US, V59_57</w:t>
      </w:r>
      <w:r w:rsidR="00823C10">
        <w:t>.</w:t>
      </w:r>
      <w:r w:rsidR="00823C10">
        <w:rPr>
          <w:rStyle w:val="FootnoteReference"/>
        </w:rPr>
        <w:footnoteReference w:id="7"/>
      </w:r>
      <w:r w:rsidR="00B07393">
        <w:rPr>
          <w:color w:val="000000"/>
        </w:rPr>
        <w:t xml:space="preserve"> </w:t>
      </w:r>
      <w:r>
        <w:rPr>
          <w:color w:val="000000"/>
        </w:rPr>
        <w:t>This study compared the immunogenicity, safety and 1</w:t>
      </w:r>
      <w:r w:rsidR="00C048A1">
        <w:rPr>
          <w:color w:val="000000"/>
        </w:rPr>
        <w:t xml:space="preserve"> </w:t>
      </w:r>
      <w:r>
        <w:rPr>
          <w:color w:val="000000"/>
        </w:rPr>
        <w:t>year antibody persistence of a single-do</w:t>
      </w:r>
      <w:r w:rsidR="00C048A1">
        <w:rPr>
          <w:color w:val="000000"/>
        </w:rPr>
        <w:t xml:space="preserve">se and a 2 </w:t>
      </w:r>
      <w:r>
        <w:rPr>
          <w:color w:val="000000"/>
        </w:rPr>
        <w:t xml:space="preserve">dose series of </w:t>
      </w:r>
      <w:proofErr w:type="spellStart"/>
      <w:r w:rsidR="00AA10D9">
        <w:rPr>
          <w:color w:val="000000"/>
        </w:rPr>
        <w:t>Menveo</w:t>
      </w:r>
      <w:proofErr w:type="spellEnd"/>
      <w:r>
        <w:rPr>
          <w:color w:val="000000"/>
        </w:rPr>
        <w:t xml:space="preserve"> in children aged 2</w:t>
      </w:r>
      <w:r w:rsidR="00C048A1">
        <w:rPr>
          <w:color w:val="000000"/>
        </w:rPr>
        <w:t xml:space="preserve"> to </w:t>
      </w:r>
      <w:r>
        <w:rPr>
          <w:color w:val="000000"/>
        </w:rPr>
        <w:t>5 years and 6</w:t>
      </w:r>
      <w:r w:rsidR="00C048A1">
        <w:rPr>
          <w:color w:val="000000"/>
        </w:rPr>
        <w:t xml:space="preserve"> to 1</w:t>
      </w:r>
      <w:r>
        <w:rPr>
          <w:color w:val="000000"/>
        </w:rPr>
        <w:t xml:space="preserve">0 years. A serial gatekeeping procedure was used to assess superiority of a </w:t>
      </w:r>
      <w:r w:rsidR="00306FB2">
        <w:rPr>
          <w:color w:val="000000"/>
        </w:rPr>
        <w:t>2 dose</w:t>
      </w:r>
      <w:r w:rsidR="00C048A1">
        <w:rPr>
          <w:color w:val="000000"/>
        </w:rPr>
        <w:t xml:space="preserve"> schedule in these age cohorts.</w:t>
      </w:r>
    </w:p>
    <w:p w14:paraId="02328B93" w14:textId="77777777" w:rsidR="000448E6" w:rsidRDefault="000448E6" w:rsidP="00C048A1">
      <w:pPr>
        <w:rPr>
          <w:color w:val="000000"/>
        </w:rPr>
      </w:pPr>
      <w:r>
        <w:rPr>
          <w:color w:val="000000"/>
        </w:rPr>
        <w:t>In this study, both a single</w:t>
      </w:r>
      <w:r w:rsidR="00C048A1">
        <w:rPr>
          <w:color w:val="000000"/>
        </w:rPr>
        <w:t xml:space="preserve"> </w:t>
      </w:r>
      <w:r>
        <w:rPr>
          <w:color w:val="000000"/>
        </w:rPr>
        <w:t xml:space="preserve">dose and a </w:t>
      </w:r>
      <w:r w:rsidR="00306FB2">
        <w:rPr>
          <w:color w:val="000000"/>
        </w:rPr>
        <w:t>2 dose</w:t>
      </w:r>
      <w:r w:rsidR="00B07393">
        <w:rPr>
          <w:color w:val="000000"/>
        </w:rPr>
        <w:t xml:space="preserve"> </w:t>
      </w:r>
      <w:r>
        <w:rPr>
          <w:color w:val="000000"/>
        </w:rPr>
        <w:t xml:space="preserve">series of </w:t>
      </w:r>
      <w:proofErr w:type="spellStart"/>
      <w:r w:rsidR="00AA10D9">
        <w:rPr>
          <w:color w:val="000000"/>
        </w:rPr>
        <w:t>Menveo</w:t>
      </w:r>
      <w:proofErr w:type="spellEnd"/>
      <w:r>
        <w:rPr>
          <w:color w:val="000000"/>
        </w:rPr>
        <w:t xml:space="preserve"> were found to be immunogenic, eliciting protective antibody responses in the majority of 2</w:t>
      </w:r>
      <w:r w:rsidR="00B07393">
        <w:rPr>
          <w:color w:val="000000"/>
        </w:rPr>
        <w:t xml:space="preserve"> </w:t>
      </w:r>
      <w:r>
        <w:rPr>
          <w:color w:val="000000"/>
        </w:rPr>
        <w:t>to 10</w:t>
      </w:r>
      <w:r w:rsidR="00C048A1">
        <w:rPr>
          <w:color w:val="000000"/>
        </w:rPr>
        <w:t xml:space="preserve"> </w:t>
      </w:r>
      <w:r>
        <w:rPr>
          <w:color w:val="000000"/>
        </w:rPr>
        <w:t xml:space="preserve">year-old children. At one month </w:t>
      </w:r>
      <w:proofErr w:type="spellStart"/>
      <w:r>
        <w:rPr>
          <w:color w:val="000000"/>
        </w:rPr>
        <w:t>postvaccination</w:t>
      </w:r>
      <w:proofErr w:type="spellEnd"/>
      <w:r>
        <w:rPr>
          <w:color w:val="000000"/>
        </w:rPr>
        <w:t xml:space="preserve">, </w:t>
      </w:r>
      <w:proofErr w:type="spellStart"/>
      <w:r>
        <w:rPr>
          <w:color w:val="000000"/>
        </w:rPr>
        <w:t>hSBA</w:t>
      </w:r>
      <w:proofErr w:type="spellEnd"/>
      <w:r>
        <w:rPr>
          <w:color w:val="000000"/>
        </w:rPr>
        <w:t xml:space="preserve"> </w:t>
      </w:r>
      <w:proofErr w:type="spellStart"/>
      <w:r>
        <w:rPr>
          <w:color w:val="000000"/>
        </w:rPr>
        <w:t>seroresponse</w:t>
      </w:r>
      <w:proofErr w:type="spellEnd"/>
      <w:r>
        <w:rPr>
          <w:color w:val="000000"/>
        </w:rPr>
        <w:t xml:space="preserve"> rates, percentages of subjects</w:t>
      </w:r>
      <w:r w:rsidR="00B07393">
        <w:rPr>
          <w:color w:val="000000"/>
        </w:rPr>
        <w:t xml:space="preserve"> </w:t>
      </w:r>
      <w:r>
        <w:rPr>
          <w:color w:val="000000"/>
        </w:rPr>
        <w:t xml:space="preserve">with </w:t>
      </w:r>
      <w:proofErr w:type="spellStart"/>
      <w:r>
        <w:rPr>
          <w:color w:val="000000"/>
        </w:rPr>
        <w:t>hSBA</w:t>
      </w:r>
      <w:proofErr w:type="spellEnd"/>
      <w:r>
        <w:rPr>
          <w:color w:val="000000"/>
        </w:rPr>
        <w:t xml:space="preserve"> </w:t>
      </w:r>
      <w:r w:rsidR="00B07393">
        <w:rPr>
          <w:color w:val="000000"/>
        </w:rPr>
        <w:t xml:space="preserve">≥ </w:t>
      </w:r>
      <w:r>
        <w:rPr>
          <w:color w:val="000000"/>
        </w:rPr>
        <w:t xml:space="preserve">1:8, and </w:t>
      </w:r>
      <w:proofErr w:type="spellStart"/>
      <w:r>
        <w:rPr>
          <w:color w:val="000000"/>
        </w:rPr>
        <w:t>hSBA</w:t>
      </w:r>
      <w:proofErr w:type="spellEnd"/>
      <w:r>
        <w:rPr>
          <w:color w:val="000000"/>
        </w:rPr>
        <w:t xml:space="preserve"> GMTs were higher in the </w:t>
      </w:r>
      <w:r w:rsidR="00306FB2">
        <w:rPr>
          <w:color w:val="000000"/>
        </w:rPr>
        <w:t>2 dose</w:t>
      </w:r>
      <w:r>
        <w:rPr>
          <w:color w:val="000000"/>
        </w:rPr>
        <w:t xml:space="preserve"> group than in the 1</w:t>
      </w:r>
      <w:r w:rsidR="00C048A1">
        <w:rPr>
          <w:color w:val="000000"/>
        </w:rPr>
        <w:t xml:space="preserve"> </w:t>
      </w:r>
      <w:r>
        <w:rPr>
          <w:color w:val="000000"/>
        </w:rPr>
        <w:t xml:space="preserve">dose group against serogroups A, C and Y. The differences in antibody responses between the </w:t>
      </w:r>
      <w:r w:rsidR="00306FB2">
        <w:rPr>
          <w:color w:val="000000"/>
        </w:rPr>
        <w:t>2 dose</w:t>
      </w:r>
      <w:r>
        <w:rPr>
          <w:color w:val="000000"/>
        </w:rPr>
        <w:t xml:space="preserve"> and 1</w:t>
      </w:r>
      <w:r w:rsidR="00C048A1">
        <w:rPr>
          <w:color w:val="000000"/>
        </w:rPr>
        <w:t xml:space="preserve"> </w:t>
      </w:r>
      <w:r>
        <w:rPr>
          <w:color w:val="000000"/>
        </w:rPr>
        <w:t>dose groups were larger in the 2 through 5 years of age cohort than in the 6 through 10 years of age cohort, which could be explained by the relative immaturity of the immune system and the lower likelihood of natural immunity in</w:t>
      </w:r>
      <w:r w:rsidR="00B07393">
        <w:rPr>
          <w:color w:val="000000"/>
        </w:rPr>
        <w:t xml:space="preserve"> </w:t>
      </w:r>
      <w:r>
        <w:rPr>
          <w:color w:val="000000"/>
        </w:rPr>
        <w:t xml:space="preserve">the younger cohort. However, statistical superiority of a </w:t>
      </w:r>
      <w:r w:rsidR="00306FB2">
        <w:rPr>
          <w:color w:val="000000"/>
        </w:rPr>
        <w:t>2 dose</w:t>
      </w:r>
      <w:r>
        <w:rPr>
          <w:color w:val="000000"/>
        </w:rPr>
        <w:t xml:space="preserve"> schedule could only be demonstrated for serogroups C and Y in 2</w:t>
      </w:r>
      <w:r w:rsidR="00C048A1">
        <w:rPr>
          <w:color w:val="000000"/>
        </w:rPr>
        <w:t xml:space="preserve"> to </w:t>
      </w:r>
      <w:r>
        <w:rPr>
          <w:color w:val="000000"/>
        </w:rPr>
        <w:t xml:space="preserve">5 year old children and for serogroup Y in 6-10 year old children. Furthermore, antibody persistence at 1 year after vaccination was also assessed in this study and antibody titres declined in both age cohorts and dose groups over 12 months. While subjects in the </w:t>
      </w:r>
      <w:r w:rsidR="00306FB2">
        <w:rPr>
          <w:color w:val="000000"/>
        </w:rPr>
        <w:t>2 dose</w:t>
      </w:r>
      <w:r w:rsidR="00B07393">
        <w:rPr>
          <w:color w:val="000000"/>
        </w:rPr>
        <w:t xml:space="preserve"> </w:t>
      </w:r>
      <w:r>
        <w:rPr>
          <w:color w:val="000000"/>
        </w:rPr>
        <w:t>group</w:t>
      </w:r>
      <w:r w:rsidR="00B07393">
        <w:rPr>
          <w:color w:val="000000"/>
        </w:rPr>
        <w:t xml:space="preserve"> </w:t>
      </w:r>
      <w:r>
        <w:rPr>
          <w:color w:val="000000"/>
        </w:rPr>
        <w:t>still</w:t>
      </w:r>
      <w:r w:rsidR="00B07393">
        <w:rPr>
          <w:color w:val="000000"/>
        </w:rPr>
        <w:t xml:space="preserve"> </w:t>
      </w:r>
      <w:r>
        <w:rPr>
          <w:color w:val="000000"/>
        </w:rPr>
        <w:t>had</w:t>
      </w:r>
      <w:r w:rsidR="00B07393">
        <w:rPr>
          <w:color w:val="000000"/>
        </w:rPr>
        <w:t xml:space="preserve"> </w:t>
      </w:r>
      <w:r>
        <w:rPr>
          <w:color w:val="000000"/>
        </w:rPr>
        <w:t>higher antibody titres than those in 1</w:t>
      </w:r>
      <w:r w:rsidR="00C048A1">
        <w:rPr>
          <w:color w:val="000000"/>
        </w:rPr>
        <w:t xml:space="preserve"> </w:t>
      </w:r>
      <w:r>
        <w:rPr>
          <w:color w:val="000000"/>
        </w:rPr>
        <w:t xml:space="preserve">dose group by 12 months after </w:t>
      </w:r>
      <w:r w:rsidRPr="00823C10">
        <w:rPr>
          <w:color w:val="000000"/>
        </w:rPr>
        <w:t>vaccination, the difference between groups was less pronounced at 1</w:t>
      </w:r>
      <w:r w:rsidR="00C048A1" w:rsidRPr="00823C10">
        <w:rPr>
          <w:color w:val="000000"/>
        </w:rPr>
        <w:t xml:space="preserve"> </w:t>
      </w:r>
      <w:r w:rsidRPr="00823C10">
        <w:rPr>
          <w:color w:val="000000"/>
        </w:rPr>
        <w:t>year post-vaccination than at 1 month post-vaccination, especially among older children. Of</w:t>
      </w:r>
      <w:r w:rsidR="00B07393" w:rsidRPr="00823C10">
        <w:rPr>
          <w:color w:val="000000"/>
        </w:rPr>
        <w:t xml:space="preserve"> </w:t>
      </w:r>
      <w:r w:rsidRPr="00823C10">
        <w:rPr>
          <w:color w:val="000000"/>
        </w:rPr>
        <w:t>note,</w:t>
      </w:r>
      <w:r w:rsidR="00B07393" w:rsidRPr="00823C10">
        <w:rPr>
          <w:color w:val="000000"/>
        </w:rPr>
        <w:t xml:space="preserve"> </w:t>
      </w:r>
      <w:r w:rsidRPr="00823C10">
        <w:rPr>
          <w:color w:val="000000"/>
        </w:rPr>
        <w:t>in</w:t>
      </w:r>
      <w:r w:rsidR="00B07393" w:rsidRPr="00823C10">
        <w:rPr>
          <w:color w:val="000000"/>
        </w:rPr>
        <w:t xml:space="preserve"> </w:t>
      </w:r>
      <w:r w:rsidRPr="00823C10">
        <w:rPr>
          <w:color w:val="000000"/>
        </w:rPr>
        <w:t>another</w:t>
      </w:r>
      <w:r w:rsidR="00B07393" w:rsidRPr="00823C10">
        <w:rPr>
          <w:color w:val="000000"/>
        </w:rPr>
        <w:t xml:space="preserve"> </w:t>
      </w:r>
      <w:r w:rsidRPr="00823C10">
        <w:rPr>
          <w:color w:val="000000"/>
        </w:rPr>
        <w:t>study</w:t>
      </w:r>
      <w:r w:rsidR="00B07393" w:rsidRPr="00823C10">
        <w:rPr>
          <w:color w:val="000000"/>
        </w:rPr>
        <w:t xml:space="preserve"> </w:t>
      </w:r>
      <w:r w:rsidRPr="00823C10">
        <w:rPr>
          <w:color w:val="000000"/>
        </w:rPr>
        <w:t xml:space="preserve">assessing antibody persistence at 5 years after a 1 or </w:t>
      </w:r>
      <w:r w:rsidR="00306FB2" w:rsidRPr="00823C10">
        <w:rPr>
          <w:color w:val="000000"/>
        </w:rPr>
        <w:t>2 dose</w:t>
      </w:r>
      <w:r w:rsidRPr="00823C10">
        <w:rPr>
          <w:color w:val="000000"/>
        </w:rPr>
        <w:t xml:space="preserve"> series in 2</w:t>
      </w:r>
      <w:r w:rsidR="00C048A1" w:rsidRPr="00823C10">
        <w:rPr>
          <w:color w:val="000000"/>
        </w:rPr>
        <w:t xml:space="preserve"> </w:t>
      </w:r>
      <w:r w:rsidRPr="00823C10">
        <w:rPr>
          <w:color w:val="000000"/>
        </w:rPr>
        <w:t>5 year olds (V59P20E1)</w:t>
      </w:r>
      <w:bookmarkStart w:id="141" w:name="_Ref499212448"/>
      <w:r w:rsidR="00823C10" w:rsidRPr="00823C10">
        <w:rPr>
          <w:rStyle w:val="FootnoteReference"/>
          <w:color w:val="000000"/>
        </w:rPr>
        <w:footnoteReference w:id="8"/>
      </w:r>
      <w:bookmarkEnd w:id="141"/>
      <w:r w:rsidRPr="00823C10">
        <w:rPr>
          <w:color w:val="000000"/>
        </w:rPr>
        <w:t>, there was no appreciable difference in antibody</w:t>
      </w:r>
      <w:r w:rsidR="00B07393" w:rsidRPr="00823C10">
        <w:rPr>
          <w:color w:val="000000"/>
        </w:rPr>
        <w:t xml:space="preserve"> </w:t>
      </w:r>
      <w:r w:rsidRPr="00823C10">
        <w:rPr>
          <w:color w:val="000000"/>
        </w:rPr>
        <w:lastRenderedPageBreak/>
        <w:t>persistence</w:t>
      </w:r>
      <w:r w:rsidR="00B07393" w:rsidRPr="00823C10">
        <w:rPr>
          <w:color w:val="000000"/>
        </w:rPr>
        <w:t xml:space="preserve"> </w:t>
      </w:r>
      <w:r w:rsidRPr="00823C10">
        <w:rPr>
          <w:color w:val="000000"/>
        </w:rPr>
        <w:t>between</w:t>
      </w:r>
      <w:r w:rsidR="00B07393" w:rsidRPr="00823C10">
        <w:rPr>
          <w:color w:val="000000"/>
        </w:rPr>
        <w:t xml:space="preserve"> </w:t>
      </w:r>
      <w:r w:rsidRPr="00823C10">
        <w:rPr>
          <w:color w:val="000000"/>
        </w:rPr>
        <w:t>subjects</w:t>
      </w:r>
      <w:r w:rsidR="00B07393" w:rsidRPr="00823C10">
        <w:rPr>
          <w:color w:val="000000"/>
        </w:rPr>
        <w:t xml:space="preserve"> </w:t>
      </w:r>
      <w:r w:rsidRPr="00823C10">
        <w:rPr>
          <w:color w:val="000000"/>
        </w:rPr>
        <w:t>who received</w:t>
      </w:r>
      <w:r>
        <w:rPr>
          <w:color w:val="000000"/>
        </w:rPr>
        <w:t xml:space="preserve"> 2 doses or 1 dose of </w:t>
      </w:r>
      <w:proofErr w:type="spellStart"/>
      <w:r w:rsidR="00AA10D9">
        <w:rPr>
          <w:color w:val="000000"/>
        </w:rPr>
        <w:t>Menveo</w:t>
      </w:r>
      <w:proofErr w:type="spellEnd"/>
      <w:r>
        <w:rPr>
          <w:color w:val="000000"/>
        </w:rPr>
        <w:t xml:space="preserve"> while both groups of subjects responded equally well to a booster dose given 5 years after primary vaccination</w:t>
      </w:r>
      <w:r>
        <w:rPr>
          <w:color w:val="000000"/>
          <w:spacing w:val="-14"/>
        </w:rPr>
        <w:t xml:space="preserve"> </w:t>
      </w:r>
      <w:r>
        <w:rPr>
          <w:color w:val="000000"/>
        </w:rPr>
        <w:t>series.</w:t>
      </w:r>
    </w:p>
    <w:p w14:paraId="68213EF9" w14:textId="77777777" w:rsidR="000448E6" w:rsidRDefault="000448E6" w:rsidP="00C048A1">
      <w:r w:rsidRPr="000448E6">
        <w:t xml:space="preserve">Based on the above results, the </w:t>
      </w:r>
      <w:r w:rsidR="00C048A1">
        <w:t>sponsor</w:t>
      </w:r>
      <w:r w:rsidRPr="000448E6">
        <w:t xml:space="preserve"> contends that a single dose of </w:t>
      </w:r>
      <w:proofErr w:type="spellStart"/>
      <w:r w:rsidR="00AA10D9">
        <w:t>Menveo</w:t>
      </w:r>
      <w:proofErr w:type="spellEnd"/>
      <w:r w:rsidRPr="000448E6">
        <w:t xml:space="preserve"> provides adequate protection for children aged 2 through 10 years. The value of administration of an additional dose in children aged 6</w:t>
      </w:r>
      <w:r w:rsidR="00C048A1">
        <w:t xml:space="preserve"> to</w:t>
      </w:r>
      <w:r w:rsidRPr="000448E6">
        <w:t>10 years is debatable. While an additional dose could potentially provide an immediate benefit for those children aged 2</w:t>
      </w:r>
      <w:r w:rsidR="00C048A1">
        <w:t xml:space="preserve"> to </w:t>
      </w:r>
      <w:r w:rsidRPr="000448E6">
        <w:t>5 years at higher risk for invasive meningococcal disease (</w:t>
      </w:r>
      <w:r w:rsidR="00C048A1">
        <w:t>for example,</w:t>
      </w:r>
      <w:r w:rsidRPr="000448E6">
        <w:t xml:space="preserve"> those with an immunocompromised status or living in an endemic area), routine administration of 2 doses of </w:t>
      </w:r>
      <w:proofErr w:type="spellStart"/>
      <w:r w:rsidRPr="000448E6">
        <w:t>MenACWY</w:t>
      </w:r>
      <w:proofErr w:type="spellEnd"/>
      <w:r w:rsidRPr="000448E6">
        <w:t xml:space="preserve"> is not warranted as 2 doses are not associated with greater lasting protection compared with a single</w:t>
      </w:r>
      <w:r w:rsidR="00B07393">
        <w:t xml:space="preserve"> </w:t>
      </w:r>
      <w:r w:rsidRPr="000448E6">
        <w:t>dose.</w:t>
      </w:r>
    </w:p>
    <w:p w14:paraId="5E79B59E" w14:textId="77777777" w:rsidR="000448E6" w:rsidRPr="00C048A1" w:rsidRDefault="000448E6" w:rsidP="00C048A1">
      <w:pPr>
        <w:pStyle w:val="Heading5"/>
      </w:pPr>
      <w:r w:rsidRPr="000448E6">
        <w:t>Other issues raised by the TGA Dele</w:t>
      </w:r>
      <w:r w:rsidR="00FE0A12">
        <w:t>gate</w:t>
      </w:r>
    </w:p>
    <w:p w14:paraId="7E395319" w14:textId="77777777" w:rsidR="00FE0A12" w:rsidRPr="00C048A1" w:rsidRDefault="00FE0A12" w:rsidP="00C048A1">
      <w:pPr>
        <w:pStyle w:val="Numberbullet0"/>
        <w:numPr>
          <w:ilvl w:val="0"/>
          <w:numId w:val="44"/>
        </w:numPr>
        <w:rPr>
          <w:i/>
        </w:rPr>
      </w:pPr>
      <w:r w:rsidRPr="00C048A1">
        <w:rPr>
          <w:i/>
        </w:rPr>
        <w:t>T</w:t>
      </w:r>
      <w:r w:rsidR="00C048A1" w:rsidRPr="00C048A1">
        <w:rPr>
          <w:i/>
        </w:rPr>
        <w:t>he s</w:t>
      </w:r>
      <w:r w:rsidRPr="00C048A1">
        <w:rPr>
          <w:i/>
        </w:rPr>
        <w:t xml:space="preserve">ponsor is requested to please confirm whether </w:t>
      </w:r>
      <w:proofErr w:type="spellStart"/>
      <w:r w:rsidR="00E72441" w:rsidRPr="00C048A1">
        <w:rPr>
          <w:i/>
        </w:rPr>
        <w:t>Menactra</w:t>
      </w:r>
      <w:proofErr w:type="spellEnd"/>
      <w:r w:rsidRPr="00C048A1">
        <w:rPr>
          <w:i/>
        </w:rPr>
        <w:t xml:space="preserve"> used in this study (V59P20) was a conjugate or a polysaccharide</w:t>
      </w:r>
      <w:r w:rsidRPr="00C048A1">
        <w:rPr>
          <w:i/>
          <w:spacing w:val="49"/>
        </w:rPr>
        <w:t xml:space="preserve"> </w:t>
      </w:r>
      <w:r w:rsidRPr="00C048A1">
        <w:rPr>
          <w:i/>
        </w:rPr>
        <w:t>formulation.</w:t>
      </w:r>
    </w:p>
    <w:p w14:paraId="7835EB14" w14:textId="77777777" w:rsidR="00FE0A12" w:rsidRDefault="00FE0A12" w:rsidP="00C048A1">
      <w:proofErr w:type="spellStart"/>
      <w:r>
        <w:t>Menactra</w:t>
      </w:r>
      <w:proofErr w:type="spellEnd"/>
      <w:r>
        <w:t xml:space="preserve">, as used in </w:t>
      </w:r>
      <w:r w:rsidR="006571F8">
        <w:t>Study V59</w:t>
      </w:r>
      <w:r>
        <w:t>P20, is a vaccine containing polysaccharides of meningococcus types A</w:t>
      </w:r>
      <w:r w:rsidR="007F4D43">
        <w:t>, C, W</w:t>
      </w:r>
      <w:r>
        <w:t xml:space="preserve"> and Y, conjugated to diphtheria toxoid.</w:t>
      </w:r>
    </w:p>
    <w:p w14:paraId="478847FD" w14:textId="77777777" w:rsidR="00FE0A12" w:rsidRPr="00C048A1" w:rsidRDefault="00C048A1" w:rsidP="00C048A1">
      <w:pPr>
        <w:pStyle w:val="Numberbullet0"/>
        <w:rPr>
          <w:i/>
        </w:rPr>
      </w:pPr>
      <w:r>
        <w:rPr>
          <w:i/>
        </w:rPr>
        <w:t>The s</w:t>
      </w:r>
      <w:r w:rsidR="00FE0A12" w:rsidRPr="00C048A1">
        <w:rPr>
          <w:i/>
        </w:rPr>
        <w:t xml:space="preserve">ponsor is also requested to comment whether vaccine (efficacy) failure data specific to completed </w:t>
      </w:r>
      <w:r w:rsidR="00306FB2" w:rsidRPr="00C048A1">
        <w:rPr>
          <w:i/>
        </w:rPr>
        <w:t>4 dose</w:t>
      </w:r>
      <w:r w:rsidR="00FE0A12" w:rsidRPr="00C048A1">
        <w:rPr>
          <w:i/>
        </w:rPr>
        <w:t xml:space="preserve"> series and </w:t>
      </w:r>
      <w:r w:rsidR="00306FB2" w:rsidRPr="00C048A1">
        <w:rPr>
          <w:i/>
        </w:rPr>
        <w:t>2 dose</w:t>
      </w:r>
      <w:r w:rsidR="00FE0A12" w:rsidRPr="00C048A1">
        <w:rPr>
          <w:i/>
        </w:rPr>
        <w:t xml:space="preserve"> catch-up series in infants and one dose vaccination in </w:t>
      </w:r>
      <w:r w:rsidR="00746C7F" w:rsidRPr="00C048A1">
        <w:rPr>
          <w:i/>
        </w:rPr>
        <w:t>2 to 10</w:t>
      </w:r>
      <w:r w:rsidR="00FE0A12" w:rsidRPr="00C048A1">
        <w:rPr>
          <w:i/>
        </w:rPr>
        <w:t xml:space="preserve"> years old children are available from post-market surveillance and include a summary in its Pre-ACV response if</w:t>
      </w:r>
      <w:r w:rsidR="00FE0A12" w:rsidRPr="00C048A1">
        <w:rPr>
          <w:i/>
          <w:spacing w:val="29"/>
        </w:rPr>
        <w:t xml:space="preserve"> </w:t>
      </w:r>
      <w:r w:rsidR="00FE0A12" w:rsidRPr="00C048A1">
        <w:rPr>
          <w:i/>
        </w:rPr>
        <w:t>available.</w:t>
      </w:r>
    </w:p>
    <w:p w14:paraId="523E9A23" w14:textId="77777777" w:rsidR="00FE0A12" w:rsidRDefault="00FE0A12" w:rsidP="00C048A1">
      <w:r>
        <w:t xml:space="preserve">Since launch, GSK has received 41 cases suggestive of </w:t>
      </w:r>
      <w:proofErr w:type="spellStart"/>
      <w:r w:rsidR="00AA10D9">
        <w:t>Menveo</w:t>
      </w:r>
      <w:proofErr w:type="spellEnd"/>
      <w:r>
        <w:t xml:space="preserve"> vaccination failure. Of these, 18 were cases</w:t>
      </w:r>
      <w:r w:rsidR="00B07393">
        <w:t xml:space="preserve"> </w:t>
      </w:r>
      <w:r>
        <w:t>of clinical vaccination failure (</w:t>
      </w:r>
      <w:r w:rsidR="000E0284">
        <w:t>that is,</w:t>
      </w:r>
      <w:r>
        <w:t xml:space="preserve"> cases that describe the occurrence of the specific vaccine-preventable disease in a person who is appropriately and fully vaccinated, taking into account the incubation period and</w:t>
      </w:r>
      <w:r w:rsidR="00B07393">
        <w:t xml:space="preserve"> </w:t>
      </w:r>
      <w:r>
        <w:t xml:space="preserve">the normal delay for the protection to be acquired as a result of </w:t>
      </w:r>
      <w:r w:rsidR="00105660">
        <w:t>immunisation</w:t>
      </w:r>
      <w:r>
        <w:t xml:space="preserve">). All of these 18 cases were concerning adult </w:t>
      </w:r>
      <w:proofErr w:type="spellStart"/>
      <w:r>
        <w:t>vaccinees</w:t>
      </w:r>
      <w:proofErr w:type="spellEnd"/>
      <w:r>
        <w:t>. GSK does not have sufficient post-marketing data to make a conclusion on vaccine efficacy in the dosing regimens or age groups referred</w:t>
      </w:r>
      <w:r>
        <w:rPr>
          <w:spacing w:val="56"/>
        </w:rPr>
        <w:t xml:space="preserve"> </w:t>
      </w:r>
      <w:r>
        <w:t>to.</w:t>
      </w:r>
    </w:p>
    <w:p w14:paraId="46AC19C4" w14:textId="77777777" w:rsidR="00FE0A12" w:rsidRPr="00CD2ECB" w:rsidRDefault="00FE0A12" w:rsidP="00CD2ECB">
      <w:pPr>
        <w:pStyle w:val="Numberbullet0"/>
        <w:rPr>
          <w:i/>
        </w:rPr>
      </w:pPr>
      <w:r w:rsidRPr="00CD2ECB">
        <w:rPr>
          <w:i/>
        </w:rPr>
        <w:t xml:space="preserve">It is noted that long-term antibody persistence data for the </w:t>
      </w:r>
      <w:r w:rsidR="00306FB2" w:rsidRPr="00CD2ECB">
        <w:rPr>
          <w:i/>
        </w:rPr>
        <w:t>4 dose</w:t>
      </w:r>
      <w:r w:rsidRPr="00CD2ECB">
        <w:rPr>
          <w:i/>
        </w:rPr>
        <w:t xml:space="preserve"> schedule are curre</w:t>
      </w:r>
      <w:r w:rsidR="00CD2ECB">
        <w:rPr>
          <w:i/>
        </w:rPr>
        <w:t>ntly not available. The s</w:t>
      </w:r>
      <w:r w:rsidRPr="00CD2ECB">
        <w:rPr>
          <w:i/>
        </w:rPr>
        <w:t xml:space="preserve">ponsor is requested to comment and provide a summary of antibody persistence data, if available, from the cohorts of subjects who completed </w:t>
      </w:r>
      <w:r w:rsidR="00306FB2" w:rsidRPr="00CD2ECB">
        <w:rPr>
          <w:i/>
        </w:rPr>
        <w:t>4 dose</w:t>
      </w:r>
      <w:r w:rsidRPr="00CD2ECB">
        <w:rPr>
          <w:i/>
        </w:rPr>
        <w:t xml:space="preserve"> vaccination schedule in</w:t>
      </w:r>
      <w:r w:rsidR="00B07393" w:rsidRPr="00CD2ECB">
        <w:rPr>
          <w:i/>
        </w:rPr>
        <w:t xml:space="preserve"> </w:t>
      </w:r>
      <w:r w:rsidRPr="00CD2ECB">
        <w:rPr>
          <w:i/>
        </w:rPr>
        <w:t>these 2 trials (V59P_14 and</w:t>
      </w:r>
      <w:r w:rsidRPr="00CD2ECB">
        <w:rPr>
          <w:i/>
          <w:spacing w:val="33"/>
        </w:rPr>
        <w:t xml:space="preserve"> </w:t>
      </w:r>
      <w:r w:rsidRPr="00CD2ECB">
        <w:rPr>
          <w:i/>
        </w:rPr>
        <w:t>V59_33)</w:t>
      </w:r>
    </w:p>
    <w:p w14:paraId="53654101" w14:textId="77777777" w:rsidR="00FE0A12" w:rsidRDefault="00FE0A12" w:rsidP="00CD2ECB">
      <w:pPr>
        <w:rPr>
          <w:color w:val="000000"/>
        </w:rPr>
      </w:pPr>
      <w:r>
        <w:t xml:space="preserve">Antibody persistence after 4 infant doses of </w:t>
      </w:r>
      <w:proofErr w:type="spellStart"/>
      <w:r w:rsidR="00AA10D9">
        <w:t>Menveo</w:t>
      </w:r>
      <w:proofErr w:type="spellEnd"/>
      <w:r>
        <w:t xml:space="preserve"> was assessed in </w:t>
      </w:r>
      <w:r w:rsidR="006571F8">
        <w:t>Study V59</w:t>
      </w:r>
      <w:r>
        <w:t xml:space="preserve">P14E1, which was a </w:t>
      </w:r>
      <w:r w:rsidR="00CD2ECB">
        <w:t>P</w:t>
      </w:r>
      <w:r>
        <w:t>hase</w:t>
      </w:r>
      <w:r w:rsidR="00CD2ECB">
        <w:t xml:space="preserve"> </w:t>
      </w:r>
      <w:proofErr w:type="spellStart"/>
      <w:r w:rsidR="00CD2ECB">
        <w:t>III</w:t>
      </w:r>
      <w:r>
        <w:t>b</w:t>
      </w:r>
      <w:proofErr w:type="spellEnd"/>
      <w:r>
        <w:t>, multicentre, open-label, controlled extension of</w:t>
      </w:r>
      <w:r w:rsidR="00B07393">
        <w:t xml:space="preserve"> </w:t>
      </w:r>
      <w:r>
        <w:t>the</w:t>
      </w:r>
      <w:r w:rsidR="00B07393">
        <w:t xml:space="preserve"> </w:t>
      </w:r>
      <w:r w:rsidRPr="00823C10">
        <w:t>V59P14</w:t>
      </w:r>
      <w:r w:rsidR="00B07393" w:rsidRPr="00823C10">
        <w:t xml:space="preserve"> </w:t>
      </w:r>
      <w:r w:rsidRPr="00823C10">
        <w:t>trial</w:t>
      </w:r>
      <w:r w:rsidRPr="00823C10">
        <w:rPr>
          <w:color w:val="000000"/>
        </w:rPr>
        <w:t>.</w:t>
      </w:r>
      <w:bookmarkStart w:id="142" w:name="_Ref499212427"/>
      <w:r w:rsidR="00823C10" w:rsidRPr="00823C10">
        <w:rPr>
          <w:rStyle w:val="FootnoteReference"/>
          <w:color w:val="000000"/>
        </w:rPr>
        <w:footnoteReference w:id="9"/>
      </w:r>
      <w:bookmarkEnd w:id="142"/>
      <w:r>
        <w:rPr>
          <w:color w:val="000000"/>
        </w:rPr>
        <w:t xml:space="preserve"> This extension was conducted at US sites with adequate enrolment that participated in the parent study, and enrolled subjects who received either</w:t>
      </w:r>
      <w:r w:rsidR="00B07393">
        <w:rPr>
          <w:color w:val="000000"/>
        </w:rPr>
        <w:t xml:space="preserve"> </w:t>
      </w:r>
      <w:r>
        <w:rPr>
          <w:color w:val="000000"/>
        </w:rPr>
        <w:t xml:space="preserve">4 primary doses (at 2, 4, 6, and 12 or 13 months of age) and those who received 2 doses of </w:t>
      </w:r>
      <w:proofErr w:type="spellStart"/>
      <w:r w:rsidR="00AA10D9">
        <w:rPr>
          <w:color w:val="000000"/>
        </w:rPr>
        <w:t>Menveo</w:t>
      </w:r>
      <w:proofErr w:type="spellEnd"/>
      <w:r>
        <w:rPr>
          <w:color w:val="000000"/>
        </w:rPr>
        <w:t xml:space="preserve"> in the second year of life. Antibody persistence data was assessed at 40 and 60 months of age</w:t>
      </w:r>
      <w:r w:rsidR="00A21AF0">
        <w:rPr>
          <w:color w:val="000000"/>
        </w:rPr>
        <w:t>.</w:t>
      </w:r>
      <w:r w:rsidR="00A21AF0" w:rsidRPr="00A21AF0">
        <w:rPr>
          <w:color w:val="000000"/>
          <w:vertAlign w:val="superscript"/>
        </w:rPr>
        <w:fldChar w:fldCharType="begin"/>
      </w:r>
      <w:r w:rsidR="00A21AF0" w:rsidRPr="00A21AF0">
        <w:rPr>
          <w:color w:val="000000"/>
          <w:vertAlign w:val="superscript"/>
        </w:rPr>
        <w:instrText xml:space="preserve"> NOTEREF _Ref499212427 \h </w:instrText>
      </w:r>
      <w:r w:rsidR="00A21AF0">
        <w:rPr>
          <w:color w:val="000000"/>
          <w:vertAlign w:val="superscript"/>
        </w:rPr>
        <w:instrText xml:space="preserve"> \* MERGEFORMAT </w:instrText>
      </w:r>
      <w:r w:rsidR="00A21AF0" w:rsidRPr="00A21AF0">
        <w:rPr>
          <w:color w:val="000000"/>
          <w:vertAlign w:val="superscript"/>
        </w:rPr>
      </w:r>
      <w:r w:rsidR="00A21AF0" w:rsidRPr="00A21AF0">
        <w:rPr>
          <w:color w:val="000000"/>
          <w:vertAlign w:val="superscript"/>
        </w:rPr>
        <w:fldChar w:fldCharType="separate"/>
      </w:r>
      <w:r w:rsidR="009B58BB">
        <w:rPr>
          <w:color w:val="000000"/>
          <w:vertAlign w:val="superscript"/>
        </w:rPr>
        <w:t>9</w:t>
      </w:r>
      <w:r w:rsidR="00A21AF0" w:rsidRPr="00A21AF0">
        <w:rPr>
          <w:color w:val="000000"/>
          <w:vertAlign w:val="superscript"/>
        </w:rPr>
        <w:fldChar w:fldCharType="end"/>
      </w:r>
      <w:r>
        <w:rPr>
          <w:color w:val="000000"/>
        </w:rPr>
        <w:t xml:space="preserve"> In subjects who received 4 primary doses, antibody levels declined substantially for serogroups A and C by 40 months of</w:t>
      </w:r>
      <w:r w:rsidR="00B07393">
        <w:rPr>
          <w:color w:val="000000"/>
        </w:rPr>
        <w:t xml:space="preserve"> </w:t>
      </w:r>
      <w:r>
        <w:rPr>
          <w:color w:val="000000"/>
        </w:rPr>
        <w:t>age, 27</w:t>
      </w:r>
      <w:r w:rsidR="00CD2ECB">
        <w:rPr>
          <w:color w:val="000000"/>
        </w:rPr>
        <w:t xml:space="preserve"> to </w:t>
      </w:r>
      <w:r>
        <w:rPr>
          <w:color w:val="000000"/>
        </w:rPr>
        <w:t xml:space="preserve">28 months after the </w:t>
      </w:r>
      <w:r w:rsidR="00CD2ECB">
        <w:rPr>
          <w:color w:val="000000"/>
        </w:rPr>
        <w:t>fourth</w:t>
      </w:r>
      <w:r>
        <w:rPr>
          <w:color w:val="000000"/>
        </w:rPr>
        <w:t xml:space="preserve"> dose, with percentages of subjects with </w:t>
      </w:r>
      <w:proofErr w:type="spellStart"/>
      <w:r>
        <w:rPr>
          <w:color w:val="000000"/>
        </w:rPr>
        <w:t>hSBA</w:t>
      </w:r>
      <w:proofErr w:type="spellEnd"/>
      <w:r>
        <w:rPr>
          <w:color w:val="000000"/>
        </w:rPr>
        <w:t xml:space="preserve"> </w:t>
      </w:r>
      <w:r w:rsidR="00CD2ECB">
        <w:rPr>
          <w:color w:val="000000"/>
        </w:rPr>
        <w:t>titres</w:t>
      </w:r>
      <w:r w:rsidR="00B07393">
        <w:rPr>
          <w:color w:val="000000"/>
        </w:rPr>
        <w:t xml:space="preserve">≥ </w:t>
      </w:r>
      <w:r>
        <w:rPr>
          <w:color w:val="000000"/>
        </w:rPr>
        <w:t>1:8</w:t>
      </w:r>
      <w:r w:rsidR="00B07393">
        <w:rPr>
          <w:color w:val="000000"/>
        </w:rPr>
        <w:t xml:space="preserve"> </w:t>
      </w:r>
      <w:r>
        <w:rPr>
          <w:color w:val="000000"/>
        </w:rPr>
        <w:t>ranging</w:t>
      </w:r>
      <w:r w:rsidR="00B07393">
        <w:rPr>
          <w:color w:val="000000"/>
        </w:rPr>
        <w:t xml:space="preserve"> </w:t>
      </w:r>
      <w:r>
        <w:rPr>
          <w:color w:val="000000"/>
        </w:rPr>
        <w:t>from 7%-16% for serogroup A and 27%-32% for serogroup C. Levels of bactericidal antibodies against serogroups W (68%</w:t>
      </w:r>
      <w:r w:rsidR="00CD2ECB">
        <w:rPr>
          <w:color w:val="000000"/>
        </w:rPr>
        <w:t xml:space="preserve"> to</w:t>
      </w:r>
      <w:r>
        <w:rPr>
          <w:color w:val="000000"/>
        </w:rPr>
        <w:t xml:space="preserve"> 70% subjects with </w:t>
      </w:r>
      <w:proofErr w:type="spellStart"/>
      <w:r>
        <w:rPr>
          <w:color w:val="000000"/>
        </w:rPr>
        <w:t>hSBA</w:t>
      </w:r>
      <w:proofErr w:type="spellEnd"/>
      <w:r>
        <w:rPr>
          <w:color w:val="000000"/>
        </w:rPr>
        <w:t xml:space="preserve"> </w:t>
      </w:r>
      <w:r w:rsidR="00CD2ECB">
        <w:rPr>
          <w:color w:val="000000"/>
        </w:rPr>
        <w:t xml:space="preserve">titres </w:t>
      </w:r>
      <w:r w:rsidR="00B07393">
        <w:rPr>
          <w:color w:val="000000"/>
        </w:rPr>
        <w:t xml:space="preserve">≥ </w:t>
      </w:r>
      <w:r>
        <w:rPr>
          <w:color w:val="000000"/>
        </w:rPr>
        <w:t>1:8) and Y (53%</w:t>
      </w:r>
      <w:r w:rsidR="00CD2ECB">
        <w:rPr>
          <w:color w:val="000000"/>
        </w:rPr>
        <w:t xml:space="preserve"> to </w:t>
      </w:r>
      <w:r>
        <w:rPr>
          <w:color w:val="000000"/>
        </w:rPr>
        <w:t xml:space="preserve">60% subjects with </w:t>
      </w:r>
      <w:proofErr w:type="spellStart"/>
      <w:r>
        <w:rPr>
          <w:color w:val="000000"/>
        </w:rPr>
        <w:t>hSBA</w:t>
      </w:r>
      <w:proofErr w:type="spellEnd"/>
      <w:r>
        <w:rPr>
          <w:color w:val="000000"/>
        </w:rPr>
        <w:t xml:space="preserve"> </w:t>
      </w:r>
      <w:r w:rsidR="00CD2ECB">
        <w:rPr>
          <w:color w:val="000000"/>
        </w:rPr>
        <w:t>titres</w:t>
      </w:r>
      <w:r w:rsidR="00B07393">
        <w:rPr>
          <w:color w:val="000000"/>
        </w:rPr>
        <w:t xml:space="preserve">≥ </w:t>
      </w:r>
      <w:r>
        <w:rPr>
          <w:color w:val="000000"/>
        </w:rPr>
        <w:t>1:8) also declined although to a lesser degree. By 60 months of age, 47</w:t>
      </w:r>
      <w:r w:rsidR="00CD2ECB">
        <w:rPr>
          <w:color w:val="000000"/>
        </w:rPr>
        <w:t xml:space="preserve"> to </w:t>
      </w:r>
      <w:r>
        <w:rPr>
          <w:color w:val="000000"/>
        </w:rPr>
        <w:t>48 months after last infant dose, antibody titres declined further across serogroups but the magnitude of the decline was less pronounced. Of note, at both time points, antibody titres in vaccinated subjects were higher than those seen in age-matched naïve</w:t>
      </w:r>
      <w:r>
        <w:rPr>
          <w:color w:val="000000"/>
          <w:spacing w:val="44"/>
        </w:rPr>
        <w:t xml:space="preserve"> </w:t>
      </w:r>
      <w:r>
        <w:rPr>
          <w:color w:val="000000"/>
        </w:rPr>
        <w:t>controls.</w:t>
      </w:r>
    </w:p>
    <w:p w14:paraId="6E7BA42B" w14:textId="77777777" w:rsidR="00FE0A12" w:rsidRDefault="00FE0A12" w:rsidP="00CD2ECB">
      <w:r>
        <w:lastRenderedPageBreak/>
        <w:t xml:space="preserve">Antibody persistence was </w:t>
      </w:r>
      <w:r w:rsidR="00CD2ECB">
        <w:t>not evaluated for subjects from S</w:t>
      </w:r>
      <w:r>
        <w:t>tudy</w:t>
      </w:r>
      <w:r w:rsidR="00B07393">
        <w:t xml:space="preserve"> </w:t>
      </w:r>
      <w:r>
        <w:t>V59_33.</w:t>
      </w:r>
    </w:p>
    <w:p w14:paraId="1855F98A" w14:textId="77777777" w:rsidR="00FE0A12" w:rsidRPr="00CD2ECB" w:rsidRDefault="00FE0A12" w:rsidP="00CD2ECB">
      <w:pPr>
        <w:pStyle w:val="Numberbullet0"/>
        <w:rPr>
          <w:i/>
        </w:rPr>
      </w:pPr>
      <w:r w:rsidRPr="00CD2ECB">
        <w:rPr>
          <w:i/>
        </w:rPr>
        <w:t xml:space="preserve">In its pre-ACV response, the </w:t>
      </w:r>
      <w:r w:rsidR="00CD2ECB" w:rsidRPr="00CD2ECB">
        <w:rPr>
          <w:i/>
        </w:rPr>
        <w:t>s</w:t>
      </w:r>
      <w:r w:rsidRPr="00CD2ECB">
        <w:rPr>
          <w:i/>
        </w:rPr>
        <w:t>ponsor is requested to comment and provide a summary of longer term antibody persistence data from this study (v59_P21) if</w:t>
      </w:r>
      <w:r w:rsidR="00B07393" w:rsidRPr="00CD2ECB">
        <w:rPr>
          <w:i/>
        </w:rPr>
        <w:t xml:space="preserve"> </w:t>
      </w:r>
      <w:r w:rsidRPr="00CD2ECB">
        <w:rPr>
          <w:i/>
        </w:rPr>
        <w:t>available.</w:t>
      </w:r>
    </w:p>
    <w:p w14:paraId="3552D69C" w14:textId="77777777" w:rsidR="00FE0A12" w:rsidRDefault="00FE0A12" w:rsidP="00CD2ECB">
      <w:r>
        <w:t xml:space="preserve">Antibody persistence was not evaluated for subjects from </w:t>
      </w:r>
      <w:r w:rsidR="00CD2ECB">
        <w:t>S</w:t>
      </w:r>
      <w:r>
        <w:t>tudy</w:t>
      </w:r>
      <w:r w:rsidR="00B07393">
        <w:t xml:space="preserve"> </w:t>
      </w:r>
      <w:r>
        <w:t>V59P21.</w:t>
      </w:r>
    </w:p>
    <w:p w14:paraId="45FFF058" w14:textId="77777777" w:rsidR="00FE0A12" w:rsidRPr="00CD2ECB" w:rsidRDefault="00CD2ECB" w:rsidP="00CD2ECB">
      <w:pPr>
        <w:pStyle w:val="Numberbullet0"/>
        <w:rPr>
          <w:i/>
        </w:rPr>
      </w:pPr>
      <w:r w:rsidRPr="00CD2ECB">
        <w:rPr>
          <w:i/>
        </w:rPr>
        <w:t>The s</w:t>
      </w:r>
      <w:r w:rsidR="00FE0A12" w:rsidRPr="00CD2ECB">
        <w:rPr>
          <w:i/>
        </w:rPr>
        <w:t>ponsor is requested to include a summary of long-term persistence data from this study (V59_P20E1) in its Pre-ACV response by primary doses (1 or 2) and by booster where</w:t>
      </w:r>
      <w:r w:rsidR="00B07393" w:rsidRPr="00CD2ECB">
        <w:rPr>
          <w:i/>
        </w:rPr>
        <w:t xml:space="preserve"> </w:t>
      </w:r>
      <w:r w:rsidR="00FE0A12" w:rsidRPr="00CD2ECB">
        <w:rPr>
          <w:i/>
        </w:rPr>
        <w:t>relevant.</w:t>
      </w:r>
    </w:p>
    <w:p w14:paraId="06B4395D" w14:textId="77777777" w:rsidR="00FE0A12" w:rsidRDefault="00FE0A12" w:rsidP="00CD2ECB">
      <w:r>
        <w:t xml:space="preserve">Antibody persistence at 5 years after primary vaccination was assessed in </w:t>
      </w:r>
      <w:r w:rsidR="006571F8">
        <w:t>Study V59</w:t>
      </w:r>
      <w:r>
        <w:t>P20E1</w:t>
      </w:r>
      <w:r w:rsidR="00A21AF0" w:rsidRPr="00A21AF0">
        <w:rPr>
          <w:vertAlign w:val="superscript"/>
        </w:rPr>
        <w:fldChar w:fldCharType="begin"/>
      </w:r>
      <w:r w:rsidR="00A21AF0" w:rsidRPr="00A21AF0">
        <w:rPr>
          <w:vertAlign w:val="superscript"/>
        </w:rPr>
        <w:instrText xml:space="preserve"> NOTEREF _Ref499212448 \h </w:instrText>
      </w:r>
      <w:r w:rsidR="00A21AF0">
        <w:rPr>
          <w:vertAlign w:val="superscript"/>
        </w:rPr>
        <w:instrText xml:space="preserve"> \* MERGEFORMAT </w:instrText>
      </w:r>
      <w:r w:rsidR="00A21AF0" w:rsidRPr="00A21AF0">
        <w:rPr>
          <w:vertAlign w:val="superscript"/>
        </w:rPr>
      </w:r>
      <w:r w:rsidR="00A21AF0" w:rsidRPr="00A21AF0">
        <w:rPr>
          <w:vertAlign w:val="superscript"/>
        </w:rPr>
        <w:fldChar w:fldCharType="separate"/>
      </w:r>
      <w:r w:rsidR="009B58BB">
        <w:rPr>
          <w:vertAlign w:val="superscript"/>
        </w:rPr>
        <w:t>8</w:t>
      </w:r>
      <w:r w:rsidR="00A21AF0" w:rsidRPr="00A21AF0">
        <w:rPr>
          <w:vertAlign w:val="superscript"/>
        </w:rPr>
        <w:fldChar w:fldCharType="end"/>
      </w:r>
      <w:r w:rsidR="00A21AF0">
        <w:t>,</w:t>
      </w:r>
      <w:r>
        <w:t xml:space="preserve"> a </w:t>
      </w:r>
      <w:r w:rsidR="00CD2ECB">
        <w:t>P</w:t>
      </w:r>
      <w:r>
        <w:t xml:space="preserve">hase </w:t>
      </w:r>
      <w:r w:rsidR="00CD2ECB">
        <w:t>IV</w:t>
      </w:r>
      <w:r>
        <w:t xml:space="preserve"> open- label controlled extension of the V59P20 study. There was substantial antibody persistence observed against serogroups C, W and Y, with the percentages of subjects with </w:t>
      </w:r>
      <w:proofErr w:type="spellStart"/>
      <w:r>
        <w:t>hSBA</w:t>
      </w:r>
      <w:proofErr w:type="spellEnd"/>
      <w:r>
        <w:t xml:space="preserve"> titres </w:t>
      </w:r>
      <w:r w:rsidR="00B07393">
        <w:t xml:space="preserve">≥ </w:t>
      </w:r>
      <w:r>
        <w:t>8 being 32% and 56% against serogroup C in subjects 2</w:t>
      </w:r>
      <w:r w:rsidR="00CD2ECB">
        <w:t xml:space="preserve"> to </w:t>
      </w:r>
      <w:r>
        <w:t>5 and 6</w:t>
      </w:r>
      <w:r w:rsidR="00CD2ECB">
        <w:t xml:space="preserve"> to </w:t>
      </w:r>
      <w:r>
        <w:t>10 years of age, respectively, 74% and 80% against serogroup W, and 48% and 53% against serogroup Y. For serogroup A, the decline in circulating bactericidal antibody titres were greater,</w:t>
      </w:r>
      <w:r>
        <w:rPr>
          <w:spacing w:val="-10"/>
        </w:rPr>
        <w:t xml:space="preserve"> </w:t>
      </w:r>
      <w:r>
        <w:t>with</w:t>
      </w:r>
      <w:r>
        <w:rPr>
          <w:spacing w:val="-7"/>
        </w:rPr>
        <w:t xml:space="preserve"> </w:t>
      </w:r>
      <w:r>
        <w:t>14%</w:t>
      </w:r>
      <w:r>
        <w:rPr>
          <w:spacing w:val="-6"/>
        </w:rPr>
        <w:t xml:space="preserve"> </w:t>
      </w:r>
      <w:r>
        <w:t>and</w:t>
      </w:r>
      <w:r>
        <w:rPr>
          <w:spacing w:val="-6"/>
        </w:rPr>
        <w:t xml:space="preserve"> </w:t>
      </w:r>
      <w:r>
        <w:t>22%</w:t>
      </w:r>
      <w:r>
        <w:rPr>
          <w:spacing w:val="-10"/>
        </w:rPr>
        <w:t xml:space="preserve"> </w:t>
      </w:r>
      <w:r>
        <w:t>of</w:t>
      </w:r>
      <w:r>
        <w:rPr>
          <w:spacing w:val="-8"/>
        </w:rPr>
        <w:t xml:space="preserve"> </w:t>
      </w:r>
      <w:r>
        <w:t>subjects</w:t>
      </w:r>
      <w:r>
        <w:rPr>
          <w:spacing w:val="-8"/>
        </w:rPr>
        <w:t xml:space="preserve"> </w:t>
      </w:r>
      <w:r>
        <w:t>2</w:t>
      </w:r>
      <w:r w:rsidR="00CD2ECB">
        <w:t xml:space="preserve"> to </w:t>
      </w:r>
      <w:r>
        <w:t>5</w:t>
      </w:r>
      <w:r>
        <w:rPr>
          <w:spacing w:val="-5"/>
        </w:rPr>
        <w:t xml:space="preserve"> </w:t>
      </w:r>
      <w:r>
        <w:t>and</w:t>
      </w:r>
      <w:r>
        <w:rPr>
          <w:spacing w:val="-6"/>
        </w:rPr>
        <w:t xml:space="preserve"> </w:t>
      </w:r>
      <w:r>
        <w:t>6</w:t>
      </w:r>
      <w:r w:rsidR="00CD2ECB">
        <w:t xml:space="preserve"> to </w:t>
      </w:r>
      <w:r>
        <w:t>10</w:t>
      </w:r>
      <w:r>
        <w:rPr>
          <w:spacing w:val="-10"/>
        </w:rPr>
        <w:t xml:space="preserve"> </w:t>
      </w:r>
      <w:r>
        <w:t>years</w:t>
      </w:r>
      <w:r>
        <w:rPr>
          <w:spacing w:val="-8"/>
        </w:rPr>
        <w:t xml:space="preserve"> </w:t>
      </w:r>
      <w:r>
        <w:t>of</w:t>
      </w:r>
      <w:r>
        <w:rPr>
          <w:spacing w:val="-8"/>
        </w:rPr>
        <w:t xml:space="preserve"> </w:t>
      </w:r>
      <w:r>
        <w:t>age,</w:t>
      </w:r>
      <w:r>
        <w:rPr>
          <w:spacing w:val="-7"/>
        </w:rPr>
        <w:t xml:space="preserve"> </w:t>
      </w:r>
      <w:r>
        <w:t>respectively,</w:t>
      </w:r>
      <w:r>
        <w:rPr>
          <w:spacing w:val="-8"/>
        </w:rPr>
        <w:t xml:space="preserve"> </w:t>
      </w:r>
      <w:r>
        <w:t>retaining</w:t>
      </w:r>
      <w:r>
        <w:rPr>
          <w:spacing w:val="-8"/>
        </w:rPr>
        <w:t xml:space="preserve"> </w:t>
      </w:r>
      <w:proofErr w:type="spellStart"/>
      <w:r>
        <w:t>hSBA</w:t>
      </w:r>
      <w:proofErr w:type="spellEnd"/>
      <w:r>
        <w:rPr>
          <w:spacing w:val="-8"/>
        </w:rPr>
        <w:t xml:space="preserve"> </w:t>
      </w:r>
      <w:r>
        <w:t>titres</w:t>
      </w:r>
      <w:r>
        <w:rPr>
          <w:spacing w:val="-8"/>
        </w:rPr>
        <w:t xml:space="preserve"> </w:t>
      </w:r>
      <w:r w:rsidR="00B07393">
        <w:t xml:space="preserve">≥ </w:t>
      </w:r>
      <w:r>
        <w:t>8.</w:t>
      </w:r>
      <w:r>
        <w:rPr>
          <w:spacing w:val="-7"/>
        </w:rPr>
        <w:t xml:space="preserve"> </w:t>
      </w:r>
      <w:r>
        <w:t xml:space="preserve">Levels for all 4 serogroups were higher than those seen in meningococcal vaccine-naïve children of similar ages. In the parent </w:t>
      </w:r>
      <w:r w:rsidR="006571F8">
        <w:t>Study V59</w:t>
      </w:r>
      <w:r>
        <w:t>P20, higher antibody responses were seen in 2</w:t>
      </w:r>
      <w:r w:rsidR="00CD2ECB">
        <w:t xml:space="preserve"> to </w:t>
      </w:r>
      <w:r>
        <w:t>5 year</w:t>
      </w:r>
      <w:r w:rsidR="00201824">
        <w:t xml:space="preserve"> </w:t>
      </w:r>
      <w:r>
        <w:t xml:space="preserve">old children after two doses of </w:t>
      </w:r>
      <w:proofErr w:type="spellStart"/>
      <w:r w:rsidR="00AA10D9">
        <w:t>Menveo</w:t>
      </w:r>
      <w:proofErr w:type="spellEnd"/>
      <w:r>
        <w:t xml:space="preserve"> than in those who only received one dose. However, this difference did not persist 5 years later, as levels of residual antibodies were similar in both groups of children, now aged 7</w:t>
      </w:r>
      <w:r w:rsidR="00CD2ECB">
        <w:t xml:space="preserve"> to </w:t>
      </w:r>
      <w:r>
        <w:t>10</w:t>
      </w:r>
      <w:r w:rsidR="00B07393">
        <w:t xml:space="preserve"> </w:t>
      </w:r>
      <w:r>
        <w:t>years.</w:t>
      </w:r>
    </w:p>
    <w:p w14:paraId="4B094CA6" w14:textId="77777777" w:rsidR="00FE0A12" w:rsidRDefault="00FE0A12" w:rsidP="00CD2ECB">
      <w:r>
        <w:t xml:space="preserve">Children in this extension study were also revaccinated with a single dose of </w:t>
      </w:r>
      <w:proofErr w:type="spellStart"/>
      <w:r w:rsidR="00AA10D9">
        <w:t>Menveo</w:t>
      </w:r>
      <w:proofErr w:type="spellEnd"/>
      <w:r>
        <w:t xml:space="preserve"> 5 years after priming. After a booster dose, the fold</w:t>
      </w:r>
      <w:r w:rsidR="00CD2ECB">
        <w:t xml:space="preserve"> </w:t>
      </w:r>
      <w:r>
        <w:t xml:space="preserve">increases in </w:t>
      </w:r>
      <w:proofErr w:type="spellStart"/>
      <w:r>
        <w:t>hSBA</w:t>
      </w:r>
      <w:proofErr w:type="spellEnd"/>
      <w:r>
        <w:t xml:space="preserve"> GMTs were characteristic of booster responses. The magnitude of antibody GMTs and ratio of GMTs post to pre</w:t>
      </w:r>
      <w:r w:rsidR="00CD2ECB">
        <w:t xml:space="preserve"> </w:t>
      </w:r>
      <w:r>
        <w:t>vaccination were significantly higher in previously vaccinated subjects than in age</w:t>
      </w:r>
      <w:r w:rsidR="00CD2ECB">
        <w:t xml:space="preserve"> </w:t>
      </w:r>
      <w:r>
        <w:t>matched vaccine</w:t>
      </w:r>
      <w:r w:rsidR="00201824">
        <w:t xml:space="preserve"> </w:t>
      </w:r>
      <w:r>
        <w:t xml:space="preserve">naïve controls. All children revaccinated at 5 years had </w:t>
      </w:r>
      <w:proofErr w:type="spellStart"/>
      <w:r>
        <w:t>hSBA</w:t>
      </w:r>
      <w:proofErr w:type="spellEnd"/>
      <w:r>
        <w:t xml:space="preserve"> titres </w:t>
      </w:r>
      <w:r w:rsidR="00B07393">
        <w:t>≥</w:t>
      </w:r>
      <w:r w:rsidR="00CD2ECB">
        <w:t> </w:t>
      </w:r>
      <w:r>
        <w:t>8 against each of the four serogroups, except one subject who did not respond to serogroup A. Responses to the booster vaccination were similar regardless of the number of previous doses in younger children, or the age group when the primary vaccinations were</w:t>
      </w:r>
      <w:r w:rsidR="00B07393">
        <w:t xml:space="preserve"> </w:t>
      </w:r>
      <w:r>
        <w:t>administered.</w:t>
      </w:r>
    </w:p>
    <w:p w14:paraId="3ECE480F" w14:textId="77777777" w:rsidR="00FE0A12" w:rsidRPr="00CD2ECB" w:rsidRDefault="00FE0A12" w:rsidP="00CD2ECB">
      <w:pPr>
        <w:pStyle w:val="Numberbullet0"/>
        <w:rPr>
          <w:i/>
        </w:rPr>
      </w:pPr>
      <w:r w:rsidRPr="00CD2ECB">
        <w:rPr>
          <w:i/>
        </w:rPr>
        <w:t xml:space="preserve">Attention of the ACV is brought to the reported imbalance in incidence of deaths, Kawasaki Disease and Bell’s palsy in association with </w:t>
      </w:r>
      <w:proofErr w:type="spellStart"/>
      <w:r w:rsidR="00AA10D9" w:rsidRPr="00CD2ECB">
        <w:rPr>
          <w:i/>
        </w:rPr>
        <w:t>Menveo</w:t>
      </w:r>
      <w:proofErr w:type="spellEnd"/>
      <w:r w:rsidRPr="00CD2ECB">
        <w:rPr>
          <w:i/>
        </w:rPr>
        <w:t xml:space="preserve"> and routine infant/toddler vaccines. None of the deaths were considered causally</w:t>
      </w:r>
      <w:r w:rsidR="00CD2ECB">
        <w:rPr>
          <w:i/>
        </w:rPr>
        <w:t xml:space="preserve"> </w:t>
      </w:r>
      <w:r w:rsidRPr="00CD2ECB">
        <w:rPr>
          <w:i/>
        </w:rPr>
        <w:t>related to the study vaccines. However, causality is not an issue in the presence of controlled data and any imbalance in deaths (and other serious outcomes) in vaccine trials in healthy infants require further</w:t>
      </w:r>
      <w:r w:rsidR="00B07393" w:rsidRPr="00CD2ECB">
        <w:rPr>
          <w:i/>
        </w:rPr>
        <w:t xml:space="preserve"> </w:t>
      </w:r>
      <w:r w:rsidRPr="00CD2ECB">
        <w:rPr>
          <w:i/>
        </w:rPr>
        <w:t>explanation.</w:t>
      </w:r>
    </w:p>
    <w:p w14:paraId="0AAF336E" w14:textId="77777777" w:rsidR="00FE0A12" w:rsidRDefault="00FE0A12" w:rsidP="00201824">
      <w:r>
        <w:t>GSK agrees that assessment of a causal relationship between an event and a vaccine requires inclusion of all cases of that event, not solely those considered by the reporter or investigator as related to the vaccine. However, a numerical or statistical imbalance alone is insufficient evidence of a causal association. Analysis</w:t>
      </w:r>
      <w:r w:rsidR="00B07393">
        <w:t xml:space="preserve"> </w:t>
      </w:r>
      <w:r>
        <w:t xml:space="preserve">of each of the deaths occurring in </w:t>
      </w:r>
      <w:r w:rsidR="00201824">
        <w:t>S</w:t>
      </w:r>
      <w:r>
        <w:t>tudies V59P20 and V59P14 did not find a safety concern. Of the 8 deaths</w:t>
      </w:r>
      <w:r w:rsidR="00B07393">
        <w:t xml:space="preserve"> </w:t>
      </w:r>
      <w:r>
        <w:t xml:space="preserve">in the groups receiving </w:t>
      </w:r>
      <w:proofErr w:type="spellStart"/>
      <w:r w:rsidR="00AA10D9">
        <w:t>Menveo</w:t>
      </w:r>
      <w:proofErr w:type="spellEnd"/>
      <w:r>
        <w:t>, 6 occurred more than 31 days after vaccination. The other 2 deaths were due to sepsis and pneumonitis, for which there is little biological plausibility for a causal association with</w:t>
      </w:r>
      <w:r>
        <w:rPr>
          <w:spacing w:val="42"/>
        </w:rPr>
        <w:t xml:space="preserve"> </w:t>
      </w:r>
      <w:r>
        <w:t>vaccine.</w:t>
      </w:r>
    </w:p>
    <w:p w14:paraId="7E54BD7A" w14:textId="77777777" w:rsidR="00FE0A12" w:rsidRDefault="00FE0A12" w:rsidP="00201824">
      <w:r>
        <w:t xml:space="preserve">Analysis of each of the cases of Kawasaki’s disease (KD) received in studies V59P7, V59P23 and V59P14 did not find sufficient evidence of a causal association. In the groups receiving </w:t>
      </w:r>
      <w:proofErr w:type="spellStart"/>
      <w:r w:rsidR="00AA10D9">
        <w:t>Menveo</w:t>
      </w:r>
      <w:proofErr w:type="spellEnd"/>
      <w:r>
        <w:t>, 3 of the 6 cases of</w:t>
      </w:r>
      <w:r w:rsidR="00B07393">
        <w:t xml:space="preserve"> </w:t>
      </w:r>
      <w:r>
        <w:t>KD occurred beyond the 6-week risk period. Statistical analysis of these cases found a relative risk of 1.5, however the confidence interval included 1, therefore it is possible that there is no correlation between the vaccinated group and KD. Since launch, GSK is aware of 10 such</w:t>
      </w:r>
      <w:r w:rsidR="00B07393">
        <w:t xml:space="preserve"> </w:t>
      </w:r>
      <w:r>
        <w:t>cases.</w:t>
      </w:r>
    </w:p>
    <w:p w14:paraId="13F5EC35" w14:textId="77777777" w:rsidR="00FE0A12" w:rsidRDefault="00FE0A12" w:rsidP="00201824">
      <w:r>
        <w:lastRenderedPageBreak/>
        <w:t xml:space="preserve">The imbalance in the incidence of Bell’s palsy in </w:t>
      </w:r>
      <w:r w:rsidR="006571F8">
        <w:t>Study V59</w:t>
      </w:r>
      <w:r>
        <w:t xml:space="preserve">_34OB led GSK to include facial paresis in the Global Product Information. However, the </w:t>
      </w:r>
      <w:r w:rsidR="00201824">
        <w:t>EMA</w:t>
      </w:r>
      <w:r>
        <w:t xml:space="preserve"> concluded that the evidence was not sufficient to warrant inclusion of this event in the EU </w:t>
      </w:r>
      <w:r w:rsidR="00201824">
        <w:t>Summary of Product Characteristics (</w:t>
      </w:r>
      <w:proofErr w:type="spellStart"/>
      <w:r>
        <w:t>SmPC</w:t>
      </w:r>
      <w:proofErr w:type="spellEnd"/>
      <w:r w:rsidR="00201824">
        <w:t>)</w:t>
      </w:r>
      <w:r>
        <w:t xml:space="preserve"> and rejected the change; therefore, facial paresis does not appear in the EU </w:t>
      </w:r>
      <w:proofErr w:type="spellStart"/>
      <w:r>
        <w:t>SmPC</w:t>
      </w:r>
      <w:proofErr w:type="spellEnd"/>
      <w:r>
        <w:t>.</w:t>
      </w:r>
      <w:r w:rsidR="00B07393">
        <w:t xml:space="preserve"> </w:t>
      </w:r>
      <w:r>
        <w:t>Since launch, GSK is aware of 16 such</w:t>
      </w:r>
      <w:r w:rsidR="00B07393">
        <w:t xml:space="preserve"> </w:t>
      </w:r>
      <w:r>
        <w:t>cases.</w:t>
      </w:r>
    </w:p>
    <w:p w14:paraId="5C735C88" w14:textId="77777777" w:rsidR="00FE0A12" w:rsidRPr="00CF4215" w:rsidRDefault="00FE0A12" w:rsidP="00CF4215">
      <w:pPr>
        <w:pStyle w:val="Heading5"/>
      </w:pPr>
      <w:r>
        <w:t>Risk Management Plan</w:t>
      </w:r>
    </w:p>
    <w:p w14:paraId="50B1BED9" w14:textId="77777777" w:rsidR="00FE0A12" w:rsidRDefault="00FE0A12" w:rsidP="00CF4215">
      <w:r>
        <w:t xml:space="preserve">GSK will implement the </w:t>
      </w:r>
      <w:proofErr w:type="spellStart"/>
      <w:r w:rsidR="00AA10D9">
        <w:t>Menveo</w:t>
      </w:r>
      <w:proofErr w:type="spellEnd"/>
      <w:r>
        <w:t xml:space="preserve"> European Risk Management Plan (EU RMP) (version 8.2, dated 18 April 2016) with an Australian Specific Annex (version 1.1, dated April 2017) both of which were submitted to the TGA on 28 April 2017.</w:t>
      </w:r>
    </w:p>
    <w:p w14:paraId="4DF364D2" w14:textId="77777777" w:rsidR="00FE0A12" w:rsidRDefault="00FE0A12" w:rsidP="00CF4215">
      <w:r>
        <w:t>Additionally, revisions to the EU RMP aligned to the responses provided to the TGA RMP evaluation, dated 28 April 2017, are currently in progress and GSK commits to submitting the revised EU RMP as a post approval commitment, as</w:t>
      </w:r>
      <w:r w:rsidR="00B07393">
        <w:t xml:space="preserve"> </w:t>
      </w:r>
      <w:r>
        <w:t>soon</w:t>
      </w:r>
      <w:r w:rsidR="00B07393">
        <w:t xml:space="preserve"> </w:t>
      </w:r>
      <w:r>
        <w:t>as</w:t>
      </w:r>
      <w:r w:rsidR="00B07393">
        <w:t xml:space="preserve"> </w:t>
      </w:r>
      <w:r>
        <w:t>available.</w:t>
      </w:r>
      <w:r w:rsidR="00B07393">
        <w:t xml:space="preserve"> </w:t>
      </w:r>
      <w:r>
        <w:t>GSK</w:t>
      </w:r>
      <w:r w:rsidR="00B07393">
        <w:t xml:space="preserve"> </w:t>
      </w:r>
      <w:r>
        <w:t>also</w:t>
      </w:r>
      <w:r w:rsidR="00B07393">
        <w:t xml:space="preserve"> </w:t>
      </w:r>
      <w:r>
        <w:t>agrees</w:t>
      </w:r>
      <w:r w:rsidR="00B07393">
        <w:t xml:space="preserve"> </w:t>
      </w:r>
      <w:r>
        <w:t>to</w:t>
      </w:r>
      <w:r w:rsidR="00B07393">
        <w:t xml:space="preserve"> </w:t>
      </w:r>
      <w:r w:rsidR="00CF4215">
        <w:t>submit</w:t>
      </w:r>
      <w:r w:rsidR="00B07393">
        <w:t xml:space="preserve"> </w:t>
      </w:r>
      <w:r>
        <w:t>final</w:t>
      </w:r>
      <w:r w:rsidR="00B07393">
        <w:t xml:space="preserve"> </w:t>
      </w:r>
      <w:r>
        <w:t>reports</w:t>
      </w:r>
      <w:r w:rsidR="00B07393">
        <w:t xml:space="preserve"> </w:t>
      </w:r>
      <w:r>
        <w:t>of</w:t>
      </w:r>
      <w:r w:rsidR="00B07393">
        <w:t xml:space="preserve"> </w:t>
      </w:r>
      <w:r>
        <w:t>ongoing</w:t>
      </w:r>
      <w:r w:rsidR="00B07393">
        <w:t xml:space="preserve"> </w:t>
      </w:r>
      <w:r>
        <w:t>post</w:t>
      </w:r>
      <w:r w:rsidR="00B07393">
        <w:t xml:space="preserve"> </w:t>
      </w:r>
      <w:r>
        <w:t>marketing safety studies (listed in ASA) when</w:t>
      </w:r>
      <w:r w:rsidR="00B07393">
        <w:t xml:space="preserve"> </w:t>
      </w:r>
      <w:r>
        <w:t>completed.</w:t>
      </w:r>
    </w:p>
    <w:p w14:paraId="0D6FABE7" w14:textId="77777777" w:rsidR="00FE0A12" w:rsidRDefault="00FE0A12" w:rsidP="00CF4215">
      <w:pPr>
        <w:pStyle w:val="Heading5"/>
      </w:pPr>
      <w:r w:rsidRPr="00FE0A12">
        <w:t xml:space="preserve">Product </w:t>
      </w:r>
      <w:r w:rsidRPr="00CF4215">
        <w:t>Information</w:t>
      </w:r>
      <w:r w:rsidRPr="00FE0A12">
        <w:t xml:space="preserve"> (PI) and Consumer Medicine Information</w:t>
      </w:r>
      <w:r w:rsidR="00B07393">
        <w:t xml:space="preserve"> </w:t>
      </w:r>
      <w:r w:rsidRPr="00FE0A12">
        <w:t>(CMI)</w:t>
      </w:r>
    </w:p>
    <w:p w14:paraId="102267B5" w14:textId="77777777" w:rsidR="00FE0A12" w:rsidRDefault="00FE0A12" w:rsidP="00CF4215">
      <w:r>
        <w:t>GSK has considered the PI recommendations made by the TGA Delegate and our response is provided</w:t>
      </w:r>
      <w:r w:rsidR="00CF4215">
        <w:t>:</w:t>
      </w:r>
      <w:r>
        <w:t xml:space="preserve"> A revised copy of the PI and CMI, annotated to include refere</w:t>
      </w:r>
      <w:r w:rsidR="00CF4215">
        <w:t>nce to changes required in the D</w:t>
      </w:r>
      <w:r>
        <w:t>elegates overview, clinical evaluation report and RMP ev</w:t>
      </w:r>
      <w:r w:rsidR="00CF4215">
        <w:t xml:space="preserve">aluation report are provided with </w:t>
      </w:r>
      <w:r>
        <w:t>this response. GSK commits to liaising with the TGA Delegate to finalise the PI and CMI to the satisfaction of the TGA.</w:t>
      </w:r>
    </w:p>
    <w:p w14:paraId="12F1335E" w14:textId="77777777" w:rsidR="00FE0A12" w:rsidRPr="00CF4215" w:rsidRDefault="00FE0A12" w:rsidP="00CF4215">
      <w:pPr>
        <w:pStyle w:val="Heading5"/>
      </w:pPr>
      <w:r>
        <w:t>Conclusion</w:t>
      </w:r>
    </w:p>
    <w:p w14:paraId="4A4C61DB" w14:textId="77777777" w:rsidR="00FE0A12" w:rsidRDefault="00FE0A12" w:rsidP="00CF4215">
      <w:r>
        <w:t xml:space="preserve">Current public health need in Australia and the available data package supports the need for </w:t>
      </w:r>
      <w:proofErr w:type="spellStart"/>
      <w:r w:rsidR="00AA10D9">
        <w:t>Menveo</w:t>
      </w:r>
      <w:proofErr w:type="spellEnd"/>
      <w:r>
        <w:t xml:space="preserve"> to be registered for use in infants 2 months and over and children 2 years and over. This is supported by the TGA clinical evaluator, TGA Delegate and a recognised Australian expert on paediatric meningococcal</w:t>
      </w:r>
      <w:r w:rsidR="00B07393">
        <w:t xml:space="preserve"> </w:t>
      </w:r>
      <w:r>
        <w:t>disease.</w:t>
      </w:r>
    </w:p>
    <w:p w14:paraId="6F52FE0D" w14:textId="77777777" w:rsidR="00FE0A12" w:rsidRDefault="00FE0A12" w:rsidP="00CF4215">
      <w:r>
        <w:t xml:space="preserve">The available data supports registration of </w:t>
      </w:r>
      <w:proofErr w:type="spellStart"/>
      <w:r w:rsidR="00AA10D9">
        <w:t>Menveo</w:t>
      </w:r>
      <w:proofErr w:type="spellEnd"/>
      <w:r>
        <w:t xml:space="preserve"> administered as a 4 dose primary schedule in infants from</w:t>
      </w:r>
      <w:r w:rsidR="00B07393">
        <w:t xml:space="preserve"> </w:t>
      </w:r>
      <w:r>
        <w:t>2 to 6 months, which also enables vaccination to be aligned with other infant vaccines given at the same time point. The data also supports a 2 dose catch up schedule in infants 7 to 23 months of age and a single dose vaccination schedule in children 2 years and</w:t>
      </w:r>
      <w:r>
        <w:rPr>
          <w:spacing w:val="41"/>
        </w:rPr>
        <w:t xml:space="preserve"> </w:t>
      </w:r>
      <w:r>
        <w:t>over.</w:t>
      </w:r>
    </w:p>
    <w:p w14:paraId="5DE91D5A" w14:textId="77777777" w:rsidR="00FE0A12" w:rsidRDefault="00FE0A12" w:rsidP="00CF4215">
      <w:bookmarkStart w:id="143" w:name="bookmark2"/>
      <w:bookmarkStart w:id="144" w:name="bookmark3"/>
      <w:bookmarkEnd w:id="143"/>
      <w:bookmarkEnd w:id="144"/>
      <w:r>
        <w:t xml:space="preserve">The safety profile of </w:t>
      </w:r>
      <w:proofErr w:type="spellStart"/>
      <w:r w:rsidR="00AA10D9">
        <w:t>Menveo</w:t>
      </w:r>
      <w:proofErr w:type="spellEnd"/>
      <w:r>
        <w:t xml:space="preserve"> in Infants 2 months of age and over and children 2 years of age and over is </w:t>
      </w:r>
      <w:bookmarkStart w:id="145" w:name="bookmark1"/>
      <w:bookmarkEnd w:id="145"/>
      <w:r>
        <w:t xml:space="preserve">consistent with the known safety profile of </w:t>
      </w:r>
      <w:proofErr w:type="spellStart"/>
      <w:r w:rsidR="00AA10D9">
        <w:t>Menveo</w:t>
      </w:r>
      <w:proofErr w:type="spellEnd"/>
      <w:r>
        <w:t xml:space="preserve"> in other population cohorts and similar to that of </w:t>
      </w:r>
      <w:proofErr w:type="spellStart"/>
      <w:r>
        <w:t>Menactra</w:t>
      </w:r>
      <w:proofErr w:type="spellEnd"/>
      <w:r>
        <w:t xml:space="preserve"> </w:t>
      </w:r>
      <w:bookmarkStart w:id="146" w:name="bookmark0"/>
      <w:bookmarkEnd w:id="146"/>
      <w:r>
        <w:t>which is also approved for use in children 2 years and</w:t>
      </w:r>
      <w:r>
        <w:rPr>
          <w:spacing w:val="53"/>
        </w:rPr>
        <w:t xml:space="preserve"> </w:t>
      </w:r>
      <w:r>
        <w:t>over.</w:t>
      </w:r>
    </w:p>
    <w:p w14:paraId="5317DD6F" w14:textId="77777777" w:rsidR="008E7846" w:rsidRDefault="008E7846" w:rsidP="008E7846">
      <w:pPr>
        <w:pStyle w:val="Heading4"/>
      </w:pPr>
      <w:bookmarkStart w:id="147" w:name="bookmark4"/>
      <w:bookmarkStart w:id="148" w:name="bookmark5"/>
      <w:bookmarkEnd w:id="147"/>
      <w:bookmarkEnd w:id="148"/>
      <w:r>
        <w:t>Advisory Committee Considerations</w:t>
      </w:r>
    </w:p>
    <w:p w14:paraId="5596E010" w14:textId="77777777" w:rsidR="008E7846" w:rsidRDefault="00D23139" w:rsidP="008E7846">
      <w:pPr>
        <w:rPr>
          <w:bCs/>
        </w:rPr>
      </w:pPr>
      <w:r w:rsidRPr="00D23139">
        <w:rPr>
          <w:bCs/>
        </w:rPr>
        <w:t xml:space="preserve">The Advisory Committee on </w:t>
      </w:r>
      <w:r w:rsidR="000448E6">
        <w:rPr>
          <w:bCs/>
        </w:rPr>
        <w:t>Vaccines</w:t>
      </w:r>
      <w:r w:rsidRPr="00D23139">
        <w:rPr>
          <w:bCs/>
        </w:rPr>
        <w:t xml:space="preserve"> (AC</w:t>
      </w:r>
      <w:r w:rsidR="000448E6">
        <w:rPr>
          <w:bCs/>
        </w:rPr>
        <w:t>V</w:t>
      </w:r>
      <w:r w:rsidRPr="00D23139">
        <w:rPr>
          <w:bCs/>
        </w:rPr>
        <w:t>), having considered the evaluations and the Delegate’s overview, as well as the sponsor’s response to these documents, advised the following:</w:t>
      </w:r>
    </w:p>
    <w:p w14:paraId="181E9F81" w14:textId="77777777" w:rsidR="000448E6" w:rsidRDefault="000448E6" w:rsidP="000448E6">
      <w:r>
        <w:t xml:space="preserve">The ACV taking into account the submitted evidence of efficacy and safety agreed with the </w:t>
      </w:r>
      <w:r w:rsidR="00A81081">
        <w:t>D</w:t>
      </w:r>
      <w:r>
        <w:t xml:space="preserve">elegate and considered </w:t>
      </w:r>
      <w:proofErr w:type="spellStart"/>
      <w:r w:rsidR="00AA10D9">
        <w:t>Menveo</w:t>
      </w:r>
      <w:proofErr w:type="spellEnd"/>
      <w:r>
        <w:t xml:space="preserve"> meningococcal (Groups A, C, W-135 and Y) oligosaccharide CRM197 conjugate vaccine to have an overall positive benefit-risk profile for the extension of indication [as underlined]:</w:t>
      </w:r>
    </w:p>
    <w:p w14:paraId="69D9DB99" w14:textId="77777777" w:rsidR="000448E6" w:rsidRPr="00A81081" w:rsidRDefault="00AA10D9" w:rsidP="00A81081">
      <w:pPr>
        <w:ind w:left="720"/>
        <w:rPr>
          <w:i/>
        </w:rPr>
      </w:pPr>
      <w:proofErr w:type="spellStart"/>
      <w:r w:rsidRPr="00A81081">
        <w:rPr>
          <w:i/>
        </w:rPr>
        <w:t>Menveo</w:t>
      </w:r>
      <w:proofErr w:type="spellEnd"/>
      <w:r w:rsidR="000448E6" w:rsidRPr="00A81081">
        <w:rPr>
          <w:i/>
        </w:rPr>
        <w:t xml:space="preserve"> is indicated for active immunisation of infants and children (</w:t>
      </w:r>
      <w:r w:rsidR="000448E6" w:rsidRPr="00A81081">
        <w:rPr>
          <w:i/>
          <w:u w:val="single"/>
        </w:rPr>
        <w:t>from 2 months of age</w:t>
      </w:r>
      <w:r w:rsidR="000448E6" w:rsidRPr="00A81081">
        <w:rPr>
          <w:i/>
        </w:rPr>
        <w:t xml:space="preserve">), adolescents and adults to prevent invasive disease caused by Neisseria </w:t>
      </w:r>
      <w:proofErr w:type="spellStart"/>
      <w:r w:rsidR="000448E6" w:rsidRPr="00A81081">
        <w:rPr>
          <w:i/>
        </w:rPr>
        <w:t>meningitidis</w:t>
      </w:r>
      <w:proofErr w:type="spellEnd"/>
      <w:r w:rsidR="000448E6" w:rsidRPr="00A81081">
        <w:rPr>
          <w:i/>
        </w:rPr>
        <w:t xml:space="preserve"> serogroups A, C, W135 and Y. The use of this vaccine should be in accordance with official recommendations</w:t>
      </w:r>
    </w:p>
    <w:p w14:paraId="65CA5E36" w14:textId="77777777" w:rsidR="000448E6" w:rsidRDefault="000448E6" w:rsidP="000448E6">
      <w:proofErr w:type="gramStart"/>
      <w:r>
        <w:t>and</w:t>
      </w:r>
      <w:proofErr w:type="gramEnd"/>
      <w:r>
        <w:t xml:space="preserve"> for dosing schedules, summarised as:</w:t>
      </w:r>
    </w:p>
    <w:p w14:paraId="1F8D3175" w14:textId="77777777" w:rsidR="000448E6" w:rsidRDefault="000448E6" w:rsidP="00A81081">
      <w:pPr>
        <w:pStyle w:val="ListBullet"/>
      </w:pPr>
      <w:r>
        <w:lastRenderedPageBreak/>
        <w:t>infants initiating vaccination from 2 to 6 months of age - three primary doses, with an interval of at least 2 months; a fourth dose should be administered during the second year of life (at 12-16 months) (‘3+1’ schedule)</w:t>
      </w:r>
    </w:p>
    <w:p w14:paraId="06AF284E" w14:textId="77777777" w:rsidR="000448E6" w:rsidRDefault="000448E6" w:rsidP="00A81081">
      <w:pPr>
        <w:pStyle w:val="ListBullet"/>
      </w:pPr>
      <w:r>
        <w:t>unvaccinated children from 7 to 23 months of age - two doses, with the second dose administered in the second year of life</w:t>
      </w:r>
    </w:p>
    <w:p w14:paraId="08A9E0CD" w14:textId="77777777" w:rsidR="000448E6" w:rsidRDefault="000448E6" w:rsidP="00A81081">
      <w:pPr>
        <w:pStyle w:val="ListBullet"/>
      </w:pPr>
      <w:proofErr w:type="gramStart"/>
      <w:r>
        <w:t>children</w:t>
      </w:r>
      <w:proofErr w:type="gramEnd"/>
      <w:r>
        <w:t xml:space="preserve"> 2 to 10 years of age – one dose.</w:t>
      </w:r>
    </w:p>
    <w:p w14:paraId="7821CF3E" w14:textId="77777777" w:rsidR="000448E6" w:rsidRDefault="000448E6" w:rsidP="00A81081">
      <w:pPr>
        <w:pStyle w:val="ListBullet"/>
        <w:numPr>
          <w:ilvl w:val="0"/>
          <w:numId w:val="0"/>
        </w:numPr>
      </w:pPr>
      <w:r>
        <w:t>In making this recommendation the ACV:</w:t>
      </w:r>
    </w:p>
    <w:p w14:paraId="44187542" w14:textId="77777777" w:rsidR="000448E6" w:rsidRDefault="000448E6" w:rsidP="00A81081">
      <w:pPr>
        <w:pStyle w:val="ListBullet"/>
      </w:pPr>
      <w:r>
        <w:t>noted the changing epidemiology of meningococcal disease, with increasing notifications of W and Y serogroups, and low levels of A and C serogroups in Australia (although different epidemiological considerations will apply to travellers)</w:t>
      </w:r>
    </w:p>
    <w:p w14:paraId="79574901" w14:textId="77777777" w:rsidR="000448E6" w:rsidRDefault="000448E6" w:rsidP="00A81081">
      <w:pPr>
        <w:pStyle w:val="ListBullet"/>
      </w:pPr>
      <w:r>
        <w:t>noted the complex regimens, with the number of doses affected by age group at time of first vaccination and concomitant health conditions</w:t>
      </w:r>
    </w:p>
    <w:p w14:paraId="24989803" w14:textId="77777777" w:rsidR="000448E6" w:rsidRDefault="000448E6" w:rsidP="00A81081">
      <w:pPr>
        <w:pStyle w:val="ListBullet"/>
      </w:pPr>
      <w:r>
        <w:t>supported the use of a 3+1 schedule in infants</w:t>
      </w:r>
    </w:p>
    <w:p w14:paraId="0D0C6D41" w14:textId="77777777" w:rsidR="000448E6" w:rsidRDefault="000448E6" w:rsidP="00A81081">
      <w:pPr>
        <w:pStyle w:val="ListBullet"/>
      </w:pPr>
      <w:r>
        <w:t>supported the use of a 2 dose schedule in infants (Dose 1 at 7 months of age, Dose 2 in second year of life), as a catch-up ACWY vaccination strategy in unvaccinated infants</w:t>
      </w:r>
    </w:p>
    <w:p w14:paraId="30C81900" w14:textId="77777777" w:rsidR="000448E6" w:rsidRDefault="000448E6" w:rsidP="00A81081">
      <w:pPr>
        <w:pStyle w:val="ListBullet"/>
      </w:pPr>
      <w:proofErr w:type="gramStart"/>
      <w:r>
        <w:t>supported</w:t>
      </w:r>
      <w:proofErr w:type="gramEnd"/>
      <w:r>
        <w:t xml:space="preserve"> the use of a 1 dose schedule in children aged 2 to 10 years.</w:t>
      </w:r>
    </w:p>
    <w:p w14:paraId="0773EC4C" w14:textId="77777777" w:rsidR="000448E6" w:rsidRDefault="000448E6" w:rsidP="00A81081">
      <w:pPr>
        <w:pStyle w:val="Heading5"/>
      </w:pPr>
      <w:r>
        <w:t>Proposed Product Information (PI) / Consumer Medicine Information (CMI) amendments</w:t>
      </w:r>
    </w:p>
    <w:p w14:paraId="053CC42E" w14:textId="77777777" w:rsidR="000448E6" w:rsidRDefault="000448E6" w:rsidP="000448E6">
      <w:r>
        <w:t>The ACV suggested that the PI could highlight that serogroup A is very rare in Australia and that the immune response and immune persistence appears lower for serogroup A than for the other serogroups. This should be considered for infants travelling internationally to areas of different disease epidemiology.</w:t>
      </w:r>
    </w:p>
    <w:p w14:paraId="073EBE67" w14:textId="77777777" w:rsidR="000448E6" w:rsidRDefault="000448E6" w:rsidP="00A81081">
      <w:pPr>
        <w:pStyle w:val="Heading5"/>
      </w:pPr>
      <w:r>
        <w:t>Specific Advice</w:t>
      </w:r>
    </w:p>
    <w:p w14:paraId="0D1B36E9" w14:textId="77777777" w:rsidR="000448E6" w:rsidRDefault="000448E6" w:rsidP="000448E6">
      <w:r>
        <w:t>The ACV advised the following in response to the delegate’s specific questions on the submission:</w:t>
      </w:r>
    </w:p>
    <w:p w14:paraId="681632AD" w14:textId="77777777" w:rsidR="000448E6" w:rsidRPr="00A81081" w:rsidRDefault="000448E6" w:rsidP="00A81081">
      <w:pPr>
        <w:pStyle w:val="Numberbullet0"/>
        <w:numPr>
          <w:ilvl w:val="0"/>
          <w:numId w:val="46"/>
        </w:numPr>
        <w:rPr>
          <w:i/>
        </w:rPr>
      </w:pPr>
      <w:r w:rsidRPr="00A81081">
        <w:rPr>
          <w:i/>
        </w:rPr>
        <w:t xml:space="preserve">Risk/Benefit of the proposed </w:t>
      </w:r>
      <w:r w:rsidR="00306FB2" w:rsidRPr="00A81081">
        <w:rPr>
          <w:i/>
        </w:rPr>
        <w:t>4 dose</w:t>
      </w:r>
      <w:r w:rsidRPr="00A81081">
        <w:rPr>
          <w:i/>
        </w:rPr>
        <w:t xml:space="preserve"> (3+1) infant schedule (2, 4, 6 and 12-16 months of age).</w:t>
      </w:r>
    </w:p>
    <w:p w14:paraId="36A3133B" w14:textId="77777777" w:rsidR="000448E6" w:rsidRDefault="000448E6" w:rsidP="000448E6">
      <w:r>
        <w:t>The ACV advised that the benefits of the proposed schedule were the additional coverage of serogroups W and Y and the earlier and non-inferior immunogenicity for serogroup C, when compared to the current national provision of immunisation against serogroup C only at age 12 months.</w:t>
      </w:r>
    </w:p>
    <w:p w14:paraId="292585FE" w14:textId="77777777" w:rsidR="000448E6" w:rsidRDefault="000448E6" w:rsidP="000448E6">
      <w:r>
        <w:t>There is clear benefit of the booster in the second year of life, due to waning antibodies following the primary series in early infancy. The committee noted that as 16 months of age is not established as a routine time point in the National Immunisation Program Schedule, in practice infants would most likely be vaccinated at 12 months of age.</w:t>
      </w:r>
    </w:p>
    <w:p w14:paraId="1F9226A9" w14:textId="77777777" w:rsidR="000448E6" w:rsidRDefault="000448E6" w:rsidP="000448E6">
      <w:r>
        <w:t>This 3+1 schedule is also suitable for infants at high risk (</w:t>
      </w:r>
      <w:r w:rsidR="000E0284">
        <w:t>that is,</w:t>
      </w:r>
      <w:r>
        <w:t xml:space="preserve"> immunocompromised infants).</w:t>
      </w:r>
    </w:p>
    <w:p w14:paraId="44E1DC83" w14:textId="77777777" w:rsidR="000448E6" w:rsidRDefault="000448E6" w:rsidP="000448E6">
      <w:r>
        <w:t>Targeted long-term follow-up studies of persistence of immunity should be required.</w:t>
      </w:r>
    </w:p>
    <w:p w14:paraId="27D5737E" w14:textId="77777777" w:rsidR="000448E6" w:rsidRDefault="000448E6" w:rsidP="000448E6">
      <w:r>
        <w:t xml:space="preserve">To date, there is no clear safety signal that would lead the committee to </w:t>
      </w:r>
      <w:r w:rsidR="00A81081">
        <w:t>advice</w:t>
      </w:r>
      <w:r>
        <w:t xml:space="preserve"> against the proposed schedule. Overall, the risk/benefit of the proposed </w:t>
      </w:r>
      <w:r w:rsidR="00306FB2">
        <w:t>4 dose</w:t>
      </w:r>
      <w:r>
        <w:t xml:space="preserve"> infant schedule was favourable. The committee noted the sponsor’s pre-ACV response.</w:t>
      </w:r>
    </w:p>
    <w:p w14:paraId="42BC83D0" w14:textId="77777777" w:rsidR="000448E6" w:rsidRPr="00A81081" w:rsidRDefault="000448E6" w:rsidP="00A81081">
      <w:pPr>
        <w:pStyle w:val="Numberbullet0"/>
        <w:rPr>
          <w:i/>
        </w:rPr>
      </w:pPr>
      <w:r w:rsidRPr="00A81081">
        <w:rPr>
          <w:i/>
        </w:rPr>
        <w:t xml:space="preserve">The suitability of a two-dose schedule based on the two-dose data in the </w:t>
      </w:r>
      <w:r w:rsidR="006571F8" w:rsidRPr="00A81081">
        <w:rPr>
          <w:i/>
        </w:rPr>
        <w:t>Study V59</w:t>
      </w:r>
      <w:r w:rsidRPr="00A81081">
        <w:rPr>
          <w:i/>
        </w:rPr>
        <w:t>V20 V59P20.</w:t>
      </w:r>
    </w:p>
    <w:p w14:paraId="551990A3" w14:textId="77777777" w:rsidR="000448E6" w:rsidRDefault="006571F8" w:rsidP="000448E6">
      <w:r>
        <w:t>Study V59</w:t>
      </w:r>
      <w:r w:rsidR="000448E6">
        <w:t xml:space="preserve">P20 was the pivotal study in support of the single dose schedule for children aged 2 to 10 years who had not previously received a meningococcal vaccine. </w:t>
      </w:r>
      <w:proofErr w:type="spellStart"/>
      <w:r w:rsidR="00AA10D9">
        <w:t>Menveo</w:t>
      </w:r>
      <w:proofErr w:type="spellEnd"/>
      <w:r w:rsidR="000448E6">
        <w:t xml:space="preserve"> </w:t>
      </w:r>
      <w:r w:rsidR="000448E6">
        <w:lastRenderedPageBreak/>
        <w:t xml:space="preserve">resulted in higher immunogenicity for C, W and Y serogroups in children </w:t>
      </w:r>
      <w:r w:rsidR="00746C7F">
        <w:t>2 to 10</w:t>
      </w:r>
      <w:r w:rsidR="000448E6">
        <w:t xml:space="preserve"> years compared with </w:t>
      </w:r>
      <w:proofErr w:type="spellStart"/>
      <w:r w:rsidR="000448E6">
        <w:t>Menactra</w:t>
      </w:r>
      <w:proofErr w:type="spellEnd"/>
      <w:r w:rsidR="000448E6">
        <w:t xml:space="preserve"> (manufactured by </w:t>
      </w:r>
      <w:r w:rsidR="00355F48">
        <w:t>Sanofi Pasteur</w:t>
      </w:r>
      <w:r w:rsidR="000448E6">
        <w:t>).</w:t>
      </w:r>
    </w:p>
    <w:p w14:paraId="50CEA165" w14:textId="77777777" w:rsidR="000448E6" w:rsidRDefault="000448E6" w:rsidP="000448E6">
      <w:r>
        <w:t>The ACV advised that the proposed two-dose schedule may be suitable to provide maximum protection, especially in immunocompromised individuals.</w:t>
      </w:r>
    </w:p>
    <w:p w14:paraId="221273EA" w14:textId="77777777" w:rsidR="000448E6" w:rsidRDefault="000448E6" w:rsidP="000448E6">
      <w:r>
        <w:t>One dose appeared to provide adequate protection in healthy individuals.</w:t>
      </w:r>
    </w:p>
    <w:p w14:paraId="38F591C7" w14:textId="77777777" w:rsidR="000448E6" w:rsidRPr="00355F48" w:rsidRDefault="000448E6" w:rsidP="00355F48">
      <w:pPr>
        <w:pStyle w:val="Numberbullet0"/>
        <w:rPr>
          <w:i/>
        </w:rPr>
      </w:pPr>
      <w:r w:rsidRPr="00355F48">
        <w:rPr>
          <w:i/>
        </w:rPr>
        <w:t>Other issues that may be relevant to a decision on whether or not to approve this application</w:t>
      </w:r>
    </w:p>
    <w:p w14:paraId="3FE65ADB" w14:textId="77777777" w:rsidR="000448E6" w:rsidRDefault="000448E6" w:rsidP="000448E6">
      <w:r>
        <w:t>The committee queried the status of post-marketing surveillance of administration of the vaccine during pregnancy (V59_72OB); the Periodic Benefit Risk Evaluation Report stated that the study seeks to enrol 100 exposed pregnancies over a three-year period starting 30 September 2014 but that nil women had been enrolled as at February 2016.</w:t>
      </w:r>
    </w:p>
    <w:p w14:paraId="03385C0E" w14:textId="77777777" w:rsidR="000448E6" w:rsidRDefault="000448E6" w:rsidP="000448E6">
      <w:r>
        <w:t>The utility of the targeted follow-up questionnaire for acute disseminated encephalomyelitis, Guillain-Barre syndrome and vasculitis/Kawasaki syndrome was unclear but the signals did not seem to justify an active surveillance program at this time.</w:t>
      </w:r>
    </w:p>
    <w:p w14:paraId="2430260E" w14:textId="77777777" w:rsidR="000448E6" w:rsidRPr="00A322B3" w:rsidRDefault="000448E6" w:rsidP="000448E6">
      <w:r>
        <w:t>The ACV noted the surveillance data on vaccine failures provided by the sponsor in its pre-ACV response, and recommended that capture of vaccine failure data for the extended schedules in infants should be part of pharmacovigilance activities.</w:t>
      </w:r>
    </w:p>
    <w:p w14:paraId="6630BDEE" w14:textId="77777777" w:rsidR="008E7846" w:rsidRPr="002E238E" w:rsidRDefault="008E7846" w:rsidP="008E7846">
      <w:pPr>
        <w:pStyle w:val="Heading3"/>
      </w:pPr>
      <w:bookmarkStart w:id="149" w:name="_Toc247691532"/>
      <w:bookmarkStart w:id="150" w:name="_Toc314842516"/>
      <w:bookmarkStart w:id="151" w:name="_Toc511377363"/>
      <w:bookmarkEnd w:id="71"/>
      <w:bookmarkEnd w:id="138"/>
      <w:bookmarkEnd w:id="139"/>
      <w:r>
        <w:t>Outcome</w:t>
      </w:r>
      <w:bookmarkEnd w:id="149"/>
      <w:bookmarkEnd w:id="150"/>
      <w:bookmarkEnd w:id="151"/>
    </w:p>
    <w:p w14:paraId="76F331F1" w14:textId="77777777" w:rsidR="00D23139" w:rsidRPr="00355F48" w:rsidRDefault="00D23139" w:rsidP="00355F48">
      <w:bookmarkStart w:id="152" w:name="_Toc247691533"/>
      <w:bookmarkStart w:id="153" w:name="_Toc314842517"/>
      <w:r w:rsidRPr="00355F48">
        <w:t xml:space="preserve">Based on a review of quality, safety and efficacy, TGA approved the registration </w:t>
      </w:r>
      <w:r w:rsidR="00355F48" w:rsidRPr="00355F48">
        <w:t xml:space="preserve">of </w:t>
      </w:r>
      <w:proofErr w:type="spellStart"/>
      <w:r w:rsidR="00355F48" w:rsidRPr="00355F48">
        <w:t>Menveo</w:t>
      </w:r>
      <w:proofErr w:type="spellEnd"/>
      <w:r w:rsidR="00355F48" w:rsidRPr="00355F48">
        <w:t xml:space="preserve"> meningococcal (Groups A, C, W-135 and Y) oligosaccharide CRM197 conjugate vaccine and </w:t>
      </w:r>
      <w:proofErr w:type="spellStart"/>
      <w:r w:rsidR="00355F48" w:rsidRPr="00355F48">
        <w:t>Menveo</w:t>
      </w:r>
      <w:proofErr w:type="spellEnd"/>
      <w:r w:rsidR="00355F48" w:rsidRPr="00355F48">
        <w:t xml:space="preserve"> meningococcal (Groups A, C, W-135 and Y) oligosaccharide CRM197 conjugate vaccine</w:t>
      </w:r>
      <w:r w:rsidRPr="00355F48">
        <w:t>, indicated for:</w:t>
      </w:r>
    </w:p>
    <w:p w14:paraId="6ACFECA0" w14:textId="77777777" w:rsidR="00FE0A12" w:rsidRPr="00355F48" w:rsidRDefault="00AA10D9" w:rsidP="00355F48">
      <w:pPr>
        <w:ind w:left="720"/>
        <w:rPr>
          <w:i/>
        </w:rPr>
      </w:pPr>
      <w:proofErr w:type="spellStart"/>
      <w:r w:rsidRPr="00355F48">
        <w:rPr>
          <w:i/>
        </w:rPr>
        <w:t>Menveo</w:t>
      </w:r>
      <w:proofErr w:type="spellEnd"/>
      <w:r w:rsidR="00FE0A12" w:rsidRPr="00355F48">
        <w:rPr>
          <w:i/>
        </w:rPr>
        <w:t xml:space="preserve"> is indicated for active immunisation of infants and children (from 2 months of age), adolescents and adults to prevent invasive disease caused by Neisseria </w:t>
      </w:r>
      <w:proofErr w:type="spellStart"/>
      <w:r w:rsidR="00FE0A12" w:rsidRPr="00355F48">
        <w:rPr>
          <w:i/>
        </w:rPr>
        <w:t>meningitidis</w:t>
      </w:r>
      <w:proofErr w:type="spellEnd"/>
      <w:r w:rsidR="00FE0A12" w:rsidRPr="00355F48">
        <w:rPr>
          <w:i/>
        </w:rPr>
        <w:t xml:space="preserve"> serogroups A, C, W135 and Y. The use of this vaccine should be in accordance with official recommendations.</w:t>
      </w:r>
    </w:p>
    <w:p w14:paraId="45B59C8D" w14:textId="77777777" w:rsidR="00D23139" w:rsidRPr="00D23139" w:rsidRDefault="00D23139" w:rsidP="00FE0A12">
      <w:pPr>
        <w:pStyle w:val="Heading4"/>
      </w:pPr>
      <w:r w:rsidRPr="00D23139">
        <w:t>Specific conditions of registration applying to these goods</w:t>
      </w:r>
    </w:p>
    <w:p w14:paraId="6343B2C0" w14:textId="77777777" w:rsidR="00D23139" w:rsidRPr="00D23139" w:rsidRDefault="00FE0A12" w:rsidP="00FE0A12">
      <w:r>
        <w:t xml:space="preserve">The </w:t>
      </w:r>
      <w:proofErr w:type="spellStart"/>
      <w:r w:rsidR="00AA10D9">
        <w:t>Menveo</w:t>
      </w:r>
      <w:proofErr w:type="spellEnd"/>
      <w:r>
        <w:t xml:space="preserve"> Risk Management Plan (EU-RMP), version 8.2, dated 18 April 2016 (data lock point 14 March 2014) with Australian Specific Annex version 1.0, 26 April 2017 included with submission number PM-2017-00536-1-2, to be revised to the satisfaction of the TGA, and any future updates as a condition of registration.</w:t>
      </w:r>
    </w:p>
    <w:p w14:paraId="372D4E4F" w14:textId="77777777" w:rsidR="008E7846" w:rsidRDefault="00A80B5B" w:rsidP="00D23139">
      <w:pPr>
        <w:pStyle w:val="Heading2"/>
      </w:pPr>
      <w:bookmarkStart w:id="154" w:name="_Toc511377364"/>
      <w:proofErr w:type="gramStart"/>
      <w:r>
        <w:t>Attachment 1.</w:t>
      </w:r>
      <w:proofErr w:type="gramEnd"/>
      <w:r>
        <w:t xml:space="preserve"> </w:t>
      </w:r>
      <w:r w:rsidR="008E7846">
        <w:t xml:space="preserve">Product </w:t>
      </w:r>
      <w:r w:rsidR="00AA0ED0">
        <w:t>I</w:t>
      </w:r>
      <w:r w:rsidR="008E7846">
        <w:t>nformation</w:t>
      </w:r>
      <w:bookmarkEnd w:id="152"/>
      <w:bookmarkEnd w:id="153"/>
      <w:bookmarkEnd w:id="154"/>
    </w:p>
    <w:p w14:paraId="60220F61" w14:textId="77777777" w:rsidR="00C80137" w:rsidRDefault="006136D7" w:rsidP="00C80137">
      <w:pPr>
        <w:rPr>
          <w:color w:val="000000"/>
          <w:lang w:eastAsia="en-AU"/>
        </w:rPr>
      </w:pPr>
      <w:r w:rsidRPr="002B3624">
        <w:t xml:space="preserve">The </w:t>
      </w:r>
      <w:r>
        <w:t>PI</w:t>
      </w:r>
      <w:r w:rsidRPr="002B3624">
        <w:t xml:space="preserve"> for </w:t>
      </w:r>
      <w:proofErr w:type="spellStart"/>
      <w:r w:rsidR="00827008">
        <w:t>Menveo</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46" w:history="1">
        <w:r w:rsidR="00A21AF0" w:rsidRPr="00BB3B69">
          <w:rPr>
            <w:rStyle w:val="Hyperlink"/>
          </w:rPr>
          <w:t>https://www.tga.gov.au/product-information-pi</w:t>
        </w:r>
      </w:hyperlink>
      <w:r w:rsidR="007C6B9B" w:rsidRPr="007C6B9B">
        <w:t>&gt;.</w:t>
      </w:r>
    </w:p>
    <w:p w14:paraId="15B4DE8C" w14:textId="77777777" w:rsidR="00C80137" w:rsidRDefault="00C80137" w:rsidP="00C80137">
      <w:pPr>
        <w:pStyle w:val="Heading2"/>
        <w:rPr>
          <w:lang w:eastAsia="en-AU"/>
        </w:rPr>
      </w:pPr>
      <w:bookmarkStart w:id="155" w:name="_Toc511377365"/>
      <w:proofErr w:type="gramStart"/>
      <w:r>
        <w:rPr>
          <w:lang w:eastAsia="en-AU"/>
        </w:rPr>
        <w:t>Attachment 2.</w:t>
      </w:r>
      <w:proofErr w:type="gramEnd"/>
      <w:r w:rsidR="00A80B5B">
        <w:rPr>
          <w:lang w:eastAsia="en-AU"/>
        </w:rPr>
        <w:t xml:space="preserve"> </w:t>
      </w:r>
      <w:r>
        <w:rPr>
          <w:lang w:eastAsia="en-AU"/>
        </w:rPr>
        <w:t>Extract from the Clinical Evaluation Report</w:t>
      </w:r>
      <w:bookmarkEnd w:id="155"/>
    </w:p>
    <w:p w14:paraId="56CA6053" w14:textId="77777777" w:rsidR="00C80137" w:rsidRPr="001D043B" w:rsidRDefault="00C80137" w:rsidP="003A7F6C">
      <w:pPr>
        <w:pStyle w:val="TableTitle"/>
        <w:sectPr w:rsidR="00C80137" w:rsidRPr="001D043B" w:rsidSect="00B452CE">
          <w:headerReference w:type="even" r:id="rId47"/>
          <w:headerReference w:type="default" r:id="rId48"/>
          <w:headerReference w:type="first" r:id="rId49"/>
          <w:footerReference w:type="first" r:id="rId5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612070E7" w14:textId="77777777" w:rsidTr="00A05FA4">
        <w:trPr>
          <w:trHeight w:hRule="exact" w:val="704"/>
        </w:trPr>
        <w:tc>
          <w:tcPr>
            <w:tcW w:w="9175" w:type="dxa"/>
          </w:tcPr>
          <w:p w14:paraId="2CDE2439" w14:textId="77777777" w:rsidR="001C32CD" w:rsidRPr="00487162" w:rsidRDefault="001C32CD" w:rsidP="00A05FA4">
            <w:pPr>
              <w:pStyle w:val="TGASignoff"/>
            </w:pPr>
            <w:r w:rsidRPr="00487162">
              <w:lastRenderedPageBreak/>
              <w:t>Therapeutic Goods Administration</w:t>
            </w:r>
          </w:p>
        </w:tc>
      </w:tr>
      <w:tr w:rsidR="001C32CD" w:rsidRPr="004C239D" w14:paraId="4FC13D5B" w14:textId="77777777" w:rsidTr="00A05FA4">
        <w:trPr>
          <w:trHeight w:val="1221"/>
        </w:trPr>
        <w:tc>
          <w:tcPr>
            <w:tcW w:w="9175" w:type="dxa"/>
            <w:tcMar>
              <w:top w:w="28" w:type="dxa"/>
            </w:tcMar>
          </w:tcPr>
          <w:p w14:paraId="349831B9" w14:textId="77777777" w:rsidR="001C32CD" w:rsidRPr="00487162" w:rsidRDefault="001C32CD" w:rsidP="00A05FA4">
            <w:pPr>
              <w:pStyle w:val="Address"/>
            </w:pPr>
            <w:r w:rsidRPr="00487162">
              <w:t>PO Box 100 Woden ACT 2606 Australia</w:t>
            </w:r>
          </w:p>
          <w:p w14:paraId="4DB85DF3" w14:textId="77777777" w:rsidR="001C32CD" w:rsidRPr="00487162" w:rsidRDefault="001C32CD" w:rsidP="00A05FA4">
            <w:pPr>
              <w:pStyle w:val="Address"/>
            </w:pPr>
            <w:r w:rsidRPr="00487162">
              <w:t xml:space="preserve">Email: </w:t>
            </w:r>
            <w:hyperlink r:id="rId51" w:history="1">
              <w:r w:rsidRPr="004C239D">
                <w:rPr>
                  <w:rStyle w:val="Hyperlink"/>
                </w:rPr>
                <w:t>info@tga.gov.au</w:t>
              </w:r>
            </w:hyperlink>
            <w:r w:rsidR="00B07393">
              <w:t xml:space="preserve"> </w:t>
            </w:r>
            <w:r w:rsidRPr="00487162">
              <w:t>Phone: 1800 020 653</w:t>
            </w:r>
            <w:r w:rsidR="00B07393">
              <w:t xml:space="preserve"> </w:t>
            </w:r>
            <w:r w:rsidRPr="00487162">
              <w:t>Fax: 02 6232 8605</w:t>
            </w:r>
          </w:p>
          <w:p w14:paraId="34F901A7" w14:textId="77777777" w:rsidR="001C32CD" w:rsidRPr="004C239D" w:rsidRDefault="002E12AE" w:rsidP="00A05FA4">
            <w:pPr>
              <w:pStyle w:val="Address"/>
              <w:spacing w:line="260" w:lineRule="atLeast"/>
              <w:rPr>
                <w:b/>
                <w:color w:val="0000FF"/>
                <w:u w:val="single"/>
              </w:rPr>
            </w:pPr>
            <w:hyperlink r:id="rId52" w:history="1">
              <w:r w:rsidR="007C6B9B" w:rsidRPr="007C6B9B">
                <w:rPr>
                  <w:rStyle w:val="Hyperlink"/>
                  <w:b/>
                </w:rPr>
                <w:t>https://www.tga.gov.au</w:t>
              </w:r>
            </w:hyperlink>
          </w:p>
        </w:tc>
      </w:tr>
    </w:tbl>
    <w:p w14:paraId="435BB628" w14:textId="77777777" w:rsidR="00774E1D" w:rsidRPr="008A5E0B" w:rsidRDefault="00774E1D" w:rsidP="004C239D"/>
    <w:sectPr w:rsidR="00774E1D" w:rsidRPr="008A5E0B" w:rsidSect="001C32CD">
      <w:headerReference w:type="even" r:id="rId53"/>
      <w:headerReference w:type="default" r:id="rId54"/>
      <w:footerReference w:type="default" r:id="rId55"/>
      <w:headerReference w:type="first" r:id="rId56"/>
      <w:footerReference w:type="first" r:id="rId5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5AE16" w14:textId="77777777" w:rsidR="002E12AE" w:rsidRDefault="002E12AE" w:rsidP="00C40A36">
      <w:pPr>
        <w:spacing w:after="0"/>
      </w:pPr>
      <w:r>
        <w:separator/>
      </w:r>
    </w:p>
  </w:endnote>
  <w:endnote w:type="continuationSeparator" w:id="0">
    <w:p w14:paraId="7B454583" w14:textId="77777777" w:rsidR="002E12AE" w:rsidRDefault="002E12A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3388F" w:rsidRPr="00487162" w14:paraId="2119C539" w14:textId="77777777" w:rsidTr="00DB750B">
      <w:trPr>
        <w:trHeight w:val="269"/>
      </w:trPr>
      <w:tc>
        <w:tcPr>
          <w:tcW w:w="7371" w:type="dxa"/>
          <w:tcMar>
            <w:top w:w="142" w:type="dxa"/>
            <w:bottom w:w="0" w:type="dxa"/>
          </w:tcMar>
        </w:tcPr>
        <w:p w14:paraId="730A7B6D" w14:textId="1B12680C" w:rsidR="00C3388F" w:rsidRPr="00487162" w:rsidRDefault="00C3388F" w:rsidP="00EF7EDA">
          <w:pPr>
            <w:pStyle w:val="Footer"/>
          </w:pPr>
          <w:proofErr w:type="spellStart"/>
          <w:r w:rsidRPr="00487162">
            <w:t>AusPA</w:t>
          </w:r>
          <w:r>
            <w:t>R</w:t>
          </w:r>
          <w:proofErr w:type="spellEnd"/>
          <w:r>
            <w:t xml:space="preserve"> </w:t>
          </w:r>
          <w:proofErr w:type="spellStart"/>
          <w:r w:rsidRPr="00AA10D9">
            <w:t>Menveo</w:t>
          </w:r>
          <w:proofErr w:type="spellEnd"/>
          <w:r w:rsidRPr="00AA10D9">
            <w:t xml:space="preserve"> </w:t>
          </w:r>
          <w:r>
            <w:t xml:space="preserve">Meningococcal (Groups A,C,W-135 and Y) oligosaccharide CRM197 conjugate vaccine </w:t>
          </w:r>
          <w:r w:rsidRPr="00AA10D9">
            <w:t>GlaxoSmithKline Australia Pty Ltd</w:t>
          </w:r>
          <w:r>
            <w:t xml:space="preserve"> PM-2017</w:t>
          </w:r>
          <w:r w:rsidRPr="00487162">
            <w:t>-</w:t>
          </w:r>
          <w:r>
            <w:t>00536-1-2</w:t>
          </w:r>
          <w:r>
            <w:br/>
          </w:r>
          <w:r w:rsidR="00FA7A17" w:rsidRPr="00FA7A17">
            <w:t>Final 10 April 2018</w:t>
          </w:r>
        </w:p>
      </w:tc>
      <w:tc>
        <w:tcPr>
          <w:tcW w:w="1490" w:type="dxa"/>
          <w:tcMar>
            <w:top w:w="142" w:type="dxa"/>
            <w:bottom w:w="0" w:type="dxa"/>
          </w:tcMar>
        </w:tcPr>
        <w:p w14:paraId="742DEE3E" w14:textId="038F6E66" w:rsidR="00C3388F" w:rsidRPr="00487162" w:rsidRDefault="00C3388F" w:rsidP="00DB750B">
          <w:pPr>
            <w:pStyle w:val="Footer"/>
            <w:jc w:val="right"/>
          </w:pPr>
          <w:r w:rsidRPr="00487162">
            <w:t xml:space="preserve">Page </w:t>
          </w:r>
          <w:r>
            <w:fldChar w:fldCharType="begin"/>
          </w:r>
          <w:r>
            <w:instrText xml:space="preserve"> PAGE  \* Arabic </w:instrText>
          </w:r>
          <w:r>
            <w:fldChar w:fldCharType="separate"/>
          </w:r>
          <w:r w:rsidR="00FA7A17">
            <w:rPr>
              <w:noProof/>
            </w:rPr>
            <w:t>4</w:t>
          </w:r>
          <w:r>
            <w:fldChar w:fldCharType="end"/>
          </w:r>
          <w:r w:rsidRPr="00487162">
            <w:t xml:space="preserve"> of </w:t>
          </w:r>
          <w:r>
            <w:fldChar w:fldCharType="begin"/>
          </w:r>
          <w:r>
            <w:instrText xml:space="preserve"> NUMPAGES  \* Arabic </w:instrText>
          </w:r>
          <w:r>
            <w:fldChar w:fldCharType="separate"/>
          </w:r>
          <w:r w:rsidR="00FA7A17">
            <w:rPr>
              <w:noProof/>
            </w:rPr>
            <w:t>43</w:t>
          </w:r>
          <w:r>
            <w:rPr>
              <w:noProof/>
            </w:rPr>
            <w:fldChar w:fldCharType="end"/>
          </w:r>
        </w:p>
      </w:tc>
    </w:tr>
  </w:tbl>
  <w:p w14:paraId="74AFE98E" w14:textId="77777777" w:rsidR="00C3388F" w:rsidRDefault="00C3388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3388F" w:rsidRPr="00487162" w14:paraId="2C50C47F" w14:textId="77777777" w:rsidTr="00E45619">
      <w:trPr>
        <w:trHeight w:val="269"/>
      </w:trPr>
      <w:tc>
        <w:tcPr>
          <w:tcW w:w="4519" w:type="dxa"/>
          <w:tcBorders>
            <w:top w:val="single" w:sz="4" w:space="0" w:color="auto"/>
          </w:tcBorders>
          <w:tcMar>
            <w:top w:w="142" w:type="dxa"/>
            <w:bottom w:w="0" w:type="dxa"/>
          </w:tcMar>
        </w:tcPr>
        <w:p w14:paraId="72918A0B" w14:textId="77777777" w:rsidR="00C3388F" w:rsidRPr="00487162" w:rsidRDefault="00C3388F" w:rsidP="00FE1DEE">
          <w:pPr>
            <w:pStyle w:val="Footer"/>
          </w:pPr>
          <w:r w:rsidRPr="00487162">
            <w:t>Document title, Part #, Section # - Section title</w:t>
          </w:r>
        </w:p>
        <w:p w14:paraId="5469C92C" w14:textId="77777777" w:rsidR="00C3388F" w:rsidRPr="00487162" w:rsidRDefault="00C3388F" w:rsidP="00FE1DEE">
          <w:pPr>
            <w:pStyle w:val="Footer"/>
          </w:pPr>
          <w:r w:rsidRPr="00487162">
            <w:t>V1.0 October 2010</w:t>
          </w:r>
        </w:p>
      </w:tc>
      <w:tc>
        <w:tcPr>
          <w:tcW w:w="4342" w:type="dxa"/>
          <w:tcBorders>
            <w:top w:val="single" w:sz="4" w:space="0" w:color="auto"/>
          </w:tcBorders>
          <w:tcMar>
            <w:top w:w="142" w:type="dxa"/>
            <w:bottom w:w="0" w:type="dxa"/>
          </w:tcMar>
        </w:tcPr>
        <w:p w14:paraId="79577C84" w14:textId="6AD20C3E" w:rsidR="00C3388F" w:rsidRPr="00487162" w:rsidRDefault="00C3388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sidR="009B58BB">
            <w:rPr>
              <w:noProof/>
            </w:rPr>
            <w:t>43</w:t>
          </w:r>
          <w:r>
            <w:rPr>
              <w:noProof/>
            </w:rPr>
            <w:fldChar w:fldCharType="end"/>
          </w:r>
        </w:p>
      </w:tc>
    </w:tr>
  </w:tbl>
  <w:p w14:paraId="318F0F62" w14:textId="77777777" w:rsidR="00C3388F" w:rsidRDefault="00C338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74012" w14:textId="77777777" w:rsidR="00C3388F" w:rsidRPr="001C32CD" w:rsidRDefault="00C3388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3388F" w14:paraId="332C714B" w14:textId="77777777" w:rsidTr="0010601F">
      <w:trPr>
        <w:trHeight w:val="108"/>
      </w:trPr>
      <w:tc>
        <w:tcPr>
          <w:tcW w:w="8875" w:type="dxa"/>
          <w:gridSpan w:val="2"/>
          <w:tcBorders>
            <w:bottom w:val="single" w:sz="4" w:space="0" w:color="auto"/>
          </w:tcBorders>
          <w:tcMar>
            <w:right w:w="284" w:type="dxa"/>
          </w:tcMar>
        </w:tcPr>
        <w:p w14:paraId="4E14FA90" w14:textId="77777777" w:rsidR="00C3388F" w:rsidRDefault="00C3388F" w:rsidP="006E08B3">
          <w:pPr>
            <w:pStyle w:val="Heading3"/>
          </w:pPr>
          <w:r>
            <w:t>Copyright</w:t>
          </w:r>
        </w:p>
        <w:p w14:paraId="15DD4DA4" w14:textId="77777777" w:rsidR="00C3388F" w:rsidRDefault="00C3388F" w:rsidP="006E08B3">
          <w:r>
            <w:rPr>
              <w:rFonts w:cs="Arial"/>
            </w:rPr>
            <w:t>©</w:t>
          </w:r>
          <w:r>
            <w:t xml:space="preserve"> Commonwealth of Australia [add year]</w:t>
          </w:r>
        </w:p>
        <w:p w14:paraId="65F8528F" w14:textId="77777777" w:rsidR="00C3388F" w:rsidRDefault="00C3388F" w:rsidP="006E08B3"/>
        <w:p w14:paraId="02842AD2" w14:textId="77777777" w:rsidR="00C3388F" w:rsidRDefault="00C3388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36B58DD" w14:textId="77777777" w:rsidR="00C3388F" w:rsidRDefault="00C3388F" w:rsidP="006E08B3"/>
        <w:p w14:paraId="683CCDF5" w14:textId="77777777" w:rsidR="00C3388F" w:rsidRDefault="00C3388F" w:rsidP="006E08B3">
          <w:pPr>
            <w:pStyle w:val="Heading3"/>
          </w:pPr>
          <w:r>
            <w:t>Confidentiality</w:t>
          </w:r>
        </w:p>
        <w:p w14:paraId="7FB61F45" w14:textId="77777777" w:rsidR="00C3388F" w:rsidRDefault="00C3388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8DA9028" w14:textId="77777777" w:rsidR="00C3388F" w:rsidRDefault="00C3388F" w:rsidP="006E08B3"/>
        <w:p w14:paraId="43D90C33" w14:textId="77777777" w:rsidR="00C3388F" w:rsidRDefault="00C3388F" w:rsidP="006E08B3">
          <w:r>
            <w:t>For submission made by individuals, all personal details, other than your name, will be removed from your submission before it is published on the TGA’s Internet site.</w:t>
          </w:r>
        </w:p>
        <w:p w14:paraId="78B5C6CF" w14:textId="77777777" w:rsidR="00C3388F" w:rsidRDefault="00C3388F" w:rsidP="006E08B3"/>
        <w:p w14:paraId="7098DB92" w14:textId="77777777" w:rsidR="00C3388F" w:rsidRDefault="00C3388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3388F" w14:paraId="1F9CFAB0" w14:textId="77777777" w:rsidTr="0010601F">
      <w:trPr>
        <w:trHeight w:val="417"/>
      </w:trPr>
      <w:tc>
        <w:tcPr>
          <w:tcW w:w="4519" w:type="dxa"/>
          <w:tcBorders>
            <w:top w:val="single" w:sz="4" w:space="0" w:color="auto"/>
          </w:tcBorders>
          <w:tcMar>
            <w:top w:w="142" w:type="dxa"/>
            <w:bottom w:w="0" w:type="dxa"/>
          </w:tcMar>
        </w:tcPr>
        <w:p w14:paraId="4B030A76" w14:textId="77777777" w:rsidR="00C3388F" w:rsidRDefault="00C3388F" w:rsidP="006E08B3">
          <w:r>
            <w:t>Document title, Part #, Section # - Section title</w:t>
          </w:r>
        </w:p>
        <w:p w14:paraId="4EB51DE5" w14:textId="77777777" w:rsidR="00C3388F" w:rsidRDefault="00C3388F" w:rsidP="006E08B3">
          <w:r>
            <w:t>V1.0 October 2010</w:t>
          </w:r>
        </w:p>
      </w:tc>
      <w:tc>
        <w:tcPr>
          <w:tcW w:w="4356" w:type="dxa"/>
          <w:tcBorders>
            <w:top w:val="single" w:sz="4" w:space="0" w:color="auto"/>
          </w:tcBorders>
          <w:tcMar>
            <w:top w:w="142" w:type="dxa"/>
            <w:bottom w:w="0" w:type="dxa"/>
          </w:tcMar>
        </w:tcPr>
        <w:p w14:paraId="1548A98B" w14:textId="3B1B436E" w:rsidR="00C3388F" w:rsidRDefault="00C3388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sidR="009B58BB">
            <w:rPr>
              <w:noProof/>
            </w:rPr>
            <w:t>43</w:t>
          </w:r>
          <w:r>
            <w:rPr>
              <w:noProof/>
            </w:rPr>
            <w:fldChar w:fldCharType="end"/>
          </w:r>
          <w:r>
            <w:t xml:space="preserve">  </w:t>
          </w:r>
        </w:p>
      </w:tc>
    </w:tr>
  </w:tbl>
  <w:p w14:paraId="6449E676" w14:textId="77777777" w:rsidR="00C3388F" w:rsidRDefault="00C338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CD15E" w14:textId="77777777" w:rsidR="002E12AE" w:rsidRDefault="002E12AE" w:rsidP="00C40A36">
      <w:pPr>
        <w:spacing w:after="0"/>
      </w:pPr>
      <w:r>
        <w:separator/>
      </w:r>
    </w:p>
  </w:footnote>
  <w:footnote w:type="continuationSeparator" w:id="0">
    <w:p w14:paraId="169CD74A" w14:textId="77777777" w:rsidR="002E12AE" w:rsidRDefault="002E12AE" w:rsidP="00C40A36">
      <w:pPr>
        <w:spacing w:after="0"/>
      </w:pPr>
      <w:r>
        <w:continuationSeparator/>
      </w:r>
    </w:p>
  </w:footnote>
  <w:footnote w:id="1">
    <w:p w14:paraId="202E3826" w14:textId="77777777" w:rsidR="00C3388F" w:rsidRPr="0025045A" w:rsidRDefault="00C3388F">
      <w:pPr>
        <w:pStyle w:val="FootnoteText"/>
        <w:rPr>
          <w:lang w:val="en-US"/>
        </w:rPr>
      </w:pPr>
      <w:r>
        <w:rPr>
          <w:rStyle w:val="FootnoteReference"/>
        </w:rPr>
        <w:footnoteRef/>
      </w:r>
      <w:r>
        <w:t xml:space="preserve"> </w:t>
      </w:r>
      <w:r w:rsidRPr="0025045A">
        <w:t>NCIRS Fact Sheet</w:t>
      </w:r>
    </w:p>
  </w:footnote>
  <w:footnote w:id="2">
    <w:p w14:paraId="282CBD6F" w14:textId="77777777" w:rsidR="00C3388F" w:rsidRPr="00336B5F" w:rsidRDefault="00C3388F" w:rsidP="00336B5F">
      <w:pPr>
        <w:pStyle w:val="FootnoteText"/>
        <w:rPr>
          <w:lang w:val="en-US"/>
        </w:rPr>
      </w:pPr>
      <w:r>
        <w:rPr>
          <w:rStyle w:val="FootnoteReference"/>
        </w:rPr>
        <w:footnoteRef/>
      </w:r>
      <w:r>
        <w:t xml:space="preserve"> Guidance for Industry Formal Meetings Between the FDA and Sponsors or Applicants</w:t>
      </w:r>
    </w:p>
  </w:footnote>
  <w:footnote w:id="3">
    <w:p w14:paraId="576C0491" w14:textId="77777777" w:rsidR="00C3388F" w:rsidRPr="00823C10" w:rsidRDefault="00C3388F">
      <w:pPr>
        <w:pStyle w:val="FootnoteText"/>
        <w:rPr>
          <w:lang w:val="en-US"/>
        </w:rPr>
      </w:pPr>
      <w:r>
        <w:rPr>
          <w:rStyle w:val="FootnoteReference"/>
        </w:rPr>
        <w:footnoteRef/>
      </w:r>
      <w:r>
        <w:t xml:space="preserve"> </w:t>
      </w:r>
      <w:proofErr w:type="gramStart"/>
      <w:r w:rsidRPr="00823C10">
        <w:t>Department of Health.</w:t>
      </w:r>
      <w:proofErr w:type="gramEnd"/>
      <w:r w:rsidRPr="00823C10">
        <w:t xml:space="preserve"> Invasive Meningococcal Disease National Surveillance Report: with a focus on </w:t>
      </w:r>
      <w:proofErr w:type="spellStart"/>
      <w:r w:rsidRPr="00823C10">
        <w:t>MenW</w:t>
      </w:r>
      <w:proofErr w:type="spellEnd"/>
      <w:r w:rsidRPr="00823C10">
        <w:t>. 9 January 2017. http://www.health.gov.au/internet/main/publishing.nsf/Content/5FEABC4B495BDEC1CA25807D001327FA/$File/Surveil lance-report-Jan2017.pdf (Accessed May 2017)</w:t>
      </w:r>
    </w:p>
  </w:footnote>
  <w:footnote w:id="4">
    <w:p w14:paraId="65F8262F" w14:textId="77777777" w:rsidR="00C3388F" w:rsidRPr="00823C10" w:rsidRDefault="00C3388F">
      <w:pPr>
        <w:pStyle w:val="FootnoteText"/>
        <w:rPr>
          <w:lang w:val="en-US"/>
        </w:rPr>
      </w:pPr>
      <w:r>
        <w:rPr>
          <w:rStyle w:val="FootnoteReference"/>
        </w:rPr>
        <w:footnoteRef/>
      </w:r>
      <w:r>
        <w:t xml:space="preserve"> </w:t>
      </w:r>
      <w:r w:rsidRPr="00823C10">
        <w:t xml:space="preserve">Calculated using data extracted from the National Notifiable diseases surveillance system (NNDSS) http://www9.health.gov.au/cda/source/cda-index.cfm and the Australian Bureau of Statistics (ABS) Birth data http://www.abs.gov.au/ausstats/abs@.nsf/Latestproducts/3301.0Main%20Features32015?opendocumentandtabname=Summar </w:t>
      </w:r>
      <w:proofErr w:type="spellStart"/>
      <w:r w:rsidRPr="00823C10">
        <w:t>yandprodno</w:t>
      </w:r>
      <w:proofErr w:type="spellEnd"/>
      <w:r w:rsidRPr="00823C10">
        <w:t>=3301.0andissue=2015andnum=</w:t>
      </w:r>
      <w:proofErr w:type="spellStart"/>
      <w:r w:rsidRPr="00823C10">
        <w:t>andview</w:t>
      </w:r>
      <w:proofErr w:type="spellEnd"/>
      <w:r w:rsidRPr="00823C10">
        <w:t xml:space="preserve"> (Accessed May 2017)</w:t>
      </w:r>
    </w:p>
  </w:footnote>
  <w:footnote w:id="5">
    <w:p w14:paraId="7BDDCE69" w14:textId="77777777" w:rsidR="00C3388F" w:rsidRPr="00823C10" w:rsidRDefault="00C3388F">
      <w:pPr>
        <w:pStyle w:val="FootnoteText"/>
        <w:rPr>
          <w:lang w:val="en-US"/>
        </w:rPr>
      </w:pPr>
      <w:r>
        <w:rPr>
          <w:rStyle w:val="FootnoteReference"/>
        </w:rPr>
        <w:footnoteRef/>
      </w:r>
      <w:r>
        <w:t xml:space="preserve"> </w:t>
      </w:r>
      <w:proofErr w:type="spellStart"/>
      <w:r w:rsidRPr="00823C10">
        <w:t>Gasparini</w:t>
      </w:r>
      <w:proofErr w:type="spellEnd"/>
      <w:r w:rsidRPr="00823C10">
        <w:t xml:space="preserve"> et al. Safety and Immunogenicity of a </w:t>
      </w:r>
      <w:proofErr w:type="spellStart"/>
      <w:r w:rsidRPr="00823C10">
        <w:t>Quadrivalent</w:t>
      </w:r>
      <w:proofErr w:type="spellEnd"/>
      <w:r w:rsidRPr="00823C10">
        <w:t xml:space="preserve"> Meningococcal Conjugate Vaccine and Commonly Administered Vaccines </w:t>
      </w:r>
      <w:proofErr w:type="gramStart"/>
      <w:r w:rsidRPr="00823C10">
        <w:t>After</w:t>
      </w:r>
      <w:proofErr w:type="gramEnd"/>
      <w:r w:rsidRPr="00823C10">
        <w:t xml:space="preserve"> </w:t>
      </w:r>
      <w:proofErr w:type="spellStart"/>
      <w:r w:rsidRPr="00823C10">
        <w:t>Coadministration</w:t>
      </w:r>
      <w:proofErr w:type="spellEnd"/>
      <w:r w:rsidRPr="00823C10">
        <w:t xml:space="preserve">. </w:t>
      </w:r>
      <w:proofErr w:type="spellStart"/>
      <w:r w:rsidRPr="00823C10">
        <w:t>Pediatr</w:t>
      </w:r>
      <w:proofErr w:type="spellEnd"/>
      <w:r w:rsidRPr="00823C10">
        <w:t xml:space="preserve"> Infect Dis J. 2016;35:81–93)</w:t>
      </w:r>
    </w:p>
  </w:footnote>
  <w:footnote w:id="6">
    <w:p w14:paraId="07447D39" w14:textId="77777777" w:rsidR="00C3388F" w:rsidRPr="00823C10" w:rsidRDefault="00C3388F">
      <w:pPr>
        <w:pStyle w:val="FootnoteText"/>
        <w:rPr>
          <w:lang w:val="en-US"/>
        </w:rPr>
      </w:pPr>
      <w:r>
        <w:rPr>
          <w:rStyle w:val="FootnoteReference"/>
        </w:rPr>
        <w:footnoteRef/>
      </w:r>
      <w:proofErr w:type="spellStart"/>
      <w:r w:rsidRPr="00823C10">
        <w:t>Dey</w:t>
      </w:r>
      <w:proofErr w:type="spellEnd"/>
      <w:r w:rsidRPr="00823C10">
        <w:t xml:space="preserve">, A. Et al. Summary of National Surveillance Data on Vaccine Preventable Diseases in Australia, 2008-2011. </w:t>
      </w:r>
      <w:proofErr w:type="gramStart"/>
      <w:r w:rsidRPr="00823C10">
        <w:t>Communicable Diseases Intelligence.</w:t>
      </w:r>
      <w:proofErr w:type="gramEnd"/>
      <w:r w:rsidRPr="00823C10">
        <w:t xml:space="preserve"> </w:t>
      </w:r>
      <w:proofErr w:type="gramStart"/>
      <w:r w:rsidRPr="00823C10">
        <w:t>2016; 40(Supplement).</w:t>
      </w:r>
      <w:proofErr w:type="gramEnd"/>
    </w:p>
  </w:footnote>
  <w:footnote w:id="7">
    <w:p w14:paraId="6984968C" w14:textId="77777777" w:rsidR="00C3388F" w:rsidRPr="00823C10" w:rsidRDefault="00C3388F">
      <w:pPr>
        <w:pStyle w:val="FootnoteText"/>
        <w:rPr>
          <w:lang w:val="en-US"/>
        </w:rPr>
      </w:pPr>
      <w:r>
        <w:rPr>
          <w:rStyle w:val="FootnoteReference"/>
        </w:rPr>
        <w:footnoteRef/>
      </w:r>
      <w:r>
        <w:t xml:space="preserve"> </w:t>
      </w:r>
      <w:r w:rsidRPr="00823C10">
        <w:t xml:space="preserve">Johnston et al. Comparative Assessment of a Single Dose and a 2 dose Vaccination Series of a </w:t>
      </w:r>
      <w:proofErr w:type="spellStart"/>
      <w:r w:rsidRPr="00823C10">
        <w:t>Quadrivalent</w:t>
      </w:r>
      <w:proofErr w:type="spellEnd"/>
      <w:r w:rsidRPr="00823C10">
        <w:t xml:space="preserve"> Meningococcal CRM-conjugate Vaccine (</w:t>
      </w:r>
      <w:proofErr w:type="spellStart"/>
      <w:r w:rsidRPr="00823C10">
        <w:t>MenACWY</w:t>
      </w:r>
      <w:proofErr w:type="spellEnd"/>
      <w:r w:rsidRPr="00823C10">
        <w:t xml:space="preserve">-CRM) in Children 2 to 10 Years of Age. </w:t>
      </w:r>
      <w:proofErr w:type="spellStart"/>
      <w:r w:rsidRPr="00823C10">
        <w:t>Pediatr</w:t>
      </w:r>
      <w:proofErr w:type="spellEnd"/>
      <w:r w:rsidRPr="00823C10">
        <w:t xml:space="preserve"> Infect Dis J. 2016 Jan;35(1):e19-27</w:t>
      </w:r>
    </w:p>
  </w:footnote>
  <w:footnote w:id="8">
    <w:p w14:paraId="1E906475" w14:textId="77777777" w:rsidR="00C3388F" w:rsidRPr="00823C10" w:rsidRDefault="00C3388F">
      <w:pPr>
        <w:pStyle w:val="FootnoteText"/>
        <w:rPr>
          <w:lang w:val="en-US"/>
        </w:rPr>
      </w:pPr>
      <w:r>
        <w:rPr>
          <w:rStyle w:val="FootnoteReference"/>
        </w:rPr>
        <w:footnoteRef/>
      </w:r>
      <w:r w:rsidRPr="00823C10">
        <w:t xml:space="preserve">Block et al. Antibody persistence 5 years after vaccination at 2 to 10 years of age with </w:t>
      </w:r>
      <w:proofErr w:type="spellStart"/>
      <w:r w:rsidRPr="00823C10">
        <w:t>Quadrivalent</w:t>
      </w:r>
      <w:proofErr w:type="spellEnd"/>
      <w:r w:rsidRPr="00823C10">
        <w:t xml:space="preserve"> </w:t>
      </w:r>
      <w:proofErr w:type="spellStart"/>
      <w:r w:rsidRPr="00823C10">
        <w:t>MenACWY</w:t>
      </w:r>
      <w:proofErr w:type="spellEnd"/>
      <w:r w:rsidRPr="00823C10">
        <w:t xml:space="preserve">-CRM conjugate vaccine, and responses to a booster vaccination. </w:t>
      </w:r>
      <w:proofErr w:type="gramStart"/>
      <w:r w:rsidRPr="00823C10">
        <w:t>Vaccine.</w:t>
      </w:r>
      <w:proofErr w:type="gramEnd"/>
      <w:r w:rsidRPr="00823C10">
        <w:t xml:space="preserve"> 33 (2015) 2175–2182</w:t>
      </w:r>
    </w:p>
  </w:footnote>
  <w:footnote w:id="9">
    <w:p w14:paraId="246AB00D" w14:textId="77777777" w:rsidR="00C3388F" w:rsidRPr="00823C10" w:rsidRDefault="00C3388F">
      <w:pPr>
        <w:pStyle w:val="FootnoteText"/>
        <w:rPr>
          <w:lang w:val="en-US"/>
        </w:rPr>
      </w:pPr>
      <w:r>
        <w:rPr>
          <w:rStyle w:val="FootnoteReference"/>
        </w:rPr>
        <w:footnoteRef/>
      </w:r>
      <w:r>
        <w:t xml:space="preserve"> </w:t>
      </w:r>
      <w:proofErr w:type="gramStart"/>
      <w:r w:rsidRPr="00823C10">
        <w:t xml:space="preserve">Baxter et al. Persistence of the immune response after </w:t>
      </w:r>
      <w:proofErr w:type="spellStart"/>
      <w:r w:rsidRPr="00823C10">
        <w:t>MenACWY</w:t>
      </w:r>
      <w:proofErr w:type="spellEnd"/>
      <w:r w:rsidRPr="00823C10">
        <w:t>-CRM vaccination and response to a booster dose, in adolescents, children and infants.</w:t>
      </w:r>
      <w:proofErr w:type="gramEnd"/>
      <w:r w:rsidRPr="00823C10">
        <w:t xml:space="preserve"> </w:t>
      </w:r>
      <w:proofErr w:type="gramStart"/>
      <w:r w:rsidRPr="00823C10">
        <w:t xml:space="preserve">Human Vaccines and </w:t>
      </w:r>
      <w:proofErr w:type="spellStart"/>
      <w:r w:rsidRPr="00823C10">
        <w:t>Immunotherapeutics</w:t>
      </w:r>
      <w:proofErr w:type="spellEnd"/>
      <w:r w:rsidRPr="00823C10">
        <w:t>.</w:t>
      </w:r>
      <w:proofErr w:type="gramEnd"/>
      <w:r w:rsidRPr="00823C10">
        <w:t xml:space="preserve"> </w:t>
      </w:r>
      <w:proofErr w:type="gramStart"/>
      <w:r w:rsidRPr="00823C10">
        <w:t>2016, VOL. 12, NO.</w:t>
      </w:r>
      <w:proofErr w:type="gramEnd"/>
      <w:r w:rsidRPr="00823C10">
        <w:t xml:space="preserve"> 5, 1300–1310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A19D1" w14:textId="77777777" w:rsidR="00C3388F" w:rsidRDefault="00C3388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68570" w14:textId="77777777" w:rsidR="00C3388F" w:rsidRDefault="00C3388F">
    <w:pPr>
      <w:rPr>
        <w:noProof/>
        <w:lang w:eastAsia="en-AU"/>
      </w:rPr>
    </w:pPr>
    <w:r w:rsidRPr="00347824">
      <w:rPr>
        <w:noProof/>
        <w:lang w:eastAsia="en-AU"/>
      </w:rPr>
      <w:drawing>
        <wp:anchor distT="0" distB="0" distL="114300" distR="114300" simplePos="0" relativeHeight="251659264" behindDoc="1" locked="0" layoutInCell="1" allowOverlap="1" wp14:anchorId="4363E983" wp14:editId="6B021E6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82A06A1" w14:textId="255B7FD5" w:rsidR="00C3388F" w:rsidRDefault="00C3388F"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E710" w14:textId="77777777" w:rsidR="00C3388F" w:rsidRDefault="00C338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F41C6" w14:textId="77777777" w:rsidR="00C3388F" w:rsidRDefault="00C3388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50F64" w14:textId="77777777" w:rsidR="00C3388F" w:rsidRDefault="00C3388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7F9C9" w14:textId="77777777" w:rsidR="00C3388F" w:rsidRDefault="00C338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CD55" w14:textId="77777777" w:rsidR="00C3388F" w:rsidRDefault="00C3388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D8871" w14:textId="77777777" w:rsidR="00C3388F" w:rsidRDefault="00C3388F" w:rsidP="006E08B3">
    <w:r>
      <w:t>Therapeutic Goods Administration</w:t>
    </w:r>
  </w:p>
  <w:p w14:paraId="19B835EA" w14:textId="77777777" w:rsidR="00C3388F" w:rsidRDefault="00C3388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numFmt w:val="bullet"/>
      <w:lvlText w:val=""/>
      <w:lvlJc w:val="left"/>
      <w:pPr>
        <w:ind w:left="560" w:hanging="278"/>
      </w:pPr>
      <w:rPr>
        <w:rFonts w:ascii="Symbol" w:hAnsi="Symbol" w:cs="Symbol"/>
        <w:b w:val="0"/>
        <w:bCs w:val="0"/>
        <w:w w:val="101"/>
        <w:sz w:val="23"/>
        <w:szCs w:val="23"/>
      </w:rPr>
    </w:lvl>
    <w:lvl w:ilvl="1">
      <w:numFmt w:val="bullet"/>
      <w:lvlText w:val="•"/>
      <w:lvlJc w:val="left"/>
      <w:pPr>
        <w:ind w:left="1542" w:hanging="278"/>
      </w:pPr>
    </w:lvl>
    <w:lvl w:ilvl="2">
      <w:numFmt w:val="bullet"/>
      <w:lvlText w:val="•"/>
      <w:lvlJc w:val="left"/>
      <w:pPr>
        <w:ind w:left="2524" w:hanging="278"/>
      </w:pPr>
    </w:lvl>
    <w:lvl w:ilvl="3">
      <w:numFmt w:val="bullet"/>
      <w:lvlText w:val="•"/>
      <w:lvlJc w:val="left"/>
      <w:pPr>
        <w:ind w:left="3507" w:hanging="278"/>
      </w:pPr>
    </w:lvl>
    <w:lvl w:ilvl="4">
      <w:numFmt w:val="bullet"/>
      <w:lvlText w:val="•"/>
      <w:lvlJc w:val="left"/>
      <w:pPr>
        <w:ind w:left="4489" w:hanging="278"/>
      </w:pPr>
    </w:lvl>
    <w:lvl w:ilvl="5">
      <w:numFmt w:val="bullet"/>
      <w:lvlText w:val="•"/>
      <w:lvlJc w:val="left"/>
      <w:pPr>
        <w:ind w:left="5472" w:hanging="278"/>
      </w:pPr>
    </w:lvl>
    <w:lvl w:ilvl="6">
      <w:numFmt w:val="bullet"/>
      <w:lvlText w:val="•"/>
      <w:lvlJc w:val="left"/>
      <w:pPr>
        <w:ind w:left="6454" w:hanging="278"/>
      </w:pPr>
    </w:lvl>
    <w:lvl w:ilvl="7">
      <w:numFmt w:val="bullet"/>
      <w:lvlText w:val="•"/>
      <w:lvlJc w:val="left"/>
      <w:pPr>
        <w:ind w:left="7437" w:hanging="278"/>
      </w:pPr>
    </w:lvl>
    <w:lvl w:ilvl="8">
      <w:numFmt w:val="bullet"/>
      <w:lvlText w:val="•"/>
      <w:lvlJc w:val="left"/>
      <w:pPr>
        <w:ind w:left="8419" w:hanging="278"/>
      </w:pPr>
    </w:lvl>
  </w:abstractNum>
  <w:abstractNum w:abstractNumId="5">
    <w:nsid w:val="00000403"/>
    <w:multiLevelType w:val="multilevel"/>
    <w:tmpl w:val="00000886"/>
    <w:lvl w:ilvl="0">
      <w:start w:val="1"/>
      <w:numFmt w:val="decimal"/>
      <w:lvlText w:val="%1."/>
      <w:lvlJc w:val="left"/>
      <w:pPr>
        <w:ind w:left="491" w:hanging="347"/>
      </w:pPr>
      <w:rPr>
        <w:rFonts w:ascii="Times New Roman" w:hAnsi="Times New Roman" w:cs="Times New Roman"/>
        <w:b/>
        <w:bCs/>
        <w:spacing w:val="0"/>
        <w:w w:val="101"/>
        <w:sz w:val="23"/>
        <w:szCs w:val="23"/>
      </w:rPr>
    </w:lvl>
    <w:lvl w:ilvl="1">
      <w:numFmt w:val="bullet"/>
      <w:lvlText w:val="•"/>
      <w:lvlJc w:val="left"/>
      <w:pPr>
        <w:ind w:left="1496" w:hanging="347"/>
      </w:pPr>
    </w:lvl>
    <w:lvl w:ilvl="2">
      <w:numFmt w:val="bullet"/>
      <w:lvlText w:val="•"/>
      <w:lvlJc w:val="left"/>
      <w:pPr>
        <w:ind w:left="2492" w:hanging="347"/>
      </w:pPr>
    </w:lvl>
    <w:lvl w:ilvl="3">
      <w:numFmt w:val="bullet"/>
      <w:lvlText w:val="•"/>
      <w:lvlJc w:val="left"/>
      <w:pPr>
        <w:ind w:left="3489" w:hanging="347"/>
      </w:pPr>
    </w:lvl>
    <w:lvl w:ilvl="4">
      <w:numFmt w:val="bullet"/>
      <w:lvlText w:val="•"/>
      <w:lvlJc w:val="left"/>
      <w:pPr>
        <w:ind w:left="4485" w:hanging="347"/>
      </w:pPr>
    </w:lvl>
    <w:lvl w:ilvl="5">
      <w:numFmt w:val="bullet"/>
      <w:lvlText w:val="•"/>
      <w:lvlJc w:val="left"/>
      <w:pPr>
        <w:ind w:left="5482" w:hanging="347"/>
      </w:pPr>
    </w:lvl>
    <w:lvl w:ilvl="6">
      <w:numFmt w:val="bullet"/>
      <w:lvlText w:val="•"/>
      <w:lvlJc w:val="left"/>
      <w:pPr>
        <w:ind w:left="6478" w:hanging="347"/>
      </w:pPr>
    </w:lvl>
    <w:lvl w:ilvl="7">
      <w:numFmt w:val="bullet"/>
      <w:lvlText w:val="•"/>
      <w:lvlJc w:val="left"/>
      <w:pPr>
        <w:ind w:left="7475" w:hanging="347"/>
      </w:pPr>
    </w:lvl>
    <w:lvl w:ilvl="8">
      <w:numFmt w:val="bullet"/>
      <w:lvlText w:val="•"/>
      <w:lvlJc w:val="left"/>
      <w:pPr>
        <w:ind w:left="8471" w:hanging="347"/>
      </w:pPr>
    </w:lvl>
  </w:abstractNum>
  <w:abstractNum w:abstractNumId="6">
    <w:nsid w:val="00000404"/>
    <w:multiLevelType w:val="multilevel"/>
    <w:tmpl w:val="00000887"/>
    <w:lvl w:ilvl="0">
      <w:start w:val="1"/>
      <w:numFmt w:val="decimal"/>
      <w:lvlText w:val="%1."/>
      <w:lvlJc w:val="left"/>
      <w:pPr>
        <w:ind w:left="633" w:hanging="351"/>
      </w:pPr>
      <w:rPr>
        <w:rFonts w:ascii="Times New Roman" w:hAnsi="Times New Roman" w:cs="Times New Roman"/>
        <w:b/>
        <w:bCs/>
        <w:w w:val="101"/>
        <w:sz w:val="23"/>
        <w:szCs w:val="23"/>
      </w:rPr>
    </w:lvl>
    <w:lvl w:ilvl="1">
      <w:numFmt w:val="bullet"/>
      <w:lvlText w:val="•"/>
      <w:lvlJc w:val="left"/>
      <w:pPr>
        <w:ind w:left="1630" w:hanging="351"/>
      </w:pPr>
    </w:lvl>
    <w:lvl w:ilvl="2">
      <w:numFmt w:val="bullet"/>
      <w:lvlText w:val="•"/>
      <w:lvlJc w:val="left"/>
      <w:pPr>
        <w:ind w:left="2620" w:hanging="351"/>
      </w:pPr>
    </w:lvl>
    <w:lvl w:ilvl="3">
      <w:numFmt w:val="bullet"/>
      <w:lvlText w:val="•"/>
      <w:lvlJc w:val="left"/>
      <w:pPr>
        <w:ind w:left="3611" w:hanging="351"/>
      </w:pPr>
    </w:lvl>
    <w:lvl w:ilvl="4">
      <w:numFmt w:val="bullet"/>
      <w:lvlText w:val="•"/>
      <w:lvlJc w:val="left"/>
      <w:pPr>
        <w:ind w:left="4601" w:hanging="351"/>
      </w:pPr>
    </w:lvl>
    <w:lvl w:ilvl="5">
      <w:numFmt w:val="bullet"/>
      <w:lvlText w:val="•"/>
      <w:lvlJc w:val="left"/>
      <w:pPr>
        <w:ind w:left="5592" w:hanging="351"/>
      </w:pPr>
    </w:lvl>
    <w:lvl w:ilvl="6">
      <w:numFmt w:val="bullet"/>
      <w:lvlText w:val="•"/>
      <w:lvlJc w:val="left"/>
      <w:pPr>
        <w:ind w:left="6582" w:hanging="351"/>
      </w:pPr>
    </w:lvl>
    <w:lvl w:ilvl="7">
      <w:numFmt w:val="bullet"/>
      <w:lvlText w:val="•"/>
      <w:lvlJc w:val="left"/>
      <w:pPr>
        <w:ind w:left="7573" w:hanging="351"/>
      </w:pPr>
    </w:lvl>
    <w:lvl w:ilvl="8">
      <w:numFmt w:val="bullet"/>
      <w:lvlText w:val="•"/>
      <w:lvlJc w:val="left"/>
      <w:pPr>
        <w:ind w:left="8563" w:hanging="351"/>
      </w:pPr>
    </w:lvl>
  </w:abstractNum>
  <w:abstractNum w:abstractNumId="7">
    <w:nsid w:val="00000405"/>
    <w:multiLevelType w:val="multilevel"/>
    <w:tmpl w:val="00000888"/>
    <w:lvl w:ilvl="0">
      <w:start w:val="1"/>
      <w:numFmt w:val="decimal"/>
      <w:lvlText w:val="%1."/>
      <w:lvlJc w:val="left"/>
      <w:pPr>
        <w:ind w:left="560" w:hanging="212"/>
      </w:pPr>
      <w:rPr>
        <w:b w:val="0"/>
        <w:bCs w:val="0"/>
        <w:spacing w:val="-1"/>
        <w:w w:val="102"/>
      </w:rPr>
    </w:lvl>
    <w:lvl w:ilvl="1">
      <w:numFmt w:val="bullet"/>
      <w:lvlText w:val="•"/>
      <w:lvlJc w:val="left"/>
      <w:pPr>
        <w:ind w:left="1550" w:hanging="212"/>
      </w:pPr>
    </w:lvl>
    <w:lvl w:ilvl="2">
      <w:numFmt w:val="bullet"/>
      <w:lvlText w:val="•"/>
      <w:lvlJc w:val="left"/>
      <w:pPr>
        <w:ind w:left="2540" w:hanging="212"/>
      </w:pPr>
    </w:lvl>
    <w:lvl w:ilvl="3">
      <w:numFmt w:val="bullet"/>
      <w:lvlText w:val="•"/>
      <w:lvlJc w:val="left"/>
      <w:pPr>
        <w:ind w:left="3531" w:hanging="212"/>
      </w:pPr>
    </w:lvl>
    <w:lvl w:ilvl="4">
      <w:numFmt w:val="bullet"/>
      <w:lvlText w:val="•"/>
      <w:lvlJc w:val="left"/>
      <w:pPr>
        <w:ind w:left="4521" w:hanging="212"/>
      </w:pPr>
    </w:lvl>
    <w:lvl w:ilvl="5">
      <w:numFmt w:val="bullet"/>
      <w:lvlText w:val="•"/>
      <w:lvlJc w:val="left"/>
      <w:pPr>
        <w:ind w:left="5512" w:hanging="212"/>
      </w:pPr>
    </w:lvl>
    <w:lvl w:ilvl="6">
      <w:numFmt w:val="bullet"/>
      <w:lvlText w:val="•"/>
      <w:lvlJc w:val="left"/>
      <w:pPr>
        <w:ind w:left="6502" w:hanging="212"/>
      </w:pPr>
    </w:lvl>
    <w:lvl w:ilvl="7">
      <w:numFmt w:val="bullet"/>
      <w:lvlText w:val="•"/>
      <w:lvlJc w:val="left"/>
      <w:pPr>
        <w:ind w:left="7493" w:hanging="212"/>
      </w:pPr>
    </w:lvl>
    <w:lvl w:ilvl="8">
      <w:numFmt w:val="bullet"/>
      <w:lvlText w:val="•"/>
      <w:lvlJc w:val="left"/>
      <w:pPr>
        <w:ind w:left="8483" w:hanging="212"/>
      </w:pPr>
    </w:lvl>
  </w:abstractNum>
  <w:abstractNum w:abstractNumId="8">
    <w:nsid w:val="0E9108CD"/>
    <w:multiLevelType w:val="hybridMultilevel"/>
    <w:tmpl w:val="5122DA6C"/>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2B13F02"/>
    <w:multiLevelType w:val="multilevel"/>
    <w:tmpl w:val="00000887"/>
    <w:lvl w:ilvl="0">
      <w:start w:val="1"/>
      <w:numFmt w:val="decimal"/>
      <w:lvlText w:val="%1."/>
      <w:lvlJc w:val="left"/>
      <w:pPr>
        <w:ind w:left="633" w:hanging="351"/>
      </w:pPr>
      <w:rPr>
        <w:rFonts w:ascii="Times New Roman" w:hAnsi="Times New Roman" w:cs="Times New Roman"/>
        <w:b/>
        <w:bCs/>
        <w:w w:val="101"/>
        <w:sz w:val="23"/>
        <w:szCs w:val="23"/>
      </w:rPr>
    </w:lvl>
    <w:lvl w:ilvl="1">
      <w:numFmt w:val="bullet"/>
      <w:lvlText w:val="•"/>
      <w:lvlJc w:val="left"/>
      <w:pPr>
        <w:ind w:left="1630" w:hanging="351"/>
      </w:pPr>
    </w:lvl>
    <w:lvl w:ilvl="2">
      <w:numFmt w:val="bullet"/>
      <w:lvlText w:val="•"/>
      <w:lvlJc w:val="left"/>
      <w:pPr>
        <w:ind w:left="2620" w:hanging="351"/>
      </w:pPr>
    </w:lvl>
    <w:lvl w:ilvl="3">
      <w:numFmt w:val="bullet"/>
      <w:lvlText w:val="•"/>
      <w:lvlJc w:val="left"/>
      <w:pPr>
        <w:ind w:left="3611" w:hanging="351"/>
      </w:pPr>
    </w:lvl>
    <w:lvl w:ilvl="4">
      <w:numFmt w:val="bullet"/>
      <w:lvlText w:val="•"/>
      <w:lvlJc w:val="left"/>
      <w:pPr>
        <w:ind w:left="4601" w:hanging="351"/>
      </w:pPr>
    </w:lvl>
    <w:lvl w:ilvl="5">
      <w:numFmt w:val="bullet"/>
      <w:lvlText w:val="•"/>
      <w:lvlJc w:val="left"/>
      <w:pPr>
        <w:ind w:left="5592" w:hanging="351"/>
      </w:pPr>
    </w:lvl>
    <w:lvl w:ilvl="6">
      <w:numFmt w:val="bullet"/>
      <w:lvlText w:val="•"/>
      <w:lvlJc w:val="left"/>
      <w:pPr>
        <w:ind w:left="6582" w:hanging="351"/>
      </w:pPr>
    </w:lvl>
    <w:lvl w:ilvl="7">
      <w:numFmt w:val="bullet"/>
      <w:lvlText w:val="•"/>
      <w:lvlJc w:val="left"/>
      <w:pPr>
        <w:ind w:left="7573" w:hanging="351"/>
      </w:pPr>
    </w:lvl>
    <w:lvl w:ilvl="8">
      <w:numFmt w:val="bullet"/>
      <w:lvlText w:val="•"/>
      <w:lvlJc w:val="left"/>
      <w:pPr>
        <w:ind w:left="8563" w:hanging="351"/>
      </w:p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27A52BD"/>
    <w:multiLevelType w:val="multilevel"/>
    <w:tmpl w:val="CD62E5EA"/>
    <w:lvl w:ilvl="0">
      <w:start w:val="11"/>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37447E2"/>
    <w:multiLevelType w:val="hybridMultilevel"/>
    <w:tmpl w:val="BF1E8C04"/>
    <w:lvl w:ilvl="0" w:tplc="3C643CDA">
      <w:start w:val="1"/>
      <w:numFmt w:val="decimal"/>
      <w:lvlText w:val="(%1)"/>
      <w:lvlJc w:val="left"/>
      <w:pPr>
        <w:ind w:left="6314" w:hanging="360"/>
      </w:pPr>
      <w:rPr>
        <w:rFonts w:hint="default"/>
      </w:rPr>
    </w:lvl>
    <w:lvl w:ilvl="1" w:tplc="0C090019" w:tentative="1">
      <w:start w:val="1"/>
      <w:numFmt w:val="lowerLetter"/>
      <w:lvlText w:val="%2."/>
      <w:lvlJc w:val="left"/>
      <w:pPr>
        <w:ind w:left="7034" w:hanging="360"/>
      </w:pPr>
    </w:lvl>
    <w:lvl w:ilvl="2" w:tplc="0C09001B" w:tentative="1">
      <w:start w:val="1"/>
      <w:numFmt w:val="lowerRoman"/>
      <w:lvlText w:val="%3."/>
      <w:lvlJc w:val="right"/>
      <w:pPr>
        <w:ind w:left="7754" w:hanging="180"/>
      </w:pPr>
    </w:lvl>
    <w:lvl w:ilvl="3" w:tplc="0C09000F" w:tentative="1">
      <w:start w:val="1"/>
      <w:numFmt w:val="decimal"/>
      <w:lvlText w:val="%4."/>
      <w:lvlJc w:val="left"/>
      <w:pPr>
        <w:ind w:left="8474" w:hanging="360"/>
      </w:pPr>
    </w:lvl>
    <w:lvl w:ilvl="4" w:tplc="0C090019" w:tentative="1">
      <w:start w:val="1"/>
      <w:numFmt w:val="lowerLetter"/>
      <w:lvlText w:val="%5."/>
      <w:lvlJc w:val="left"/>
      <w:pPr>
        <w:ind w:left="9194" w:hanging="360"/>
      </w:pPr>
    </w:lvl>
    <w:lvl w:ilvl="5" w:tplc="0C09001B" w:tentative="1">
      <w:start w:val="1"/>
      <w:numFmt w:val="lowerRoman"/>
      <w:lvlText w:val="%6."/>
      <w:lvlJc w:val="right"/>
      <w:pPr>
        <w:ind w:left="9914" w:hanging="180"/>
      </w:pPr>
    </w:lvl>
    <w:lvl w:ilvl="6" w:tplc="0C09000F" w:tentative="1">
      <w:start w:val="1"/>
      <w:numFmt w:val="decimal"/>
      <w:lvlText w:val="%7."/>
      <w:lvlJc w:val="left"/>
      <w:pPr>
        <w:ind w:left="10634" w:hanging="360"/>
      </w:pPr>
    </w:lvl>
    <w:lvl w:ilvl="7" w:tplc="0C090019" w:tentative="1">
      <w:start w:val="1"/>
      <w:numFmt w:val="lowerLetter"/>
      <w:lvlText w:val="%8."/>
      <w:lvlJc w:val="left"/>
      <w:pPr>
        <w:ind w:left="11354" w:hanging="360"/>
      </w:pPr>
    </w:lvl>
    <w:lvl w:ilvl="8" w:tplc="0C09001B" w:tentative="1">
      <w:start w:val="1"/>
      <w:numFmt w:val="lowerRoman"/>
      <w:lvlText w:val="%9."/>
      <w:lvlJc w:val="right"/>
      <w:pPr>
        <w:ind w:left="12074" w:hanging="180"/>
      </w:pPr>
    </w:lvl>
  </w:abstractNum>
  <w:abstractNum w:abstractNumId="14">
    <w:nsid w:val="2F9D4E14"/>
    <w:multiLevelType w:val="hybridMultilevel"/>
    <w:tmpl w:val="4134F60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384623"/>
    <w:multiLevelType w:val="multilevel"/>
    <w:tmpl w:val="00000886"/>
    <w:lvl w:ilvl="0">
      <w:start w:val="1"/>
      <w:numFmt w:val="decimal"/>
      <w:lvlText w:val="%1."/>
      <w:lvlJc w:val="left"/>
      <w:pPr>
        <w:ind w:left="491" w:hanging="347"/>
      </w:pPr>
      <w:rPr>
        <w:rFonts w:ascii="Times New Roman" w:hAnsi="Times New Roman" w:cs="Times New Roman"/>
        <w:b/>
        <w:bCs/>
        <w:spacing w:val="0"/>
        <w:w w:val="101"/>
        <w:sz w:val="23"/>
        <w:szCs w:val="23"/>
      </w:rPr>
    </w:lvl>
    <w:lvl w:ilvl="1">
      <w:numFmt w:val="bullet"/>
      <w:lvlText w:val="•"/>
      <w:lvlJc w:val="left"/>
      <w:pPr>
        <w:ind w:left="1496" w:hanging="347"/>
      </w:pPr>
    </w:lvl>
    <w:lvl w:ilvl="2">
      <w:numFmt w:val="bullet"/>
      <w:lvlText w:val="•"/>
      <w:lvlJc w:val="left"/>
      <w:pPr>
        <w:ind w:left="2492" w:hanging="347"/>
      </w:pPr>
    </w:lvl>
    <w:lvl w:ilvl="3">
      <w:numFmt w:val="bullet"/>
      <w:lvlText w:val="•"/>
      <w:lvlJc w:val="left"/>
      <w:pPr>
        <w:ind w:left="3489" w:hanging="347"/>
      </w:pPr>
    </w:lvl>
    <w:lvl w:ilvl="4">
      <w:numFmt w:val="bullet"/>
      <w:lvlText w:val="•"/>
      <w:lvlJc w:val="left"/>
      <w:pPr>
        <w:ind w:left="4485" w:hanging="347"/>
      </w:pPr>
    </w:lvl>
    <w:lvl w:ilvl="5">
      <w:numFmt w:val="bullet"/>
      <w:lvlText w:val="•"/>
      <w:lvlJc w:val="left"/>
      <w:pPr>
        <w:ind w:left="5482" w:hanging="347"/>
      </w:pPr>
    </w:lvl>
    <w:lvl w:ilvl="6">
      <w:numFmt w:val="bullet"/>
      <w:lvlText w:val="•"/>
      <w:lvlJc w:val="left"/>
      <w:pPr>
        <w:ind w:left="6478" w:hanging="347"/>
      </w:pPr>
    </w:lvl>
    <w:lvl w:ilvl="7">
      <w:numFmt w:val="bullet"/>
      <w:lvlText w:val="•"/>
      <w:lvlJc w:val="left"/>
      <w:pPr>
        <w:ind w:left="7475" w:hanging="347"/>
      </w:pPr>
    </w:lvl>
    <w:lvl w:ilvl="8">
      <w:numFmt w:val="bullet"/>
      <w:lvlText w:val="•"/>
      <w:lvlJc w:val="left"/>
      <w:pPr>
        <w:ind w:left="8471" w:hanging="347"/>
      </w:pPr>
    </w:lvl>
  </w:abstractNum>
  <w:abstractNum w:abstractNumId="16">
    <w:nsid w:val="3C6F2A06"/>
    <w:multiLevelType w:val="hybridMultilevel"/>
    <w:tmpl w:val="ABE88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0D23C1"/>
    <w:multiLevelType w:val="hybridMultilevel"/>
    <w:tmpl w:val="BC325478"/>
    <w:lvl w:ilvl="0" w:tplc="52CE24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1"/>
  </w:num>
  <w:num w:numId="4">
    <w:abstractNumId w:val="11"/>
  </w:num>
  <w:num w:numId="5">
    <w:abstractNumId w:val="0"/>
  </w:num>
  <w:num w:numId="6">
    <w:abstractNumId w:val="11"/>
  </w:num>
  <w:num w:numId="7">
    <w:abstractNumId w:val="11"/>
  </w:num>
  <w:num w:numId="8">
    <w:abstractNumId w:val="9"/>
  </w:num>
  <w:num w:numId="9">
    <w:abstractNumId w:val="9"/>
  </w:num>
  <w:num w:numId="10">
    <w:abstractNumId w:val="9"/>
  </w:num>
  <w:num w:numId="11">
    <w:abstractNumId w:val="9"/>
  </w:num>
  <w:num w:numId="12">
    <w:abstractNumId w:val="3"/>
    <w:lvlOverride w:ilvl="0">
      <w:lvl w:ilvl="0">
        <w:numFmt w:val="bullet"/>
        <w:lvlText w:val="•"/>
        <w:legacy w:legacy="1" w:legacySpace="0" w:legacyIndent="0"/>
        <w:lvlJc w:val="left"/>
        <w:rPr>
          <w:rFonts w:ascii="Helv" w:hAnsi="Helv" w:hint="default"/>
        </w:rPr>
      </w:lvl>
    </w:lvlOverride>
  </w:num>
  <w:num w:numId="13">
    <w:abstractNumId w:val="11"/>
  </w:num>
  <w:num w:numId="14">
    <w:abstractNumId w:val="11"/>
  </w:num>
  <w:num w:numId="15">
    <w:abstractNumId w:val="11"/>
  </w:num>
  <w:num w:numId="16">
    <w:abstractNumId w:val="9"/>
  </w:num>
  <w:num w:numId="17">
    <w:abstractNumId w:val="9"/>
  </w:num>
  <w:num w:numId="18">
    <w:abstractNumId w:val="9"/>
  </w:num>
  <w:num w:numId="19">
    <w:abstractNumId w:val="11"/>
  </w:num>
  <w:num w:numId="20">
    <w:abstractNumId w:val="11"/>
  </w:num>
  <w:num w:numId="21">
    <w:abstractNumId w:val="11"/>
  </w:num>
  <w:num w:numId="22">
    <w:abstractNumId w:val="9"/>
  </w:num>
  <w:num w:numId="23">
    <w:abstractNumId w:val="9"/>
  </w:num>
  <w:num w:numId="24">
    <w:abstractNumId w:val="9"/>
  </w:num>
  <w:num w:numId="25">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num>
  <w:num w:numId="28">
    <w:abstractNumId w:val="5"/>
  </w:num>
  <w:num w:numId="29">
    <w:abstractNumId w:val="15"/>
  </w:num>
  <w:num w:numId="30">
    <w:abstractNumId w:val="6"/>
  </w:num>
  <w:num w:numId="31">
    <w:abstractNumId w:val="10"/>
  </w:num>
  <w:num w:numId="32">
    <w:abstractNumId w:val="7"/>
  </w:num>
  <w:num w:numId="33">
    <w:abstractNumId w:val="8"/>
  </w:num>
  <w:num w:numId="34">
    <w:abstractNumId w:val="12"/>
  </w:num>
  <w:num w:numId="35">
    <w:abstractNumId w:val="14"/>
  </w:num>
  <w:num w:numId="36">
    <w:abstractNumId w:val="13"/>
  </w:num>
  <w:num w:numId="37">
    <w:abstractNumId w:val="17"/>
  </w:num>
  <w:num w:numId="38">
    <w:abstractNumId w:val="16"/>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476"/>
    <w:rsid w:val="00002031"/>
    <w:rsid w:val="00002E81"/>
    <w:rsid w:val="00004734"/>
    <w:rsid w:val="00006B22"/>
    <w:rsid w:val="0001276A"/>
    <w:rsid w:val="000246AE"/>
    <w:rsid w:val="00025C67"/>
    <w:rsid w:val="00044772"/>
    <w:rsid w:val="000448E6"/>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0284"/>
    <w:rsid w:val="000E3BB3"/>
    <w:rsid w:val="000E6196"/>
    <w:rsid w:val="000F4869"/>
    <w:rsid w:val="000F5B42"/>
    <w:rsid w:val="000F6E6F"/>
    <w:rsid w:val="00105660"/>
    <w:rsid w:val="0010601F"/>
    <w:rsid w:val="0010788A"/>
    <w:rsid w:val="00107A31"/>
    <w:rsid w:val="00110EA5"/>
    <w:rsid w:val="00112F56"/>
    <w:rsid w:val="00125318"/>
    <w:rsid w:val="001305A2"/>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50E0"/>
    <w:rsid w:val="001A2158"/>
    <w:rsid w:val="001A525F"/>
    <w:rsid w:val="001B09F9"/>
    <w:rsid w:val="001B3476"/>
    <w:rsid w:val="001B5C90"/>
    <w:rsid w:val="001B6448"/>
    <w:rsid w:val="001C32CD"/>
    <w:rsid w:val="001D2133"/>
    <w:rsid w:val="001D2984"/>
    <w:rsid w:val="001E07CF"/>
    <w:rsid w:val="001E374C"/>
    <w:rsid w:val="001E59F1"/>
    <w:rsid w:val="001F2CEE"/>
    <w:rsid w:val="001F49EB"/>
    <w:rsid w:val="001F6CBA"/>
    <w:rsid w:val="00201824"/>
    <w:rsid w:val="00201D4E"/>
    <w:rsid w:val="002076C9"/>
    <w:rsid w:val="00220B8A"/>
    <w:rsid w:val="002257F3"/>
    <w:rsid w:val="00230FDA"/>
    <w:rsid w:val="00233456"/>
    <w:rsid w:val="002339A5"/>
    <w:rsid w:val="00245FF7"/>
    <w:rsid w:val="0025045A"/>
    <w:rsid w:val="00257848"/>
    <w:rsid w:val="00261A1E"/>
    <w:rsid w:val="0027084A"/>
    <w:rsid w:val="002740F1"/>
    <w:rsid w:val="00286434"/>
    <w:rsid w:val="00286C59"/>
    <w:rsid w:val="002900E9"/>
    <w:rsid w:val="00291957"/>
    <w:rsid w:val="00292035"/>
    <w:rsid w:val="002942D1"/>
    <w:rsid w:val="00294D4C"/>
    <w:rsid w:val="0029501A"/>
    <w:rsid w:val="00296752"/>
    <w:rsid w:val="002A3721"/>
    <w:rsid w:val="002B1638"/>
    <w:rsid w:val="002B3624"/>
    <w:rsid w:val="002D0952"/>
    <w:rsid w:val="002E12AE"/>
    <w:rsid w:val="002E40B3"/>
    <w:rsid w:val="002E4C9A"/>
    <w:rsid w:val="002F11F8"/>
    <w:rsid w:val="002F3F56"/>
    <w:rsid w:val="002F44B5"/>
    <w:rsid w:val="00306FB2"/>
    <w:rsid w:val="00311AC0"/>
    <w:rsid w:val="003176FC"/>
    <w:rsid w:val="0032583B"/>
    <w:rsid w:val="00327883"/>
    <w:rsid w:val="00335504"/>
    <w:rsid w:val="00336B5F"/>
    <w:rsid w:val="00340C18"/>
    <w:rsid w:val="003442FD"/>
    <w:rsid w:val="00347824"/>
    <w:rsid w:val="00350567"/>
    <w:rsid w:val="003521E8"/>
    <w:rsid w:val="00355F48"/>
    <w:rsid w:val="0036653D"/>
    <w:rsid w:val="00370CE3"/>
    <w:rsid w:val="0037251C"/>
    <w:rsid w:val="003728F3"/>
    <w:rsid w:val="0037496E"/>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334C7"/>
    <w:rsid w:val="00440A2D"/>
    <w:rsid w:val="00441C3F"/>
    <w:rsid w:val="004564A7"/>
    <w:rsid w:val="004617BF"/>
    <w:rsid w:val="00463658"/>
    <w:rsid w:val="004637A0"/>
    <w:rsid w:val="004712AD"/>
    <w:rsid w:val="004722CC"/>
    <w:rsid w:val="004936E4"/>
    <w:rsid w:val="00494E60"/>
    <w:rsid w:val="00497487"/>
    <w:rsid w:val="004A2438"/>
    <w:rsid w:val="004A6189"/>
    <w:rsid w:val="004A7390"/>
    <w:rsid w:val="004A766E"/>
    <w:rsid w:val="004B7B76"/>
    <w:rsid w:val="004C239D"/>
    <w:rsid w:val="004C2DCA"/>
    <w:rsid w:val="004C61D2"/>
    <w:rsid w:val="004D1048"/>
    <w:rsid w:val="004E36ED"/>
    <w:rsid w:val="004F0C4A"/>
    <w:rsid w:val="004F0F38"/>
    <w:rsid w:val="004F47D6"/>
    <w:rsid w:val="00501921"/>
    <w:rsid w:val="00514B59"/>
    <w:rsid w:val="00517EB6"/>
    <w:rsid w:val="00530354"/>
    <w:rsid w:val="0053625B"/>
    <w:rsid w:val="00540453"/>
    <w:rsid w:val="005434C6"/>
    <w:rsid w:val="00543B39"/>
    <w:rsid w:val="00546154"/>
    <w:rsid w:val="00550096"/>
    <w:rsid w:val="00554CC0"/>
    <w:rsid w:val="00555280"/>
    <w:rsid w:val="00557FF9"/>
    <w:rsid w:val="00562327"/>
    <w:rsid w:val="005711D5"/>
    <w:rsid w:val="00576378"/>
    <w:rsid w:val="00577130"/>
    <w:rsid w:val="00577945"/>
    <w:rsid w:val="00577E38"/>
    <w:rsid w:val="00585322"/>
    <w:rsid w:val="005857C6"/>
    <w:rsid w:val="00592F6E"/>
    <w:rsid w:val="00593AD1"/>
    <w:rsid w:val="00597010"/>
    <w:rsid w:val="005A68B6"/>
    <w:rsid w:val="005C5570"/>
    <w:rsid w:val="005C79A4"/>
    <w:rsid w:val="005D4373"/>
    <w:rsid w:val="005D5442"/>
    <w:rsid w:val="005E144F"/>
    <w:rsid w:val="005E4225"/>
    <w:rsid w:val="005F0477"/>
    <w:rsid w:val="00603F32"/>
    <w:rsid w:val="00605AD4"/>
    <w:rsid w:val="006136D7"/>
    <w:rsid w:val="00625A6E"/>
    <w:rsid w:val="00632398"/>
    <w:rsid w:val="00640FC3"/>
    <w:rsid w:val="00642020"/>
    <w:rsid w:val="0065337B"/>
    <w:rsid w:val="0065419D"/>
    <w:rsid w:val="0065698C"/>
    <w:rsid w:val="006571F8"/>
    <w:rsid w:val="006604D8"/>
    <w:rsid w:val="00664A5B"/>
    <w:rsid w:val="0066735C"/>
    <w:rsid w:val="00670EC4"/>
    <w:rsid w:val="006763D2"/>
    <w:rsid w:val="00676B62"/>
    <w:rsid w:val="00680C08"/>
    <w:rsid w:val="006916A0"/>
    <w:rsid w:val="00691E2F"/>
    <w:rsid w:val="006931B1"/>
    <w:rsid w:val="006A15C0"/>
    <w:rsid w:val="006A74C6"/>
    <w:rsid w:val="006C3E2A"/>
    <w:rsid w:val="006C642F"/>
    <w:rsid w:val="006D03E5"/>
    <w:rsid w:val="006D5D3E"/>
    <w:rsid w:val="006E089F"/>
    <w:rsid w:val="006E08B3"/>
    <w:rsid w:val="006E7ACC"/>
    <w:rsid w:val="006F17AC"/>
    <w:rsid w:val="006F25B8"/>
    <w:rsid w:val="006F572E"/>
    <w:rsid w:val="007046D6"/>
    <w:rsid w:val="00705DB0"/>
    <w:rsid w:val="00722B57"/>
    <w:rsid w:val="00726B26"/>
    <w:rsid w:val="00730F8A"/>
    <w:rsid w:val="00735A8C"/>
    <w:rsid w:val="0074253D"/>
    <w:rsid w:val="0074429B"/>
    <w:rsid w:val="00746C7F"/>
    <w:rsid w:val="007615BC"/>
    <w:rsid w:val="00762F05"/>
    <w:rsid w:val="007652FF"/>
    <w:rsid w:val="00770CAC"/>
    <w:rsid w:val="00770EF1"/>
    <w:rsid w:val="00773EF7"/>
    <w:rsid w:val="00774E1D"/>
    <w:rsid w:val="007765D8"/>
    <w:rsid w:val="0077675A"/>
    <w:rsid w:val="00780355"/>
    <w:rsid w:val="007819FD"/>
    <w:rsid w:val="00785717"/>
    <w:rsid w:val="00785721"/>
    <w:rsid w:val="00787B0E"/>
    <w:rsid w:val="00790BE8"/>
    <w:rsid w:val="00793A59"/>
    <w:rsid w:val="007A1EC3"/>
    <w:rsid w:val="007B6132"/>
    <w:rsid w:val="007B6E9F"/>
    <w:rsid w:val="007C1216"/>
    <w:rsid w:val="007C1AF7"/>
    <w:rsid w:val="007C6B9B"/>
    <w:rsid w:val="007E296A"/>
    <w:rsid w:val="007F4D43"/>
    <w:rsid w:val="00805D27"/>
    <w:rsid w:val="00806DCB"/>
    <w:rsid w:val="00821776"/>
    <w:rsid w:val="00823C10"/>
    <w:rsid w:val="00827008"/>
    <w:rsid w:val="008321F5"/>
    <w:rsid w:val="00832369"/>
    <w:rsid w:val="00834660"/>
    <w:rsid w:val="00836BC2"/>
    <w:rsid w:val="0085156D"/>
    <w:rsid w:val="0085641B"/>
    <w:rsid w:val="00857136"/>
    <w:rsid w:val="00875A6B"/>
    <w:rsid w:val="008802EC"/>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C6452"/>
    <w:rsid w:val="008D61CF"/>
    <w:rsid w:val="008E6C2A"/>
    <w:rsid w:val="008E7846"/>
    <w:rsid w:val="008F02E5"/>
    <w:rsid w:val="008F1CCC"/>
    <w:rsid w:val="008F2967"/>
    <w:rsid w:val="008F6943"/>
    <w:rsid w:val="00901F1C"/>
    <w:rsid w:val="00902A21"/>
    <w:rsid w:val="00920330"/>
    <w:rsid w:val="009219D7"/>
    <w:rsid w:val="00922D53"/>
    <w:rsid w:val="00923B70"/>
    <w:rsid w:val="00924482"/>
    <w:rsid w:val="00930237"/>
    <w:rsid w:val="009341DC"/>
    <w:rsid w:val="00937C17"/>
    <w:rsid w:val="00940A89"/>
    <w:rsid w:val="00946EA5"/>
    <w:rsid w:val="00963C08"/>
    <w:rsid w:val="009752A5"/>
    <w:rsid w:val="0098585A"/>
    <w:rsid w:val="009A4CED"/>
    <w:rsid w:val="009A690D"/>
    <w:rsid w:val="009B1D12"/>
    <w:rsid w:val="009B416B"/>
    <w:rsid w:val="009B58BB"/>
    <w:rsid w:val="009C4BD5"/>
    <w:rsid w:val="009D77B4"/>
    <w:rsid w:val="009D7B77"/>
    <w:rsid w:val="009E0BB0"/>
    <w:rsid w:val="009E3FBB"/>
    <w:rsid w:val="009F7353"/>
    <w:rsid w:val="00A04F85"/>
    <w:rsid w:val="00A05FA4"/>
    <w:rsid w:val="00A102E4"/>
    <w:rsid w:val="00A12C42"/>
    <w:rsid w:val="00A14DF7"/>
    <w:rsid w:val="00A16253"/>
    <w:rsid w:val="00A21AF0"/>
    <w:rsid w:val="00A31807"/>
    <w:rsid w:val="00A3246D"/>
    <w:rsid w:val="00A3412C"/>
    <w:rsid w:val="00A36FA7"/>
    <w:rsid w:val="00A44DDB"/>
    <w:rsid w:val="00A475B7"/>
    <w:rsid w:val="00A47AF7"/>
    <w:rsid w:val="00A47C3E"/>
    <w:rsid w:val="00A50226"/>
    <w:rsid w:val="00A60BAD"/>
    <w:rsid w:val="00A62E34"/>
    <w:rsid w:val="00A737A1"/>
    <w:rsid w:val="00A80B5B"/>
    <w:rsid w:val="00A81081"/>
    <w:rsid w:val="00A84E36"/>
    <w:rsid w:val="00A955CD"/>
    <w:rsid w:val="00A964D1"/>
    <w:rsid w:val="00AA0ED0"/>
    <w:rsid w:val="00AA10D9"/>
    <w:rsid w:val="00AC2B40"/>
    <w:rsid w:val="00AC2BB2"/>
    <w:rsid w:val="00AC2C3C"/>
    <w:rsid w:val="00AC512D"/>
    <w:rsid w:val="00AD0083"/>
    <w:rsid w:val="00AD3935"/>
    <w:rsid w:val="00AE65EB"/>
    <w:rsid w:val="00AE67A7"/>
    <w:rsid w:val="00AF1D94"/>
    <w:rsid w:val="00AF60C5"/>
    <w:rsid w:val="00B009C6"/>
    <w:rsid w:val="00B01548"/>
    <w:rsid w:val="00B044DB"/>
    <w:rsid w:val="00B07393"/>
    <w:rsid w:val="00B13EBD"/>
    <w:rsid w:val="00B160CD"/>
    <w:rsid w:val="00B21C71"/>
    <w:rsid w:val="00B21D29"/>
    <w:rsid w:val="00B25034"/>
    <w:rsid w:val="00B33588"/>
    <w:rsid w:val="00B3381F"/>
    <w:rsid w:val="00B33863"/>
    <w:rsid w:val="00B34330"/>
    <w:rsid w:val="00B37D17"/>
    <w:rsid w:val="00B402E1"/>
    <w:rsid w:val="00B4175E"/>
    <w:rsid w:val="00B43404"/>
    <w:rsid w:val="00B43E05"/>
    <w:rsid w:val="00B452CE"/>
    <w:rsid w:val="00B54C25"/>
    <w:rsid w:val="00B76B91"/>
    <w:rsid w:val="00B77EB1"/>
    <w:rsid w:val="00B811C6"/>
    <w:rsid w:val="00B855B0"/>
    <w:rsid w:val="00B92E08"/>
    <w:rsid w:val="00BC622A"/>
    <w:rsid w:val="00BD2338"/>
    <w:rsid w:val="00BE0A78"/>
    <w:rsid w:val="00BE79F0"/>
    <w:rsid w:val="00BF046D"/>
    <w:rsid w:val="00BF1190"/>
    <w:rsid w:val="00BF5D04"/>
    <w:rsid w:val="00C009AA"/>
    <w:rsid w:val="00C048A1"/>
    <w:rsid w:val="00C1164D"/>
    <w:rsid w:val="00C13965"/>
    <w:rsid w:val="00C16861"/>
    <w:rsid w:val="00C3388F"/>
    <w:rsid w:val="00C346AB"/>
    <w:rsid w:val="00C404A6"/>
    <w:rsid w:val="00C40A36"/>
    <w:rsid w:val="00C42122"/>
    <w:rsid w:val="00C44419"/>
    <w:rsid w:val="00C45E7B"/>
    <w:rsid w:val="00C471A6"/>
    <w:rsid w:val="00C471B1"/>
    <w:rsid w:val="00C50AB0"/>
    <w:rsid w:val="00C57929"/>
    <w:rsid w:val="00C6316B"/>
    <w:rsid w:val="00C634A9"/>
    <w:rsid w:val="00C64586"/>
    <w:rsid w:val="00C647F7"/>
    <w:rsid w:val="00C64FD5"/>
    <w:rsid w:val="00C70D53"/>
    <w:rsid w:val="00C72B19"/>
    <w:rsid w:val="00C73D0B"/>
    <w:rsid w:val="00C772FF"/>
    <w:rsid w:val="00C80137"/>
    <w:rsid w:val="00C801AF"/>
    <w:rsid w:val="00C80256"/>
    <w:rsid w:val="00C94CD4"/>
    <w:rsid w:val="00C9747E"/>
    <w:rsid w:val="00CA5A28"/>
    <w:rsid w:val="00CB1F4E"/>
    <w:rsid w:val="00CB6BC0"/>
    <w:rsid w:val="00CC1B7C"/>
    <w:rsid w:val="00CC4471"/>
    <w:rsid w:val="00CC727F"/>
    <w:rsid w:val="00CD2ECB"/>
    <w:rsid w:val="00CD37FB"/>
    <w:rsid w:val="00CF15C3"/>
    <w:rsid w:val="00CF2B6F"/>
    <w:rsid w:val="00CF2F3E"/>
    <w:rsid w:val="00CF4215"/>
    <w:rsid w:val="00CF58B6"/>
    <w:rsid w:val="00D0062D"/>
    <w:rsid w:val="00D017ED"/>
    <w:rsid w:val="00D040D3"/>
    <w:rsid w:val="00D04C65"/>
    <w:rsid w:val="00D06D20"/>
    <w:rsid w:val="00D201D2"/>
    <w:rsid w:val="00D224FE"/>
    <w:rsid w:val="00D23139"/>
    <w:rsid w:val="00D425BB"/>
    <w:rsid w:val="00D6493E"/>
    <w:rsid w:val="00D7195D"/>
    <w:rsid w:val="00D7301E"/>
    <w:rsid w:val="00D8299E"/>
    <w:rsid w:val="00D83AE1"/>
    <w:rsid w:val="00D855D4"/>
    <w:rsid w:val="00D902C9"/>
    <w:rsid w:val="00D93466"/>
    <w:rsid w:val="00DA1124"/>
    <w:rsid w:val="00DB6124"/>
    <w:rsid w:val="00DB750B"/>
    <w:rsid w:val="00DB75B7"/>
    <w:rsid w:val="00DC6DA7"/>
    <w:rsid w:val="00DC6E02"/>
    <w:rsid w:val="00DD28CD"/>
    <w:rsid w:val="00DE02AE"/>
    <w:rsid w:val="00DF1D7F"/>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2441"/>
    <w:rsid w:val="00E730BD"/>
    <w:rsid w:val="00E7344E"/>
    <w:rsid w:val="00E80D6F"/>
    <w:rsid w:val="00E82665"/>
    <w:rsid w:val="00E85342"/>
    <w:rsid w:val="00EB0798"/>
    <w:rsid w:val="00EB40AD"/>
    <w:rsid w:val="00EB586E"/>
    <w:rsid w:val="00EB5FC8"/>
    <w:rsid w:val="00EC463D"/>
    <w:rsid w:val="00EC7A85"/>
    <w:rsid w:val="00ED2922"/>
    <w:rsid w:val="00ED3CAD"/>
    <w:rsid w:val="00ED5A41"/>
    <w:rsid w:val="00ED687E"/>
    <w:rsid w:val="00EE1DE8"/>
    <w:rsid w:val="00EE27C2"/>
    <w:rsid w:val="00EE5BE2"/>
    <w:rsid w:val="00EF4BAD"/>
    <w:rsid w:val="00EF59DC"/>
    <w:rsid w:val="00EF7EDA"/>
    <w:rsid w:val="00F033EC"/>
    <w:rsid w:val="00F04F68"/>
    <w:rsid w:val="00F12670"/>
    <w:rsid w:val="00F14B27"/>
    <w:rsid w:val="00F31227"/>
    <w:rsid w:val="00F3148D"/>
    <w:rsid w:val="00F322E8"/>
    <w:rsid w:val="00F325C5"/>
    <w:rsid w:val="00F32FE0"/>
    <w:rsid w:val="00F35298"/>
    <w:rsid w:val="00F47333"/>
    <w:rsid w:val="00F47E37"/>
    <w:rsid w:val="00F53C07"/>
    <w:rsid w:val="00F54B65"/>
    <w:rsid w:val="00F640B6"/>
    <w:rsid w:val="00F66DF2"/>
    <w:rsid w:val="00F74342"/>
    <w:rsid w:val="00F80E40"/>
    <w:rsid w:val="00F810E8"/>
    <w:rsid w:val="00F848D9"/>
    <w:rsid w:val="00FA5B82"/>
    <w:rsid w:val="00FA639E"/>
    <w:rsid w:val="00FA7A17"/>
    <w:rsid w:val="00FB5FEA"/>
    <w:rsid w:val="00FC1FCA"/>
    <w:rsid w:val="00FC25E4"/>
    <w:rsid w:val="00FC4EF7"/>
    <w:rsid w:val="00FC6021"/>
    <w:rsid w:val="00FD0824"/>
    <w:rsid w:val="00FD119B"/>
    <w:rsid w:val="00FD1EDC"/>
    <w:rsid w:val="00FD4572"/>
    <w:rsid w:val="00FE0A12"/>
    <w:rsid w:val="00FE1DEE"/>
    <w:rsid w:val="00FF017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9E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0448E6"/>
    <w:pPr>
      <w:widowControl w:val="0"/>
      <w:autoSpaceDE w:val="0"/>
      <w:autoSpaceDN w:val="0"/>
      <w:adjustRightInd w:val="0"/>
      <w:spacing w:before="185" w:after="0" w:line="240" w:lineRule="auto"/>
      <w:ind w:left="144"/>
      <w:jc w:val="both"/>
    </w:pPr>
    <w:rPr>
      <w:rFonts w:ascii="Times New Roman" w:eastAsiaTheme="minorEastAsia" w:hAnsi="Times New Roman"/>
      <w:sz w:val="23"/>
      <w:szCs w:val="23"/>
      <w:lang w:eastAsia="en-AU"/>
    </w:rPr>
  </w:style>
  <w:style w:type="character" w:customStyle="1" w:styleId="BodyTextChar">
    <w:name w:val="Body Text Char"/>
    <w:basedOn w:val="DefaultParagraphFont"/>
    <w:link w:val="BodyText"/>
    <w:uiPriority w:val="1"/>
    <w:rsid w:val="000448E6"/>
    <w:rPr>
      <w:rFonts w:ascii="Times New Roman" w:eastAsiaTheme="minorEastAsia" w:hAnsi="Times New Roman" w:cs="Times New Roman"/>
      <w:sz w:val="23"/>
      <w:szCs w:val="23"/>
      <w:lang w:eastAsia="en-AU"/>
    </w:rPr>
  </w:style>
  <w:style w:type="paragraph" w:styleId="ListParagraph">
    <w:name w:val="List Paragraph"/>
    <w:basedOn w:val="Normal"/>
    <w:uiPriority w:val="34"/>
    <w:qFormat/>
    <w:rsid w:val="000448E6"/>
    <w:pPr>
      <w:widowControl w:val="0"/>
      <w:autoSpaceDE w:val="0"/>
      <w:autoSpaceDN w:val="0"/>
      <w:adjustRightInd w:val="0"/>
      <w:spacing w:before="0" w:after="0" w:line="240" w:lineRule="auto"/>
      <w:ind w:left="560" w:hanging="351"/>
    </w:pPr>
    <w:rPr>
      <w:rFonts w:ascii="Times New Roman" w:eastAsiaTheme="minorEastAsia" w:hAnsi="Times New Roman"/>
      <w:sz w:val="24"/>
      <w:szCs w:val="24"/>
      <w:lang w:eastAsia="en-AU"/>
    </w:rPr>
  </w:style>
  <w:style w:type="paragraph" w:customStyle="1" w:styleId="Standard">
    <w:name w:val="Standard"/>
    <w:basedOn w:val="Normal"/>
    <w:link w:val="StandardChar"/>
    <w:qFormat/>
    <w:rsid w:val="00B044D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044DB"/>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B044DB"/>
    <w:pPr>
      <w:numPr>
        <w:numId w:val="33"/>
      </w:numPr>
      <w:spacing w:after="180"/>
    </w:pPr>
    <w:rPr>
      <w:kern w:val="2"/>
    </w:rPr>
  </w:style>
  <w:style w:type="character" w:customStyle="1" w:styleId="TabletextChar">
    <w:name w:val="Table text Char"/>
    <w:basedOn w:val="StandardChar"/>
    <w:link w:val="Tabletext"/>
    <w:rsid w:val="00B044DB"/>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B044DB"/>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B044DB"/>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B044DB"/>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B044DB"/>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B044DB"/>
    <w:rPr>
      <w:rFonts w:ascii="Cambria" w:eastAsia="Times New Roman" w:hAnsi="Cambria" w:cs="Times New Roman"/>
      <w:b/>
      <w:snapToGrid w:val="0"/>
      <w:kern w:val="16"/>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0448E6"/>
    <w:pPr>
      <w:widowControl w:val="0"/>
      <w:autoSpaceDE w:val="0"/>
      <w:autoSpaceDN w:val="0"/>
      <w:adjustRightInd w:val="0"/>
      <w:spacing w:before="185" w:after="0" w:line="240" w:lineRule="auto"/>
      <w:ind w:left="144"/>
      <w:jc w:val="both"/>
    </w:pPr>
    <w:rPr>
      <w:rFonts w:ascii="Times New Roman" w:eastAsiaTheme="minorEastAsia" w:hAnsi="Times New Roman"/>
      <w:sz w:val="23"/>
      <w:szCs w:val="23"/>
      <w:lang w:eastAsia="en-AU"/>
    </w:rPr>
  </w:style>
  <w:style w:type="character" w:customStyle="1" w:styleId="BodyTextChar">
    <w:name w:val="Body Text Char"/>
    <w:basedOn w:val="DefaultParagraphFont"/>
    <w:link w:val="BodyText"/>
    <w:uiPriority w:val="1"/>
    <w:rsid w:val="000448E6"/>
    <w:rPr>
      <w:rFonts w:ascii="Times New Roman" w:eastAsiaTheme="minorEastAsia" w:hAnsi="Times New Roman" w:cs="Times New Roman"/>
      <w:sz w:val="23"/>
      <w:szCs w:val="23"/>
      <w:lang w:eastAsia="en-AU"/>
    </w:rPr>
  </w:style>
  <w:style w:type="paragraph" w:styleId="ListParagraph">
    <w:name w:val="List Paragraph"/>
    <w:basedOn w:val="Normal"/>
    <w:uiPriority w:val="34"/>
    <w:qFormat/>
    <w:rsid w:val="000448E6"/>
    <w:pPr>
      <w:widowControl w:val="0"/>
      <w:autoSpaceDE w:val="0"/>
      <w:autoSpaceDN w:val="0"/>
      <w:adjustRightInd w:val="0"/>
      <w:spacing w:before="0" w:after="0" w:line="240" w:lineRule="auto"/>
      <w:ind w:left="560" w:hanging="351"/>
    </w:pPr>
    <w:rPr>
      <w:rFonts w:ascii="Times New Roman" w:eastAsiaTheme="minorEastAsia" w:hAnsi="Times New Roman"/>
      <w:sz w:val="24"/>
      <w:szCs w:val="24"/>
      <w:lang w:eastAsia="en-AU"/>
    </w:rPr>
  </w:style>
  <w:style w:type="paragraph" w:customStyle="1" w:styleId="Standard">
    <w:name w:val="Standard"/>
    <w:basedOn w:val="Normal"/>
    <w:link w:val="StandardChar"/>
    <w:qFormat/>
    <w:rsid w:val="00B044D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044DB"/>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B044DB"/>
    <w:pPr>
      <w:numPr>
        <w:numId w:val="33"/>
      </w:numPr>
      <w:spacing w:after="180"/>
    </w:pPr>
    <w:rPr>
      <w:kern w:val="2"/>
    </w:rPr>
  </w:style>
  <w:style w:type="character" w:customStyle="1" w:styleId="TabletextChar">
    <w:name w:val="Table text Char"/>
    <w:basedOn w:val="StandardChar"/>
    <w:link w:val="Tabletext"/>
    <w:rsid w:val="00B044DB"/>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B044DB"/>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B044DB"/>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B044DB"/>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B044DB"/>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B044DB"/>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4291">
      <w:bodyDiv w:val="1"/>
      <w:marLeft w:val="0"/>
      <w:marRight w:val="0"/>
      <w:marTop w:val="0"/>
      <w:marBottom w:val="0"/>
      <w:divBdr>
        <w:top w:val="none" w:sz="0" w:space="0" w:color="auto"/>
        <w:left w:val="none" w:sz="0" w:space="0" w:color="auto"/>
        <w:bottom w:val="none" w:sz="0" w:space="0" w:color="auto"/>
        <w:right w:val="none" w:sz="0" w:space="0" w:color="auto"/>
      </w:divBdr>
    </w:div>
    <w:div w:id="27217631">
      <w:bodyDiv w:val="1"/>
      <w:marLeft w:val="0"/>
      <w:marRight w:val="0"/>
      <w:marTop w:val="0"/>
      <w:marBottom w:val="0"/>
      <w:divBdr>
        <w:top w:val="none" w:sz="0" w:space="0" w:color="auto"/>
        <w:left w:val="none" w:sz="0" w:space="0" w:color="auto"/>
        <w:bottom w:val="none" w:sz="0" w:space="0" w:color="auto"/>
        <w:right w:val="none" w:sz="0" w:space="0" w:color="auto"/>
      </w:divBdr>
    </w:div>
    <w:div w:id="213470123">
      <w:bodyDiv w:val="1"/>
      <w:marLeft w:val="0"/>
      <w:marRight w:val="0"/>
      <w:marTop w:val="0"/>
      <w:marBottom w:val="0"/>
      <w:divBdr>
        <w:top w:val="none" w:sz="0" w:space="0" w:color="auto"/>
        <w:left w:val="none" w:sz="0" w:space="0" w:color="auto"/>
        <w:bottom w:val="none" w:sz="0" w:space="0" w:color="auto"/>
        <w:right w:val="none" w:sz="0" w:space="0" w:color="auto"/>
      </w:divBdr>
    </w:div>
    <w:div w:id="451633825">
      <w:bodyDiv w:val="1"/>
      <w:marLeft w:val="0"/>
      <w:marRight w:val="0"/>
      <w:marTop w:val="0"/>
      <w:marBottom w:val="0"/>
      <w:divBdr>
        <w:top w:val="none" w:sz="0" w:space="0" w:color="auto"/>
        <w:left w:val="none" w:sz="0" w:space="0" w:color="auto"/>
        <w:bottom w:val="none" w:sz="0" w:space="0" w:color="auto"/>
        <w:right w:val="none" w:sz="0" w:space="0" w:color="auto"/>
      </w:divBdr>
    </w:div>
    <w:div w:id="681519024">
      <w:bodyDiv w:val="1"/>
      <w:marLeft w:val="0"/>
      <w:marRight w:val="0"/>
      <w:marTop w:val="0"/>
      <w:marBottom w:val="0"/>
      <w:divBdr>
        <w:top w:val="none" w:sz="0" w:space="0" w:color="auto"/>
        <w:left w:val="none" w:sz="0" w:space="0" w:color="auto"/>
        <w:bottom w:val="none" w:sz="0" w:space="0" w:color="auto"/>
        <w:right w:val="none" w:sz="0" w:space="0" w:color="auto"/>
      </w:divBdr>
    </w:div>
    <w:div w:id="909075934">
      <w:bodyDiv w:val="1"/>
      <w:marLeft w:val="0"/>
      <w:marRight w:val="0"/>
      <w:marTop w:val="0"/>
      <w:marBottom w:val="0"/>
      <w:divBdr>
        <w:top w:val="none" w:sz="0" w:space="0" w:color="auto"/>
        <w:left w:val="none" w:sz="0" w:space="0" w:color="auto"/>
        <w:bottom w:val="none" w:sz="0" w:space="0" w:color="auto"/>
        <w:right w:val="none" w:sz="0" w:space="0" w:color="auto"/>
      </w:divBdr>
    </w:div>
    <w:div w:id="959646384">
      <w:bodyDiv w:val="1"/>
      <w:marLeft w:val="0"/>
      <w:marRight w:val="0"/>
      <w:marTop w:val="0"/>
      <w:marBottom w:val="0"/>
      <w:divBdr>
        <w:top w:val="none" w:sz="0" w:space="0" w:color="auto"/>
        <w:left w:val="none" w:sz="0" w:space="0" w:color="auto"/>
        <w:bottom w:val="none" w:sz="0" w:space="0" w:color="auto"/>
        <w:right w:val="none" w:sz="0" w:space="0" w:color="auto"/>
      </w:divBdr>
    </w:div>
    <w:div w:id="1265461694">
      <w:bodyDiv w:val="1"/>
      <w:marLeft w:val="0"/>
      <w:marRight w:val="0"/>
      <w:marTop w:val="0"/>
      <w:marBottom w:val="0"/>
      <w:divBdr>
        <w:top w:val="none" w:sz="0" w:space="0" w:color="auto"/>
        <w:left w:val="none" w:sz="0" w:space="0" w:color="auto"/>
        <w:bottom w:val="none" w:sz="0" w:space="0" w:color="auto"/>
        <w:right w:val="none" w:sz="0" w:space="0" w:color="auto"/>
      </w:divBdr>
    </w:div>
    <w:div w:id="1668702969">
      <w:bodyDiv w:val="1"/>
      <w:marLeft w:val="0"/>
      <w:marRight w:val="0"/>
      <w:marTop w:val="0"/>
      <w:marBottom w:val="0"/>
      <w:divBdr>
        <w:top w:val="none" w:sz="0" w:space="0" w:color="auto"/>
        <w:left w:val="none" w:sz="0" w:space="0" w:color="auto"/>
        <w:bottom w:val="none" w:sz="0" w:space="0" w:color="auto"/>
        <w:right w:val="none" w:sz="0" w:space="0" w:color="auto"/>
      </w:divBdr>
    </w:div>
    <w:div w:id="1806895997">
      <w:bodyDiv w:val="1"/>
      <w:marLeft w:val="0"/>
      <w:marRight w:val="0"/>
      <w:marTop w:val="0"/>
      <w:marBottom w:val="0"/>
      <w:divBdr>
        <w:top w:val="none" w:sz="0" w:space="0" w:color="auto"/>
        <w:left w:val="none" w:sz="0" w:space="0" w:color="auto"/>
        <w:bottom w:val="none" w:sz="0" w:space="0" w:color="auto"/>
        <w:right w:val="none" w:sz="0" w:space="0" w:color="auto"/>
      </w:divBdr>
    </w:div>
    <w:div w:id="185017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microsoft.com/office/2007/relationships/hdphoto" Target="media/hdphoto3.wdp"/><Relationship Id="rId39" Type="http://schemas.openxmlformats.org/officeDocument/2006/relationships/image" Target="media/image21.png"/><Relationship Id="rId21" Type="http://schemas.microsoft.com/office/2007/relationships/hdphoto" Target="media/hdphoto2.wdp"/><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0.png"/><Relationship Id="rId33" Type="http://schemas.microsoft.com/office/2007/relationships/hdphoto" Target="media/hdphoto5.wdp"/><Relationship Id="rId38" Type="http://schemas.openxmlformats.org/officeDocument/2006/relationships/image" Target="media/image20.png"/><Relationship Id="rId46" Type="http://schemas.openxmlformats.org/officeDocument/2006/relationships/hyperlink" Target="https://www.tga.gov.au/product-information-pi"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microsoft.com/office/2007/relationships/hdphoto" Target="media/hdphoto4.wdp"/><Relationship Id="rId41" Type="http://schemas.openxmlformats.org/officeDocument/2006/relationships/image" Target="media/image22.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png"/><Relationship Id="rId40" Type="http://schemas.microsoft.com/office/2007/relationships/hdphoto" Target="media/hdphoto6.wdp"/><Relationship Id="rId45" Type="http://schemas.microsoft.com/office/2007/relationships/hdphoto" Target="media/hdphoto8.wdp"/><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8.emf"/><Relationship Id="rId49" Type="http://schemas.openxmlformats.org/officeDocument/2006/relationships/header" Target="header5.xml"/><Relationship Id="rId57" Type="http://schemas.openxmlformats.org/officeDocument/2006/relationships/footer" Target="footer4.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image" Target="media/image14.emf"/><Relationship Id="rId44" Type="http://schemas.openxmlformats.org/officeDocument/2006/relationships/image" Target="media/image24.png"/><Relationship Id="rId52"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7.emf"/><Relationship Id="rId43" Type="http://schemas.microsoft.com/office/2007/relationships/hdphoto" Target="media/hdphoto7.wdp"/><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04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19CF2-8DDA-4D77-9B0F-B136A3464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32</TotalTime>
  <Pages>43</Pages>
  <Words>13257</Words>
  <Characters>76493</Characters>
  <Application>Microsoft Office Word</Application>
  <DocSecurity>0</DocSecurity>
  <Lines>1471</Lines>
  <Paragraphs>854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
  <LinksUpToDate>false</LinksUpToDate>
  <CharactersWithSpaces>88896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Meningococcal (Groups A,C,W-135 and Y) oligosaccharide CRM197 conjugate vaccine</dc:title>
  <dc:subject>prescription medicine</dc:subject>
  <dc:creator>Therapeutic Goods Administration</dc:creator>
  <cp:keywords>auspar</cp:keywords>
  <dc:description/>
  <cp:lastModifiedBy>BIRD, Gail</cp:lastModifiedBy>
  <cp:revision>6</cp:revision>
  <cp:lastPrinted>2015-09-22T23:39:00Z</cp:lastPrinted>
  <dcterms:created xsi:type="dcterms:W3CDTF">2018-04-09T23:49:00Z</dcterms:created>
  <dcterms:modified xsi:type="dcterms:W3CDTF">2018-04-17T01:39:00Z</dcterms:modified>
  <cp:category>external publication</cp:category>
</cp:coreProperties>
</file>