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7C29D8" w:rsidP="00096AA7">
            <w:pPr>
              <w:rPr>
                <w:rFonts w:ascii="Arial" w:hAnsi="Arial" w:cs="Arial"/>
                <w:b/>
                <w:color w:val="002C47"/>
                <w:sz w:val="36"/>
                <w:szCs w:val="36"/>
              </w:rPr>
            </w:pPr>
            <w:r>
              <w:rPr>
                <w:rFonts w:ascii="Arial" w:hAnsi="Arial" w:cs="Arial"/>
                <w:b/>
                <w:color w:val="002C47"/>
                <w:sz w:val="36"/>
                <w:szCs w:val="36"/>
              </w:rPr>
              <w:t>November 2019</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1159F1">
            <w:pPr>
              <w:pStyle w:val="Title"/>
              <w:framePr w:hSpace="0" w:wrap="auto" w:vAnchor="margin" w:yAlign="inline"/>
            </w:pPr>
            <w:r w:rsidRPr="00A964D1">
              <w:t xml:space="preserve">Australian Public Assessment Report for </w:t>
            </w:r>
            <w:r w:rsidR="007C29D8" w:rsidRPr="005C7942">
              <w:rPr>
                <w:color w:val="FFFFFF"/>
              </w:rPr>
              <w:t>Methoxsalen</w:t>
            </w:r>
          </w:p>
        </w:tc>
      </w:tr>
      <w:tr w:rsidR="0032583B" w:rsidRPr="00B64760" w:rsidTr="0032583B">
        <w:tc>
          <w:tcPr>
            <w:tcW w:w="9079" w:type="dxa"/>
          </w:tcPr>
          <w:p w:rsidR="0032583B" w:rsidRPr="008E7846" w:rsidRDefault="0032583B" w:rsidP="001159F1">
            <w:pPr>
              <w:pStyle w:val="Subtitle"/>
              <w:framePr w:hSpace="0" w:wrap="auto" w:vAnchor="margin" w:yAlign="inline"/>
            </w:pPr>
            <w:r w:rsidRPr="008E7846">
              <w:t xml:space="preserve">Proprietary Product Name: </w:t>
            </w:r>
            <w:r w:rsidR="007C29D8">
              <w:rPr>
                <w:color w:val="FFFFFF"/>
              </w:rPr>
              <w:t>Uvadex</w:t>
            </w:r>
          </w:p>
        </w:tc>
      </w:tr>
      <w:tr w:rsidR="0032583B" w:rsidRPr="00B64760" w:rsidTr="0032583B">
        <w:trPr>
          <w:trHeight w:val="486"/>
        </w:trPr>
        <w:tc>
          <w:tcPr>
            <w:tcW w:w="9079" w:type="dxa"/>
          </w:tcPr>
          <w:p w:rsidR="0032583B" w:rsidRPr="008E7846" w:rsidRDefault="007C29D8" w:rsidP="001159F1">
            <w:pPr>
              <w:pStyle w:val="Subtitle"/>
              <w:framePr w:hSpace="0" w:wrap="auto" w:vAnchor="margin" w:yAlign="inline"/>
            </w:pPr>
            <w:r>
              <w:t xml:space="preserve">Sponsor: </w:t>
            </w:r>
            <w:r w:rsidRPr="005C7942">
              <w:t>Terumo BCT Australia Pty Ltd</w:t>
            </w:r>
          </w:p>
        </w:tc>
      </w:tr>
    </w:tbl>
    <w:p w:rsidR="008E7846" w:rsidRPr="0085156D" w:rsidRDefault="008E7846" w:rsidP="0085156D">
      <w:r w:rsidRPr="0085156D">
        <w:br w:type="page"/>
      </w:r>
    </w:p>
    <w:p w:rsidR="008E7846" w:rsidRPr="001F6CBA" w:rsidRDefault="008E7846" w:rsidP="00917053">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917053">
      <w:pPr>
        <w:pStyle w:val="ListBullet"/>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rsidR="008E7846" w:rsidRDefault="008E7846" w:rsidP="00875A6B">
      <w:pPr>
        <w:pStyle w:val="NonTOCHeading2"/>
      </w:pPr>
      <w:r>
        <w:t>About AusPARs</w:t>
      </w:r>
    </w:p>
    <w:p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C52E24">
        <w:rPr>
          <w:rFonts w:cs="Arial"/>
          <w:lang w:val="en-GB"/>
        </w:rPr>
        <w:t>9</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7C29D8"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24622255" w:history="1">
            <w:r w:rsidR="007C29D8" w:rsidRPr="00A37023">
              <w:rPr>
                <w:rStyle w:val="Hyperlink"/>
                <w:noProof/>
              </w:rPr>
              <w:t>Common abbreviations</w:t>
            </w:r>
            <w:r w:rsidR="007C29D8">
              <w:rPr>
                <w:noProof/>
                <w:webHidden/>
              </w:rPr>
              <w:tab/>
            </w:r>
            <w:r w:rsidR="007C29D8">
              <w:rPr>
                <w:noProof/>
                <w:webHidden/>
              </w:rPr>
              <w:fldChar w:fldCharType="begin"/>
            </w:r>
            <w:r w:rsidR="007C29D8">
              <w:rPr>
                <w:noProof/>
                <w:webHidden/>
              </w:rPr>
              <w:instrText xml:space="preserve"> PAGEREF _Toc24622255 \h </w:instrText>
            </w:r>
            <w:r w:rsidR="007C29D8">
              <w:rPr>
                <w:noProof/>
                <w:webHidden/>
              </w:rPr>
            </w:r>
            <w:r w:rsidR="007C29D8">
              <w:rPr>
                <w:noProof/>
                <w:webHidden/>
              </w:rPr>
              <w:fldChar w:fldCharType="separate"/>
            </w:r>
            <w:r w:rsidR="007C29D8">
              <w:rPr>
                <w:noProof/>
                <w:webHidden/>
              </w:rPr>
              <w:t>4</w:t>
            </w:r>
            <w:r w:rsidR="007C29D8">
              <w:rPr>
                <w:noProof/>
                <w:webHidden/>
              </w:rPr>
              <w:fldChar w:fldCharType="end"/>
            </w:r>
          </w:hyperlink>
        </w:p>
        <w:p w:rsidR="007C29D8" w:rsidRDefault="00F75949">
          <w:pPr>
            <w:pStyle w:val="TOC2"/>
            <w:rPr>
              <w:rFonts w:asciiTheme="minorHAnsi" w:eastAsiaTheme="minorEastAsia" w:hAnsiTheme="minorHAnsi" w:cstheme="minorBidi"/>
              <w:b w:val="0"/>
              <w:noProof/>
              <w:sz w:val="22"/>
              <w:lang w:eastAsia="en-AU"/>
            </w:rPr>
          </w:pPr>
          <w:hyperlink w:anchor="_Toc24622256" w:history="1">
            <w:r w:rsidR="007C29D8" w:rsidRPr="00A37023">
              <w:rPr>
                <w:rStyle w:val="Hyperlink"/>
                <w:noProof/>
              </w:rPr>
              <w:t>I. Introduction to product submission</w:t>
            </w:r>
            <w:r w:rsidR="007C29D8">
              <w:rPr>
                <w:noProof/>
                <w:webHidden/>
              </w:rPr>
              <w:tab/>
            </w:r>
            <w:r w:rsidR="007C29D8">
              <w:rPr>
                <w:noProof/>
                <w:webHidden/>
              </w:rPr>
              <w:fldChar w:fldCharType="begin"/>
            </w:r>
            <w:r w:rsidR="007C29D8">
              <w:rPr>
                <w:noProof/>
                <w:webHidden/>
              </w:rPr>
              <w:instrText xml:space="preserve"> PAGEREF _Toc24622256 \h </w:instrText>
            </w:r>
            <w:r w:rsidR="007C29D8">
              <w:rPr>
                <w:noProof/>
                <w:webHidden/>
              </w:rPr>
            </w:r>
            <w:r w:rsidR="007C29D8">
              <w:rPr>
                <w:noProof/>
                <w:webHidden/>
              </w:rPr>
              <w:fldChar w:fldCharType="separate"/>
            </w:r>
            <w:r w:rsidR="007C29D8">
              <w:rPr>
                <w:noProof/>
                <w:webHidden/>
              </w:rPr>
              <w:t>6</w:t>
            </w:r>
            <w:r w:rsidR="007C29D8">
              <w:rPr>
                <w:noProof/>
                <w:webHidden/>
              </w:rPr>
              <w:fldChar w:fldCharType="end"/>
            </w:r>
          </w:hyperlink>
        </w:p>
        <w:p w:rsidR="007C29D8" w:rsidRDefault="00F75949">
          <w:pPr>
            <w:pStyle w:val="TOC3"/>
            <w:rPr>
              <w:rFonts w:asciiTheme="minorHAnsi" w:eastAsiaTheme="minorEastAsia" w:hAnsiTheme="minorHAnsi" w:cstheme="minorBidi"/>
              <w:noProof/>
              <w:lang w:eastAsia="en-AU"/>
            </w:rPr>
          </w:pPr>
          <w:hyperlink w:anchor="_Toc24622257" w:history="1">
            <w:r w:rsidR="007C29D8" w:rsidRPr="00A37023">
              <w:rPr>
                <w:rStyle w:val="Hyperlink"/>
                <w:noProof/>
                <w:lang w:eastAsia="en-AU"/>
              </w:rPr>
              <w:t>Submission details</w:t>
            </w:r>
            <w:r w:rsidR="007C29D8">
              <w:rPr>
                <w:noProof/>
                <w:webHidden/>
              </w:rPr>
              <w:tab/>
            </w:r>
            <w:r w:rsidR="007C29D8">
              <w:rPr>
                <w:noProof/>
                <w:webHidden/>
              </w:rPr>
              <w:fldChar w:fldCharType="begin"/>
            </w:r>
            <w:r w:rsidR="007C29D8">
              <w:rPr>
                <w:noProof/>
                <w:webHidden/>
              </w:rPr>
              <w:instrText xml:space="preserve"> PAGEREF _Toc24622257 \h </w:instrText>
            </w:r>
            <w:r w:rsidR="007C29D8">
              <w:rPr>
                <w:noProof/>
                <w:webHidden/>
              </w:rPr>
            </w:r>
            <w:r w:rsidR="007C29D8">
              <w:rPr>
                <w:noProof/>
                <w:webHidden/>
              </w:rPr>
              <w:fldChar w:fldCharType="separate"/>
            </w:r>
            <w:r w:rsidR="007C29D8">
              <w:rPr>
                <w:noProof/>
                <w:webHidden/>
              </w:rPr>
              <w:t>6</w:t>
            </w:r>
            <w:r w:rsidR="007C29D8">
              <w:rPr>
                <w:noProof/>
                <w:webHidden/>
              </w:rPr>
              <w:fldChar w:fldCharType="end"/>
            </w:r>
          </w:hyperlink>
        </w:p>
        <w:p w:rsidR="007C29D8" w:rsidRDefault="00F75949">
          <w:pPr>
            <w:pStyle w:val="TOC3"/>
            <w:rPr>
              <w:rFonts w:asciiTheme="minorHAnsi" w:eastAsiaTheme="minorEastAsia" w:hAnsiTheme="minorHAnsi" w:cstheme="minorBidi"/>
              <w:noProof/>
              <w:lang w:eastAsia="en-AU"/>
            </w:rPr>
          </w:pPr>
          <w:hyperlink w:anchor="_Toc24622258" w:history="1">
            <w:r w:rsidR="007C29D8" w:rsidRPr="00A37023">
              <w:rPr>
                <w:rStyle w:val="Hyperlink"/>
                <w:noProof/>
              </w:rPr>
              <w:t>Product background</w:t>
            </w:r>
            <w:r w:rsidR="007C29D8">
              <w:rPr>
                <w:noProof/>
                <w:webHidden/>
              </w:rPr>
              <w:tab/>
            </w:r>
            <w:r w:rsidR="007C29D8">
              <w:rPr>
                <w:noProof/>
                <w:webHidden/>
              </w:rPr>
              <w:fldChar w:fldCharType="begin"/>
            </w:r>
            <w:r w:rsidR="007C29D8">
              <w:rPr>
                <w:noProof/>
                <w:webHidden/>
              </w:rPr>
              <w:instrText xml:space="preserve"> PAGEREF _Toc24622258 \h </w:instrText>
            </w:r>
            <w:r w:rsidR="007C29D8">
              <w:rPr>
                <w:noProof/>
                <w:webHidden/>
              </w:rPr>
            </w:r>
            <w:r w:rsidR="007C29D8">
              <w:rPr>
                <w:noProof/>
                <w:webHidden/>
              </w:rPr>
              <w:fldChar w:fldCharType="separate"/>
            </w:r>
            <w:r w:rsidR="007C29D8">
              <w:rPr>
                <w:noProof/>
                <w:webHidden/>
              </w:rPr>
              <w:t>7</w:t>
            </w:r>
            <w:r w:rsidR="007C29D8">
              <w:rPr>
                <w:noProof/>
                <w:webHidden/>
              </w:rPr>
              <w:fldChar w:fldCharType="end"/>
            </w:r>
          </w:hyperlink>
        </w:p>
        <w:p w:rsidR="007C29D8" w:rsidRDefault="00F75949">
          <w:pPr>
            <w:pStyle w:val="TOC3"/>
            <w:rPr>
              <w:rFonts w:asciiTheme="minorHAnsi" w:eastAsiaTheme="minorEastAsia" w:hAnsiTheme="minorHAnsi" w:cstheme="minorBidi"/>
              <w:noProof/>
              <w:lang w:eastAsia="en-AU"/>
            </w:rPr>
          </w:pPr>
          <w:hyperlink w:anchor="_Toc24622259" w:history="1">
            <w:r w:rsidR="007C29D8" w:rsidRPr="00A37023">
              <w:rPr>
                <w:rStyle w:val="Hyperlink"/>
                <w:noProof/>
              </w:rPr>
              <w:t>Regulatory status</w:t>
            </w:r>
            <w:r w:rsidR="007C29D8">
              <w:rPr>
                <w:noProof/>
                <w:webHidden/>
              </w:rPr>
              <w:tab/>
            </w:r>
            <w:r w:rsidR="007C29D8">
              <w:rPr>
                <w:noProof/>
                <w:webHidden/>
              </w:rPr>
              <w:fldChar w:fldCharType="begin"/>
            </w:r>
            <w:r w:rsidR="007C29D8">
              <w:rPr>
                <w:noProof/>
                <w:webHidden/>
              </w:rPr>
              <w:instrText xml:space="preserve"> PAGEREF _Toc24622259 \h </w:instrText>
            </w:r>
            <w:r w:rsidR="007C29D8">
              <w:rPr>
                <w:noProof/>
                <w:webHidden/>
              </w:rPr>
            </w:r>
            <w:r w:rsidR="007C29D8">
              <w:rPr>
                <w:noProof/>
                <w:webHidden/>
              </w:rPr>
              <w:fldChar w:fldCharType="separate"/>
            </w:r>
            <w:r w:rsidR="007C29D8">
              <w:rPr>
                <w:noProof/>
                <w:webHidden/>
              </w:rPr>
              <w:t>8</w:t>
            </w:r>
            <w:r w:rsidR="007C29D8">
              <w:rPr>
                <w:noProof/>
                <w:webHidden/>
              </w:rPr>
              <w:fldChar w:fldCharType="end"/>
            </w:r>
          </w:hyperlink>
        </w:p>
        <w:p w:rsidR="007C29D8" w:rsidRDefault="00F75949">
          <w:pPr>
            <w:pStyle w:val="TOC3"/>
            <w:rPr>
              <w:rFonts w:asciiTheme="minorHAnsi" w:eastAsiaTheme="minorEastAsia" w:hAnsiTheme="minorHAnsi" w:cstheme="minorBidi"/>
              <w:noProof/>
              <w:lang w:eastAsia="en-AU"/>
            </w:rPr>
          </w:pPr>
          <w:hyperlink w:anchor="_Toc24622260" w:history="1">
            <w:r w:rsidR="007C29D8" w:rsidRPr="00A37023">
              <w:rPr>
                <w:rStyle w:val="Hyperlink"/>
                <w:noProof/>
              </w:rPr>
              <w:t>Product Information</w:t>
            </w:r>
            <w:r w:rsidR="007C29D8">
              <w:rPr>
                <w:noProof/>
                <w:webHidden/>
              </w:rPr>
              <w:tab/>
            </w:r>
            <w:r w:rsidR="007C29D8">
              <w:rPr>
                <w:noProof/>
                <w:webHidden/>
              </w:rPr>
              <w:fldChar w:fldCharType="begin"/>
            </w:r>
            <w:r w:rsidR="007C29D8">
              <w:rPr>
                <w:noProof/>
                <w:webHidden/>
              </w:rPr>
              <w:instrText xml:space="preserve"> PAGEREF _Toc24622260 \h </w:instrText>
            </w:r>
            <w:r w:rsidR="007C29D8">
              <w:rPr>
                <w:noProof/>
                <w:webHidden/>
              </w:rPr>
            </w:r>
            <w:r w:rsidR="007C29D8">
              <w:rPr>
                <w:noProof/>
                <w:webHidden/>
              </w:rPr>
              <w:fldChar w:fldCharType="separate"/>
            </w:r>
            <w:r w:rsidR="007C29D8">
              <w:rPr>
                <w:noProof/>
                <w:webHidden/>
              </w:rPr>
              <w:t>8</w:t>
            </w:r>
            <w:r w:rsidR="007C29D8">
              <w:rPr>
                <w:noProof/>
                <w:webHidden/>
              </w:rPr>
              <w:fldChar w:fldCharType="end"/>
            </w:r>
          </w:hyperlink>
        </w:p>
        <w:p w:rsidR="007C29D8" w:rsidRDefault="00F75949">
          <w:pPr>
            <w:pStyle w:val="TOC2"/>
            <w:rPr>
              <w:rFonts w:asciiTheme="minorHAnsi" w:eastAsiaTheme="minorEastAsia" w:hAnsiTheme="minorHAnsi" w:cstheme="minorBidi"/>
              <w:b w:val="0"/>
              <w:noProof/>
              <w:sz w:val="22"/>
              <w:lang w:eastAsia="en-AU"/>
            </w:rPr>
          </w:pPr>
          <w:hyperlink w:anchor="_Toc24622261" w:history="1">
            <w:r w:rsidR="007C29D8" w:rsidRPr="00A37023">
              <w:rPr>
                <w:rStyle w:val="Hyperlink"/>
                <w:noProof/>
              </w:rPr>
              <w:t>II. Registration timeline</w:t>
            </w:r>
            <w:r w:rsidR="007C29D8">
              <w:rPr>
                <w:noProof/>
                <w:webHidden/>
              </w:rPr>
              <w:tab/>
            </w:r>
            <w:r w:rsidR="007C29D8">
              <w:rPr>
                <w:noProof/>
                <w:webHidden/>
              </w:rPr>
              <w:fldChar w:fldCharType="begin"/>
            </w:r>
            <w:r w:rsidR="007C29D8">
              <w:rPr>
                <w:noProof/>
                <w:webHidden/>
              </w:rPr>
              <w:instrText xml:space="preserve"> PAGEREF _Toc24622261 \h </w:instrText>
            </w:r>
            <w:r w:rsidR="007C29D8">
              <w:rPr>
                <w:noProof/>
                <w:webHidden/>
              </w:rPr>
            </w:r>
            <w:r w:rsidR="007C29D8">
              <w:rPr>
                <w:noProof/>
                <w:webHidden/>
              </w:rPr>
              <w:fldChar w:fldCharType="separate"/>
            </w:r>
            <w:r w:rsidR="007C29D8">
              <w:rPr>
                <w:noProof/>
                <w:webHidden/>
              </w:rPr>
              <w:t>8</w:t>
            </w:r>
            <w:r w:rsidR="007C29D8">
              <w:rPr>
                <w:noProof/>
                <w:webHidden/>
              </w:rPr>
              <w:fldChar w:fldCharType="end"/>
            </w:r>
          </w:hyperlink>
        </w:p>
        <w:p w:rsidR="007C29D8" w:rsidRDefault="00F75949">
          <w:pPr>
            <w:pStyle w:val="TOC2"/>
            <w:rPr>
              <w:rFonts w:asciiTheme="minorHAnsi" w:eastAsiaTheme="minorEastAsia" w:hAnsiTheme="minorHAnsi" w:cstheme="minorBidi"/>
              <w:b w:val="0"/>
              <w:noProof/>
              <w:sz w:val="22"/>
              <w:lang w:eastAsia="en-AU"/>
            </w:rPr>
          </w:pPr>
          <w:hyperlink w:anchor="_Toc24622262" w:history="1">
            <w:r w:rsidR="007C29D8" w:rsidRPr="00A37023">
              <w:rPr>
                <w:rStyle w:val="Hyperlink"/>
                <w:noProof/>
              </w:rPr>
              <w:t>III. Submission overview and risk/benefit assessment</w:t>
            </w:r>
            <w:r w:rsidR="007C29D8">
              <w:rPr>
                <w:noProof/>
                <w:webHidden/>
              </w:rPr>
              <w:tab/>
            </w:r>
            <w:r w:rsidR="007C29D8">
              <w:rPr>
                <w:noProof/>
                <w:webHidden/>
              </w:rPr>
              <w:fldChar w:fldCharType="begin"/>
            </w:r>
            <w:r w:rsidR="007C29D8">
              <w:rPr>
                <w:noProof/>
                <w:webHidden/>
              </w:rPr>
              <w:instrText xml:space="preserve"> PAGEREF _Toc24622262 \h </w:instrText>
            </w:r>
            <w:r w:rsidR="007C29D8">
              <w:rPr>
                <w:noProof/>
                <w:webHidden/>
              </w:rPr>
            </w:r>
            <w:r w:rsidR="007C29D8">
              <w:rPr>
                <w:noProof/>
                <w:webHidden/>
              </w:rPr>
              <w:fldChar w:fldCharType="separate"/>
            </w:r>
            <w:r w:rsidR="007C29D8">
              <w:rPr>
                <w:noProof/>
                <w:webHidden/>
              </w:rPr>
              <w:t>9</w:t>
            </w:r>
            <w:r w:rsidR="007C29D8">
              <w:rPr>
                <w:noProof/>
                <w:webHidden/>
              </w:rPr>
              <w:fldChar w:fldCharType="end"/>
            </w:r>
          </w:hyperlink>
        </w:p>
        <w:p w:rsidR="007C29D8" w:rsidRDefault="00F75949">
          <w:pPr>
            <w:pStyle w:val="TOC3"/>
            <w:rPr>
              <w:rFonts w:asciiTheme="minorHAnsi" w:eastAsiaTheme="minorEastAsia" w:hAnsiTheme="minorHAnsi" w:cstheme="minorBidi"/>
              <w:noProof/>
              <w:lang w:eastAsia="en-AU"/>
            </w:rPr>
          </w:pPr>
          <w:hyperlink w:anchor="_Toc24622263" w:history="1">
            <w:r w:rsidR="007C29D8" w:rsidRPr="00A37023">
              <w:rPr>
                <w:rStyle w:val="Hyperlink"/>
                <w:noProof/>
              </w:rPr>
              <w:t>Quality</w:t>
            </w:r>
            <w:r w:rsidR="007C29D8">
              <w:rPr>
                <w:noProof/>
                <w:webHidden/>
              </w:rPr>
              <w:tab/>
            </w:r>
            <w:r w:rsidR="007C29D8">
              <w:rPr>
                <w:noProof/>
                <w:webHidden/>
              </w:rPr>
              <w:fldChar w:fldCharType="begin"/>
            </w:r>
            <w:r w:rsidR="007C29D8">
              <w:rPr>
                <w:noProof/>
                <w:webHidden/>
              </w:rPr>
              <w:instrText xml:space="preserve"> PAGEREF _Toc24622263 \h </w:instrText>
            </w:r>
            <w:r w:rsidR="007C29D8">
              <w:rPr>
                <w:noProof/>
                <w:webHidden/>
              </w:rPr>
            </w:r>
            <w:r w:rsidR="007C29D8">
              <w:rPr>
                <w:noProof/>
                <w:webHidden/>
              </w:rPr>
              <w:fldChar w:fldCharType="separate"/>
            </w:r>
            <w:r w:rsidR="007C29D8">
              <w:rPr>
                <w:noProof/>
                <w:webHidden/>
              </w:rPr>
              <w:t>9</w:t>
            </w:r>
            <w:r w:rsidR="007C29D8">
              <w:rPr>
                <w:noProof/>
                <w:webHidden/>
              </w:rPr>
              <w:fldChar w:fldCharType="end"/>
            </w:r>
          </w:hyperlink>
        </w:p>
        <w:p w:rsidR="007C29D8" w:rsidRDefault="00F75949">
          <w:pPr>
            <w:pStyle w:val="TOC3"/>
            <w:rPr>
              <w:rFonts w:asciiTheme="minorHAnsi" w:eastAsiaTheme="minorEastAsia" w:hAnsiTheme="minorHAnsi" w:cstheme="minorBidi"/>
              <w:noProof/>
              <w:lang w:eastAsia="en-AU"/>
            </w:rPr>
          </w:pPr>
          <w:hyperlink w:anchor="_Toc24622264" w:history="1">
            <w:r w:rsidR="007C29D8" w:rsidRPr="00A37023">
              <w:rPr>
                <w:rStyle w:val="Hyperlink"/>
                <w:noProof/>
              </w:rPr>
              <w:t>Nonclinical</w:t>
            </w:r>
            <w:r w:rsidR="007C29D8">
              <w:rPr>
                <w:noProof/>
                <w:webHidden/>
              </w:rPr>
              <w:tab/>
            </w:r>
            <w:r w:rsidR="007C29D8">
              <w:rPr>
                <w:noProof/>
                <w:webHidden/>
              </w:rPr>
              <w:fldChar w:fldCharType="begin"/>
            </w:r>
            <w:r w:rsidR="007C29D8">
              <w:rPr>
                <w:noProof/>
                <w:webHidden/>
              </w:rPr>
              <w:instrText xml:space="preserve"> PAGEREF _Toc24622264 \h </w:instrText>
            </w:r>
            <w:r w:rsidR="007C29D8">
              <w:rPr>
                <w:noProof/>
                <w:webHidden/>
              </w:rPr>
            </w:r>
            <w:r w:rsidR="007C29D8">
              <w:rPr>
                <w:noProof/>
                <w:webHidden/>
              </w:rPr>
              <w:fldChar w:fldCharType="separate"/>
            </w:r>
            <w:r w:rsidR="007C29D8">
              <w:rPr>
                <w:noProof/>
                <w:webHidden/>
              </w:rPr>
              <w:t>10</w:t>
            </w:r>
            <w:r w:rsidR="007C29D8">
              <w:rPr>
                <w:noProof/>
                <w:webHidden/>
              </w:rPr>
              <w:fldChar w:fldCharType="end"/>
            </w:r>
          </w:hyperlink>
        </w:p>
        <w:p w:rsidR="007C29D8" w:rsidRDefault="00F75949">
          <w:pPr>
            <w:pStyle w:val="TOC3"/>
            <w:rPr>
              <w:rFonts w:asciiTheme="minorHAnsi" w:eastAsiaTheme="minorEastAsia" w:hAnsiTheme="minorHAnsi" w:cstheme="minorBidi"/>
              <w:noProof/>
              <w:lang w:eastAsia="en-AU"/>
            </w:rPr>
          </w:pPr>
          <w:hyperlink w:anchor="_Toc24622265" w:history="1">
            <w:r w:rsidR="007C29D8" w:rsidRPr="00A37023">
              <w:rPr>
                <w:rStyle w:val="Hyperlink"/>
                <w:noProof/>
              </w:rPr>
              <w:t>Clinical</w:t>
            </w:r>
            <w:r w:rsidR="007C29D8">
              <w:rPr>
                <w:noProof/>
                <w:webHidden/>
              </w:rPr>
              <w:tab/>
            </w:r>
            <w:r w:rsidR="007C29D8">
              <w:rPr>
                <w:noProof/>
                <w:webHidden/>
              </w:rPr>
              <w:fldChar w:fldCharType="begin"/>
            </w:r>
            <w:r w:rsidR="007C29D8">
              <w:rPr>
                <w:noProof/>
                <w:webHidden/>
              </w:rPr>
              <w:instrText xml:space="preserve"> PAGEREF _Toc24622265 \h </w:instrText>
            </w:r>
            <w:r w:rsidR="007C29D8">
              <w:rPr>
                <w:noProof/>
                <w:webHidden/>
              </w:rPr>
            </w:r>
            <w:r w:rsidR="007C29D8">
              <w:rPr>
                <w:noProof/>
                <w:webHidden/>
              </w:rPr>
              <w:fldChar w:fldCharType="separate"/>
            </w:r>
            <w:r w:rsidR="007C29D8">
              <w:rPr>
                <w:noProof/>
                <w:webHidden/>
              </w:rPr>
              <w:t>10</w:t>
            </w:r>
            <w:r w:rsidR="007C29D8">
              <w:rPr>
                <w:noProof/>
                <w:webHidden/>
              </w:rPr>
              <w:fldChar w:fldCharType="end"/>
            </w:r>
          </w:hyperlink>
        </w:p>
        <w:p w:rsidR="007C29D8" w:rsidRDefault="00F75949">
          <w:pPr>
            <w:pStyle w:val="TOC3"/>
            <w:rPr>
              <w:rFonts w:asciiTheme="minorHAnsi" w:eastAsiaTheme="minorEastAsia" w:hAnsiTheme="minorHAnsi" w:cstheme="minorBidi"/>
              <w:noProof/>
              <w:lang w:eastAsia="en-AU"/>
            </w:rPr>
          </w:pPr>
          <w:hyperlink w:anchor="_Toc24622266" w:history="1">
            <w:r w:rsidR="007C29D8" w:rsidRPr="00A37023">
              <w:rPr>
                <w:rStyle w:val="Hyperlink"/>
                <w:noProof/>
                <w:lang w:eastAsia="en-AU"/>
              </w:rPr>
              <w:t>Risk management plan</w:t>
            </w:r>
            <w:r w:rsidR="007C29D8">
              <w:rPr>
                <w:noProof/>
                <w:webHidden/>
              </w:rPr>
              <w:tab/>
            </w:r>
            <w:r w:rsidR="007C29D8">
              <w:rPr>
                <w:noProof/>
                <w:webHidden/>
              </w:rPr>
              <w:fldChar w:fldCharType="begin"/>
            </w:r>
            <w:r w:rsidR="007C29D8">
              <w:rPr>
                <w:noProof/>
                <w:webHidden/>
              </w:rPr>
              <w:instrText xml:space="preserve"> PAGEREF _Toc24622266 \h </w:instrText>
            </w:r>
            <w:r w:rsidR="007C29D8">
              <w:rPr>
                <w:noProof/>
                <w:webHidden/>
              </w:rPr>
            </w:r>
            <w:r w:rsidR="007C29D8">
              <w:rPr>
                <w:noProof/>
                <w:webHidden/>
              </w:rPr>
              <w:fldChar w:fldCharType="separate"/>
            </w:r>
            <w:r w:rsidR="007C29D8">
              <w:rPr>
                <w:noProof/>
                <w:webHidden/>
              </w:rPr>
              <w:t>22</w:t>
            </w:r>
            <w:r w:rsidR="007C29D8">
              <w:rPr>
                <w:noProof/>
                <w:webHidden/>
              </w:rPr>
              <w:fldChar w:fldCharType="end"/>
            </w:r>
          </w:hyperlink>
        </w:p>
        <w:p w:rsidR="007C29D8" w:rsidRDefault="00F75949">
          <w:pPr>
            <w:pStyle w:val="TOC3"/>
            <w:rPr>
              <w:rFonts w:asciiTheme="minorHAnsi" w:eastAsiaTheme="minorEastAsia" w:hAnsiTheme="minorHAnsi" w:cstheme="minorBidi"/>
              <w:noProof/>
              <w:lang w:eastAsia="en-AU"/>
            </w:rPr>
          </w:pPr>
          <w:hyperlink w:anchor="_Toc24622267" w:history="1">
            <w:r w:rsidR="007C29D8" w:rsidRPr="00A37023">
              <w:rPr>
                <w:rStyle w:val="Hyperlink"/>
                <w:noProof/>
              </w:rPr>
              <w:t>Risk-benefit analysis</w:t>
            </w:r>
            <w:r w:rsidR="007C29D8">
              <w:rPr>
                <w:noProof/>
                <w:webHidden/>
              </w:rPr>
              <w:tab/>
            </w:r>
            <w:r w:rsidR="007C29D8">
              <w:rPr>
                <w:noProof/>
                <w:webHidden/>
              </w:rPr>
              <w:fldChar w:fldCharType="begin"/>
            </w:r>
            <w:r w:rsidR="007C29D8">
              <w:rPr>
                <w:noProof/>
                <w:webHidden/>
              </w:rPr>
              <w:instrText xml:space="preserve"> PAGEREF _Toc24622267 \h </w:instrText>
            </w:r>
            <w:r w:rsidR="007C29D8">
              <w:rPr>
                <w:noProof/>
                <w:webHidden/>
              </w:rPr>
            </w:r>
            <w:r w:rsidR="007C29D8">
              <w:rPr>
                <w:noProof/>
                <w:webHidden/>
              </w:rPr>
              <w:fldChar w:fldCharType="separate"/>
            </w:r>
            <w:r w:rsidR="007C29D8">
              <w:rPr>
                <w:noProof/>
                <w:webHidden/>
              </w:rPr>
              <w:t>24</w:t>
            </w:r>
            <w:r w:rsidR="007C29D8">
              <w:rPr>
                <w:noProof/>
                <w:webHidden/>
              </w:rPr>
              <w:fldChar w:fldCharType="end"/>
            </w:r>
          </w:hyperlink>
        </w:p>
        <w:p w:rsidR="007C29D8" w:rsidRDefault="00F75949">
          <w:pPr>
            <w:pStyle w:val="TOC3"/>
            <w:rPr>
              <w:rFonts w:asciiTheme="minorHAnsi" w:eastAsiaTheme="minorEastAsia" w:hAnsiTheme="minorHAnsi" w:cstheme="minorBidi"/>
              <w:noProof/>
              <w:lang w:eastAsia="en-AU"/>
            </w:rPr>
          </w:pPr>
          <w:hyperlink w:anchor="_Toc24622268" w:history="1">
            <w:r w:rsidR="007C29D8" w:rsidRPr="00A37023">
              <w:rPr>
                <w:rStyle w:val="Hyperlink"/>
                <w:noProof/>
              </w:rPr>
              <w:t>Outcome</w:t>
            </w:r>
            <w:r w:rsidR="007C29D8">
              <w:rPr>
                <w:noProof/>
                <w:webHidden/>
              </w:rPr>
              <w:tab/>
            </w:r>
            <w:r w:rsidR="007C29D8">
              <w:rPr>
                <w:noProof/>
                <w:webHidden/>
              </w:rPr>
              <w:fldChar w:fldCharType="begin"/>
            </w:r>
            <w:r w:rsidR="007C29D8">
              <w:rPr>
                <w:noProof/>
                <w:webHidden/>
              </w:rPr>
              <w:instrText xml:space="preserve"> PAGEREF _Toc24622268 \h </w:instrText>
            </w:r>
            <w:r w:rsidR="007C29D8">
              <w:rPr>
                <w:noProof/>
                <w:webHidden/>
              </w:rPr>
            </w:r>
            <w:r w:rsidR="007C29D8">
              <w:rPr>
                <w:noProof/>
                <w:webHidden/>
              </w:rPr>
              <w:fldChar w:fldCharType="separate"/>
            </w:r>
            <w:r w:rsidR="007C29D8">
              <w:rPr>
                <w:noProof/>
                <w:webHidden/>
              </w:rPr>
              <w:t>27</w:t>
            </w:r>
            <w:r w:rsidR="007C29D8">
              <w:rPr>
                <w:noProof/>
                <w:webHidden/>
              </w:rPr>
              <w:fldChar w:fldCharType="end"/>
            </w:r>
          </w:hyperlink>
        </w:p>
        <w:p w:rsidR="007C29D8" w:rsidRDefault="00F75949">
          <w:pPr>
            <w:pStyle w:val="TOC2"/>
            <w:rPr>
              <w:rFonts w:asciiTheme="minorHAnsi" w:eastAsiaTheme="minorEastAsia" w:hAnsiTheme="minorHAnsi" w:cstheme="minorBidi"/>
              <w:b w:val="0"/>
              <w:noProof/>
              <w:sz w:val="22"/>
              <w:lang w:eastAsia="en-AU"/>
            </w:rPr>
          </w:pPr>
          <w:hyperlink w:anchor="_Toc24622269" w:history="1">
            <w:r w:rsidR="007C29D8" w:rsidRPr="00A37023">
              <w:rPr>
                <w:rStyle w:val="Hyperlink"/>
                <w:noProof/>
              </w:rPr>
              <w:t>Attachment 1. Product Information</w:t>
            </w:r>
            <w:r w:rsidR="007C29D8">
              <w:rPr>
                <w:noProof/>
                <w:webHidden/>
              </w:rPr>
              <w:tab/>
            </w:r>
            <w:r w:rsidR="007C29D8">
              <w:rPr>
                <w:noProof/>
                <w:webHidden/>
              </w:rPr>
              <w:fldChar w:fldCharType="begin"/>
            </w:r>
            <w:r w:rsidR="007C29D8">
              <w:rPr>
                <w:noProof/>
                <w:webHidden/>
              </w:rPr>
              <w:instrText xml:space="preserve"> PAGEREF _Toc24622269 \h </w:instrText>
            </w:r>
            <w:r w:rsidR="007C29D8">
              <w:rPr>
                <w:noProof/>
                <w:webHidden/>
              </w:rPr>
            </w:r>
            <w:r w:rsidR="007C29D8">
              <w:rPr>
                <w:noProof/>
                <w:webHidden/>
              </w:rPr>
              <w:fldChar w:fldCharType="separate"/>
            </w:r>
            <w:r w:rsidR="007C29D8">
              <w:rPr>
                <w:noProof/>
                <w:webHidden/>
              </w:rPr>
              <w:t>28</w:t>
            </w:r>
            <w:r w:rsidR="007C29D8">
              <w:rPr>
                <w:noProof/>
                <w:webHidden/>
              </w:rPr>
              <w:fldChar w:fldCharType="end"/>
            </w:r>
          </w:hyperlink>
        </w:p>
        <w:p w:rsidR="003A7F6C" w:rsidRPr="00B811C6" w:rsidRDefault="00DB6124" w:rsidP="00B811C6">
          <w:pPr>
            <w:pStyle w:val="TOC2"/>
          </w:pPr>
          <w:r>
            <w:fldChar w:fldCharType="end"/>
          </w:r>
        </w:p>
      </w:sdtContent>
    </w:sdt>
    <w:bookmarkStart w:id="2" w:name="_Toc314842482" w:displacedByCustomXml="prev"/>
    <w:p w:rsidR="00C52E24" w:rsidRPr="00C52E24" w:rsidRDefault="00441C3F" w:rsidP="00917053">
      <w:pPr>
        <w:pStyle w:val="Heading2"/>
        <w:pageBreakBefore/>
        <w:spacing w:before="0"/>
      </w:pPr>
      <w:bookmarkStart w:id="3" w:name="_Toc351716269"/>
      <w:bookmarkStart w:id="4" w:name="_Toc351718881"/>
      <w:bookmarkStart w:id="5" w:name="_Toc355338616"/>
      <w:bookmarkStart w:id="6" w:name="_Toc356306144"/>
      <w:bookmarkStart w:id="7" w:name="_Toc24622255"/>
      <w:r>
        <w:lastRenderedPageBreak/>
        <w:t>Common</w:t>
      </w:r>
      <w:r w:rsidR="00FD119B" w:rsidRPr="00FD119B">
        <w:t xml:space="preserve"> abbreviations</w:t>
      </w:r>
      <w:bookmarkEnd w:id="3"/>
      <w:bookmarkEnd w:id="4"/>
      <w:bookmarkEnd w:id="5"/>
      <w:bookmarkEnd w:id="6"/>
      <w:bookmarkEnd w:id="7"/>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90"/>
        <w:gridCol w:w="6830"/>
      </w:tblGrid>
      <w:tr w:rsidR="007C29D8" w:rsidRPr="00725B82" w:rsidTr="0093773C">
        <w:trPr>
          <w:tblHeader/>
        </w:trPr>
        <w:tc>
          <w:tcPr>
            <w:tcW w:w="1890" w:type="dxa"/>
            <w:tcBorders>
              <w:top w:val="single" w:sz="8" w:space="0" w:color="000000"/>
              <w:left w:val="single" w:sz="8" w:space="0" w:color="000000"/>
              <w:bottom w:val="single" w:sz="8" w:space="0" w:color="000000"/>
              <w:right w:val="nil"/>
              <w:tl2br w:val="nil"/>
              <w:tr2bl w:val="nil"/>
            </w:tcBorders>
            <w:shd w:val="clear" w:color="auto" w:fill="006DA7"/>
          </w:tcPr>
          <w:p w:rsidR="007C29D8" w:rsidRPr="005C7942" w:rsidRDefault="007C29D8" w:rsidP="0093773C">
            <w:pPr>
              <w:keepNext/>
              <w:ind w:left="170" w:right="170"/>
              <w:rPr>
                <w:b/>
                <w:color w:val="FFFFFF"/>
              </w:rPr>
            </w:pPr>
            <w:r w:rsidRPr="005C7942">
              <w:rPr>
                <w:b/>
                <w:color w:val="FFFFFF"/>
              </w:rPr>
              <w:t>Abbreviation</w:t>
            </w:r>
          </w:p>
        </w:tc>
        <w:tc>
          <w:tcPr>
            <w:tcW w:w="6830" w:type="dxa"/>
            <w:tcBorders>
              <w:top w:val="single" w:sz="8" w:space="0" w:color="000000"/>
              <w:left w:val="nil"/>
              <w:bottom w:val="single" w:sz="8" w:space="0" w:color="000000"/>
              <w:right w:val="single" w:sz="8" w:space="0" w:color="000000"/>
              <w:tl2br w:val="nil"/>
              <w:tr2bl w:val="nil"/>
            </w:tcBorders>
            <w:shd w:val="clear" w:color="auto" w:fill="006DA7"/>
          </w:tcPr>
          <w:p w:rsidR="007C29D8" w:rsidRPr="005C7942" w:rsidRDefault="007C29D8" w:rsidP="0093773C">
            <w:pPr>
              <w:keepNext/>
              <w:ind w:left="170" w:right="170"/>
              <w:rPr>
                <w:b/>
                <w:color w:val="FFFFFF"/>
              </w:rPr>
            </w:pPr>
            <w:r w:rsidRPr="005C7942">
              <w:rPr>
                <w:b/>
                <w:color w:val="FFFFFF"/>
              </w:rPr>
              <w:t>Meaning</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Pr>
                <w:color w:val="000000"/>
                <w:lang w:eastAsia="en-AU"/>
              </w:rPr>
              <w:t>ACM</w:t>
            </w:r>
          </w:p>
        </w:tc>
        <w:tc>
          <w:tcPr>
            <w:tcW w:w="6830" w:type="dxa"/>
            <w:shd w:val="clear" w:color="auto" w:fill="auto"/>
          </w:tcPr>
          <w:p w:rsidR="007C29D8" w:rsidRPr="005C7942" w:rsidRDefault="007C29D8" w:rsidP="0093773C">
            <w:pPr>
              <w:ind w:left="170" w:right="170"/>
              <w:rPr>
                <w:color w:val="000000"/>
                <w:lang w:eastAsia="en-AU"/>
              </w:rPr>
            </w:pPr>
            <w:r>
              <w:rPr>
                <w:color w:val="000000"/>
                <w:lang w:eastAsia="en-AU"/>
              </w:rPr>
              <w:t>Advisory Committee on Medicines</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AE</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Adverse event</w:t>
            </w:r>
            <w:r w:rsidR="00DB20FC">
              <w:rPr>
                <w:color w:val="000000"/>
                <w:lang w:eastAsia="en-AU"/>
              </w:rPr>
              <w:t>(s)</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Pr>
                <w:color w:val="000000"/>
                <w:lang w:eastAsia="en-AU"/>
              </w:rPr>
              <w:t>ARTG</w:t>
            </w:r>
          </w:p>
        </w:tc>
        <w:tc>
          <w:tcPr>
            <w:tcW w:w="6830" w:type="dxa"/>
            <w:shd w:val="clear" w:color="auto" w:fill="auto"/>
          </w:tcPr>
          <w:p w:rsidR="007C29D8" w:rsidRPr="005C7942" w:rsidRDefault="007C29D8" w:rsidP="0093773C">
            <w:pPr>
              <w:ind w:left="170" w:right="170"/>
              <w:rPr>
                <w:color w:val="000000"/>
                <w:lang w:eastAsia="en-AU"/>
              </w:rPr>
            </w:pPr>
            <w:r>
              <w:rPr>
                <w:color w:val="000000"/>
                <w:lang w:eastAsia="en-AU"/>
              </w:rPr>
              <w:t>Australian Register of Therapeutic Goods</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CI</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Confidence interval</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CMI</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Consumer Medicines Information</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CR</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Complete response</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CSA</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Cyclosporin A</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CTCL</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 xml:space="preserve">Cutaneous T </w:t>
            </w:r>
            <w:r>
              <w:rPr>
                <w:color w:val="000000"/>
                <w:lang w:eastAsia="en-AU"/>
              </w:rPr>
              <w:t>c</w:t>
            </w:r>
            <w:r w:rsidRPr="005C7942">
              <w:rPr>
                <w:color w:val="000000"/>
                <w:lang w:eastAsia="en-AU"/>
              </w:rPr>
              <w:t xml:space="preserve">ell </w:t>
            </w:r>
            <w:r>
              <w:rPr>
                <w:color w:val="000000"/>
                <w:lang w:eastAsia="en-AU"/>
              </w:rPr>
              <w:t>l</w:t>
            </w:r>
            <w:r w:rsidRPr="005C7942">
              <w:rPr>
                <w:color w:val="000000"/>
                <w:lang w:eastAsia="en-AU"/>
              </w:rPr>
              <w:t>ymphoma</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ja-JP"/>
              </w:rPr>
              <w:t>cGvHD</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ja-JP"/>
              </w:rPr>
              <w:t>Chronic graft versus host disease</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szCs w:val="21"/>
                <w:lang w:eastAsia="en-AU"/>
              </w:rPr>
              <w:t>CYP450</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Cytochrome P450</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DNA</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Deoxyribonucleic acid</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EBMT</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European Group for Blood and Marrow Transplantation</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ECP</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 xml:space="preserve">Extracorporeal </w:t>
            </w:r>
            <w:r>
              <w:rPr>
                <w:color w:val="000000"/>
                <w:lang w:eastAsia="en-AU"/>
              </w:rPr>
              <w:t>p</w:t>
            </w:r>
            <w:r w:rsidRPr="005C7942">
              <w:rPr>
                <w:color w:val="000000"/>
                <w:lang w:eastAsia="en-AU"/>
              </w:rPr>
              <w:t>hotopheresis</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ELN</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European Leukaemia Network</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EMA</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European Medicines Agency</w:t>
            </w:r>
            <w:r>
              <w:rPr>
                <w:color w:val="000000"/>
                <w:lang w:eastAsia="en-AU"/>
              </w:rPr>
              <w:t xml:space="preserve"> (EU)</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Pr>
                <w:color w:val="000000"/>
                <w:lang w:eastAsia="en-AU"/>
              </w:rPr>
              <w:t>EU</w:t>
            </w:r>
          </w:p>
        </w:tc>
        <w:tc>
          <w:tcPr>
            <w:tcW w:w="6830" w:type="dxa"/>
            <w:shd w:val="clear" w:color="auto" w:fill="auto"/>
          </w:tcPr>
          <w:p w:rsidR="007C29D8" w:rsidRPr="005C7942" w:rsidRDefault="007C29D8" w:rsidP="0093773C">
            <w:pPr>
              <w:ind w:left="170" w:right="170"/>
              <w:rPr>
                <w:color w:val="000000"/>
                <w:lang w:eastAsia="en-AU"/>
              </w:rPr>
            </w:pPr>
            <w:r>
              <w:rPr>
                <w:color w:val="000000"/>
                <w:lang w:eastAsia="en-AU"/>
              </w:rPr>
              <w:t>European Union</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FDA</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Food and Drug Administration</w:t>
            </w:r>
            <w:r>
              <w:rPr>
                <w:color w:val="000000"/>
                <w:lang w:eastAsia="en-AU"/>
              </w:rPr>
              <w:t xml:space="preserve"> (USA)</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GIT</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Gastrointestinal tract</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GvHD</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ja-JP"/>
              </w:rPr>
              <w:t>Graft versus host disease</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Pr>
                <w:color w:val="000000"/>
                <w:szCs w:val="21"/>
                <w:lang w:eastAsia="en-AU"/>
              </w:rPr>
              <w:t>HSC</w:t>
            </w:r>
          </w:p>
        </w:tc>
        <w:tc>
          <w:tcPr>
            <w:tcW w:w="6830" w:type="dxa"/>
            <w:shd w:val="clear" w:color="auto" w:fill="auto"/>
          </w:tcPr>
          <w:p w:rsidR="007C29D8" w:rsidRPr="005C7942" w:rsidRDefault="007C29D8" w:rsidP="0093773C">
            <w:pPr>
              <w:ind w:left="170" w:right="170"/>
              <w:rPr>
                <w:color w:val="000000"/>
                <w:szCs w:val="21"/>
                <w:lang w:eastAsia="ja-JP"/>
              </w:rPr>
            </w:pPr>
            <w:r w:rsidRPr="00B25BB7">
              <w:rPr>
                <w:color w:val="000000"/>
                <w:szCs w:val="21"/>
                <w:lang w:eastAsia="ja-JP"/>
              </w:rPr>
              <w:t>H</w:t>
            </w:r>
            <w:r>
              <w:rPr>
                <w:color w:val="000000"/>
                <w:szCs w:val="21"/>
                <w:lang w:eastAsia="ja-JP"/>
              </w:rPr>
              <w:t>a</w:t>
            </w:r>
            <w:r w:rsidRPr="00B25BB7">
              <w:rPr>
                <w:color w:val="000000"/>
                <w:szCs w:val="21"/>
                <w:lang w:eastAsia="ja-JP"/>
              </w:rPr>
              <w:t>ematopoietic stem cell</w:t>
            </w:r>
          </w:p>
        </w:tc>
      </w:tr>
      <w:tr w:rsidR="007C29D8" w:rsidRPr="00725B82" w:rsidTr="0093773C">
        <w:tc>
          <w:tcPr>
            <w:tcW w:w="1890" w:type="dxa"/>
            <w:shd w:val="clear" w:color="auto" w:fill="auto"/>
          </w:tcPr>
          <w:p w:rsidR="007C29D8" w:rsidRDefault="007C29D8" w:rsidP="0093773C">
            <w:pPr>
              <w:ind w:left="170" w:right="170"/>
              <w:rPr>
                <w:color w:val="000000"/>
                <w:szCs w:val="21"/>
                <w:lang w:eastAsia="en-AU"/>
              </w:rPr>
            </w:pPr>
            <w:r>
              <w:rPr>
                <w:color w:val="000000"/>
                <w:szCs w:val="21"/>
                <w:lang w:eastAsia="en-AU"/>
              </w:rPr>
              <w:t>HSCT</w:t>
            </w:r>
          </w:p>
        </w:tc>
        <w:tc>
          <w:tcPr>
            <w:tcW w:w="6830" w:type="dxa"/>
            <w:shd w:val="clear" w:color="auto" w:fill="auto"/>
          </w:tcPr>
          <w:p w:rsidR="007C29D8" w:rsidRPr="00B25BB7" w:rsidRDefault="007C29D8" w:rsidP="0093773C">
            <w:pPr>
              <w:ind w:left="170" w:right="170"/>
              <w:rPr>
                <w:color w:val="000000"/>
                <w:szCs w:val="21"/>
                <w:lang w:eastAsia="ja-JP"/>
              </w:rPr>
            </w:pPr>
            <w:r>
              <w:rPr>
                <w:color w:val="000000"/>
                <w:szCs w:val="21"/>
                <w:lang w:eastAsia="ja-JP"/>
              </w:rPr>
              <w:t>Haematopoietic stem cell transplant(ation)</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J</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Joule</w:t>
            </w:r>
          </w:p>
        </w:tc>
      </w:tr>
      <w:tr w:rsidR="007C29D8" w:rsidRPr="00725B82" w:rsidDel="003D19A7" w:rsidTr="0093773C">
        <w:tc>
          <w:tcPr>
            <w:tcW w:w="1890" w:type="dxa"/>
            <w:shd w:val="clear" w:color="auto" w:fill="auto"/>
          </w:tcPr>
          <w:p w:rsidR="007C29D8" w:rsidRPr="005C7942" w:rsidDel="003A4E9A" w:rsidRDefault="007C29D8" w:rsidP="0093773C">
            <w:pPr>
              <w:ind w:left="170" w:right="170"/>
              <w:rPr>
                <w:color w:val="000000"/>
                <w:lang w:eastAsia="en-AU"/>
              </w:rPr>
            </w:pPr>
            <w:r>
              <w:rPr>
                <w:color w:val="000000"/>
                <w:lang w:eastAsia="en-AU"/>
              </w:rPr>
              <w:t>LDH</w:t>
            </w:r>
          </w:p>
        </w:tc>
        <w:tc>
          <w:tcPr>
            <w:tcW w:w="6830" w:type="dxa"/>
            <w:shd w:val="clear" w:color="auto" w:fill="auto"/>
          </w:tcPr>
          <w:p w:rsidR="007C29D8" w:rsidRPr="005C7942" w:rsidDel="003A4E9A" w:rsidRDefault="007C29D8" w:rsidP="0093773C">
            <w:pPr>
              <w:ind w:left="170" w:right="170"/>
              <w:rPr>
                <w:color w:val="000000"/>
                <w:lang w:eastAsia="en-AU"/>
              </w:rPr>
            </w:pPr>
            <w:r>
              <w:rPr>
                <w:color w:val="000000"/>
                <w:lang w:eastAsia="en-AU"/>
              </w:rPr>
              <w:t>Lactate dehydrogenase</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LOCF</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Last observation carried forward</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Pr>
                <w:color w:val="000000"/>
                <w:szCs w:val="21"/>
                <w:lang w:eastAsia="en-AU"/>
              </w:rPr>
              <w:t>m</w:t>
            </w:r>
            <w:r w:rsidRPr="005C7942">
              <w:rPr>
                <w:color w:val="000000"/>
                <w:szCs w:val="21"/>
                <w:lang w:eastAsia="en-AU"/>
              </w:rPr>
              <w:t>ITT</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 xml:space="preserve">Modified </w:t>
            </w:r>
            <w:r>
              <w:rPr>
                <w:color w:val="000000"/>
                <w:szCs w:val="21"/>
                <w:lang w:eastAsia="en-AU"/>
              </w:rPr>
              <w:t>i</w:t>
            </w:r>
            <w:r w:rsidRPr="005C7942">
              <w:rPr>
                <w:color w:val="000000"/>
                <w:szCs w:val="21"/>
                <w:lang w:eastAsia="en-AU"/>
              </w:rPr>
              <w:t>ntention-to-</w:t>
            </w:r>
            <w:r>
              <w:rPr>
                <w:color w:val="000000"/>
                <w:szCs w:val="21"/>
                <w:lang w:eastAsia="en-AU"/>
              </w:rPr>
              <w:t>t</w:t>
            </w:r>
            <w:r w:rsidRPr="005C7942">
              <w:rPr>
                <w:color w:val="000000"/>
                <w:szCs w:val="21"/>
                <w:lang w:eastAsia="en-AU"/>
              </w:rPr>
              <w:t>reat</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lastRenderedPageBreak/>
              <w:t>mL</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Millilitre</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MMF</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Mycophenolate mofetil</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NC</w:t>
            </w:r>
          </w:p>
        </w:tc>
        <w:tc>
          <w:tcPr>
            <w:tcW w:w="6830" w:type="dxa"/>
            <w:shd w:val="clear" w:color="auto" w:fill="auto"/>
          </w:tcPr>
          <w:p w:rsidR="007C29D8" w:rsidRPr="005C7942" w:rsidRDefault="007C29D8" w:rsidP="0093773C">
            <w:pPr>
              <w:ind w:left="170" w:right="170"/>
              <w:rPr>
                <w:color w:val="000000"/>
                <w:szCs w:val="21"/>
                <w:lang w:eastAsia="ja-JP"/>
              </w:rPr>
            </w:pPr>
            <w:r w:rsidRPr="005C7942">
              <w:rPr>
                <w:color w:val="000000"/>
                <w:szCs w:val="21"/>
                <w:lang w:eastAsia="en-AU"/>
              </w:rPr>
              <w:t>No change</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PD</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Pharmacodynamic</w:t>
            </w:r>
            <w:r>
              <w:rPr>
                <w:color w:val="000000"/>
                <w:lang w:eastAsia="en-AU"/>
              </w:rPr>
              <w:t>(</w:t>
            </w:r>
            <w:r w:rsidRPr="005C7942">
              <w:rPr>
                <w:color w:val="000000"/>
                <w:lang w:eastAsia="en-AU"/>
              </w:rPr>
              <w:t>s</w:t>
            </w:r>
            <w:r>
              <w:rPr>
                <w:color w:val="000000"/>
                <w:lang w:eastAsia="en-AU"/>
              </w:rPr>
              <w:t>)</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PG</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Progressive graft versus host disease</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PI</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Product Information</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PK</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Pharmacokinetic</w:t>
            </w:r>
            <w:r>
              <w:rPr>
                <w:color w:val="000000"/>
                <w:lang w:eastAsia="en-AU"/>
              </w:rPr>
              <w:t>(</w:t>
            </w:r>
            <w:r w:rsidRPr="005C7942">
              <w:rPr>
                <w:color w:val="000000"/>
                <w:lang w:eastAsia="en-AU"/>
              </w:rPr>
              <w:t>s</w:t>
            </w:r>
            <w:r>
              <w:rPr>
                <w:color w:val="000000"/>
                <w:lang w:eastAsia="en-AU"/>
              </w:rPr>
              <w:t>)</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PR</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Partial response</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RCT</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Randomised controlled trial</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RMP</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Risk management plan</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SAE</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Serious adverse event</w:t>
            </w:r>
            <w:r w:rsidR="000A0652">
              <w:rPr>
                <w:color w:val="000000"/>
                <w:lang w:eastAsia="en-AU"/>
              </w:rPr>
              <w:t>(s)</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SAS</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Special Access Scheme</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TGA</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Therapeutic Goods Administration</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ja-JP"/>
              </w:rPr>
              <w:t>TNF</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ja-JP"/>
              </w:rPr>
              <w:t>Tumour necrosis factor</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TSA</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Targeted Symptoms Assessment</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TSS</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Total Skin Score</w:t>
            </w:r>
          </w:p>
        </w:tc>
      </w:tr>
      <w:tr w:rsidR="007C29D8" w:rsidRPr="00725B82" w:rsidTr="0093773C">
        <w:tc>
          <w:tcPr>
            <w:tcW w:w="1890" w:type="dxa"/>
            <w:shd w:val="clear" w:color="auto" w:fill="auto"/>
          </w:tcPr>
          <w:p w:rsidR="007C29D8" w:rsidRPr="005C7942" w:rsidRDefault="007C29D8" w:rsidP="0093773C">
            <w:pPr>
              <w:ind w:left="170" w:right="170"/>
              <w:rPr>
                <w:color w:val="000000"/>
                <w:lang w:eastAsia="en-AU"/>
              </w:rPr>
            </w:pPr>
            <w:r w:rsidRPr="005C7942">
              <w:rPr>
                <w:color w:val="000000"/>
                <w:lang w:eastAsia="en-AU"/>
              </w:rPr>
              <w:t>UVA</w:t>
            </w:r>
          </w:p>
        </w:tc>
        <w:tc>
          <w:tcPr>
            <w:tcW w:w="6830" w:type="dxa"/>
            <w:shd w:val="clear" w:color="auto" w:fill="auto"/>
          </w:tcPr>
          <w:p w:rsidR="007C29D8" w:rsidRPr="005C7942" w:rsidRDefault="007C29D8" w:rsidP="0093773C">
            <w:pPr>
              <w:ind w:left="170" w:right="170"/>
              <w:rPr>
                <w:color w:val="000000"/>
                <w:lang w:eastAsia="en-AU"/>
              </w:rPr>
            </w:pPr>
            <w:r w:rsidRPr="005C7942">
              <w:rPr>
                <w:color w:val="000000"/>
                <w:lang w:eastAsia="en-AU"/>
              </w:rPr>
              <w:t>Ultraviolet A</w:t>
            </w:r>
          </w:p>
        </w:tc>
      </w:tr>
      <w:tr w:rsidR="007C29D8" w:rsidRPr="00725B82" w:rsidTr="0093773C">
        <w:tc>
          <w:tcPr>
            <w:tcW w:w="189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VTE</w:t>
            </w:r>
          </w:p>
        </w:tc>
        <w:tc>
          <w:tcPr>
            <w:tcW w:w="683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Venous thromboembolism</w:t>
            </w:r>
          </w:p>
        </w:tc>
      </w:tr>
    </w:tbl>
    <w:p w:rsidR="008E7846" w:rsidRDefault="00F53C07" w:rsidP="00917053">
      <w:pPr>
        <w:pStyle w:val="Heading2"/>
        <w:pageBreakBefore/>
        <w:spacing w:before="0"/>
      </w:pPr>
      <w:bookmarkStart w:id="8" w:name="_Toc24622256"/>
      <w:r>
        <w:lastRenderedPageBreak/>
        <w:t>I.</w:t>
      </w:r>
      <w:r w:rsidR="008E7846">
        <w:t xml:space="preserve"> Introduction to product submission</w:t>
      </w:r>
      <w:bookmarkEnd w:id="8"/>
      <w:bookmarkEnd w:id="0"/>
      <w:bookmarkEnd w:id="2"/>
    </w:p>
    <w:p w:rsidR="008E7846" w:rsidRDefault="008E7846" w:rsidP="008E7846">
      <w:pPr>
        <w:pStyle w:val="Heading3"/>
        <w:rPr>
          <w:lang w:eastAsia="en-AU"/>
        </w:rPr>
      </w:pPr>
      <w:bookmarkStart w:id="9" w:name="_Toc247691502"/>
      <w:bookmarkStart w:id="10" w:name="_Toc314842483"/>
      <w:bookmarkStart w:id="11" w:name="_Toc24622257"/>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7C29D8" w:rsidRPr="003D1E62" w:rsidTr="0093773C">
        <w:tc>
          <w:tcPr>
            <w:tcW w:w="2907" w:type="dxa"/>
          </w:tcPr>
          <w:p w:rsidR="007C29D8" w:rsidRPr="003D1E62" w:rsidRDefault="007C29D8" w:rsidP="0093773C">
            <w:pPr>
              <w:rPr>
                <w:i/>
              </w:rPr>
            </w:pPr>
            <w:r>
              <w:rPr>
                <w:i/>
              </w:rPr>
              <w:t>Type of s</w:t>
            </w:r>
            <w:r w:rsidRPr="003D1E62">
              <w:rPr>
                <w:i/>
              </w:rPr>
              <w:t>ubmission</w:t>
            </w:r>
            <w:r>
              <w:rPr>
                <w:i/>
              </w:rPr>
              <w:t>:</w:t>
            </w:r>
          </w:p>
        </w:tc>
        <w:tc>
          <w:tcPr>
            <w:tcW w:w="6307" w:type="dxa"/>
          </w:tcPr>
          <w:p w:rsidR="007C29D8" w:rsidRPr="003D1E62" w:rsidRDefault="007C29D8" w:rsidP="0093773C">
            <w:r w:rsidRPr="003D1E62">
              <w:t xml:space="preserve">New </w:t>
            </w:r>
            <w:r>
              <w:t>c</w:t>
            </w:r>
            <w:r w:rsidRPr="003D1E62">
              <w:t xml:space="preserve">hemical </w:t>
            </w:r>
            <w:r>
              <w:t>e</w:t>
            </w:r>
            <w:r w:rsidRPr="003D1E62">
              <w:t>ntity</w:t>
            </w:r>
          </w:p>
        </w:tc>
      </w:tr>
      <w:tr w:rsidR="007C29D8" w:rsidRPr="003D1E62" w:rsidTr="0093773C">
        <w:tc>
          <w:tcPr>
            <w:tcW w:w="2907" w:type="dxa"/>
          </w:tcPr>
          <w:p w:rsidR="007C29D8" w:rsidRPr="003D1E62" w:rsidRDefault="007C29D8" w:rsidP="0093773C">
            <w:r w:rsidRPr="003D1E62">
              <w:rPr>
                <w:i/>
              </w:rPr>
              <w:t>Decision</w:t>
            </w:r>
            <w:r w:rsidRPr="003D1E62">
              <w:t>:</w:t>
            </w:r>
          </w:p>
        </w:tc>
        <w:tc>
          <w:tcPr>
            <w:tcW w:w="6307" w:type="dxa"/>
          </w:tcPr>
          <w:p w:rsidR="007C29D8" w:rsidRPr="003D1E62" w:rsidRDefault="007C29D8" w:rsidP="0093773C">
            <w:r>
              <w:t>Approved</w:t>
            </w:r>
          </w:p>
        </w:tc>
      </w:tr>
      <w:tr w:rsidR="007C29D8" w:rsidRPr="003D1E62" w:rsidTr="0093773C">
        <w:tc>
          <w:tcPr>
            <w:tcW w:w="2907" w:type="dxa"/>
          </w:tcPr>
          <w:p w:rsidR="007C29D8" w:rsidRPr="003D1E62" w:rsidRDefault="007C29D8" w:rsidP="0093773C">
            <w:pPr>
              <w:rPr>
                <w:i/>
              </w:rPr>
            </w:pPr>
            <w:r w:rsidRPr="003D1E62">
              <w:rPr>
                <w:i/>
              </w:rPr>
              <w:t xml:space="preserve">Date of </w:t>
            </w:r>
            <w:r>
              <w:rPr>
                <w:i/>
              </w:rPr>
              <w:t>d</w:t>
            </w:r>
            <w:r w:rsidRPr="003D1E62">
              <w:rPr>
                <w:i/>
              </w:rPr>
              <w:t>ecision:</w:t>
            </w:r>
          </w:p>
        </w:tc>
        <w:tc>
          <w:tcPr>
            <w:tcW w:w="6307" w:type="dxa"/>
          </w:tcPr>
          <w:p w:rsidR="007C29D8" w:rsidRPr="003D1E62" w:rsidRDefault="007C29D8" w:rsidP="0093773C">
            <w:r>
              <w:rPr>
                <w:lang w:eastAsia="en-AU"/>
              </w:rPr>
              <w:t>13</w:t>
            </w:r>
            <w:r w:rsidRPr="0044335D">
              <w:rPr>
                <w:lang w:eastAsia="en-AU"/>
              </w:rPr>
              <w:t xml:space="preserve"> September 2019</w:t>
            </w:r>
          </w:p>
        </w:tc>
      </w:tr>
      <w:tr w:rsidR="007C29D8" w:rsidRPr="00441C3F" w:rsidTr="0093773C">
        <w:tc>
          <w:tcPr>
            <w:tcW w:w="2907" w:type="dxa"/>
          </w:tcPr>
          <w:p w:rsidR="007C29D8" w:rsidRPr="00441C3F" w:rsidRDefault="007C29D8" w:rsidP="0093773C">
            <w:pPr>
              <w:rPr>
                <w:i/>
              </w:rPr>
            </w:pPr>
            <w:r w:rsidRPr="00441C3F">
              <w:rPr>
                <w:i/>
              </w:rPr>
              <w:t>Date of entry onto ARTG</w:t>
            </w:r>
            <w:r>
              <w:rPr>
                <w:i/>
              </w:rPr>
              <w:t>:</w:t>
            </w:r>
          </w:p>
        </w:tc>
        <w:tc>
          <w:tcPr>
            <w:tcW w:w="6307" w:type="dxa"/>
          </w:tcPr>
          <w:p w:rsidR="007C29D8" w:rsidRPr="00441C3F" w:rsidRDefault="007C29D8" w:rsidP="0093773C">
            <w:pPr>
              <w:rPr>
                <w:i/>
              </w:rPr>
            </w:pPr>
            <w:r w:rsidRPr="0044335D">
              <w:rPr>
                <w:lang w:eastAsia="en-AU"/>
              </w:rPr>
              <w:t>16 September 2019</w:t>
            </w:r>
          </w:p>
        </w:tc>
      </w:tr>
      <w:tr w:rsidR="007C29D8" w:rsidRPr="00441C3F" w:rsidTr="0093773C">
        <w:tc>
          <w:tcPr>
            <w:tcW w:w="2907" w:type="dxa"/>
          </w:tcPr>
          <w:p w:rsidR="007C29D8" w:rsidRPr="00441C3F" w:rsidRDefault="007C29D8" w:rsidP="0093773C">
            <w:pPr>
              <w:rPr>
                <w:i/>
              </w:rPr>
            </w:pPr>
            <w:r>
              <w:rPr>
                <w:i/>
              </w:rPr>
              <w:t>ARTG number:</w:t>
            </w:r>
          </w:p>
        </w:tc>
        <w:tc>
          <w:tcPr>
            <w:tcW w:w="6307" w:type="dxa"/>
          </w:tcPr>
          <w:p w:rsidR="007C29D8" w:rsidRPr="00441C3F" w:rsidRDefault="007C29D8" w:rsidP="0093773C">
            <w:r w:rsidRPr="00E46DF1">
              <w:t>308832</w:t>
            </w:r>
          </w:p>
        </w:tc>
      </w:tr>
      <w:tr w:rsidR="007C29D8" w:rsidRPr="00487162" w:rsidTr="0093773C">
        <w:tc>
          <w:tcPr>
            <w:tcW w:w="2907" w:type="dxa"/>
          </w:tcPr>
          <w:p w:rsidR="007C29D8" w:rsidRDefault="007C29D8" w:rsidP="0093773C">
            <w:pPr>
              <w:rPr>
                <w:i/>
              </w:rPr>
            </w:pPr>
            <w:r>
              <w:rPr>
                <w:rFonts w:ascii="Wingdings 3" w:hAnsi="Wingdings 3"/>
                <w:sz w:val="34"/>
                <w:szCs w:val="34"/>
                <w:lang w:eastAsia="en-AU"/>
              </w:rPr>
              <w:t></w:t>
            </w:r>
            <w:r w:rsidRPr="003735BC">
              <w:rPr>
                <w:i/>
              </w:rPr>
              <w:t>Black Triangle Scheme</w:t>
            </w:r>
          </w:p>
        </w:tc>
        <w:tc>
          <w:tcPr>
            <w:tcW w:w="6307" w:type="dxa"/>
          </w:tcPr>
          <w:p w:rsidR="007C29D8" w:rsidRDefault="007C29D8" w:rsidP="0093773C">
            <w:r>
              <w:t>Yes</w:t>
            </w:r>
          </w:p>
          <w:p w:rsidR="007C29D8" w:rsidRPr="00487162" w:rsidRDefault="007C29D8" w:rsidP="0093773C">
            <w:r>
              <w:t>This product will remain in the scheme for 5 years, starting on the date the product is first supplied in Australia</w:t>
            </w:r>
          </w:p>
        </w:tc>
      </w:tr>
      <w:tr w:rsidR="007C29D8" w:rsidRPr="00487162" w:rsidTr="0093773C">
        <w:tc>
          <w:tcPr>
            <w:tcW w:w="2907" w:type="dxa"/>
          </w:tcPr>
          <w:p w:rsidR="007C29D8" w:rsidRPr="00487162" w:rsidRDefault="007C29D8" w:rsidP="0093773C">
            <w:pPr>
              <w:rPr>
                <w:i/>
              </w:rPr>
            </w:pPr>
            <w:r>
              <w:rPr>
                <w:i/>
              </w:rPr>
              <w:t>Active ingredient:</w:t>
            </w:r>
          </w:p>
        </w:tc>
        <w:tc>
          <w:tcPr>
            <w:tcW w:w="6307" w:type="dxa"/>
          </w:tcPr>
          <w:p w:rsidR="007C29D8" w:rsidRPr="00487162" w:rsidRDefault="007C29D8" w:rsidP="0093773C">
            <w:r>
              <w:t>Methoxsalen</w:t>
            </w:r>
          </w:p>
        </w:tc>
      </w:tr>
      <w:tr w:rsidR="007C29D8" w:rsidRPr="00487162" w:rsidTr="0093773C">
        <w:tc>
          <w:tcPr>
            <w:tcW w:w="2907" w:type="dxa"/>
          </w:tcPr>
          <w:p w:rsidR="007C29D8" w:rsidRPr="00487162" w:rsidRDefault="007C29D8" w:rsidP="0093773C">
            <w:pPr>
              <w:rPr>
                <w:i/>
              </w:rPr>
            </w:pPr>
            <w:r w:rsidRPr="00487162">
              <w:rPr>
                <w:i/>
              </w:rPr>
              <w:t>Product</w:t>
            </w:r>
            <w:r>
              <w:rPr>
                <w:i/>
              </w:rPr>
              <w:t xml:space="preserve"> name:</w:t>
            </w:r>
          </w:p>
        </w:tc>
        <w:tc>
          <w:tcPr>
            <w:tcW w:w="6307" w:type="dxa"/>
          </w:tcPr>
          <w:p w:rsidR="007C29D8" w:rsidRPr="00487162" w:rsidRDefault="007C29D8" w:rsidP="0093773C">
            <w:r>
              <w:t>Uvadex</w:t>
            </w:r>
          </w:p>
        </w:tc>
      </w:tr>
      <w:tr w:rsidR="007C29D8" w:rsidRPr="00487162" w:rsidTr="0093773C">
        <w:tc>
          <w:tcPr>
            <w:tcW w:w="2907" w:type="dxa"/>
          </w:tcPr>
          <w:p w:rsidR="007C29D8" w:rsidRPr="00487162" w:rsidRDefault="007C29D8" w:rsidP="0093773C">
            <w:pPr>
              <w:rPr>
                <w:i/>
              </w:rPr>
            </w:pPr>
            <w:r w:rsidRPr="00487162">
              <w:rPr>
                <w:i/>
              </w:rPr>
              <w:t xml:space="preserve">Sponsor’s </w:t>
            </w:r>
            <w:r>
              <w:rPr>
                <w:i/>
              </w:rPr>
              <w:t>n</w:t>
            </w:r>
            <w:r w:rsidRPr="00487162">
              <w:rPr>
                <w:i/>
              </w:rPr>
              <w:t xml:space="preserve">ame and </w:t>
            </w:r>
            <w:r>
              <w:rPr>
                <w:i/>
              </w:rPr>
              <w:t>a</w:t>
            </w:r>
            <w:r w:rsidRPr="00487162">
              <w:rPr>
                <w:i/>
              </w:rPr>
              <w:t>ddress:</w:t>
            </w:r>
          </w:p>
        </w:tc>
        <w:tc>
          <w:tcPr>
            <w:tcW w:w="6307" w:type="dxa"/>
          </w:tcPr>
          <w:p w:rsidR="007C29D8" w:rsidRDefault="007C29D8" w:rsidP="0093773C">
            <w:r w:rsidRPr="00E46DF1">
              <w:t>Terumo BCT Australia</w:t>
            </w:r>
          </w:p>
          <w:p w:rsidR="007C29D8" w:rsidRDefault="007C29D8" w:rsidP="0093773C">
            <w:r>
              <w:t>PO Box 1424</w:t>
            </w:r>
          </w:p>
          <w:p w:rsidR="007C29D8" w:rsidRPr="00487162" w:rsidRDefault="007C29D8" w:rsidP="0093773C">
            <w:r>
              <w:t>Lane Cove NSW 1595</w:t>
            </w:r>
          </w:p>
        </w:tc>
      </w:tr>
      <w:tr w:rsidR="007C29D8" w:rsidTr="0093773C">
        <w:tc>
          <w:tcPr>
            <w:tcW w:w="2907" w:type="dxa"/>
          </w:tcPr>
          <w:p w:rsidR="007C29D8" w:rsidRPr="00BE4AEB" w:rsidRDefault="007C29D8" w:rsidP="0093773C">
            <w:pPr>
              <w:rPr>
                <w:i/>
              </w:rPr>
            </w:pPr>
            <w:r>
              <w:rPr>
                <w:i/>
              </w:rPr>
              <w:t>Dose form</w:t>
            </w:r>
            <w:r w:rsidRPr="00BE4AEB">
              <w:rPr>
                <w:i/>
              </w:rPr>
              <w:t>:</w:t>
            </w:r>
          </w:p>
        </w:tc>
        <w:tc>
          <w:tcPr>
            <w:tcW w:w="6307" w:type="dxa"/>
          </w:tcPr>
          <w:p w:rsidR="007C29D8" w:rsidRDefault="007C29D8" w:rsidP="0093773C">
            <w:pPr>
              <w:rPr>
                <w:rFonts w:eastAsia="Calibri"/>
              </w:rPr>
            </w:pPr>
            <w:r>
              <w:rPr>
                <w:rFonts w:eastAsia="Calibri"/>
              </w:rPr>
              <w:t>Concentrated injection</w:t>
            </w:r>
          </w:p>
        </w:tc>
      </w:tr>
      <w:tr w:rsidR="007C29D8" w:rsidTr="0093773C">
        <w:tc>
          <w:tcPr>
            <w:tcW w:w="2907" w:type="dxa"/>
          </w:tcPr>
          <w:p w:rsidR="007C29D8" w:rsidRPr="00487162" w:rsidRDefault="007C29D8" w:rsidP="0093773C">
            <w:pPr>
              <w:rPr>
                <w:i/>
              </w:rPr>
            </w:pPr>
            <w:r>
              <w:rPr>
                <w:i/>
              </w:rPr>
              <w:t>Strength</w:t>
            </w:r>
            <w:r w:rsidRPr="00487162">
              <w:rPr>
                <w:i/>
              </w:rPr>
              <w:t xml:space="preserve">: </w:t>
            </w:r>
          </w:p>
        </w:tc>
        <w:tc>
          <w:tcPr>
            <w:tcW w:w="6307" w:type="dxa"/>
          </w:tcPr>
          <w:p w:rsidR="007C29D8" w:rsidRDefault="007C29D8" w:rsidP="0093773C">
            <w:pPr>
              <w:rPr>
                <w:rFonts w:eastAsia="Calibri"/>
              </w:rPr>
            </w:pPr>
            <w:r>
              <w:rPr>
                <w:rFonts w:eastAsia="Calibri"/>
              </w:rPr>
              <w:t>200 µg/10 mL</w:t>
            </w:r>
          </w:p>
        </w:tc>
      </w:tr>
      <w:tr w:rsidR="007C29D8" w:rsidRPr="00487162" w:rsidTr="0093773C">
        <w:tc>
          <w:tcPr>
            <w:tcW w:w="2907" w:type="dxa"/>
          </w:tcPr>
          <w:p w:rsidR="007C29D8" w:rsidRPr="00487162" w:rsidRDefault="007C29D8" w:rsidP="0093773C">
            <w:pPr>
              <w:rPr>
                <w:i/>
              </w:rPr>
            </w:pPr>
            <w:r>
              <w:rPr>
                <w:i/>
              </w:rPr>
              <w:t>Container</w:t>
            </w:r>
            <w:r w:rsidRPr="00487162">
              <w:rPr>
                <w:i/>
              </w:rPr>
              <w:t>:</w:t>
            </w:r>
          </w:p>
        </w:tc>
        <w:tc>
          <w:tcPr>
            <w:tcW w:w="6307" w:type="dxa"/>
          </w:tcPr>
          <w:p w:rsidR="007C29D8" w:rsidRPr="00487162" w:rsidRDefault="007C29D8" w:rsidP="0093773C">
            <w:r>
              <w:t>Vial</w:t>
            </w:r>
          </w:p>
        </w:tc>
      </w:tr>
      <w:tr w:rsidR="007C29D8" w:rsidRPr="00487162" w:rsidTr="0093773C">
        <w:tc>
          <w:tcPr>
            <w:tcW w:w="2907" w:type="dxa"/>
          </w:tcPr>
          <w:p w:rsidR="007C29D8" w:rsidRPr="00487162" w:rsidRDefault="007C29D8" w:rsidP="0093773C">
            <w:pPr>
              <w:rPr>
                <w:i/>
              </w:rPr>
            </w:pPr>
            <w:r>
              <w:rPr>
                <w:i/>
              </w:rPr>
              <w:t>Pack size</w:t>
            </w:r>
            <w:r w:rsidRPr="00487162">
              <w:rPr>
                <w:i/>
              </w:rPr>
              <w:t>:</w:t>
            </w:r>
          </w:p>
        </w:tc>
        <w:tc>
          <w:tcPr>
            <w:tcW w:w="6307" w:type="dxa"/>
          </w:tcPr>
          <w:p w:rsidR="007C29D8" w:rsidRPr="00487162" w:rsidRDefault="007C29D8" w:rsidP="0093773C">
            <w:r>
              <w:t>12</w:t>
            </w:r>
          </w:p>
        </w:tc>
      </w:tr>
      <w:tr w:rsidR="007C29D8" w:rsidRPr="00487162" w:rsidTr="0093773C">
        <w:tc>
          <w:tcPr>
            <w:tcW w:w="2907" w:type="dxa"/>
          </w:tcPr>
          <w:p w:rsidR="007C29D8" w:rsidRPr="00487162" w:rsidRDefault="007C29D8" w:rsidP="0093773C">
            <w:pPr>
              <w:rPr>
                <w:i/>
              </w:rPr>
            </w:pPr>
            <w:r w:rsidRPr="00487162">
              <w:rPr>
                <w:i/>
              </w:rPr>
              <w:t xml:space="preserve">Approved </w:t>
            </w:r>
            <w:r>
              <w:rPr>
                <w:i/>
              </w:rPr>
              <w:t>t</w:t>
            </w:r>
            <w:r w:rsidRPr="00487162">
              <w:rPr>
                <w:i/>
              </w:rPr>
              <w:t>herapeutic use:</w:t>
            </w:r>
          </w:p>
        </w:tc>
        <w:tc>
          <w:tcPr>
            <w:tcW w:w="6307" w:type="dxa"/>
          </w:tcPr>
          <w:p w:rsidR="007C29D8" w:rsidRPr="00487162" w:rsidRDefault="007C29D8" w:rsidP="0093773C">
            <w:pPr>
              <w:rPr>
                <w:rFonts w:eastAsia="MS Mincho"/>
                <w:lang w:eastAsia="ja-JP"/>
              </w:rPr>
            </w:pPr>
            <w:r>
              <w:rPr>
                <w:i/>
              </w:rPr>
              <w:t>Uvadex (methoxsalen) is indicated for extracorporeal administration with the Therakos Cellex Photopheresis System for the treatment of steroid-refractory and steroid-intolerant chronic graft versus host disease (cGvHD) in adults following allogeneic HSC transplantation.</w:t>
            </w:r>
          </w:p>
        </w:tc>
      </w:tr>
      <w:tr w:rsidR="007C29D8" w:rsidTr="0093773C">
        <w:tc>
          <w:tcPr>
            <w:tcW w:w="2907" w:type="dxa"/>
          </w:tcPr>
          <w:p w:rsidR="007C29D8" w:rsidRPr="00487162" w:rsidRDefault="007C29D8" w:rsidP="0093773C">
            <w:pPr>
              <w:rPr>
                <w:i/>
              </w:rPr>
            </w:pPr>
            <w:r>
              <w:rPr>
                <w:i/>
              </w:rPr>
              <w:t>Route</w:t>
            </w:r>
            <w:r w:rsidRPr="00487162">
              <w:rPr>
                <w:i/>
              </w:rPr>
              <w:t xml:space="preserve"> of administration:</w:t>
            </w:r>
          </w:p>
        </w:tc>
        <w:tc>
          <w:tcPr>
            <w:tcW w:w="6307" w:type="dxa"/>
          </w:tcPr>
          <w:p w:rsidR="007C29D8" w:rsidRDefault="007C29D8" w:rsidP="0093773C">
            <w:r>
              <w:t>Extracorporeal circulation via photopheresis</w:t>
            </w:r>
          </w:p>
        </w:tc>
      </w:tr>
      <w:tr w:rsidR="007C29D8" w:rsidTr="0093773C">
        <w:tc>
          <w:tcPr>
            <w:tcW w:w="2907" w:type="dxa"/>
          </w:tcPr>
          <w:p w:rsidR="007C29D8" w:rsidRPr="00487162" w:rsidRDefault="007C29D8" w:rsidP="0093773C">
            <w:pPr>
              <w:rPr>
                <w:i/>
              </w:rPr>
            </w:pPr>
            <w:r w:rsidRPr="00487162">
              <w:rPr>
                <w:i/>
              </w:rPr>
              <w:t>Dosage:</w:t>
            </w:r>
          </w:p>
        </w:tc>
        <w:tc>
          <w:tcPr>
            <w:tcW w:w="6307" w:type="dxa"/>
          </w:tcPr>
          <w:p w:rsidR="007C29D8" w:rsidRDefault="007C29D8" w:rsidP="0093773C">
            <w:r>
              <w:t>Three extracorporeal photopheresis (ECP) treatments in the first week then two ECP treatments per week for at least 12 weeks, or as clinically indicated.</w:t>
            </w:r>
          </w:p>
          <w:p w:rsidR="007C29D8" w:rsidRDefault="007C29D8" w:rsidP="0093773C">
            <w:r>
              <w:t>For further information refer to the Product Information (PI).</w:t>
            </w:r>
          </w:p>
        </w:tc>
      </w:tr>
    </w:tbl>
    <w:p w:rsidR="008E7846" w:rsidRDefault="008E7846" w:rsidP="008E7846"/>
    <w:p w:rsidR="007C29D8" w:rsidRDefault="007C29D8" w:rsidP="00320081">
      <w:pPr>
        <w:pStyle w:val="Heading3"/>
      </w:pPr>
      <w:bookmarkStart w:id="12" w:name="_Toc24621764"/>
      <w:bookmarkStart w:id="13" w:name="_Toc24622258"/>
      <w:bookmarkStart w:id="14" w:name="_Toc504480011"/>
      <w:bookmarkStart w:id="15" w:name="_Toc247691506"/>
      <w:bookmarkStart w:id="16" w:name="_Toc314842487"/>
      <w:r>
        <w:lastRenderedPageBreak/>
        <w:t>Product background</w:t>
      </w:r>
      <w:bookmarkEnd w:id="12"/>
      <w:bookmarkEnd w:id="13"/>
    </w:p>
    <w:p w:rsidR="007C29D8" w:rsidRDefault="007C29D8" w:rsidP="007C29D8">
      <w:pPr>
        <w:keepNext/>
      </w:pPr>
      <w:bookmarkStart w:id="17" w:name="_Toc314842485"/>
      <w:bookmarkStart w:id="18" w:name="_Toc247691504"/>
      <w:r w:rsidRPr="00940A89">
        <w:t>This AusPAR describes</w:t>
      </w:r>
      <w:r>
        <w:t xml:space="preserve"> the application by Terumo BCT Australia (the sponsor) </w:t>
      </w:r>
      <w:r w:rsidRPr="00940A89">
        <w:t xml:space="preserve">to register </w:t>
      </w:r>
      <w:r>
        <w:t>methoxsalen as Uvadex for the following proposed indication:</w:t>
      </w:r>
    </w:p>
    <w:p w:rsidR="007C29D8" w:rsidRPr="008231CA" w:rsidRDefault="007C29D8" w:rsidP="007C29D8">
      <w:pPr>
        <w:ind w:left="720"/>
        <w:rPr>
          <w:i/>
        </w:rPr>
      </w:pPr>
      <w:r w:rsidRPr="008231CA">
        <w:rPr>
          <w:i/>
        </w:rPr>
        <w:t>Uvadex (methoxsalen) is indicated for extracorporeal administration with the Therakos Cellex Photopheresis System for the treatment of steroid-refractory graft versus host disease (GVHD) following allogeneic HSC transplantation.</w:t>
      </w:r>
    </w:p>
    <w:p w:rsidR="007C29D8" w:rsidRDefault="007C29D8" w:rsidP="00320081">
      <w:r w:rsidRPr="00DE34CB">
        <w:t>Allogeneic haematopoietic stem cell transplantation (HSCT) is an established treatment for several haematological disorders</w:t>
      </w:r>
      <w:r>
        <w:t>.</w:t>
      </w:r>
      <w:r w:rsidRPr="00DE34CB">
        <w:t xml:space="preserve"> </w:t>
      </w:r>
      <w:r>
        <w:rPr>
          <w:lang w:eastAsia="ja-JP"/>
        </w:rPr>
        <w:t>Graft versus host disease</w:t>
      </w:r>
      <w:r>
        <w:t xml:space="preserve"> (GvHD)</w:t>
      </w:r>
      <w:r w:rsidRPr="00DE34CB">
        <w:t xml:space="preserve"> is a common complication of allogeneic HSCT, in which donor T lymphocytes included in the graft recognise the recipient’s tissues as being foreign.</w:t>
      </w:r>
      <w:r>
        <w:t xml:space="preserve"> </w:t>
      </w:r>
      <w:r>
        <w:rPr>
          <w:lang w:eastAsia="ja-JP"/>
        </w:rPr>
        <w:t>GvHD presents in two clinical forms; acute GvHD or chronic GvHD.</w:t>
      </w:r>
      <w:r>
        <w:t xml:space="preserve"> Acute GvHD</w:t>
      </w:r>
      <w:r w:rsidRPr="00247A58">
        <w:t xml:space="preserve"> generally presents within the first 3 months following transplantation with symptoms and signs involving </w:t>
      </w:r>
      <w:r>
        <w:t xml:space="preserve">the skin, gastrointestinal tract (GIT) and liver body systems. </w:t>
      </w:r>
      <w:r w:rsidRPr="00247A58">
        <w:t>Approximately 30</w:t>
      </w:r>
      <w:r>
        <w:t xml:space="preserve"> to </w:t>
      </w:r>
      <w:r w:rsidRPr="00247A58">
        <w:t>50% of subjects undergoing allogeneic HSC</w:t>
      </w:r>
      <w:r>
        <w:t>T experience acute GvHD. Chronic GvHD</w:t>
      </w:r>
      <w:r w:rsidRPr="00247A58">
        <w:t xml:space="preserve"> usually presents 3</w:t>
      </w:r>
      <w:r>
        <w:t xml:space="preserve"> to </w:t>
      </w:r>
      <w:r w:rsidRPr="00247A58">
        <w:t>12 months after transplantation. Signs and symptoms can incl</w:t>
      </w:r>
      <w:r>
        <w:t>ude those associated with acute GvHD</w:t>
      </w:r>
      <w:r w:rsidRPr="00247A58">
        <w:t xml:space="preserve"> but the disease process may involve any other organ system. Approximately 30</w:t>
      </w:r>
      <w:r>
        <w:t xml:space="preserve"> to </w:t>
      </w:r>
      <w:r w:rsidRPr="00247A58">
        <w:t>70% of subjects undergoing all</w:t>
      </w:r>
      <w:r>
        <w:t>ogeneic HSCT experience chronic GvHD.</w:t>
      </w:r>
    </w:p>
    <w:p w:rsidR="007C29D8" w:rsidRDefault="007C29D8" w:rsidP="007C29D8">
      <w:r>
        <w:rPr>
          <w:lang w:eastAsia="ja-JP"/>
        </w:rPr>
        <w:t>Corticosteroids are the standard first-line treatment of acute and chronic GvHD, however treatment of steroid-refractory or steroid-resistant disease poses a challenge.</w:t>
      </w:r>
      <w:r>
        <w:t xml:space="preserve"> In acute GvHD s</w:t>
      </w:r>
      <w:r w:rsidRPr="00247A58">
        <w:t>teroid resistance or refractoriness has been defined</w:t>
      </w:r>
      <w:r>
        <w:t xml:space="preserve"> as:</w:t>
      </w:r>
    </w:p>
    <w:p w:rsidR="007C29D8" w:rsidRPr="0093773C" w:rsidRDefault="007C29D8" w:rsidP="00320081">
      <w:pPr>
        <w:pStyle w:val="ListBullet"/>
      </w:pPr>
      <w:r w:rsidRPr="0093773C">
        <w:t>Progression of acute GvHD within 3 to 5 days of therapy onset with ≥ 2 mg/kg/day of prednisone; or</w:t>
      </w:r>
    </w:p>
    <w:p w:rsidR="007C29D8" w:rsidRPr="0093773C" w:rsidRDefault="007C29D8" w:rsidP="0093773C">
      <w:pPr>
        <w:pStyle w:val="ListBullet"/>
      </w:pPr>
      <w:r w:rsidRPr="0093773C">
        <w:t>Failure to improve within 5 to 7 days of treatment initiation; or</w:t>
      </w:r>
    </w:p>
    <w:p w:rsidR="007C29D8" w:rsidRPr="0093773C" w:rsidRDefault="007C29D8" w:rsidP="0093773C">
      <w:pPr>
        <w:pStyle w:val="ListBullet"/>
      </w:pPr>
      <w:r w:rsidRPr="0093773C">
        <w:t>Incomplete response after more than 28 days of immunosuppressive treatment including steroids.</w:t>
      </w:r>
    </w:p>
    <w:p w:rsidR="007C29D8" w:rsidRDefault="007C29D8" w:rsidP="00320081">
      <w:r w:rsidRPr="00247A58">
        <w:t>There are no established s</w:t>
      </w:r>
      <w:r>
        <w:t>econd-line treatments for acute GvHD</w:t>
      </w:r>
      <w:r w:rsidRPr="00247A58">
        <w:t>. Multiple therapies have been studied</w:t>
      </w:r>
      <w:r>
        <w:t xml:space="preserve">. </w:t>
      </w:r>
      <w:r>
        <w:rPr>
          <w:lang w:eastAsia="ja-JP"/>
        </w:rPr>
        <w:t xml:space="preserve">Agents currently used after failure of steroids include </w:t>
      </w:r>
      <w:r>
        <w:t>extracorporeal photopheresis (ECP)</w:t>
      </w:r>
      <w:r>
        <w:rPr>
          <w:lang w:eastAsia="ja-JP"/>
        </w:rPr>
        <w:t>, anti-tumour necrosis factor (TNF) agents such as infliximab and etanercept, sirolimus, mycophenolate and interleukin-2 receptor antagonists (for example, basiliximab and denileukin diftitox).</w:t>
      </w:r>
    </w:p>
    <w:p w:rsidR="007C29D8" w:rsidRDefault="007C29D8" w:rsidP="007C29D8">
      <w:r w:rsidRPr="002E21F0">
        <w:t xml:space="preserve">In </w:t>
      </w:r>
      <w:r>
        <w:t>chronic GvHD,</w:t>
      </w:r>
      <w:r w:rsidRPr="002E21F0">
        <w:t xml:space="preserve"> steroid resistance or refractoriness has been defined as</w:t>
      </w:r>
      <w:r>
        <w:t>:</w:t>
      </w:r>
    </w:p>
    <w:p w:rsidR="007C29D8" w:rsidRPr="0093773C" w:rsidRDefault="007C29D8" w:rsidP="0093773C">
      <w:pPr>
        <w:pStyle w:val="ListBullet"/>
      </w:pPr>
      <w:r w:rsidRPr="0093773C">
        <w:t>Chronic GvHD progression while on prednisone at ≥ 1 mg/kg/day for 1 to 2 weeks; or</w:t>
      </w:r>
    </w:p>
    <w:p w:rsidR="007C29D8" w:rsidRPr="0093773C" w:rsidRDefault="007C29D8" w:rsidP="0093773C">
      <w:pPr>
        <w:pStyle w:val="ListBullet"/>
      </w:pPr>
      <w:r w:rsidRPr="0093773C">
        <w:t>Incomplete response after more than 28 days of immunosuppressive treatment including steroids.</w:t>
      </w:r>
    </w:p>
    <w:p w:rsidR="007C29D8" w:rsidRDefault="007C29D8" w:rsidP="007C29D8">
      <w:r w:rsidRPr="0003741F">
        <w:t xml:space="preserve">In August 2017 the </w:t>
      </w:r>
      <w:r>
        <w:t xml:space="preserve">US </w:t>
      </w:r>
      <w:r w:rsidRPr="00376CB1">
        <w:t xml:space="preserve">Food and Drug Administration </w:t>
      </w:r>
      <w:r>
        <w:t>(</w:t>
      </w:r>
      <w:r w:rsidRPr="0003741F">
        <w:t>FDA</w:t>
      </w:r>
      <w:r>
        <w:t>)</w:t>
      </w:r>
      <w:r w:rsidRPr="0003741F">
        <w:t xml:space="preserve"> approved ibrutinib for the treatment</w:t>
      </w:r>
      <w:r>
        <w:t xml:space="preserve"> of adult patients with chronic GvHD</w:t>
      </w:r>
      <w:r w:rsidRPr="0003741F">
        <w:t xml:space="preserve"> after the failure of one or more treatments. Apart from ibrutinib there are no other established second</w:t>
      </w:r>
      <w:r>
        <w:t xml:space="preserve"> line therapies for chronic GvHD</w:t>
      </w:r>
      <w:r w:rsidRPr="0003741F">
        <w:t>.</w:t>
      </w:r>
    </w:p>
    <w:p w:rsidR="007C29D8" w:rsidRPr="00E46DF1" w:rsidRDefault="007C29D8" w:rsidP="007C29D8">
      <w:r w:rsidRPr="00CB0E6C">
        <w:t xml:space="preserve">Methoxsalen is a naturally occurring photoactive substance found in the seeds of the </w:t>
      </w:r>
      <w:r w:rsidRPr="009C638A">
        <w:rPr>
          <w:i/>
        </w:rPr>
        <w:t>Ammi</w:t>
      </w:r>
      <w:r>
        <w:rPr>
          <w:i/>
        </w:rPr>
        <w:t> </w:t>
      </w:r>
      <w:r w:rsidRPr="009C638A">
        <w:rPr>
          <w:i/>
        </w:rPr>
        <w:t>majus</w:t>
      </w:r>
      <w:r w:rsidRPr="00CB0E6C">
        <w:t xml:space="preserve"> </w:t>
      </w:r>
      <w:r>
        <w:t>plant of the Apiaceae family</w:t>
      </w:r>
      <w:r w:rsidRPr="00CB0E6C">
        <w:t>.</w:t>
      </w:r>
      <w:r>
        <w:t xml:space="preserve"> </w:t>
      </w:r>
      <w:r w:rsidRPr="00E46DF1">
        <w:t xml:space="preserve">Although ECP with methoxsalen has been used clinically for many years, knowledge regarding the full mechanism underlying ECP has not been fully elucidated. It is generally accepted that the molecular processes which lead to </w:t>
      </w:r>
      <w:r w:rsidRPr="0027281C">
        <w:t>apoptotic cell death involve the intercalating of methoxsalen into the double-stranded deoxyribonucleic acid (DNA) molecule within the nucleus. On activation by exposure to ultraviolet A (UVA) light, methoxsalen binds to the pyrimidine bases of the nucleic acid (thymine,</w:t>
      </w:r>
      <w:r w:rsidRPr="00E46DF1">
        <w:t xml:space="preserve"> cytosine and uracil) and forms covalent cross-links between the two DNA strands. The formation of these photoadducts results in the proliferative arrest and death of lymphocytes. In addition, studies have demonstrated that photopheresis may result in </w:t>
      </w:r>
      <w:r w:rsidRPr="00E46DF1">
        <w:lastRenderedPageBreak/>
        <w:t>the induction of an autoregulatory host response which recogni</w:t>
      </w:r>
      <w:r>
        <w:t>s</w:t>
      </w:r>
      <w:r w:rsidRPr="00E46DF1">
        <w:t>es and specifically suppresses photo-treated effector T-cell populations.</w:t>
      </w:r>
    </w:p>
    <w:p w:rsidR="007C29D8" w:rsidRPr="003F31A2" w:rsidRDefault="007C29D8" w:rsidP="007C29D8">
      <w:pPr>
        <w:pStyle w:val="Heading3"/>
      </w:pPr>
      <w:bookmarkStart w:id="19" w:name="_Toc24621765"/>
      <w:bookmarkStart w:id="20" w:name="_Toc24622259"/>
      <w:r>
        <w:t>Regulatory status</w:t>
      </w:r>
      <w:bookmarkEnd w:id="17"/>
      <w:bookmarkEnd w:id="18"/>
      <w:bookmarkEnd w:id="19"/>
      <w:bookmarkEnd w:id="20"/>
    </w:p>
    <w:p w:rsidR="007C29D8" w:rsidRDefault="007C29D8" w:rsidP="007C29D8">
      <w:bookmarkStart w:id="21" w:name="_Toc247691505"/>
      <w:bookmarkStart w:id="22" w:name="_Toc314842486"/>
      <w:r>
        <w:t>Uvadex was granted Orphan D</w:t>
      </w:r>
      <w:r w:rsidRPr="00DE34CB">
        <w:t>rug designation by the TGA on 19 June 2018. The indication for which the desi</w:t>
      </w:r>
      <w:r>
        <w:t>gnation was granted was for the:</w:t>
      </w:r>
    </w:p>
    <w:p w:rsidR="007C29D8" w:rsidRPr="00875C9B" w:rsidRDefault="007C29D8" w:rsidP="007C29D8">
      <w:pPr>
        <w:ind w:left="720"/>
        <w:rPr>
          <w:i/>
        </w:rPr>
      </w:pPr>
      <w:r w:rsidRPr="00875C9B">
        <w:rPr>
          <w:i/>
        </w:rPr>
        <w:t>Treatment of Graft versus Host Disease (GvHD) following allogeneic Hematopoietic Stem Cell (HSC) transplantation.</w:t>
      </w:r>
    </w:p>
    <w:p w:rsidR="007C29D8" w:rsidRPr="00DE34CB" w:rsidRDefault="007C29D8" w:rsidP="007C29D8">
      <w:r>
        <w:t xml:space="preserve">Uvadex is considered a new chemical entity for regulatory purposes in Australia. </w:t>
      </w:r>
      <w:r w:rsidRPr="00DE34CB">
        <w:t xml:space="preserve">At the time of lodgement of the current submission with the TGA (August 2018), no registration applications for the proposed indication of </w:t>
      </w:r>
      <w:r>
        <w:t>GvHD</w:t>
      </w:r>
      <w:r w:rsidRPr="00DE34CB">
        <w:t xml:space="preserve"> had been submitted in foreign jurisdictions.</w:t>
      </w:r>
    </w:p>
    <w:p w:rsidR="007C29D8" w:rsidRDefault="007C29D8" w:rsidP="007C29D8">
      <w:r w:rsidRPr="00DE34CB">
        <w:t xml:space="preserve">The product has </w:t>
      </w:r>
      <w:r w:rsidRPr="005D1037">
        <w:t>been approved in multiple foreig</w:t>
      </w:r>
      <w:r>
        <w:t>n markets for the treatment of c</w:t>
      </w:r>
      <w:r w:rsidRPr="005D1037">
        <w:t>utaneou</w:t>
      </w:r>
      <w:r>
        <w:t>s T cell l</w:t>
      </w:r>
      <w:r w:rsidRPr="005D1037">
        <w:t>ymphoma (CTCL), including the United States (February 1999), Canada (May 2013), Sweden (February</w:t>
      </w:r>
      <w:r w:rsidRPr="00DE34CB">
        <w:t xml:space="preserve"> 2010) and the United Kingdom (April 2000). Approvals in European counties were via the Mutual Recognition Procedure (MRP) and not a centralised approval through the European Medicines Agency (EMA).</w:t>
      </w:r>
    </w:p>
    <w:p w:rsidR="007C29D8" w:rsidRDefault="007C29D8" w:rsidP="007C29D8">
      <w:pPr>
        <w:pStyle w:val="Heading3"/>
      </w:pPr>
      <w:bookmarkStart w:id="23" w:name="_Toc24621766"/>
      <w:bookmarkStart w:id="24" w:name="_Toc24622260"/>
      <w:r>
        <w:t>Product Information</w:t>
      </w:r>
      <w:bookmarkEnd w:id="21"/>
      <w:bookmarkEnd w:id="22"/>
      <w:bookmarkEnd w:id="23"/>
      <w:bookmarkEnd w:id="24"/>
    </w:p>
    <w:p w:rsidR="007C29D8" w:rsidRDefault="007C29D8" w:rsidP="007C29D8">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&lt;</w:t>
      </w:r>
      <w:hyperlink r:id="rId13" w:history="1">
        <w:r w:rsidRPr="00441C3F">
          <w:rPr>
            <w:rStyle w:val="Hyperlink"/>
          </w:rPr>
          <w:t>https://www.tga.gov.au/product-information-pi</w:t>
        </w:r>
      </w:hyperlink>
      <w:r>
        <w:t>&gt;</w:t>
      </w:r>
      <w:r w:rsidRPr="00940A89">
        <w:t>.</w:t>
      </w:r>
    </w:p>
    <w:p w:rsidR="007C29D8" w:rsidRDefault="007C29D8" w:rsidP="003F3EAB">
      <w:pPr>
        <w:pStyle w:val="Heading2"/>
      </w:pPr>
      <w:bookmarkStart w:id="25" w:name="_Toc24621767"/>
      <w:bookmarkStart w:id="26" w:name="_Toc24622261"/>
      <w:r>
        <w:t>II. Registration timeline</w:t>
      </w:r>
      <w:bookmarkEnd w:id="25"/>
      <w:bookmarkEnd w:id="26"/>
    </w:p>
    <w:p w:rsidR="007C29D8" w:rsidRDefault="007C29D8" w:rsidP="007C29D8">
      <w:r>
        <w:fldChar w:fldCharType="begin"/>
      </w:r>
      <w:r>
        <w:instrText xml:space="preserve"> REF _Ref21600677 \h </w:instrText>
      </w:r>
      <w:r>
        <w:fldChar w:fldCharType="separate"/>
      </w:r>
      <w:r>
        <w:t xml:space="preserve">Table </w:t>
      </w:r>
      <w:r>
        <w:rPr>
          <w:noProof/>
        </w:rPr>
        <w:t>1</w:t>
      </w:r>
      <w:r>
        <w:fldChar w:fldCharType="end"/>
      </w:r>
      <w:r>
        <w:t xml:space="preserve"> captures the key steps and dates for this application and which are detailed and discussed in this AusPAR.</w:t>
      </w:r>
    </w:p>
    <w:p w:rsidR="007C29D8" w:rsidRPr="00377BD4" w:rsidRDefault="007C29D8" w:rsidP="003F3EAB">
      <w:pPr>
        <w:pStyle w:val="TableTitle"/>
      </w:pPr>
      <w:bookmarkStart w:id="27" w:name="_Ref21600677"/>
      <w:r>
        <w:t xml:space="preserve">Table </w:t>
      </w:r>
      <w:r w:rsidR="00F75949">
        <w:fldChar w:fldCharType="begin"/>
      </w:r>
      <w:r w:rsidR="00F75949">
        <w:instrText xml:space="preserve"> SEQ Table \* ARABIC </w:instrText>
      </w:r>
      <w:r w:rsidR="00F75949">
        <w:fldChar w:fldCharType="separate"/>
      </w:r>
      <w:r>
        <w:rPr>
          <w:noProof/>
        </w:rPr>
        <w:t>1</w:t>
      </w:r>
      <w:r w:rsidR="00F75949">
        <w:rPr>
          <w:noProof/>
        </w:rPr>
        <w:fldChar w:fldCharType="end"/>
      </w:r>
      <w:bookmarkEnd w:id="27"/>
      <w:r>
        <w:t xml:space="preserve">: </w:t>
      </w:r>
      <w:r w:rsidRPr="006A58A8">
        <w:t>Timeline for Submission PM-201</w:t>
      </w:r>
      <w:r>
        <w:t>8</w:t>
      </w:r>
      <w:r w:rsidRPr="006A58A8">
        <w:t>-</w:t>
      </w:r>
      <w:r>
        <w:t>03515</w:t>
      </w:r>
      <w:r w:rsidRPr="006A58A8">
        <w:t>-1-</w:t>
      </w:r>
      <w:r>
        <w:t>2</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60"/>
        <w:gridCol w:w="4360"/>
      </w:tblGrid>
      <w:tr w:rsidR="007C29D8" w:rsidTr="0093773C">
        <w:trPr>
          <w:cantSplit/>
          <w:tblHeader/>
        </w:trPr>
        <w:tc>
          <w:tcPr>
            <w:tcW w:w="4360" w:type="dxa"/>
            <w:tcBorders>
              <w:top w:val="single" w:sz="8" w:space="0" w:color="000000"/>
              <w:left w:val="single" w:sz="8" w:space="0" w:color="000000"/>
              <w:bottom w:val="single" w:sz="8" w:space="0" w:color="000000"/>
              <w:right w:val="nil"/>
              <w:tl2br w:val="nil"/>
              <w:tr2bl w:val="nil"/>
            </w:tcBorders>
            <w:shd w:val="clear" w:color="auto" w:fill="006DA7"/>
          </w:tcPr>
          <w:p w:rsidR="007C29D8" w:rsidRPr="005C7942" w:rsidRDefault="007C29D8" w:rsidP="0093773C">
            <w:pPr>
              <w:keepNext/>
              <w:rPr>
                <w:b/>
                <w:color w:val="FFFFFF"/>
                <w:szCs w:val="21"/>
                <w:lang w:eastAsia="en-AU"/>
              </w:rPr>
            </w:pPr>
            <w:r w:rsidRPr="005C7942">
              <w:rPr>
                <w:b/>
                <w:color w:val="FFFFFF"/>
                <w:szCs w:val="21"/>
                <w:lang w:eastAsia="en-AU"/>
              </w:rPr>
              <w:t>Description</w:t>
            </w:r>
          </w:p>
        </w:tc>
        <w:tc>
          <w:tcPr>
            <w:tcW w:w="4360" w:type="dxa"/>
            <w:tcBorders>
              <w:top w:val="single" w:sz="8" w:space="0" w:color="000000"/>
              <w:left w:val="nil"/>
              <w:bottom w:val="single" w:sz="8" w:space="0" w:color="000000"/>
              <w:right w:val="single" w:sz="8" w:space="0" w:color="000000"/>
              <w:tl2br w:val="nil"/>
              <w:tr2bl w:val="nil"/>
            </w:tcBorders>
            <w:shd w:val="clear" w:color="auto" w:fill="006DA7"/>
          </w:tcPr>
          <w:p w:rsidR="007C29D8" w:rsidRPr="005C7942" w:rsidRDefault="007C29D8" w:rsidP="0093773C">
            <w:pPr>
              <w:keepNext/>
              <w:rPr>
                <w:b/>
                <w:color w:val="FFFFFF"/>
                <w:szCs w:val="21"/>
                <w:lang w:eastAsia="en-AU"/>
              </w:rPr>
            </w:pPr>
            <w:r w:rsidRPr="005C7942">
              <w:rPr>
                <w:b/>
                <w:color w:val="FFFFFF"/>
                <w:szCs w:val="21"/>
                <w:lang w:eastAsia="en-AU"/>
              </w:rPr>
              <w:t>Date</w:t>
            </w:r>
          </w:p>
        </w:tc>
      </w:tr>
      <w:tr w:rsidR="007C29D8" w:rsidTr="0093773C">
        <w:tc>
          <w:tcPr>
            <w:tcW w:w="4360" w:type="dxa"/>
            <w:shd w:val="clear" w:color="auto" w:fill="auto"/>
          </w:tcPr>
          <w:p w:rsidR="007C29D8" w:rsidRPr="005C7942" w:rsidRDefault="007C29D8" w:rsidP="0093773C">
            <w:pPr>
              <w:rPr>
                <w:color w:val="000000"/>
                <w:szCs w:val="21"/>
                <w:lang w:eastAsia="en-AU"/>
              </w:rPr>
            </w:pPr>
            <w:r w:rsidRPr="005C7942">
              <w:rPr>
                <w:color w:val="000000"/>
                <w:szCs w:val="21"/>
                <w:lang w:eastAsia="en-AU"/>
              </w:rPr>
              <w:t>Submission dossier accepted and first round evaluation commenced</w:t>
            </w:r>
          </w:p>
        </w:tc>
        <w:tc>
          <w:tcPr>
            <w:tcW w:w="436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28 September 2018</w:t>
            </w:r>
          </w:p>
        </w:tc>
      </w:tr>
      <w:tr w:rsidR="007C29D8" w:rsidTr="0093773C">
        <w:tc>
          <w:tcPr>
            <w:tcW w:w="4360" w:type="dxa"/>
            <w:shd w:val="clear" w:color="auto" w:fill="auto"/>
          </w:tcPr>
          <w:p w:rsidR="007C29D8" w:rsidRPr="005C7942" w:rsidRDefault="007C29D8" w:rsidP="0093773C">
            <w:pPr>
              <w:rPr>
                <w:color w:val="000000"/>
                <w:szCs w:val="21"/>
                <w:lang w:eastAsia="en-AU"/>
              </w:rPr>
            </w:pPr>
            <w:r w:rsidRPr="005C7942">
              <w:rPr>
                <w:color w:val="000000"/>
                <w:szCs w:val="21"/>
                <w:lang w:eastAsia="en-AU"/>
              </w:rPr>
              <w:t>First round evaluation completed</w:t>
            </w:r>
          </w:p>
        </w:tc>
        <w:tc>
          <w:tcPr>
            <w:tcW w:w="436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1 March 2019</w:t>
            </w:r>
          </w:p>
        </w:tc>
      </w:tr>
      <w:tr w:rsidR="007C29D8" w:rsidTr="0093773C">
        <w:tc>
          <w:tcPr>
            <w:tcW w:w="4360" w:type="dxa"/>
            <w:shd w:val="clear" w:color="auto" w:fill="auto"/>
          </w:tcPr>
          <w:p w:rsidR="007C29D8" w:rsidRPr="005C7942" w:rsidRDefault="007C29D8" w:rsidP="0093773C">
            <w:pPr>
              <w:rPr>
                <w:color w:val="000000"/>
                <w:szCs w:val="21"/>
                <w:lang w:eastAsia="en-AU"/>
              </w:rPr>
            </w:pPr>
            <w:r w:rsidRPr="005C7942">
              <w:rPr>
                <w:color w:val="000000"/>
                <w:szCs w:val="21"/>
                <w:lang w:eastAsia="en-AU"/>
              </w:rPr>
              <w:t>Sponsor provides responses on questions raised in first round evaluation</w:t>
            </w:r>
          </w:p>
        </w:tc>
        <w:tc>
          <w:tcPr>
            <w:tcW w:w="436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6 May 2019</w:t>
            </w:r>
          </w:p>
        </w:tc>
      </w:tr>
      <w:tr w:rsidR="007C29D8" w:rsidTr="0093773C">
        <w:tc>
          <w:tcPr>
            <w:tcW w:w="4360" w:type="dxa"/>
            <w:shd w:val="clear" w:color="auto" w:fill="auto"/>
          </w:tcPr>
          <w:p w:rsidR="007C29D8" w:rsidRPr="005C7942" w:rsidRDefault="007C29D8" w:rsidP="0093773C">
            <w:pPr>
              <w:rPr>
                <w:color w:val="000000"/>
                <w:szCs w:val="21"/>
                <w:lang w:eastAsia="en-AU"/>
              </w:rPr>
            </w:pPr>
            <w:r w:rsidRPr="005C7942">
              <w:rPr>
                <w:color w:val="000000"/>
                <w:szCs w:val="21"/>
                <w:lang w:eastAsia="en-AU"/>
              </w:rPr>
              <w:t>Second round evaluation completed</w:t>
            </w:r>
          </w:p>
        </w:tc>
        <w:tc>
          <w:tcPr>
            <w:tcW w:w="436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20 June 2019</w:t>
            </w:r>
          </w:p>
        </w:tc>
      </w:tr>
      <w:tr w:rsidR="007C29D8" w:rsidTr="0093773C">
        <w:tc>
          <w:tcPr>
            <w:tcW w:w="4360" w:type="dxa"/>
            <w:shd w:val="clear" w:color="auto" w:fill="auto"/>
          </w:tcPr>
          <w:p w:rsidR="007C29D8" w:rsidRPr="005C7942" w:rsidRDefault="007C29D8" w:rsidP="0093773C">
            <w:pPr>
              <w:rPr>
                <w:color w:val="000000"/>
                <w:szCs w:val="21"/>
                <w:lang w:eastAsia="en-AU"/>
              </w:rPr>
            </w:pPr>
            <w:r w:rsidRPr="005C7942">
              <w:rPr>
                <w:color w:val="000000"/>
                <w:szCs w:val="21"/>
                <w:lang w:eastAsia="en-AU"/>
              </w:rPr>
              <w:t>Delegate’s Overall benefit-risk assessment and request for Advisory Committee advice</w:t>
            </w:r>
          </w:p>
        </w:tc>
        <w:tc>
          <w:tcPr>
            <w:tcW w:w="436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2 July 2019</w:t>
            </w:r>
          </w:p>
        </w:tc>
      </w:tr>
      <w:tr w:rsidR="007C29D8" w:rsidTr="0093773C">
        <w:tc>
          <w:tcPr>
            <w:tcW w:w="4360" w:type="dxa"/>
            <w:shd w:val="clear" w:color="auto" w:fill="auto"/>
          </w:tcPr>
          <w:p w:rsidR="007C29D8" w:rsidRPr="005C7942" w:rsidRDefault="007C29D8" w:rsidP="0093773C">
            <w:pPr>
              <w:rPr>
                <w:color w:val="000000"/>
                <w:szCs w:val="21"/>
                <w:lang w:eastAsia="en-AU"/>
              </w:rPr>
            </w:pPr>
            <w:r w:rsidRPr="005C7942">
              <w:rPr>
                <w:color w:val="000000"/>
                <w:szCs w:val="21"/>
                <w:lang w:eastAsia="en-AU"/>
              </w:rPr>
              <w:t>Sponsor’s pre-Advisory Committee response</w:t>
            </w:r>
          </w:p>
        </w:tc>
        <w:tc>
          <w:tcPr>
            <w:tcW w:w="436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15 July 2019</w:t>
            </w:r>
          </w:p>
        </w:tc>
      </w:tr>
      <w:tr w:rsidR="007C29D8" w:rsidTr="0093773C">
        <w:tc>
          <w:tcPr>
            <w:tcW w:w="4360" w:type="dxa"/>
            <w:shd w:val="clear" w:color="auto" w:fill="auto"/>
          </w:tcPr>
          <w:p w:rsidR="007C29D8" w:rsidRPr="005C7942" w:rsidRDefault="007C29D8" w:rsidP="0093773C">
            <w:pPr>
              <w:rPr>
                <w:color w:val="000000"/>
                <w:szCs w:val="21"/>
                <w:lang w:eastAsia="en-AU"/>
              </w:rPr>
            </w:pPr>
            <w:r w:rsidRPr="005C7942">
              <w:rPr>
                <w:color w:val="000000"/>
                <w:szCs w:val="21"/>
                <w:lang w:eastAsia="en-AU"/>
              </w:rPr>
              <w:t>Advisory Committee meeting</w:t>
            </w:r>
          </w:p>
        </w:tc>
        <w:tc>
          <w:tcPr>
            <w:tcW w:w="436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1-2 August 2019</w:t>
            </w:r>
          </w:p>
        </w:tc>
      </w:tr>
      <w:tr w:rsidR="007C29D8" w:rsidTr="0093773C">
        <w:tc>
          <w:tcPr>
            <w:tcW w:w="4360" w:type="dxa"/>
            <w:shd w:val="clear" w:color="auto" w:fill="auto"/>
          </w:tcPr>
          <w:p w:rsidR="007C29D8" w:rsidRPr="005C7942" w:rsidRDefault="007C29D8" w:rsidP="0093773C">
            <w:pPr>
              <w:rPr>
                <w:color w:val="000000"/>
                <w:szCs w:val="21"/>
                <w:lang w:eastAsia="en-AU"/>
              </w:rPr>
            </w:pPr>
            <w:r w:rsidRPr="005C7942">
              <w:rPr>
                <w:color w:val="000000"/>
                <w:szCs w:val="21"/>
                <w:lang w:eastAsia="en-AU"/>
              </w:rPr>
              <w:lastRenderedPageBreak/>
              <w:t>Registration decision (Outcome)</w:t>
            </w:r>
          </w:p>
        </w:tc>
        <w:tc>
          <w:tcPr>
            <w:tcW w:w="436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13 September 2019</w:t>
            </w:r>
          </w:p>
        </w:tc>
      </w:tr>
      <w:tr w:rsidR="007C29D8" w:rsidTr="0093773C">
        <w:tc>
          <w:tcPr>
            <w:tcW w:w="4360" w:type="dxa"/>
            <w:shd w:val="clear" w:color="auto" w:fill="auto"/>
          </w:tcPr>
          <w:p w:rsidR="007C29D8" w:rsidRPr="005C7942" w:rsidRDefault="007C29D8" w:rsidP="0093773C">
            <w:pPr>
              <w:rPr>
                <w:color w:val="000000"/>
                <w:szCs w:val="21"/>
                <w:lang w:eastAsia="en-AU"/>
              </w:rPr>
            </w:pPr>
            <w:r w:rsidRPr="005C7942">
              <w:rPr>
                <w:color w:val="000000"/>
                <w:szCs w:val="21"/>
                <w:lang w:eastAsia="en-AU"/>
              </w:rPr>
              <w:t>Completion of administrative activities and registration on ARTG</w:t>
            </w:r>
          </w:p>
        </w:tc>
        <w:tc>
          <w:tcPr>
            <w:tcW w:w="4360" w:type="dxa"/>
            <w:shd w:val="clear" w:color="auto" w:fill="auto"/>
          </w:tcPr>
          <w:p w:rsidR="007C29D8" w:rsidRPr="005C7942" w:rsidRDefault="007C29D8" w:rsidP="0093773C">
            <w:pPr>
              <w:ind w:left="170" w:right="170"/>
              <w:rPr>
                <w:color w:val="773CBB"/>
                <w:szCs w:val="21"/>
                <w:lang w:eastAsia="en-AU"/>
              </w:rPr>
            </w:pPr>
            <w:r w:rsidRPr="005C7942">
              <w:rPr>
                <w:szCs w:val="21"/>
                <w:lang w:eastAsia="en-AU"/>
              </w:rPr>
              <w:t>16 September 2019</w:t>
            </w:r>
          </w:p>
        </w:tc>
      </w:tr>
      <w:tr w:rsidR="007C29D8" w:rsidTr="0093773C">
        <w:tc>
          <w:tcPr>
            <w:tcW w:w="4360" w:type="dxa"/>
            <w:shd w:val="clear" w:color="auto" w:fill="auto"/>
          </w:tcPr>
          <w:p w:rsidR="007C29D8" w:rsidRPr="005C7942" w:rsidRDefault="007C29D8" w:rsidP="0093773C">
            <w:pPr>
              <w:rPr>
                <w:color w:val="000000"/>
                <w:szCs w:val="21"/>
                <w:lang w:eastAsia="en-AU"/>
              </w:rPr>
            </w:pPr>
            <w:r w:rsidRPr="005C7942">
              <w:rPr>
                <w:color w:val="000000"/>
                <w:szCs w:val="21"/>
                <w:lang w:eastAsia="en-AU"/>
              </w:rPr>
              <w:t>Number of working days from submission dossier acceptance to registration decision*</w:t>
            </w:r>
          </w:p>
        </w:tc>
        <w:tc>
          <w:tcPr>
            <w:tcW w:w="4360" w:type="dxa"/>
            <w:shd w:val="clear" w:color="auto" w:fill="auto"/>
          </w:tcPr>
          <w:p w:rsidR="007C29D8" w:rsidRPr="005C7942" w:rsidRDefault="007C29D8" w:rsidP="0093773C">
            <w:pPr>
              <w:ind w:left="170" w:right="170"/>
              <w:rPr>
                <w:color w:val="000000"/>
                <w:szCs w:val="21"/>
                <w:lang w:eastAsia="en-AU"/>
              </w:rPr>
            </w:pPr>
            <w:r w:rsidRPr="005C7942">
              <w:rPr>
                <w:color w:val="000000"/>
                <w:szCs w:val="21"/>
                <w:lang w:eastAsia="en-AU"/>
              </w:rPr>
              <w:t>184</w:t>
            </w:r>
          </w:p>
        </w:tc>
      </w:tr>
    </w:tbl>
    <w:p w:rsidR="007C29D8" w:rsidRDefault="007C29D8" w:rsidP="007C29D8">
      <w:pPr>
        <w:pStyle w:val="TableDescription"/>
      </w:pPr>
      <w:r>
        <w:t>*</w:t>
      </w:r>
      <w:r w:rsidRPr="00BF3774">
        <w:t xml:space="preserve">Statutory </w:t>
      </w:r>
      <w:r>
        <w:t>timeframe for standard applications is 255 working days</w:t>
      </w:r>
    </w:p>
    <w:p w:rsidR="008E7846" w:rsidRPr="00792A32" w:rsidRDefault="00456765" w:rsidP="008E7846">
      <w:pPr>
        <w:pStyle w:val="Heading2"/>
      </w:pPr>
      <w:bookmarkStart w:id="28" w:name="_Toc196046504"/>
      <w:bookmarkStart w:id="29" w:name="_Toc247691527"/>
      <w:bookmarkStart w:id="30" w:name="_Toc314842510"/>
      <w:bookmarkStart w:id="31" w:name="_Toc24622262"/>
      <w:bookmarkStart w:id="32" w:name="_Toc163441390"/>
      <w:bookmarkEnd w:id="14"/>
      <w:bookmarkEnd w:id="15"/>
      <w:bookmarkEnd w:id="16"/>
      <w:bookmarkEnd w:id="1"/>
      <w:r>
        <w:t>I</w:t>
      </w:r>
      <w:r w:rsidR="00DA64CB">
        <w:t>I</w:t>
      </w:r>
      <w:r w:rsidR="008E7846">
        <w:t xml:space="preserve">I. </w:t>
      </w:r>
      <w:r w:rsidR="007C29D8">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1"/>
    </w:p>
    <w:p w:rsidR="007C29D8" w:rsidRDefault="007C29D8" w:rsidP="007C29D8">
      <w:bookmarkStart w:id="33" w:name="_Toc247691533"/>
      <w:bookmarkStart w:id="34" w:name="_Toc314842517"/>
      <w:bookmarkEnd w:id="32"/>
      <w:r>
        <w:t xml:space="preserve">The submission was summarised in the following </w:t>
      </w:r>
      <w:r w:rsidRPr="00EF5C48">
        <w:t xml:space="preserve">Delegate’s </w:t>
      </w:r>
      <w:r>
        <w:t>overview</w:t>
      </w:r>
      <w:r w:rsidRPr="00EF5C48">
        <w:t xml:space="preserve"> and recommendation</w:t>
      </w:r>
      <w:r>
        <w:t>s.</w:t>
      </w:r>
    </w:p>
    <w:p w:rsidR="007C29D8" w:rsidRDefault="007C29D8" w:rsidP="007C29D8">
      <w:pPr>
        <w:pStyle w:val="Heading3"/>
      </w:pPr>
      <w:bookmarkStart w:id="35" w:name="_Toc314842511"/>
      <w:bookmarkStart w:id="36" w:name="_Toc24621769"/>
      <w:bookmarkStart w:id="37" w:name="_Toc24622263"/>
      <w:r>
        <w:t>Quality</w:t>
      </w:r>
      <w:bookmarkEnd w:id="35"/>
      <w:bookmarkEnd w:id="36"/>
      <w:bookmarkEnd w:id="37"/>
    </w:p>
    <w:p w:rsidR="007C29D8" w:rsidRDefault="007C29D8" w:rsidP="007C29D8">
      <w:r w:rsidRPr="00E46DF1">
        <w:t>The chemical name of methoxsalen is 9-methoxy-7H-furo[3,2-g][1]-benzopyran-7-one</w:t>
      </w:r>
      <w:r>
        <w:t xml:space="preserve"> and</w:t>
      </w:r>
      <w:r w:rsidRPr="00E46DF1">
        <w:t xml:space="preserve"> it has the structure</w:t>
      </w:r>
      <w:r>
        <w:t xml:space="preserve"> shown in </w:t>
      </w:r>
      <w:r>
        <w:fldChar w:fldCharType="begin"/>
      </w:r>
      <w:r>
        <w:instrText xml:space="preserve"> REF _Ref21600722 \h </w:instrText>
      </w:r>
      <w:r>
        <w:fldChar w:fldCharType="separate"/>
      </w:r>
      <w:r>
        <w:t xml:space="preserve">Figure </w:t>
      </w:r>
      <w:r>
        <w:rPr>
          <w:noProof/>
        </w:rPr>
        <w:t>1</w:t>
      </w:r>
      <w:r>
        <w:fldChar w:fldCharType="end"/>
      </w:r>
      <w:r>
        <w:t>.</w:t>
      </w:r>
    </w:p>
    <w:p w:rsidR="007C29D8" w:rsidRDefault="007C29D8" w:rsidP="007C29D8">
      <w:pPr>
        <w:pStyle w:val="FigureTitle"/>
      </w:pPr>
      <w:bookmarkStart w:id="38" w:name="_Ref21600722"/>
      <w:r>
        <w:t xml:space="preserve">Figure </w:t>
      </w:r>
      <w:r w:rsidR="00F75949">
        <w:fldChar w:fldCharType="begin"/>
      </w:r>
      <w:r w:rsidR="00F75949">
        <w:instrText xml:space="preserve"> SEQ Figure \* ARABIC </w:instrText>
      </w:r>
      <w:r w:rsidR="00F75949">
        <w:fldChar w:fldCharType="separate"/>
      </w:r>
      <w:r>
        <w:rPr>
          <w:noProof/>
        </w:rPr>
        <w:t>1</w:t>
      </w:r>
      <w:r w:rsidR="00F75949">
        <w:rPr>
          <w:noProof/>
        </w:rPr>
        <w:fldChar w:fldCharType="end"/>
      </w:r>
      <w:bookmarkEnd w:id="38"/>
      <w:r w:rsidRPr="00E46DF1">
        <w:t>:</w:t>
      </w:r>
      <w:r>
        <w:t xml:space="preserve"> Chemical structure of </w:t>
      </w:r>
      <w:r w:rsidRPr="00E46DF1">
        <w:t>methoxsalen</w:t>
      </w:r>
    </w:p>
    <w:p w:rsidR="007C29D8" w:rsidRDefault="007C29D8" w:rsidP="007C29D8">
      <w:pPr>
        <w:pStyle w:val="FigureTitle"/>
      </w:pPr>
      <w:r w:rsidRPr="005C7942">
        <w:rPr>
          <w:noProof/>
          <w:lang w:eastAsia="en-AU"/>
        </w:rPr>
        <w:drawing>
          <wp:inline distT="0" distB="0" distL="0" distR="0">
            <wp:extent cx="2157730" cy="1645920"/>
            <wp:effectExtent l="0" t="0" r="0" b="0"/>
            <wp:docPr id="10" name="Picture 10" descr="Chemical structure of methoxs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mical structure of methoxsal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7730" cy="1645920"/>
                    </a:xfrm>
                    <a:prstGeom prst="rect">
                      <a:avLst/>
                    </a:prstGeom>
                    <a:noFill/>
                    <a:ln>
                      <a:noFill/>
                    </a:ln>
                  </pic:spPr>
                </pic:pic>
              </a:graphicData>
            </a:graphic>
          </wp:inline>
        </w:drawing>
      </w:r>
    </w:p>
    <w:p w:rsidR="007C29D8" w:rsidRDefault="007C29D8" w:rsidP="007C29D8">
      <w:r w:rsidRPr="004F0E6A">
        <w:t>In the ECP procedure, white blood cells (buffy coat) are separated from blood via leukopheresis.</w:t>
      </w:r>
      <w:r>
        <w:t xml:space="preserve"> </w:t>
      </w:r>
      <w:r w:rsidRPr="004F0E6A">
        <w:t>These are treated with the methoxsalen solution, exposed to UVA radiation for a maximum of 90 minutes, and the resulting solution which contains buffy coat and the drug product is then re-infused into the patient</w:t>
      </w:r>
      <w:r w:rsidRPr="004F0E6A">
        <w:rPr>
          <w:b/>
        </w:rPr>
        <w:t>.</w:t>
      </w:r>
      <w:r>
        <w:rPr>
          <w:b/>
        </w:rPr>
        <w:t xml:space="preserve"> </w:t>
      </w:r>
      <w:r w:rsidRPr="004F0E6A">
        <w:t xml:space="preserve">The </w:t>
      </w:r>
      <w:r>
        <w:t>Therakos</w:t>
      </w:r>
      <w:r w:rsidRPr="004F0E6A">
        <w:t xml:space="preserve"> </w:t>
      </w:r>
      <w:r>
        <w:t>Cellex</w:t>
      </w:r>
      <w:r w:rsidRPr="004F0E6A">
        <w:t xml:space="preserve"> and the </w:t>
      </w:r>
      <w:r>
        <w:t>Uvar Xts</w:t>
      </w:r>
      <w:r w:rsidRPr="004F0E6A">
        <w:t xml:space="preserve"> Photopheresis Systems are designated as Class 2b medical devices which have previously been evaluated and approved for use by the TGA</w:t>
      </w:r>
      <w:r>
        <w:t>. Only the Cellex device is currently listed on the ARTG.</w:t>
      </w:r>
    </w:p>
    <w:p w:rsidR="007C29D8" w:rsidRDefault="007C29D8" w:rsidP="007C29D8">
      <w:r w:rsidRPr="00206B78">
        <w:t xml:space="preserve">Methoxsalen is extracted from the seeds of the </w:t>
      </w:r>
      <w:r w:rsidRPr="00206B78">
        <w:rPr>
          <w:i/>
        </w:rPr>
        <w:t xml:space="preserve">Ammi majus </w:t>
      </w:r>
      <w:r w:rsidRPr="00206B78">
        <w:t>(</w:t>
      </w:r>
      <w:r>
        <w:t>Apiaceae</w:t>
      </w:r>
      <w:r w:rsidRPr="00206B78">
        <w:t>) plant</w:t>
      </w:r>
      <w:r>
        <w:t>.</w:t>
      </w:r>
      <w:r w:rsidRPr="00206B78">
        <w:t xml:space="preserve"> Whilst the starting material complies with the requirements of the </w:t>
      </w:r>
      <w:r>
        <w:t>United States Pharmacopeia (</w:t>
      </w:r>
      <w:r w:rsidRPr="00206B78">
        <w:t>USP</w:t>
      </w:r>
      <w:r>
        <w:t>)</w:t>
      </w:r>
      <w:r w:rsidRPr="00206B78">
        <w:t xml:space="preserve"> monograph for </w:t>
      </w:r>
      <w:r>
        <w:t>m</w:t>
      </w:r>
      <w:r w:rsidRPr="00206B78">
        <w:t>ethoxsalen, a drug substance of greater purity was considered necessary for the proposed parenteral drug product for infusion.</w:t>
      </w:r>
      <w:r>
        <w:t xml:space="preserve"> A two-step recrystallis</w:t>
      </w:r>
      <w:r w:rsidRPr="00206B78">
        <w:t>ation process results in the drug substance, methoxsalen.</w:t>
      </w:r>
    </w:p>
    <w:p w:rsidR="007C29D8" w:rsidRDefault="007C29D8" w:rsidP="007C29D8">
      <w:r w:rsidRPr="00206B78">
        <w:t>Three potential organic impurities have been identified in purified methoxsalen for which appropriate limits are included in the drug substance specification</w:t>
      </w:r>
      <w:r>
        <w:t>.</w:t>
      </w:r>
    </w:p>
    <w:p w:rsidR="007C29D8" w:rsidRDefault="007C29D8" w:rsidP="007C29D8">
      <w:r w:rsidRPr="00BC5FA7">
        <w:t>The drug product formulation was developed using co-solvents ethanol and propylene glycol to increase the solubility of methoxsalen in the aqueous based solution for infusion</w:t>
      </w:r>
      <w:r>
        <w:t>.</w:t>
      </w:r>
      <w:r w:rsidRPr="00BC5FA7">
        <w:t xml:space="preserve"> Bioavailability and/or bioequivalence studies are not required for this product</w:t>
      </w:r>
      <w:r>
        <w:t>.</w:t>
      </w:r>
    </w:p>
    <w:p w:rsidR="007C29D8" w:rsidRDefault="007C29D8" w:rsidP="007C29D8">
      <w:r w:rsidRPr="004F0E6A">
        <w:lastRenderedPageBreak/>
        <w:t xml:space="preserve">Approval is recommended </w:t>
      </w:r>
      <w:r>
        <w:t xml:space="preserve">on </w:t>
      </w:r>
      <w:r w:rsidRPr="004F0E6A">
        <w:t>pharmaceutical chemistry and quality control aspect</w:t>
      </w:r>
      <w:r>
        <w:t>s.</w:t>
      </w:r>
    </w:p>
    <w:p w:rsidR="007C29D8" w:rsidRDefault="007C29D8" w:rsidP="003F3EAB">
      <w:pPr>
        <w:pStyle w:val="Heading3"/>
      </w:pPr>
      <w:bookmarkStart w:id="39" w:name="_Toc314842512"/>
      <w:bookmarkStart w:id="40" w:name="_Toc24621770"/>
      <w:bookmarkStart w:id="41" w:name="_Toc24622264"/>
      <w:r>
        <w:t>Nonclinical</w:t>
      </w:r>
      <w:bookmarkEnd w:id="39"/>
      <w:bookmarkEnd w:id="40"/>
      <w:bookmarkEnd w:id="41"/>
    </w:p>
    <w:p w:rsidR="007C29D8" w:rsidRDefault="007C29D8" w:rsidP="007C29D8">
      <w:r w:rsidRPr="004F0E6A">
        <w:t>The mechanis</w:t>
      </w:r>
      <w:r>
        <w:t>m of action for methoxsalen in E</w:t>
      </w:r>
      <w:r w:rsidRPr="004F0E6A">
        <w:t>CP is thought to be through immune modulation.</w:t>
      </w:r>
      <w:r>
        <w:t xml:space="preserve"> </w:t>
      </w:r>
      <w:r w:rsidRPr="004F0E6A">
        <w:t>When activated by UVA radiation, methoxsalen intercalates into DNA in cells and induces cell cycle arrest and apoptosis.</w:t>
      </w:r>
      <w:r>
        <w:t xml:space="preserve"> </w:t>
      </w:r>
      <w:r w:rsidRPr="004F0E6A">
        <w:t>ECP</w:t>
      </w:r>
      <w:r>
        <w:t xml:space="preserve">-induced </w:t>
      </w:r>
      <w:r w:rsidRPr="004F0E6A">
        <w:t>lymphocyte</w:t>
      </w:r>
      <w:r>
        <w:t xml:space="preserve"> apoptosis stimulates the differentiation of monocytes into mature dendritic cells which can then become active antigen-presenting cells capable of controlling immunity and triggering immune responses.</w:t>
      </w:r>
    </w:p>
    <w:p w:rsidR="007C29D8" w:rsidRDefault="007C29D8" w:rsidP="007C29D8">
      <w:r w:rsidRPr="00903E92">
        <w:t xml:space="preserve">Nonclinical studies </w:t>
      </w:r>
      <w:r>
        <w:t xml:space="preserve">demonstrate </w:t>
      </w:r>
      <w:r w:rsidRPr="00903E92">
        <w:t>antigen-specific immune tolerance after ECP treatment of lymphocytes with methoxsalen and UVA radiation</w:t>
      </w:r>
      <w:r>
        <w:t>.</w:t>
      </w:r>
      <w:r w:rsidRPr="00A94C24">
        <w:t xml:space="preserve"> The proposed clinical indication is supported by nonclinical data.</w:t>
      </w:r>
    </w:p>
    <w:p w:rsidR="007C29D8" w:rsidRDefault="007C29D8" w:rsidP="007C29D8">
      <w:r>
        <w:t>T</w:t>
      </w:r>
      <w:r w:rsidRPr="00A94C24">
        <w:t xml:space="preserve">oxicological advice </w:t>
      </w:r>
      <w:r>
        <w:t xml:space="preserve">was requested </w:t>
      </w:r>
      <w:r w:rsidRPr="00A94C24">
        <w:t>regarding the proposed limits for five potential identified packaging-related impurities in the methoxsalen (</w:t>
      </w:r>
      <w:r>
        <w:t>Uvadex Concentrated Injection (20 </w:t>
      </w:r>
      <w:r w:rsidRPr="00A94C24">
        <w:t xml:space="preserve">μg/mL). The </w:t>
      </w:r>
      <w:r w:rsidRPr="009312EC">
        <w:rPr>
          <w:i/>
        </w:rPr>
        <w:t>in silico</w:t>
      </w:r>
      <w:r w:rsidRPr="00A94C24">
        <w:t xml:space="preserve"> prediction of genotoxicity showed a negative result for all the impurities tested</w:t>
      </w:r>
      <w:r>
        <w:t>.</w:t>
      </w:r>
      <w:r w:rsidRPr="00A94C24">
        <w:t xml:space="preserve"> </w:t>
      </w:r>
      <w:r>
        <w:t>The proposed limits were considered toxicologically acceptable.</w:t>
      </w:r>
    </w:p>
    <w:p w:rsidR="007C29D8" w:rsidRDefault="007C29D8" w:rsidP="007C29D8">
      <w:r w:rsidRPr="00A94C24">
        <w:t xml:space="preserve">There are no nonclinical objections to the registration of </w:t>
      </w:r>
      <w:r>
        <w:t>Uvadex</w:t>
      </w:r>
      <w:r w:rsidRPr="00A94C24">
        <w:t xml:space="preserve"> for the treatment of acute and chronic </w:t>
      </w:r>
      <w:r>
        <w:t>GvHD</w:t>
      </w:r>
      <w:r w:rsidRPr="00A94C24">
        <w:t xml:space="preserve"> following </w:t>
      </w:r>
      <w:r w:rsidRPr="000265D9">
        <w:t xml:space="preserve">allogeneic </w:t>
      </w:r>
      <w:r>
        <w:t xml:space="preserve">human </w:t>
      </w:r>
      <w:r w:rsidRPr="00A94C24">
        <w:t>stem cell transplantation.</w:t>
      </w:r>
    </w:p>
    <w:p w:rsidR="007C29D8" w:rsidRDefault="007C29D8" w:rsidP="007C29D8">
      <w:pPr>
        <w:pStyle w:val="Heading3"/>
      </w:pPr>
      <w:bookmarkStart w:id="42" w:name="_Toc247691530"/>
      <w:bookmarkStart w:id="43" w:name="_Toc314842513"/>
      <w:bookmarkStart w:id="44" w:name="_Toc24621771"/>
      <w:bookmarkStart w:id="45" w:name="_Toc24622265"/>
      <w:r>
        <w:t>Clinical</w:t>
      </w:r>
      <w:bookmarkEnd w:id="42"/>
      <w:bookmarkEnd w:id="43"/>
      <w:bookmarkEnd w:id="44"/>
      <w:bookmarkEnd w:id="45"/>
    </w:p>
    <w:p w:rsidR="007C29D8" w:rsidRPr="008A7B8B" w:rsidRDefault="007C29D8" w:rsidP="007C29D8">
      <w:pPr>
        <w:pStyle w:val="Heading4"/>
      </w:pPr>
      <w:bookmarkStart w:id="46" w:name="_Toc314842514"/>
      <w:r w:rsidRPr="003F08CF">
        <w:t>Pharmacology</w:t>
      </w:r>
    </w:p>
    <w:p w:rsidR="007C29D8" w:rsidRPr="008A7B8B" w:rsidRDefault="007C29D8" w:rsidP="007C29D8">
      <w:pPr>
        <w:pStyle w:val="Heading5"/>
      </w:pPr>
      <w:r>
        <w:t>Pharmacokinetics</w:t>
      </w:r>
    </w:p>
    <w:p w:rsidR="007C29D8" w:rsidRPr="00573D89" w:rsidRDefault="007C29D8" w:rsidP="007C29D8">
      <w:r w:rsidRPr="00573D89">
        <w:t xml:space="preserve">No new clinical pharmacology data were submitted. In subjects with CTCL undergoing ECP with </w:t>
      </w:r>
      <w:r>
        <w:t>Uvadex</w:t>
      </w:r>
      <w:r w:rsidRPr="00573D89">
        <w:t>, plasma methoxsalen concentrations observed 30 minutes after the procedure were notably lower than those typically observed following oral administration of the drug. On 82.0% of occasions, methoxsalen concentration was below the limit of quantification of the assay</w:t>
      </w:r>
      <w:r>
        <w:t>.</w:t>
      </w:r>
      <w:r w:rsidRPr="00573D89">
        <w:t xml:space="preserve"> </w:t>
      </w:r>
      <w:r>
        <w:t>Uvadex</w:t>
      </w:r>
      <w:r w:rsidRPr="00573D89">
        <w:t xml:space="preserve"> for ECP will avoid </w:t>
      </w:r>
      <w:r>
        <w:t>problems produced by high inter</w:t>
      </w:r>
      <w:r>
        <w:noBreakHyphen/>
      </w:r>
      <w:r w:rsidRPr="00573D89">
        <w:t xml:space="preserve">individual variability in </w:t>
      </w:r>
      <w:r>
        <w:t>pharmacokinetic (</w:t>
      </w:r>
      <w:r w:rsidRPr="00573D89">
        <w:t>PK</w:t>
      </w:r>
      <w:r>
        <w:t>)</w:t>
      </w:r>
      <w:r w:rsidRPr="00573D89">
        <w:t xml:space="preserve"> parameters associated with oral administration of methoxsalen.</w:t>
      </w:r>
    </w:p>
    <w:p w:rsidR="007C29D8" w:rsidRDefault="007C29D8" w:rsidP="007C29D8">
      <w:r w:rsidRPr="00573D89">
        <w:t xml:space="preserve">Oral administration of methoxsalen has been shown to inhibit </w:t>
      </w:r>
      <w:r>
        <w:t>cytochrome P450 (</w:t>
      </w:r>
      <w:r w:rsidRPr="00573D89">
        <w:t>CYP450</w:t>
      </w:r>
      <w:r>
        <w:t xml:space="preserve">) </w:t>
      </w:r>
      <w:r w:rsidRPr="00573D89">
        <w:t xml:space="preserve">mediated metabolism of other drugs. Given the lower systemic concentrations obtained with extracorporeal administration, clinically significant interactions should be less likely to occur with </w:t>
      </w:r>
      <w:r>
        <w:t>Uvadex</w:t>
      </w:r>
      <w:r w:rsidRPr="00573D89">
        <w:t xml:space="preserve"> than with oral methoxsalen.</w:t>
      </w:r>
    </w:p>
    <w:p w:rsidR="007C29D8" w:rsidRPr="00573D89" w:rsidRDefault="007C29D8" w:rsidP="007C29D8">
      <w:pPr>
        <w:pStyle w:val="Heading5"/>
      </w:pPr>
      <w:r>
        <w:t>Pharmacodynamics</w:t>
      </w:r>
    </w:p>
    <w:p w:rsidR="007C29D8" w:rsidRDefault="007C29D8" w:rsidP="007C29D8">
      <w:r>
        <w:t>A</w:t>
      </w:r>
      <w:r w:rsidRPr="00573D89">
        <w:t xml:space="preserve"> series of nonclinical, </w:t>
      </w:r>
      <w:r w:rsidRPr="009C638A">
        <w:rPr>
          <w:i/>
        </w:rPr>
        <w:t>in vitro</w:t>
      </w:r>
      <w:r w:rsidRPr="00573D89">
        <w:t xml:space="preserve"> pharmacodynamic</w:t>
      </w:r>
      <w:r>
        <w:t xml:space="preserve"> (PD)</w:t>
      </w:r>
      <w:r w:rsidRPr="00573D89">
        <w:t xml:space="preserve"> studies </w:t>
      </w:r>
      <w:r>
        <w:t>were included.</w:t>
      </w:r>
    </w:p>
    <w:p w:rsidR="007C29D8" w:rsidRDefault="007C29D8" w:rsidP="007C29D8">
      <w:r w:rsidRPr="00573D89">
        <w:t>The second</w:t>
      </w:r>
      <w:r>
        <w:t xml:space="preserve"> </w:t>
      </w:r>
      <w:r w:rsidRPr="00573D89">
        <w:t xml:space="preserve">generation </w:t>
      </w:r>
      <w:r>
        <w:t>Uvar Xts</w:t>
      </w:r>
      <w:r w:rsidRPr="00573D89">
        <w:t xml:space="preserve"> and third</w:t>
      </w:r>
      <w:r>
        <w:t xml:space="preserve"> </w:t>
      </w:r>
      <w:r w:rsidRPr="00573D89">
        <w:t xml:space="preserve">generation </w:t>
      </w:r>
      <w:r>
        <w:t>Cellex</w:t>
      </w:r>
      <w:r w:rsidRPr="00573D89">
        <w:t xml:space="preserve"> photopheresis systems produced similar effects in terms of inhibition of lymphocyte proliferation and reduction in lymphocyte viability</w:t>
      </w:r>
      <w:r>
        <w:t>.</w:t>
      </w:r>
    </w:p>
    <w:p w:rsidR="007C29D8" w:rsidRDefault="007C29D8" w:rsidP="007C29D8">
      <w:pPr>
        <w:pStyle w:val="Heading4"/>
      </w:pPr>
      <w:r w:rsidRPr="00475326">
        <w:t>Dose finding for clinical studies</w:t>
      </w:r>
    </w:p>
    <w:p w:rsidR="007C29D8" w:rsidRDefault="007C29D8" w:rsidP="007C29D8">
      <w:r w:rsidRPr="00D53335">
        <w:t xml:space="preserve">The optimum combination </w:t>
      </w:r>
      <w:r>
        <w:t xml:space="preserve">to induce greater than background levels of apoptosis within 24 hours of treatment </w:t>
      </w:r>
      <w:r w:rsidRPr="00D53335">
        <w:t xml:space="preserve">appeared to be 2.0 </w:t>
      </w:r>
      <w:r>
        <w:t>joule (</w:t>
      </w:r>
      <w:r w:rsidRPr="00D53335">
        <w:t>J</w:t>
      </w:r>
      <w:r>
        <w:t>)</w:t>
      </w:r>
      <w:r w:rsidRPr="00D53335">
        <w:t xml:space="preserve"> of UVA per cm</w:t>
      </w:r>
      <w:r w:rsidRPr="00D53335">
        <w:rPr>
          <w:vertAlign w:val="superscript"/>
        </w:rPr>
        <w:t xml:space="preserve">2 </w:t>
      </w:r>
      <w:r w:rsidRPr="00D53335">
        <w:t>and</w:t>
      </w:r>
      <w:r>
        <w:t xml:space="preserve"> </w:t>
      </w:r>
      <w:r w:rsidRPr="00D53335">
        <w:t>50</w:t>
      </w:r>
      <w:r>
        <w:t xml:space="preserve"> to </w:t>
      </w:r>
      <w:r w:rsidRPr="00D53335">
        <w:t xml:space="preserve">100 ng of methoxsalen per mL. The amount of </w:t>
      </w:r>
      <w:r>
        <w:t>Uvadex</w:t>
      </w:r>
      <w:r w:rsidRPr="00D53335">
        <w:t xml:space="preserve"> added to the photoactivation bag was chosen after it had been shown that this dose resulted in bag levels of methoxsalen greater than 50 ng/mL (typically averaging 200 ng/mL)</w:t>
      </w:r>
      <w:r>
        <w:t xml:space="preserve">. </w:t>
      </w:r>
      <w:r w:rsidRPr="009C638A">
        <w:rPr>
          <w:i/>
        </w:rPr>
        <w:t>In vitro</w:t>
      </w:r>
      <w:r w:rsidRPr="00D53335">
        <w:t xml:space="preserve"> da</w:t>
      </w:r>
      <w:r>
        <w:t>ta has</w:t>
      </w:r>
      <w:r w:rsidRPr="00D53335">
        <w:t xml:space="preserve"> shown that bag </w:t>
      </w:r>
      <w:r w:rsidRPr="00D53335">
        <w:lastRenderedPageBreak/>
        <w:t xml:space="preserve">concentrations of methoxsalen are &gt; 50 ng/mL both before and after photoactivation for the </w:t>
      </w:r>
      <w:r>
        <w:t>Uvar (first generation photopheresis system)</w:t>
      </w:r>
      <w:r w:rsidRPr="00D53335">
        <w:t xml:space="preserve">, </w:t>
      </w:r>
      <w:r>
        <w:t>Uvar Xts</w:t>
      </w:r>
      <w:r w:rsidRPr="00D53335">
        <w:t xml:space="preserve"> and </w:t>
      </w:r>
      <w:r>
        <w:t>Cellex</w:t>
      </w:r>
      <w:r w:rsidRPr="00D53335">
        <w:t xml:space="preserve"> systems</w:t>
      </w:r>
      <w:r>
        <w:t>.</w:t>
      </w:r>
    </w:p>
    <w:p w:rsidR="007C29D8" w:rsidRDefault="007C29D8" w:rsidP="007C29D8">
      <w:r>
        <w:t>[Information redacted]</w:t>
      </w:r>
    </w:p>
    <w:p w:rsidR="007C29D8" w:rsidRDefault="007C29D8" w:rsidP="007C29D8">
      <w:r w:rsidRPr="00475326">
        <w:t>The submission relies, to a significant extent, on published clinical trial data to establish efficacy. The lack of consistency in ECP treatment schedules across the published studies is therefore a concern.</w:t>
      </w:r>
    </w:p>
    <w:p w:rsidR="007C29D8" w:rsidRDefault="007C29D8" w:rsidP="007C29D8">
      <w:pPr>
        <w:pStyle w:val="Heading4"/>
      </w:pPr>
      <w:r w:rsidRPr="00573D89">
        <w:t>Eff</w:t>
      </w:r>
      <w:r w:rsidRPr="003F08CF">
        <w:t>icacy</w:t>
      </w:r>
    </w:p>
    <w:p w:rsidR="007C29D8" w:rsidRPr="00475326" w:rsidRDefault="007C29D8" w:rsidP="007C29D8">
      <w:r w:rsidRPr="00475326">
        <w:t xml:space="preserve">Sponsor initiated </w:t>
      </w:r>
      <w:r>
        <w:t>clinical studies were:</w:t>
      </w:r>
    </w:p>
    <w:p w:rsidR="007C29D8" w:rsidRPr="008A7B8B" w:rsidRDefault="007C29D8" w:rsidP="003F3EAB">
      <w:pPr>
        <w:pStyle w:val="ListBullet"/>
      </w:pPr>
      <w:r w:rsidRPr="008A7B8B">
        <w:t xml:space="preserve">Study </w:t>
      </w:r>
      <w:r>
        <w:t>GvHD</w:t>
      </w:r>
      <w:r w:rsidRPr="008A7B8B">
        <w:t>-SK1</w:t>
      </w:r>
      <w:r>
        <w:t xml:space="preserve">: a randomised, open </w:t>
      </w:r>
      <w:r w:rsidRPr="008A7B8B">
        <w:t>label parallel group trial in su</w:t>
      </w:r>
      <w:r>
        <w:t>bjects with steroid-refractory chronic GvHD</w:t>
      </w:r>
      <w:r w:rsidRPr="008A7B8B">
        <w:t>;</w:t>
      </w:r>
    </w:p>
    <w:p w:rsidR="007C29D8" w:rsidRPr="008A7B8B" w:rsidRDefault="007C29D8" w:rsidP="007C29D8">
      <w:pPr>
        <w:pStyle w:val="ListBullet"/>
        <w:numPr>
          <w:ilvl w:val="0"/>
          <w:numId w:val="3"/>
        </w:numPr>
      </w:pPr>
      <w:r w:rsidRPr="008A7B8B">
        <w:t>Stud</w:t>
      </w:r>
      <w:r>
        <w:t>y</w:t>
      </w:r>
      <w:r w:rsidRPr="008A7B8B">
        <w:t xml:space="preserve"> </w:t>
      </w:r>
      <w:r>
        <w:t>GvHD</w:t>
      </w:r>
      <w:r w:rsidRPr="008A7B8B">
        <w:t>-SK1 Extension and</w:t>
      </w:r>
      <w:r>
        <w:t xml:space="preserve"> Study</w:t>
      </w:r>
      <w:r w:rsidRPr="008A7B8B">
        <w:t xml:space="preserve"> TKS-01</w:t>
      </w:r>
      <w:r>
        <w:t xml:space="preserve">: two open </w:t>
      </w:r>
      <w:r w:rsidRPr="008A7B8B">
        <w:t xml:space="preserve">label, single-arm trials in subjects with steroid-refractory </w:t>
      </w:r>
      <w:r>
        <w:t>chronic GvHD</w:t>
      </w:r>
      <w:r w:rsidRPr="008A7B8B">
        <w:t>;</w:t>
      </w:r>
    </w:p>
    <w:p w:rsidR="007C29D8" w:rsidRPr="008A7B8B" w:rsidRDefault="007C29D8" w:rsidP="007C29D8">
      <w:pPr>
        <w:pStyle w:val="ListBullet"/>
        <w:numPr>
          <w:ilvl w:val="0"/>
          <w:numId w:val="3"/>
        </w:numPr>
      </w:pPr>
      <w:r w:rsidRPr="008A7B8B">
        <w:t>Study 10-005</w:t>
      </w:r>
      <w:r>
        <w:t xml:space="preserve">: a randomised, open </w:t>
      </w:r>
      <w:r w:rsidRPr="008A7B8B">
        <w:t xml:space="preserve">label parallel group trial in subjects with newly-diagnosed </w:t>
      </w:r>
      <w:r>
        <w:t>chronic GvHD</w:t>
      </w:r>
      <w:r w:rsidRPr="008A7B8B">
        <w:t>;</w:t>
      </w:r>
    </w:p>
    <w:p w:rsidR="007C29D8" w:rsidRPr="008A7B8B" w:rsidRDefault="007C29D8" w:rsidP="007C29D8">
      <w:pPr>
        <w:pStyle w:val="ListBullet"/>
        <w:numPr>
          <w:ilvl w:val="0"/>
          <w:numId w:val="3"/>
        </w:numPr>
      </w:pPr>
      <w:r w:rsidRPr="008A7B8B">
        <w:t>Study Acute-</w:t>
      </w:r>
      <w:r>
        <w:t>GvHD</w:t>
      </w:r>
      <w:r w:rsidRPr="008A7B8B">
        <w:t>-1</w:t>
      </w:r>
      <w:r>
        <w:t>:</w:t>
      </w:r>
      <w:r w:rsidRPr="008A7B8B">
        <w:t xml:space="preserve"> a randomised, open-label parallel group trial in subje</w:t>
      </w:r>
      <w:r>
        <w:t>cts with newly-diagnosed acute GvHD</w:t>
      </w:r>
      <w:r w:rsidRPr="008A7B8B">
        <w:t>.</w:t>
      </w:r>
    </w:p>
    <w:p w:rsidR="007C29D8" w:rsidRPr="00FA1499" w:rsidRDefault="007C29D8" w:rsidP="007C29D8">
      <w:pPr>
        <w:pStyle w:val="Heading5"/>
        <w:rPr>
          <w:rStyle w:val="Heading5Char"/>
          <w:rFonts w:eastAsia="Cambria"/>
          <w:b/>
          <w:bCs/>
          <w:i/>
        </w:rPr>
      </w:pPr>
      <w:r w:rsidRPr="00FA1499">
        <w:rPr>
          <w:rStyle w:val="Heading5Char"/>
          <w:b/>
          <w:bCs/>
          <w:i/>
        </w:rPr>
        <w:t>Study GvHD-SK1</w:t>
      </w:r>
    </w:p>
    <w:p w:rsidR="007C29D8" w:rsidRPr="00D53335" w:rsidRDefault="007C29D8" w:rsidP="007C29D8">
      <w:r w:rsidRPr="009506DF">
        <w:t>Study GvHD-SK1 was a Phase II, randomised</w:t>
      </w:r>
      <w:r w:rsidRPr="00D53335">
        <w:t>,</w:t>
      </w:r>
      <w:r>
        <w:t xml:space="preserve"> multicentre,</w:t>
      </w:r>
      <w:r w:rsidRPr="00D53335">
        <w:t xml:space="preserve"> single-blind trial with two parallel groups (ECP plus standard therapy versus standard therapy alone)</w:t>
      </w:r>
      <w:r>
        <w:t>,</w:t>
      </w:r>
      <w:r w:rsidRPr="00D53335">
        <w:t xml:space="preserve"> in subjects with </w:t>
      </w:r>
      <w:r>
        <w:t>cortico</w:t>
      </w:r>
      <w:r w:rsidRPr="00D53335">
        <w:t>steroid-refractory</w:t>
      </w:r>
      <w:r>
        <w:t>, corticosteroid-dependent or corticosteroid-intolerant</w:t>
      </w:r>
      <w:r w:rsidRPr="00D53335">
        <w:t xml:space="preserve"> </w:t>
      </w:r>
      <w:r>
        <w:t>chronic GvHD.</w:t>
      </w:r>
      <w:r w:rsidRPr="00D53335">
        <w:t xml:space="preserve"> The submitted study report described efficacy data only for those subjects (n</w:t>
      </w:r>
      <w:r>
        <w:t> </w:t>
      </w:r>
      <w:r w:rsidRPr="00D53335">
        <w:t>=</w:t>
      </w:r>
      <w:r>
        <w:t> </w:t>
      </w:r>
      <w:r w:rsidRPr="00D53335">
        <w:t xml:space="preserve">100) who enrolled after </w:t>
      </w:r>
      <w:r>
        <w:t xml:space="preserve">protocol </w:t>
      </w:r>
      <w:r w:rsidRPr="00D53335">
        <w:t>Amendment 2</w:t>
      </w:r>
      <w:r>
        <w:t>. The study commenced in February 2001 and was completed in April 2005. The study report was dated 16 March 2009.</w:t>
      </w:r>
    </w:p>
    <w:p w:rsidR="007C29D8" w:rsidRDefault="007C29D8" w:rsidP="007C29D8">
      <w:r w:rsidRPr="00AB4E37">
        <w:t xml:space="preserve">The overall objective of the study was to compare the safety and efficacy of ECP in conjunction with standard therapy to that of standard therapy alone in the treatment of </w:t>
      </w:r>
      <w:r>
        <w:t>GvHD</w:t>
      </w:r>
      <w:r w:rsidRPr="00AB4E37">
        <w:t xml:space="preserve"> in subjects with corticosteroid-refractory, corticosteroid-dependent, or corticosteroid-</w:t>
      </w:r>
      <w:r>
        <w:t>intolerant chronic GvHD</w:t>
      </w:r>
      <w:r w:rsidRPr="00AB4E37">
        <w:t>.</w:t>
      </w:r>
    </w:p>
    <w:p w:rsidR="007C29D8" w:rsidRPr="00DC17DF" w:rsidRDefault="007C29D8" w:rsidP="007C29D8">
      <w:r w:rsidRPr="00AB4E37">
        <w:t xml:space="preserve">The primary </w:t>
      </w:r>
      <w:r w:rsidRPr="00DC17DF">
        <w:t xml:space="preserve">objective was to assess improvement in skin </w:t>
      </w:r>
      <w:r>
        <w:t>chronic GvHD</w:t>
      </w:r>
      <w:r w:rsidRPr="00DC17DF">
        <w:t xml:space="preserve"> in subjects receiving ECP and standard therapy compared to that in subjects receiving standard therapy alone. Secondary objectives were to assess the corticosteroid-sparing effect of ECP; to assess changes in quality of life and other organ systems involved in </w:t>
      </w:r>
      <w:r>
        <w:t>chronic GvHD</w:t>
      </w:r>
      <w:r w:rsidRPr="00DC17DF">
        <w:t xml:space="preserve">, as well as subject response patterns including duration of response; and to evaluate the safety of ECP in </w:t>
      </w:r>
      <w:r>
        <w:t>chronic GvHD</w:t>
      </w:r>
      <w:r w:rsidRPr="00DC17DF">
        <w:t>.</w:t>
      </w:r>
    </w:p>
    <w:p w:rsidR="007C29D8" w:rsidRPr="00DC17DF" w:rsidRDefault="007C29D8" w:rsidP="007C29D8">
      <w:r w:rsidRPr="00DC17DF">
        <w:t xml:space="preserve">Subjects with histologically confirmed </w:t>
      </w:r>
      <w:r>
        <w:t>chronic GvHD</w:t>
      </w:r>
      <w:r w:rsidRPr="00DC17DF">
        <w:t xml:space="preserve"> and documented skin disease classical for </w:t>
      </w:r>
      <w:r>
        <w:t>chronic GvHD</w:t>
      </w:r>
      <w:r w:rsidRPr="00DC17DF">
        <w:t xml:space="preserve"> and corticosteroid refractoriness, corticosteroid dependence or corticosteroid into</w:t>
      </w:r>
      <w:r>
        <w:t>lerance were included.</w:t>
      </w:r>
    </w:p>
    <w:p w:rsidR="007C29D8" w:rsidRDefault="007C29D8" w:rsidP="007C29D8">
      <w:r w:rsidRPr="003F14B2">
        <w:t xml:space="preserve">The </w:t>
      </w:r>
      <w:r>
        <w:t>Therakos</w:t>
      </w:r>
      <w:r w:rsidRPr="003F14B2">
        <w:t xml:space="preserve"> </w:t>
      </w:r>
      <w:r>
        <w:t>Uvar</w:t>
      </w:r>
      <w:r w:rsidRPr="003F14B2">
        <w:t xml:space="preserve"> </w:t>
      </w:r>
      <w:r>
        <w:t>Xts</w:t>
      </w:r>
      <w:r w:rsidRPr="003F14B2">
        <w:t xml:space="preserve"> photopheresis system and </w:t>
      </w:r>
      <w:r>
        <w:t>Therakos Uvadex</w:t>
      </w:r>
      <w:r w:rsidRPr="003F14B2">
        <w:t xml:space="preserve"> (</w:t>
      </w:r>
      <w:r>
        <w:t>m</w:t>
      </w:r>
      <w:r w:rsidRPr="003F14B2">
        <w:t xml:space="preserve">ethoxsalen) </w:t>
      </w:r>
      <w:r>
        <w:t>Concentrated Injection</w:t>
      </w:r>
      <w:r w:rsidRPr="003F14B2">
        <w:t xml:space="preserve"> were used in this study to administer ECP, in the mode of administration recommended by the approved </w:t>
      </w:r>
      <w:r>
        <w:t xml:space="preserve">labelling. </w:t>
      </w:r>
      <w:r w:rsidRPr="003F14B2">
        <w:t>ECP treatments were given 3</w:t>
      </w:r>
      <w:r>
        <w:t> </w:t>
      </w:r>
      <w:r w:rsidRPr="003F14B2">
        <w:t>times in the first 7</w:t>
      </w:r>
      <w:r>
        <w:t> </w:t>
      </w:r>
      <w:r w:rsidRPr="003F14B2">
        <w:t xml:space="preserve">days, then 2 times per week from </w:t>
      </w:r>
      <w:r>
        <w:t>W</w:t>
      </w:r>
      <w:r w:rsidRPr="003F14B2">
        <w:t>eeks 2 to 12, then 2</w:t>
      </w:r>
      <w:r>
        <w:t xml:space="preserve"> </w:t>
      </w:r>
      <w:r w:rsidRPr="003F14B2">
        <w:t xml:space="preserve">times per week every 4 weeks until </w:t>
      </w:r>
      <w:r>
        <w:t>W</w:t>
      </w:r>
      <w:r w:rsidRPr="003F14B2">
        <w:t>eek 24.</w:t>
      </w:r>
      <w:r>
        <w:t xml:space="preserve"> Treatments were to be administered on consecutive d</w:t>
      </w:r>
      <w:r w:rsidR="003F3EAB">
        <w:t>ays when feasible.</w:t>
      </w:r>
    </w:p>
    <w:p w:rsidR="007C29D8" w:rsidRDefault="007C29D8" w:rsidP="007C29D8">
      <w:r>
        <w:t>The Uvadex dosage was calculated using the following formula:</w:t>
      </w:r>
    </w:p>
    <w:p w:rsidR="007C29D8" w:rsidRDefault="007C29D8" w:rsidP="007C29D8">
      <w:pPr>
        <w:ind w:left="720"/>
      </w:pPr>
      <w:r>
        <w:t>Treatment volume* (in mL) multiplied by 0.017 = amount of Uvadex (in mL) required for administration into the recirculation bag.</w:t>
      </w:r>
    </w:p>
    <w:p w:rsidR="007C29D8" w:rsidRDefault="007C29D8" w:rsidP="007C29D8">
      <w:pPr>
        <w:ind w:left="720"/>
      </w:pPr>
      <w:r>
        <w:lastRenderedPageBreak/>
        <w:t>*Treatment volume is displayed on the Cellex device</w:t>
      </w:r>
    </w:p>
    <w:p w:rsidR="007C29D8" w:rsidRPr="005C7942" w:rsidRDefault="007C29D8" w:rsidP="007C29D8">
      <w:pPr>
        <w:spacing w:before="0" w:after="0" w:line="240" w:lineRule="auto"/>
      </w:pPr>
      <w:r w:rsidRPr="005C7942">
        <w:t>Standard therapy was corticosteroid, cyclosporin A (CSA) or tacrolimus, with or without mycophenolate mofetil (MMF). Subjects did not need to be on corticosteroids, CSA, tacrolimus, or MMF, if they experienced unacceptable toxicity or intolerance before study. Each centre was to select either CSA or tacrolimus and to use it for subjects enrolled at the centre. Each centre was to choose, before enrolling any subjects, whether subjects in both treatment groups would receive MMF or not.</w:t>
      </w:r>
    </w:p>
    <w:p w:rsidR="007C29D8" w:rsidRDefault="007C29D8" w:rsidP="007C29D8">
      <w:r w:rsidRPr="009E597F">
        <w:t xml:space="preserve">Subjects in the standard therapy group who withdrew from study after </w:t>
      </w:r>
      <w:r>
        <w:t>W</w:t>
      </w:r>
      <w:r w:rsidRPr="009E597F">
        <w:t xml:space="preserve">eek 12 because of inadequate response to treatment were eligible to receive ECP </w:t>
      </w:r>
      <w:r>
        <w:t>treatment in an extension study</w:t>
      </w:r>
      <w:r w:rsidRPr="009E597F">
        <w:t xml:space="preserve"> (</w:t>
      </w:r>
      <w:r>
        <w:t>Study GvHD</w:t>
      </w:r>
      <w:r w:rsidRPr="009E597F">
        <w:t>-SK1</w:t>
      </w:r>
      <w:r>
        <w:t xml:space="preserve"> Extension).</w:t>
      </w:r>
    </w:p>
    <w:p w:rsidR="007C29D8" w:rsidRDefault="007C29D8" w:rsidP="007C29D8">
      <w:r w:rsidRPr="003B5A8F">
        <w:t xml:space="preserve">The primary assessment of efficacy was performed at 12 weeks, and subjects who had an inadequate response to treatment at this time were discontinued from the study. An inadequate response was defined as a change from baseline in skin scores of 15% or less or </w:t>
      </w:r>
      <w:r>
        <w:t xml:space="preserve">decrease </w:t>
      </w:r>
      <w:r w:rsidRPr="003B5A8F">
        <w:t xml:space="preserve">in corticosteroid use by 25% or less. In addition, subjects who had progression of their skin </w:t>
      </w:r>
      <w:r>
        <w:t>chronic GvHD</w:t>
      </w:r>
      <w:r w:rsidRPr="003B5A8F">
        <w:t xml:space="preserve"> at any time were discontinued from the study. Disease progression was defined as a 25% worsening in skin score.</w:t>
      </w:r>
    </w:p>
    <w:p w:rsidR="007C29D8" w:rsidRDefault="007C29D8" w:rsidP="007C29D8">
      <w:r w:rsidRPr="003B5A8F">
        <w:t>The primary efficacy variable for the trial was the Total Skin Score (TSS) as assessed by a blinded assessor. The TSS is a scoring system for assessing the extent and severity of skin involvement with c</w:t>
      </w:r>
      <w:r>
        <w:t>hronic GvHD</w:t>
      </w:r>
      <w:r w:rsidRPr="003B5A8F">
        <w:t>. The score can potentially range from 0 to</w:t>
      </w:r>
      <w:r>
        <w:t xml:space="preserve"> 50.</w:t>
      </w:r>
    </w:p>
    <w:p w:rsidR="007C29D8" w:rsidRDefault="007C29D8" w:rsidP="007C29D8">
      <w:r w:rsidRPr="00EE06EC">
        <w:t xml:space="preserve">A total of 100 subjects were enrolled in the study after </w:t>
      </w:r>
      <w:r>
        <w:t xml:space="preserve">protocol </w:t>
      </w:r>
      <w:r w:rsidRPr="00EE06EC">
        <w:t>Amendment 2. Fifty</w:t>
      </w:r>
      <w:r>
        <w:t> </w:t>
      </w:r>
      <w:r w:rsidRPr="00EE06EC">
        <w:t>subjects were randomised to each arm.</w:t>
      </w:r>
      <w:r>
        <w:t xml:space="preserve"> </w:t>
      </w:r>
      <w:r w:rsidRPr="00EE06EC">
        <w:t xml:space="preserve">One subject randomised to the ECP arm did not receive treatment due to lack of venous access. Four subjects (1 in the ECP arm and 3 in the control arm) did not have a post-baseline TSS assessment and were therefore excluded from the </w:t>
      </w:r>
      <w:r>
        <w:t>modified intention-to-treat (m</w:t>
      </w:r>
      <w:r w:rsidRPr="00EE06EC">
        <w:t>ITT</w:t>
      </w:r>
      <w:r>
        <w:t>)</w:t>
      </w:r>
      <w:r w:rsidRPr="00EE06EC">
        <w:t xml:space="preserve"> population.</w:t>
      </w:r>
      <w:r>
        <w:t xml:space="preserve"> </w:t>
      </w:r>
      <w:r w:rsidRPr="000544E0">
        <w:t>Discontinuations due to inadequate response or progressive disease were notably more common in the control arm.</w:t>
      </w:r>
    </w:p>
    <w:p w:rsidR="007C29D8" w:rsidRDefault="007C29D8" w:rsidP="007C29D8">
      <w:r w:rsidRPr="00D02542">
        <w:t>A total of 29 subjects (18 in the ECP arm and 11 in the control arm) had protocol violations that were sufficient to warrant exclusion from the per-protocol population.</w:t>
      </w:r>
      <w:r>
        <w:t xml:space="preserve"> Dose of immunosuppressants changed &gt; 25% from Baseline and use of prohibited medications were most frequent protocol violations leading to exclusion.</w:t>
      </w:r>
    </w:p>
    <w:p w:rsidR="007C29D8" w:rsidRDefault="007C29D8" w:rsidP="007C29D8">
      <w:r w:rsidRPr="006861C3">
        <w:t xml:space="preserve">In the </w:t>
      </w:r>
      <w:r>
        <w:t>m</w:t>
      </w:r>
      <w:r w:rsidRPr="006861C3">
        <w:t>ITT population median age was approximately 41 years (range 13</w:t>
      </w:r>
      <w:r>
        <w:t xml:space="preserve"> to </w:t>
      </w:r>
      <w:r w:rsidRPr="006861C3">
        <w:t>67). 58.9% of subjects were male and 90.5% were Caucasian.</w:t>
      </w:r>
    </w:p>
    <w:p w:rsidR="007C29D8" w:rsidRPr="00DC17DF" w:rsidRDefault="007C29D8" w:rsidP="007C29D8">
      <w:r w:rsidRPr="00DC17DF">
        <w:t xml:space="preserve">Median change in TSS </w:t>
      </w:r>
      <w:r>
        <w:t>at 12 weeks (</w:t>
      </w:r>
      <w:r w:rsidRPr="00F87B2D">
        <w:t>primary endpo</w:t>
      </w:r>
      <w:r>
        <w:t xml:space="preserve">int) </w:t>
      </w:r>
      <w:r w:rsidRPr="00DC17DF">
        <w:t xml:space="preserve">was -14.5% in the ECP arm and </w:t>
      </w:r>
      <w:r>
        <w:noBreakHyphen/>
      </w:r>
      <w:r w:rsidRPr="00DC17DF">
        <w:t>10.4% in the control arm. Regardless of the method used for imputation of missing data</w:t>
      </w:r>
      <w:r>
        <w:t>,</w:t>
      </w:r>
      <w:r w:rsidRPr="00DC17DF">
        <w:t xml:space="preserve"> t</w:t>
      </w:r>
      <w:r>
        <w:t xml:space="preserve"> t</w:t>
      </w:r>
      <w:r w:rsidRPr="00DC17DF">
        <w:t>he difference between treatment arms was not statistically significant.</w:t>
      </w:r>
    </w:p>
    <w:p w:rsidR="007C29D8" w:rsidRDefault="007C29D8" w:rsidP="007C29D8">
      <w:r w:rsidRPr="00CE1042">
        <w:t>Five prospectively</w:t>
      </w:r>
      <w:r>
        <w:t xml:space="preserve"> </w:t>
      </w:r>
      <w:r w:rsidRPr="00CE1042">
        <w:t>defined sensitivity analyses of the primary endpoint were conducted according to rules for imputation of missing data</w:t>
      </w:r>
      <w:r>
        <w:t>.</w:t>
      </w:r>
      <w:r w:rsidRPr="00CE1042">
        <w:t xml:space="preserve"> </w:t>
      </w:r>
      <w:r>
        <w:t xml:space="preserve">There were </w:t>
      </w:r>
      <w:r w:rsidRPr="00CE1042">
        <w:t>no statistically significant differences between treatment groups for median percentage change in TSS in any of these five analyses.</w:t>
      </w:r>
    </w:p>
    <w:p w:rsidR="007C29D8" w:rsidRPr="00223813" w:rsidRDefault="007C29D8" w:rsidP="007C29D8">
      <w:r w:rsidRPr="00CE1042">
        <w:t>A per</w:t>
      </w:r>
      <w:r>
        <w:t xml:space="preserve"> </w:t>
      </w:r>
      <w:r w:rsidRPr="00CE1042">
        <w:t>protocol analysis</w:t>
      </w:r>
      <w:r>
        <w:t xml:space="preserve"> for </w:t>
      </w:r>
      <w:r w:rsidRPr="00CE1042">
        <w:t xml:space="preserve">percentage change in TSS at </w:t>
      </w:r>
      <w:r>
        <w:t>W</w:t>
      </w:r>
      <w:r w:rsidRPr="00CE1042">
        <w:t xml:space="preserve">eek 12 also failed to demonstrate a </w:t>
      </w:r>
      <w:r>
        <w:t xml:space="preserve">statistically </w:t>
      </w:r>
      <w:r w:rsidRPr="00CE1042">
        <w:t>significant difference between treatments</w:t>
      </w:r>
      <w:r>
        <w:t>.</w:t>
      </w:r>
    </w:p>
    <w:p w:rsidR="007C29D8" w:rsidRDefault="007C29D8" w:rsidP="007C29D8">
      <w:r w:rsidRPr="008231CA">
        <w:rPr>
          <w:i/>
        </w:rPr>
        <w:t>Median percentage change from Baseline in TSS at Week 24</w:t>
      </w:r>
      <w:r>
        <w:t>: u</w:t>
      </w:r>
      <w:r w:rsidRPr="00CE1042">
        <w:t>sing the multiple imputation method for missing data, there was no significant difference between treatment arms (median percentage change -33.1%</w:t>
      </w:r>
      <w:r>
        <w:t xml:space="preserve"> versus </w:t>
      </w:r>
      <w:r w:rsidRPr="00CE1042">
        <w:t>-14.0%; p</w:t>
      </w:r>
      <w:r>
        <w:t xml:space="preserve"> </w:t>
      </w:r>
      <w:r w:rsidRPr="00CE1042">
        <w:t>=</w:t>
      </w:r>
      <w:r>
        <w:t xml:space="preserve"> </w:t>
      </w:r>
      <w:r w:rsidRPr="00CE1042">
        <w:t xml:space="preserve">0.4458). </w:t>
      </w:r>
      <w:r>
        <w:t>U</w:t>
      </w:r>
      <w:r w:rsidRPr="00CE1042">
        <w:t xml:space="preserve">sing the </w:t>
      </w:r>
      <w:r>
        <w:t>l</w:t>
      </w:r>
      <w:r w:rsidRPr="00BB57C9">
        <w:t xml:space="preserve">ast observation carried forward </w:t>
      </w:r>
      <w:r>
        <w:t>(</w:t>
      </w:r>
      <w:r w:rsidRPr="00CE1042">
        <w:t>LOCF</w:t>
      </w:r>
      <w:r>
        <w:t>)</w:t>
      </w:r>
      <w:r w:rsidRPr="00CE1042">
        <w:t xml:space="preserve"> method of imputation for missing data, the difference between treatments was significant (median percentage change -31.4%</w:t>
      </w:r>
      <w:r>
        <w:t xml:space="preserve"> versus </w:t>
      </w:r>
      <w:r>
        <w:noBreakHyphen/>
      </w:r>
      <w:r w:rsidRPr="00CE1042">
        <w:t>12.7%; p</w:t>
      </w:r>
      <w:r>
        <w:t xml:space="preserve"> </w:t>
      </w:r>
      <w:r w:rsidRPr="00CE1042">
        <w:t>=</w:t>
      </w:r>
      <w:r>
        <w:t xml:space="preserve"> </w:t>
      </w:r>
      <w:r w:rsidRPr="00CE1042">
        <w:t>0.0286).</w:t>
      </w:r>
    </w:p>
    <w:p w:rsidR="007C29D8" w:rsidRDefault="007C29D8" w:rsidP="007C29D8">
      <w:r w:rsidRPr="00CE1042">
        <w:t>The proportion of subjects who achieved a substantial improvement in TSS (</w:t>
      </w:r>
      <w:r>
        <w:t xml:space="preserve">≥ 25%) was </w:t>
      </w:r>
      <w:r w:rsidRPr="00CE1042">
        <w:t>s</w:t>
      </w:r>
      <w:r>
        <w:t>hown</w:t>
      </w:r>
      <w:r w:rsidRPr="00CE1042">
        <w:t>. Statistical analyses of the data were not valid.</w:t>
      </w:r>
    </w:p>
    <w:p w:rsidR="007C29D8" w:rsidRDefault="007C29D8" w:rsidP="007C29D8">
      <w:r>
        <w:lastRenderedPageBreak/>
        <w:t>The p</w:t>
      </w:r>
      <w:r w:rsidRPr="00CE1042">
        <w:t>roportion of subjects achieving a</w:t>
      </w:r>
      <w:r>
        <w:t xml:space="preserve"> &gt; </w:t>
      </w:r>
      <w:r w:rsidRPr="00CE1042">
        <w:t>50% reduction in steroid dose</w:t>
      </w:r>
      <w:r>
        <w:t xml:space="preserve"> was shown</w:t>
      </w:r>
      <w:r w:rsidRPr="00AD27D1">
        <w:t>.</w:t>
      </w:r>
      <w:r>
        <w:t xml:space="preserve"> </w:t>
      </w:r>
      <w:r w:rsidRPr="00AD27D1">
        <w:t>Using the multiple imputation method for missing data, statistical analyses of the data were not valid. However, using the LOCF method of imputation for missing data, the difference between treatments</w:t>
      </w:r>
      <w:r>
        <w:t xml:space="preserve"> was marginally significant at W</w:t>
      </w:r>
      <w:r w:rsidRPr="00AD27D1">
        <w:t>eek 24.</w:t>
      </w:r>
    </w:p>
    <w:p w:rsidR="007C29D8" w:rsidRDefault="007C29D8" w:rsidP="007C29D8">
      <w:r w:rsidRPr="00AD27D1">
        <w:t xml:space="preserve">The proportion of subjects who achieved both a </w:t>
      </w:r>
      <w:r>
        <w:t xml:space="preserve">≥ </w:t>
      </w:r>
      <w:r w:rsidRPr="00AD27D1">
        <w:t xml:space="preserve">25% improvement in TSS and a </w:t>
      </w:r>
      <w:r>
        <w:t>≥ 50% reduction in steroid dose wa</w:t>
      </w:r>
      <w:r w:rsidRPr="00AD27D1">
        <w:t xml:space="preserve">s summarised. Using the multiple imputation method for missing data, statistical analyses of the data were not valid. </w:t>
      </w:r>
      <w:r>
        <w:t>U</w:t>
      </w:r>
      <w:r w:rsidRPr="00AD27D1">
        <w:t xml:space="preserve">sing the LOCF method of imputation for missing data, the difference between treatments was marginally significant at </w:t>
      </w:r>
      <w:r>
        <w:t>W</w:t>
      </w:r>
      <w:r w:rsidRPr="00AD27D1">
        <w:t>eeks 12 and 24</w:t>
      </w:r>
      <w:r>
        <w:t>.</w:t>
      </w:r>
    </w:p>
    <w:p w:rsidR="007C29D8" w:rsidRDefault="007C29D8" w:rsidP="007C29D8">
      <w:r w:rsidRPr="00AD27D1">
        <w:t xml:space="preserve">Average daily dose of corticosteroid was similar in the two treatment arms at </w:t>
      </w:r>
      <w:r>
        <w:t>B</w:t>
      </w:r>
      <w:r w:rsidRPr="00AD27D1">
        <w:t>aseline, and decreased in both arms over time.</w:t>
      </w:r>
    </w:p>
    <w:p w:rsidR="007C29D8" w:rsidRDefault="007C29D8" w:rsidP="007C29D8">
      <w:r w:rsidRPr="00AD27D1">
        <w:t xml:space="preserve">Changes in other organs were assessed based on an overall assessment of the subject’s condition by the treating physician and any available supportive diagnostic test results. The data suggest there was a favourable effect of ECP treatment on joint manifestations at </w:t>
      </w:r>
      <w:r>
        <w:t>W</w:t>
      </w:r>
      <w:r w:rsidRPr="00AD27D1">
        <w:t>eek 12. Otherwise</w:t>
      </w:r>
      <w:r>
        <w:t>,</w:t>
      </w:r>
      <w:r w:rsidRPr="00AD27D1">
        <w:t xml:space="preserve"> there were no significant differences between treatment arms.</w:t>
      </w:r>
    </w:p>
    <w:p w:rsidR="007C29D8" w:rsidRDefault="007C29D8" w:rsidP="007C29D8">
      <w:r w:rsidRPr="00032341">
        <w:t xml:space="preserve">Three subjects in the ECP group and 1 subject in the standard therapy group achieved complete resolution of skin </w:t>
      </w:r>
      <w:r>
        <w:t>chronic GvHD</w:t>
      </w:r>
      <w:r w:rsidRPr="00032341">
        <w:t xml:space="preserve"> at some time during the study. Partial resolution</w:t>
      </w:r>
      <w:r>
        <w:t xml:space="preserve"> of skin chronic GvHD </w:t>
      </w:r>
      <w:r w:rsidRPr="00032341">
        <w:t>was defined as</w:t>
      </w:r>
      <w:r>
        <w:t xml:space="preserve"> improvement in skin GvHD</w:t>
      </w:r>
      <w:r w:rsidRPr="00032341">
        <w:t xml:space="preserve"> and/or skin involvement on at least 50% of body surface area, as assessed by the investigator</w:t>
      </w:r>
      <w:r>
        <w:t>.</w:t>
      </w:r>
      <w:r w:rsidRPr="00032341">
        <w:t xml:space="preserve"> </w:t>
      </w:r>
      <w:r w:rsidRPr="007A2D96">
        <w:rPr>
          <w:lang w:val="en-US"/>
        </w:rPr>
        <w:t>Figure 2 displays the cumulative incidence of a complete or partial cutaneous response from baseline to week 12 (</w:t>
      </w:r>
      <w:r w:rsidRPr="007A2D96">
        <w:rPr>
          <w:iCs/>
          <w:lang w:val="en-US"/>
        </w:rPr>
        <w:t>p &lt; 0 .0001</w:t>
      </w:r>
      <w:r w:rsidRPr="007A2D96">
        <w:rPr>
          <w:lang w:val="en-US"/>
        </w:rPr>
        <w:t>).</w:t>
      </w:r>
      <w:r>
        <w:rPr>
          <w:lang w:val="en-US"/>
        </w:rPr>
        <w:t xml:space="preserve"> </w:t>
      </w:r>
      <w:r w:rsidRPr="00032341">
        <w:t xml:space="preserve">Sixteen (46%) subjects in the ECP group and 1 (8%) subject in the standard therapy group achieved partial resolution of skin </w:t>
      </w:r>
      <w:r>
        <w:t>chronic GvHD</w:t>
      </w:r>
      <w:r w:rsidRPr="00032341">
        <w:t xml:space="preserve"> at </w:t>
      </w:r>
      <w:r>
        <w:t>W</w:t>
      </w:r>
      <w:r w:rsidRPr="00032341">
        <w:t>eek 24.</w:t>
      </w:r>
    </w:p>
    <w:p w:rsidR="007C29D8" w:rsidRDefault="007C29D8" w:rsidP="007C29D8">
      <w:pPr>
        <w:pStyle w:val="FigureTitle"/>
      </w:pPr>
      <w:r>
        <w:t xml:space="preserve">Figure </w:t>
      </w:r>
      <w:r w:rsidR="00F75949">
        <w:fldChar w:fldCharType="begin"/>
      </w:r>
      <w:r w:rsidR="00F75949">
        <w:instrText xml:space="preserve"> SEQ Figure \* ARABIC </w:instrText>
      </w:r>
      <w:r w:rsidR="00F75949">
        <w:fldChar w:fldCharType="separate"/>
      </w:r>
      <w:r>
        <w:rPr>
          <w:noProof/>
        </w:rPr>
        <w:t>2</w:t>
      </w:r>
      <w:r w:rsidR="00F75949">
        <w:rPr>
          <w:noProof/>
        </w:rPr>
        <w:fldChar w:fldCharType="end"/>
      </w:r>
      <w:r>
        <w:t>: Study GvHD-SK1; Cumulative incidence of c</w:t>
      </w:r>
      <w:r w:rsidRPr="00032341">
        <w:t>omplete or partial resolution of skin disease</w:t>
      </w:r>
      <w:r>
        <w:t xml:space="preserve"> to Week 12</w:t>
      </w:r>
    </w:p>
    <w:p w:rsidR="007C29D8" w:rsidRDefault="007C29D8" w:rsidP="007C29D8">
      <w:r w:rsidRPr="005C7942">
        <w:rPr>
          <w:noProof/>
          <w:lang w:eastAsia="en-AU"/>
        </w:rPr>
        <w:drawing>
          <wp:inline distT="0" distB="0" distL="0" distR="0">
            <wp:extent cx="4074795" cy="2574925"/>
            <wp:effectExtent l="0" t="0" r="1905" b="0"/>
            <wp:docPr id="9" name="Picture 9" descr="Study GvHD-SK1; Cumulative incidence of complete or partial resolution of skin disease to We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Study GvHD-SK1; complete or partial resolution of skin disea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4795" cy="2574925"/>
                    </a:xfrm>
                    <a:prstGeom prst="rect">
                      <a:avLst/>
                    </a:prstGeom>
                    <a:noFill/>
                    <a:ln>
                      <a:noFill/>
                    </a:ln>
                  </pic:spPr>
                </pic:pic>
              </a:graphicData>
            </a:graphic>
          </wp:inline>
        </w:drawing>
      </w:r>
    </w:p>
    <w:p w:rsidR="007C29D8" w:rsidRDefault="007C29D8" w:rsidP="007C29D8">
      <w:r w:rsidRPr="00032341">
        <w:t>Targ</w:t>
      </w:r>
      <w:r>
        <w:t>eted Symptoms Assessment (TSA) s</w:t>
      </w:r>
      <w:r w:rsidRPr="00032341">
        <w:t>core</w:t>
      </w:r>
      <w:r>
        <w:t xml:space="preserve"> r</w:t>
      </w:r>
      <w:r w:rsidRPr="00032341">
        <w:t xml:space="preserve">esults </w:t>
      </w:r>
      <w:r>
        <w:t>were summarised</w:t>
      </w:r>
      <w:r w:rsidRPr="00032341">
        <w:t xml:space="preserve">. Percentage reductions in symptom scores were numerically greater in the ECP arm at </w:t>
      </w:r>
      <w:r>
        <w:t>W</w:t>
      </w:r>
      <w:r w:rsidRPr="00032341">
        <w:t>eeks 12 and 24.</w:t>
      </w:r>
    </w:p>
    <w:p w:rsidR="007C29D8" w:rsidRDefault="007C29D8" w:rsidP="007C29D8">
      <w:r w:rsidRPr="00144ABC">
        <w:t xml:space="preserve">The study report </w:t>
      </w:r>
      <w:r>
        <w:t xml:space="preserve">also </w:t>
      </w:r>
      <w:r w:rsidRPr="00144ABC">
        <w:t>presented the results for several exploratory endpoints.</w:t>
      </w:r>
    </w:p>
    <w:p w:rsidR="007C29D8" w:rsidRPr="009506DF" w:rsidRDefault="007C29D8" w:rsidP="007C29D8">
      <w:pPr>
        <w:pStyle w:val="Heading5"/>
        <w:rPr>
          <w:rStyle w:val="Heading5Char"/>
          <w:rFonts w:eastAsia="Cambria"/>
          <w:b/>
          <w:bCs/>
          <w:i/>
        </w:rPr>
      </w:pPr>
      <w:r w:rsidRPr="009506DF">
        <w:rPr>
          <w:rStyle w:val="Heading5Char"/>
          <w:rFonts w:eastAsia="Cambria"/>
          <w:b/>
          <w:bCs/>
          <w:i/>
        </w:rPr>
        <w:t>Study GvHD-SK-1 Extension</w:t>
      </w:r>
    </w:p>
    <w:p w:rsidR="007C29D8" w:rsidRDefault="007C29D8" w:rsidP="007C29D8">
      <w:r w:rsidRPr="009506DF">
        <w:t>Study GvHD-SK-1 Extension was</w:t>
      </w:r>
      <w:r w:rsidRPr="004A0318">
        <w:t xml:space="preserve"> an open-label single-arm extension study, which enrolled subjects who had participated in the control arm of </w:t>
      </w:r>
      <w:r>
        <w:t>Study GvHD</w:t>
      </w:r>
      <w:r w:rsidRPr="004A0318">
        <w:t>-SK1.</w:t>
      </w:r>
      <w:r w:rsidRPr="00E66C17">
        <w:t xml:space="preserve"> The study was conducted at 15 of the original 23 study centres involved in </w:t>
      </w:r>
      <w:r>
        <w:t>Study GvHD</w:t>
      </w:r>
      <w:r w:rsidRPr="00E66C17">
        <w:t>-SK1. The study commenced in September 2003 and was completed in May 2006. The study report was dated 11 March 2009.</w:t>
      </w:r>
    </w:p>
    <w:p w:rsidR="007C29D8" w:rsidRDefault="007C29D8" w:rsidP="007C29D8">
      <w:r w:rsidRPr="004A0318">
        <w:lastRenderedPageBreak/>
        <w:t xml:space="preserve">The overall objective was to provide subjects who were previously randomised into the standard therapy group of </w:t>
      </w:r>
      <w:r>
        <w:t>Study GvHD</w:t>
      </w:r>
      <w:r w:rsidRPr="004A0318">
        <w:t>-SK1 access to ECP treatment upon skin disease progression or if their skin disease failed to respond adequately after three months</w:t>
      </w:r>
      <w:r>
        <w:t>.</w:t>
      </w:r>
    </w:p>
    <w:p w:rsidR="007C29D8" w:rsidRDefault="007C29D8" w:rsidP="007C29D8">
      <w:r w:rsidRPr="00E66C17">
        <w:t xml:space="preserve">All subjects were treated with ECP. The ECP treatment regimen was identical to that used in </w:t>
      </w:r>
      <w:r>
        <w:t>S</w:t>
      </w:r>
      <w:r w:rsidRPr="00E66C17">
        <w:t xml:space="preserve">tudy </w:t>
      </w:r>
      <w:r>
        <w:t>GvHD</w:t>
      </w:r>
      <w:r w:rsidRPr="00E66C17">
        <w:t>-SK1. Subjects were to continue the standard therapy they received in that study (corticosteroids, CSA or tacrolimus, with or without MMF).</w:t>
      </w:r>
    </w:p>
    <w:p w:rsidR="007C29D8" w:rsidRDefault="007C29D8" w:rsidP="007C29D8">
      <w:r w:rsidRPr="00F649ED">
        <w:t xml:space="preserve">The primary efficacy endpoint was percentage change in TSS at </w:t>
      </w:r>
      <w:r>
        <w:t>W</w:t>
      </w:r>
      <w:r w:rsidRPr="00F649ED">
        <w:t xml:space="preserve">eek 12, as defined in </w:t>
      </w:r>
      <w:r>
        <w:t>S</w:t>
      </w:r>
      <w:r w:rsidRPr="00F649ED">
        <w:t xml:space="preserve">tudy </w:t>
      </w:r>
      <w:r>
        <w:t>GvHD</w:t>
      </w:r>
      <w:r w:rsidRPr="00F649ED">
        <w:t>-SK1</w:t>
      </w:r>
      <w:r>
        <w:t>,</w:t>
      </w:r>
      <w:r w:rsidRPr="00F649ED">
        <w:t xml:space="preserve"> </w:t>
      </w:r>
      <w:r>
        <w:t xml:space="preserve">described </w:t>
      </w:r>
      <w:r w:rsidRPr="00F649ED">
        <w:t>above.</w:t>
      </w:r>
    </w:p>
    <w:p w:rsidR="007C29D8" w:rsidRDefault="007C29D8" w:rsidP="007C29D8">
      <w:r w:rsidRPr="00F649ED">
        <w:t>A total of 29 subjects were enrolled and treated. Of these, 25 subjects completed the study, and 4 subjects discontinued prematurely (1 death due to suicide, 2 due to adverse events and 1 due to withdrawal of consent</w:t>
      </w:r>
      <w:r>
        <w:t>).</w:t>
      </w:r>
    </w:p>
    <w:p w:rsidR="007C29D8" w:rsidRDefault="007C29D8" w:rsidP="007C29D8">
      <w:r>
        <w:t>Four</w:t>
      </w:r>
      <w:r w:rsidRPr="00F649ED">
        <w:t xml:space="preserve"> subjects were excluded from the per-</w:t>
      </w:r>
      <w:r>
        <w:t>p</w:t>
      </w:r>
      <w:r w:rsidRPr="00F649ED">
        <w:t xml:space="preserve">rotocol population. All </w:t>
      </w:r>
      <w:r>
        <w:t xml:space="preserve">four </w:t>
      </w:r>
      <w:r w:rsidRPr="00F649ED">
        <w:t xml:space="preserve">were excluded because their dose of immunosuppressant medication changed from </w:t>
      </w:r>
      <w:r>
        <w:t>B</w:t>
      </w:r>
      <w:r w:rsidRPr="00F649ED">
        <w:t xml:space="preserve">aseline by more than 25% during the randomised portion of </w:t>
      </w:r>
      <w:r>
        <w:t>S</w:t>
      </w:r>
      <w:r w:rsidRPr="00F649ED">
        <w:t xml:space="preserve">tudy </w:t>
      </w:r>
      <w:r>
        <w:t>GvHD</w:t>
      </w:r>
      <w:r w:rsidRPr="00F649ED">
        <w:t>-SK1.</w:t>
      </w:r>
    </w:p>
    <w:p w:rsidR="007C29D8" w:rsidRDefault="007C29D8" w:rsidP="007C29D8">
      <w:r w:rsidRPr="00F649ED">
        <w:t xml:space="preserve">Baseline demographic data </w:t>
      </w:r>
      <w:r>
        <w:t>showed a m</w:t>
      </w:r>
      <w:r w:rsidRPr="00F649ED">
        <w:t xml:space="preserve">edian age </w:t>
      </w:r>
      <w:r>
        <w:t xml:space="preserve">of 43.0 years (range 20 to </w:t>
      </w:r>
      <w:r w:rsidRPr="00F649ED">
        <w:t>67). There were 15 males and 14 females. All were Caucasian.</w:t>
      </w:r>
    </w:p>
    <w:p w:rsidR="007C29D8" w:rsidRDefault="007C29D8" w:rsidP="007C29D8">
      <w:r>
        <w:t>Twenty</w:t>
      </w:r>
      <w:r w:rsidRPr="00F649ED">
        <w:t xml:space="preserve"> subjects were evaluable for efficacy at </w:t>
      </w:r>
      <w:r>
        <w:t>W</w:t>
      </w:r>
      <w:r w:rsidRPr="00F649ED">
        <w:t>eek 12.</w:t>
      </w:r>
    </w:p>
    <w:p w:rsidR="007C29D8" w:rsidRDefault="007C29D8" w:rsidP="007C29D8">
      <w:r w:rsidRPr="00F649ED">
        <w:t xml:space="preserve">Median percentage change from </w:t>
      </w:r>
      <w:r>
        <w:t>B</w:t>
      </w:r>
      <w:r w:rsidRPr="00F649ED">
        <w:t xml:space="preserve">aseline in TSS </w:t>
      </w:r>
      <w:r>
        <w:t xml:space="preserve">(primary efficacy outcome) </w:t>
      </w:r>
      <w:r w:rsidRPr="00F649ED">
        <w:t xml:space="preserve">was </w:t>
      </w:r>
      <w:r>
        <w:noBreakHyphen/>
      </w:r>
      <w:r w:rsidRPr="00F649ED">
        <w:t>8.0% (compared with -14.5% in the ECP arm of the controlled study).</w:t>
      </w:r>
    </w:p>
    <w:p w:rsidR="007C29D8" w:rsidRDefault="007C29D8" w:rsidP="007C29D8">
      <w:r w:rsidRPr="00317C88">
        <w:t>No results were presented in the study report for the other secondary efficacy endpoints.</w:t>
      </w:r>
    </w:p>
    <w:p w:rsidR="007C29D8" w:rsidRDefault="007C29D8" w:rsidP="007C29D8">
      <w:r w:rsidRPr="00317C88">
        <w:t>According to the published version of the study, results for other secondary endpoints included</w:t>
      </w:r>
      <w:r>
        <w:t>:</w:t>
      </w:r>
    </w:p>
    <w:p w:rsidR="007C29D8" w:rsidRDefault="007C29D8" w:rsidP="007C29D8">
      <w:pPr>
        <w:pStyle w:val="ListBullet"/>
        <w:numPr>
          <w:ilvl w:val="0"/>
          <w:numId w:val="3"/>
        </w:numPr>
      </w:pPr>
      <w:r>
        <w:t>C</w:t>
      </w:r>
      <w:r w:rsidRPr="00317C88">
        <w:t xml:space="preserve">omplete and partial cutaneous responses (by investigator assessment) were observed in 26% and 31% of patients at </w:t>
      </w:r>
      <w:r>
        <w:t>W</w:t>
      </w:r>
      <w:r w:rsidRPr="00317C88">
        <w:t>eeks 12 and 24 respectively;</w:t>
      </w:r>
      <w:r>
        <w:t xml:space="preserve"> and</w:t>
      </w:r>
    </w:p>
    <w:p w:rsidR="007C29D8" w:rsidRPr="00317C88" w:rsidRDefault="007C29D8" w:rsidP="007C29D8">
      <w:pPr>
        <w:pStyle w:val="ListBullet"/>
        <w:numPr>
          <w:ilvl w:val="0"/>
          <w:numId w:val="3"/>
        </w:numPr>
      </w:pPr>
      <w:r w:rsidRPr="00317C88">
        <w:t xml:space="preserve">17% and 33% of patients achieved a </w:t>
      </w:r>
      <w:r>
        <w:t>≥</w:t>
      </w:r>
      <w:r w:rsidRPr="00317C88">
        <w:t xml:space="preserve"> 50% reduction in corticosteroid dose at </w:t>
      </w:r>
      <w:r>
        <w:t>W</w:t>
      </w:r>
      <w:r w:rsidRPr="00317C88">
        <w:t>eeks</w:t>
      </w:r>
      <w:r>
        <w:t> </w:t>
      </w:r>
      <w:r w:rsidRPr="00317C88">
        <w:t>12 and 24 respectively</w:t>
      </w:r>
      <w:r>
        <w:t>.</w:t>
      </w:r>
    </w:p>
    <w:p w:rsidR="007C29D8" w:rsidRDefault="007C29D8" w:rsidP="007C29D8">
      <w:pPr>
        <w:pStyle w:val="Heading5"/>
      </w:pPr>
      <w:r w:rsidRPr="009506DF">
        <w:rPr>
          <w:rFonts w:eastAsia="Cambria"/>
        </w:rPr>
        <w:t>Study TKS-01</w:t>
      </w:r>
    </w:p>
    <w:p w:rsidR="007C29D8" w:rsidRDefault="007C29D8" w:rsidP="007C29D8">
      <w:r w:rsidRPr="009506DF">
        <w:t>Study TKS-01 was</w:t>
      </w:r>
      <w:r w:rsidRPr="00712EF1">
        <w:t xml:space="preserve"> </w:t>
      </w:r>
      <w:r>
        <w:t xml:space="preserve">an open label, single arm study. </w:t>
      </w:r>
      <w:r w:rsidRPr="00712EF1">
        <w:t>The trial was conducted at 3</w:t>
      </w:r>
      <w:r>
        <w:t> </w:t>
      </w:r>
      <w:r w:rsidRPr="00712EF1">
        <w:t>institutions in Japan. It commenced in August 2014 and was completed in June 2016. The study report was dated 13 October 2016.</w:t>
      </w:r>
    </w:p>
    <w:p w:rsidR="007C29D8" w:rsidRPr="00712EF1" w:rsidRDefault="007C29D8" w:rsidP="007C29D8">
      <w:r w:rsidRPr="00712EF1">
        <w:t xml:space="preserve">The objective of the study was to evaluate the efficacy and safety of ECP therapy using the </w:t>
      </w:r>
      <w:r>
        <w:t>Cellex</w:t>
      </w:r>
      <w:r w:rsidRPr="00712EF1">
        <w:t xml:space="preserve"> device in patients with </w:t>
      </w:r>
      <w:r>
        <w:t>chronic GvHD</w:t>
      </w:r>
      <w:r w:rsidRPr="00712EF1">
        <w:t>.</w:t>
      </w:r>
    </w:p>
    <w:p w:rsidR="007C29D8" w:rsidRPr="00940CD4" w:rsidRDefault="007C29D8" w:rsidP="007C29D8">
      <w:r>
        <w:t>Included p</w:t>
      </w:r>
      <w:r w:rsidRPr="00712EF1">
        <w:t xml:space="preserve">atients </w:t>
      </w:r>
      <w:r>
        <w:t xml:space="preserve">were </w:t>
      </w:r>
      <w:r w:rsidRPr="00712EF1">
        <w:t xml:space="preserve">diagnosed with </w:t>
      </w:r>
      <w:r>
        <w:t>chronic GvHD</w:t>
      </w:r>
      <w:r w:rsidRPr="00712EF1">
        <w:t xml:space="preserve"> according to </w:t>
      </w:r>
      <w:r>
        <w:t>GvHD</w:t>
      </w:r>
      <w:r w:rsidRPr="00712EF1">
        <w:t xml:space="preserve"> guideline</w:t>
      </w:r>
      <w:r>
        <w:t>s</w:t>
      </w:r>
      <w:r w:rsidRPr="00712EF1">
        <w:t xml:space="preserve"> after transplantation of hematopoietic stem cells derived from a related or unrelated donor.</w:t>
      </w:r>
      <w:r>
        <w:t xml:space="preserve"> Included pa</w:t>
      </w:r>
      <w:r w:rsidRPr="00940CD4">
        <w:t>tients who were judged to be steroid-resistant, dependent or intolerant according to the following:</w:t>
      </w:r>
    </w:p>
    <w:p w:rsidR="007C29D8" w:rsidRPr="00940CD4" w:rsidRDefault="007C29D8" w:rsidP="007C29D8">
      <w:pPr>
        <w:pStyle w:val="ListBullet"/>
        <w:numPr>
          <w:ilvl w:val="0"/>
          <w:numId w:val="3"/>
        </w:numPr>
      </w:pPr>
      <w:r>
        <w:t>E</w:t>
      </w:r>
      <w:r w:rsidRPr="00940CD4">
        <w:t xml:space="preserve">xacerbation even with the administration of 1 </w:t>
      </w:r>
      <w:r>
        <w:t>mg/kg/day of prednisolone for 2 </w:t>
      </w:r>
      <w:r w:rsidRPr="00940CD4">
        <w:t>weeks;</w:t>
      </w:r>
      <w:r>
        <w:t xml:space="preserve"> or</w:t>
      </w:r>
    </w:p>
    <w:p w:rsidR="007C29D8" w:rsidRPr="00940CD4" w:rsidRDefault="007C29D8" w:rsidP="007C29D8">
      <w:pPr>
        <w:pStyle w:val="ListBullet"/>
        <w:numPr>
          <w:ilvl w:val="0"/>
          <w:numId w:val="3"/>
        </w:numPr>
      </w:pPr>
      <w:r>
        <w:t>N</w:t>
      </w:r>
      <w:r w:rsidRPr="00940CD4">
        <w:t>o improvement even after the continued administration of 0.5 mg/kg/day or more of prednisolone for 4 to 8 weeks;</w:t>
      </w:r>
      <w:r>
        <w:t xml:space="preserve"> or</w:t>
      </w:r>
    </w:p>
    <w:p w:rsidR="007C29D8" w:rsidRPr="00940CD4" w:rsidRDefault="007C29D8" w:rsidP="007C29D8">
      <w:pPr>
        <w:pStyle w:val="ListBullet"/>
        <w:numPr>
          <w:ilvl w:val="0"/>
          <w:numId w:val="3"/>
        </w:numPr>
      </w:pPr>
      <w:r>
        <w:t>T</w:t>
      </w:r>
      <w:r w:rsidRPr="00940CD4">
        <w:t xml:space="preserve">he dose of prednisolone could not be decreased to less than 0.5 mg/kg/day </w:t>
      </w:r>
      <w:r>
        <w:t>due to flare-up of symptoms; or</w:t>
      </w:r>
    </w:p>
    <w:p w:rsidR="007C29D8" w:rsidRPr="00940CD4" w:rsidRDefault="007C29D8" w:rsidP="007C29D8">
      <w:pPr>
        <w:pStyle w:val="ListBullet"/>
        <w:numPr>
          <w:ilvl w:val="0"/>
          <w:numId w:val="3"/>
        </w:numPr>
      </w:pPr>
      <w:r>
        <w:t>L</w:t>
      </w:r>
      <w:r w:rsidRPr="00940CD4">
        <w:t>ong-term decrease in dose of prednisolone to 0.25 mg/kg/day or lower was not possible;</w:t>
      </w:r>
      <w:r>
        <w:t xml:space="preserve"> or</w:t>
      </w:r>
    </w:p>
    <w:p w:rsidR="007C29D8" w:rsidRDefault="007C29D8" w:rsidP="007C29D8">
      <w:pPr>
        <w:pStyle w:val="ListBullet"/>
        <w:numPr>
          <w:ilvl w:val="0"/>
          <w:numId w:val="3"/>
        </w:numPr>
      </w:pPr>
      <w:r w:rsidRPr="00940CD4">
        <w:t>The patient was intolerant to steroids due to side effects.</w:t>
      </w:r>
    </w:p>
    <w:p w:rsidR="007C29D8" w:rsidRDefault="007C29D8" w:rsidP="007C29D8">
      <w:r w:rsidRPr="00940CD4">
        <w:lastRenderedPageBreak/>
        <w:t xml:space="preserve">All subjects were treated with ECP. The ECP treatment regimen was identical to that used in </w:t>
      </w:r>
      <w:r>
        <w:t>S</w:t>
      </w:r>
      <w:r w:rsidRPr="00940CD4">
        <w:t xml:space="preserve">tudy </w:t>
      </w:r>
      <w:r>
        <w:t>GvHD</w:t>
      </w:r>
      <w:r w:rsidRPr="00940CD4">
        <w:t>-SK1.</w:t>
      </w:r>
    </w:p>
    <w:p w:rsidR="007C29D8" w:rsidRDefault="007C29D8" w:rsidP="007C29D8">
      <w:r w:rsidRPr="00940CD4">
        <w:t xml:space="preserve">The introduction of other drugs used to treat </w:t>
      </w:r>
      <w:r>
        <w:t>chronic GvHD</w:t>
      </w:r>
      <w:r w:rsidRPr="00940CD4">
        <w:t xml:space="preserve"> were prohibited during the trial. For subjects who were on such drugs at </w:t>
      </w:r>
      <w:r>
        <w:t>B</w:t>
      </w:r>
      <w:r w:rsidRPr="00940CD4">
        <w:t>aseline, the dose could not be increased except to maintain therapeutic drug concentrations.</w:t>
      </w:r>
    </w:p>
    <w:p w:rsidR="007C29D8" w:rsidRDefault="007C29D8" w:rsidP="007C29D8">
      <w:r w:rsidRPr="00940CD4">
        <w:t xml:space="preserve">The primary efficacy endpoint was a composite endpoint which combined an assessment of </w:t>
      </w:r>
      <w:r>
        <w:t>‘</w:t>
      </w:r>
      <w:r w:rsidRPr="00940CD4">
        <w:t>response</w:t>
      </w:r>
      <w:r>
        <w:t>’</w:t>
      </w:r>
      <w:r w:rsidRPr="00940CD4">
        <w:t xml:space="preserve"> with an assessment of change in steroid dose. This endpoint was measured at </w:t>
      </w:r>
      <w:r>
        <w:t>W</w:t>
      </w:r>
      <w:r w:rsidRPr="00940CD4">
        <w:t>eek 24.</w:t>
      </w:r>
      <w:r>
        <w:t xml:space="preserve"> </w:t>
      </w:r>
      <w:r w:rsidRPr="009816B6">
        <w:t>Responses were evaluated as</w:t>
      </w:r>
      <w:r>
        <w:t xml:space="preserve"> complete response (CR), partial response (PR), no change (NC) or progressive GvHD (PG). T</w:t>
      </w:r>
      <w:r w:rsidRPr="009816B6">
        <w:t xml:space="preserve">reatment was assessed as being </w:t>
      </w:r>
      <w:r>
        <w:t>‘</w:t>
      </w:r>
      <w:r w:rsidRPr="009816B6">
        <w:t>effective</w:t>
      </w:r>
      <w:r>
        <w:t>’</w:t>
      </w:r>
      <w:r w:rsidRPr="009816B6">
        <w:t xml:space="preserve"> or having </w:t>
      </w:r>
      <w:r>
        <w:t>‘</w:t>
      </w:r>
      <w:r w:rsidRPr="009816B6">
        <w:t>no effect</w:t>
      </w:r>
      <w:r>
        <w:t xml:space="preserve">’ based on </w:t>
      </w:r>
      <w:r w:rsidRPr="009816B6">
        <w:t>response assess</w:t>
      </w:r>
      <w:r>
        <w:t>ment and change in steroid dose.</w:t>
      </w:r>
    </w:p>
    <w:p w:rsidR="007C29D8" w:rsidRDefault="007C29D8" w:rsidP="007C29D8">
      <w:r>
        <w:t>Fifteen</w:t>
      </w:r>
      <w:r w:rsidRPr="009816B6">
        <w:t xml:space="preserve"> subjects were enrolled and treated. 12 subjects completed 24 weeks of treatment. Three subjects discontinued prematurely</w:t>
      </w:r>
      <w:r>
        <w:t>;</w:t>
      </w:r>
      <w:r w:rsidRPr="009816B6">
        <w:t xml:space="preserve"> 2 due to an </w:t>
      </w:r>
      <w:r>
        <w:t>adverse event (</w:t>
      </w:r>
      <w:r w:rsidRPr="009816B6">
        <w:t>AE</w:t>
      </w:r>
      <w:r>
        <w:t>)</w:t>
      </w:r>
      <w:r w:rsidRPr="009816B6">
        <w:t xml:space="preserve"> and 1 due to worsening of </w:t>
      </w:r>
      <w:r>
        <w:t>chronic GvHD</w:t>
      </w:r>
      <w:r w:rsidRPr="009816B6">
        <w:t>.</w:t>
      </w:r>
    </w:p>
    <w:p w:rsidR="007C29D8" w:rsidRDefault="007C29D8" w:rsidP="007C29D8">
      <w:r w:rsidRPr="009816B6">
        <w:t>Medi</w:t>
      </w:r>
      <w:r>
        <w:t xml:space="preserve">an age was 46.0 years (range 18 to </w:t>
      </w:r>
      <w:r w:rsidRPr="009816B6">
        <w:t>66). There were 10 males and 5 females. Race was not stated but presumably all were Japanese. The indication for transplant was leukaemia in 9 subjects, lymphoma in 3 subjects and myelodysplastic syndrome in 3 subjects.</w:t>
      </w:r>
    </w:p>
    <w:p w:rsidR="007C29D8" w:rsidRDefault="007C29D8" w:rsidP="007C29D8">
      <w:r w:rsidRPr="009816B6">
        <w:t xml:space="preserve">Eight of the 15 subjects achieved a partial response. The response rate was 53.3% (95% </w:t>
      </w:r>
      <w:r>
        <w:t>confidence interval (</w:t>
      </w:r>
      <w:r w:rsidRPr="009816B6">
        <w:t>CI</w:t>
      </w:r>
      <w:r>
        <w:t>)</w:t>
      </w:r>
      <w:r w:rsidRPr="009816B6">
        <w:t>: 26.6 to 78.7). Treatment was deemed ‘effective’ in the same 8</w:t>
      </w:r>
      <w:r>
        <w:t> </w:t>
      </w:r>
      <w:r w:rsidRPr="009816B6">
        <w:t>patients.</w:t>
      </w:r>
    </w:p>
    <w:p w:rsidR="007C29D8" w:rsidRDefault="007C29D8" w:rsidP="007C29D8">
      <w:r>
        <w:t xml:space="preserve">In the </w:t>
      </w:r>
      <w:r w:rsidRPr="009816B6">
        <w:t>per-protocol analysis</w:t>
      </w:r>
      <w:r>
        <w:t xml:space="preserve"> </w:t>
      </w:r>
      <w:r w:rsidRPr="009816B6">
        <w:t>the response rate was 8 of 12 subjects (66.7%; 95%CI: 34.9 to 90.1)</w:t>
      </w:r>
      <w:r>
        <w:t>.</w:t>
      </w:r>
    </w:p>
    <w:p w:rsidR="007C29D8" w:rsidRDefault="007C29D8" w:rsidP="007C29D8">
      <w:r w:rsidRPr="00261A2F">
        <w:t xml:space="preserve">Results </w:t>
      </w:r>
      <w:r>
        <w:t>for response over time were</w:t>
      </w:r>
      <w:r w:rsidRPr="00261A2F">
        <w:t xml:space="preserve"> summarised. </w:t>
      </w:r>
      <w:r>
        <w:t>Twelve</w:t>
      </w:r>
      <w:r w:rsidRPr="00261A2F">
        <w:t xml:space="preserve"> of the </w:t>
      </w:r>
      <w:r>
        <w:t xml:space="preserve">15 subjects (80%; 95%CI: 51.9 to </w:t>
      </w:r>
      <w:r w:rsidRPr="00261A2F">
        <w:t>95.7) achieved a partial response at some time</w:t>
      </w:r>
      <w:r>
        <w:t xml:space="preserve"> </w:t>
      </w:r>
      <w:r w:rsidRPr="00261A2F">
        <w:t>point during the study.</w:t>
      </w:r>
    </w:p>
    <w:p w:rsidR="007C29D8" w:rsidRDefault="007C29D8" w:rsidP="007C29D8">
      <w:r w:rsidRPr="00261A2F">
        <w:t>Average daily steroid dose decreased over the first 16 weeks of the study</w:t>
      </w:r>
      <w:r>
        <w:t xml:space="preserve">. At Week 24, 9 subjects had a reduction in steroid dose. </w:t>
      </w:r>
      <w:r w:rsidRPr="00261A2F">
        <w:t xml:space="preserve">Two subjects had reductions in </w:t>
      </w:r>
      <w:r>
        <w:t xml:space="preserve">other </w:t>
      </w:r>
      <w:r w:rsidRPr="00261A2F">
        <w:t>medications</w:t>
      </w:r>
      <w:r>
        <w:t xml:space="preserve"> used to treat GvHD </w:t>
      </w:r>
      <w:r w:rsidRPr="00261A2F">
        <w:t>(1 mycophenolate and 1 tacrolimus)</w:t>
      </w:r>
      <w:r>
        <w:t>. There were no notable improvements in quality of life over time.</w:t>
      </w:r>
    </w:p>
    <w:p w:rsidR="007C29D8" w:rsidRPr="00850302" w:rsidRDefault="007C29D8" w:rsidP="007C29D8">
      <w:pPr>
        <w:pStyle w:val="Heading5"/>
        <w:rPr>
          <w:rStyle w:val="Heading5Char"/>
          <w:rFonts w:eastAsia="Cambria"/>
          <w:b/>
          <w:bCs/>
          <w:i/>
        </w:rPr>
      </w:pPr>
      <w:r w:rsidRPr="00850302">
        <w:rPr>
          <w:rStyle w:val="Heading5Char"/>
          <w:rFonts w:eastAsia="Cambria"/>
          <w:b/>
          <w:bCs/>
          <w:i/>
        </w:rPr>
        <w:t>Study 10-005</w:t>
      </w:r>
    </w:p>
    <w:p w:rsidR="007C29D8" w:rsidRDefault="007C29D8" w:rsidP="007C29D8">
      <w:r w:rsidRPr="00850302">
        <w:t>Study 10-005 was a randomised</w:t>
      </w:r>
      <w:r w:rsidRPr="004E74E3">
        <w:t>, open-label parallel gro</w:t>
      </w:r>
      <w:r>
        <w:t>up trial in subjects with newly</w:t>
      </w:r>
      <w:r>
        <w:noBreakHyphen/>
      </w:r>
      <w:r w:rsidRPr="004E74E3">
        <w:t xml:space="preserve">diagnosed </w:t>
      </w:r>
      <w:r>
        <w:t>chronic GvHD. It was not a requirement for subjects to have steroid refractory chronic GvHD.</w:t>
      </w:r>
    </w:p>
    <w:p w:rsidR="007C29D8" w:rsidRDefault="007C29D8" w:rsidP="007C29D8">
      <w:r w:rsidRPr="004E74E3">
        <w:t xml:space="preserve">The sponsor also presented summaries of clinical data obtained from the two centres in Australia where ECP is currently performed. </w:t>
      </w:r>
      <w:r>
        <w:t>Uvadex</w:t>
      </w:r>
      <w:r w:rsidRPr="004E74E3">
        <w:t xml:space="preserve"> has been supplied to these centres under the Special Access Scheme (SAS) for unregistered drugs.</w:t>
      </w:r>
      <w:r>
        <w:rPr>
          <w:rStyle w:val="FootnoteReference"/>
        </w:rPr>
        <w:footnoteReference w:id="1"/>
      </w:r>
      <w:r w:rsidRPr="004E74E3">
        <w:t xml:space="preserve"> </w:t>
      </w:r>
      <w:r w:rsidRPr="00805669">
        <w:t xml:space="preserve">The submission </w:t>
      </w:r>
      <w:r>
        <w:t xml:space="preserve">also </w:t>
      </w:r>
      <w:r w:rsidRPr="00805669">
        <w:t>included published meta-analyses of clinical trial data on the efficacy of ECP in c</w:t>
      </w:r>
      <w:r>
        <w:t>hronic GvHD</w:t>
      </w:r>
      <w:r w:rsidRPr="00805669">
        <w:t>.</w:t>
      </w:r>
    </w:p>
    <w:p w:rsidR="007C29D8" w:rsidRPr="00850302" w:rsidRDefault="007C29D8" w:rsidP="007C29D8">
      <w:pPr>
        <w:pStyle w:val="Heading5"/>
      </w:pPr>
      <w:r w:rsidRPr="00850302">
        <w:rPr>
          <w:rStyle w:val="Heading5Char"/>
          <w:rFonts w:eastAsia="Cambria"/>
          <w:b/>
          <w:bCs/>
          <w:i/>
        </w:rPr>
        <w:t>Study Acute GvHD-1</w:t>
      </w:r>
    </w:p>
    <w:p w:rsidR="007C29D8" w:rsidRPr="00805669" w:rsidRDefault="007C29D8" w:rsidP="007C29D8">
      <w:r w:rsidRPr="00850302">
        <w:t>Study Acute GvHD-1 was</w:t>
      </w:r>
      <w:r w:rsidRPr="00805669">
        <w:t xml:space="preserve"> </w:t>
      </w:r>
      <w:r>
        <w:t xml:space="preserve">a randomised, controlled open </w:t>
      </w:r>
      <w:r w:rsidRPr="00805669">
        <w:t>label study with two parallel groups (ECP plus standard therapy</w:t>
      </w:r>
      <w:r>
        <w:t xml:space="preserve"> versus </w:t>
      </w:r>
      <w:r w:rsidRPr="00805669">
        <w:t>standard therapy alone). It was conducted between 2006 and 2007. The study was planned to be multinational, multicentre trial.</w:t>
      </w:r>
    </w:p>
    <w:p w:rsidR="007C29D8" w:rsidRDefault="007C29D8" w:rsidP="007C29D8">
      <w:r w:rsidRPr="00742169">
        <w:t xml:space="preserve">The trial enrolled adult </w:t>
      </w:r>
      <w:r>
        <w:t>subjects with new onset acute GvHD (G</w:t>
      </w:r>
      <w:r w:rsidRPr="00742169">
        <w:t xml:space="preserve">rade II to III). In order to be eligible subjects must have been randomised within 72 </w:t>
      </w:r>
      <w:r>
        <w:t>hours</w:t>
      </w:r>
      <w:r w:rsidRPr="00742169">
        <w:t xml:space="preserve"> of initial diagnosis. The first </w:t>
      </w:r>
      <w:r w:rsidRPr="00742169">
        <w:lastRenderedPageBreak/>
        <w:t xml:space="preserve">dose of corticosteroid treatment must have been administered within 24 </w:t>
      </w:r>
      <w:r>
        <w:t>hours</w:t>
      </w:r>
      <w:r w:rsidRPr="00742169">
        <w:t xml:space="preserve"> of initial diagnosis.</w:t>
      </w:r>
    </w:p>
    <w:p w:rsidR="007C29D8" w:rsidRDefault="007C29D8" w:rsidP="007C29D8">
      <w:r w:rsidRPr="00742169">
        <w:t xml:space="preserve">The primary efficacy variable in this study was complete resolution of acute </w:t>
      </w:r>
      <w:r>
        <w:t>GvHD</w:t>
      </w:r>
      <w:r w:rsidRPr="00742169">
        <w:t xml:space="preserve">, defined as &lt; Grade I </w:t>
      </w:r>
      <w:r>
        <w:t>acute GvHD</w:t>
      </w:r>
      <w:r w:rsidRPr="00742169">
        <w:t>, according to the modified Glucksberg criteria</w:t>
      </w:r>
      <w:r>
        <w:t>.</w:t>
      </w:r>
      <w:r>
        <w:rPr>
          <w:rStyle w:val="FootnoteReference"/>
        </w:rPr>
        <w:footnoteReference w:id="2"/>
      </w:r>
      <w:r w:rsidRPr="00742169">
        <w:t xml:space="preserve"> The primary endpoint was treatment success defined as complete resolution of acute </w:t>
      </w:r>
      <w:r>
        <w:t>GvHD</w:t>
      </w:r>
      <w:r w:rsidRPr="00742169">
        <w:t xml:space="preserve"> at Weeks 4 and 8.</w:t>
      </w:r>
    </w:p>
    <w:p w:rsidR="007C29D8" w:rsidRDefault="007C29D8" w:rsidP="007C29D8">
      <w:r w:rsidRPr="00742169">
        <w:t xml:space="preserve">The study was terminated by the sponsor due to slow recruitment. Only 19 subjects had been </w:t>
      </w:r>
      <w:r>
        <w:t>enrolled</w:t>
      </w:r>
      <w:r w:rsidRPr="00742169">
        <w:t xml:space="preserve">. Complete resolution of </w:t>
      </w:r>
      <w:r>
        <w:t>acute GvHD</w:t>
      </w:r>
      <w:r w:rsidRPr="00742169">
        <w:t xml:space="preserve"> at </w:t>
      </w:r>
      <w:r>
        <w:t>W</w:t>
      </w:r>
      <w:r w:rsidRPr="00742169">
        <w:t>eeks 4 and 8 was achieved by 33.3% of subjects in both treatment arms.</w:t>
      </w:r>
    </w:p>
    <w:p w:rsidR="007C29D8" w:rsidRPr="00850302" w:rsidRDefault="007C29D8" w:rsidP="007C29D8">
      <w:pPr>
        <w:pStyle w:val="Heading5"/>
      </w:pPr>
      <w:r w:rsidRPr="00850302">
        <w:rPr>
          <w:rStyle w:val="Heading5Char"/>
          <w:rFonts w:eastAsia="Cambria"/>
          <w:b/>
          <w:bCs/>
          <w:i/>
        </w:rPr>
        <w:t>Study TKS-2014-001</w:t>
      </w:r>
    </w:p>
    <w:p w:rsidR="007C29D8" w:rsidRPr="00742169" w:rsidRDefault="007C29D8" w:rsidP="007C29D8">
      <w:r w:rsidRPr="00850302">
        <w:t>Study TKS-2014-001 was to enrol</w:t>
      </w:r>
      <w:r w:rsidRPr="00742169">
        <w:t xml:space="preserve"> </w:t>
      </w:r>
      <w:r>
        <w:t xml:space="preserve">paediatric subjects (age 1 to </w:t>
      </w:r>
      <w:r w:rsidRPr="00742169">
        <w:t xml:space="preserve">21) with steroid-refractory </w:t>
      </w:r>
      <w:r>
        <w:t>acute GvHD</w:t>
      </w:r>
      <w:r w:rsidRPr="00742169">
        <w:t>.</w:t>
      </w:r>
      <w:r>
        <w:t xml:space="preserve"> A protocol for the study was included in the submission. </w:t>
      </w:r>
      <w:r w:rsidRPr="00E10E8A">
        <w:t xml:space="preserve">This study </w:t>
      </w:r>
      <w:r>
        <w:t xml:space="preserve">is an ongoing, single arm, open </w:t>
      </w:r>
      <w:r w:rsidRPr="00E10E8A">
        <w:t>label, multicentre trial</w:t>
      </w:r>
      <w:r>
        <w:t>. An interim analysis was included in the sponsor’s response to TGA’s request for further information, with 11 subjects who had completed 12 weeks of treatment of 48 planned subjects.</w:t>
      </w:r>
    </w:p>
    <w:p w:rsidR="007C29D8" w:rsidRPr="00B5467D" w:rsidRDefault="007C29D8" w:rsidP="007C29D8">
      <w:r w:rsidRPr="00B5467D">
        <w:t xml:space="preserve">Published retrospective studies of the efficacy of ECP in </w:t>
      </w:r>
      <w:r>
        <w:t>acute GvHD</w:t>
      </w:r>
      <w:r w:rsidRPr="00B5467D">
        <w:t xml:space="preserve"> were included. Complete response rates varied from 10 to 87%. The SAS data provided from the Victorian Comprehensive Cancer Centre indicated that 3 subjects with </w:t>
      </w:r>
      <w:r>
        <w:t>acute GvHD</w:t>
      </w:r>
      <w:r w:rsidRPr="00B5467D">
        <w:t xml:space="preserve"> had been treated.</w:t>
      </w:r>
    </w:p>
    <w:p w:rsidR="007C29D8" w:rsidRPr="00C818BB" w:rsidRDefault="007C29D8" w:rsidP="007C29D8">
      <w:pPr>
        <w:pStyle w:val="Heading4"/>
      </w:pPr>
      <w:r>
        <w:t>S</w:t>
      </w:r>
      <w:r w:rsidRPr="00C818BB">
        <w:t>afety</w:t>
      </w:r>
    </w:p>
    <w:p w:rsidR="007C29D8" w:rsidRPr="00B5467D" w:rsidRDefault="007C29D8" w:rsidP="007C29D8">
      <w:r w:rsidRPr="00B5467D">
        <w:t>In the sponsor</w:t>
      </w:r>
      <w:r>
        <w:t xml:space="preserve"> </w:t>
      </w:r>
      <w:r w:rsidRPr="00B5467D">
        <w:t xml:space="preserve">initiated studies, a total of 131 subjects were treated with </w:t>
      </w:r>
      <w:r>
        <w:t>Uvadex</w:t>
      </w:r>
      <w:r w:rsidRPr="00B5467D">
        <w:t>/ECP. In addition, 400 subjects were treated in the published prospective studies, over 1,000 subjects were described in retrospective reviews</w:t>
      </w:r>
      <w:r>
        <w:t xml:space="preserve"> and 90 were treated under Australian SAS</w:t>
      </w:r>
      <w:r w:rsidRPr="00B5467D">
        <w:t xml:space="preserve">. </w:t>
      </w:r>
      <w:r>
        <w:t>Uvadex</w:t>
      </w:r>
      <w:r w:rsidRPr="00B5467D">
        <w:t>/ECP has been approved in foreign markets since 1999 for the treatment of CTCL and the sponsor estimates that over 69,000 subjects have treated since then.</w:t>
      </w:r>
      <w:r>
        <w:t xml:space="preserve"> In Studies GvHD-SK1 and GvHD</w:t>
      </w:r>
      <w:r w:rsidRPr="006A080B">
        <w:t>-SK1</w:t>
      </w:r>
      <w:r>
        <w:t xml:space="preserve"> Extension median duration of treatment was 163 and 164 days, respectively.</w:t>
      </w:r>
    </w:p>
    <w:p w:rsidR="007C29D8" w:rsidRPr="006A080B" w:rsidRDefault="007C29D8" w:rsidP="007C29D8">
      <w:r w:rsidRPr="006A080B">
        <w:t xml:space="preserve">In </w:t>
      </w:r>
      <w:r>
        <w:t>S</w:t>
      </w:r>
      <w:r w:rsidRPr="006A080B">
        <w:t xml:space="preserve">tudy </w:t>
      </w:r>
      <w:r>
        <w:t>GvHD</w:t>
      </w:r>
      <w:r w:rsidRPr="006A080B">
        <w:t>-SK1</w:t>
      </w:r>
      <w:r>
        <w:t xml:space="preserve"> in the first 12 weeks </w:t>
      </w:r>
      <w:r w:rsidR="00DB20FC">
        <w:t>the incidence of AE</w:t>
      </w:r>
      <w:r w:rsidRPr="006A080B">
        <w:t xml:space="preserve"> was comparabl</w:t>
      </w:r>
      <w:r>
        <w:t xml:space="preserve">e in the two treatment groups; </w:t>
      </w:r>
      <w:r w:rsidRPr="006A080B">
        <w:t>89.8% in the ECP arm and 92.0% in the control arm</w:t>
      </w:r>
      <w:r>
        <w:t xml:space="preserve">. </w:t>
      </w:r>
      <w:r w:rsidR="00DB20FC">
        <w:t>AE</w:t>
      </w:r>
      <w:r w:rsidRPr="006A080B">
        <w:t xml:space="preserve"> that were notably more common in the ECP arm were:</w:t>
      </w:r>
    </w:p>
    <w:p w:rsidR="007C29D8" w:rsidRPr="00850302" w:rsidRDefault="007C29D8" w:rsidP="007C29D8">
      <w:pPr>
        <w:pStyle w:val="ListBullet"/>
        <w:numPr>
          <w:ilvl w:val="0"/>
          <w:numId w:val="3"/>
        </w:numPr>
      </w:pPr>
      <w:r>
        <w:t>A</w:t>
      </w:r>
      <w:r w:rsidRPr="00850302">
        <w:t>naemia (24.5% versus 6.0%);</w:t>
      </w:r>
    </w:p>
    <w:p w:rsidR="007C29D8" w:rsidRPr="00850302" w:rsidRDefault="007C29D8" w:rsidP="007C29D8">
      <w:pPr>
        <w:pStyle w:val="ListBullet"/>
        <w:numPr>
          <w:ilvl w:val="0"/>
          <w:numId w:val="3"/>
        </w:numPr>
      </w:pPr>
      <w:r>
        <w:t>F</w:t>
      </w:r>
      <w:r w:rsidRPr="00850302">
        <w:t>atigue (14.3% versus 4.0%);</w:t>
      </w:r>
    </w:p>
    <w:p w:rsidR="007C29D8" w:rsidRPr="00850302" w:rsidRDefault="007C29D8" w:rsidP="007C29D8">
      <w:pPr>
        <w:pStyle w:val="ListBullet"/>
        <w:numPr>
          <w:ilvl w:val="0"/>
          <w:numId w:val="3"/>
        </w:numPr>
      </w:pPr>
      <w:r>
        <w:t>H</w:t>
      </w:r>
      <w:r w:rsidRPr="00850302">
        <w:t>ypertension (16.3% versus 8.0%);</w:t>
      </w:r>
    </w:p>
    <w:p w:rsidR="007C29D8" w:rsidRPr="00850302" w:rsidRDefault="007C29D8" w:rsidP="007C29D8">
      <w:pPr>
        <w:pStyle w:val="ListBullet"/>
        <w:numPr>
          <w:ilvl w:val="0"/>
          <w:numId w:val="3"/>
        </w:numPr>
      </w:pPr>
      <w:r>
        <w:t>D</w:t>
      </w:r>
      <w:r w:rsidRPr="00850302">
        <w:t>yspnoea (14.3% versus 2.0%)</w:t>
      </w:r>
      <w:r>
        <w:t>;</w:t>
      </w:r>
    </w:p>
    <w:p w:rsidR="007C29D8" w:rsidRDefault="007C29D8" w:rsidP="007C29D8">
      <w:pPr>
        <w:pStyle w:val="ListBullet"/>
        <w:numPr>
          <w:ilvl w:val="0"/>
          <w:numId w:val="3"/>
        </w:numPr>
      </w:pPr>
      <w:r>
        <w:t>S</w:t>
      </w:r>
      <w:r w:rsidRPr="00850302">
        <w:t>inusitis (12.2% versus 2.0%)</w:t>
      </w:r>
      <w:r>
        <w:t>;</w:t>
      </w:r>
      <w:r w:rsidRPr="00850302">
        <w:t xml:space="preserve"> and</w:t>
      </w:r>
    </w:p>
    <w:p w:rsidR="007C29D8" w:rsidRPr="00850302" w:rsidRDefault="007C29D8" w:rsidP="007C29D8">
      <w:pPr>
        <w:pStyle w:val="ListBullet"/>
        <w:numPr>
          <w:ilvl w:val="0"/>
          <w:numId w:val="3"/>
        </w:numPr>
      </w:pPr>
      <w:r>
        <w:t>U</w:t>
      </w:r>
      <w:r w:rsidRPr="00850302">
        <w:t>pper respiratory tract infection (10.2% versus 4.0%).</w:t>
      </w:r>
    </w:p>
    <w:p w:rsidR="007C29D8" w:rsidRDefault="007C29D8" w:rsidP="007C29D8">
      <w:r w:rsidRPr="006A080B">
        <w:t xml:space="preserve">The pattern of AEs in the ECP arm was similar over </w:t>
      </w:r>
      <w:r>
        <w:t xml:space="preserve">Weeks 12 to </w:t>
      </w:r>
      <w:r w:rsidRPr="006A080B">
        <w:t>24 to that observed over the initial 12 weeks</w:t>
      </w:r>
      <w:r>
        <w:t>.</w:t>
      </w:r>
    </w:p>
    <w:p w:rsidR="007C29D8" w:rsidRDefault="007C29D8" w:rsidP="007C29D8">
      <w:r w:rsidRPr="00E22138">
        <w:t>The most common events assessed as treatment-related were anaemia (31.3%), headache (15.6%), fatigue, dizziness, hypotension, tachycardia and photophobia (all 9.4%).</w:t>
      </w:r>
    </w:p>
    <w:p w:rsidR="007C29D8" w:rsidRDefault="007C29D8" w:rsidP="007C29D8">
      <w:r w:rsidRPr="006A080B">
        <w:t>More subjects in the control arm discontinued the study (17</w:t>
      </w:r>
      <w:r>
        <w:t xml:space="preserve"> versus </w:t>
      </w:r>
      <w:r w:rsidRPr="006A080B">
        <w:t xml:space="preserve">7 by </w:t>
      </w:r>
      <w:r>
        <w:t>W</w:t>
      </w:r>
      <w:r w:rsidRPr="006A080B">
        <w:t>eek 12 and 42</w:t>
      </w:r>
      <w:r>
        <w:t xml:space="preserve"> versus </w:t>
      </w:r>
      <w:r w:rsidRPr="006A080B">
        <w:t xml:space="preserve">13 by </w:t>
      </w:r>
      <w:r>
        <w:t>W</w:t>
      </w:r>
      <w:r w:rsidRPr="006A080B">
        <w:t>eek 24), predominantly due to disease progression or inadequate response.</w:t>
      </w:r>
    </w:p>
    <w:p w:rsidR="007C29D8" w:rsidRPr="00E22138" w:rsidRDefault="007C29D8" w:rsidP="007C29D8">
      <w:r>
        <w:lastRenderedPageBreak/>
        <w:t xml:space="preserve">In </w:t>
      </w:r>
      <w:r w:rsidRPr="006A080B">
        <w:t>S</w:t>
      </w:r>
      <w:r w:rsidR="00DB20FC">
        <w:t>tudy 10-005 the incidence of AE</w:t>
      </w:r>
      <w:r w:rsidRPr="006A080B">
        <w:t xml:space="preserve"> was comparab</w:t>
      </w:r>
      <w:r>
        <w:t>le in the two treatment groups;</w:t>
      </w:r>
      <w:r w:rsidRPr="006A080B">
        <w:t xml:space="preserve"> 96.6% in the ECP arm and 90.3% in the control arm</w:t>
      </w:r>
      <w:r>
        <w:t xml:space="preserve">. </w:t>
      </w:r>
      <w:r w:rsidR="00DB20FC">
        <w:t>AE</w:t>
      </w:r>
      <w:r w:rsidRPr="00E22138">
        <w:t xml:space="preserve"> that were notably more common in the ECP arm were:</w:t>
      </w:r>
    </w:p>
    <w:p w:rsidR="007C29D8" w:rsidRPr="00E22138" w:rsidRDefault="007C29D8" w:rsidP="007C29D8">
      <w:pPr>
        <w:pStyle w:val="ListBullet"/>
        <w:numPr>
          <w:ilvl w:val="0"/>
          <w:numId w:val="3"/>
        </w:numPr>
      </w:pPr>
      <w:r>
        <w:t>H</w:t>
      </w:r>
      <w:r w:rsidRPr="00E22138">
        <w:t>ypertension (31.0%</w:t>
      </w:r>
      <w:r>
        <w:t xml:space="preserve"> versus </w:t>
      </w:r>
      <w:r w:rsidRPr="00E22138">
        <w:t>12.9%);</w:t>
      </w:r>
    </w:p>
    <w:p w:rsidR="007C29D8" w:rsidRPr="00E22138" w:rsidRDefault="007C29D8" w:rsidP="007C29D8">
      <w:pPr>
        <w:pStyle w:val="ListBullet"/>
        <w:numPr>
          <w:ilvl w:val="0"/>
          <w:numId w:val="3"/>
        </w:numPr>
      </w:pPr>
      <w:r>
        <w:t>C</w:t>
      </w:r>
      <w:r w:rsidRPr="00E22138">
        <w:t>ough (20.7%</w:t>
      </w:r>
      <w:r>
        <w:t xml:space="preserve"> versus </w:t>
      </w:r>
      <w:r w:rsidRPr="00E22138">
        <w:t>3.2%);</w:t>
      </w:r>
    </w:p>
    <w:p w:rsidR="007C29D8" w:rsidRPr="00E22138" w:rsidRDefault="007C29D8" w:rsidP="007C29D8">
      <w:pPr>
        <w:pStyle w:val="ListBullet"/>
        <w:numPr>
          <w:ilvl w:val="0"/>
          <w:numId w:val="3"/>
        </w:numPr>
      </w:pPr>
      <w:r>
        <w:t>D</w:t>
      </w:r>
      <w:r w:rsidRPr="00E22138">
        <w:t>yspnoea (17.2%</w:t>
      </w:r>
      <w:r>
        <w:t xml:space="preserve"> versus </w:t>
      </w:r>
      <w:r w:rsidRPr="00E22138">
        <w:t>6.5%);</w:t>
      </w:r>
    </w:p>
    <w:p w:rsidR="007C29D8" w:rsidRPr="00E22138" w:rsidRDefault="007C29D8" w:rsidP="007C29D8">
      <w:pPr>
        <w:pStyle w:val="ListBullet"/>
        <w:numPr>
          <w:ilvl w:val="0"/>
          <w:numId w:val="3"/>
        </w:numPr>
      </w:pPr>
      <w:r>
        <w:t>F</w:t>
      </w:r>
      <w:r w:rsidRPr="00E22138">
        <w:t>atigue (17.2%</w:t>
      </w:r>
      <w:r>
        <w:t xml:space="preserve"> versus </w:t>
      </w:r>
      <w:r w:rsidRPr="00E22138">
        <w:t>3.2%);</w:t>
      </w:r>
    </w:p>
    <w:p w:rsidR="007C29D8" w:rsidRPr="00E22138" w:rsidRDefault="007C29D8" w:rsidP="007C29D8">
      <w:pPr>
        <w:pStyle w:val="ListBullet"/>
        <w:numPr>
          <w:ilvl w:val="0"/>
          <w:numId w:val="3"/>
        </w:numPr>
      </w:pPr>
      <w:r>
        <w:t>D</w:t>
      </w:r>
      <w:r w:rsidRPr="00E22138">
        <w:t>izziness (13.8%</w:t>
      </w:r>
      <w:r>
        <w:t xml:space="preserve"> versus </w:t>
      </w:r>
      <w:r w:rsidRPr="00E22138">
        <w:t>6.5%);</w:t>
      </w:r>
      <w:r>
        <w:t xml:space="preserve"> and</w:t>
      </w:r>
    </w:p>
    <w:p w:rsidR="007C29D8" w:rsidRDefault="007C29D8" w:rsidP="007C29D8">
      <w:pPr>
        <w:pStyle w:val="ListBullet"/>
        <w:numPr>
          <w:ilvl w:val="0"/>
          <w:numId w:val="3"/>
        </w:numPr>
      </w:pPr>
      <w:r>
        <w:t>D</w:t>
      </w:r>
      <w:r w:rsidRPr="00E22138">
        <w:t>ry mouth (10.3%</w:t>
      </w:r>
      <w:r>
        <w:t xml:space="preserve"> versus </w:t>
      </w:r>
      <w:r w:rsidRPr="00E22138">
        <w:t>0%</w:t>
      </w:r>
      <w:r>
        <w:t>).</w:t>
      </w:r>
    </w:p>
    <w:p w:rsidR="007C29D8" w:rsidRDefault="00DB20FC" w:rsidP="007C29D8">
      <w:r>
        <w:t>The incidence of AE</w:t>
      </w:r>
      <w:r w:rsidR="007C29D8" w:rsidRPr="00E22138">
        <w:t xml:space="preserve"> assessed as being related to any of the study treatments was 72.4% in the ECP arm and 64.5% in the control arm. The study report stated that there we</w:t>
      </w:r>
      <w:r>
        <w:t>re no unexpected ECP-related AE</w:t>
      </w:r>
      <w:r w:rsidR="007C29D8" w:rsidRPr="00E22138">
        <w:t xml:space="preserve"> in the study.</w:t>
      </w:r>
    </w:p>
    <w:p w:rsidR="007C29D8" w:rsidRDefault="007C29D8" w:rsidP="007C29D8">
      <w:r>
        <w:t>In Study GvHD</w:t>
      </w:r>
      <w:r w:rsidRPr="00E22138">
        <w:t>-SK1</w:t>
      </w:r>
      <w:r>
        <w:t xml:space="preserve"> Extension, all 29 subjects experienced at least one AE. </w:t>
      </w:r>
      <w:r w:rsidR="00DB20FC">
        <w:t>The most common AE</w:t>
      </w:r>
      <w:r w:rsidRPr="00E22138">
        <w:t xml:space="preserve"> were anaemia (24.1%), cough (20.7%), fatigue, pyrexia, pain in the extremity, diarrhoea, nausea and increased weight</w:t>
      </w:r>
      <w:r>
        <w:t xml:space="preserve"> (all 17.2%).</w:t>
      </w:r>
      <w:r w:rsidR="00DB20FC">
        <w:t xml:space="preserve"> The incidence of AE</w:t>
      </w:r>
      <w:r w:rsidRPr="00E22138">
        <w:t xml:space="preserve"> considered by the investigator to </w:t>
      </w:r>
      <w:r>
        <w:t xml:space="preserve">be </w:t>
      </w:r>
      <w:r w:rsidRPr="00E22138">
        <w:t>related to ECP treatment was 75.9%. Decreased weight occurred in 3 subjects (10.3%)</w:t>
      </w:r>
    </w:p>
    <w:p w:rsidR="007C29D8" w:rsidRDefault="007C29D8" w:rsidP="007C29D8">
      <w:r>
        <w:t>In Study TKS-01, a</w:t>
      </w:r>
      <w:r w:rsidRPr="00E22138">
        <w:t>ll 15 subjects</w:t>
      </w:r>
      <w:r>
        <w:t xml:space="preserve"> experienced at least one AE.</w:t>
      </w:r>
      <w:r w:rsidR="00DB20FC">
        <w:t xml:space="preserve"> The most common AE</w:t>
      </w:r>
      <w:r w:rsidRPr="00E22138">
        <w:t xml:space="preserve"> were drug-induced liver injury (33.3%), pneumonia (26.7%), abnormal hepatic function, nasopharyngitis, blood lactate dehydrogenase (LDH) increased, anaemia and thrombocytopaenia (all 20.0%).</w:t>
      </w:r>
      <w:r>
        <w:t xml:space="preserve"> Thirteen</w:t>
      </w:r>
      <w:r w:rsidRPr="00E22138">
        <w:t xml:space="preserve"> of 15 subjects (86.7%) experienced at least one treatment-related AE. The most common were thrombocytopaenia (20.0%), anaemia, oedema and blood LDH increased (all 13.3%).</w:t>
      </w:r>
    </w:p>
    <w:p w:rsidR="007C29D8" w:rsidRDefault="007C29D8" w:rsidP="007C29D8">
      <w:r>
        <w:t xml:space="preserve">In </w:t>
      </w:r>
      <w:r w:rsidRPr="00E22138">
        <w:t>Study Acute GvHD-1</w:t>
      </w:r>
      <w:r>
        <w:t>, a</w:t>
      </w:r>
      <w:r w:rsidRPr="00E22138">
        <w:t>ll nine subjects treated in the ECP arm (100%) experienced a</w:t>
      </w:r>
      <w:r>
        <w:t xml:space="preserve">t least one AE, compared with 8 out of </w:t>
      </w:r>
      <w:r w:rsidRPr="00E22138">
        <w:t>9</w:t>
      </w:r>
      <w:r w:rsidR="00DB20FC">
        <w:t xml:space="preserve"> (88.9%) in the control arm. AE</w:t>
      </w:r>
      <w:r w:rsidRPr="00E22138">
        <w:t xml:space="preserve"> that were more common in the ECP arm were hypertension (44.0%</w:t>
      </w:r>
      <w:r>
        <w:t xml:space="preserve"> versus </w:t>
      </w:r>
      <w:r w:rsidRPr="00E22138">
        <w:t>0%) and pyrexia (33.0%</w:t>
      </w:r>
      <w:r>
        <w:t xml:space="preserve"> versus </w:t>
      </w:r>
      <w:r w:rsidRPr="00E22138">
        <w:t>0.0%).</w:t>
      </w:r>
      <w:r>
        <w:t xml:space="preserve"> Five</w:t>
      </w:r>
      <w:r w:rsidRPr="00CC4ECC">
        <w:t xml:space="preserve"> of the 9 subjects (55.6%) in the ECP arm experienced an ECP</w:t>
      </w:r>
      <w:r>
        <w:t xml:space="preserve"> </w:t>
      </w:r>
      <w:r w:rsidRPr="00CC4ECC">
        <w:t>related AE</w:t>
      </w:r>
      <w:r>
        <w:t xml:space="preserve">, none of which </w:t>
      </w:r>
      <w:r w:rsidRPr="00CC4ECC">
        <w:t>was reported in more than one subject.</w:t>
      </w:r>
    </w:p>
    <w:p w:rsidR="007C29D8" w:rsidRPr="00CC4ECC" w:rsidRDefault="007C29D8" w:rsidP="007C29D8">
      <w:pPr>
        <w:pStyle w:val="Heading5"/>
      </w:pPr>
      <w:r w:rsidRPr="00CC4ECC">
        <w:t>Deaths a</w:t>
      </w:r>
      <w:r>
        <w:t>nd other serious adverse events</w:t>
      </w:r>
    </w:p>
    <w:p w:rsidR="007C29D8" w:rsidRDefault="007C29D8" w:rsidP="007C29D8">
      <w:r>
        <w:t xml:space="preserve">In </w:t>
      </w:r>
      <w:r w:rsidRPr="00CC4ECC">
        <w:t xml:space="preserve">Study </w:t>
      </w:r>
      <w:r>
        <w:t>GvHD</w:t>
      </w:r>
      <w:r w:rsidRPr="00CC4ECC">
        <w:t>-SK1</w:t>
      </w:r>
      <w:r>
        <w:t>, t</w:t>
      </w:r>
      <w:r w:rsidRPr="00CC4ECC">
        <w:t>here were two deaths in the ECP arm (4.1%) and six in the control arm (12.0%). Neither of the deaths in the ECP arm were assessed as being related to ECP.</w:t>
      </w:r>
    </w:p>
    <w:p w:rsidR="007C29D8" w:rsidRDefault="007C29D8" w:rsidP="007C29D8">
      <w:r>
        <w:t>In Study GvHD</w:t>
      </w:r>
      <w:r w:rsidRPr="00CC4ECC">
        <w:t>-SK1</w:t>
      </w:r>
      <w:r>
        <w:t>,</w:t>
      </w:r>
      <w:r w:rsidRPr="00CC4ECC">
        <w:t xml:space="preserve"> </w:t>
      </w:r>
      <w:r>
        <w:t>t</w:t>
      </w:r>
      <w:r w:rsidR="00DB20FC">
        <w:t>he incidence of all serious AE</w:t>
      </w:r>
      <w:r w:rsidRPr="00CC4ECC">
        <w:t xml:space="preserve"> (including the deaths) during treatment was 44.9% in the ECP arm and 28.0% in the control arm. The imbalance in incidence may have been related to the longer duration of treatment in the ECP arm. The </w:t>
      </w:r>
      <w:r>
        <w:t>serious adverse events (</w:t>
      </w:r>
      <w:r w:rsidRPr="00CC4ECC">
        <w:t>SAE</w:t>
      </w:r>
      <w:r>
        <w:t>)</w:t>
      </w:r>
      <w:r w:rsidRPr="00CC4ECC">
        <w:t xml:space="preserve"> </w:t>
      </w:r>
      <w:r>
        <w:t>were</w:t>
      </w:r>
      <w:r w:rsidRPr="00CC4ECC">
        <w:t xml:space="preserve"> listed. Serious infections were more common in the ECP arm (26.5%</w:t>
      </w:r>
      <w:r>
        <w:t xml:space="preserve"> versus </w:t>
      </w:r>
      <w:r w:rsidRPr="00CC4ECC">
        <w:t>20.0%). There were no notable imbalances in the incidence of individual AE terms.</w:t>
      </w:r>
    </w:p>
    <w:p w:rsidR="007C29D8" w:rsidRDefault="007C29D8" w:rsidP="007C29D8">
      <w:r>
        <w:t>In Study 10-005, t</w:t>
      </w:r>
      <w:r w:rsidRPr="00CC4ECC">
        <w:t xml:space="preserve">here were four deaths in the ECP arm (13.8%) and none (0.0%) in the control arm. None of the deaths were assessed as being related to ECP. </w:t>
      </w:r>
      <w:r>
        <w:t>Three</w:t>
      </w:r>
      <w:r w:rsidRPr="00CC4ECC">
        <w:t xml:space="preserve"> of the deaths were assessed as being related to concomitant treatment (steroids and/or calcineurin inhibitors)</w:t>
      </w:r>
      <w:r>
        <w:t>.</w:t>
      </w:r>
    </w:p>
    <w:p w:rsidR="007C29D8" w:rsidRDefault="007C29D8" w:rsidP="007C29D8">
      <w:r w:rsidRPr="00CC4ECC">
        <w:t xml:space="preserve">The incidence of </w:t>
      </w:r>
      <w:r>
        <w:t>SAE</w:t>
      </w:r>
      <w:r w:rsidRPr="00CC4ECC">
        <w:t xml:space="preserve"> was 27.6% in the ECP arm and 29.0% in the control arm. The incidence of treatment-related SAEs was </w:t>
      </w:r>
      <w:r>
        <w:t>20.7% in the ECP arm and 22.6%</w:t>
      </w:r>
      <w:r w:rsidRPr="00CC4ECC">
        <w:t xml:space="preserve"> in the control arm.</w:t>
      </w:r>
    </w:p>
    <w:p w:rsidR="007C29D8" w:rsidRDefault="007C29D8" w:rsidP="007C29D8">
      <w:r w:rsidRPr="003934F6">
        <w:t xml:space="preserve">In Study </w:t>
      </w:r>
      <w:r>
        <w:t>GvHD</w:t>
      </w:r>
      <w:r w:rsidRPr="003934F6">
        <w:t>-SK1</w:t>
      </w:r>
      <w:r>
        <w:t xml:space="preserve"> Extension, </w:t>
      </w:r>
      <w:r w:rsidRPr="003934F6">
        <w:t>2 subjects died</w:t>
      </w:r>
      <w:r>
        <w:t xml:space="preserve">. </w:t>
      </w:r>
      <w:r w:rsidRPr="003934F6">
        <w:t>Neither was assessed as being related to ECP.</w:t>
      </w:r>
    </w:p>
    <w:p w:rsidR="007C29D8" w:rsidRDefault="007C29D8" w:rsidP="007C29D8">
      <w:r>
        <w:lastRenderedPageBreak/>
        <w:t>SAE</w:t>
      </w:r>
      <w:r w:rsidRPr="003934F6">
        <w:t xml:space="preserve"> were reported for 41.4% of subjects during the treatment period.</w:t>
      </w:r>
      <w:r>
        <w:t xml:space="preserve"> </w:t>
      </w:r>
      <w:r w:rsidRPr="003934F6">
        <w:t>No single AE term was reported for more than 1 subject.</w:t>
      </w:r>
    </w:p>
    <w:p w:rsidR="007C29D8" w:rsidRDefault="007C29D8" w:rsidP="007C29D8">
      <w:r>
        <w:t xml:space="preserve">In </w:t>
      </w:r>
      <w:r w:rsidRPr="003934F6">
        <w:t>Study TKS-01</w:t>
      </w:r>
      <w:r>
        <w:t>,</w:t>
      </w:r>
      <w:r w:rsidRPr="003934F6">
        <w:t xml:space="preserve"> </w:t>
      </w:r>
      <w:r>
        <w:t>there were no fatal AE during the study.</w:t>
      </w:r>
    </w:p>
    <w:p w:rsidR="007C29D8" w:rsidRDefault="007C29D8" w:rsidP="007C29D8">
      <w:r w:rsidRPr="003934F6">
        <w:t>S</w:t>
      </w:r>
      <w:r>
        <w:t xml:space="preserve">AEs were reported in 6 out of </w:t>
      </w:r>
      <w:r w:rsidRPr="003934F6">
        <w:t>15 subjects (40.0%). One SAE was assessed as being possibly related to treatment (heart failure).</w:t>
      </w:r>
    </w:p>
    <w:p w:rsidR="007C29D8" w:rsidRDefault="007C29D8" w:rsidP="007C29D8">
      <w:r>
        <w:t xml:space="preserve">In Study </w:t>
      </w:r>
      <w:r w:rsidRPr="003934F6">
        <w:t>Acute GvHD-1</w:t>
      </w:r>
      <w:r>
        <w:t xml:space="preserve">, in the ECP arm, 4 out of </w:t>
      </w:r>
      <w:r w:rsidRPr="003934F6">
        <w:t>9 subjects (44.4%</w:t>
      </w:r>
      <w:r>
        <w:t xml:space="preserve">) had fatal AE compared with 1 out of </w:t>
      </w:r>
      <w:r w:rsidRPr="003934F6">
        <w:t>9 (11.1%) in the control arm</w:t>
      </w:r>
      <w:r>
        <w:t>.</w:t>
      </w:r>
      <w:r w:rsidRPr="003934F6">
        <w:t xml:space="preserve"> None of these</w:t>
      </w:r>
      <w:r>
        <w:t xml:space="preserve"> deaths were assessed as related to ECP or study treatment. Seven out of 9</w:t>
      </w:r>
      <w:r w:rsidRPr="003934F6">
        <w:t xml:space="preserve"> subjects (77.8%) in each treatment ar</w:t>
      </w:r>
      <w:r>
        <w:t>m developed SAE.</w:t>
      </w:r>
      <w:r w:rsidRPr="003934F6">
        <w:t xml:space="preserve"> </w:t>
      </w:r>
      <w:r>
        <w:t>O</w:t>
      </w:r>
      <w:r w:rsidRPr="003934F6">
        <w:t>ne of these events was assessed as being related to treatment (status epilepticus in a subject in the ECP arm).</w:t>
      </w:r>
    </w:p>
    <w:p w:rsidR="007C29D8" w:rsidRPr="003934F6" w:rsidRDefault="007C29D8" w:rsidP="007C29D8">
      <w:pPr>
        <w:pStyle w:val="Heading5"/>
      </w:pPr>
      <w:r w:rsidRPr="003934F6">
        <w:t>Discontinuations due to AE</w:t>
      </w:r>
    </w:p>
    <w:p w:rsidR="007C29D8" w:rsidRDefault="007C29D8" w:rsidP="007C29D8">
      <w:r w:rsidRPr="003934F6">
        <w:t xml:space="preserve">In Study </w:t>
      </w:r>
      <w:r>
        <w:t>GvHD</w:t>
      </w:r>
      <w:r w:rsidRPr="003934F6">
        <w:t>-SK1</w:t>
      </w:r>
      <w:r>
        <w:t>,</w:t>
      </w:r>
      <w:r w:rsidRPr="003934F6">
        <w:t xml:space="preserve"> AEs leading to study withdrawal occurred in 16.3% of subjects in the ECP arm and 10.0% of subjects in the control arm</w:t>
      </w:r>
      <w:r>
        <w:t>.</w:t>
      </w:r>
      <w:r w:rsidRPr="00C266F1">
        <w:t xml:space="preserve"> </w:t>
      </w:r>
      <w:r>
        <w:t>C</w:t>
      </w:r>
      <w:r w:rsidRPr="00C266F1">
        <w:t>atheter-related complication</w:t>
      </w:r>
      <w:r>
        <w:t xml:space="preserve"> was reported in more than 2 subjects in the ECP arm.</w:t>
      </w:r>
    </w:p>
    <w:p w:rsidR="007C29D8" w:rsidRPr="005C7942" w:rsidRDefault="007C29D8" w:rsidP="007C29D8">
      <w:pPr>
        <w:spacing w:before="0" w:after="0" w:line="240" w:lineRule="auto"/>
      </w:pPr>
      <w:r w:rsidRPr="005C7942">
        <w:t>In Study 10-005, AEs leading to study withdrawal occurred in 20.7% of subjects in the ECP arm and 19.4% of subjects in the control arm.</w:t>
      </w:r>
      <w:r w:rsidRPr="00C266F1">
        <w:t xml:space="preserve"> </w:t>
      </w:r>
      <w:r w:rsidRPr="005C7942">
        <w:t>In the ECP arm no specific AE term was reported in more than 1 subject.</w:t>
      </w:r>
    </w:p>
    <w:p w:rsidR="007C29D8" w:rsidRDefault="007C29D8" w:rsidP="007C29D8">
      <w:pPr>
        <w:pStyle w:val="Heading5"/>
      </w:pPr>
      <w:r w:rsidRPr="00C266F1">
        <w:t>Published studies and S</w:t>
      </w:r>
      <w:r>
        <w:t xml:space="preserve">pecial </w:t>
      </w:r>
      <w:r w:rsidRPr="00C266F1">
        <w:t>A</w:t>
      </w:r>
      <w:r>
        <w:t>ccess Scheme</w:t>
      </w:r>
      <w:r w:rsidRPr="00C266F1">
        <w:t xml:space="preserve"> </w:t>
      </w:r>
      <w:r>
        <w:t>u</w:t>
      </w:r>
      <w:r w:rsidRPr="00C266F1">
        <w:t>se</w:t>
      </w:r>
    </w:p>
    <w:p w:rsidR="007C29D8" w:rsidRPr="00C266F1" w:rsidRDefault="007C29D8" w:rsidP="007C29D8">
      <w:pPr>
        <w:rPr>
          <w:u w:val="single"/>
        </w:rPr>
      </w:pPr>
      <w:r w:rsidRPr="00236046">
        <w:t>The published studies reported limited</w:t>
      </w:r>
      <w:r>
        <w:t xml:space="preserve"> safety data.</w:t>
      </w:r>
    </w:p>
    <w:p w:rsidR="007C29D8" w:rsidRDefault="00905871" w:rsidP="007C29D8">
      <w:r>
        <w:t>AE</w:t>
      </w:r>
      <w:r w:rsidR="007C29D8" w:rsidRPr="00236046">
        <w:t xml:space="preserve"> reported with Australian SAS use included infections/sepsis and catheter-related issues (infection, thrombosis) with one case of thrombosis leading to superior vena cava stenosis</w:t>
      </w:r>
      <w:r w:rsidR="007C29D8">
        <w:t>.</w:t>
      </w:r>
    </w:p>
    <w:p w:rsidR="007C29D8" w:rsidRPr="0027281C" w:rsidRDefault="007C29D8" w:rsidP="007C29D8">
      <w:r w:rsidRPr="00236046">
        <w:t>The current submission included two new post-marketing reports</w:t>
      </w:r>
      <w:r>
        <w:t xml:space="preserve">. </w:t>
      </w:r>
      <w:r w:rsidRPr="00236046">
        <w:t xml:space="preserve">As of February 2018, the sponsor estimates that 69,402 subjects had been treated with </w:t>
      </w:r>
      <w:r>
        <w:t>Uvadex</w:t>
      </w:r>
      <w:r w:rsidRPr="00236046">
        <w:t xml:space="preserve">. One new safety issue </w:t>
      </w:r>
      <w:r w:rsidRPr="0027281C">
        <w:t xml:space="preserve">had arisen during the time period covered by the new reports. In an analysis of the sponsor’s post-marketing adverse event database for embolic and thrombotic events with </w:t>
      </w:r>
      <w:r>
        <w:t>Uvadex,</w:t>
      </w:r>
      <w:r w:rsidRPr="0027281C">
        <w:t xml:space="preserve"> 22 case reports were identified and the sponsor provided a brief description of each. The US prescribing information has a precautionary statement regarding the potential for </w:t>
      </w:r>
      <w:r>
        <w:t>v</w:t>
      </w:r>
      <w:r w:rsidRPr="0027281C">
        <w:t>enous thromboembolism (VTE).</w:t>
      </w:r>
    </w:p>
    <w:p w:rsidR="007C29D8" w:rsidRDefault="007C29D8" w:rsidP="007C29D8">
      <w:pPr>
        <w:pStyle w:val="Heading5"/>
      </w:pPr>
      <w:r>
        <w:t>Conclusions on s</w:t>
      </w:r>
      <w:r w:rsidRPr="00236046">
        <w:t>afety</w:t>
      </w:r>
    </w:p>
    <w:p w:rsidR="007C29D8" w:rsidRPr="005C7942" w:rsidRDefault="007C29D8" w:rsidP="007C29D8">
      <w:pPr>
        <w:spacing w:before="0" w:after="0" w:line="240" w:lineRule="auto"/>
      </w:pPr>
      <w:r w:rsidRPr="005C7942">
        <w:t xml:space="preserve">Based on the sponsor-initiated studies in this submission, the clinical evaluator concludes the following toxicities appear to be associated with </w:t>
      </w:r>
      <w:r>
        <w:t>Uvadex</w:t>
      </w:r>
      <w:r w:rsidRPr="005C7942">
        <w:t>/ECP:</w:t>
      </w:r>
    </w:p>
    <w:p w:rsidR="007C29D8" w:rsidRPr="00236046" w:rsidRDefault="007C29D8" w:rsidP="007C29D8">
      <w:pPr>
        <w:pStyle w:val="ListBullet"/>
        <w:numPr>
          <w:ilvl w:val="0"/>
          <w:numId w:val="3"/>
        </w:numPr>
      </w:pPr>
      <w:r w:rsidRPr="00236046">
        <w:t>Anaemia</w:t>
      </w:r>
      <w:r>
        <w:t>:</w:t>
      </w:r>
      <w:r w:rsidRPr="00236046">
        <w:t xml:space="preserve"> </w:t>
      </w:r>
      <w:r>
        <w:t>t</w:t>
      </w:r>
      <w:r w:rsidRPr="00236046">
        <w:t xml:space="preserve">he incidence of anaemia reported as an AE was increased in the ECP arm of Study </w:t>
      </w:r>
      <w:r>
        <w:t>GvHD</w:t>
      </w:r>
      <w:r w:rsidRPr="00236046">
        <w:t>-SK1 (24.5%</w:t>
      </w:r>
      <w:r>
        <w:t xml:space="preserve"> versus </w:t>
      </w:r>
      <w:r w:rsidRPr="00236046">
        <w:t>6.0%), as was the incidence of clinically significant reductions in haemoglobin (26.5%</w:t>
      </w:r>
      <w:r>
        <w:t xml:space="preserve"> versus </w:t>
      </w:r>
      <w:r w:rsidRPr="00236046">
        <w:t xml:space="preserve">4.0%). There were no reported </w:t>
      </w:r>
      <w:r>
        <w:t>S</w:t>
      </w:r>
      <w:r w:rsidR="009A5DC4">
        <w:t>AE</w:t>
      </w:r>
      <w:r w:rsidRPr="00236046">
        <w:t xml:space="preserve"> of anaemia.</w:t>
      </w:r>
    </w:p>
    <w:p w:rsidR="007C29D8" w:rsidRPr="00236046" w:rsidRDefault="007C29D8" w:rsidP="007C29D8">
      <w:pPr>
        <w:pStyle w:val="ListBullet"/>
        <w:numPr>
          <w:ilvl w:val="0"/>
          <w:numId w:val="0"/>
        </w:numPr>
        <w:ind w:left="360"/>
      </w:pPr>
      <w:r w:rsidRPr="00236046">
        <w:t>The mechanism of the anaemia was not discussed in any of the sponsor reports, however mechanical haemolysis has been reported with ECP.</w:t>
      </w:r>
    </w:p>
    <w:p w:rsidR="007C29D8" w:rsidRPr="00236046" w:rsidRDefault="007C29D8" w:rsidP="007C29D8">
      <w:pPr>
        <w:pStyle w:val="ListBullet"/>
        <w:numPr>
          <w:ilvl w:val="0"/>
          <w:numId w:val="3"/>
        </w:numPr>
      </w:pPr>
      <w:r w:rsidRPr="00236046">
        <w:t xml:space="preserve">Thrombocytopaenia was reported with an increased incidence in the ECP arm of </w:t>
      </w:r>
      <w:r>
        <w:t>S</w:t>
      </w:r>
      <w:r w:rsidRPr="00236046">
        <w:t>tud</w:t>
      </w:r>
      <w:r>
        <w:t>y</w:t>
      </w:r>
      <w:r w:rsidRPr="00236046">
        <w:t xml:space="preserve"> </w:t>
      </w:r>
      <w:r>
        <w:t>GvHD</w:t>
      </w:r>
      <w:r w:rsidRPr="00236046">
        <w:t>-SK1 (4.1%</w:t>
      </w:r>
      <w:r>
        <w:t xml:space="preserve"> versus </w:t>
      </w:r>
      <w:r w:rsidRPr="00236046">
        <w:t xml:space="preserve">2.0%) and </w:t>
      </w:r>
      <w:r>
        <w:t xml:space="preserve">Study </w:t>
      </w:r>
      <w:r w:rsidRPr="00236046">
        <w:t>Acute GvHD-1 (33.1%</w:t>
      </w:r>
      <w:r>
        <w:t xml:space="preserve"> versus </w:t>
      </w:r>
      <w:r w:rsidRPr="00236046">
        <w:t>11.1%).</w:t>
      </w:r>
    </w:p>
    <w:p w:rsidR="007C29D8" w:rsidRPr="00236046" w:rsidRDefault="007C29D8" w:rsidP="007C29D8">
      <w:pPr>
        <w:pStyle w:val="ListBullet"/>
        <w:numPr>
          <w:ilvl w:val="0"/>
          <w:numId w:val="3"/>
        </w:numPr>
      </w:pPr>
      <w:r w:rsidRPr="00236046">
        <w:t xml:space="preserve">Hypertension was reported as an AE more commonly in the ECP arm of </w:t>
      </w:r>
      <w:r>
        <w:t>S</w:t>
      </w:r>
      <w:r w:rsidRPr="00236046">
        <w:t>tud</w:t>
      </w:r>
      <w:r>
        <w:t>y GvHD</w:t>
      </w:r>
      <w:r w:rsidRPr="00236046">
        <w:t>-SK1 (16.3%</w:t>
      </w:r>
      <w:r>
        <w:t xml:space="preserve"> versus </w:t>
      </w:r>
      <w:r w:rsidRPr="00236046">
        <w:t xml:space="preserve">8.0%), </w:t>
      </w:r>
      <w:r>
        <w:t xml:space="preserve">Study </w:t>
      </w:r>
      <w:r w:rsidRPr="00236046">
        <w:t>10-005 (31.0%</w:t>
      </w:r>
      <w:r>
        <w:t xml:space="preserve"> versus </w:t>
      </w:r>
      <w:r w:rsidRPr="00236046">
        <w:t xml:space="preserve">12.9%) and </w:t>
      </w:r>
      <w:r>
        <w:t>Study </w:t>
      </w:r>
      <w:r w:rsidRPr="00236046">
        <w:t>Acute GvHD-1 (44.0%</w:t>
      </w:r>
      <w:r>
        <w:t xml:space="preserve"> versus </w:t>
      </w:r>
      <w:r w:rsidRPr="00236046">
        <w:t>0%). Alterations in blood pressure may be related to fluid shifts associated with the ECP procedure.</w:t>
      </w:r>
    </w:p>
    <w:p w:rsidR="007C29D8" w:rsidRPr="00236046" w:rsidRDefault="007C29D8" w:rsidP="007C29D8">
      <w:pPr>
        <w:pStyle w:val="ListBullet"/>
        <w:numPr>
          <w:ilvl w:val="0"/>
          <w:numId w:val="3"/>
        </w:numPr>
      </w:pPr>
      <w:r w:rsidRPr="00236046">
        <w:t xml:space="preserve">Fatigue was reported as an AE more commonly in the ECP arm of </w:t>
      </w:r>
      <w:r>
        <w:t>S</w:t>
      </w:r>
      <w:r w:rsidRPr="00236046">
        <w:t>tud</w:t>
      </w:r>
      <w:r>
        <w:t>y GvHD</w:t>
      </w:r>
      <w:r w:rsidRPr="00236046">
        <w:t>-SK1 (14.3%</w:t>
      </w:r>
      <w:r>
        <w:t xml:space="preserve"> versus </w:t>
      </w:r>
      <w:r w:rsidRPr="00236046">
        <w:t xml:space="preserve">4.0%) and </w:t>
      </w:r>
      <w:r>
        <w:t xml:space="preserve">Study </w:t>
      </w:r>
      <w:r w:rsidRPr="00236046">
        <w:t>10-005 (17.2%</w:t>
      </w:r>
      <w:r>
        <w:t xml:space="preserve"> versus </w:t>
      </w:r>
      <w:r w:rsidRPr="00236046">
        <w:t>3.2%).</w:t>
      </w:r>
    </w:p>
    <w:p w:rsidR="007C29D8" w:rsidRPr="00236046" w:rsidRDefault="007C29D8" w:rsidP="007C29D8">
      <w:pPr>
        <w:pStyle w:val="ListBullet"/>
        <w:numPr>
          <w:ilvl w:val="0"/>
          <w:numId w:val="3"/>
        </w:numPr>
      </w:pPr>
      <w:r w:rsidRPr="00236046">
        <w:lastRenderedPageBreak/>
        <w:t>Respiratory AEs</w:t>
      </w:r>
      <w:r>
        <w:t>: c</w:t>
      </w:r>
      <w:r w:rsidRPr="00236046">
        <w:t>ough and/or dyspnoea were reported m</w:t>
      </w:r>
      <w:r>
        <w:t>ore commonly in the ECP arm in S</w:t>
      </w:r>
      <w:r w:rsidRPr="00236046">
        <w:t>tud</w:t>
      </w:r>
      <w:r>
        <w:t>y</w:t>
      </w:r>
      <w:r w:rsidRPr="00236046">
        <w:t xml:space="preserve"> </w:t>
      </w:r>
      <w:r>
        <w:t>GvHD</w:t>
      </w:r>
      <w:r w:rsidRPr="00236046">
        <w:t>-SK1, 10-005 and</w:t>
      </w:r>
      <w:r w:rsidR="009A5DC4">
        <w:t xml:space="preserve"> </w:t>
      </w:r>
      <w:r>
        <w:t>Study</w:t>
      </w:r>
      <w:r w:rsidRPr="00236046">
        <w:t xml:space="preserve"> Acute GvHD-1.</w:t>
      </w:r>
    </w:p>
    <w:p w:rsidR="007C29D8" w:rsidRPr="00236046" w:rsidRDefault="007C29D8" w:rsidP="007C29D8">
      <w:pPr>
        <w:pStyle w:val="ListBullet"/>
        <w:numPr>
          <w:ilvl w:val="0"/>
          <w:numId w:val="3"/>
        </w:numPr>
      </w:pPr>
      <w:r w:rsidRPr="00236046">
        <w:t>Catheter-related complications</w:t>
      </w:r>
      <w:r>
        <w:t>: c</w:t>
      </w:r>
      <w:r w:rsidRPr="00236046">
        <w:t xml:space="preserve">omplications related to indwelling catheters required for </w:t>
      </w:r>
      <w:r>
        <w:t>ECP (infections, thrombosis, and so on</w:t>
      </w:r>
      <w:r w:rsidRPr="00236046">
        <w:t>) were commonly reported in the submitted studies.</w:t>
      </w:r>
    </w:p>
    <w:p w:rsidR="007C29D8" w:rsidRPr="00236046" w:rsidRDefault="007C29D8" w:rsidP="007C29D8">
      <w:pPr>
        <w:pStyle w:val="ListBullet"/>
        <w:numPr>
          <w:ilvl w:val="0"/>
          <w:numId w:val="3"/>
        </w:numPr>
      </w:pPr>
      <w:r>
        <w:t>VTE: b</w:t>
      </w:r>
      <w:r w:rsidRPr="00236046">
        <w:t xml:space="preserve">ased on post-marketing reports submitted to the FDA there appears to be a potential increased risk of VTE with </w:t>
      </w:r>
      <w:r>
        <w:t>Uvadex</w:t>
      </w:r>
      <w:r w:rsidRPr="00236046">
        <w:t xml:space="preserve">/ECP. Although this risk has not </w:t>
      </w:r>
      <w:r>
        <w:t xml:space="preserve">been </w:t>
      </w:r>
      <w:r w:rsidRPr="00236046">
        <w:t xml:space="preserve">definitively established, it would be prudent to include a precautionary statement in Australian PI, especially as most cases appear to have occurred in </w:t>
      </w:r>
      <w:r>
        <w:t>GvHD</w:t>
      </w:r>
      <w:r w:rsidRPr="00236046">
        <w:t xml:space="preserve"> subjects.</w:t>
      </w:r>
    </w:p>
    <w:p w:rsidR="007C29D8" w:rsidRDefault="007C29D8" w:rsidP="007C29D8">
      <w:pPr>
        <w:pStyle w:val="ListBullet"/>
        <w:numPr>
          <w:ilvl w:val="0"/>
          <w:numId w:val="3"/>
        </w:numPr>
      </w:pPr>
      <w:r w:rsidRPr="00236046">
        <w:t xml:space="preserve">Other toxicities known to be associated with </w:t>
      </w:r>
      <w:r>
        <w:t>Uvadex</w:t>
      </w:r>
      <w:r w:rsidRPr="00236046">
        <w:t xml:space="preserve"> (according to the sponsor) include rash, allergic reaction, pyrexia, chills, hypotension and vasovagal episodes, nausea and taste perversion.</w:t>
      </w:r>
    </w:p>
    <w:p w:rsidR="007C29D8" w:rsidRPr="005C7942" w:rsidRDefault="007C29D8" w:rsidP="007C29D8">
      <w:pPr>
        <w:spacing w:before="0" w:after="0" w:line="240" w:lineRule="auto"/>
      </w:pPr>
      <w:r w:rsidRPr="005C7942">
        <w:t xml:space="preserve">Given the serious nature of GvHD, the safety profile of </w:t>
      </w:r>
      <w:r>
        <w:t>Uvadex</w:t>
      </w:r>
      <w:r w:rsidRPr="005C7942">
        <w:t>/ECP is considered acceptable by the clinical evaluator. There are insufficient data to establish safety in children.</w:t>
      </w:r>
    </w:p>
    <w:p w:rsidR="007C29D8" w:rsidRPr="006A080B" w:rsidRDefault="007C29D8" w:rsidP="007C29D8">
      <w:pPr>
        <w:pStyle w:val="Heading4"/>
      </w:pPr>
      <w:r>
        <w:t>Clinical evaluator’s</w:t>
      </w:r>
      <w:r w:rsidRPr="006A080B">
        <w:t xml:space="preserve"> </w:t>
      </w:r>
      <w:r>
        <w:t>b</w:t>
      </w:r>
      <w:r w:rsidRPr="006A080B">
        <w:t xml:space="preserve">enefit </w:t>
      </w:r>
      <w:r>
        <w:t>r</w:t>
      </w:r>
      <w:r w:rsidRPr="006A080B">
        <w:t xml:space="preserve">isk </w:t>
      </w:r>
      <w:r>
        <w:t>a</w:t>
      </w:r>
      <w:r w:rsidRPr="006A080B">
        <w:t>ssessment</w:t>
      </w:r>
    </w:p>
    <w:p w:rsidR="007C29D8" w:rsidRDefault="007C29D8" w:rsidP="007C29D8">
      <w:r w:rsidRPr="00E42D26">
        <w:t xml:space="preserve">ECP with </w:t>
      </w:r>
      <w:r>
        <w:t>Uvadex</w:t>
      </w:r>
      <w:r w:rsidRPr="00E42D26">
        <w:t xml:space="preserve"> </w:t>
      </w:r>
      <w:r>
        <w:t xml:space="preserve">for steroid refractory chronic GvHD was associated </w:t>
      </w:r>
      <w:r w:rsidRPr="00E42D26">
        <w:t>with</w:t>
      </w:r>
      <w:r>
        <w:t xml:space="preserve"> benefits</w:t>
      </w:r>
      <w:r w:rsidRPr="00E42D26">
        <w:t>:</w:t>
      </w:r>
    </w:p>
    <w:p w:rsidR="007C29D8" w:rsidRPr="00D82345" w:rsidRDefault="007C29D8" w:rsidP="007C29D8">
      <w:pPr>
        <w:pStyle w:val="ListBullet"/>
        <w:numPr>
          <w:ilvl w:val="0"/>
          <w:numId w:val="3"/>
        </w:numPr>
      </w:pPr>
      <w:r>
        <w:t>I</w:t>
      </w:r>
      <w:r w:rsidRPr="00D82345">
        <w:t xml:space="preserve">mprovements from </w:t>
      </w:r>
      <w:r>
        <w:t>B</w:t>
      </w:r>
      <w:r w:rsidRPr="00D82345">
        <w:t xml:space="preserve">aseline in the disease manifestations of </w:t>
      </w:r>
      <w:r>
        <w:t>chronic GvHD</w:t>
      </w:r>
      <w:r w:rsidRPr="00D82345">
        <w:t>;</w:t>
      </w:r>
      <w:r>
        <w:t xml:space="preserve"> and</w:t>
      </w:r>
    </w:p>
    <w:p w:rsidR="007C29D8" w:rsidRPr="00D82345" w:rsidRDefault="007C29D8" w:rsidP="007C29D8">
      <w:pPr>
        <w:pStyle w:val="ListBullet"/>
        <w:numPr>
          <w:ilvl w:val="0"/>
          <w:numId w:val="3"/>
        </w:numPr>
      </w:pPr>
      <w:r>
        <w:t>R</w:t>
      </w:r>
      <w:r w:rsidRPr="00D82345">
        <w:t>eductions in dose of concomitantly administered corticosteroids.</w:t>
      </w:r>
    </w:p>
    <w:p w:rsidR="007C29D8" w:rsidRPr="005C7942" w:rsidRDefault="007C29D8" w:rsidP="007C29D8">
      <w:pPr>
        <w:spacing w:before="0" w:after="0" w:line="240" w:lineRule="auto"/>
      </w:pPr>
      <w:r w:rsidRPr="005C7942">
        <w:t>Uncertainties of these benefits identified included:</w:t>
      </w:r>
    </w:p>
    <w:p w:rsidR="007C29D8" w:rsidRPr="00E42D26" w:rsidRDefault="007C29D8" w:rsidP="007C29D8">
      <w:pPr>
        <w:pStyle w:val="ListBullet"/>
        <w:numPr>
          <w:ilvl w:val="0"/>
          <w:numId w:val="3"/>
        </w:numPr>
      </w:pPr>
      <w:r w:rsidRPr="00E42D26">
        <w:t xml:space="preserve">The only randomised controlled trial in subjects with steroid-refractory </w:t>
      </w:r>
      <w:r>
        <w:t>chronic GvHD</w:t>
      </w:r>
      <w:r w:rsidRPr="00E42D26">
        <w:t xml:space="preserve"> failed to demonstrate a clear efficacy benefit for </w:t>
      </w:r>
      <w:r>
        <w:t>Uvadex</w:t>
      </w:r>
      <w:r w:rsidRPr="00E42D26">
        <w:t>/ECP plus standard therapy over standard therapy alone</w:t>
      </w:r>
      <w:r>
        <w:t>.</w:t>
      </w:r>
    </w:p>
    <w:p w:rsidR="007C29D8" w:rsidRDefault="007C29D8" w:rsidP="007C29D8">
      <w:pPr>
        <w:pStyle w:val="ListBullet"/>
        <w:numPr>
          <w:ilvl w:val="0"/>
          <w:numId w:val="3"/>
        </w:numPr>
      </w:pPr>
      <w:r w:rsidRPr="00E42D26">
        <w:t>The single-arm studies had numerous limitations including</w:t>
      </w:r>
      <w:r>
        <w:t>:</w:t>
      </w:r>
    </w:p>
    <w:p w:rsidR="007C29D8" w:rsidRDefault="007C29D8" w:rsidP="007C29D8">
      <w:pPr>
        <w:pStyle w:val="ListBullet2"/>
        <w:numPr>
          <w:ilvl w:val="1"/>
          <w:numId w:val="3"/>
        </w:numPr>
      </w:pPr>
      <w:r>
        <w:t>V</w:t>
      </w:r>
      <w:r w:rsidRPr="00E42D26">
        <w:t>ariety of definitions for disease response;</w:t>
      </w:r>
    </w:p>
    <w:p w:rsidR="007C29D8" w:rsidRDefault="007C29D8" w:rsidP="007C29D8">
      <w:pPr>
        <w:pStyle w:val="ListBullet2"/>
        <w:numPr>
          <w:ilvl w:val="1"/>
          <w:numId w:val="3"/>
        </w:numPr>
      </w:pPr>
      <w:r>
        <w:t>V</w:t>
      </w:r>
      <w:r w:rsidRPr="00E42D26">
        <w:t>ariability in response rates achieved;</w:t>
      </w:r>
    </w:p>
    <w:p w:rsidR="007C29D8" w:rsidRPr="00E42D26" w:rsidRDefault="007C29D8" w:rsidP="007C29D8">
      <w:pPr>
        <w:pStyle w:val="ListBullet2"/>
        <w:numPr>
          <w:ilvl w:val="1"/>
          <w:numId w:val="3"/>
        </w:numPr>
      </w:pPr>
      <w:r>
        <w:t>L</w:t>
      </w:r>
      <w:r w:rsidRPr="00E42D26">
        <w:t>ack of information on duration of response;</w:t>
      </w:r>
    </w:p>
    <w:p w:rsidR="007C29D8" w:rsidRPr="00E42D26" w:rsidRDefault="007C29D8" w:rsidP="007C29D8">
      <w:pPr>
        <w:pStyle w:val="ListBullet2"/>
        <w:numPr>
          <w:ilvl w:val="1"/>
          <w:numId w:val="3"/>
        </w:numPr>
      </w:pPr>
      <w:r>
        <w:t>L</w:t>
      </w:r>
      <w:r w:rsidRPr="00E42D26">
        <w:t xml:space="preserve">ack of information on controls implemented for the use of other </w:t>
      </w:r>
      <w:r>
        <w:t>chronic GvHD</w:t>
      </w:r>
      <w:r w:rsidRPr="00E42D26">
        <w:t xml:space="preserve"> treatments;</w:t>
      </w:r>
    </w:p>
    <w:p w:rsidR="007C29D8" w:rsidRDefault="007C29D8" w:rsidP="007C29D8">
      <w:pPr>
        <w:pStyle w:val="ListBullet2"/>
        <w:numPr>
          <w:ilvl w:val="1"/>
          <w:numId w:val="3"/>
        </w:numPr>
      </w:pPr>
      <w:r>
        <w:t>V</w:t>
      </w:r>
      <w:r w:rsidRPr="00E42D26">
        <w:t>ariability in the ECP schedules used;</w:t>
      </w:r>
      <w:r>
        <w:t xml:space="preserve"> and</w:t>
      </w:r>
    </w:p>
    <w:p w:rsidR="007C29D8" w:rsidRDefault="007C29D8" w:rsidP="007C29D8">
      <w:pPr>
        <w:pStyle w:val="ListBullet2"/>
        <w:numPr>
          <w:ilvl w:val="1"/>
          <w:numId w:val="3"/>
        </w:numPr>
      </w:pPr>
      <w:r>
        <w:t>V</w:t>
      </w:r>
      <w:r w:rsidRPr="00E42D26">
        <w:t>ariability in ECP treatment duration.</w:t>
      </w:r>
    </w:p>
    <w:p w:rsidR="007C29D8" w:rsidRDefault="007C29D8" w:rsidP="007C29D8">
      <w:pPr>
        <w:pStyle w:val="ListBullet"/>
        <w:numPr>
          <w:ilvl w:val="0"/>
          <w:numId w:val="3"/>
        </w:numPr>
      </w:pPr>
      <w:r>
        <w:t>Efficacy has not been established in children.</w:t>
      </w:r>
    </w:p>
    <w:p w:rsidR="007C29D8" w:rsidRDefault="007C29D8" w:rsidP="007C29D8">
      <w:r w:rsidRPr="00E42D26">
        <w:t>ECP with</w:t>
      </w:r>
      <w:r>
        <w:t xml:space="preserve"> Uvadex for steroid refractory acute GvHD</w:t>
      </w:r>
      <w:r w:rsidRPr="00E42D26">
        <w:t xml:space="preserve"> was associated with </w:t>
      </w:r>
      <w:r>
        <w:t xml:space="preserve">the following </w:t>
      </w:r>
      <w:r w:rsidRPr="00E42D26">
        <w:t>benefits</w:t>
      </w:r>
      <w:r>
        <w:t>:</w:t>
      </w:r>
    </w:p>
    <w:p w:rsidR="007C29D8" w:rsidRPr="00D82345" w:rsidRDefault="007C29D8" w:rsidP="007C29D8">
      <w:pPr>
        <w:pStyle w:val="ListBullet"/>
        <w:numPr>
          <w:ilvl w:val="0"/>
          <w:numId w:val="3"/>
        </w:numPr>
      </w:pPr>
      <w:r>
        <w:t>I</w:t>
      </w:r>
      <w:r w:rsidRPr="00D82345">
        <w:t xml:space="preserve">mprovements from baseline in the disease manifestations of </w:t>
      </w:r>
      <w:r>
        <w:t>acute GvHD</w:t>
      </w:r>
      <w:r w:rsidRPr="00D82345">
        <w:t>;</w:t>
      </w:r>
      <w:r>
        <w:t xml:space="preserve"> and</w:t>
      </w:r>
    </w:p>
    <w:p w:rsidR="007C29D8" w:rsidRPr="00D82345" w:rsidRDefault="007C29D8" w:rsidP="007C29D8">
      <w:pPr>
        <w:pStyle w:val="ListBullet"/>
        <w:numPr>
          <w:ilvl w:val="0"/>
          <w:numId w:val="3"/>
        </w:numPr>
      </w:pPr>
      <w:r>
        <w:t>R</w:t>
      </w:r>
      <w:r w:rsidRPr="00D82345">
        <w:t>eductions in dose of concomitantly administered corticosteroids.</w:t>
      </w:r>
    </w:p>
    <w:p w:rsidR="007C29D8" w:rsidRDefault="007C29D8" w:rsidP="007C29D8">
      <w:r w:rsidRPr="00E42D26">
        <w:t>Uncertainties of these benefits were identified:</w:t>
      </w:r>
    </w:p>
    <w:p w:rsidR="007C29D8" w:rsidRDefault="007C29D8" w:rsidP="007C29D8">
      <w:pPr>
        <w:pStyle w:val="ListBullet"/>
        <w:numPr>
          <w:ilvl w:val="0"/>
          <w:numId w:val="3"/>
        </w:numPr>
      </w:pPr>
      <w:r>
        <w:t>T</w:t>
      </w:r>
      <w:r w:rsidRPr="00E42D26">
        <w:t xml:space="preserve">here were no randomised controlled trials and therefore no data to establish an efficacy benefit for </w:t>
      </w:r>
      <w:r>
        <w:t>Uvadex</w:t>
      </w:r>
      <w:r w:rsidRPr="00E42D26">
        <w:t>/ECP plus standard therapy over standard therapy alone.</w:t>
      </w:r>
    </w:p>
    <w:p w:rsidR="007C29D8" w:rsidRDefault="007C29D8" w:rsidP="007C29D8">
      <w:pPr>
        <w:pStyle w:val="ListBullet"/>
        <w:numPr>
          <w:ilvl w:val="0"/>
          <w:numId w:val="3"/>
        </w:numPr>
      </w:pPr>
      <w:r>
        <w:t>E</w:t>
      </w:r>
      <w:r w:rsidRPr="00E42D26">
        <w:t>vidence to support efficacy came from a small number of published prospective single-arm studies.</w:t>
      </w:r>
      <w:r w:rsidRPr="00A00811">
        <w:t xml:space="preserve"> These studies had numerous limitations</w:t>
      </w:r>
      <w:r>
        <w:t xml:space="preserve"> including:</w:t>
      </w:r>
    </w:p>
    <w:p w:rsidR="007C29D8" w:rsidRDefault="007C29D8" w:rsidP="007C29D8">
      <w:pPr>
        <w:pStyle w:val="ListBullet2"/>
        <w:numPr>
          <w:ilvl w:val="1"/>
          <w:numId w:val="3"/>
        </w:numPr>
      </w:pPr>
      <w:r>
        <w:t xml:space="preserve">A </w:t>
      </w:r>
      <w:r w:rsidRPr="00A00811">
        <w:t>variety of d</w:t>
      </w:r>
      <w:r>
        <w:t>efinitions for disease response;</w:t>
      </w:r>
    </w:p>
    <w:p w:rsidR="007C29D8" w:rsidRDefault="007C29D8" w:rsidP="007C29D8">
      <w:pPr>
        <w:pStyle w:val="ListBullet2"/>
        <w:numPr>
          <w:ilvl w:val="1"/>
          <w:numId w:val="3"/>
        </w:numPr>
      </w:pPr>
      <w:r>
        <w:lastRenderedPageBreak/>
        <w:t>V</w:t>
      </w:r>
      <w:r w:rsidRPr="00A00811">
        <w:t>ariability in response rates achieved;</w:t>
      </w:r>
    </w:p>
    <w:p w:rsidR="007C29D8" w:rsidRDefault="007C29D8" w:rsidP="007C29D8">
      <w:pPr>
        <w:pStyle w:val="ListBullet2"/>
        <w:numPr>
          <w:ilvl w:val="1"/>
          <w:numId w:val="3"/>
        </w:numPr>
      </w:pPr>
      <w:r>
        <w:t>L</w:t>
      </w:r>
      <w:r w:rsidRPr="00A00811">
        <w:t>ack of information on duration of response;</w:t>
      </w:r>
    </w:p>
    <w:p w:rsidR="007C29D8" w:rsidRDefault="007C29D8" w:rsidP="007C29D8">
      <w:pPr>
        <w:pStyle w:val="ListBullet2"/>
        <w:numPr>
          <w:ilvl w:val="1"/>
          <w:numId w:val="3"/>
        </w:numPr>
      </w:pPr>
      <w:r>
        <w:t>L</w:t>
      </w:r>
      <w:r w:rsidRPr="00A00811">
        <w:t xml:space="preserve">ack of information on controls implemented for the use of other </w:t>
      </w:r>
      <w:r>
        <w:t>acute GvHD</w:t>
      </w:r>
      <w:r w:rsidRPr="00A00811">
        <w:t xml:space="preserve"> treatments;</w:t>
      </w:r>
    </w:p>
    <w:p w:rsidR="007C29D8" w:rsidRDefault="007C29D8" w:rsidP="007C29D8">
      <w:pPr>
        <w:pStyle w:val="ListBullet2"/>
        <w:numPr>
          <w:ilvl w:val="1"/>
          <w:numId w:val="3"/>
        </w:numPr>
      </w:pPr>
      <w:r>
        <w:t>V</w:t>
      </w:r>
      <w:r w:rsidRPr="00A00811">
        <w:t>ariability in the ECP schedules used;</w:t>
      </w:r>
      <w:r>
        <w:t xml:space="preserve"> and</w:t>
      </w:r>
    </w:p>
    <w:p w:rsidR="007C29D8" w:rsidRPr="00E42D26" w:rsidRDefault="007C29D8" w:rsidP="007C29D8">
      <w:pPr>
        <w:pStyle w:val="ListBullet2"/>
        <w:numPr>
          <w:ilvl w:val="1"/>
          <w:numId w:val="3"/>
        </w:numPr>
      </w:pPr>
      <w:r>
        <w:t>V</w:t>
      </w:r>
      <w:r w:rsidRPr="00A00811">
        <w:t>ariability in ECP treatment duration.</w:t>
      </w:r>
    </w:p>
    <w:p w:rsidR="007C29D8" w:rsidRDefault="007C29D8" w:rsidP="007C29D8">
      <w:pPr>
        <w:pStyle w:val="ListBullet"/>
        <w:numPr>
          <w:ilvl w:val="0"/>
          <w:numId w:val="3"/>
        </w:numPr>
      </w:pPr>
      <w:r w:rsidRPr="00A00811">
        <w:t>Efficacy has not been established in children</w:t>
      </w:r>
      <w:r>
        <w:t>.</w:t>
      </w:r>
    </w:p>
    <w:p w:rsidR="007C29D8" w:rsidRDefault="007C29D8" w:rsidP="007C29D8">
      <w:r w:rsidRPr="00A00811">
        <w:t xml:space="preserve">ECP with </w:t>
      </w:r>
      <w:r>
        <w:t>Uvadex</w:t>
      </w:r>
      <w:r w:rsidRPr="00A00811">
        <w:t xml:space="preserve"> was associated</w:t>
      </w:r>
      <w:r>
        <w:t xml:space="preserve"> with </w:t>
      </w:r>
      <w:r w:rsidRPr="00A00811">
        <w:t>risks</w:t>
      </w:r>
      <w:r>
        <w:t xml:space="preserve"> including:</w:t>
      </w:r>
    </w:p>
    <w:p w:rsidR="007C29D8" w:rsidRPr="00A00811" w:rsidRDefault="007C29D8" w:rsidP="007C29D8">
      <w:pPr>
        <w:pStyle w:val="ListBullet"/>
        <w:numPr>
          <w:ilvl w:val="0"/>
          <w:numId w:val="3"/>
        </w:numPr>
      </w:pPr>
      <w:r>
        <w:t>A</w:t>
      </w:r>
      <w:r w:rsidRPr="00A00811">
        <w:t>n increased in</w:t>
      </w:r>
      <w:r>
        <w:t>cidence of the following risks:</w:t>
      </w:r>
    </w:p>
    <w:p w:rsidR="007C29D8" w:rsidRPr="00A00811" w:rsidRDefault="007C29D8" w:rsidP="007C29D8">
      <w:pPr>
        <w:pStyle w:val="ListBullet2"/>
        <w:numPr>
          <w:ilvl w:val="1"/>
          <w:numId w:val="3"/>
        </w:numPr>
      </w:pPr>
      <w:r>
        <w:t>A</w:t>
      </w:r>
      <w:r w:rsidRPr="00A00811">
        <w:t>naemia;</w:t>
      </w:r>
    </w:p>
    <w:p w:rsidR="007C29D8" w:rsidRPr="00A00811" w:rsidRDefault="007C29D8" w:rsidP="007C29D8">
      <w:pPr>
        <w:pStyle w:val="ListBullet2"/>
        <w:numPr>
          <w:ilvl w:val="1"/>
          <w:numId w:val="3"/>
        </w:numPr>
      </w:pPr>
      <w:r>
        <w:t>T</w:t>
      </w:r>
      <w:r w:rsidRPr="00A00811">
        <w:t>hrombocytopaenia;</w:t>
      </w:r>
    </w:p>
    <w:p w:rsidR="007C29D8" w:rsidRPr="00A00811" w:rsidRDefault="007C29D8" w:rsidP="007C29D8">
      <w:pPr>
        <w:pStyle w:val="ListBullet2"/>
        <w:numPr>
          <w:ilvl w:val="1"/>
          <w:numId w:val="3"/>
        </w:numPr>
      </w:pPr>
      <w:r>
        <w:t>H</w:t>
      </w:r>
      <w:r w:rsidRPr="00A00811">
        <w:t>ypertension;</w:t>
      </w:r>
    </w:p>
    <w:p w:rsidR="007C29D8" w:rsidRPr="00A00811" w:rsidRDefault="007C29D8" w:rsidP="007C29D8">
      <w:pPr>
        <w:pStyle w:val="ListBullet2"/>
        <w:numPr>
          <w:ilvl w:val="1"/>
          <w:numId w:val="3"/>
        </w:numPr>
      </w:pPr>
      <w:r>
        <w:t>F</w:t>
      </w:r>
      <w:r w:rsidRPr="00A00811">
        <w:t>atigue;</w:t>
      </w:r>
    </w:p>
    <w:p w:rsidR="007C29D8" w:rsidRPr="00A00811" w:rsidRDefault="007C29D8" w:rsidP="007C29D8">
      <w:pPr>
        <w:pStyle w:val="ListBullet2"/>
        <w:numPr>
          <w:ilvl w:val="1"/>
          <w:numId w:val="3"/>
        </w:numPr>
      </w:pPr>
      <w:r>
        <w:t>C</w:t>
      </w:r>
      <w:r w:rsidRPr="00A00811">
        <w:t>ough and dyspnoea;</w:t>
      </w:r>
      <w:r>
        <w:t xml:space="preserve"> and</w:t>
      </w:r>
    </w:p>
    <w:p w:rsidR="007C29D8" w:rsidRDefault="007C29D8" w:rsidP="007C29D8">
      <w:pPr>
        <w:pStyle w:val="ListBullet2"/>
        <w:numPr>
          <w:ilvl w:val="1"/>
          <w:numId w:val="3"/>
        </w:numPr>
      </w:pPr>
      <w:r>
        <w:t>C</w:t>
      </w:r>
      <w:r w:rsidRPr="00A00811">
        <w:t>atheter-related adverse events</w:t>
      </w:r>
      <w:r>
        <w:t>.</w:t>
      </w:r>
    </w:p>
    <w:p w:rsidR="007C29D8" w:rsidRPr="00A00811" w:rsidRDefault="007C29D8" w:rsidP="007C29D8">
      <w:pPr>
        <w:pStyle w:val="ListBullet"/>
        <w:numPr>
          <w:ilvl w:val="0"/>
          <w:numId w:val="3"/>
        </w:numPr>
      </w:pPr>
      <w:r w:rsidRPr="00A00811">
        <w:t>Post-marketing data suggest</w:t>
      </w:r>
      <w:r>
        <w:t>s</w:t>
      </w:r>
      <w:r w:rsidRPr="00A00811">
        <w:t xml:space="preserve"> that </w:t>
      </w:r>
      <w:r>
        <w:t>Uvadex</w:t>
      </w:r>
      <w:r w:rsidRPr="00A00811">
        <w:t xml:space="preserve">/ECP may be associated with an increased risk of </w:t>
      </w:r>
      <w:r>
        <w:t>VTE</w:t>
      </w:r>
      <w:r w:rsidRPr="00A00811">
        <w:t>.</w:t>
      </w:r>
    </w:p>
    <w:p w:rsidR="007C29D8" w:rsidRPr="00A00811" w:rsidRDefault="007C29D8" w:rsidP="007C29D8">
      <w:pPr>
        <w:pStyle w:val="ListBullet"/>
        <w:numPr>
          <w:ilvl w:val="0"/>
          <w:numId w:val="3"/>
        </w:numPr>
      </w:pPr>
      <w:r w:rsidRPr="00A00811">
        <w:t xml:space="preserve">Other events known to be associated with </w:t>
      </w:r>
      <w:r>
        <w:t>Uvadex</w:t>
      </w:r>
      <w:r w:rsidRPr="00A00811">
        <w:t>/ECP include rash, allergic reaction, pyrexia, chills, hypotension and vasovagal episodes, nausea and taste perversion.</w:t>
      </w:r>
    </w:p>
    <w:p w:rsidR="007C29D8" w:rsidRPr="005C7942" w:rsidRDefault="007C29D8" w:rsidP="007C29D8">
      <w:pPr>
        <w:spacing w:before="0" w:after="0" w:line="240" w:lineRule="auto"/>
      </w:pPr>
      <w:r w:rsidRPr="005C7942">
        <w:t>Strengths of the assessment of risks identified were:</w:t>
      </w:r>
    </w:p>
    <w:p w:rsidR="007C29D8" w:rsidRDefault="007C29D8" w:rsidP="007C29D8">
      <w:pPr>
        <w:pStyle w:val="ListBullet"/>
        <w:numPr>
          <w:ilvl w:val="0"/>
          <w:numId w:val="3"/>
        </w:numPr>
      </w:pPr>
      <w:r w:rsidRPr="00A00811">
        <w:t>In two randomised studies in the submission</w:t>
      </w:r>
      <w:r>
        <w:t>,</w:t>
      </w:r>
      <w:r w:rsidRPr="00A00811">
        <w:t xml:space="preserve"> ECP was associated with a small increase or no i</w:t>
      </w:r>
      <w:r w:rsidR="009A5DC4">
        <w:t>ncrease in the incidence of SAE or discontinuations due to AE</w:t>
      </w:r>
      <w:r w:rsidRPr="00A00811">
        <w:t>.</w:t>
      </w:r>
    </w:p>
    <w:p w:rsidR="007C29D8" w:rsidRPr="00A00811" w:rsidRDefault="007C29D8" w:rsidP="007C29D8">
      <w:pPr>
        <w:pStyle w:val="ListBullet"/>
        <w:numPr>
          <w:ilvl w:val="0"/>
          <w:numId w:val="3"/>
        </w:numPr>
      </w:pPr>
      <w:r>
        <w:t>Uvadex</w:t>
      </w:r>
      <w:r w:rsidRPr="00A00811">
        <w:t>/ECP has been in use in foreign markets since 1999. Apart from the possible increased risk of VTE, no major safety concerns have been identified in that time</w:t>
      </w:r>
    </w:p>
    <w:p w:rsidR="007C29D8" w:rsidRPr="005C7942" w:rsidRDefault="007C29D8" w:rsidP="007C29D8">
      <w:pPr>
        <w:spacing w:before="0" w:after="0" w:line="240" w:lineRule="auto"/>
      </w:pPr>
      <w:r w:rsidRPr="005C7942">
        <w:t>Uncertainties of the assessment of risks were identified:</w:t>
      </w:r>
    </w:p>
    <w:p w:rsidR="007C29D8" w:rsidRPr="000229B7" w:rsidRDefault="007C29D8" w:rsidP="007C29D8">
      <w:pPr>
        <w:pStyle w:val="ListBullet"/>
        <w:numPr>
          <w:ilvl w:val="0"/>
          <w:numId w:val="3"/>
        </w:numPr>
      </w:pPr>
      <w:r w:rsidRPr="000229B7">
        <w:t>Only small numbers of subjects were studied in the submitted clinical trials.</w:t>
      </w:r>
    </w:p>
    <w:p w:rsidR="007C29D8" w:rsidRPr="00A00811" w:rsidRDefault="007C29D8" w:rsidP="007C29D8">
      <w:pPr>
        <w:pStyle w:val="ListBullet"/>
        <w:numPr>
          <w:ilvl w:val="0"/>
          <w:numId w:val="3"/>
        </w:numPr>
      </w:pPr>
      <w:r w:rsidRPr="000229B7">
        <w:t>Safety has not been established in children.</w:t>
      </w:r>
    </w:p>
    <w:p w:rsidR="007C29D8" w:rsidRPr="00886B30" w:rsidRDefault="007C29D8" w:rsidP="007C29D8">
      <w:pPr>
        <w:pStyle w:val="Heading4"/>
      </w:pPr>
      <w:r>
        <w:t>B</w:t>
      </w:r>
      <w:r w:rsidRPr="00886B30">
        <w:t>enefit-risk balance</w:t>
      </w:r>
      <w:r>
        <w:t xml:space="preserve"> in chronic GvHD</w:t>
      </w:r>
    </w:p>
    <w:p w:rsidR="007C29D8" w:rsidRPr="00886B30" w:rsidRDefault="007C29D8" w:rsidP="007C29D8">
      <w:r w:rsidRPr="00886B30">
        <w:t>Steroid-refractory c</w:t>
      </w:r>
      <w:r>
        <w:t xml:space="preserve">hronic </w:t>
      </w:r>
      <w:r w:rsidRPr="00886B30">
        <w:t>GvHD is a rare disease</w:t>
      </w:r>
      <w:r>
        <w:t xml:space="preserve"> with Orphan Drug designation</w:t>
      </w:r>
      <w:r w:rsidRPr="00886B30">
        <w:t xml:space="preserve">. In Australia there are currently no therapies approved for steroid-refractory </w:t>
      </w:r>
      <w:r>
        <w:t>chronic GvHD</w:t>
      </w:r>
      <w:r w:rsidRPr="00886B30">
        <w:t>.</w:t>
      </w:r>
      <w:r>
        <w:t xml:space="preserve"> </w:t>
      </w:r>
      <w:r w:rsidRPr="00886B30">
        <w:t xml:space="preserve">The </w:t>
      </w:r>
      <w:r>
        <w:t xml:space="preserve">clinical evaluator considered that the </w:t>
      </w:r>
      <w:r w:rsidRPr="00886B30">
        <w:t xml:space="preserve">evidence to support efficacy of </w:t>
      </w:r>
      <w:r>
        <w:t>Uvadex</w:t>
      </w:r>
      <w:r w:rsidRPr="00886B30">
        <w:t>/ECP in c</w:t>
      </w:r>
      <w:r>
        <w:t xml:space="preserve">hronic </w:t>
      </w:r>
      <w:r w:rsidRPr="00886B30">
        <w:t xml:space="preserve">GvHD was limited. The only randomised controlled study failed to provide persuasive evidence of efficacy. Multiple prospective, single-arm studies demonstrated evidence of improvement in disease manifestations compared to baseline. However, these studies had several limitations which complicate their interpretation. The safety data in the submission indicate that </w:t>
      </w:r>
      <w:r>
        <w:t>Uvadex</w:t>
      </w:r>
      <w:r w:rsidRPr="00886B30">
        <w:t>/ECP has an acceptable safety profile,</w:t>
      </w:r>
      <w:r>
        <w:t xml:space="preserve"> although there are insufficient data to establish safety in children.</w:t>
      </w:r>
      <w:r w:rsidRPr="00660DC5">
        <w:t xml:space="preserve"> </w:t>
      </w:r>
      <w:r>
        <w:t xml:space="preserve">The clinical evaluator stated that </w:t>
      </w:r>
      <w:r w:rsidRPr="00660DC5">
        <w:t>a favourable balance between benefits and risks cannot be concluded due to concerns regarding the adequacy of the submitted efficacy data.</w:t>
      </w:r>
    </w:p>
    <w:p w:rsidR="007C29D8" w:rsidRDefault="007C29D8" w:rsidP="007C29D8">
      <w:pPr>
        <w:pStyle w:val="Heading4"/>
      </w:pPr>
      <w:r>
        <w:lastRenderedPageBreak/>
        <w:t>Benefit-risk balance in acute GvHD</w:t>
      </w:r>
    </w:p>
    <w:p w:rsidR="007C29D8" w:rsidRPr="00660DC5" w:rsidRDefault="007C29D8" w:rsidP="007C29D8">
      <w:r w:rsidRPr="00660DC5">
        <w:t xml:space="preserve">Steroid-refractory </w:t>
      </w:r>
      <w:r>
        <w:t>acute GvHD</w:t>
      </w:r>
      <w:r w:rsidRPr="00660DC5">
        <w:t xml:space="preserve"> is also a rare disease</w:t>
      </w:r>
      <w:r>
        <w:t xml:space="preserve"> with Orphan Drug designation</w:t>
      </w:r>
      <w:r w:rsidRPr="00660DC5">
        <w:t>, for which there is no established treatment.</w:t>
      </w:r>
    </w:p>
    <w:p w:rsidR="007C29D8" w:rsidRPr="00660DC5" w:rsidRDefault="007C29D8" w:rsidP="007C29D8">
      <w:r w:rsidRPr="00660DC5">
        <w:t xml:space="preserve">The </w:t>
      </w:r>
      <w:r>
        <w:t>clinical evaluator</w:t>
      </w:r>
      <w:r w:rsidRPr="00660DC5">
        <w:t xml:space="preserve"> </w:t>
      </w:r>
      <w:r>
        <w:t>considered that d</w:t>
      </w:r>
      <w:r w:rsidRPr="00660DC5">
        <w:t xml:space="preserve">ata to support the efficacy of </w:t>
      </w:r>
      <w:r>
        <w:t>Uvadex</w:t>
      </w:r>
      <w:r w:rsidRPr="00660DC5">
        <w:t xml:space="preserve">/ECP in the treatment of steroid-refractory acute GvHD were inadequate, both in adults and children. Despite the favourable safety profile for </w:t>
      </w:r>
      <w:r>
        <w:t>Uvadex</w:t>
      </w:r>
      <w:r w:rsidRPr="00660DC5">
        <w:t>/ECP, a favourable balance between benefits and risks cannot be concluded.</w:t>
      </w:r>
    </w:p>
    <w:p w:rsidR="007C29D8" w:rsidRPr="0008586C" w:rsidRDefault="007C29D8" w:rsidP="007C29D8">
      <w:pPr>
        <w:pStyle w:val="Heading4"/>
      </w:pPr>
      <w:r w:rsidRPr="0008586C">
        <w:t>Second round clinical evaluation</w:t>
      </w:r>
    </w:p>
    <w:p w:rsidR="007C29D8" w:rsidRPr="0008586C" w:rsidRDefault="007C29D8" w:rsidP="007C29D8">
      <w:pPr>
        <w:pStyle w:val="Heading5"/>
      </w:pPr>
      <w:r w:rsidRPr="0008586C">
        <w:t>International clinical guidelines</w:t>
      </w:r>
    </w:p>
    <w:p w:rsidR="007C29D8" w:rsidRPr="0008586C" w:rsidRDefault="007C29D8" w:rsidP="007C29D8">
      <w:r w:rsidRPr="0008586C">
        <w:t>The sponsor stated in their response to the TGA’s request for further information that it was unclear whether ‘</w:t>
      </w:r>
      <w:r>
        <w:t>I</w:t>
      </w:r>
      <w:r w:rsidRPr="0008586C">
        <w:t>nternational clinical guidelines published recently by GvHD expert panels that confirm the use of ECP as second-line treatment in steroid-refractory GvHD’ were fully assessed by the clinical evaluator.</w:t>
      </w:r>
    </w:p>
    <w:p w:rsidR="007C29D8" w:rsidRPr="0008586C" w:rsidRDefault="007C29D8" w:rsidP="007C29D8">
      <w:r>
        <w:t>In the second</w:t>
      </w:r>
      <w:r w:rsidR="009A5DC4">
        <w:t xml:space="preserve"> </w:t>
      </w:r>
      <w:r>
        <w:t>round clinical evaluation report, t</w:t>
      </w:r>
      <w:r w:rsidRPr="0008586C">
        <w:t>he clinical evaluator describes current consensus clinical practice guidelines for chronic GvHD have been published on behalf of the following peak bodies:</w:t>
      </w:r>
    </w:p>
    <w:p w:rsidR="007C29D8" w:rsidRPr="0008586C" w:rsidRDefault="007C29D8" w:rsidP="007C29D8">
      <w:pPr>
        <w:pStyle w:val="ListBullet"/>
        <w:numPr>
          <w:ilvl w:val="0"/>
          <w:numId w:val="3"/>
        </w:numPr>
      </w:pPr>
      <w:r w:rsidRPr="0008586C">
        <w:t>The European Group for Blood and Marrow Transplantation (EBMT) and the European Leuk</w:t>
      </w:r>
      <w:r>
        <w:t>aemia Network (ELN) in 2014</w:t>
      </w:r>
      <w:r w:rsidRPr="0008586C">
        <w:t>;</w:t>
      </w:r>
      <w:bookmarkStart w:id="47" w:name="_Ref21671714"/>
      <w:r w:rsidRPr="0008586C">
        <w:rPr>
          <w:rStyle w:val="FootnoteReference"/>
        </w:rPr>
        <w:footnoteReference w:id="3"/>
      </w:r>
      <w:bookmarkEnd w:id="47"/>
    </w:p>
    <w:p w:rsidR="007C29D8" w:rsidRPr="0008586C" w:rsidRDefault="007C29D8" w:rsidP="007C29D8">
      <w:pPr>
        <w:pStyle w:val="ListBullet"/>
        <w:numPr>
          <w:ilvl w:val="0"/>
          <w:numId w:val="3"/>
        </w:numPr>
      </w:pPr>
      <w:r w:rsidRPr="0008586C">
        <w:t>The British Society for Blood and Mar</w:t>
      </w:r>
      <w:r>
        <w:t>row Transplantation in 2012</w:t>
      </w:r>
      <w:r w:rsidRPr="0008586C">
        <w:t>.</w:t>
      </w:r>
      <w:r w:rsidRPr="0008586C">
        <w:rPr>
          <w:rStyle w:val="FootnoteReference"/>
        </w:rPr>
        <w:footnoteReference w:id="4"/>
      </w:r>
    </w:p>
    <w:p w:rsidR="007C29D8" w:rsidRPr="0008586C" w:rsidRDefault="007C29D8" w:rsidP="007C29D8">
      <w:r w:rsidRPr="0008586C">
        <w:t>The European guideline states the following:</w:t>
      </w:r>
    </w:p>
    <w:p w:rsidR="007C29D8" w:rsidRPr="0008586C" w:rsidRDefault="007C29D8" w:rsidP="007C29D8">
      <w:pPr>
        <w:ind w:left="720"/>
      </w:pPr>
      <w:r w:rsidRPr="0008586C">
        <w:t>‘There is no standard second-line treatment for chronic GvHD</w:t>
      </w:r>
      <w:r>
        <w:t xml:space="preserve">, </w:t>
      </w:r>
      <w:r w:rsidRPr="0008586C">
        <w:t>[…] patients should be treated in trials as far as possible.’</w:t>
      </w:r>
    </w:p>
    <w:p w:rsidR="007C29D8" w:rsidRPr="0008586C" w:rsidRDefault="007C29D8" w:rsidP="007C29D8">
      <w:r w:rsidRPr="0008586C">
        <w:t>The British guideline states:</w:t>
      </w:r>
    </w:p>
    <w:p w:rsidR="007C29D8" w:rsidRPr="0008586C" w:rsidRDefault="007C29D8" w:rsidP="007C29D8">
      <w:pPr>
        <w:ind w:left="720"/>
      </w:pPr>
      <w:r>
        <w:t>‘</w:t>
      </w:r>
      <w:r w:rsidRPr="0008586C">
        <w:t xml:space="preserve">Ideally patients with steroid-refractory </w:t>
      </w:r>
      <w:r>
        <w:t>chronic GvHD</w:t>
      </w:r>
      <w:r w:rsidRPr="0008586C">
        <w:t xml:space="preserve"> should be entered into clinical trials.</w:t>
      </w:r>
      <w:r>
        <w:t>’</w:t>
      </w:r>
    </w:p>
    <w:p w:rsidR="007C29D8" w:rsidRDefault="007C29D8" w:rsidP="007C29D8">
      <w:r w:rsidRPr="0008586C">
        <w:t>The clinical evaluator note</w:t>
      </w:r>
      <w:r>
        <w:t>d</w:t>
      </w:r>
      <w:r w:rsidRPr="0008586C">
        <w:t xml:space="preserve"> that such guidelines recommend a variety of therapies that can be tried for the second-line treatment of chronic GvHD. ECP is one of these therapies. Other potential therapies recommended in the guidelines include rituximab, calcineurin inhibitors (for example, cyclosporin), mycophenolate, </w:t>
      </w:r>
      <w:r>
        <w:t>mammalian target of rapamycin (</w:t>
      </w:r>
      <w:r w:rsidRPr="0008586C">
        <w:t>mTOR</w:t>
      </w:r>
      <w:r>
        <w:t>)</w:t>
      </w:r>
      <w:r w:rsidRPr="0008586C">
        <w:t xml:space="preserve"> inhibitors (for example, sirolimus), pentostatin and imatinib. The guidelines emphasise the paucity of evidence available to support these treatment recommendations. ECP is not recommended as the preferred treatment, even though Study GvHD-SK1 has been to date the only randomised controlled trial conducted in the second-line setting.</w:t>
      </w:r>
    </w:p>
    <w:p w:rsidR="007C29D8" w:rsidRDefault="007C29D8" w:rsidP="007C29D8">
      <w:r w:rsidRPr="00660DC5">
        <w:t xml:space="preserve">The </w:t>
      </w:r>
      <w:r>
        <w:t xml:space="preserve">clinical evaluator </w:t>
      </w:r>
      <w:r w:rsidRPr="00660DC5">
        <w:t>describe</w:t>
      </w:r>
      <w:r>
        <w:t>d</w:t>
      </w:r>
      <w:r w:rsidRPr="00660DC5">
        <w:t xml:space="preserve"> current consensus clinical practice guidelines for </w:t>
      </w:r>
      <w:r>
        <w:t xml:space="preserve">acute </w:t>
      </w:r>
      <w:r w:rsidRPr="00660DC5">
        <w:t xml:space="preserve">GvHD </w:t>
      </w:r>
      <w:r>
        <w:t xml:space="preserve">that </w:t>
      </w:r>
      <w:r w:rsidRPr="00660DC5">
        <w:t>have been published on behalf of the following peak bodies:</w:t>
      </w:r>
    </w:p>
    <w:p w:rsidR="007C29D8" w:rsidRPr="002B18F1" w:rsidRDefault="007C29D8" w:rsidP="007C29D8">
      <w:pPr>
        <w:pStyle w:val="ListBullet"/>
        <w:numPr>
          <w:ilvl w:val="0"/>
          <w:numId w:val="3"/>
        </w:numPr>
      </w:pPr>
      <w:r>
        <w:t>EBMT/ELN in 2014</w:t>
      </w:r>
      <w:r w:rsidRPr="002B18F1">
        <w:t>;</w:t>
      </w:r>
      <w:r>
        <w:fldChar w:fldCharType="begin"/>
      </w:r>
      <w:r>
        <w:instrText xml:space="preserve"> NOTEREF _Ref21671714 \f \h </w:instrText>
      </w:r>
      <w:r>
        <w:fldChar w:fldCharType="separate"/>
      </w:r>
      <w:r w:rsidRPr="005C7942">
        <w:rPr>
          <w:rStyle w:val="FootnoteReference"/>
        </w:rPr>
        <w:t>2</w:t>
      </w:r>
      <w:r>
        <w:fldChar w:fldCharType="end"/>
      </w:r>
    </w:p>
    <w:p w:rsidR="007C29D8" w:rsidRPr="002B18F1" w:rsidRDefault="007C29D8" w:rsidP="007C29D8">
      <w:pPr>
        <w:pStyle w:val="ListBullet"/>
        <w:numPr>
          <w:ilvl w:val="0"/>
          <w:numId w:val="3"/>
        </w:numPr>
      </w:pPr>
      <w:r w:rsidRPr="002B18F1">
        <w:t>The American Society of Blood and Marro</w:t>
      </w:r>
      <w:r>
        <w:t>w Transplantation in 2012;</w:t>
      </w:r>
      <w:r>
        <w:rPr>
          <w:rStyle w:val="FootnoteReference"/>
        </w:rPr>
        <w:footnoteReference w:id="5"/>
      </w:r>
    </w:p>
    <w:p w:rsidR="007C29D8" w:rsidRDefault="007C29D8" w:rsidP="007C29D8">
      <w:pPr>
        <w:pStyle w:val="ListBullet"/>
        <w:numPr>
          <w:ilvl w:val="0"/>
          <w:numId w:val="3"/>
        </w:numPr>
      </w:pPr>
      <w:r w:rsidRPr="002B18F1">
        <w:t>The British Society for Bloo</w:t>
      </w:r>
      <w:r w:rsidRPr="00CA5C96">
        <w:t>d and Ma</w:t>
      </w:r>
      <w:r>
        <w:t>rrow Transplantation in 2012</w:t>
      </w:r>
      <w:r w:rsidRPr="00CA5C96">
        <w:t>.</w:t>
      </w:r>
      <w:r>
        <w:rPr>
          <w:rStyle w:val="FootnoteReference"/>
        </w:rPr>
        <w:footnoteReference w:id="6"/>
      </w:r>
    </w:p>
    <w:p w:rsidR="007C29D8" w:rsidRPr="00CA5C96" w:rsidRDefault="007C29D8" w:rsidP="007C29D8">
      <w:r w:rsidRPr="00CA5C96">
        <w:lastRenderedPageBreak/>
        <w:t xml:space="preserve">The European guideline states the following: </w:t>
      </w:r>
    </w:p>
    <w:p w:rsidR="007C29D8" w:rsidRPr="002B18F1" w:rsidRDefault="007C29D8" w:rsidP="007C29D8">
      <w:pPr>
        <w:ind w:left="720"/>
      </w:pPr>
      <w:r>
        <w:t>‘</w:t>
      </w:r>
      <w:r w:rsidRPr="002B18F1">
        <w:t xml:space="preserve">There is no standard second-line treatment for acute </w:t>
      </w:r>
      <w:r>
        <w:t xml:space="preserve">GvHD, </w:t>
      </w:r>
      <w:r w:rsidRPr="0008586C">
        <w:t>[…]</w:t>
      </w:r>
      <w:r w:rsidRPr="002B18F1">
        <w:t xml:space="preserve"> patients should be treated in trials as far as possible.</w:t>
      </w:r>
      <w:r>
        <w:t>’</w:t>
      </w:r>
    </w:p>
    <w:p w:rsidR="007C29D8" w:rsidRPr="00CA5C96" w:rsidRDefault="007C29D8" w:rsidP="007C29D8">
      <w:r w:rsidRPr="00CA5C96">
        <w:t xml:space="preserve">The American </w:t>
      </w:r>
      <w:r>
        <w:t>guideline states the following:</w:t>
      </w:r>
    </w:p>
    <w:p w:rsidR="007C29D8" w:rsidRPr="00843D99" w:rsidRDefault="007C29D8" w:rsidP="007C29D8">
      <w:pPr>
        <w:ind w:left="720"/>
      </w:pPr>
      <w:r>
        <w:t>‘</w:t>
      </w:r>
      <w:r w:rsidRPr="00843D99">
        <w:t xml:space="preserve">Enrollment in well-designed clinical trials should be encouraged, because no standard, effective second-line therapy for steroid refractory </w:t>
      </w:r>
      <w:r>
        <w:t>acute GvHD</w:t>
      </w:r>
      <w:r w:rsidRPr="00843D99">
        <w:t xml:space="preserve"> has been identified and because no treatment has been definitively shown to be superior to any others.</w:t>
      </w:r>
      <w:r>
        <w:t>’</w:t>
      </w:r>
    </w:p>
    <w:p w:rsidR="007C29D8" w:rsidRPr="005C7942" w:rsidRDefault="007C29D8" w:rsidP="007C29D8">
      <w:pPr>
        <w:spacing w:before="0" w:after="0" w:line="240" w:lineRule="auto"/>
      </w:pPr>
      <w:r w:rsidRPr="005C7942">
        <w:t>Again, guidelines such as these recommend a variety of therapies that can be tried for the second-line treatment of acute GvHD and ECP is one of these therapies.</w:t>
      </w:r>
      <w:r w:rsidRPr="00CA5C96">
        <w:t xml:space="preserve"> </w:t>
      </w:r>
      <w:r w:rsidRPr="005C7942">
        <w:t>ECP is not recommended as the preferred option.</w:t>
      </w:r>
    </w:p>
    <w:p w:rsidR="007C29D8" w:rsidRPr="00CA5C96" w:rsidRDefault="007C29D8" w:rsidP="007C29D8">
      <w:pPr>
        <w:pStyle w:val="Heading5"/>
      </w:pPr>
      <w:r w:rsidRPr="00CA5C96">
        <w:t>Use in children</w:t>
      </w:r>
    </w:p>
    <w:p w:rsidR="007C29D8" w:rsidRDefault="007C29D8" w:rsidP="007C29D8">
      <w:r w:rsidRPr="00CA5C96">
        <w:t xml:space="preserve">The sponsor disagreed with the evaluator’s recommendation that </w:t>
      </w:r>
      <w:r>
        <w:t>Uvadex</w:t>
      </w:r>
      <w:r w:rsidRPr="00CA5C96">
        <w:t xml:space="preserve"> should not be approved for use in children</w:t>
      </w:r>
      <w:r>
        <w:t>. The clinical evaluator reviewed the sponsor’s response. The clinical evaluator noted that only two of the studies were published prospective studies. The clinical evaluator commented that two papers (one abstract;</w:t>
      </w:r>
      <w:r>
        <w:rPr>
          <w:rStyle w:val="FootnoteReference"/>
        </w:rPr>
        <w:footnoteReference w:id="7"/>
      </w:r>
      <w:r>
        <w:t xml:space="preserve"> and one brief letter to the Editor;</w:t>
      </w:r>
      <w:r>
        <w:rPr>
          <w:rStyle w:val="FootnoteReference"/>
        </w:rPr>
        <w:footnoteReference w:id="8"/>
      </w:r>
      <w:r>
        <w:t>) did not have sufficient detail to be evaluated.</w:t>
      </w:r>
    </w:p>
    <w:p w:rsidR="007C29D8" w:rsidRDefault="007C29D8" w:rsidP="007C29D8">
      <w:r>
        <w:t>I</w:t>
      </w:r>
      <w:r w:rsidRPr="00D127C7">
        <w:t>nterim results</w:t>
      </w:r>
      <w:r>
        <w:t xml:space="preserve"> were included on an ongoing Study TKS-2014-001. </w:t>
      </w:r>
      <w:r w:rsidRPr="00D127C7">
        <w:t>The</w:t>
      </w:r>
      <w:r>
        <w:t xml:space="preserve"> clinical evaluator noted that the </w:t>
      </w:r>
      <w:r w:rsidRPr="00D127C7">
        <w:t xml:space="preserve">data are preliminary with only 11 of 48 planned subjects having completed 12 weeks of treatment. </w:t>
      </w:r>
      <w:r>
        <w:t>[Information redacted] The clinical evaluator considered it would be prudent to await final results of the study.</w:t>
      </w:r>
    </w:p>
    <w:p w:rsidR="007C29D8" w:rsidRDefault="007C29D8" w:rsidP="007C29D8">
      <w:pPr>
        <w:pStyle w:val="Heading5"/>
      </w:pPr>
      <w:r w:rsidRPr="00657407">
        <w:t xml:space="preserve">Second </w:t>
      </w:r>
      <w:r>
        <w:t>r</w:t>
      </w:r>
      <w:r w:rsidRPr="00657407">
        <w:t>ound benefi</w:t>
      </w:r>
      <w:r>
        <w:t>t</w:t>
      </w:r>
      <w:r w:rsidRPr="00657407">
        <w:t>-risk balance</w:t>
      </w:r>
    </w:p>
    <w:p w:rsidR="007C29D8" w:rsidRPr="00456765" w:rsidRDefault="007C29D8" w:rsidP="007C29D8">
      <w:r w:rsidRPr="005C7942">
        <w:t xml:space="preserve">After consideration of the sponsor’s response, for the reasons outlined by the </w:t>
      </w:r>
      <w:r>
        <w:t>clinical evaluator</w:t>
      </w:r>
      <w:r w:rsidRPr="005C7942">
        <w:t xml:space="preserve">, it could not be concluded that </w:t>
      </w:r>
      <w:r>
        <w:t>Uvadex</w:t>
      </w:r>
      <w:r w:rsidRPr="005C7942">
        <w:t xml:space="preserve"> has a favourable balance of benefits and risks.</w:t>
      </w:r>
    </w:p>
    <w:p w:rsidR="007C29D8" w:rsidRDefault="007C29D8" w:rsidP="007C29D8">
      <w:pPr>
        <w:pStyle w:val="Heading3"/>
        <w:rPr>
          <w:lang w:eastAsia="en-AU"/>
        </w:rPr>
      </w:pPr>
      <w:bookmarkStart w:id="48" w:name="_Toc24621772"/>
      <w:bookmarkStart w:id="49" w:name="_Toc24622266"/>
      <w:r>
        <w:rPr>
          <w:lang w:eastAsia="en-AU"/>
        </w:rPr>
        <w:t>Risk management plan</w:t>
      </w:r>
      <w:bookmarkEnd w:id="48"/>
      <w:bookmarkEnd w:id="49"/>
    </w:p>
    <w:p w:rsidR="007C29D8" w:rsidRDefault="007C29D8" w:rsidP="007C29D8">
      <w:r>
        <w:t xml:space="preserve">There were two </w:t>
      </w:r>
      <w:r w:rsidRPr="00637759">
        <w:t xml:space="preserve">outstanding recommendations from </w:t>
      </w:r>
      <w:r>
        <w:t>the first r</w:t>
      </w:r>
      <w:r w:rsidRPr="00637759">
        <w:t>ound</w:t>
      </w:r>
      <w:r>
        <w:t xml:space="preserve"> risk management plan (RMP)</w:t>
      </w:r>
      <w:r w:rsidRPr="00637759">
        <w:t xml:space="preserve"> evaluation.</w:t>
      </w:r>
      <w:r>
        <w:rPr>
          <w:rStyle w:val="FootnoteReference"/>
        </w:rPr>
        <w:footnoteReference w:id="9"/>
      </w:r>
    </w:p>
    <w:p w:rsidR="007C29D8" w:rsidRDefault="007C29D8" w:rsidP="007C29D8">
      <w:pPr>
        <w:pStyle w:val="Numberbullet0"/>
        <w:numPr>
          <w:ilvl w:val="0"/>
          <w:numId w:val="8"/>
        </w:numPr>
      </w:pPr>
      <w:r w:rsidRPr="00637759">
        <w:t>The RMP should be resubmitted with the version number corrected.</w:t>
      </w:r>
    </w:p>
    <w:p w:rsidR="007C29D8" w:rsidRPr="00813156" w:rsidRDefault="007C29D8" w:rsidP="00332B53">
      <w:pPr>
        <w:pStyle w:val="Numberbullet0"/>
      </w:pPr>
      <w:r w:rsidRPr="00813156">
        <w:t>The sponsor has included a table in the Australian RMP to summarise the safety concerns and the proposed (routine and additional) pharmacovigilance and risk minimisation activities. This is generally acceptable however this table includes the important potential risk of genotoxicity, separate to carcinogenicity, which is not included as a stand-alone safety concern throughout the rest of the document. The sponsor is requested to confirm if this is to be included in the summary of safety concerns as an important potential risk (and if so amend the relevant sections of the entire RMP as appropriate) or an error.</w:t>
      </w:r>
    </w:p>
    <w:p w:rsidR="007C29D8" w:rsidRDefault="007C29D8" w:rsidP="007C29D8">
      <w:r w:rsidRPr="00637759">
        <w:lastRenderedPageBreak/>
        <w:t xml:space="preserve">As </w:t>
      </w:r>
      <w:r>
        <w:t xml:space="preserve">Uvadex </w:t>
      </w:r>
      <w:r w:rsidRPr="00637759">
        <w:t>is a new chemical entity it should be included in the Black Triangle Scheme as a condition of registration.</w:t>
      </w:r>
    </w:p>
    <w:p w:rsidR="007C29D8" w:rsidRDefault="007C29D8" w:rsidP="007C29D8">
      <w:r>
        <w:t>T</w:t>
      </w:r>
      <w:r w:rsidRPr="00637759">
        <w:t xml:space="preserve">he inclusion of a precaution on the risk of carcinogenicity </w:t>
      </w:r>
      <w:r>
        <w:t xml:space="preserve">should be considered </w:t>
      </w:r>
      <w:r w:rsidRPr="00637759">
        <w:t xml:space="preserve">in the </w:t>
      </w:r>
      <w:r>
        <w:t>‘</w:t>
      </w:r>
      <w:r w:rsidRPr="00637759">
        <w:t xml:space="preserve">Special </w:t>
      </w:r>
      <w:r>
        <w:t>W</w:t>
      </w:r>
      <w:r w:rsidRPr="00637759">
        <w:t xml:space="preserve">arnings and </w:t>
      </w:r>
      <w:r>
        <w:t>P</w:t>
      </w:r>
      <w:r w:rsidRPr="00637759">
        <w:t xml:space="preserve">recautions for </w:t>
      </w:r>
      <w:r>
        <w:t>U</w:t>
      </w:r>
      <w:r w:rsidRPr="00637759">
        <w:t>se</w:t>
      </w:r>
      <w:r>
        <w:t>’</w:t>
      </w:r>
      <w:r w:rsidRPr="00637759">
        <w:t xml:space="preserve"> section of the PI</w:t>
      </w:r>
      <w:r>
        <w:t>.</w:t>
      </w:r>
    </w:p>
    <w:p w:rsidR="007C29D8" w:rsidRDefault="007C29D8" w:rsidP="007C29D8">
      <w:r>
        <w:t xml:space="preserve">The summary of safety concerns </w:t>
      </w:r>
      <w:r w:rsidRPr="00637759">
        <w:t>and the proposed (routine and additional) pharmacovigilance and risk minimisation activities</w:t>
      </w:r>
      <w:r>
        <w:t xml:space="preserve"> following the second round RMP evaluation are shown in </w:t>
      </w:r>
      <w:r>
        <w:fldChar w:fldCharType="begin"/>
      </w:r>
      <w:r>
        <w:instrText xml:space="preserve"> REF _Ref21672619 \h </w:instrText>
      </w:r>
      <w:r>
        <w:fldChar w:fldCharType="separate"/>
      </w:r>
      <w:r>
        <w:t xml:space="preserve">Table </w:t>
      </w:r>
      <w:r>
        <w:rPr>
          <w:noProof/>
        </w:rPr>
        <w:t>2</w:t>
      </w:r>
      <w:r>
        <w:fldChar w:fldCharType="end"/>
      </w:r>
      <w:r>
        <w:t>.</w:t>
      </w:r>
      <w:r>
        <w:rPr>
          <w:rStyle w:val="FootnoteReference"/>
          <w:lang w:eastAsia="en-AU"/>
        </w:rPr>
        <w:footnoteReference w:id="10"/>
      </w:r>
    </w:p>
    <w:p w:rsidR="007C29D8" w:rsidRDefault="007C29D8" w:rsidP="007C29D8">
      <w:pPr>
        <w:pStyle w:val="TableTitle"/>
      </w:pPr>
      <w:bookmarkStart w:id="50" w:name="_Ref21672619"/>
      <w:r>
        <w:t xml:space="preserve">Table </w:t>
      </w:r>
      <w:r w:rsidR="00F75949">
        <w:fldChar w:fldCharType="begin"/>
      </w:r>
      <w:r w:rsidR="00F75949">
        <w:instrText xml:space="preserve"> SEQ Table \* ARABIC </w:instrText>
      </w:r>
      <w:r w:rsidR="00F75949">
        <w:fldChar w:fldCharType="separate"/>
      </w:r>
      <w:r>
        <w:rPr>
          <w:noProof/>
        </w:rPr>
        <w:t>2</w:t>
      </w:r>
      <w:r w:rsidR="00F75949">
        <w:rPr>
          <w:noProof/>
        </w:rPr>
        <w:fldChar w:fldCharType="end"/>
      </w:r>
      <w:bookmarkEnd w:id="50"/>
      <w:r>
        <w:t>: Summary of safety concerns</w:t>
      </w:r>
    </w:p>
    <w:tbl>
      <w:tblPr>
        <w:tblW w:w="94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42"/>
        <w:gridCol w:w="3261"/>
        <w:gridCol w:w="1275"/>
        <w:gridCol w:w="1276"/>
        <w:gridCol w:w="1134"/>
        <w:gridCol w:w="1281"/>
      </w:tblGrid>
      <w:tr w:rsidR="007C29D8" w:rsidRPr="008D200A" w:rsidTr="00332B53">
        <w:trPr>
          <w:trHeight w:val="131"/>
          <w:tblHeader/>
        </w:trPr>
        <w:tc>
          <w:tcPr>
            <w:tcW w:w="4503" w:type="dxa"/>
            <w:gridSpan w:val="2"/>
            <w:vMerge w:val="restart"/>
            <w:tcBorders>
              <w:top w:val="single" w:sz="8" w:space="0" w:color="000000"/>
              <w:left w:val="single" w:sz="8" w:space="0" w:color="000000"/>
              <w:bottom w:val="single" w:sz="8" w:space="0" w:color="000000"/>
              <w:right w:val="nil"/>
              <w:tl2br w:val="nil"/>
              <w:tr2bl w:val="nil"/>
            </w:tcBorders>
            <w:shd w:val="clear" w:color="auto" w:fill="006DA7"/>
          </w:tcPr>
          <w:p w:rsidR="007C29D8" w:rsidRPr="005C7942" w:rsidRDefault="007C29D8" w:rsidP="0093773C">
            <w:pPr>
              <w:keepNext/>
              <w:rPr>
                <w:b/>
                <w:color w:val="FFFFFF"/>
                <w:sz w:val="20"/>
                <w:szCs w:val="20"/>
                <w:lang w:eastAsia="en-AU"/>
              </w:rPr>
            </w:pPr>
            <w:r w:rsidRPr="005C7942">
              <w:rPr>
                <w:b/>
                <w:color w:val="FFFFFF"/>
                <w:sz w:val="20"/>
                <w:szCs w:val="20"/>
                <w:lang w:eastAsia="en-AU"/>
              </w:rPr>
              <w:t>Summary of safety concerns</w:t>
            </w:r>
          </w:p>
        </w:tc>
        <w:tc>
          <w:tcPr>
            <w:tcW w:w="2551" w:type="dxa"/>
            <w:gridSpan w:val="2"/>
            <w:tcBorders>
              <w:top w:val="single" w:sz="8" w:space="0" w:color="000000"/>
              <w:left w:val="nil"/>
              <w:bottom w:val="nil"/>
              <w:right w:val="nil"/>
              <w:tl2br w:val="nil"/>
              <w:tr2bl w:val="nil"/>
            </w:tcBorders>
            <w:shd w:val="clear" w:color="auto" w:fill="006DA7"/>
          </w:tcPr>
          <w:p w:rsidR="007C29D8" w:rsidRPr="005C7942" w:rsidRDefault="007C29D8" w:rsidP="0093773C">
            <w:pPr>
              <w:keepNext/>
              <w:rPr>
                <w:b/>
                <w:color w:val="FFFFFF"/>
                <w:sz w:val="20"/>
                <w:szCs w:val="20"/>
                <w:lang w:eastAsia="en-AU"/>
              </w:rPr>
            </w:pPr>
            <w:r w:rsidRPr="005C7942">
              <w:rPr>
                <w:b/>
                <w:color w:val="FFFFFF"/>
                <w:sz w:val="20"/>
                <w:szCs w:val="20"/>
                <w:lang w:eastAsia="en-AU"/>
              </w:rPr>
              <w:t>Pharmacovigilance</w:t>
            </w:r>
          </w:p>
        </w:tc>
        <w:tc>
          <w:tcPr>
            <w:tcW w:w="2415" w:type="dxa"/>
            <w:gridSpan w:val="2"/>
            <w:tcBorders>
              <w:top w:val="single" w:sz="8" w:space="0" w:color="000000"/>
              <w:left w:val="nil"/>
              <w:bottom w:val="nil"/>
              <w:right w:val="single" w:sz="8" w:space="0" w:color="000000"/>
              <w:tl2br w:val="nil"/>
              <w:tr2bl w:val="nil"/>
            </w:tcBorders>
            <w:shd w:val="clear" w:color="auto" w:fill="006DA7"/>
          </w:tcPr>
          <w:p w:rsidR="007C29D8" w:rsidRPr="005C7942" w:rsidRDefault="007C29D8" w:rsidP="0093773C">
            <w:pPr>
              <w:keepNext/>
              <w:rPr>
                <w:b/>
                <w:color w:val="FFFFFF"/>
                <w:sz w:val="20"/>
                <w:szCs w:val="20"/>
                <w:lang w:eastAsia="en-AU"/>
              </w:rPr>
            </w:pPr>
            <w:r w:rsidRPr="005C7942">
              <w:rPr>
                <w:b/>
                <w:color w:val="FFFFFF"/>
                <w:sz w:val="20"/>
                <w:szCs w:val="20"/>
                <w:lang w:eastAsia="en-AU"/>
              </w:rPr>
              <w:t>Risk Minimisation</w:t>
            </w:r>
          </w:p>
        </w:tc>
      </w:tr>
      <w:tr w:rsidR="00332B53" w:rsidRPr="00332B53" w:rsidTr="00332B53">
        <w:trPr>
          <w:trHeight w:val="150"/>
        </w:trPr>
        <w:tc>
          <w:tcPr>
            <w:tcW w:w="4503" w:type="dxa"/>
            <w:gridSpan w:val="2"/>
            <w:vMerge/>
            <w:tcBorders>
              <w:right w:val="nil"/>
            </w:tcBorders>
            <w:shd w:val="clear" w:color="auto" w:fill="auto"/>
          </w:tcPr>
          <w:p w:rsidR="007C29D8" w:rsidRPr="005C7942" w:rsidRDefault="007C29D8" w:rsidP="0093773C">
            <w:pPr>
              <w:rPr>
                <w:b/>
                <w:color w:val="000000"/>
                <w:sz w:val="20"/>
                <w:szCs w:val="20"/>
                <w:lang w:eastAsia="en-AU"/>
              </w:rPr>
            </w:pPr>
          </w:p>
        </w:tc>
        <w:tc>
          <w:tcPr>
            <w:tcW w:w="1275" w:type="dxa"/>
            <w:tcBorders>
              <w:top w:val="nil"/>
              <w:left w:val="nil"/>
              <w:bottom w:val="single" w:sz="8" w:space="0" w:color="000000"/>
              <w:right w:val="nil"/>
            </w:tcBorders>
            <w:shd w:val="clear" w:color="auto" w:fill="006DA7"/>
          </w:tcPr>
          <w:p w:rsidR="007C29D8" w:rsidRPr="00332B53" w:rsidRDefault="007C29D8" w:rsidP="0093773C">
            <w:pPr>
              <w:rPr>
                <w:b/>
                <w:color w:val="FFFFFF" w:themeColor="background1"/>
                <w:sz w:val="20"/>
                <w:szCs w:val="20"/>
                <w:lang w:eastAsia="en-AU"/>
              </w:rPr>
            </w:pPr>
            <w:r w:rsidRPr="00332B53">
              <w:rPr>
                <w:b/>
                <w:color w:val="FFFFFF" w:themeColor="background1"/>
                <w:sz w:val="20"/>
                <w:szCs w:val="20"/>
                <w:lang w:eastAsia="en-AU"/>
              </w:rPr>
              <w:t>Routine</w:t>
            </w:r>
          </w:p>
        </w:tc>
        <w:tc>
          <w:tcPr>
            <w:tcW w:w="1276" w:type="dxa"/>
            <w:tcBorders>
              <w:top w:val="nil"/>
              <w:left w:val="nil"/>
              <w:bottom w:val="single" w:sz="8" w:space="0" w:color="000000"/>
              <w:right w:val="nil"/>
            </w:tcBorders>
            <w:shd w:val="clear" w:color="auto" w:fill="006DA7"/>
          </w:tcPr>
          <w:p w:rsidR="007C29D8" w:rsidRPr="00332B53" w:rsidRDefault="007C29D8" w:rsidP="0093773C">
            <w:pPr>
              <w:rPr>
                <w:b/>
                <w:color w:val="FFFFFF" w:themeColor="background1"/>
                <w:sz w:val="20"/>
                <w:szCs w:val="20"/>
                <w:lang w:eastAsia="en-AU"/>
              </w:rPr>
            </w:pPr>
            <w:r w:rsidRPr="00332B53">
              <w:rPr>
                <w:b/>
                <w:color w:val="FFFFFF" w:themeColor="background1"/>
                <w:sz w:val="20"/>
                <w:szCs w:val="20"/>
                <w:lang w:eastAsia="en-AU"/>
              </w:rPr>
              <w:t>Additional</w:t>
            </w:r>
          </w:p>
        </w:tc>
        <w:tc>
          <w:tcPr>
            <w:tcW w:w="1134" w:type="dxa"/>
            <w:tcBorders>
              <w:top w:val="nil"/>
              <w:left w:val="nil"/>
              <w:bottom w:val="single" w:sz="8" w:space="0" w:color="000000"/>
              <w:right w:val="nil"/>
            </w:tcBorders>
            <w:shd w:val="clear" w:color="auto" w:fill="006DA7"/>
          </w:tcPr>
          <w:p w:rsidR="007C29D8" w:rsidRPr="00332B53" w:rsidRDefault="007C29D8" w:rsidP="0093773C">
            <w:pPr>
              <w:rPr>
                <w:b/>
                <w:color w:val="FFFFFF" w:themeColor="background1"/>
                <w:sz w:val="20"/>
                <w:szCs w:val="20"/>
                <w:lang w:eastAsia="en-AU"/>
              </w:rPr>
            </w:pPr>
            <w:r w:rsidRPr="00332B53">
              <w:rPr>
                <w:b/>
                <w:color w:val="FFFFFF" w:themeColor="background1"/>
                <w:sz w:val="20"/>
                <w:szCs w:val="20"/>
                <w:lang w:eastAsia="en-AU"/>
              </w:rPr>
              <w:t>Routine</w:t>
            </w:r>
          </w:p>
        </w:tc>
        <w:tc>
          <w:tcPr>
            <w:tcW w:w="1281" w:type="dxa"/>
            <w:tcBorders>
              <w:top w:val="nil"/>
              <w:left w:val="nil"/>
              <w:bottom w:val="single" w:sz="8" w:space="0" w:color="000000"/>
              <w:right w:val="single" w:sz="8" w:space="0" w:color="000000"/>
            </w:tcBorders>
            <w:shd w:val="clear" w:color="auto" w:fill="006DA7"/>
          </w:tcPr>
          <w:p w:rsidR="007C29D8" w:rsidRPr="00332B53" w:rsidRDefault="007C29D8" w:rsidP="0093773C">
            <w:pPr>
              <w:rPr>
                <w:b/>
                <w:color w:val="FFFFFF" w:themeColor="background1"/>
                <w:sz w:val="20"/>
                <w:szCs w:val="20"/>
                <w:lang w:eastAsia="en-AU"/>
              </w:rPr>
            </w:pPr>
            <w:r w:rsidRPr="00332B53">
              <w:rPr>
                <w:b/>
                <w:color w:val="FFFFFF" w:themeColor="background1"/>
                <w:sz w:val="20"/>
                <w:szCs w:val="20"/>
                <w:lang w:eastAsia="en-AU"/>
              </w:rPr>
              <w:t>Additional</w:t>
            </w:r>
          </w:p>
        </w:tc>
      </w:tr>
      <w:tr w:rsidR="007C29D8" w:rsidRPr="008D200A" w:rsidTr="00332B53">
        <w:trPr>
          <w:trHeight w:val="137"/>
        </w:trPr>
        <w:tc>
          <w:tcPr>
            <w:tcW w:w="1242" w:type="dxa"/>
            <w:vMerge w:val="restart"/>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Important identified risks</w:t>
            </w:r>
          </w:p>
        </w:tc>
        <w:tc>
          <w:tcPr>
            <w:tcW w:w="3261" w:type="dxa"/>
            <w:shd w:val="clear" w:color="auto" w:fill="auto"/>
          </w:tcPr>
          <w:p w:rsidR="007C29D8" w:rsidRPr="005C7942" w:rsidRDefault="007C29D8" w:rsidP="0093773C">
            <w:pPr>
              <w:rPr>
                <w:color w:val="000000"/>
                <w:sz w:val="20"/>
                <w:szCs w:val="20"/>
                <w:lang w:eastAsia="en-AU"/>
              </w:rPr>
            </w:pPr>
            <w:r>
              <w:rPr>
                <w:color w:val="000000"/>
                <w:sz w:val="20"/>
                <w:szCs w:val="20"/>
                <w:lang w:eastAsia="en-AU"/>
              </w:rPr>
              <w:t>A</w:t>
            </w:r>
            <w:r w:rsidRPr="005C7942">
              <w:rPr>
                <w:color w:val="000000"/>
                <w:sz w:val="20"/>
                <w:szCs w:val="20"/>
                <w:lang w:eastAsia="en-AU"/>
              </w:rPr>
              <w:t>phakia</w:t>
            </w:r>
          </w:p>
        </w:tc>
        <w:tc>
          <w:tcPr>
            <w:tcW w:w="1275" w:type="dxa"/>
            <w:tcBorders>
              <w:top w:val="single" w:sz="8" w:space="0" w:color="000000"/>
            </w:tcBorders>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sym w:font="Wingdings" w:char="F0FC"/>
            </w:r>
          </w:p>
        </w:tc>
        <w:tc>
          <w:tcPr>
            <w:tcW w:w="1276" w:type="dxa"/>
            <w:tcBorders>
              <w:top w:val="single" w:sz="8" w:space="0" w:color="000000"/>
            </w:tcBorders>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c>
          <w:tcPr>
            <w:tcW w:w="1134" w:type="dxa"/>
            <w:tcBorders>
              <w:top w:val="single" w:sz="8" w:space="0" w:color="000000"/>
            </w:tcBorders>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sym w:font="Wingdings" w:char="F0FC"/>
            </w:r>
          </w:p>
        </w:tc>
        <w:tc>
          <w:tcPr>
            <w:tcW w:w="1281" w:type="dxa"/>
            <w:tcBorders>
              <w:top w:val="single" w:sz="8" w:space="0" w:color="000000"/>
            </w:tcBorders>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r>
      <w:tr w:rsidR="007C29D8" w:rsidRPr="008D200A" w:rsidTr="0093773C">
        <w:trPr>
          <w:trHeight w:val="187"/>
        </w:trPr>
        <w:tc>
          <w:tcPr>
            <w:tcW w:w="1242" w:type="dxa"/>
            <w:vMerge/>
            <w:shd w:val="clear" w:color="auto" w:fill="auto"/>
          </w:tcPr>
          <w:p w:rsidR="007C29D8" w:rsidRPr="005C7942" w:rsidRDefault="007C29D8" w:rsidP="0093773C">
            <w:pPr>
              <w:rPr>
                <w:color w:val="000000"/>
                <w:sz w:val="20"/>
                <w:szCs w:val="20"/>
                <w:lang w:eastAsia="en-AU"/>
              </w:rPr>
            </w:pPr>
          </w:p>
        </w:tc>
        <w:tc>
          <w:tcPr>
            <w:tcW w:w="3261" w:type="dxa"/>
            <w:shd w:val="clear" w:color="auto" w:fill="auto"/>
          </w:tcPr>
          <w:p w:rsidR="007C29D8" w:rsidRPr="005C7942" w:rsidRDefault="007C29D8" w:rsidP="0093773C">
            <w:pPr>
              <w:rPr>
                <w:color w:val="000000"/>
                <w:sz w:val="20"/>
                <w:szCs w:val="20"/>
                <w:lang w:eastAsia="en-AU"/>
              </w:rPr>
            </w:pPr>
            <w:r>
              <w:rPr>
                <w:color w:val="000000"/>
                <w:sz w:val="20"/>
                <w:szCs w:val="20"/>
                <w:lang w:eastAsia="en-AU"/>
              </w:rPr>
              <w:t>P</w:t>
            </w:r>
            <w:r w:rsidRPr="005C7942">
              <w:rPr>
                <w:color w:val="000000"/>
                <w:sz w:val="20"/>
                <w:szCs w:val="20"/>
                <w:lang w:eastAsia="en-AU"/>
              </w:rPr>
              <w:t>hotosensitive diseases (porphyria, systemic lupus erythematosus or albinism)</w:t>
            </w:r>
          </w:p>
        </w:tc>
        <w:tc>
          <w:tcPr>
            <w:tcW w:w="1275"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sym w:font="Wingdings" w:char="F0FC"/>
            </w:r>
          </w:p>
        </w:tc>
        <w:tc>
          <w:tcPr>
            <w:tcW w:w="1276"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c>
          <w:tcPr>
            <w:tcW w:w="1134"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sym w:font="Wingdings" w:char="F0FC"/>
            </w:r>
          </w:p>
        </w:tc>
        <w:tc>
          <w:tcPr>
            <w:tcW w:w="1281"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r>
      <w:tr w:rsidR="007C29D8" w:rsidRPr="008D200A" w:rsidTr="0093773C">
        <w:trPr>
          <w:trHeight w:val="159"/>
        </w:trPr>
        <w:tc>
          <w:tcPr>
            <w:tcW w:w="1242" w:type="dxa"/>
            <w:vMerge w:val="restart"/>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Important potential risks</w:t>
            </w:r>
          </w:p>
        </w:tc>
        <w:tc>
          <w:tcPr>
            <w:tcW w:w="3261"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 xml:space="preserve">Ocular damage </w:t>
            </w:r>
            <w:r>
              <w:rPr>
                <w:color w:val="000000"/>
                <w:sz w:val="20"/>
                <w:szCs w:val="20"/>
                <w:lang w:eastAsia="en-AU"/>
              </w:rPr>
              <w:t>(</w:t>
            </w:r>
            <w:r w:rsidRPr="005C7942">
              <w:rPr>
                <w:color w:val="000000"/>
                <w:sz w:val="20"/>
                <w:szCs w:val="20"/>
                <w:lang w:eastAsia="en-AU"/>
              </w:rPr>
              <w:t>including cataractogenicity</w:t>
            </w:r>
            <w:r>
              <w:rPr>
                <w:color w:val="000000"/>
                <w:sz w:val="20"/>
                <w:szCs w:val="20"/>
                <w:lang w:eastAsia="en-AU"/>
              </w:rPr>
              <w:t>)</w:t>
            </w:r>
          </w:p>
        </w:tc>
        <w:tc>
          <w:tcPr>
            <w:tcW w:w="1275"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sym w:font="Wingdings" w:char="F0FC"/>
            </w:r>
          </w:p>
        </w:tc>
        <w:tc>
          <w:tcPr>
            <w:tcW w:w="1276"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c>
          <w:tcPr>
            <w:tcW w:w="1134"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sym w:font="Wingdings" w:char="F0FC"/>
            </w:r>
          </w:p>
        </w:tc>
        <w:tc>
          <w:tcPr>
            <w:tcW w:w="1281"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r>
      <w:tr w:rsidR="007C29D8" w:rsidRPr="008D200A" w:rsidTr="0093773C">
        <w:trPr>
          <w:trHeight w:val="112"/>
        </w:trPr>
        <w:tc>
          <w:tcPr>
            <w:tcW w:w="1242" w:type="dxa"/>
            <w:vMerge/>
            <w:shd w:val="clear" w:color="auto" w:fill="auto"/>
          </w:tcPr>
          <w:p w:rsidR="007C29D8" w:rsidRPr="005C7942" w:rsidRDefault="007C29D8" w:rsidP="0093773C">
            <w:pPr>
              <w:rPr>
                <w:color w:val="000000"/>
                <w:sz w:val="20"/>
                <w:szCs w:val="20"/>
                <w:lang w:eastAsia="en-AU"/>
              </w:rPr>
            </w:pPr>
          </w:p>
        </w:tc>
        <w:tc>
          <w:tcPr>
            <w:tcW w:w="3261"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Carcinogenicity</w:t>
            </w:r>
          </w:p>
        </w:tc>
        <w:tc>
          <w:tcPr>
            <w:tcW w:w="1275"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sym w:font="Wingdings" w:char="F0FC"/>
            </w:r>
          </w:p>
        </w:tc>
        <w:tc>
          <w:tcPr>
            <w:tcW w:w="1276"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c>
          <w:tcPr>
            <w:tcW w:w="1134"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sym w:font="Wingdings" w:char="F0FC"/>
            </w:r>
          </w:p>
        </w:tc>
        <w:tc>
          <w:tcPr>
            <w:tcW w:w="1281"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r>
      <w:tr w:rsidR="007C29D8" w:rsidRPr="008D200A" w:rsidTr="0093773C">
        <w:trPr>
          <w:trHeight w:val="178"/>
        </w:trPr>
        <w:tc>
          <w:tcPr>
            <w:tcW w:w="1242" w:type="dxa"/>
            <w:vMerge w:val="restart"/>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Missing information</w:t>
            </w:r>
          </w:p>
        </w:tc>
        <w:tc>
          <w:tcPr>
            <w:tcW w:w="3261"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Use during pregnancy and lactation</w:t>
            </w:r>
          </w:p>
        </w:tc>
        <w:tc>
          <w:tcPr>
            <w:tcW w:w="1275"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c>
          <w:tcPr>
            <w:tcW w:w="1276"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c>
          <w:tcPr>
            <w:tcW w:w="1134"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sym w:font="Wingdings" w:char="F0FC"/>
            </w:r>
          </w:p>
        </w:tc>
        <w:tc>
          <w:tcPr>
            <w:tcW w:w="1281"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r>
      <w:tr w:rsidR="007C29D8" w:rsidRPr="008D200A" w:rsidTr="0093773C">
        <w:trPr>
          <w:trHeight w:val="103"/>
        </w:trPr>
        <w:tc>
          <w:tcPr>
            <w:tcW w:w="1242" w:type="dxa"/>
            <w:vMerge/>
            <w:shd w:val="clear" w:color="auto" w:fill="auto"/>
          </w:tcPr>
          <w:p w:rsidR="007C29D8" w:rsidRPr="005C7942" w:rsidRDefault="007C29D8" w:rsidP="0093773C">
            <w:pPr>
              <w:rPr>
                <w:color w:val="000000"/>
                <w:sz w:val="20"/>
                <w:szCs w:val="20"/>
                <w:lang w:eastAsia="en-AU"/>
              </w:rPr>
            </w:pPr>
          </w:p>
        </w:tc>
        <w:tc>
          <w:tcPr>
            <w:tcW w:w="3261"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Use in patients with renal or hepatic impairment</w:t>
            </w:r>
          </w:p>
        </w:tc>
        <w:tc>
          <w:tcPr>
            <w:tcW w:w="1275"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c>
          <w:tcPr>
            <w:tcW w:w="1276"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c>
          <w:tcPr>
            <w:tcW w:w="1134"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sym w:font="Wingdings" w:char="F0FC"/>
            </w:r>
          </w:p>
        </w:tc>
        <w:tc>
          <w:tcPr>
            <w:tcW w:w="1281"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r>
      <w:tr w:rsidR="007C29D8" w:rsidRPr="008D200A" w:rsidTr="0093773C">
        <w:trPr>
          <w:trHeight w:val="140"/>
        </w:trPr>
        <w:tc>
          <w:tcPr>
            <w:tcW w:w="1242" w:type="dxa"/>
            <w:vMerge/>
            <w:shd w:val="clear" w:color="auto" w:fill="auto"/>
          </w:tcPr>
          <w:p w:rsidR="007C29D8" w:rsidRPr="005C7942" w:rsidRDefault="007C29D8" w:rsidP="0093773C">
            <w:pPr>
              <w:rPr>
                <w:color w:val="000000"/>
                <w:sz w:val="20"/>
                <w:szCs w:val="20"/>
                <w:lang w:eastAsia="en-AU"/>
              </w:rPr>
            </w:pPr>
          </w:p>
        </w:tc>
        <w:tc>
          <w:tcPr>
            <w:tcW w:w="3261"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Paediatric use</w:t>
            </w:r>
          </w:p>
        </w:tc>
        <w:tc>
          <w:tcPr>
            <w:tcW w:w="1275"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c>
          <w:tcPr>
            <w:tcW w:w="1276"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c>
          <w:tcPr>
            <w:tcW w:w="1134"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sym w:font="Wingdings" w:char="F0FC"/>
            </w:r>
          </w:p>
        </w:tc>
        <w:tc>
          <w:tcPr>
            <w:tcW w:w="1281" w:type="dxa"/>
            <w:shd w:val="clear" w:color="auto" w:fill="auto"/>
          </w:tcPr>
          <w:p w:rsidR="007C29D8" w:rsidRPr="005C7942" w:rsidRDefault="007C29D8" w:rsidP="0093773C">
            <w:pPr>
              <w:rPr>
                <w:color w:val="000000"/>
                <w:sz w:val="20"/>
                <w:szCs w:val="20"/>
                <w:lang w:eastAsia="en-AU"/>
              </w:rPr>
            </w:pPr>
            <w:r w:rsidRPr="005C7942">
              <w:rPr>
                <w:color w:val="000000"/>
                <w:sz w:val="20"/>
                <w:szCs w:val="20"/>
                <w:lang w:eastAsia="en-AU"/>
              </w:rPr>
              <w:t>–</w:t>
            </w:r>
          </w:p>
        </w:tc>
      </w:tr>
    </w:tbl>
    <w:p w:rsidR="007C29D8" w:rsidRDefault="007C29D8" w:rsidP="007C29D8">
      <w:pPr>
        <w:pStyle w:val="Heading3"/>
      </w:pPr>
      <w:bookmarkStart w:id="51" w:name="_Toc247691531"/>
      <w:bookmarkStart w:id="52" w:name="_Toc314842515"/>
      <w:bookmarkStart w:id="53" w:name="_Toc24621773"/>
      <w:bookmarkStart w:id="54" w:name="_Toc24622267"/>
      <w:bookmarkStart w:id="55" w:name="_Toc196046505"/>
      <w:bookmarkStart w:id="56" w:name="_Toc196046949"/>
      <w:bookmarkEnd w:id="46"/>
      <w:r>
        <w:t>Risk-benefit analysis</w:t>
      </w:r>
      <w:bookmarkEnd w:id="51"/>
      <w:bookmarkEnd w:id="52"/>
      <w:bookmarkEnd w:id="53"/>
      <w:bookmarkEnd w:id="54"/>
    </w:p>
    <w:p w:rsidR="007C29D8" w:rsidRDefault="00F75949" w:rsidP="007C29D8">
      <w:pPr>
        <w:pStyle w:val="Heading4"/>
      </w:pPr>
      <w:r>
        <w:t>Delegate’s considerations</w:t>
      </w:r>
    </w:p>
    <w:p w:rsidR="007C29D8" w:rsidRDefault="007C29D8" w:rsidP="007C29D8">
      <w:pPr>
        <w:pStyle w:val="Heading5"/>
      </w:pPr>
      <w:r>
        <w:t>Discussion</w:t>
      </w:r>
    </w:p>
    <w:p w:rsidR="007C29D8" w:rsidRDefault="007C29D8" w:rsidP="007C29D8">
      <w:r>
        <w:t>There were serious deficiencies in each of the sponsor initiated clinical studies.</w:t>
      </w:r>
    </w:p>
    <w:p w:rsidR="007C29D8" w:rsidRDefault="007C29D8" w:rsidP="007C29D8">
      <w:r>
        <w:t xml:space="preserve">In Study GvHD-SK1 </w:t>
      </w:r>
      <w:r w:rsidRPr="002C05B0">
        <w:t>the primary endpoint of TSS at 12 weeks, the study failed to demonstrate a significant benefit for the addition of ECP treatment to standard therapy.</w:t>
      </w:r>
      <w:r>
        <w:t xml:space="preserve"> </w:t>
      </w:r>
      <w:r w:rsidRPr="002C05B0">
        <w:t xml:space="preserve">The duration of therapy may have been too short to demonstrate </w:t>
      </w:r>
      <w:r>
        <w:t>b</w:t>
      </w:r>
      <w:r w:rsidRPr="002C05B0">
        <w:t>enefit. Baseline TSS scores were at the lower</w:t>
      </w:r>
      <w:r>
        <w:t xml:space="preserve"> end of the possible range of 0 to </w:t>
      </w:r>
      <w:r w:rsidRPr="002C05B0">
        <w:t>50 (median scores of 9.4 and 9.2 in the two treatment gr</w:t>
      </w:r>
      <w:r>
        <w:t xml:space="preserve">oups. </w:t>
      </w:r>
      <w:r w:rsidRPr="002C05B0">
        <w:t xml:space="preserve">A number of the positive findings were of marginal statistical </w:t>
      </w:r>
      <w:r w:rsidRPr="002C05B0">
        <w:lastRenderedPageBreak/>
        <w:t>significance, or were based on an un</w:t>
      </w:r>
      <w:r>
        <w:t>-</w:t>
      </w:r>
      <w:r w:rsidRPr="002C05B0">
        <w:t xml:space="preserve">blinded assessment of a subjective endpoint. </w:t>
      </w:r>
      <w:r>
        <w:t xml:space="preserve"> </w:t>
      </w:r>
      <w:r w:rsidRPr="002C05B0">
        <w:t>Also, no corrections were made for multiple statistical comparisons.</w:t>
      </w:r>
    </w:p>
    <w:p w:rsidR="007C29D8" w:rsidRDefault="007C29D8" w:rsidP="007C29D8">
      <w:r>
        <w:t>In Study GvHD</w:t>
      </w:r>
      <w:r w:rsidRPr="002C05B0">
        <w:t>-SK1</w:t>
      </w:r>
      <w:r>
        <w:t xml:space="preserve"> Extension, p</w:t>
      </w:r>
      <w:r w:rsidRPr="002C05B0">
        <w:t xml:space="preserve">ercentage changes from </w:t>
      </w:r>
      <w:r>
        <w:t>B</w:t>
      </w:r>
      <w:r w:rsidRPr="002C05B0">
        <w:t>aseline in TSS in this study were somewhat smaller than those observed in the ECP arm of the randomised controlled study. In addition, there were no prohibited medications in this study and there were no analyses presented on actual use of other therapies for c</w:t>
      </w:r>
      <w:r>
        <w:t xml:space="preserve">hronic </w:t>
      </w:r>
      <w:r w:rsidRPr="002C05B0">
        <w:t>GvHD that may have been prescribed during the trial.</w:t>
      </w:r>
    </w:p>
    <w:p w:rsidR="007C29D8" w:rsidRDefault="007C29D8" w:rsidP="007C29D8">
      <w:r>
        <w:t>In Study TKS-01 the primary endpoint for the study was not well described and it is therefore difficult to interpret the clinical significance.</w:t>
      </w:r>
    </w:p>
    <w:p w:rsidR="007C29D8" w:rsidRDefault="007C29D8" w:rsidP="007C29D8">
      <w:r>
        <w:t>Study 10-005</w:t>
      </w:r>
      <w:r w:rsidRPr="006C2162">
        <w:t xml:space="preserve"> </w:t>
      </w:r>
      <w:r>
        <w:t xml:space="preserve">investigated the </w:t>
      </w:r>
      <w:r w:rsidRPr="006C2162">
        <w:t xml:space="preserve">efficacy of ECP in the first-line treatment of </w:t>
      </w:r>
      <w:r>
        <w:t xml:space="preserve">chronic </w:t>
      </w:r>
      <w:r w:rsidRPr="006C2162">
        <w:t>GvHD and hence subjects were not steroid-refractory</w:t>
      </w:r>
      <w:r>
        <w:t>.</w:t>
      </w:r>
    </w:p>
    <w:p w:rsidR="007C29D8" w:rsidRDefault="007C29D8" w:rsidP="007C29D8">
      <w:r>
        <w:t xml:space="preserve">Study Acute GvHD-1 was conducted in subjects with new onset acute GvHD and </w:t>
      </w:r>
      <w:r w:rsidRPr="006C2162">
        <w:t>hence subjects were not steroid-refractory.</w:t>
      </w:r>
    </w:p>
    <w:p w:rsidR="007C29D8" w:rsidRPr="00657407" w:rsidRDefault="007C29D8" w:rsidP="007C29D8">
      <w:r>
        <w:t>In ch</w:t>
      </w:r>
      <w:r w:rsidRPr="00657407">
        <w:t xml:space="preserve">ronic GvHD </w:t>
      </w:r>
      <w:r>
        <w:t>m</w:t>
      </w:r>
      <w:r w:rsidRPr="00657407">
        <w:t>ultiple prospective, single-arm studies demonstrated evidence of improvement in disease manifestations compared to baseline. However, these studies had several limitations which complicate their interpretation, particularly variety of definitions for disease response, variability in response rates achieved, lack of information on duration of response and lack of information on other c</w:t>
      </w:r>
      <w:r>
        <w:t xml:space="preserve">hronic </w:t>
      </w:r>
      <w:r w:rsidRPr="00657407">
        <w:t>GvHD treatments.</w:t>
      </w:r>
    </w:p>
    <w:p w:rsidR="007C29D8" w:rsidRPr="00657407" w:rsidRDefault="007C29D8" w:rsidP="007C29D8">
      <w:r w:rsidRPr="00657407">
        <w:t>In steroid refractory acute GvHD, there were no sponsor</w:t>
      </w:r>
      <w:r>
        <w:t xml:space="preserve"> </w:t>
      </w:r>
      <w:r w:rsidRPr="00657407">
        <w:t>initiated studies and no randomised controlled clinical studies. Two prospective single arm studies were considered to provide useful efficacy data</w:t>
      </w:r>
      <w:r>
        <w:t>.</w:t>
      </w:r>
      <w:bookmarkStart w:id="57" w:name="_Ref21012647"/>
      <w:r>
        <w:rPr>
          <w:rStyle w:val="FootnoteReference"/>
        </w:rPr>
        <w:footnoteReference w:id="11"/>
      </w:r>
      <w:bookmarkStart w:id="58" w:name="_Ref21012649"/>
      <w:bookmarkEnd w:id="57"/>
      <w:r>
        <w:rPr>
          <w:rStyle w:val="FootnoteReference"/>
        </w:rPr>
        <w:footnoteReference w:id="12"/>
      </w:r>
      <w:bookmarkEnd w:id="58"/>
      <w:r w:rsidRPr="00657407">
        <w:t xml:space="preserve"> These two studies used different definitions of response and obtained very different response rates. The </w:t>
      </w:r>
      <w:r>
        <w:t>clinical evaluator</w:t>
      </w:r>
      <w:r w:rsidRPr="00657407">
        <w:t xml:space="preserve"> considered that the evidence is inadequate to support approval of </w:t>
      </w:r>
      <w:r>
        <w:t>Uvadex</w:t>
      </w:r>
      <w:r w:rsidRPr="00657407">
        <w:t xml:space="preserve"> for the treatment of steroid-refractory acute GvHD.</w:t>
      </w:r>
    </w:p>
    <w:p w:rsidR="007C29D8" w:rsidRDefault="007C29D8" w:rsidP="007C29D8">
      <w:r w:rsidRPr="009B123D">
        <w:t xml:space="preserve">Given the serious nature of GvHD, the safety profile of </w:t>
      </w:r>
      <w:r>
        <w:t>Uvadex</w:t>
      </w:r>
      <w:r w:rsidRPr="009B123D">
        <w:t xml:space="preserve">/ECP is considered acceptable </w:t>
      </w:r>
      <w:r>
        <w:t>by the clinical evaluator</w:t>
      </w:r>
      <w:r w:rsidRPr="009B123D">
        <w:t>. There are insufficient data to establish safety in children.</w:t>
      </w:r>
    </w:p>
    <w:p w:rsidR="007C29D8" w:rsidRPr="00657407" w:rsidRDefault="007C29D8" w:rsidP="007C29D8">
      <w:r w:rsidRPr="00657407">
        <w:t>There are no established second-line treatments for c</w:t>
      </w:r>
      <w:r>
        <w:t>hronic GvHD</w:t>
      </w:r>
      <w:r w:rsidRPr="00657407">
        <w:t xml:space="preserve"> or</w:t>
      </w:r>
      <w:r>
        <w:t xml:space="preserve"> acute GvHD</w:t>
      </w:r>
      <w:r w:rsidRPr="00657407">
        <w:t>, apart from ibrutinib for c</w:t>
      </w:r>
      <w:r>
        <w:t xml:space="preserve">hronic </w:t>
      </w:r>
      <w:r w:rsidRPr="00657407">
        <w:t xml:space="preserve">GvHD which was approved by </w:t>
      </w:r>
      <w:r>
        <w:t xml:space="preserve">the </w:t>
      </w:r>
      <w:r w:rsidRPr="00657407">
        <w:t>FDA in 2017.</w:t>
      </w:r>
    </w:p>
    <w:p w:rsidR="007C29D8" w:rsidRPr="00657407" w:rsidRDefault="007C29D8" w:rsidP="007C29D8">
      <w:r>
        <w:t>T</w:t>
      </w:r>
      <w:r w:rsidRPr="00657407">
        <w:t xml:space="preserve">he </w:t>
      </w:r>
      <w:r>
        <w:t>s</w:t>
      </w:r>
      <w:r w:rsidRPr="00657407">
        <w:t>ponsor</w:t>
      </w:r>
      <w:r>
        <w:t xml:space="preserve"> has revised the proposed</w:t>
      </w:r>
      <w:r w:rsidRPr="00657407">
        <w:t xml:space="preserve"> indication </w:t>
      </w:r>
      <w:r>
        <w:t>to</w:t>
      </w:r>
      <w:r w:rsidRPr="00657407">
        <w:t xml:space="preserve"> restrict</w:t>
      </w:r>
      <w:r>
        <w:t xml:space="preserve"> Uvadex</w:t>
      </w:r>
      <w:r w:rsidRPr="00657407">
        <w:t xml:space="preserve"> to </w:t>
      </w:r>
      <w:r>
        <w:t xml:space="preserve">use in </w:t>
      </w:r>
      <w:r w:rsidRPr="00657407">
        <w:t xml:space="preserve">adults and </w:t>
      </w:r>
      <w:r>
        <w:t xml:space="preserve">included </w:t>
      </w:r>
      <w:r w:rsidRPr="00657407">
        <w:t xml:space="preserve">the precaution statement </w:t>
      </w:r>
      <w:r w:rsidRPr="00997947">
        <w:t xml:space="preserve">‘The safety and efficacy of </w:t>
      </w:r>
      <w:r>
        <w:t>Uvadex</w:t>
      </w:r>
      <w:r w:rsidRPr="00997947">
        <w:t xml:space="preserve"> have not been established in children’.</w:t>
      </w:r>
    </w:p>
    <w:p w:rsidR="007C29D8" w:rsidRPr="00657407" w:rsidRDefault="007C29D8" w:rsidP="007C29D8">
      <w:r w:rsidRPr="00657407">
        <w:t xml:space="preserve">The </w:t>
      </w:r>
      <w:r>
        <w:t>sponsor</w:t>
      </w:r>
      <w:r w:rsidRPr="00657407">
        <w:t xml:space="preserve"> identified a UK Photopheresis Society: ECP Consensus Statement Update</w:t>
      </w:r>
      <w:bookmarkStart w:id="59" w:name="_Ref21012707"/>
      <w:r>
        <w:t>;</w:t>
      </w:r>
      <w:r>
        <w:rPr>
          <w:rStyle w:val="FootnoteReference"/>
        </w:rPr>
        <w:footnoteReference w:id="13"/>
      </w:r>
      <w:bookmarkEnd w:id="59"/>
      <w:r w:rsidRPr="00657407">
        <w:t xml:space="preserve"> which allocated </w:t>
      </w:r>
      <w:r>
        <w:t xml:space="preserve">a </w:t>
      </w:r>
      <w:r w:rsidRPr="00657407">
        <w:t xml:space="preserve">level of evidence for ECP in </w:t>
      </w:r>
      <w:r>
        <w:t>GvHD.</w:t>
      </w:r>
      <w:r>
        <w:rPr>
          <w:rStyle w:val="FootnoteReference"/>
        </w:rPr>
        <w:footnoteReference w:id="14"/>
      </w:r>
    </w:p>
    <w:p w:rsidR="007C29D8" w:rsidRPr="0095251C" w:rsidRDefault="007C29D8" w:rsidP="007C29D8">
      <w:pPr>
        <w:ind w:left="720"/>
        <w:rPr>
          <w:b/>
        </w:rPr>
      </w:pPr>
      <w:r w:rsidRPr="0095251C">
        <w:rPr>
          <w:b/>
        </w:rPr>
        <w:t xml:space="preserve">Chronic </w:t>
      </w:r>
      <w:r>
        <w:rPr>
          <w:b/>
        </w:rPr>
        <w:t>GvHD</w:t>
      </w:r>
    </w:p>
    <w:p w:rsidR="007C29D8" w:rsidRDefault="007C29D8" w:rsidP="007C29D8">
      <w:pPr>
        <w:pStyle w:val="ListBullet"/>
        <w:numPr>
          <w:ilvl w:val="0"/>
          <w:numId w:val="3"/>
        </w:numPr>
        <w:ind w:left="1080"/>
      </w:pPr>
      <w:r w:rsidRPr="009B123D">
        <w:t>Cutaneous/mucous membrane</w:t>
      </w:r>
      <w:r>
        <w:t>;</w:t>
      </w:r>
      <w:r w:rsidRPr="009B123D">
        <w:t xml:space="preserve"> Quality of evidence II-ii;</w:t>
      </w:r>
    </w:p>
    <w:p w:rsidR="007C29D8" w:rsidRDefault="007C29D8" w:rsidP="007C29D8">
      <w:pPr>
        <w:pStyle w:val="ListBullet"/>
        <w:numPr>
          <w:ilvl w:val="0"/>
          <w:numId w:val="3"/>
        </w:numPr>
        <w:ind w:left="1080"/>
      </w:pPr>
      <w:r w:rsidRPr="009B123D">
        <w:t>Hepatic</w:t>
      </w:r>
      <w:r>
        <w:t>;</w:t>
      </w:r>
      <w:r w:rsidRPr="009B123D">
        <w:t xml:space="preserve"> Quality of evidence II-iii;</w:t>
      </w:r>
    </w:p>
    <w:p w:rsidR="007C29D8" w:rsidRPr="009B123D" w:rsidRDefault="007C29D8" w:rsidP="007C29D8">
      <w:pPr>
        <w:pStyle w:val="ListBullet"/>
        <w:numPr>
          <w:ilvl w:val="0"/>
          <w:numId w:val="3"/>
        </w:numPr>
        <w:ind w:left="1080"/>
      </w:pPr>
      <w:r w:rsidRPr="009B123D">
        <w:lastRenderedPageBreak/>
        <w:t>GI/pulmonary</w:t>
      </w:r>
      <w:r>
        <w:t>;</w:t>
      </w:r>
      <w:r w:rsidRPr="009B123D">
        <w:t xml:space="preserve"> Quality of evidence II-ii.</w:t>
      </w:r>
    </w:p>
    <w:p w:rsidR="007C29D8" w:rsidRPr="0095251C" w:rsidRDefault="007C29D8" w:rsidP="007C29D8">
      <w:pPr>
        <w:ind w:left="720"/>
        <w:rPr>
          <w:b/>
        </w:rPr>
      </w:pPr>
      <w:r w:rsidRPr="0095251C">
        <w:rPr>
          <w:b/>
        </w:rPr>
        <w:t xml:space="preserve">Acute </w:t>
      </w:r>
      <w:r>
        <w:rPr>
          <w:b/>
        </w:rPr>
        <w:t>GvHD</w:t>
      </w:r>
    </w:p>
    <w:p w:rsidR="007C29D8" w:rsidRDefault="007C29D8" w:rsidP="007C29D8">
      <w:pPr>
        <w:pStyle w:val="ListBullet"/>
        <w:numPr>
          <w:ilvl w:val="0"/>
          <w:numId w:val="3"/>
        </w:numPr>
        <w:ind w:left="1080"/>
      </w:pPr>
      <w:r w:rsidRPr="009B123D">
        <w:t>Cutaneous</w:t>
      </w:r>
      <w:r>
        <w:t>;</w:t>
      </w:r>
      <w:r w:rsidRPr="009B123D">
        <w:t xml:space="preserve"> Quality of evidence II-ii;</w:t>
      </w:r>
    </w:p>
    <w:p w:rsidR="007C29D8" w:rsidRDefault="007C29D8" w:rsidP="007C29D8">
      <w:pPr>
        <w:pStyle w:val="ListBullet"/>
        <w:numPr>
          <w:ilvl w:val="0"/>
          <w:numId w:val="3"/>
        </w:numPr>
        <w:ind w:left="1080"/>
      </w:pPr>
      <w:r w:rsidRPr="009B123D">
        <w:t>Hepatic</w:t>
      </w:r>
      <w:r>
        <w:t xml:space="preserve">; </w:t>
      </w:r>
      <w:r w:rsidRPr="009B123D">
        <w:t>Quality of evidence II-ii;</w:t>
      </w:r>
    </w:p>
    <w:p w:rsidR="007C29D8" w:rsidRPr="009B123D" w:rsidRDefault="007C29D8" w:rsidP="007C29D8">
      <w:pPr>
        <w:pStyle w:val="ListBullet"/>
        <w:numPr>
          <w:ilvl w:val="0"/>
          <w:numId w:val="3"/>
        </w:numPr>
        <w:ind w:left="1080"/>
      </w:pPr>
      <w:r w:rsidRPr="009B123D">
        <w:t>GI/pulmonary</w:t>
      </w:r>
      <w:r>
        <w:t>;</w:t>
      </w:r>
      <w:r w:rsidRPr="009B123D">
        <w:t xml:space="preserve"> Quality of evidence II-ii</w:t>
      </w:r>
      <w:r w:rsidR="009A5DC4">
        <w:t>.</w:t>
      </w:r>
    </w:p>
    <w:p w:rsidR="007C29D8" w:rsidRDefault="007C29D8" w:rsidP="007C29D8">
      <w:r w:rsidRPr="009B123D">
        <w:t xml:space="preserve">This reference was reviewed </w:t>
      </w:r>
      <w:r>
        <w:t>and it was</w:t>
      </w:r>
      <w:r w:rsidRPr="009B123D">
        <w:t xml:space="preserve"> concluded </w:t>
      </w:r>
      <w:r>
        <w:t xml:space="preserve">that </w:t>
      </w:r>
      <w:r w:rsidRPr="009B123D">
        <w:t>there is no consensus of expert opinion that the available evidence for the efficacy of ECP is sufficient to establish it as a standard second-line treatment for GvHD</w:t>
      </w:r>
      <w:r w:rsidR="00F75949">
        <w:t>.</w:t>
      </w:r>
    </w:p>
    <w:p w:rsidR="007C29D8" w:rsidRDefault="007C29D8" w:rsidP="007C29D8">
      <w:r w:rsidRPr="00657407">
        <w:t xml:space="preserve">The </w:t>
      </w:r>
      <w:r>
        <w:t>s</w:t>
      </w:r>
      <w:r w:rsidRPr="00657407">
        <w:t xml:space="preserve">ponsor maintains that studies which used the Cobe </w:t>
      </w:r>
      <w:r>
        <w:t>d</w:t>
      </w:r>
      <w:r w:rsidRPr="00657407">
        <w:t xml:space="preserve">evice, rather than the </w:t>
      </w:r>
      <w:r>
        <w:t>Therakos</w:t>
      </w:r>
      <w:r w:rsidRPr="00657407">
        <w:t xml:space="preserve"> device,</w:t>
      </w:r>
      <w:r>
        <w:t xml:space="preserve"> </w:t>
      </w:r>
      <w:r w:rsidRPr="00657407">
        <w:t>are relevant to include in meta-analyses of the ECP process in treatment of GvHD.</w:t>
      </w:r>
    </w:p>
    <w:p w:rsidR="007C29D8" w:rsidRDefault="007C29D8" w:rsidP="007C29D8">
      <w:pPr>
        <w:pStyle w:val="Heading5"/>
      </w:pPr>
      <w:r>
        <w:t>Summary of issues</w:t>
      </w:r>
    </w:p>
    <w:p w:rsidR="007C29D8" w:rsidRDefault="007C29D8" w:rsidP="007C29D8">
      <w:r>
        <w:t>GvHD is a rare condition and Orphan Drug designation has been approved for Uvadex. Methoxsalen has been marketed overseas for treatment of CTCL from 1999. There has been SAS use of ECP with Uvadex for treatment of GvHD in relatively small numbers of patients at two centres in Australia, at one since 20</w:t>
      </w:r>
      <w:r w:rsidR="00F75949">
        <w:t>02 and at the other since 2010.</w:t>
      </w:r>
    </w:p>
    <w:p w:rsidR="007C29D8" w:rsidRDefault="007C29D8" w:rsidP="007C29D8">
      <w:r>
        <w:t>The submission has n</w:t>
      </w:r>
      <w:r w:rsidRPr="00E537D8">
        <w:t xml:space="preserve">ot </w:t>
      </w:r>
      <w:r>
        <w:t xml:space="preserve">provided a </w:t>
      </w:r>
      <w:r w:rsidRPr="00E537D8">
        <w:t xml:space="preserve">comprehensive dossier for </w:t>
      </w:r>
      <w:r>
        <w:t>a new chemical entity.</w:t>
      </w:r>
      <w:r w:rsidRPr="00E537D8">
        <w:t xml:space="preserve"> The submitted </w:t>
      </w:r>
      <w:r>
        <w:t>clinical</w:t>
      </w:r>
      <w:r w:rsidRPr="00E537D8">
        <w:t xml:space="preserve"> dossier consisted of submitted studies and literature references. </w:t>
      </w:r>
      <w:r>
        <w:t>The p</w:t>
      </w:r>
      <w:r w:rsidRPr="00E537D8">
        <w:t>ublished literature reflects large variations in diagnostic criteria and concomitant therapy.</w:t>
      </w:r>
      <w:r>
        <w:t xml:space="preserve"> The hybrid dossier, consisting, of published literature, sponsor initiated studies, and analysis of Australian SAS database, </w:t>
      </w:r>
      <w:r w:rsidRPr="007F2E47">
        <w:t>was accepted in a pre-submission meeting with TGA. The literature search strategy was approved</w:t>
      </w:r>
      <w:r>
        <w:t xml:space="preserve"> by TGA.</w:t>
      </w:r>
    </w:p>
    <w:p w:rsidR="007C29D8" w:rsidRDefault="007C29D8" w:rsidP="007C29D8">
      <w:r>
        <w:t xml:space="preserve">In chronic GvHD the single randomised parallel group clinical study in adults did not provide convincing evidence of efficacy. The randomised controlled trial (RCT) did not use contemporary disease </w:t>
      </w:r>
      <w:r w:rsidRPr="00BF4EFE">
        <w:t xml:space="preserve">response criteria. The </w:t>
      </w:r>
      <w:r>
        <w:t xml:space="preserve">primary objective in the RCT related to skin chronic GvHD. </w:t>
      </w:r>
      <w:r w:rsidRPr="00373437">
        <w:t>Multiple prospective, single-arm studies demonstrated evidence of improvement in disease manifestations compared to baseline. However, these studies had several limitations which complicate their interpretation</w:t>
      </w:r>
      <w:r>
        <w:t xml:space="preserve">, particularly variety of definitions for disease response, variability in response rates achieved, </w:t>
      </w:r>
      <w:r w:rsidRPr="00373437">
        <w:t xml:space="preserve">lack of information </w:t>
      </w:r>
      <w:r>
        <w:t>on duration of response and lack of information on other chronic GvHD treatments.</w:t>
      </w:r>
    </w:p>
    <w:p w:rsidR="007C29D8" w:rsidRDefault="007C29D8" w:rsidP="007C29D8">
      <w:r>
        <w:t xml:space="preserve">In steroid refractory acute GvHD, there were no sponsor-initiated studies and no randomised controlled clinical studies. Two prospective single arm studies </w:t>
      </w:r>
      <w:r w:rsidRPr="002E21F0">
        <w:t xml:space="preserve">were considered </w:t>
      </w:r>
      <w:r>
        <w:t>to provide useful efficacy data.</w:t>
      </w:r>
      <w:r>
        <w:fldChar w:fldCharType="begin"/>
      </w:r>
      <w:r>
        <w:instrText xml:space="preserve"> NOTEREF _Ref21012647 \f \h </w:instrText>
      </w:r>
      <w:r>
        <w:fldChar w:fldCharType="separate"/>
      </w:r>
      <w:r w:rsidRPr="005C7942">
        <w:rPr>
          <w:rStyle w:val="FootnoteReference"/>
        </w:rPr>
        <w:t>8</w:t>
      </w:r>
      <w:r>
        <w:fldChar w:fldCharType="end"/>
      </w:r>
      <w:r>
        <w:rPr>
          <w:vertAlign w:val="superscript"/>
        </w:rPr>
        <w:t>,</w:t>
      </w:r>
      <w:r>
        <w:fldChar w:fldCharType="begin"/>
      </w:r>
      <w:r>
        <w:instrText xml:space="preserve"> NOTEREF _Ref21012649 \f \h </w:instrText>
      </w:r>
      <w:r>
        <w:fldChar w:fldCharType="separate"/>
      </w:r>
      <w:r w:rsidRPr="005C7942">
        <w:rPr>
          <w:rStyle w:val="FootnoteReference"/>
        </w:rPr>
        <w:t>9</w:t>
      </w:r>
      <w:r>
        <w:fldChar w:fldCharType="end"/>
      </w:r>
      <w:r>
        <w:t xml:space="preserve"> These two studies used different definitions of response and obtained very different response rates. The clinical evaluation report </w:t>
      </w:r>
      <w:r w:rsidRPr="00C818BB">
        <w:t xml:space="preserve">considered that the evidence is inadequate to support approval of </w:t>
      </w:r>
      <w:r>
        <w:t>Uvadex</w:t>
      </w:r>
      <w:r w:rsidRPr="00C818BB">
        <w:t xml:space="preserve"> for the treatment of steroid-refractory acute GvHD.</w:t>
      </w:r>
    </w:p>
    <w:p w:rsidR="007C29D8" w:rsidRDefault="007C29D8" w:rsidP="007C29D8">
      <w:r w:rsidRPr="009B123D">
        <w:t xml:space="preserve">Given the serious nature of GvHD, the safety profile of </w:t>
      </w:r>
      <w:r>
        <w:t>Uvadex</w:t>
      </w:r>
      <w:r w:rsidRPr="009B123D">
        <w:t xml:space="preserve">/ECP is considered acceptable in the </w:t>
      </w:r>
      <w:r>
        <w:t>clinical evaluation report</w:t>
      </w:r>
      <w:r w:rsidRPr="009B123D">
        <w:t>. There are insufficient data to establish safety in children.</w:t>
      </w:r>
    </w:p>
    <w:p w:rsidR="007C29D8" w:rsidRDefault="007C29D8" w:rsidP="007C29D8">
      <w:r>
        <w:t xml:space="preserve">There are no established second-line treatments for chronic GvHD or acute GvHD, </w:t>
      </w:r>
      <w:r w:rsidRPr="00BF4EFE">
        <w:t>apart from ibrutinib for c</w:t>
      </w:r>
      <w:r>
        <w:t xml:space="preserve">hronic </w:t>
      </w:r>
      <w:r w:rsidRPr="00BF4EFE">
        <w:t>G</w:t>
      </w:r>
      <w:r>
        <w:t>v</w:t>
      </w:r>
      <w:r w:rsidRPr="00BF4EFE">
        <w:t>HD</w:t>
      </w:r>
      <w:r>
        <w:t xml:space="preserve"> which was approved by the US FDA in 2017</w:t>
      </w:r>
      <w:r w:rsidRPr="00FF6D78">
        <w:t>.</w:t>
      </w:r>
    </w:p>
    <w:p w:rsidR="007C29D8" w:rsidRDefault="007C29D8" w:rsidP="007C29D8">
      <w:r>
        <w:t>In the sponsor’s response to the second round clinical evaluation the proposed indications have been restricted to adults and the precaution statement included for Paediatric use, ‘The safety and efficacy of Uvadex have not been established in children’.</w:t>
      </w:r>
    </w:p>
    <w:p w:rsidR="007C29D8" w:rsidRDefault="007C29D8" w:rsidP="007C29D8">
      <w:r>
        <w:t>The s</w:t>
      </w:r>
      <w:r w:rsidRPr="00BF4EFE">
        <w:t xml:space="preserve">ponsor’s response to the </w:t>
      </w:r>
      <w:r>
        <w:t>second round clinical evaluation identified a UK Photopheresis Society: ECP Consensus Statement Update (see above).</w:t>
      </w:r>
      <w:r w:rsidRPr="00F54F51">
        <w:rPr>
          <w:vertAlign w:val="superscript"/>
        </w:rPr>
        <w:fldChar w:fldCharType="begin"/>
      </w:r>
      <w:r w:rsidRPr="00F54F51">
        <w:rPr>
          <w:vertAlign w:val="superscript"/>
        </w:rPr>
        <w:instrText xml:space="preserve"> NOTEREF _Ref21012707 \h </w:instrText>
      </w:r>
      <w:r>
        <w:rPr>
          <w:vertAlign w:val="superscript"/>
        </w:rPr>
        <w:instrText xml:space="preserve"> \* MERGEFORMAT </w:instrText>
      </w:r>
      <w:r w:rsidRPr="00F54F51">
        <w:rPr>
          <w:vertAlign w:val="superscript"/>
        </w:rPr>
      </w:r>
      <w:r w:rsidRPr="00F54F51">
        <w:rPr>
          <w:vertAlign w:val="superscript"/>
        </w:rPr>
        <w:fldChar w:fldCharType="separate"/>
      </w:r>
      <w:r>
        <w:rPr>
          <w:vertAlign w:val="superscript"/>
        </w:rPr>
        <w:t>10</w:t>
      </w:r>
      <w:r w:rsidRPr="00F54F51">
        <w:rPr>
          <w:vertAlign w:val="superscript"/>
        </w:rPr>
        <w:fldChar w:fldCharType="end"/>
      </w:r>
    </w:p>
    <w:p w:rsidR="007C29D8" w:rsidRDefault="007C29D8" w:rsidP="007C29D8">
      <w:r>
        <w:lastRenderedPageBreak/>
        <w:t xml:space="preserve">This reference was reviewed in the second round clinical evaluation which concluded </w:t>
      </w:r>
      <w:r w:rsidRPr="00CB222F">
        <w:t>there is no consensus of expert opinion that the available evidence for the efficacy of ECP is sufficient to establish it as a standard second-line treatment for GvHD.</w:t>
      </w:r>
    </w:p>
    <w:p w:rsidR="007C29D8" w:rsidRDefault="007C29D8" w:rsidP="007C29D8">
      <w:r w:rsidRPr="00FC581B">
        <w:t xml:space="preserve">The </w:t>
      </w:r>
      <w:r>
        <w:t>s</w:t>
      </w:r>
      <w:r w:rsidRPr="00FC581B">
        <w:t xml:space="preserve">ponsor’s response to the </w:t>
      </w:r>
      <w:r>
        <w:t>second round clinical maintains that studies which used the Cobe device, rather than the Therakos device, are relevant to include in meta-analyses of the ECP process in treatment of GvHD.</w:t>
      </w:r>
    </w:p>
    <w:p w:rsidR="007C29D8" w:rsidRPr="00456765" w:rsidRDefault="007C29D8" w:rsidP="007C29D8">
      <w:r>
        <w:t xml:space="preserve">The Delegate concurs with the clinical evaluator’s benefit-risk assessment. It </w:t>
      </w:r>
      <w:r w:rsidRPr="008269DA">
        <w:t xml:space="preserve">cannot be concluded that </w:t>
      </w:r>
      <w:r>
        <w:t>Uvadex</w:t>
      </w:r>
      <w:r w:rsidRPr="008269DA">
        <w:t xml:space="preserve"> has a favourable balance of benefits and risks.</w:t>
      </w:r>
      <w:r>
        <w:t xml:space="preserve"> Efficacy of Uvadex/ECP has not been adequately demonstrated in chronic GvHD and in acute GvHD.</w:t>
      </w:r>
    </w:p>
    <w:p w:rsidR="007C29D8" w:rsidRDefault="007C29D8" w:rsidP="007C29D8">
      <w:pPr>
        <w:pStyle w:val="Heading4"/>
      </w:pPr>
      <w:r w:rsidRPr="00D23139">
        <w:t>Proposed action</w:t>
      </w:r>
    </w:p>
    <w:p w:rsidR="007C29D8" w:rsidRPr="00456765" w:rsidRDefault="007C29D8" w:rsidP="007C29D8">
      <w:r>
        <w:t>The Delegate was n</w:t>
      </w:r>
      <w:r w:rsidRPr="007F38DB">
        <w:t xml:space="preserve">ot in a position to say, at this time, that the application for </w:t>
      </w:r>
      <w:r>
        <w:t xml:space="preserve">Uvadex, </w:t>
      </w:r>
      <w:r w:rsidRPr="005E1BA0">
        <w:t xml:space="preserve">for extracorporeal administration with the </w:t>
      </w:r>
      <w:r>
        <w:t>Therakos</w:t>
      </w:r>
      <w:r w:rsidRPr="005E1BA0">
        <w:t xml:space="preserve"> </w:t>
      </w:r>
      <w:r>
        <w:t>Cellex</w:t>
      </w:r>
      <w:r w:rsidRPr="005E1BA0">
        <w:t xml:space="preserve"> Photopheresis System for the treatment of</w:t>
      </w:r>
      <w:r>
        <w:t xml:space="preserve"> </w:t>
      </w:r>
      <w:r w:rsidRPr="005E1BA0">
        <w:t xml:space="preserve">steroid-refractory and steroid-intolerant </w:t>
      </w:r>
      <w:r>
        <w:t>GvHD</w:t>
      </w:r>
      <w:r w:rsidRPr="005E1BA0">
        <w:t xml:space="preserve"> following</w:t>
      </w:r>
      <w:r>
        <w:t xml:space="preserve"> allogeneic HSC transplantation, s</w:t>
      </w:r>
      <w:r w:rsidRPr="007F38DB">
        <w:t>hould be approved for registration.</w:t>
      </w:r>
    </w:p>
    <w:p w:rsidR="007C29D8" w:rsidRDefault="007C29D8" w:rsidP="007C29D8">
      <w:pPr>
        <w:pStyle w:val="Heading4"/>
      </w:pPr>
      <w:r>
        <w:t>Request for AC</w:t>
      </w:r>
      <w:r w:rsidRPr="00D23139">
        <w:t>M advice</w:t>
      </w:r>
    </w:p>
    <w:p w:rsidR="007C29D8" w:rsidRDefault="007C29D8" w:rsidP="007C29D8">
      <w:r w:rsidRPr="00B17504">
        <w:t xml:space="preserve">The </w:t>
      </w:r>
      <w:r>
        <w:t>Advisory C</w:t>
      </w:r>
      <w:r w:rsidRPr="00B17504">
        <w:t xml:space="preserve">ommittee </w:t>
      </w:r>
      <w:r>
        <w:t>on Medicines (ACM) i</w:t>
      </w:r>
      <w:r w:rsidRPr="00B17504">
        <w:t>s requested to provide advice on the following specific issues:</w:t>
      </w:r>
    </w:p>
    <w:p w:rsidR="007C29D8" w:rsidRDefault="007C29D8" w:rsidP="007C29D8">
      <w:pPr>
        <w:pStyle w:val="Numberbullet0"/>
        <w:numPr>
          <w:ilvl w:val="0"/>
          <w:numId w:val="35"/>
        </w:numPr>
      </w:pPr>
      <w:r>
        <w:t>Has the efficacy of ECP with Uvadex been adequately demonstrated in treatment of chronic GvHD?</w:t>
      </w:r>
    </w:p>
    <w:p w:rsidR="007C29D8" w:rsidRDefault="007C29D8" w:rsidP="007C29D8">
      <w:pPr>
        <w:pStyle w:val="Numberbullet0"/>
        <w:numPr>
          <w:ilvl w:val="0"/>
          <w:numId w:val="8"/>
        </w:numPr>
      </w:pPr>
      <w:r w:rsidRPr="005E1BA0">
        <w:t xml:space="preserve">Has the efficacy of ECP </w:t>
      </w:r>
      <w:r>
        <w:t xml:space="preserve">with Uvadex </w:t>
      </w:r>
      <w:r w:rsidRPr="005E1BA0">
        <w:t xml:space="preserve">been adequately demonstrated in treatment of </w:t>
      </w:r>
      <w:r>
        <w:t xml:space="preserve">acute </w:t>
      </w:r>
      <w:r w:rsidRPr="005E1BA0">
        <w:t>GvHD?</w:t>
      </w:r>
    </w:p>
    <w:p w:rsidR="007C29D8" w:rsidRPr="00456765" w:rsidRDefault="007C29D8" w:rsidP="007C29D8">
      <w:pPr>
        <w:pStyle w:val="Numberbullet0"/>
        <w:numPr>
          <w:ilvl w:val="0"/>
          <w:numId w:val="8"/>
        </w:numPr>
      </w:pPr>
      <w:r>
        <w:t>The committee is also</w:t>
      </w:r>
      <w:r w:rsidRPr="001E3825">
        <w:t xml:space="preserve"> requested to provide advice on any other issues that it thinks may be relevant to a decision on whether or not to approve this application.</w:t>
      </w:r>
    </w:p>
    <w:p w:rsidR="007C29D8" w:rsidRDefault="00F75949" w:rsidP="00F75949">
      <w:pPr>
        <w:pStyle w:val="Heading4"/>
      </w:pPr>
      <w:r>
        <w:t>Advisory committee c</w:t>
      </w:r>
      <w:r w:rsidR="007C29D8">
        <w:t>onsiderations</w:t>
      </w:r>
      <w:r w:rsidR="007C29D8">
        <w:rPr>
          <w:rStyle w:val="FootnoteReference"/>
        </w:rPr>
        <w:footnoteReference w:id="15"/>
      </w:r>
    </w:p>
    <w:p w:rsidR="007C29D8" w:rsidRDefault="007C29D8" w:rsidP="007C29D8">
      <w:pPr>
        <w:rPr>
          <w:bCs/>
        </w:rPr>
      </w:pPr>
      <w:r w:rsidRPr="00456765">
        <w:rPr>
          <w:bCs/>
        </w:rPr>
        <w:t xml:space="preserve">The Advisory Committee on Medicines (ACM), having considered the evaluations and the Delegate’s overview, as well as the sponsor’s response to these documents, advised the </w:t>
      </w:r>
      <w:r>
        <w:rPr>
          <w:bCs/>
        </w:rPr>
        <w:t>following.</w:t>
      </w:r>
    </w:p>
    <w:p w:rsidR="007C29D8" w:rsidRPr="00B85EBE" w:rsidRDefault="007C29D8" w:rsidP="007C29D8">
      <w:r w:rsidRPr="00B85EBE">
        <w:t>The ACM advised the following in response to the Delegate’s specific request for advice:</w:t>
      </w:r>
    </w:p>
    <w:p w:rsidR="007C29D8" w:rsidRPr="005D1037" w:rsidRDefault="007C29D8" w:rsidP="007C29D8">
      <w:pPr>
        <w:pStyle w:val="Numberbullet0"/>
        <w:numPr>
          <w:ilvl w:val="0"/>
          <w:numId w:val="30"/>
        </w:numPr>
        <w:rPr>
          <w:i/>
        </w:rPr>
      </w:pPr>
      <w:r w:rsidRPr="005D1037">
        <w:rPr>
          <w:i/>
        </w:rPr>
        <w:t xml:space="preserve">Has the efficacy of ECP with </w:t>
      </w:r>
      <w:r>
        <w:rPr>
          <w:i/>
        </w:rPr>
        <w:t>Uvadex</w:t>
      </w:r>
      <w:r w:rsidRPr="005D1037">
        <w:rPr>
          <w:i/>
        </w:rPr>
        <w:t xml:space="preserve"> been adequately demonstrated in treatment of chronic GvHD?</w:t>
      </w:r>
    </w:p>
    <w:p w:rsidR="007C29D8" w:rsidRPr="005C7942" w:rsidRDefault="007C29D8" w:rsidP="007C29D8">
      <w:pPr>
        <w:ind w:left="425"/>
        <w:rPr>
          <w:rFonts w:ascii="Arial" w:eastAsia="Times New Roman" w:hAnsi="Arial"/>
          <w:noProof/>
        </w:rPr>
      </w:pPr>
      <w:r w:rsidRPr="00995EB0">
        <w:t>The ACM advised that the</w:t>
      </w:r>
      <w:r>
        <w:t xml:space="preserve"> efficacy of ECP with Uvadex has not been adequately demonstrated in the treatment of chronic GvHD. However, the ACM noted that opportunities for large RCTs are unlikely to occur, the safety profile is considered acceptable and that ECP with Uvadex has been available for several years under the </w:t>
      </w:r>
      <w:r>
        <w:lastRenderedPageBreak/>
        <w:t xml:space="preserve">SAS. Based on these factors and the seriousness of the condition, the ACM advised that ECP with Uvadex should be approved for the treatment of chronic </w:t>
      </w:r>
      <w:r w:rsidRPr="00182016">
        <w:t>GvHD.</w:t>
      </w:r>
    </w:p>
    <w:p w:rsidR="007C29D8" w:rsidRPr="005D1037" w:rsidRDefault="007C29D8" w:rsidP="007C29D8">
      <w:pPr>
        <w:pStyle w:val="Numberbullet0"/>
        <w:numPr>
          <w:ilvl w:val="0"/>
          <w:numId w:val="8"/>
        </w:numPr>
      </w:pPr>
      <w:r w:rsidRPr="005D1037">
        <w:rPr>
          <w:i/>
        </w:rPr>
        <w:t xml:space="preserve">Has the efficacy of ECP with </w:t>
      </w:r>
      <w:r>
        <w:rPr>
          <w:i/>
        </w:rPr>
        <w:t>Uvadex</w:t>
      </w:r>
      <w:r w:rsidRPr="005D1037">
        <w:rPr>
          <w:i/>
        </w:rPr>
        <w:t xml:space="preserve"> been adequately demonstrated in treatment of acute GvHD?</w:t>
      </w:r>
    </w:p>
    <w:p w:rsidR="007C29D8" w:rsidRDefault="007C29D8" w:rsidP="007C29D8">
      <w:pPr>
        <w:pStyle w:val="Numberbullet0"/>
        <w:numPr>
          <w:ilvl w:val="0"/>
          <w:numId w:val="0"/>
        </w:numPr>
        <w:ind w:left="425"/>
      </w:pPr>
      <w:r w:rsidRPr="00995EB0">
        <w:t xml:space="preserve">The ACM advised that the efficacy of ECP with </w:t>
      </w:r>
      <w:r>
        <w:t>Uvadex</w:t>
      </w:r>
      <w:r w:rsidRPr="00995EB0">
        <w:t xml:space="preserve"> has not been adequately demonstrated in acute GvHD</w:t>
      </w:r>
      <w:r>
        <w:t>. Data to support safe adult/paediatric use in acute GvHD is more limited in than in chronic GvHD, as such the ACM does not support approval of ECP with Uvadex for acute GvHD.</w:t>
      </w:r>
    </w:p>
    <w:p w:rsidR="007C29D8" w:rsidRPr="005D1037" w:rsidRDefault="007C29D8" w:rsidP="007C29D8">
      <w:pPr>
        <w:pStyle w:val="Numberbullet0"/>
        <w:numPr>
          <w:ilvl w:val="0"/>
          <w:numId w:val="8"/>
        </w:numPr>
        <w:rPr>
          <w:i/>
        </w:rPr>
      </w:pPr>
      <w:r w:rsidRPr="005D1037">
        <w:rPr>
          <w:i/>
        </w:rPr>
        <w:t>The committee is also requested to provide advice on any other issues that it thinks may be relevant to a decision on whether or not to approve this application.</w:t>
      </w:r>
    </w:p>
    <w:p w:rsidR="007C29D8" w:rsidRPr="00CE620B" w:rsidRDefault="007C29D8" w:rsidP="007C29D8">
      <w:pPr>
        <w:pStyle w:val="Numberbullet0"/>
        <w:numPr>
          <w:ilvl w:val="0"/>
          <w:numId w:val="0"/>
        </w:numPr>
        <w:ind w:left="425"/>
      </w:pPr>
      <w:r>
        <w:t>The ACM advised that the alert by the FDA (5 February 2018) and TGA (27 February 2018) regarding VTE and severe allergic reactions associated with the use of Therakos Cellex should be included in the PI and CMI.</w:t>
      </w:r>
    </w:p>
    <w:p w:rsidR="007C29D8" w:rsidRPr="002E238E" w:rsidRDefault="007C29D8" w:rsidP="007C29D8">
      <w:pPr>
        <w:pStyle w:val="Heading3"/>
      </w:pPr>
      <w:bookmarkStart w:id="60" w:name="_Toc247691532"/>
      <w:bookmarkStart w:id="61" w:name="_Toc314842516"/>
      <w:bookmarkStart w:id="62" w:name="_Toc24621774"/>
      <w:bookmarkStart w:id="63" w:name="_Toc24622268"/>
      <w:bookmarkEnd w:id="55"/>
      <w:bookmarkEnd w:id="56"/>
      <w:r>
        <w:t>Outcome</w:t>
      </w:r>
      <w:bookmarkEnd w:id="60"/>
      <w:bookmarkEnd w:id="61"/>
      <w:bookmarkEnd w:id="62"/>
      <w:bookmarkEnd w:id="63"/>
    </w:p>
    <w:p w:rsidR="007C29D8" w:rsidRPr="00D23139" w:rsidRDefault="007C29D8" w:rsidP="007C29D8">
      <w:r w:rsidRPr="00D23139">
        <w:t>Based on a review of quality, safety and efficacy,</w:t>
      </w:r>
      <w:r>
        <w:t xml:space="preserve"> </w:t>
      </w:r>
      <w:r w:rsidRPr="00D23139">
        <w:t>TG</w:t>
      </w:r>
      <w:r>
        <w:t>A approved the registration of Uvadex (methoxsalen)</w:t>
      </w:r>
      <w:r w:rsidRPr="00D23139">
        <w:t xml:space="preserve"> </w:t>
      </w:r>
      <w:r>
        <w:rPr>
          <w:rFonts w:eastAsia="Calibri"/>
        </w:rPr>
        <w:t>200 µg/10 mL</w:t>
      </w:r>
      <w:r w:rsidRPr="00D23139">
        <w:t xml:space="preserve"> </w:t>
      </w:r>
      <w:r>
        <w:t xml:space="preserve">solution </w:t>
      </w:r>
      <w:r w:rsidRPr="00D23139">
        <w:t xml:space="preserve">for </w:t>
      </w:r>
      <w:r>
        <w:t>ex</w:t>
      </w:r>
      <w:r>
        <w:rPr>
          <w:rFonts w:eastAsia="Calibri"/>
        </w:rPr>
        <w:t>tracorporeal circulation via photopheresis</w:t>
      </w:r>
      <w:r w:rsidRPr="00D23139">
        <w:t>, indicated for:</w:t>
      </w:r>
    </w:p>
    <w:p w:rsidR="007C29D8" w:rsidRPr="00813156" w:rsidRDefault="007C29D8" w:rsidP="007C29D8">
      <w:pPr>
        <w:ind w:left="720"/>
        <w:rPr>
          <w:i/>
        </w:rPr>
      </w:pPr>
      <w:r>
        <w:rPr>
          <w:i/>
        </w:rPr>
        <w:t>Uvadex (methoxsalen) is indicated for extracorporeal administration with the Therakos Cellex Photopheresis System for the treatment of steroid-refractory and steroid-intolerant chronic graft versus host disease (cGvHD) in adults following allogeneic HSC transplantation.</w:t>
      </w:r>
    </w:p>
    <w:p w:rsidR="007C29D8" w:rsidRPr="00D23139" w:rsidRDefault="007C29D8" w:rsidP="007C29D8">
      <w:pPr>
        <w:pStyle w:val="Heading4"/>
      </w:pPr>
      <w:r w:rsidRPr="00D23139">
        <w:t>Specific conditions of registration applying to these goods</w:t>
      </w:r>
    </w:p>
    <w:p w:rsidR="007C29D8" w:rsidRDefault="007C29D8" w:rsidP="007C29D8">
      <w:pPr>
        <w:pStyle w:val="ListBullet"/>
        <w:numPr>
          <w:ilvl w:val="0"/>
          <w:numId w:val="31"/>
        </w:numPr>
        <w:spacing w:after="180"/>
      </w:pPr>
      <w:r>
        <w:t>Uvadex (methoxsalen) is to be included in the Black Triangle Scheme. The Product Information (PI) and Consumer Medicines Information (CMI) for Uvadex must include the black triangle symbol and mandatory accompanying text for five years, which starts from the date that the sponsor notifies the TGA of supply of the product.</w:t>
      </w:r>
    </w:p>
    <w:p w:rsidR="007C29D8" w:rsidRDefault="007C29D8" w:rsidP="007C29D8">
      <w:pPr>
        <w:pStyle w:val="ListBullet"/>
        <w:numPr>
          <w:ilvl w:val="0"/>
          <w:numId w:val="31"/>
        </w:numPr>
        <w:spacing w:after="180"/>
      </w:pPr>
      <w:r>
        <w:t>The methoxsalen Australian-Risk Management Plan (Aus-RMP) (version 3.0, dated 15 April 2019, data lock point 25 February 2018), included with submission PM</w:t>
      </w:r>
      <w:r>
        <w:noBreakHyphen/>
        <w:t>2018</w:t>
      </w:r>
      <w:r>
        <w:noBreakHyphen/>
        <w:t>03515-1-2, and any subsequent revisions, as agreed with the TGA will be implemented in Australia.</w:t>
      </w:r>
    </w:p>
    <w:p w:rsidR="007C29D8" w:rsidRDefault="007C29D8" w:rsidP="007C29D8">
      <w:pPr>
        <w:pStyle w:val="ListBullet"/>
        <w:numPr>
          <w:ilvl w:val="0"/>
          <w:numId w:val="0"/>
        </w:numPr>
        <w:ind w:left="360"/>
      </w:pPr>
      <w:r>
        <w:t>An obligatory component of risk management plans is routine pharmacovigilance. Routine pharmacovigilance includes the submission of periodic safety update reports (PSURs).</w:t>
      </w:r>
    </w:p>
    <w:p w:rsidR="007C29D8" w:rsidRDefault="007C29D8" w:rsidP="007C29D8">
      <w:pPr>
        <w:pStyle w:val="ListBullet"/>
        <w:numPr>
          <w:ilvl w:val="0"/>
          <w:numId w:val="0"/>
        </w:numPr>
        <w:ind w:left="360"/>
      </w:pPr>
      <w:r>
        <w:t>As agreed between the TGA and the supplier who is the recipient of the approval, annual PSURs with the data lock point of 25th February are to be provided until the period covered by such reports is not less than three years from the date of this approval letter.</w:t>
      </w:r>
    </w:p>
    <w:p w:rsidR="007C29D8" w:rsidRDefault="007C29D8" w:rsidP="007C29D8">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and submitted to the TGA within ninety calendar days of the data lock point for that report.</w:t>
      </w:r>
    </w:p>
    <w:p w:rsidR="007C29D8" w:rsidRPr="005E455A" w:rsidRDefault="007C29D8" w:rsidP="007C29D8">
      <w:pPr>
        <w:pStyle w:val="ListBullet"/>
        <w:numPr>
          <w:ilvl w:val="0"/>
          <w:numId w:val="3"/>
        </w:numPr>
      </w:pPr>
      <w:r>
        <w:t>For all injectable products the Product Information must be included with the product as a package insert.</w:t>
      </w:r>
    </w:p>
    <w:p w:rsidR="008E7846" w:rsidRDefault="00A80B5B" w:rsidP="00D23139">
      <w:pPr>
        <w:pStyle w:val="Heading2"/>
      </w:pPr>
      <w:bookmarkStart w:id="64" w:name="_Toc24622269"/>
      <w:r>
        <w:lastRenderedPageBreak/>
        <w:t xml:space="preserve">Attachment 1. </w:t>
      </w:r>
      <w:r w:rsidR="008E7846">
        <w:t xml:space="preserve">Product </w:t>
      </w:r>
      <w:r w:rsidR="00AA0ED0">
        <w:t>I</w:t>
      </w:r>
      <w:r w:rsidR="008E7846">
        <w:t>nformation</w:t>
      </w:r>
      <w:bookmarkEnd w:id="33"/>
      <w:bookmarkEnd w:id="34"/>
      <w:bookmarkEnd w:id="64"/>
    </w:p>
    <w:p w:rsidR="00770CAC" w:rsidRPr="007C29D8" w:rsidRDefault="007C29D8" w:rsidP="007C29D8">
      <w:pPr>
        <w:rPr>
          <w:color w:val="000000"/>
          <w:lang w:eastAsia="en-AU"/>
        </w:rPr>
      </w:pPr>
      <w:r w:rsidRPr="002B3624">
        <w:t xml:space="preserve">The </w:t>
      </w:r>
      <w:r>
        <w:t>PI</w:t>
      </w:r>
      <w:r w:rsidRPr="002B3624">
        <w:t xml:space="preserve"> for </w:t>
      </w:r>
      <w:r>
        <w:t>Uvadex</w:t>
      </w:r>
      <w:r w:rsidRPr="002B3624">
        <w:t xml:space="preserve"> </w:t>
      </w:r>
      <w:r>
        <w:t xml:space="preserve">approved with the submission which is described in </w:t>
      </w:r>
      <w:r w:rsidRPr="002B3624">
        <w:t>this AusPAR is at Attachment 1. For the mos</w:t>
      </w:r>
      <w:bookmarkStart w:id="65" w:name="_GoBack"/>
      <w:bookmarkEnd w:id="65"/>
      <w:r w:rsidRPr="002B3624">
        <w:t xml:space="preserve">t recent </w:t>
      </w:r>
      <w:r>
        <w:t>PI,</w:t>
      </w:r>
      <w:r w:rsidRPr="002B3624">
        <w:t xml:space="preserve"> please refer to the </w:t>
      </w:r>
      <w:r w:rsidRPr="007C6B9B">
        <w:t>TGA website at &lt;</w:t>
      </w:r>
      <w:hyperlink r:id="rId16" w:history="1">
        <w:r w:rsidRPr="007C6B9B">
          <w:rPr>
            <w:rStyle w:val="Hyperlink"/>
          </w:rPr>
          <w:t>https://www.tga.gov.au/product-information-pi</w:t>
        </w:r>
      </w:hyperlink>
      <w:r>
        <w:t>&gt;.</w:t>
      </w:r>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7"/>
          <w:headerReference w:type="default" r:id="rId18"/>
          <w:headerReference w:type="first" r:id="rId19"/>
          <w:footerReference w:type="first" r:id="rId2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1" w:history="1">
              <w:r w:rsidRPr="004C239D">
                <w:rPr>
                  <w:rStyle w:val="Hyperlink"/>
                </w:rPr>
                <w:t>info@tga.gov.au</w:t>
              </w:r>
            </w:hyperlink>
            <w:r w:rsidRPr="00487162">
              <w:t xml:space="preserve">  Phone: 1800 020 653  Fax: 02 6232 8605</w:t>
            </w:r>
          </w:p>
          <w:p w:rsidR="001C32CD" w:rsidRPr="004C239D" w:rsidRDefault="00F75949" w:rsidP="00A05FA4">
            <w:pPr>
              <w:pStyle w:val="Address"/>
              <w:spacing w:line="260" w:lineRule="atLeast"/>
              <w:rPr>
                <w:b/>
                <w:color w:val="0000FF"/>
                <w:u w:val="single"/>
              </w:rPr>
            </w:pPr>
            <w:hyperlink r:id="rId22"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3"/>
      <w:headerReference w:type="default" r:id="rId24"/>
      <w:footerReference w:type="default" r:id="rId25"/>
      <w:headerReference w:type="first" r:id="rId26"/>
      <w:footerReference w:type="first" r:id="rId2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73C" w:rsidRDefault="0093773C" w:rsidP="00C40A36">
      <w:pPr>
        <w:spacing w:after="0"/>
      </w:pPr>
      <w:r>
        <w:separator/>
      </w:r>
    </w:p>
  </w:endnote>
  <w:endnote w:type="continuationSeparator" w:id="0">
    <w:p w:rsidR="0093773C" w:rsidRDefault="0093773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93773C" w:rsidRPr="00487162" w:rsidTr="00DB750B">
      <w:trPr>
        <w:trHeight w:val="269"/>
      </w:trPr>
      <w:tc>
        <w:tcPr>
          <w:tcW w:w="7371" w:type="dxa"/>
          <w:tcMar>
            <w:top w:w="142" w:type="dxa"/>
            <w:bottom w:w="0" w:type="dxa"/>
          </w:tcMar>
        </w:tcPr>
        <w:p w:rsidR="0093773C" w:rsidRPr="00487162" w:rsidRDefault="0093773C" w:rsidP="00DB750B">
          <w:pPr>
            <w:pStyle w:val="Footer"/>
          </w:pPr>
          <w:r w:rsidRPr="00487162">
            <w:t>AusPA</w:t>
          </w:r>
          <w:r>
            <w:t>R - Uvadex - Methoxsalen - Terumo BCT Australia - PM-2018</w:t>
          </w:r>
          <w:r w:rsidRPr="00487162">
            <w:t>-</w:t>
          </w:r>
          <w:r>
            <w:t>03515-1-2</w:t>
          </w:r>
          <w:r>
            <w:br/>
            <w:t>FINAL 14 November 2019</w:t>
          </w:r>
        </w:p>
      </w:tc>
      <w:tc>
        <w:tcPr>
          <w:tcW w:w="1490" w:type="dxa"/>
          <w:tcMar>
            <w:top w:w="142" w:type="dxa"/>
            <w:bottom w:w="0" w:type="dxa"/>
          </w:tcMar>
        </w:tcPr>
        <w:p w:rsidR="0093773C" w:rsidRPr="00487162" w:rsidRDefault="0093773C" w:rsidP="00DB750B">
          <w:pPr>
            <w:pStyle w:val="Footer"/>
            <w:jc w:val="right"/>
          </w:pPr>
          <w:r w:rsidRPr="00487162">
            <w:t xml:space="preserve">Page </w:t>
          </w:r>
          <w:r>
            <w:fldChar w:fldCharType="begin"/>
          </w:r>
          <w:r>
            <w:instrText xml:space="preserve"> PAGE  \* Arabic </w:instrText>
          </w:r>
          <w:r>
            <w:fldChar w:fldCharType="separate"/>
          </w:r>
          <w:r w:rsidR="00F75949">
            <w:rPr>
              <w:noProof/>
            </w:rPr>
            <w:t>28</w:t>
          </w:r>
          <w:r>
            <w:fldChar w:fldCharType="end"/>
          </w:r>
          <w:r w:rsidRPr="00487162">
            <w:t xml:space="preserve"> of </w:t>
          </w:r>
          <w:r w:rsidR="00F75949">
            <w:fldChar w:fldCharType="begin"/>
          </w:r>
          <w:r w:rsidR="00F75949">
            <w:instrText xml:space="preserve"> NUMPAGES  \* Arabic </w:instrText>
          </w:r>
          <w:r w:rsidR="00F75949">
            <w:fldChar w:fldCharType="separate"/>
          </w:r>
          <w:r w:rsidR="00F75949">
            <w:rPr>
              <w:noProof/>
            </w:rPr>
            <w:t>29</w:t>
          </w:r>
          <w:r w:rsidR="00F75949">
            <w:rPr>
              <w:noProof/>
            </w:rPr>
            <w:fldChar w:fldCharType="end"/>
          </w:r>
        </w:p>
      </w:tc>
    </w:tr>
  </w:tbl>
  <w:p w:rsidR="0093773C" w:rsidRDefault="0093773C"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93773C" w:rsidRPr="00487162" w:rsidTr="00E45619">
      <w:trPr>
        <w:trHeight w:val="269"/>
      </w:trPr>
      <w:tc>
        <w:tcPr>
          <w:tcW w:w="4519" w:type="dxa"/>
          <w:tcBorders>
            <w:top w:val="single" w:sz="4" w:space="0" w:color="auto"/>
          </w:tcBorders>
          <w:tcMar>
            <w:top w:w="142" w:type="dxa"/>
            <w:bottom w:w="0" w:type="dxa"/>
          </w:tcMar>
        </w:tcPr>
        <w:p w:rsidR="0093773C" w:rsidRPr="00487162" w:rsidRDefault="0093773C" w:rsidP="00FE1DEE">
          <w:pPr>
            <w:pStyle w:val="Footer"/>
          </w:pPr>
          <w:r w:rsidRPr="00487162">
            <w:t>Document title, Part #, Section # - Section title</w:t>
          </w:r>
        </w:p>
        <w:p w:rsidR="0093773C" w:rsidRPr="00487162" w:rsidRDefault="0093773C" w:rsidP="00FE1DEE">
          <w:pPr>
            <w:pStyle w:val="Footer"/>
          </w:pPr>
          <w:r w:rsidRPr="00487162">
            <w:t>V1.0 October 2010</w:t>
          </w:r>
        </w:p>
      </w:tc>
      <w:tc>
        <w:tcPr>
          <w:tcW w:w="4342" w:type="dxa"/>
          <w:tcBorders>
            <w:top w:val="single" w:sz="4" w:space="0" w:color="auto"/>
          </w:tcBorders>
          <w:tcMar>
            <w:top w:w="142" w:type="dxa"/>
            <w:bottom w:w="0" w:type="dxa"/>
          </w:tcMar>
        </w:tcPr>
        <w:p w:rsidR="0093773C" w:rsidRPr="00487162" w:rsidRDefault="0093773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F75949">
            <w:fldChar w:fldCharType="begin"/>
          </w:r>
          <w:r w:rsidR="00F75949">
            <w:instrText xml:space="preserve"> NUMPAGES  </w:instrText>
          </w:r>
          <w:r w:rsidR="00F75949">
            <w:fldChar w:fldCharType="separate"/>
          </w:r>
          <w:r>
            <w:rPr>
              <w:noProof/>
            </w:rPr>
            <w:t>3</w:t>
          </w:r>
          <w:r w:rsidR="00F75949">
            <w:rPr>
              <w:noProof/>
            </w:rPr>
            <w:fldChar w:fldCharType="end"/>
          </w:r>
        </w:p>
      </w:tc>
    </w:tr>
  </w:tbl>
  <w:p w:rsidR="0093773C" w:rsidRDefault="00937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73C" w:rsidRPr="001C32CD" w:rsidRDefault="0093773C"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93773C" w:rsidTr="0010601F">
      <w:trPr>
        <w:trHeight w:val="108"/>
      </w:trPr>
      <w:tc>
        <w:tcPr>
          <w:tcW w:w="8875" w:type="dxa"/>
          <w:gridSpan w:val="2"/>
          <w:tcBorders>
            <w:bottom w:val="single" w:sz="4" w:space="0" w:color="auto"/>
          </w:tcBorders>
          <w:tcMar>
            <w:right w:w="284" w:type="dxa"/>
          </w:tcMar>
        </w:tcPr>
        <w:p w:rsidR="0093773C" w:rsidRDefault="0093773C" w:rsidP="006E08B3">
          <w:pPr>
            <w:pStyle w:val="Heading3"/>
          </w:pPr>
          <w:r>
            <w:t>Copyright</w:t>
          </w:r>
        </w:p>
        <w:p w:rsidR="0093773C" w:rsidRDefault="0093773C" w:rsidP="006E08B3">
          <w:r>
            <w:rPr>
              <w:rFonts w:cs="Arial"/>
            </w:rPr>
            <w:t>©</w:t>
          </w:r>
          <w:r>
            <w:t xml:space="preserve"> Commonwealth of Australia [add year]</w:t>
          </w:r>
        </w:p>
        <w:p w:rsidR="0093773C" w:rsidRDefault="0093773C" w:rsidP="006E08B3"/>
        <w:p w:rsidR="0093773C" w:rsidRDefault="0093773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93773C" w:rsidRDefault="0093773C" w:rsidP="006E08B3"/>
        <w:p w:rsidR="0093773C" w:rsidRDefault="0093773C" w:rsidP="006E08B3">
          <w:pPr>
            <w:pStyle w:val="Heading3"/>
          </w:pPr>
          <w:r>
            <w:t>Confidentiality</w:t>
          </w:r>
        </w:p>
        <w:p w:rsidR="0093773C" w:rsidRDefault="0093773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93773C" w:rsidRDefault="0093773C" w:rsidP="006E08B3"/>
        <w:p w:rsidR="0093773C" w:rsidRDefault="0093773C" w:rsidP="006E08B3">
          <w:r>
            <w:t>For submission made by individuals, all personal details, other than your name, will be removed from your submission before it is published on the TGA’s Internet site.</w:t>
          </w:r>
        </w:p>
        <w:p w:rsidR="0093773C" w:rsidRDefault="0093773C" w:rsidP="006E08B3"/>
        <w:p w:rsidR="0093773C" w:rsidRDefault="0093773C" w:rsidP="006E08B3">
          <w:r>
            <w:t>In addition, a list of parties making submissions will be published. If you do not wish to be identified with your submission you must specifically request this in the space provided ib the submission coversheet.</w:t>
          </w:r>
        </w:p>
      </w:tc>
    </w:tr>
    <w:tr w:rsidR="0093773C" w:rsidTr="0010601F">
      <w:trPr>
        <w:trHeight w:val="417"/>
      </w:trPr>
      <w:tc>
        <w:tcPr>
          <w:tcW w:w="4519" w:type="dxa"/>
          <w:tcBorders>
            <w:top w:val="single" w:sz="4" w:space="0" w:color="auto"/>
          </w:tcBorders>
          <w:tcMar>
            <w:top w:w="142" w:type="dxa"/>
            <w:bottom w:w="0" w:type="dxa"/>
          </w:tcMar>
        </w:tcPr>
        <w:p w:rsidR="0093773C" w:rsidRDefault="0093773C" w:rsidP="006E08B3">
          <w:r>
            <w:t>Document title, Part #, Section # - Section title</w:t>
          </w:r>
        </w:p>
        <w:p w:rsidR="0093773C" w:rsidRDefault="0093773C" w:rsidP="006E08B3">
          <w:r>
            <w:t>V1.0 October 2010</w:t>
          </w:r>
        </w:p>
      </w:tc>
      <w:tc>
        <w:tcPr>
          <w:tcW w:w="4356" w:type="dxa"/>
          <w:tcBorders>
            <w:top w:val="single" w:sz="4" w:space="0" w:color="auto"/>
          </w:tcBorders>
          <w:tcMar>
            <w:top w:w="142" w:type="dxa"/>
            <w:bottom w:w="0" w:type="dxa"/>
          </w:tcMar>
        </w:tcPr>
        <w:p w:rsidR="0093773C" w:rsidRDefault="0093773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F75949">
            <w:fldChar w:fldCharType="begin"/>
          </w:r>
          <w:r w:rsidR="00F75949">
            <w:instrText xml:space="preserve"> NUMPAGES  \* Arabic </w:instrText>
          </w:r>
          <w:r w:rsidR="00F75949">
            <w:fldChar w:fldCharType="separate"/>
          </w:r>
          <w:r>
            <w:rPr>
              <w:noProof/>
            </w:rPr>
            <w:t>3</w:t>
          </w:r>
          <w:r w:rsidR="00F75949">
            <w:rPr>
              <w:noProof/>
            </w:rPr>
            <w:fldChar w:fldCharType="end"/>
          </w:r>
          <w:r>
            <w:t xml:space="preserve">  </w:t>
          </w:r>
        </w:p>
      </w:tc>
    </w:tr>
  </w:tbl>
  <w:p w:rsidR="0093773C" w:rsidRDefault="009377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73C" w:rsidRDefault="0093773C" w:rsidP="00C40A36">
      <w:pPr>
        <w:spacing w:after="0"/>
      </w:pPr>
      <w:r>
        <w:separator/>
      </w:r>
    </w:p>
  </w:footnote>
  <w:footnote w:type="continuationSeparator" w:id="0">
    <w:p w:rsidR="0093773C" w:rsidRDefault="0093773C" w:rsidP="00C40A36">
      <w:pPr>
        <w:spacing w:after="0"/>
      </w:pPr>
      <w:r>
        <w:continuationSeparator/>
      </w:r>
    </w:p>
  </w:footnote>
  <w:footnote w:id="1">
    <w:p w:rsidR="0093773C" w:rsidRPr="00813156" w:rsidRDefault="0093773C" w:rsidP="007C29D8">
      <w:pPr>
        <w:pStyle w:val="FootnoteText"/>
        <w:rPr>
          <w:lang w:val="en-GB"/>
        </w:rPr>
      </w:pPr>
      <w:r>
        <w:rPr>
          <w:rStyle w:val="FootnoteReference"/>
        </w:rPr>
        <w:footnoteRef/>
      </w:r>
      <w:r>
        <w:t xml:space="preserve"> </w:t>
      </w:r>
      <w:r w:rsidRPr="00EF72BE">
        <w:t>Most therapeutic goods are required to undergo an evaluation for quality, safety and efficacy and be included in the Australian Register of Therapeutic Goods (ARTG) before they can be supplied in Australia. In recognition that there are circumstances where patients need access to therapeutic goods that are not included in the ARTG, the Therapeutic Goods Administration (TGA) manages the Special Access Scheme (SAS) and Authorised Prescriber Scheme (AP).</w:t>
      </w:r>
    </w:p>
  </w:footnote>
  <w:footnote w:id="2">
    <w:p w:rsidR="0093773C" w:rsidRDefault="0093773C" w:rsidP="007C29D8">
      <w:pPr>
        <w:pStyle w:val="FootnoteText"/>
      </w:pPr>
      <w:r>
        <w:rPr>
          <w:rStyle w:val="FootnoteReference"/>
        </w:rPr>
        <w:footnoteRef/>
      </w:r>
      <w:r>
        <w:t xml:space="preserve"> </w:t>
      </w:r>
      <w:r w:rsidRPr="00DC7F37">
        <w:t xml:space="preserve">Das-Gupta, E., et al., </w:t>
      </w:r>
      <w:r w:rsidRPr="00DC7F37">
        <w:rPr>
          <w:i/>
        </w:rPr>
        <w:t>Extracorporeal photopheresis for treatment of adults and children with acute GVHD: UK consensus statement and review of published literature</w:t>
      </w:r>
      <w:r w:rsidRPr="00DC7F37">
        <w:t>. Bone Marrow Transplant, 2014</w:t>
      </w:r>
      <w:r>
        <w:t>;</w:t>
      </w:r>
      <w:r w:rsidR="00543160">
        <w:t xml:space="preserve"> 49: </w:t>
      </w:r>
      <w:r w:rsidRPr="00DC7F37">
        <w:t>1251-</w:t>
      </w:r>
      <w:r>
        <w:t>125</w:t>
      </w:r>
      <w:r w:rsidRPr="00DC7F37">
        <w:t>8.</w:t>
      </w:r>
    </w:p>
  </w:footnote>
  <w:footnote w:id="3">
    <w:p w:rsidR="0093773C" w:rsidRDefault="0093773C" w:rsidP="007C29D8">
      <w:pPr>
        <w:pStyle w:val="FootnoteText"/>
      </w:pPr>
      <w:r>
        <w:rPr>
          <w:rStyle w:val="FootnoteReference"/>
        </w:rPr>
        <w:footnoteRef/>
      </w:r>
      <w:r>
        <w:t xml:space="preserve"> </w:t>
      </w:r>
      <w:r w:rsidRPr="0008586C">
        <w:t>Ruutu</w:t>
      </w:r>
      <w:r>
        <w:t>,</w:t>
      </w:r>
      <w:r w:rsidRPr="0008586C">
        <w:t xml:space="preserve"> T</w:t>
      </w:r>
      <w:r>
        <w:t>.</w:t>
      </w:r>
      <w:r w:rsidRPr="0008586C">
        <w:t xml:space="preserve"> et al. </w:t>
      </w:r>
      <w:r>
        <w:t xml:space="preserve">(2014), </w:t>
      </w:r>
      <w:r w:rsidRPr="0008586C">
        <w:t>Prophylaxis and treatment of GVHD: EBMT-ELN working group recommendations for a standardized practice</w:t>
      </w:r>
      <w:r w:rsidRPr="0008586C">
        <w:rPr>
          <w:i/>
        </w:rPr>
        <w:t>. Bone Marrow Transplant</w:t>
      </w:r>
      <w:r>
        <w:t>. 2014; 49</w:t>
      </w:r>
      <w:r w:rsidRPr="0008586C">
        <w:t>: 168-</w:t>
      </w:r>
      <w:r>
        <w:t>1</w:t>
      </w:r>
      <w:r w:rsidRPr="0008586C">
        <w:t>73.</w:t>
      </w:r>
    </w:p>
  </w:footnote>
  <w:footnote w:id="4">
    <w:p w:rsidR="0093773C" w:rsidRDefault="0093773C" w:rsidP="007C29D8">
      <w:pPr>
        <w:pStyle w:val="FootnoteText"/>
      </w:pPr>
      <w:r>
        <w:rPr>
          <w:rStyle w:val="FootnoteReference"/>
        </w:rPr>
        <w:footnoteRef/>
      </w:r>
      <w:r>
        <w:t xml:space="preserve"> </w:t>
      </w:r>
      <w:r w:rsidRPr="0008586C">
        <w:t>Dignan</w:t>
      </w:r>
      <w:r>
        <w:t>,</w:t>
      </w:r>
      <w:r w:rsidRPr="0008586C">
        <w:t xml:space="preserve"> F</w:t>
      </w:r>
      <w:r>
        <w:t>.</w:t>
      </w:r>
      <w:r w:rsidRPr="0008586C">
        <w:t>L</w:t>
      </w:r>
      <w:r>
        <w:t>.</w:t>
      </w:r>
      <w:r w:rsidRPr="0008586C">
        <w:t xml:space="preserve"> et al.</w:t>
      </w:r>
      <w:r>
        <w:t xml:space="preserve"> (2012),</w:t>
      </w:r>
      <w:r w:rsidRPr="0008586C">
        <w:t xml:space="preserve"> Diagnosis and management of chronic graft-versus-host disease. </w:t>
      </w:r>
      <w:r w:rsidRPr="0008586C">
        <w:rPr>
          <w:i/>
        </w:rPr>
        <w:t>Br J Haematol</w:t>
      </w:r>
      <w:r>
        <w:t>. 2012; 158</w:t>
      </w:r>
      <w:r w:rsidRPr="0008586C">
        <w:t>: 46-61.</w:t>
      </w:r>
    </w:p>
  </w:footnote>
  <w:footnote w:id="5">
    <w:p w:rsidR="0093773C" w:rsidRDefault="0093773C" w:rsidP="007C29D8">
      <w:pPr>
        <w:pStyle w:val="FootnoteText"/>
      </w:pPr>
      <w:r>
        <w:rPr>
          <w:rStyle w:val="FootnoteReference"/>
        </w:rPr>
        <w:footnoteRef/>
      </w:r>
      <w:r>
        <w:t xml:space="preserve"> </w:t>
      </w:r>
      <w:r w:rsidRPr="0008586C">
        <w:t>Martin</w:t>
      </w:r>
      <w:r>
        <w:t>,</w:t>
      </w:r>
      <w:r w:rsidRPr="0008586C">
        <w:t xml:space="preserve"> P</w:t>
      </w:r>
      <w:r>
        <w:t>.</w:t>
      </w:r>
      <w:r w:rsidRPr="0008586C">
        <w:t>J</w:t>
      </w:r>
      <w:r>
        <w:t>.</w:t>
      </w:r>
      <w:r w:rsidRPr="0008586C">
        <w:t xml:space="preserve"> et al. </w:t>
      </w:r>
      <w:r>
        <w:t xml:space="preserve">(2012), </w:t>
      </w:r>
      <w:r w:rsidRPr="0008586C">
        <w:t xml:space="preserve">First- and second-line systemic treatment of acute graft-versus-host disease: recommendations of the American Society of Blood and Marrow Transplantation. </w:t>
      </w:r>
      <w:r w:rsidRPr="0008586C">
        <w:rPr>
          <w:i/>
        </w:rPr>
        <w:t>Biol Blood Marrow Transplant</w:t>
      </w:r>
      <w:r>
        <w:t>. 2012; 18</w:t>
      </w:r>
      <w:r w:rsidRPr="0008586C">
        <w:t>: 1150-</w:t>
      </w:r>
      <w:r>
        <w:t>11</w:t>
      </w:r>
      <w:r w:rsidRPr="0008586C">
        <w:t>63.</w:t>
      </w:r>
    </w:p>
  </w:footnote>
  <w:footnote w:id="6">
    <w:p w:rsidR="0093773C" w:rsidRDefault="0093773C" w:rsidP="007C29D8">
      <w:pPr>
        <w:pStyle w:val="FootnoteText"/>
      </w:pPr>
      <w:r>
        <w:rPr>
          <w:rStyle w:val="FootnoteReference"/>
        </w:rPr>
        <w:footnoteRef/>
      </w:r>
      <w:r>
        <w:t xml:space="preserve"> Dignan, F.L. </w:t>
      </w:r>
      <w:r w:rsidRPr="00602FD1">
        <w:t xml:space="preserve">et al. </w:t>
      </w:r>
      <w:r>
        <w:t xml:space="preserve">(2012), </w:t>
      </w:r>
      <w:r w:rsidRPr="00602FD1">
        <w:t xml:space="preserve">Diagnosis and management of acute graft-versus-host disease. </w:t>
      </w:r>
      <w:r w:rsidRPr="00602FD1">
        <w:rPr>
          <w:i/>
        </w:rPr>
        <w:t>Br J Haematol</w:t>
      </w:r>
      <w:r>
        <w:t>. 2012; 158</w:t>
      </w:r>
      <w:r w:rsidRPr="00602FD1">
        <w:t>: 30-45.</w:t>
      </w:r>
    </w:p>
  </w:footnote>
  <w:footnote w:id="7">
    <w:p w:rsidR="0093773C" w:rsidRDefault="0093773C" w:rsidP="007C29D8">
      <w:pPr>
        <w:pStyle w:val="FootnoteText"/>
      </w:pPr>
      <w:r>
        <w:rPr>
          <w:rStyle w:val="FootnoteReference"/>
        </w:rPr>
        <w:footnoteRef/>
      </w:r>
      <w:r>
        <w:t xml:space="preserve"> Nelson, A.S. et al. (2016), </w:t>
      </w:r>
      <w:r w:rsidRPr="00602FD1">
        <w:t>Extracorporeal Photopheresis (ECP) for Treatment of Refractory Acute Graft-Versus-Host Disease in Children (GVHD) after Allogeneic Hematopoietic Stem Cell Transplantation (HSCT)</w:t>
      </w:r>
      <w:r>
        <w:t xml:space="preserve">, </w:t>
      </w:r>
      <w:r w:rsidRPr="00602FD1">
        <w:rPr>
          <w:i/>
        </w:rPr>
        <w:t>Biology of Blood and Marrow Transplantation</w:t>
      </w:r>
      <w:r>
        <w:t>, 2016; 22: S255-S256.</w:t>
      </w:r>
    </w:p>
  </w:footnote>
  <w:footnote w:id="8">
    <w:p w:rsidR="0093773C" w:rsidRDefault="0093773C" w:rsidP="007C29D8">
      <w:pPr>
        <w:pStyle w:val="FootnoteText"/>
      </w:pPr>
      <w:r>
        <w:rPr>
          <w:rStyle w:val="FootnoteReference"/>
        </w:rPr>
        <w:footnoteRef/>
      </w:r>
      <w:r>
        <w:t xml:space="preserve"> Sauret, A. et al. (2016), </w:t>
      </w:r>
      <w:r>
        <w:rPr>
          <w:rFonts w:cs="Arial"/>
          <w:color w:val="222222"/>
          <w:lang w:val="en"/>
        </w:rPr>
        <w:t xml:space="preserve">Shortened apheresis-based extra-corporeal photochemotherapy for acute refractory GVHD in children: a prospective study, </w:t>
      </w:r>
      <w:r w:rsidRPr="00602FD1">
        <w:rPr>
          <w:rFonts w:cs="Arial"/>
          <w:i/>
          <w:color w:val="222222"/>
          <w:lang w:val="en"/>
        </w:rPr>
        <w:t>Bone Marrow Transplantation</w:t>
      </w:r>
      <w:r>
        <w:rPr>
          <w:rFonts w:cs="Arial"/>
          <w:color w:val="222222"/>
          <w:lang w:val="en"/>
        </w:rPr>
        <w:t>, 2016; 51: 866-868.</w:t>
      </w:r>
    </w:p>
  </w:footnote>
  <w:footnote w:id="9">
    <w:p w:rsidR="0093773C" w:rsidRDefault="0093773C" w:rsidP="007C29D8">
      <w:pPr>
        <w:pStyle w:val="FootnoteText"/>
      </w:pPr>
      <w:r>
        <w:rPr>
          <w:rStyle w:val="FootnoteReference"/>
        </w:rPr>
        <w:footnoteRef/>
      </w:r>
      <w:r>
        <w:t xml:space="preserve"> These were addressed by the sponsor in subsequent and final versions of the RMP.</w:t>
      </w:r>
    </w:p>
  </w:footnote>
  <w:footnote w:id="10">
    <w:p w:rsidR="0093773C" w:rsidRDefault="0093773C" w:rsidP="007C29D8">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rsidR="0093773C" w:rsidRDefault="0093773C" w:rsidP="007C29D8">
      <w:pPr>
        <w:pStyle w:val="FootnoteText"/>
      </w:pPr>
      <w:r w:rsidRPr="00F12492">
        <w:rPr>
          <w:i/>
        </w:rPr>
        <w:t>Routine pharmacovigilance</w:t>
      </w:r>
      <w:r>
        <w:t xml:space="preserve"> practices involve the following activities:</w:t>
      </w:r>
    </w:p>
    <w:p w:rsidR="0093773C" w:rsidRDefault="0093773C" w:rsidP="007C29D8">
      <w:pPr>
        <w:pStyle w:val="FootnoteText"/>
        <w:numPr>
          <w:ilvl w:val="0"/>
          <w:numId w:val="28"/>
        </w:numPr>
      </w:pPr>
      <w:r>
        <w:t>All suspected adverse reactions that are reported to the personnel of the company are collected and collated in an accessible manner;</w:t>
      </w:r>
    </w:p>
    <w:p w:rsidR="0093773C" w:rsidRDefault="0093773C" w:rsidP="007C29D8">
      <w:pPr>
        <w:pStyle w:val="FootnoteText"/>
        <w:numPr>
          <w:ilvl w:val="0"/>
          <w:numId w:val="28"/>
        </w:numPr>
      </w:pPr>
      <w:r>
        <w:t>Reporting to regulatory authorities;</w:t>
      </w:r>
    </w:p>
    <w:p w:rsidR="0093773C" w:rsidRDefault="0093773C" w:rsidP="007C29D8">
      <w:pPr>
        <w:pStyle w:val="FootnoteText"/>
        <w:numPr>
          <w:ilvl w:val="0"/>
          <w:numId w:val="28"/>
        </w:numPr>
      </w:pPr>
      <w:r>
        <w:t>Continuous monitoring of the safety profiles of approved products including signal detection and updating of labelling;</w:t>
      </w:r>
    </w:p>
    <w:p w:rsidR="0093773C" w:rsidRDefault="0093773C" w:rsidP="007C29D8">
      <w:pPr>
        <w:pStyle w:val="FootnoteText"/>
        <w:numPr>
          <w:ilvl w:val="0"/>
          <w:numId w:val="28"/>
        </w:numPr>
      </w:pPr>
      <w:r>
        <w:t>Submission of PSURs;</w:t>
      </w:r>
    </w:p>
    <w:p w:rsidR="0093773C" w:rsidRPr="00F12492" w:rsidRDefault="0093773C" w:rsidP="007C29D8">
      <w:pPr>
        <w:pStyle w:val="FootnoteText"/>
        <w:numPr>
          <w:ilvl w:val="0"/>
          <w:numId w:val="28"/>
        </w:numPr>
        <w:rPr>
          <w:lang w:val="en-US"/>
        </w:rPr>
      </w:pPr>
      <w:r>
        <w:t>Meeting other local regulatory agency requirements.</w:t>
      </w:r>
    </w:p>
  </w:footnote>
  <w:footnote w:id="11">
    <w:p w:rsidR="0093773C" w:rsidRDefault="0093773C" w:rsidP="007C29D8">
      <w:pPr>
        <w:pStyle w:val="FootnoteText"/>
      </w:pPr>
      <w:r>
        <w:rPr>
          <w:rStyle w:val="FootnoteReference"/>
        </w:rPr>
        <w:footnoteRef/>
      </w:r>
      <w:r>
        <w:t xml:space="preserve"> </w:t>
      </w:r>
      <w:r w:rsidRPr="00997947">
        <w:rPr>
          <w:szCs w:val="18"/>
        </w:rPr>
        <w:t>Greinix, H.T</w:t>
      </w:r>
      <w:r>
        <w:rPr>
          <w:rStyle w:val="Hyperlink"/>
          <w:color w:val="auto"/>
          <w:szCs w:val="18"/>
          <w:u w:val="none"/>
        </w:rPr>
        <w:t xml:space="preserve">. </w:t>
      </w:r>
      <w:r>
        <w:rPr>
          <w:szCs w:val="18"/>
        </w:rPr>
        <w:t xml:space="preserve">et al. (2006), </w:t>
      </w:r>
      <w:r w:rsidRPr="00EC33F8">
        <w:rPr>
          <w:szCs w:val="18"/>
        </w:rPr>
        <w:t xml:space="preserve">The effect of intensified extracorporeal photochemotherapy on long-term survival in patients with severe acute graft-versus-host disease. </w:t>
      </w:r>
      <w:hyperlink r:id="rId1" w:tooltip="Haematologica." w:history="1">
        <w:r w:rsidRPr="00997947">
          <w:rPr>
            <w:rStyle w:val="Hyperlink"/>
            <w:i/>
            <w:color w:val="auto"/>
            <w:szCs w:val="18"/>
            <w:u w:val="none"/>
          </w:rPr>
          <w:t>Haematologica</w:t>
        </w:r>
        <w:r w:rsidRPr="00EC33F8">
          <w:rPr>
            <w:rStyle w:val="Hyperlink"/>
            <w:color w:val="auto"/>
            <w:szCs w:val="18"/>
            <w:u w:val="none"/>
          </w:rPr>
          <w:t>.</w:t>
        </w:r>
      </w:hyperlink>
      <w:r>
        <w:rPr>
          <w:szCs w:val="18"/>
        </w:rPr>
        <w:t xml:space="preserve"> 2006; 91</w:t>
      </w:r>
      <w:r w:rsidRPr="00EC33F8">
        <w:rPr>
          <w:szCs w:val="18"/>
        </w:rPr>
        <w:t>:405-</w:t>
      </w:r>
      <w:r>
        <w:rPr>
          <w:szCs w:val="18"/>
        </w:rPr>
        <w:t>40</w:t>
      </w:r>
      <w:r w:rsidRPr="00EC33F8">
        <w:rPr>
          <w:szCs w:val="18"/>
        </w:rPr>
        <w:t>8.</w:t>
      </w:r>
    </w:p>
  </w:footnote>
  <w:footnote w:id="12">
    <w:p w:rsidR="0093773C" w:rsidRDefault="0093773C" w:rsidP="007C29D8">
      <w:pPr>
        <w:pStyle w:val="FootnoteText"/>
      </w:pPr>
      <w:r>
        <w:rPr>
          <w:rStyle w:val="FootnoteReference"/>
        </w:rPr>
        <w:footnoteRef/>
      </w:r>
      <w:r>
        <w:t xml:space="preserve"> </w:t>
      </w:r>
      <w:r w:rsidRPr="00997947">
        <w:rPr>
          <w:szCs w:val="18"/>
          <w:lang w:val="en" w:eastAsia="en-AU"/>
        </w:rPr>
        <w:t>Ussowicz, M</w:t>
      </w:r>
      <w:r>
        <w:rPr>
          <w:rStyle w:val="Hyperlink"/>
          <w:color w:val="auto"/>
          <w:szCs w:val="18"/>
          <w:u w:val="none"/>
          <w:lang w:val="en" w:eastAsia="en-AU"/>
        </w:rPr>
        <w:t xml:space="preserve">. </w:t>
      </w:r>
      <w:r w:rsidRPr="00EC33F8">
        <w:rPr>
          <w:szCs w:val="18"/>
        </w:rPr>
        <w:t xml:space="preserve">et al. </w:t>
      </w:r>
      <w:r w:rsidRPr="00EC33F8">
        <w:rPr>
          <w:szCs w:val="18"/>
          <w:lang w:val="en" w:eastAsia="en-AU"/>
        </w:rPr>
        <w:t>Steroid-sparing effect of extracorporeal photopheresis in the therapy of graft-versus-host disease after allogeneic hematopoietic stem cell transplantation.</w:t>
      </w:r>
      <w:r w:rsidRPr="00EC33F8">
        <w:rPr>
          <w:szCs w:val="18"/>
        </w:rPr>
        <w:t xml:space="preserve"> </w:t>
      </w:r>
      <w:r w:rsidRPr="00997947">
        <w:rPr>
          <w:i/>
          <w:szCs w:val="18"/>
          <w:lang w:val="en" w:eastAsia="en-AU"/>
        </w:rPr>
        <w:t>Transplant Proc</w:t>
      </w:r>
      <w:r w:rsidRPr="00997947">
        <w:rPr>
          <w:szCs w:val="18"/>
          <w:lang w:val="en" w:eastAsia="en-AU"/>
        </w:rPr>
        <w:t>.</w:t>
      </w:r>
      <w:r>
        <w:rPr>
          <w:szCs w:val="18"/>
          <w:lang w:val="en" w:eastAsia="en-AU"/>
        </w:rPr>
        <w:t xml:space="preserve"> 2013; 45:3375-3380</w:t>
      </w:r>
      <w:r w:rsidRPr="00EC33F8">
        <w:rPr>
          <w:szCs w:val="18"/>
          <w:lang w:val="en" w:eastAsia="en-AU"/>
        </w:rPr>
        <w:t>.</w:t>
      </w:r>
    </w:p>
  </w:footnote>
  <w:footnote w:id="13">
    <w:p w:rsidR="0093773C" w:rsidRPr="00997947" w:rsidRDefault="0093773C" w:rsidP="007C29D8">
      <w:pPr>
        <w:pStyle w:val="FootnoteText"/>
      </w:pPr>
      <w:r w:rsidRPr="00997947">
        <w:rPr>
          <w:rStyle w:val="FootnoteReference"/>
        </w:rPr>
        <w:footnoteRef/>
      </w:r>
      <w:r w:rsidRPr="00997947">
        <w:t xml:space="preserve"> </w:t>
      </w:r>
      <w:r>
        <w:t xml:space="preserve">Alfred, A. </w:t>
      </w:r>
      <w:r w:rsidRPr="00997947">
        <w:t xml:space="preserve">et al. The role of extracorporeal photopheresis in the management of cutaneous T‐cell lymphoma, graft‐versus‐host disease and organ transplant rejection: a consensus statement update from the UK Photopheresis Society. </w:t>
      </w:r>
      <w:r w:rsidRPr="00997947">
        <w:rPr>
          <w:i/>
        </w:rPr>
        <w:t>BJH</w:t>
      </w:r>
      <w:r>
        <w:t>, 2017; 177</w:t>
      </w:r>
      <w:r w:rsidRPr="00997947">
        <w:t>: 287-310</w:t>
      </w:r>
      <w:r>
        <w:t>.</w:t>
      </w:r>
    </w:p>
  </w:footnote>
  <w:footnote w:id="14">
    <w:p w:rsidR="0093773C" w:rsidRDefault="0093773C" w:rsidP="007C29D8">
      <w:pPr>
        <w:pStyle w:val="FootnoteText"/>
      </w:pPr>
      <w:r>
        <w:rPr>
          <w:rStyle w:val="FootnoteReference"/>
        </w:rPr>
        <w:footnoteRef/>
      </w:r>
      <w:r>
        <w:t xml:space="preserve"> Levels of evidence (as per Alfred, A. et al 2017, above):</w:t>
      </w:r>
    </w:p>
    <w:p w:rsidR="0093773C" w:rsidRPr="009B123D" w:rsidRDefault="0093773C" w:rsidP="007C29D8">
      <w:pPr>
        <w:pStyle w:val="FootnoteText"/>
      </w:pPr>
      <w:r w:rsidRPr="009B123D">
        <w:t>II-ii Evidence obtained fro</w:t>
      </w:r>
      <w:r>
        <w:t>m well-designed cohort or case–</w:t>
      </w:r>
      <w:r w:rsidRPr="009B123D">
        <w:t>control analytical studies, preferably from more than one centre or research group.</w:t>
      </w:r>
    </w:p>
    <w:p w:rsidR="0093773C" w:rsidRDefault="0093773C" w:rsidP="007C29D8">
      <w:pPr>
        <w:pStyle w:val="FootnoteText"/>
      </w:pPr>
      <w:r w:rsidRPr="009B123D">
        <w:t>II-iii Evidence obtained from multiple time series wi</w:t>
      </w:r>
      <w:r>
        <w:t>th or without the intervention.</w:t>
      </w:r>
    </w:p>
  </w:footnote>
  <w:footnote w:id="15">
    <w:p w:rsidR="0093773C" w:rsidRDefault="0093773C" w:rsidP="007C29D8">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rsidR="0093773C" w:rsidRPr="00456765" w:rsidRDefault="0093773C" w:rsidP="007C29D8">
      <w:pPr>
        <w:pStyle w:val="FootnoteText"/>
        <w:rPr>
          <w:lang w:val="en-US"/>
        </w:rPr>
      </w:pPr>
      <w:r>
        <w:t xml:space="preserve">The Committee is established under Regulation 35 of the </w:t>
      </w:r>
      <w:r w:rsidRPr="00F75949">
        <w:rPr>
          <w:i/>
        </w:rPr>
        <w:t>Therapeutic Goods Regulations 1990</w:t>
      </w:r>
      <w:r>
        <w:t xml:space="preserve">.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73C" w:rsidRDefault="0093773C"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73C" w:rsidRDefault="0093773C">
    <w:pPr>
      <w:rPr>
        <w:noProof/>
        <w:lang w:eastAsia="en-AU"/>
      </w:rPr>
    </w:pPr>
    <w:r w:rsidRPr="00347824">
      <w:rPr>
        <w:noProof/>
        <w:lang w:eastAsia="en-AU"/>
      </w:rPr>
      <w:drawing>
        <wp:anchor distT="0" distB="0" distL="114300" distR="114300" simplePos="0" relativeHeight="251659264" behindDoc="1" locked="0" layoutInCell="1" allowOverlap="1" wp14:anchorId="7ED9F9D0" wp14:editId="0B51929B">
          <wp:simplePos x="0" y="0"/>
          <wp:positionH relativeFrom="column">
            <wp:posOffset>-1089660</wp:posOffset>
          </wp:positionH>
          <wp:positionV relativeFrom="paragraph">
            <wp:posOffset>-585470</wp:posOffset>
          </wp:positionV>
          <wp:extent cx="7572375" cy="10706100"/>
          <wp:effectExtent l="19050" t="0" r="0" b="0"/>
          <wp:wrapNone/>
          <wp:docPr id="7"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93773C" w:rsidRDefault="0093773C" w:rsidP="00593AD1">
    <w:pPr>
      <w:pStyle w:val="HeaderNoLine"/>
    </w:pPr>
    <w:r>
      <w:rPr>
        <w:noProof/>
        <w:lang w:eastAsia="en-AU"/>
      </w:rPr>
      <w:drawing>
        <wp:inline distT="0" distB="0" distL="0" distR="0" wp14:anchorId="53720951" wp14:editId="58DC4D6E">
          <wp:extent cx="5400675" cy="7639050"/>
          <wp:effectExtent l="0" t="0" r="9525" b="0"/>
          <wp:docPr id="8" name="Picture 8"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73C" w:rsidRDefault="009377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73C" w:rsidRDefault="0093773C">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73C" w:rsidRDefault="0093773C">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73C" w:rsidRDefault="009377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73C" w:rsidRDefault="0093773C"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73C" w:rsidRDefault="0093773C" w:rsidP="006E08B3">
    <w:r>
      <w:t>Therapeutic Goods Administration</w:t>
    </w:r>
  </w:p>
  <w:p w:rsidR="0093773C" w:rsidRDefault="0093773C"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1A6298BC"/>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17D76E0"/>
    <w:multiLevelType w:val="hybridMultilevel"/>
    <w:tmpl w:val="8BC0D6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FF3E8C"/>
    <w:multiLevelType w:val="hybridMultilevel"/>
    <w:tmpl w:val="928A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F46FF"/>
    <w:multiLevelType w:val="hybridMultilevel"/>
    <w:tmpl w:val="DF3C9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657B51"/>
    <w:multiLevelType w:val="hybridMultilevel"/>
    <w:tmpl w:val="47AE4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962752"/>
    <w:multiLevelType w:val="hybridMultilevel"/>
    <w:tmpl w:val="AEE87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0"/>
  </w:num>
  <w:num w:numId="28">
    <w:abstractNumId w:val="12"/>
  </w:num>
  <w:num w:numId="29">
    <w:abstractNumId w:val="6"/>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8"/>
  </w:num>
  <w:num w:numId="34">
    <w:abstractNumId w:val="9"/>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D8"/>
    <w:rsid w:val="00002031"/>
    <w:rsid w:val="00004734"/>
    <w:rsid w:val="00006B22"/>
    <w:rsid w:val="0001276A"/>
    <w:rsid w:val="000246AE"/>
    <w:rsid w:val="00025C67"/>
    <w:rsid w:val="00044772"/>
    <w:rsid w:val="0004541C"/>
    <w:rsid w:val="0005559E"/>
    <w:rsid w:val="000604D6"/>
    <w:rsid w:val="000734D8"/>
    <w:rsid w:val="00077775"/>
    <w:rsid w:val="00090471"/>
    <w:rsid w:val="00096AA7"/>
    <w:rsid w:val="000A0652"/>
    <w:rsid w:val="000A3AE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159F1"/>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693F"/>
    <w:rsid w:val="0018110E"/>
    <w:rsid w:val="00181684"/>
    <w:rsid w:val="001843C6"/>
    <w:rsid w:val="001850E0"/>
    <w:rsid w:val="001A03AF"/>
    <w:rsid w:val="001A2158"/>
    <w:rsid w:val="001A525F"/>
    <w:rsid w:val="001B09F9"/>
    <w:rsid w:val="001B5C90"/>
    <w:rsid w:val="001B6448"/>
    <w:rsid w:val="001C32CD"/>
    <w:rsid w:val="001D2984"/>
    <w:rsid w:val="001E07CF"/>
    <w:rsid w:val="001E59F1"/>
    <w:rsid w:val="001F2CEE"/>
    <w:rsid w:val="001F49EB"/>
    <w:rsid w:val="001F6CBA"/>
    <w:rsid w:val="00201D4E"/>
    <w:rsid w:val="002076C9"/>
    <w:rsid w:val="00220B8A"/>
    <w:rsid w:val="002257F3"/>
    <w:rsid w:val="00233456"/>
    <w:rsid w:val="002339A5"/>
    <w:rsid w:val="00257848"/>
    <w:rsid w:val="0027084A"/>
    <w:rsid w:val="00280265"/>
    <w:rsid w:val="00286434"/>
    <w:rsid w:val="00286C59"/>
    <w:rsid w:val="00291957"/>
    <w:rsid w:val="002942D1"/>
    <w:rsid w:val="0029501A"/>
    <w:rsid w:val="002A3721"/>
    <w:rsid w:val="002B1638"/>
    <w:rsid w:val="002B3624"/>
    <w:rsid w:val="002D0952"/>
    <w:rsid w:val="002E40B3"/>
    <w:rsid w:val="002E4C9A"/>
    <w:rsid w:val="002F11F8"/>
    <w:rsid w:val="002F3F56"/>
    <w:rsid w:val="002F44B5"/>
    <w:rsid w:val="002F5122"/>
    <w:rsid w:val="00311AC0"/>
    <w:rsid w:val="003176FC"/>
    <w:rsid w:val="00320081"/>
    <w:rsid w:val="0032583B"/>
    <w:rsid w:val="00327883"/>
    <w:rsid w:val="00332B53"/>
    <w:rsid w:val="00335504"/>
    <w:rsid w:val="00340C18"/>
    <w:rsid w:val="003442FD"/>
    <w:rsid w:val="00347824"/>
    <w:rsid w:val="00350567"/>
    <w:rsid w:val="003521E8"/>
    <w:rsid w:val="00370CE3"/>
    <w:rsid w:val="003728F3"/>
    <w:rsid w:val="003735BC"/>
    <w:rsid w:val="0037496E"/>
    <w:rsid w:val="00383221"/>
    <w:rsid w:val="00386150"/>
    <w:rsid w:val="003874CE"/>
    <w:rsid w:val="00390900"/>
    <w:rsid w:val="003A7F6C"/>
    <w:rsid w:val="003B4D60"/>
    <w:rsid w:val="003B7E39"/>
    <w:rsid w:val="003C58DC"/>
    <w:rsid w:val="003D1E62"/>
    <w:rsid w:val="003E0B99"/>
    <w:rsid w:val="003E2486"/>
    <w:rsid w:val="003E3208"/>
    <w:rsid w:val="003F0B04"/>
    <w:rsid w:val="003F3EAB"/>
    <w:rsid w:val="0040134E"/>
    <w:rsid w:val="004334C7"/>
    <w:rsid w:val="00440A2D"/>
    <w:rsid w:val="00441C3F"/>
    <w:rsid w:val="00444D1A"/>
    <w:rsid w:val="0045186A"/>
    <w:rsid w:val="004564A7"/>
    <w:rsid w:val="00456765"/>
    <w:rsid w:val="004617BF"/>
    <w:rsid w:val="00463658"/>
    <w:rsid w:val="004637A0"/>
    <w:rsid w:val="004722CC"/>
    <w:rsid w:val="00490483"/>
    <w:rsid w:val="004936E4"/>
    <w:rsid w:val="00494E60"/>
    <w:rsid w:val="00497487"/>
    <w:rsid w:val="004A2771"/>
    <w:rsid w:val="004A6189"/>
    <w:rsid w:val="004A7390"/>
    <w:rsid w:val="004B7B76"/>
    <w:rsid w:val="004C239D"/>
    <w:rsid w:val="004C2DCA"/>
    <w:rsid w:val="004C61D2"/>
    <w:rsid w:val="004F0C4A"/>
    <w:rsid w:val="004F0F38"/>
    <w:rsid w:val="004F47D6"/>
    <w:rsid w:val="00500337"/>
    <w:rsid w:val="00501921"/>
    <w:rsid w:val="00530354"/>
    <w:rsid w:val="0053625B"/>
    <w:rsid w:val="00543160"/>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68B6"/>
    <w:rsid w:val="005C5570"/>
    <w:rsid w:val="005C79A4"/>
    <w:rsid w:val="005D5442"/>
    <w:rsid w:val="00603F32"/>
    <w:rsid w:val="00605AD4"/>
    <w:rsid w:val="006136D7"/>
    <w:rsid w:val="00625A6E"/>
    <w:rsid w:val="00632398"/>
    <w:rsid w:val="00640FC3"/>
    <w:rsid w:val="00642020"/>
    <w:rsid w:val="006430EE"/>
    <w:rsid w:val="0065337B"/>
    <w:rsid w:val="0065419D"/>
    <w:rsid w:val="006603BC"/>
    <w:rsid w:val="006604D8"/>
    <w:rsid w:val="00664A5B"/>
    <w:rsid w:val="0066735C"/>
    <w:rsid w:val="006763D2"/>
    <w:rsid w:val="00680C08"/>
    <w:rsid w:val="006916A0"/>
    <w:rsid w:val="006931B1"/>
    <w:rsid w:val="006A15C0"/>
    <w:rsid w:val="006A58A8"/>
    <w:rsid w:val="006C3E2A"/>
    <w:rsid w:val="006C642F"/>
    <w:rsid w:val="006D03E5"/>
    <w:rsid w:val="006D5D3E"/>
    <w:rsid w:val="006E08B3"/>
    <w:rsid w:val="006F17AC"/>
    <w:rsid w:val="006F25B8"/>
    <w:rsid w:val="006F572E"/>
    <w:rsid w:val="007046D6"/>
    <w:rsid w:val="00705DB0"/>
    <w:rsid w:val="00722B57"/>
    <w:rsid w:val="00730F8A"/>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46F5"/>
    <w:rsid w:val="007A6505"/>
    <w:rsid w:val="007B6132"/>
    <w:rsid w:val="007B6E9F"/>
    <w:rsid w:val="007C1216"/>
    <w:rsid w:val="007C1AF7"/>
    <w:rsid w:val="007C29D8"/>
    <w:rsid w:val="007C6B9B"/>
    <w:rsid w:val="00805D27"/>
    <w:rsid w:val="00806DCB"/>
    <w:rsid w:val="00821776"/>
    <w:rsid w:val="008321F5"/>
    <w:rsid w:val="00832369"/>
    <w:rsid w:val="00834660"/>
    <w:rsid w:val="00836BC2"/>
    <w:rsid w:val="0085156D"/>
    <w:rsid w:val="00852B28"/>
    <w:rsid w:val="0085641B"/>
    <w:rsid w:val="00857136"/>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E7846"/>
    <w:rsid w:val="008F02E5"/>
    <w:rsid w:val="008F1CCC"/>
    <w:rsid w:val="008F2967"/>
    <w:rsid w:val="008F6943"/>
    <w:rsid w:val="00901B71"/>
    <w:rsid w:val="00902A21"/>
    <w:rsid w:val="00905871"/>
    <w:rsid w:val="0091523F"/>
    <w:rsid w:val="00917053"/>
    <w:rsid w:val="00920330"/>
    <w:rsid w:val="009219D7"/>
    <w:rsid w:val="00922D53"/>
    <w:rsid w:val="00923B70"/>
    <w:rsid w:val="00924482"/>
    <w:rsid w:val="00930237"/>
    <w:rsid w:val="0093773C"/>
    <w:rsid w:val="00937C17"/>
    <w:rsid w:val="00940A89"/>
    <w:rsid w:val="00941F77"/>
    <w:rsid w:val="00946EA5"/>
    <w:rsid w:val="00963C08"/>
    <w:rsid w:val="009752A5"/>
    <w:rsid w:val="0098585A"/>
    <w:rsid w:val="009A4CED"/>
    <w:rsid w:val="009A5DC4"/>
    <w:rsid w:val="009A5E85"/>
    <w:rsid w:val="009A690D"/>
    <w:rsid w:val="009B1D12"/>
    <w:rsid w:val="009B416B"/>
    <w:rsid w:val="009C4BD5"/>
    <w:rsid w:val="009D7B77"/>
    <w:rsid w:val="009E0BB0"/>
    <w:rsid w:val="009E3FBB"/>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60BAD"/>
    <w:rsid w:val="00A77F87"/>
    <w:rsid w:val="00A80B5B"/>
    <w:rsid w:val="00A84E36"/>
    <w:rsid w:val="00A964D1"/>
    <w:rsid w:val="00AA0ED0"/>
    <w:rsid w:val="00AC2B40"/>
    <w:rsid w:val="00AC2BB2"/>
    <w:rsid w:val="00AC2C3C"/>
    <w:rsid w:val="00AC512D"/>
    <w:rsid w:val="00AD0083"/>
    <w:rsid w:val="00AD3935"/>
    <w:rsid w:val="00AE65EB"/>
    <w:rsid w:val="00AE67A7"/>
    <w:rsid w:val="00AF1D94"/>
    <w:rsid w:val="00AF60C5"/>
    <w:rsid w:val="00B009C6"/>
    <w:rsid w:val="00B01548"/>
    <w:rsid w:val="00B130C5"/>
    <w:rsid w:val="00B13EBD"/>
    <w:rsid w:val="00B21D29"/>
    <w:rsid w:val="00B25034"/>
    <w:rsid w:val="00B33588"/>
    <w:rsid w:val="00B33863"/>
    <w:rsid w:val="00B37D17"/>
    <w:rsid w:val="00B4175E"/>
    <w:rsid w:val="00B41C85"/>
    <w:rsid w:val="00B452CE"/>
    <w:rsid w:val="00B54C25"/>
    <w:rsid w:val="00B76B91"/>
    <w:rsid w:val="00B77EB1"/>
    <w:rsid w:val="00B811C6"/>
    <w:rsid w:val="00B855B0"/>
    <w:rsid w:val="00B92E08"/>
    <w:rsid w:val="00BC622A"/>
    <w:rsid w:val="00BE0A78"/>
    <w:rsid w:val="00BE79F0"/>
    <w:rsid w:val="00BF046D"/>
    <w:rsid w:val="00BF1190"/>
    <w:rsid w:val="00BF3774"/>
    <w:rsid w:val="00BF5D04"/>
    <w:rsid w:val="00C009AA"/>
    <w:rsid w:val="00C1164D"/>
    <w:rsid w:val="00C16861"/>
    <w:rsid w:val="00C346AB"/>
    <w:rsid w:val="00C404A6"/>
    <w:rsid w:val="00C40A36"/>
    <w:rsid w:val="00C44419"/>
    <w:rsid w:val="00C45E7B"/>
    <w:rsid w:val="00C471B1"/>
    <w:rsid w:val="00C52E24"/>
    <w:rsid w:val="00C6316B"/>
    <w:rsid w:val="00C634A9"/>
    <w:rsid w:val="00C64586"/>
    <w:rsid w:val="00C70D53"/>
    <w:rsid w:val="00C73D0B"/>
    <w:rsid w:val="00C772FF"/>
    <w:rsid w:val="00C80137"/>
    <w:rsid w:val="00C801AF"/>
    <w:rsid w:val="00C80256"/>
    <w:rsid w:val="00C94CD4"/>
    <w:rsid w:val="00C9747E"/>
    <w:rsid w:val="00CB6BC0"/>
    <w:rsid w:val="00CC1B7C"/>
    <w:rsid w:val="00CC727F"/>
    <w:rsid w:val="00CF15C3"/>
    <w:rsid w:val="00CF2B6F"/>
    <w:rsid w:val="00CF2F3E"/>
    <w:rsid w:val="00CF58B6"/>
    <w:rsid w:val="00D0062D"/>
    <w:rsid w:val="00D017ED"/>
    <w:rsid w:val="00D040D3"/>
    <w:rsid w:val="00D04C65"/>
    <w:rsid w:val="00D153D8"/>
    <w:rsid w:val="00D201D2"/>
    <w:rsid w:val="00D224FE"/>
    <w:rsid w:val="00D23139"/>
    <w:rsid w:val="00D425BB"/>
    <w:rsid w:val="00D453FA"/>
    <w:rsid w:val="00D6493E"/>
    <w:rsid w:val="00D7195D"/>
    <w:rsid w:val="00D7301E"/>
    <w:rsid w:val="00D83AE1"/>
    <w:rsid w:val="00D855D4"/>
    <w:rsid w:val="00D902C9"/>
    <w:rsid w:val="00D93466"/>
    <w:rsid w:val="00DA1124"/>
    <w:rsid w:val="00DA64CB"/>
    <w:rsid w:val="00DB06B8"/>
    <w:rsid w:val="00DB20FC"/>
    <w:rsid w:val="00DB6124"/>
    <w:rsid w:val="00DB750B"/>
    <w:rsid w:val="00DB75B7"/>
    <w:rsid w:val="00DC0A2F"/>
    <w:rsid w:val="00DC1948"/>
    <w:rsid w:val="00DC6E02"/>
    <w:rsid w:val="00DD28CD"/>
    <w:rsid w:val="00DE02AE"/>
    <w:rsid w:val="00DE39D1"/>
    <w:rsid w:val="00DF1D7F"/>
    <w:rsid w:val="00DF4BE4"/>
    <w:rsid w:val="00E02382"/>
    <w:rsid w:val="00E02FB4"/>
    <w:rsid w:val="00E13FC7"/>
    <w:rsid w:val="00E20571"/>
    <w:rsid w:val="00E235F7"/>
    <w:rsid w:val="00E23659"/>
    <w:rsid w:val="00E239D4"/>
    <w:rsid w:val="00E26130"/>
    <w:rsid w:val="00E40B22"/>
    <w:rsid w:val="00E44ED1"/>
    <w:rsid w:val="00E45619"/>
    <w:rsid w:val="00E4588F"/>
    <w:rsid w:val="00E46DA3"/>
    <w:rsid w:val="00E51BB1"/>
    <w:rsid w:val="00E55CB0"/>
    <w:rsid w:val="00E624A5"/>
    <w:rsid w:val="00E64BA4"/>
    <w:rsid w:val="00E7344E"/>
    <w:rsid w:val="00E82665"/>
    <w:rsid w:val="00EB0798"/>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2670"/>
    <w:rsid w:val="00F14B27"/>
    <w:rsid w:val="00F3148D"/>
    <w:rsid w:val="00F325C5"/>
    <w:rsid w:val="00F32FE0"/>
    <w:rsid w:val="00F35298"/>
    <w:rsid w:val="00F47333"/>
    <w:rsid w:val="00F47E37"/>
    <w:rsid w:val="00F53C07"/>
    <w:rsid w:val="00F54B65"/>
    <w:rsid w:val="00F640B6"/>
    <w:rsid w:val="00F66DF2"/>
    <w:rsid w:val="00F75949"/>
    <w:rsid w:val="00F80E40"/>
    <w:rsid w:val="00F848D9"/>
    <w:rsid w:val="00FA5069"/>
    <w:rsid w:val="00FA5B82"/>
    <w:rsid w:val="00FA639E"/>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B3D76D"/>
  <w15:docId w15:val="{DB3CBDF5-04C6-4EDF-9361-653D4A13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8"/>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320081"/>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1159F1"/>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1159F1"/>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qFormat/>
    <w:rsid w:val="001159F1"/>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1159F1"/>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table" w:styleId="MediumGrid3-Accent2">
    <w:name w:val="Medium Grid 3 Accent 2"/>
    <w:basedOn w:val="TableNormal"/>
    <w:uiPriority w:val="60"/>
    <w:rsid w:val="007C29D8"/>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6">
    <w:name w:val="Medium Shading 1 Accent 6"/>
    <w:basedOn w:val="TableNormal"/>
    <w:uiPriority w:val="68"/>
    <w:rsid w:val="007C29D8"/>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GridTable31">
    <w:name w:val="Grid Table 31"/>
    <w:basedOn w:val="Heading1"/>
    <w:next w:val="Normal"/>
    <w:uiPriority w:val="39"/>
    <w:semiHidden/>
    <w:unhideWhenUsed/>
    <w:qFormat/>
    <w:rsid w:val="007C29D8"/>
    <w:pPr>
      <w:framePr w:wrap="around" w:hAnchor="text"/>
      <w:spacing w:before="480" w:after="0" w:line="276" w:lineRule="auto"/>
      <w:outlineLvl w:val="9"/>
    </w:pPr>
    <w:rPr>
      <w:rFonts w:ascii="Arial" w:hAnsi="Arial" w:cs="Times New Roman"/>
      <w:color w:val="002035"/>
      <w:sz w:val="28"/>
      <w:lang w:val="en-US"/>
    </w:rPr>
  </w:style>
  <w:style w:type="character" w:customStyle="1" w:styleId="TabletextChar">
    <w:name w:val="Table text Char"/>
    <w:link w:val="Tabletext"/>
    <w:rsid w:val="007C29D8"/>
    <w:rPr>
      <w:rFonts w:ascii="Cambria" w:eastAsia="Cambria" w:hAnsi="Cambria"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3.png"/><Relationship Id="rId22" Type="http://schemas.openxmlformats.org/officeDocument/2006/relationships/hyperlink" Target="https://www.tga.gov.au"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1653126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2568\t0Q347QF.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170A-F050-4078-91DE-5F83C76F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t0Q347QF.DOTX</Template>
  <TotalTime>251</TotalTime>
  <Pages>29</Pages>
  <Words>9647</Words>
  <Characters>54991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64509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Methoxsalen</dc:title>
  <dc:subject>prescription medicine regulation</dc:subject>
  <dc:creator>Therapeutic Goods Administration</dc:creator>
  <cp:keywords>AusPARs</cp:keywords>
  <cp:lastPrinted>2019-08-14T04:30:00Z</cp:lastPrinted>
  <dcterms:created xsi:type="dcterms:W3CDTF">2019-11-14T00:04:00Z</dcterms:created>
  <dcterms:modified xsi:type="dcterms:W3CDTF">2019-12-11T05:46:00Z</dcterms:modified>
  <cp:category>external publication</cp:category>
</cp:coreProperties>
</file>