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0E552D" w:rsidRPr="00487162" w:rsidTr="00BF1190">
        <w:trPr>
          <w:trHeight w:val="1863"/>
        </w:trPr>
        <w:tc>
          <w:tcPr>
            <w:tcW w:w="3652" w:type="dxa"/>
            <w:tcBorders>
              <w:top w:val="nil"/>
              <w:left w:val="nil"/>
              <w:bottom w:val="nil"/>
              <w:right w:val="nil"/>
            </w:tcBorders>
          </w:tcPr>
          <w:p w:rsidR="000E552D" w:rsidRPr="00096AA7" w:rsidRDefault="00F8648B" w:rsidP="0063641F">
            <w:pPr>
              <w:rPr>
                <w:rFonts w:ascii="Arial" w:hAnsi="Arial" w:cs="Arial"/>
                <w:b/>
                <w:color w:val="002C47"/>
                <w:sz w:val="36"/>
                <w:szCs w:val="36"/>
              </w:rPr>
            </w:pPr>
            <w:r>
              <w:rPr>
                <w:rFonts w:ascii="Arial" w:hAnsi="Arial" w:cs="Arial"/>
                <w:b/>
                <w:color w:val="002C47"/>
                <w:sz w:val="36"/>
                <w:szCs w:val="36"/>
              </w:rPr>
              <w:t xml:space="preserve">October </w:t>
            </w:r>
            <w:r w:rsidR="002C63C4">
              <w:rPr>
                <w:rFonts w:ascii="Arial" w:hAnsi="Arial" w:cs="Arial"/>
                <w:b/>
                <w:color w:val="002C47"/>
                <w:sz w:val="36"/>
                <w:szCs w:val="36"/>
              </w:rPr>
              <w:t>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0E552D" w:rsidRPr="00A964D1" w:rsidTr="0032583B">
        <w:trPr>
          <w:trHeight w:val="868"/>
        </w:trPr>
        <w:tc>
          <w:tcPr>
            <w:tcW w:w="9079" w:type="dxa"/>
          </w:tcPr>
          <w:p w:rsidR="000E552D" w:rsidRPr="00A964D1" w:rsidRDefault="000E552D" w:rsidP="006270FF">
            <w:pPr>
              <w:pStyle w:val="Title"/>
              <w:rPr>
                <w:color w:val="FFFFFF" w:themeColor="background1"/>
              </w:rPr>
            </w:pPr>
            <w:r w:rsidRPr="00A964D1">
              <w:rPr>
                <w:color w:val="FFFFFF" w:themeColor="background1"/>
              </w:rPr>
              <w:t xml:space="preserve">Australian Public Assessment Report for </w:t>
            </w:r>
            <w:r w:rsidR="006270FF">
              <w:rPr>
                <w:noProof/>
                <w:color w:val="FFFFFF" w:themeColor="background1"/>
              </w:rPr>
              <w:t>mifepristone</w:t>
            </w:r>
            <w:r w:rsidRPr="00EA02E6">
              <w:rPr>
                <w:noProof/>
                <w:color w:val="FFFFFF" w:themeColor="background1"/>
              </w:rPr>
              <w:t>/mis</w:t>
            </w:r>
            <w:r w:rsidR="003B049B">
              <w:rPr>
                <w:noProof/>
                <w:color w:val="FFFFFF" w:themeColor="background1"/>
              </w:rPr>
              <w:t>o</w:t>
            </w:r>
            <w:r w:rsidRPr="00EA02E6">
              <w:rPr>
                <w:noProof/>
                <w:color w:val="FFFFFF" w:themeColor="background1"/>
              </w:rPr>
              <w:t>prostol</w:t>
            </w:r>
          </w:p>
        </w:tc>
      </w:tr>
      <w:tr w:rsidR="000E552D" w:rsidRPr="00B64760" w:rsidTr="0032583B">
        <w:tc>
          <w:tcPr>
            <w:tcW w:w="9079" w:type="dxa"/>
          </w:tcPr>
          <w:p w:rsidR="000E552D" w:rsidRPr="008E7846" w:rsidRDefault="000E552D" w:rsidP="006270FF">
            <w:pPr>
              <w:pStyle w:val="Subtitle"/>
              <w:rPr>
                <w:color w:val="FFFFFF" w:themeColor="background1"/>
              </w:rPr>
            </w:pPr>
            <w:r w:rsidRPr="008E7846">
              <w:rPr>
                <w:color w:val="FFFFFF" w:themeColor="background1"/>
              </w:rPr>
              <w:t xml:space="preserve">Proprietary Product Name: </w:t>
            </w:r>
            <w:r w:rsidRPr="00EA02E6">
              <w:rPr>
                <w:noProof/>
                <w:color w:val="FFFFFF" w:themeColor="background1"/>
              </w:rPr>
              <w:t>MS-2 S</w:t>
            </w:r>
            <w:r w:rsidR="006270FF">
              <w:rPr>
                <w:noProof/>
                <w:color w:val="FFFFFF" w:themeColor="background1"/>
              </w:rPr>
              <w:t>tep</w:t>
            </w:r>
          </w:p>
        </w:tc>
      </w:tr>
      <w:tr w:rsidR="000E552D" w:rsidRPr="00B64760" w:rsidTr="0032583B">
        <w:trPr>
          <w:trHeight w:val="486"/>
        </w:trPr>
        <w:tc>
          <w:tcPr>
            <w:tcW w:w="9079" w:type="dxa"/>
          </w:tcPr>
          <w:p w:rsidR="000E552D" w:rsidRPr="008E7846" w:rsidRDefault="000E552D" w:rsidP="0091264B">
            <w:pPr>
              <w:pStyle w:val="Subtitle"/>
              <w:rPr>
                <w:color w:val="FFFFFF" w:themeColor="background1"/>
              </w:rPr>
            </w:pPr>
            <w:r w:rsidRPr="008E7846">
              <w:rPr>
                <w:color w:val="FFFFFF" w:themeColor="background1"/>
              </w:rPr>
              <w:t xml:space="preserve">Sponsor: </w:t>
            </w:r>
            <w:r w:rsidRPr="00EA02E6">
              <w:rPr>
                <w:noProof/>
                <w:color w:val="FFFFFF" w:themeColor="background1"/>
              </w:rPr>
              <w:t>MS Health Pty Ltd</w:t>
            </w:r>
          </w:p>
        </w:tc>
      </w:tr>
    </w:tbl>
    <w:p w:rsidR="000E552D" w:rsidRPr="0085156D" w:rsidRDefault="000E552D" w:rsidP="0085156D">
      <w:r w:rsidRPr="0085156D">
        <w:br w:type="page"/>
      </w:r>
    </w:p>
    <w:p w:rsidR="000E552D" w:rsidRPr="001F6CBA" w:rsidRDefault="000E552D" w:rsidP="008E7846">
      <w:pPr>
        <w:pStyle w:val="NonTOCHeading2"/>
      </w:pPr>
      <w:r w:rsidRPr="001F6CBA">
        <w:lastRenderedPageBreak/>
        <w:t>About the Therapeutic Goods Administration (TGA)</w:t>
      </w:r>
    </w:p>
    <w:p w:rsidR="000E552D" w:rsidRDefault="000E552D" w:rsidP="008E7846">
      <w:pPr>
        <w:pStyle w:val="ListBullet"/>
        <w:numPr>
          <w:ilvl w:val="0"/>
          <w:numId w:val="3"/>
        </w:numPr>
        <w:ind w:left="357" w:hanging="357"/>
      </w:pPr>
      <w:r>
        <w:t>The Therapeutic Goods Administration (TGA) is part of the Australian Government Department of Health and is responsible for regulating medicines and medical devices.</w:t>
      </w:r>
    </w:p>
    <w:p w:rsidR="000E552D" w:rsidRDefault="000E552D" w:rsidP="008E7846">
      <w:pPr>
        <w:pStyle w:val="ListBullet"/>
        <w:numPr>
          <w:ilvl w:val="0"/>
          <w:numId w:val="3"/>
        </w:numPr>
        <w:ind w:left="357" w:hanging="357"/>
      </w:pPr>
      <w:r>
        <w:t xml:space="preserve">The TGA administers the </w:t>
      </w:r>
      <w:r w:rsidRPr="00F640B6">
        <w:rPr>
          <w:i/>
        </w:rPr>
        <w:t>Therapeutic Goods Act 1989</w:t>
      </w:r>
      <w:r>
        <w:t xml:space="preserve"> (the Act), applying a risk management approach designed to ensure therapeutic goods supplied in Australia meet acceptable standards of quality, safety and efficacy (performance), when necessary.</w:t>
      </w:r>
    </w:p>
    <w:p w:rsidR="000E552D" w:rsidRDefault="000E552D"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0E552D" w:rsidRDefault="000E552D"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0E552D" w:rsidRDefault="000E552D" w:rsidP="008E7846">
      <w:pPr>
        <w:pStyle w:val="ListBullet"/>
        <w:numPr>
          <w:ilvl w:val="0"/>
          <w:numId w:val="3"/>
        </w:numPr>
        <w:ind w:left="357" w:hanging="357"/>
      </w:pPr>
      <w:r>
        <w:t>To report a problem with a medicine or medical device, please see the information on the TGA website &lt;</w:t>
      </w:r>
      <w:hyperlink r:id="rId9" w:history="1">
        <w:r w:rsidRPr="003A5406">
          <w:rPr>
            <w:rStyle w:val="Hyperlink"/>
          </w:rPr>
          <w:t>http://www.tga.gov.au</w:t>
        </w:r>
      </w:hyperlink>
      <w:r>
        <w:t>&gt;.</w:t>
      </w:r>
    </w:p>
    <w:p w:rsidR="000E552D" w:rsidRDefault="000E552D" w:rsidP="008E7846">
      <w:pPr>
        <w:pStyle w:val="NonTOCHeading2"/>
      </w:pPr>
      <w:r>
        <w:t xml:space="preserve">About </w:t>
      </w:r>
      <w:proofErr w:type="spellStart"/>
      <w:r>
        <w:t>AusPARs</w:t>
      </w:r>
      <w:proofErr w:type="spellEnd"/>
    </w:p>
    <w:p w:rsidR="000E552D" w:rsidRDefault="000E552D" w:rsidP="008E7846">
      <w:pPr>
        <w:pStyle w:val="ListBullet"/>
        <w:numPr>
          <w:ilvl w:val="0"/>
          <w:numId w:val="3"/>
        </w:numPr>
        <w:ind w:left="357" w:hanging="357"/>
      </w:pPr>
      <w:r>
        <w:t>An Australian Public Assessment Record (</w:t>
      </w:r>
      <w:proofErr w:type="spellStart"/>
      <w:r>
        <w:t>AusPAR</w:t>
      </w:r>
      <w:proofErr w:type="spellEnd"/>
      <w:r>
        <w:t xml:space="preserve">) provides information about the evaluation of a prescription medicine and the considerations that led the TGA to approve or not approve a prescription medicine submission. </w:t>
      </w:r>
    </w:p>
    <w:p w:rsidR="000E552D" w:rsidRDefault="000E552D" w:rsidP="008E7846">
      <w:pPr>
        <w:pStyle w:val="ListBullet"/>
        <w:numPr>
          <w:ilvl w:val="0"/>
          <w:numId w:val="3"/>
        </w:numPr>
        <w:ind w:left="357" w:hanging="357"/>
      </w:pPr>
      <w:proofErr w:type="spellStart"/>
      <w:r>
        <w:t>AusPARs</w:t>
      </w:r>
      <w:proofErr w:type="spellEnd"/>
      <w:r>
        <w:t xml:space="preserve"> are prepared and published by the TGA.</w:t>
      </w:r>
    </w:p>
    <w:p w:rsidR="000E552D" w:rsidRDefault="000E552D"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rsidR="000E552D" w:rsidRDefault="000E552D" w:rsidP="008E7846">
      <w:pPr>
        <w:pStyle w:val="ListBullet"/>
        <w:numPr>
          <w:ilvl w:val="0"/>
          <w:numId w:val="3"/>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rsidR="000E552D" w:rsidRDefault="000E552D"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rsidR="000E552D" w:rsidRPr="00DF1D7F" w:rsidRDefault="000E552D" w:rsidP="00C45465">
      <w:pPr>
        <w:pStyle w:val="LegalSubheading"/>
        <w:spacing w:before="3360"/>
      </w:pPr>
      <w:r w:rsidRPr="00DF1D7F">
        <w:t>Copyright</w:t>
      </w:r>
    </w:p>
    <w:p w:rsidR="000E552D" w:rsidRDefault="000E552D" w:rsidP="00924482">
      <w:pPr>
        <w:pStyle w:val="LegalCopy"/>
        <w:sectPr w:rsidR="000E552D"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r w:rsidRPr="00191B3B">
        <w:rPr>
          <w:rFonts w:cs="Arial"/>
          <w:lang w:val="en-GB"/>
        </w:rPr>
        <w:t>© Comm</w:t>
      </w:r>
      <w:r>
        <w:rPr>
          <w:rFonts w:cs="Arial"/>
          <w:lang w:val="en-GB"/>
        </w:rPr>
        <w:t>onwealth of Australia 2014</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3" w:history="1">
        <w:r w:rsidRPr="00191B3B">
          <w:rPr>
            <w:rStyle w:val="Hyperlink"/>
            <w:rFonts w:cs="Arial"/>
            <w:lang w:val="en-GB"/>
          </w:rPr>
          <w:t>tga.copyright@tga.gov.au</w:t>
        </w:r>
      </w:hyperlink>
      <w:r w:rsidRPr="00191B3B">
        <w:rPr>
          <w:rFonts w:cs="Arial"/>
        </w:rPr>
        <w:t>&gt;.</w:t>
      </w:r>
    </w:p>
    <w:sdt>
      <w:sdtPr>
        <w:rPr>
          <w:rFonts w:ascii="Cambria" w:hAnsi="Cambria" w:cs="Times New Roman"/>
          <w:b w:val="0"/>
          <w:sz w:val="22"/>
        </w:rPr>
        <w:id w:val="-241022098"/>
        <w:docPartObj>
          <w:docPartGallery w:val="Table of Contents"/>
          <w:docPartUnique/>
        </w:docPartObj>
      </w:sdtPr>
      <w:sdtEndPr>
        <w:rPr>
          <w:rFonts w:ascii="Arial" w:hAnsi="Arial"/>
          <w:b/>
          <w:sz w:val="28"/>
        </w:rPr>
      </w:sdtEndPr>
      <w:sdtContent>
        <w:p w:rsidR="00BC0D9D" w:rsidRDefault="00BC0D9D" w:rsidP="0016588E">
          <w:pPr>
            <w:pStyle w:val="NonTOCheading20"/>
          </w:pPr>
          <w:r w:rsidRPr="008F69E8">
            <w:t>Contents</w:t>
          </w:r>
        </w:p>
        <w:p w:rsidR="00B7103C" w:rsidRDefault="00BC0D9D">
          <w:pPr>
            <w:pStyle w:val="TOC1"/>
            <w:rPr>
              <w:rFonts w:asciiTheme="minorHAnsi" w:eastAsiaTheme="minorEastAsia" w:hAnsiTheme="minorHAnsi" w:cstheme="minorBidi"/>
              <w:b w:val="0"/>
              <w:noProof/>
              <w:sz w:val="22"/>
              <w:lang w:eastAsia="en-AU"/>
            </w:rPr>
          </w:pPr>
          <w:r>
            <w:rPr>
              <w:rFonts w:cstheme="minorBidi"/>
              <w:b w:val="0"/>
              <w:sz w:val="28"/>
            </w:rPr>
            <w:fldChar w:fldCharType="begin"/>
          </w:r>
          <w:r>
            <w:rPr>
              <w:b w:val="0"/>
              <w:sz w:val="28"/>
            </w:rPr>
            <w:instrText xml:space="preserve"> TOC \h \z \u \t "Heading 2,1,Heading 3,2,Heading 4,3,Heading 5,4" </w:instrText>
          </w:r>
          <w:r>
            <w:rPr>
              <w:rFonts w:cstheme="minorBidi"/>
              <w:b w:val="0"/>
              <w:sz w:val="28"/>
            </w:rPr>
            <w:fldChar w:fldCharType="separate"/>
          </w:r>
          <w:hyperlink w:anchor="_Toc403987278" w:history="1">
            <w:r w:rsidR="00B7103C" w:rsidRPr="0064095F">
              <w:rPr>
                <w:rStyle w:val="Hyperlink"/>
                <w:noProof/>
              </w:rPr>
              <w:t>List of the most common abbreviations used in this AusPAR</w:t>
            </w:r>
            <w:r w:rsidR="00B7103C">
              <w:rPr>
                <w:noProof/>
                <w:webHidden/>
              </w:rPr>
              <w:tab/>
            </w:r>
            <w:r w:rsidR="00B7103C">
              <w:rPr>
                <w:noProof/>
                <w:webHidden/>
              </w:rPr>
              <w:fldChar w:fldCharType="begin"/>
            </w:r>
            <w:r w:rsidR="00B7103C">
              <w:rPr>
                <w:noProof/>
                <w:webHidden/>
              </w:rPr>
              <w:instrText xml:space="preserve"> PAGEREF _Toc403987278 \h </w:instrText>
            </w:r>
            <w:r w:rsidR="00B7103C">
              <w:rPr>
                <w:noProof/>
                <w:webHidden/>
              </w:rPr>
            </w:r>
            <w:r w:rsidR="00B7103C">
              <w:rPr>
                <w:noProof/>
                <w:webHidden/>
              </w:rPr>
              <w:fldChar w:fldCharType="separate"/>
            </w:r>
            <w:r w:rsidR="00B7103C">
              <w:rPr>
                <w:noProof/>
                <w:webHidden/>
              </w:rPr>
              <w:t>6</w:t>
            </w:r>
            <w:r w:rsidR="00B7103C">
              <w:rPr>
                <w:noProof/>
                <w:webHidden/>
              </w:rPr>
              <w:fldChar w:fldCharType="end"/>
            </w:r>
          </w:hyperlink>
        </w:p>
        <w:p w:rsidR="00B7103C" w:rsidRDefault="00B7103C">
          <w:pPr>
            <w:pStyle w:val="TOC1"/>
            <w:rPr>
              <w:rFonts w:asciiTheme="minorHAnsi" w:eastAsiaTheme="minorEastAsia" w:hAnsiTheme="minorHAnsi" w:cstheme="minorBidi"/>
              <w:b w:val="0"/>
              <w:noProof/>
              <w:sz w:val="22"/>
              <w:lang w:eastAsia="en-AU"/>
            </w:rPr>
          </w:pPr>
          <w:hyperlink w:anchor="_Toc403987279" w:history="1">
            <w:r w:rsidRPr="0064095F">
              <w:rPr>
                <w:rStyle w:val="Hyperlink"/>
                <w:noProof/>
              </w:rPr>
              <w:t>I. Introduction to product submission</w:t>
            </w:r>
            <w:r>
              <w:rPr>
                <w:noProof/>
                <w:webHidden/>
              </w:rPr>
              <w:tab/>
            </w:r>
            <w:r>
              <w:rPr>
                <w:noProof/>
                <w:webHidden/>
              </w:rPr>
              <w:fldChar w:fldCharType="begin"/>
            </w:r>
            <w:r>
              <w:rPr>
                <w:noProof/>
                <w:webHidden/>
              </w:rPr>
              <w:instrText xml:space="preserve"> PAGEREF _Toc403987279 \h </w:instrText>
            </w:r>
            <w:r>
              <w:rPr>
                <w:noProof/>
                <w:webHidden/>
              </w:rPr>
            </w:r>
            <w:r>
              <w:rPr>
                <w:noProof/>
                <w:webHidden/>
              </w:rPr>
              <w:fldChar w:fldCharType="separate"/>
            </w:r>
            <w:r>
              <w:rPr>
                <w:noProof/>
                <w:webHidden/>
              </w:rPr>
              <w:t>7</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280" w:history="1">
            <w:r w:rsidRPr="0064095F">
              <w:rPr>
                <w:rStyle w:val="Hyperlink"/>
                <w:noProof/>
                <w:lang w:eastAsia="en-AU"/>
              </w:rPr>
              <w:t>Submission details</w:t>
            </w:r>
            <w:r>
              <w:rPr>
                <w:noProof/>
                <w:webHidden/>
              </w:rPr>
              <w:tab/>
            </w:r>
            <w:r>
              <w:rPr>
                <w:noProof/>
                <w:webHidden/>
              </w:rPr>
              <w:fldChar w:fldCharType="begin"/>
            </w:r>
            <w:r>
              <w:rPr>
                <w:noProof/>
                <w:webHidden/>
              </w:rPr>
              <w:instrText xml:space="preserve"> PAGEREF _Toc403987280 \h </w:instrText>
            </w:r>
            <w:r>
              <w:rPr>
                <w:noProof/>
                <w:webHidden/>
              </w:rPr>
            </w:r>
            <w:r>
              <w:rPr>
                <w:noProof/>
                <w:webHidden/>
              </w:rPr>
              <w:fldChar w:fldCharType="separate"/>
            </w:r>
            <w:r>
              <w:rPr>
                <w:noProof/>
                <w:webHidden/>
              </w:rPr>
              <w:t>7</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281" w:history="1">
            <w:r w:rsidRPr="0064095F">
              <w:rPr>
                <w:rStyle w:val="Hyperlink"/>
                <w:noProof/>
              </w:rPr>
              <w:t>Product background</w:t>
            </w:r>
            <w:r>
              <w:rPr>
                <w:noProof/>
                <w:webHidden/>
              </w:rPr>
              <w:tab/>
            </w:r>
            <w:r>
              <w:rPr>
                <w:noProof/>
                <w:webHidden/>
              </w:rPr>
              <w:fldChar w:fldCharType="begin"/>
            </w:r>
            <w:r>
              <w:rPr>
                <w:noProof/>
                <w:webHidden/>
              </w:rPr>
              <w:instrText xml:space="preserve"> PAGEREF _Toc403987281 \h </w:instrText>
            </w:r>
            <w:r>
              <w:rPr>
                <w:noProof/>
                <w:webHidden/>
              </w:rPr>
            </w:r>
            <w:r>
              <w:rPr>
                <w:noProof/>
                <w:webHidden/>
              </w:rPr>
              <w:fldChar w:fldCharType="separate"/>
            </w:r>
            <w:r>
              <w:rPr>
                <w:noProof/>
                <w:webHidden/>
              </w:rPr>
              <w:t>7</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282" w:history="1">
            <w:r w:rsidRPr="0064095F">
              <w:rPr>
                <w:rStyle w:val="Hyperlink"/>
                <w:noProof/>
              </w:rPr>
              <w:t>Regulatory status</w:t>
            </w:r>
            <w:r>
              <w:rPr>
                <w:noProof/>
                <w:webHidden/>
              </w:rPr>
              <w:tab/>
            </w:r>
            <w:r>
              <w:rPr>
                <w:noProof/>
                <w:webHidden/>
              </w:rPr>
              <w:fldChar w:fldCharType="begin"/>
            </w:r>
            <w:r>
              <w:rPr>
                <w:noProof/>
                <w:webHidden/>
              </w:rPr>
              <w:instrText xml:space="preserve"> PAGEREF _Toc403987282 \h </w:instrText>
            </w:r>
            <w:r>
              <w:rPr>
                <w:noProof/>
                <w:webHidden/>
              </w:rPr>
            </w:r>
            <w:r>
              <w:rPr>
                <w:noProof/>
                <w:webHidden/>
              </w:rPr>
              <w:fldChar w:fldCharType="separate"/>
            </w:r>
            <w:r>
              <w:rPr>
                <w:noProof/>
                <w:webHidden/>
              </w:rPr>
              <w:t>8</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283" w:history="1">
            <w:r w:rsidRPr="0064095F">
              <w:rPr>
                <w:rStyle w:val="Hyperlink"/>
                <w:noProof/>
              </w:rPr>
              <w:t>Product Information</w:t>
            </w:r>
            <w:r>
              <w:rPr>
                <w:noProof/>
                <w:webHidden/>
              </w:rPr>
              <w:tab/>
            </w:r>
            <w:r>
              <w:rPr>
                <w:noProof/>
                <w:webHidden/>
              </w:rPr>
              <w:fldChar w:fldCharType="begin"/>
            </w:r>
            <w:r>
              <w:rPr>
                <w:noProof/>
                <w:webHidden/>
              </w:rPr>
              <w:instrText xml:space="preserve"> PAGEREF _Toc403987283 \h </w:instrText>
            </w:r>
            <w:r>
              <w:rPr>
                <w:noProof/>
                <w:webHidden/>
              </w:rPr>
            </w:r>
            <w:r>
              <w:rPr>
                <w:noProof/>
                <w:webHidden/>
              </w:rPr>
              <w:fldChar w:fldCharType="separate"/>
            </w:r>
            <w:r>
              <w:rPr>
                <w:noProof/>
                <w:webHidden/>
              </w:rPr>
              <w:t>8</w:t>
            </w:r>
            <w:r>
              <w:rPr>
                <w:noProof/>
                <w:webHidden/>
              </w:rPr>
              <w:fldChar w:fldCharType="end"/>
            </w:r>
          </w:hyperlink>
        </w:p>
        <w:p w:rsidR="00B7103C" w:rsidRDefault="00B7103C">
          <w:pPr>
            <w:pStyle w:val="TOC1"/>
            <w:rPr>
              <w:rFonts w:asciiTheme="minorHAnsi" w:eastAsiaTheme="minorEastAsia" w:hAnsiTheme="minorHAnsi" w:cstheme="minorBidi"/>
              <w:b w:val="0"/>
              <w:noProof/>
              <w:sz w:val="22"/>
              <w:lang w:eastAsia="en-AU"/>
            </w:rPr>
          </w:pPr>
          <w:hyperlink w:anchor="_Toc403987284" w:history="1">
            <w:r w:rsidRPr="0064095F">
              <w:rPr>
                <w:rStyle w:val="Hyperlink"/>
                <w:noProof/>
              </w:rPr>
              <w:t>II. Quality findings</w:t>
            </w:r>
            <w:r>
              <w:rPr>
                <w:noProof/>
                <w:webHidden/>
              </w:rPr>
              <w:tab/>
            </w:r>
            <w:r>
              <w:rPr>
                <w:noProof/>
                <w:webHidden/>
              </w:rPr>
              <w:fldChar w:fldCharType="begin"/>
            </w:r>
            <w:r>
              <w:rPr>
                <w:noProof/>
                <w:webHidden/>
              </w:rPr>
              <w:instrText xml:space="preserve"> PAGEREF _Toc403987284 \h </w:instrText>
            </w:r>
            <w:r>
              <w:rPr>
                <w:noProof/>
                <w:webHidden/>
              </w:rPr>
            </w:r>
            <w:r>
              <w:rPr>
                <w:noProof/>
                <w:webHidden/>
              </w:rPr>
              <w:fldChar w:fldCharType="separate"/>
            </w:r>
            <w:r>
              <w:rPr>
                <w:noProof/>
                <w:webHidden/>
              </w:rPr>
              <w:t>8</w:t>
            </w:r>
            <w:r>
              <w:rPr>
                <w:noProof/>
                <w:webHidden/>
              </w:rPr>
              <w:fldChar w:fldCharType="end"/>
            </w:r>
          </w:hyperlink>
        </w:p>
        <w:p w:rsidR="00B7103C" w:rsidRDefault="00B7103C">
          <w:pPr>
            <w:pStyle w:val="TOC1"/>
            <w:rPr>
              <w:rFonts w:asciiTheme="minorHAnsi" w:eastAsiaTheme="minorEastAsia" w:hAnsiTheme="minorHAnsi" w:cstheme="minorBidi"/>
              <w:b w:val="0"/>
              <w:noProof/>
              <w:sz w:val="22"/>
              <w:lang w:eastAsia="en-AU"/>
            </w:rPr>
          </w:pPr>
          <w:hyperlink w:anchor="_Toc403987285" w:history="1">
            <w:r w:rsidRPr="0064095F">
              <w:rPr>
                <w:rStyle w:val="Hyperlink"/>
                <w:noProof/>
              </w:rPr>
              <w:t>III. Nonclinical findings</w:t>
            </w:r>
            <w:r>
              <w:rPr>
                <w:noProof/>
                <w:webHidden/>
              </w:rPr>
              <w:tab/>
            </w:r>
            <w:r>
              <w:rPr>
                <w:noProof/>
                <w:webHidden/>
              </w:rPr>
              <w:fldChar w:fldCharType="begin"/>
            </w:r>
            <w:r>
              <w:rPr>
                <w:noProof/>
                <w:webHidden/>
              </w:rPr>
              <w:instrText xml:space="preserve"> PAGEREF _Toc403987285 \h </w:instrText>
            </w:r>
            <w:r>
              <w:rPr>
                <w:noProof/>
                <w:webHidden/>
              </w:rPr>
            </w:r>
            <w:r>
              <w:rPr>
                <w:noProof/>
                <w:webHidden/>
              </w:rPr>
              <w:fldChar w:fldCharType="separate"/>
            </w:r>
            <w:r>
              <w:rPr>
                <w:noProof/>
                <w:webHidden/>
              </w:rPr>
              <w:t>8</w:t>
            </w:r>
            <w:r>
              <w:rPr>
                <w:noProof/>
                <w:webHidden/>
              </w:rPr>
              <w:fldChar w:fldCharType="end"/>
            </w:r>
          </w:hyperlink>
        </w:p>
        <w:p w:rsidR="00B7103C" w:rsidRDefault="00B7103C">
          <w:pPr>
            <w:pStyle w:val="TOC1"/>
            <w:rPr>
              <w:rFonts w:asciiTheme="minorHAnsi" w:eastAsiaTheme="minorEastAsia" w:hAnsiTheme="minorHAnsi" w:cstheme="minorBidi"/>
              <w:b w:val="0"/>
              <w:noProof/>
              <w:sz w:val="22"/>
              <w:lang w:eastAsia="en-AU"/>
            </w:rPr>
          </w:pPr>
          <w:hyperlink w:anchor="_Toc403987286" w:history="1">
            <w:r w:rsidRPr="0064095F">
              <w:rPr>
                <w:rStyle w:val="Hyperlink"/>
                <w:noProof/>
              </w:rPr>
              <w:t>IV. Clinical findings</w:t>
            </w:r>
            <w:r>
              <w:rPr>
                <w:noProof/>
                <w:webHidden/>
              </w:rPr>
              <w:tab/>
            </w:r>
            <w:r>
              <w:rPr>
                <w:noProof/>
                <w:webHidden/>
              </w:rPr>
              <w:fldChar w:fldCharType="begin"/>
            </w:r>
            <w:r>
              <w:rPr>
                <w:noProof/>
                <w:webHidden/>
              </w:rPr>
              <w:instrText xml:space="preserve"> PAGEREF _Toc403987286 \h </w:instrText>
            </w:r>
            <w:r>
              <w:rPr>
                <w:noProof/>
                <w:webHidden/>
              </w:rPr>
            </w:r>
            <w:r>
              <w:rPr>
                <w:noProof/>
                <w:webHidden/>
              </w:rPr>
              <w:fldChar w:fldCharType="separate"/>
            </w:r>
            <w:r>
              <w:rPr>
                <w:noProof/>
                <w:webHidden/>
              </w:rPr>
              <w:t>8</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287" w:history="1">
            <w:r w:rsidRPr="0064095F">
              <w:rPr>
                <w:rStyle w:val="Hyperlink"/>
                <w:noProof/>
              </w:rPr>
              <w:t>Clinical rationale</w:t>
            </w:r>
            <w:r>
              <w:rPr>
                <w:noProof/>
                <w:webHidden/>
              </w:rPr>
              <w:tab/>
            </w:r>
            <w:r>
              <w:rPr>
                <w:noProof/>
                <w:webHidden/>
              </w:rPr>
              <w:fldChar w:fldCharType="begin"/>
            </w:r>
            <w:r>
              <w:rPr>
                <w:noProof/>
                <w:webHidden/>
              </w:rPr>
              <w:instrText xml:space="preserve"> PAGEREF _Toc403987287 \h </w:instrText>
            </w:r>
            <w:r>
              <w:rPr>
                <w:noProof/>
                <w:webHidden/>
              </w:rPr>
            </w:r>
            <w:r>
              <w:rPr>
                <w:noProof/>
                <w:webHidden/>
              </w:rPr>
              <w:fldChar w:fldCharType="separate"/>
            </w:r>
            <w:r>
              <w:rPr>
                <w:noProof/>
                <w:webHidden/>
              </w:rPr>
              <w:t>8</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288" w:history="1">
            <w:r w:rsidRPr="0064095F">
              <w:rPr>
                <w:rStyle w:val="Hyperlink"/>
                <w:noProof/>
              </w:rPr>
              <w:t>Contents of the clinical dossier</w:t>
            </w:r>
            <w:r>
              <w:rPr>
                <w:noProof/>
                <w:webHidden/>
              </w:rPr>
              <w:tab/>
            </w:r>
            <w:r>
              <w:rPr>
                <w:noProof/>
                <w:webHidden/>
              </w:rPr>
              <w:fldChar w:fldCharType="begin"/>
            </w:r>
            <w:r>
              <w:rPr>
                <w:noProof/>
                <w:webHidden/>
              </w:rPr>
              <w:instrText xml:space="preserve"> PAGEREF _Toc403987288 \h </w:instrText>
            </w:r>
            <w:r>
              <w:rPr>
                <w:noProof/>
                <w:webHidden/>
              </w:rPr>
            </w:r>
            <w:r>
              <w:rPr>
                <w:noProof/>
                <w:webHidden/>
              </w:rPr>
              <w:fldChar w:fldCharType="separate"/>
            </w:r>
            <w:r>
              <w:rPr>
                <w:noProof/>
                <w:webHidden/>
              </w:rPr>
              <w:t>9</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289" w:history="1">
            <w:r w:rsidRPr="0064095F">
              <w:rPr>
                <w:rStyle w:val="Hyperlink"/>
                <w:noProof/>
              </w:rPr>
              <w:t>Paediatric data</w:t>
            </w:r>
            <w:r>
              <w:rPr>
                <w:noProof/>
                <w:webHidden/>
              </w:rPr>
              <w:tab/>
            </w:r>
            <w:r>
              <w:rPr>
                <w:noProof/>
                <w:webHidden/>
              </w:rPr>
              <w:fldChar w:fldCharType="begin"/>
            </w:r>
            <w:r>
              <w:rPr>
                <w:noProof/>
                <w:webHidden/>
              </w:rPr>
              <w:instrText xml:space="preserve"> PAGEREF _Toc403987289 \h </w:instrText>
            </w:r>
            <w:r>
              <w:rPr>
                <w:noProof/>
                <w:webHidden/>
              </w:rPr>
            </w:r>
            <w:r>
              <w:rPr>
                <w:noProof/>
                <w:webHidden/>
              </w:rPr>
              <w:fldChar w:fldCharType="separate"/>
            </w:r>
            <w:r>
              <w:rPr>
                <w:noProof/>
                <w:webHidden/>
              </w:rPr>
              <w:t>9</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290" w:history="1">
            <w:r w:rsidRPr="0064095F">
              <w:rPr>
                <w:rStyle w:val="Hyperlink"/>
                <w:noProof/>
              </w:rPr>
              <w:t>Good clinical practice</w:t>
            </w:r>
            <w:r>
              <w:rPr>
                <w:noProof/>
                <w:webHidden/>
              </w:rPr>
              <w:tab/>
            </w:r>
            <w:r>
              <w:rPr>
                <w:noProof/>
                <w:webHidden/>
              </w:rPr>
              <w:fldChar w:fldCharType="begin"/>
            </w:r>
            <w:r>
              <w:rPr>
                <w:noProof/>
                <w:webHidden/>
              </w:rPr>
              <w:instrText xml:space="preserve"> PAGEREF _Toc403987290 \h </w:instrText>
            </w:r>
            <w:r>
              <w:rPr>
                <w:noProof/>
                <w:webHidden/>
              </w:rPr>
            </w:r>
            <w:r>
              <w:rPr>
                <w:noProof/>
                <w:webHidden/>
              </w:rPr>
              <w:fldChar w:fldCharType="separate"/>
            </w:r>
            <w:r>
              <w:rPr>
                <w:noProof/>
                <w:webHidden/>
              </w:rPr>
              <w:t>9</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291" w:history="1">
            <w:r w:rsidRPr="0064095F">
              <w:rPr>
                <w:rStyle w:val="Hyperlink"/>
                <w:noProof/>
              </w:rPr>
              <w:t>Pharmacokinetics</w:t>
            </w:r>
            <w:r>
              <w:rPr>
                <w:noProof/>
                <w:webHidden/>
              </w:rPr>
              <w:tab/>
            </w:r>
            <w:r>
              <w:rPr>
                <w:noProof/>
                <w:webHidden/>
              </w:rPr>
              <w:fldChar w:fldCharType="begin"/>
            </w:r>
            <w:r>
              <w:rPr>
                <w:noProof/>
                <w:webHidden/>
              </w:rPr>
              <w:instrText xml:space="preserve"> PAGEREF _Toc403987291 \h </w:instrText>
            </w:r>
            <w:r>
              <w:rPr>
                <w:noProof/>
                <w:webHidden/>
              </w:rPr>
            </w:r>
            <w:r>
              <w:rPr>
                <w:noProof/>
                <w:webHidden/>
              </w:rPr>
              <w:fldChar w:fldCharType="separate"/>
            </w:r>
            <w:r>
              <w:rPr>
                <w:noProof/>
                <w:webHidden/>
              </w:rPr>
              <w:t>10</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292" w:history="1">
            <w:r w:rsidRPr="0064095F">
              <w:rPr>
                <w:rStyle w:val="Hyperlink"/>
                <w:noProof/>
              </w:rPr>
              <w:t>Studies providing pharmacokinetic data</w:t>
            </w:r>
            <w:r>
              <w:rPr>
                <w:noProof/>
                <w:webHidden/>
              </w:rPr>
              <w:tab/>
            </w:r>
            <w:r>
              <w:rPr>
                <w:noProof/>
                <w:webHidden/>
              </w:rPr>
              <w:fldChar w:fldCharType="begin"/>
            </w:r>
            <w:r>
              <w:rPr>
                <w:noProof/>
                <w:webHidden/>
              </w:rPr>
              <w:instrText xml:space="preserve"> PAGEREF _Toc403987292 \h </w:instrText>
            </w:r>
            <w:r>
              <w:rPr>
                <w:noProof/>
                <w:webHidden/>
              </w:rPr>
            </w:r>
            <w:r>
              <w:rPr>
                <w:noProof/>
                <w:webHidden/>
              </w:rPr>
              <w:fldChar w:fldCharType="separate"/>
            </w:r>
            <w:r>
              <w:rPr>
                <w:noProof/>
                <w:webHidden/>
              </w:rPr>
              <w:t>10</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293" w:history="1">
            <w:r w:rsidRPr="0064095F">
              <w:rPr>
                <w:rStyle w:val="Hyperlink"/>
                <w:noProof/>
              </w:rPr>
              <w:t>Evaluator’s conclusions on pharmacokinetics</w:t>
            </w:r>
            <w:r>
              <w:rPr>
                <w:noProof/>
                <w:webHidden/>
              </w:rPr>
              <w:tab/>
            </w:r>
            <w:r>
              <w:rPr>
                <w:noProof/>
                <w:webHidden/>
              </w:rPr>
              <w:fldChar w:fldCharType="begin"/>
            </w:r>
            <w:r>
              <w:rPr>
                <w:noProof/>
                <w:webHidden/>
              </w:rPr>
              <w:instrText xml:space="preserve"> PAGEREF _Toc403987293 \h </w:instrText>
            </w:r>
            <w:r>
              <w:rPr>
                <w:noProof/>
                <w:webHidden/>
              </w:rPr>
            </w:r>
            <w:r>
              <w:rPr>
                <w:noProof/>
                <w:webHidden/>
              </w:rPr>
              <w:fldChar w:fldCharType="separate"/>
            </w:r>
            <w:r>
              <w:rPr>
                <w:noProof/>
                <w:webHidden/>
              </w:rPr>
              <w:t>10</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294" w:history="1">
            <w:r w:rsidRPr="0064095F">
              <w:rPr>
                <w:rStyle w:val="Hyperlink"/>
                <w:noProof/>
              </w:rPr>
              <w:t>Pharmacodynamics</w:t>
            </w:r>
            <w:r>
              <w:rPr>
                <w:noProof/>
                <w:webHidden/>
              </w:rPr>
              <w:tab/>
            </w:r>
            <w:r>
              <w:rPr>
                <w:noProof/>
                <w:webHidden/>
              </w:rPr>
              <w:fldChar w:fldCharType="begin"/>
            </w:r>
            <w:r>
              <w:rPr>
                <w:noProof/>
                <w:webHidden/>
              </w:rPr>
              <w:instrText xml:space="preserve"> PAGEREF _Toc403987294 \h </w:instrText>
            </w:r>
            <w:r>
              <w:rPr>
                <w:noProof/>
                <w:webHidden/>
              </w:rPr>
            </w:r>
            <w:r>
              <w:rPr>
                <w:noProof/>
                <w:webHidden/>
              </w:rPr>
              <w:fldChar w:fldCharType="separate"/>
            </w:r>
            <w:r>
              <w:rPr>
                <w:noProof/>
                <w:webHidden/>
              </w:rPr>
              <w:t>10</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295" w:history="1">
            <w:r w:rsidRPr="0064095F">
              <w:rPr>
                <w:rStyle w:val="Hyperlink"/>
                <w:noProof/>
              </w:rPr>
              <w:t>Dosage selection for the pivotal studies</w:t>
            </w:r>
            <w:r>
              <w:rPr>
                <w:noProof/>
                <w:webHidden/>
              </w:rPr>
              <w:tab/>
            </w:r>
            <w:r>
              <w:rPr>
                <w:noProof/>
                <w:webHidden/>
              </w:rPr>
              <w:fldChar w:fldCharType="begin"/>
            </w:r>
            <w:r>
              <w:rPr>
                <w:noProof/>
                <w:webHidden/>
              </w:rPr>
              <w:instrText xml:space="preserve"> PAGEREF _Toc403987295 \h </w:instrText>
            </w:r>
            <w:r>
              <w:rPr>
                <w:noProof/>
                <w:webHidden/>
              </w:rPr>
            </w:r>
            <w:r>
              <w:rPr>
                <w:noProof/>
                <w:webHidden/>
              </w:rPr>
              <w:fldChar w:fldCharType="separate"/>
            </w:r>
            <w:r>
              <w:rPr>
                <w:noProof/>
                <w:webHidden/>
              </w:rPr>
              <w:t>10</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296" w:history="1">
            <w:r w:rsidRPr="0064095F">
              <w:rPr>
                <w:rStyle w:val="Hyperlink"/>
                <w:noProof/>
              </w:rPr>
              <w:t>Efficacy</w:t>
            </w:r>
            <w:r>
              <w:rPr>
                <w:noProof/>
                <w:webHidden/>
              </w:rPr>
              <w:tab/>
            </w:r>
            <w:r>
              <w:rPr>
                <w:noProof/>
                <w:webHidden/>
              </w:rPr>
              <w:fldChar w:fldCharType="begin"/>
            </w:r>
            <w:r>
              <w:rPr>
                <w:noProof/>
                <w:webHidden/>
              </w:rPr>
              <w:instrText xml:space="preserve"> PAGEREF _Toc403987296 \h </w:instrText>
            </w:r>
            <w:r>
              <w:rPr>
                <w:noProof/>
                <w:webHidden/>
              </w:rPr>
            </w:r>
            <w:r>
              <w:rPr>
                <w:noProof/>
                <w:webHidden/>
              </w:rPr>
              <w:fldChar w:fldCharType="separate"/>
            </w:r>
            <w:r>
              <w:rPr>
                <w:noProof/>
                <w:webHidden/>
              </w:rPr>
              <w:t>10</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297" w:history="1">
            <w:r w:rsidRPr="0064095F">
              <w:rPr>
                <w:rStyle w:val="Hyperlink"/>
                <w:noProof/>
              </w:rPr>
              <w:t>Studies providing efficacy data</w:t>
            </w:r>
            <w:r>
              <w:rPr>
                <w:noProof/>
                <w:webHidden/>
              </w:rPr>
              <w:tab/>
            </w:r>
            <w:r>
              <w:rPr>
                <w:noProof/>
                <w:webHidden/>
              </w:rPr>
              <w:fldChar w:fldCharType="begin"/>
            </w:r>
            <w:r>
              <w:rPr>
                <w:noProof/>
                <w:webHidden/>
              </w:rPr>
              <w:instrText xml:space="preserve"> PAGEREF _Toc403987297 \h </w:instrText>
            </w:r>
            <w:r>
              <w:rPr>
                <w:noProof/>
                <w:webHidden/>
              </w:rPr>
            </w:r>
            <w:r>
              <w:rPr>
                <w:noProof/>
                <w:webHidden/>
              </w:rPr>
              <w:fldChar w:fldCharType="separate"/>
            </w:r>
            <w:r>
              <w:rPr>
                <w:noProof/>
                <w:webHidden/>
              </w:rPr>
              <w:t>10</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298" w:history="1">
            <w:r w:rsidRPr="0064095F">
              <w:rPr>
                <w:rStyle w:val="Hyperlink"/>
                <w:noProof/>
              </w:rPr>
              <w:t>Evaluator’s conclusions on efficacy</w:t>
            </w:r>
            <w:r>
              <w:rPr>
                <w:noProof/>
                <w:webHidden/>
              </w:rPr>
              <w:tab/>
            </w:r>
            <w:r>
              <w:rPr>
                <w:noProof/>
                <w:webHidden/>
              </w:rPr>
              <w:fldChar w:fldCharType="begin"/>
            </w:r>
            <w:r>
              <w:rPr>
                <w:noProof/>
                <w:webHidden/>
              </w:rPr>
              <w:instrText xml:space="preserve"> PAGEREF _Toc403987298 \h </w:instrText>
            </w:r>
            <w:r>
              <w:rPr>
                <w:noProof/>
                <w:webHidden/>
              </w:rPr>
            </w:r>
            <w:r>
              <w:rPr>
                <w:noProof/>
                <w:webHidden/>
              </w:rPr>
              <w:fldChar w:fldCharType="separate"/>
            </w:r>
            <w:r>
              <w:rPr>
                <w:noProof/>
                <w:webHidden/>
              </w:rPr>
              <w:t>10</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299" w:history="1">
            <w:r w:rsidRPr="0064095F">
              <w:rPr>
                <w:rStyle w:val="Hyperlink"/>
                <w:noProof/>
              </w:rPr>
              <w:t>Safety</w:t>
            </w:r>
            <w:r>
              <w:rPr>
                <w:noProof/>
                <w:webHidden/>
              </w:rPr>
              <w:tab/>
            </w:r>
            <w:r>
              <w:rPr>
                <w:noProof/>
                <w:webHidden/>
              </w:rPr>
              <w:fldChar w:fldCharType="begin"/>
            </w:r>
            <w:r>
              <w:rPr>
                <w:noProof/>
                <w:webHidden/>
              </w:rPr>
              <w:instrText xml:space="preserve"> PAGEREF _Toc403987299 \h </w:instrText>
            </w:r>
            <w:r>
              <w:rPr>
                <w:noProof/>
                <w:webHidden/>
              </w:rPr>
            </w:r>
            <w:r>
              <w:rPr>
                <w:noProof/>
                <w:webHidden/>
              </w:rPr>
              <w:fldChar w:fldCharType="separate"/>
            </w:r>
            <w:r>
              <w:rPr>
                <w:noProof/>
                <w:webHidden/>
              </w:rPr>
              <w:t>11</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00" w:history="1">
            <w:r w:rsidRPr="0064095F">
              <w:rPr>
                <w:rStyle w:val="Hyperlink"/>
                <w:noProof/>
              </w:rPr>
              <w:t>Studies providing safety data</w:t>
            </w:r>
            <w:r>
              <w:rPr>
                <w:noProof/>
                <w:webHidden/>
              </w:rPr>
              <w:tab/>
            </w:r>
            <w:r>
              <w:rPr>
                <w:noProof/>
                <w:webHidden/>
              </w:rPr>
              <w:fldChar w:fldCharType="begin"/>
            </w:r>
            <w:r>
              <w:rPr>
                <w:noProof/>
                <w:webHidden/>
              </w:rPr>
              <w:instrText xml:space="preserve"> PAGEREF _Toc403987300 \h </w:instrText>
            </w:r>
            <w:r>
              <w:rPr>
                <w:noProof/>
                <w:webHidden/>
              </w:rPr>
            </w:r>
            <w:r>
              <w:rPr>
                <w:noProof/>
                <w:webHidden/>
              </w:rPr>
              <w:fldChar w:fldCharType="separate"/>
            </w:r>
            <w:r>
              <w:rPr>
                <w:noProof/>
                <w:webHidden/>
              </w:rPr>
              <w:t>11</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01" w:history="1">
            <w:r w:rsidRPr="0064095F">
              <w:rPr>
                <w:rStyle w:val="Hyperlink"/>
                <w:noProof/>
              </w:rPr>
              <w:t>Patient exposure</w:t>
            </w:r>
            <w:r>
              <w:rPr>
                <w:noProof/>
                <w:webHidden/>
              </w:rPr>
              <w:tab/>
            </w:r>
            <w:r>
              <w:rPr>
                <w:noProof/>
                <w:webHidden/>
              </w:rPr>
              <w:fldChar w:fldCharType="begin"/>
            </w:r>
            <w:r>
              <w:rPr>
                <w:noProof/>
                <w:webHidden/>
              </w:rPr>
              <w:instrText xml:space="preserve"> PAGEREF _Toc403987301 \h </w:instrText>
            </w:r>
            <w:r>
              <w:rPr>
                <w:noProof/>
                <w:webHidden/>
              </w:rPr>
            </w:r>
            <w:r>
              <w:rPr>
                <w:noProof/>
                <w:webHidden/>
              </w:rPr>
              <w:fldChar w:fldCharType="separate"/>
            </w:r>
            <w:r>
              <w:rPr>
                <w:noProof/>
                <w:webHidden/>
              </w:rPr>
              <w:t>11</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02" w:history="1">
            <w:r w:rsidRPr="0064095F">
              <w:rPr>
                <w:rStyle w:val="Hyperlink"/>
                <w:noProof/>
              </w:rPr>
              <w:t>Safety issues with the potential for major regulatory impact</w:t>
            </w:r>
            <w:r>
              <w:rPr>
                <w:noProof/>
                <w:webHidden/>
              </w:rPr>
              <w:tab/>
            </w:r>
            <w:r>
              <w:rPr>
                <w:noProof/>
                <w:webHidden/>
              </w:rPr>
              <w:fldChar w:fldCharType="begin"/>
            </w:r>
            <w:r>
              <w:rPr>
                <w:noProof/>
                <w:webHidden/>
              </w:rPr>
              <w:instrText xml:space="preserve"> PAGEREF _Toc403987302 \h </w:instrText>
            </w:r>
            <w:r>
              <w:rPr>
                <w:noProof/>
                <w:webHidden/>
              </w:rPr>
            </w:r>
            <w:r>
              <w:rPr>
                <w:noProof/>
                <w:webHidden/>
              </w:rPr>
              <w:fldChar w:fldCharType="separate"/>
            </w:r>
            <w:r>
              <w:rPr>
                <w:noProof/>
                <w:webHidden/>
              </w:rPr>
              <w:t>11</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03" w:history="1">
            <w:r w:rsidRPr="0064095F">
              <w:rPr>
                <w:rStyle w:val="Hyperlink"/>
                <w:noProof/>
              </w:rPr>
              <w:t>Postmarketing data</w:t>
            </w:r>
            <w:r>
              <w:rPr>
                <w:noProof/>
                <w:webHidden/>
              </w:rPr>
              <w:tab/>
            </w:r>
            <w:r>
              <w:rPr>
                <w:noProof/>
                <w:webHidden/>
              </w:rPr>
              <w:fldChar w:fldCharType="begin"/>
            </w:r>
            <w:r>
              <w:rPr>
                <w:noProof/>
                <w:webHidden/>
              </w:rPr>
              <w:instrText xml:space="preserve"> PAGEREF _Toc403987303 \h </w:instrText>
            </w:r>
            <w:r>
              <w:rPr>
                <w:noProof/>
                <w:webHidden/>
              </w:rPr>
            </w:r>
            <w:r>
              <w:rPr>
                <w:noProof/>
                <w:webHidden/>
              </w:rPr>
              <w:fldChar w:fldCharType="separate"/>
            </w:r>
            <w:r>
              <w:rPr>
                <w:noProof/>
                <w:webHidden/>
              </w:rPr>
              <w:t>12</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04" w:history="1">
            <w:r w:rsidRPr="0064095F">
              <w:rPr>
                <w:rStyle w:val="Hyperlink"/>
                <w:noProof/>
              </w:rPr>
              <w:t>Evaluator’s conclusions on safety</w:t>
            </w:r>
            <w:r>
              <w:rPr>
                <w:noProof/>
                <w:webHidden/>
              </w:rPr>
              <w:tab/>
            </w:r>
            <w:r>
              <w:rPr>
                <w:noProof/>
                <w:webHidden/>
              </w:rPr>
              <w:fldChar w:fldCharType="begin"/>
            </w:r>
            <w:r>
              <w:rPr>
                <w:noProof/>
                <w:webHidden/>
              </w:rPr>
              <w:instrText xml:space="preserve"> PAGEREF _Toc403987304 \h </w:instrText>
            </w:r>
            <w:r>
              <w:rPr>
                <w:noProof/>
                <w:webHidden/>
              </w:rPr>
            </w:r>
            <w:r>
              <w:rPr>
                <w:noProof/>
                <w:webHidden/>
              </w:rPr>
              <w:fldChar w:fldCharType="separate"/>
            </w:r>
            <w:r>
              <w:rPr>
                <w:noProof/>
                <w:webHidden/>
              </w:rPr>
              <w:t>13</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05" w:history="1">
            <w:r w:rsidRPr="0064095F">
              <w:rPr>
                <w:rStyle w:val="Hyperlink"/>
                <w:noProof/>
              </w:rPr>
              <w:t>First round benefit-risk assessment</w:t>
            </w:r>
            <w:r>
              <w:rPr>
                <w:noProof/>
                <w:webHidden/>
              </w:rPr>
              <w:tab/>
            </w:r>
            <w:r>
              <w:rPr>
                <w:noProof/>
                <w:webHidden/>
              </w:rPr>
              <w:fldChar w:fldCharType="begin"/>
            </w:r>
            <w:r>
              <w:rPr>
                <w:noProof/>
                <w:webHidden/>
              </w:rPr>
              <w:instrText xml:space="preserve"> PAGEREF _Toc403987305 \h </w:instrText>
            </w:r>
            <w:r>
              <w:rPr>
                <w:noProof/>
                <w:webHidden/>
              </w:rPr>
            </w:r>
            <w:r>
              <w:rPr>
                <w:noProof/>
                <w:webHidden/>
              </w:rPr>
              <w:fldChar w:fldCharType="separate"/>
            </w:r>
            <w:r>
              <w:rPr>
                <w:noProof/>
                <w:webHidden/>
              </w:rPr>
              <w:t>14</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06" w:history="1">
            <w:r w:rsidRPr="0064095F">
              <w:rPr>
                <w:rStyle w:val="Hyperlink"/>
                <w:noProof/>
              </w:rPr>
              <w:t>First round assessment of benefits</w:t>
            </w:r>
            <w:r>
              <w:rPr>
                <w:noProof/>
                <w:webHidden/>
              </w:rPr>
              <w:tab/>
            </w:r>
            <w:r>
              <w:rPr>
                <w:noProof/>
                <w:webHidden/>
              </w:rPr>
              <w:fldChar w:fldCharType="begin"/>
            </w:r>
            <w:r>
              <w:rPr>
                <w:noProof/>
                <w:webHidden/>
              </w:rPr>
              <w:instrText xml:space="preserve"> PAGEREF _Toc403987306 \h </w:instrText>
            </w:r>
            <w:r>
              <w:rPr>
                <w:noProof/>
                <w:webHidden/>
              </w:rPr>
            </w:r>
            <w:r>
              <w:rPr>
                <w:noProof/>
                <w:webHidden/>
              </w:rPr>
              <w:fldChar w:fldCharType="separate"/>
            </w:r>
            <w:r>
              <w:rPr>
                <w:noProof/>
                <w:webHidden/>
              </w:rPr>
              <w:t>14</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07" w:history="1">
            <w:r w:rsidRPr="0064095F">
              <w:rPr>
                <w:rStyle w:val="Hyperlink"/>
                <w:noProof/>
              </w:rPr>
              <w:t>First round assessment of risks</w:t>
            </w:r>
            <w:r>
              <w:rPr>
                <w:noProof/>
                <w:webHidden/>
              </w:rPr>
              <w:tab/>
            </w:r>
            <w:r>
              <w:rPr>
                <w:noProof/>
                <w:webHidden/>
              </w:rPr>
              <w:fldChar w:fldCharType="begin"/>
            </w:r>
            <w:r>
              <w:rPr>
                <w:noProof/>
                <w:webHidden/>
              </w:rPr>
              <w:instrText xml:space="preserve"> PAGEREF _Toc403987307 \h </w:instrText>
            </w:r>
            <w:r>
              <w:rPr>
                <w:noProof/>
                <w:webHidden/>
              </w:rPr>
            </w:r>
            <w:r>
              <w:rPr>
                <w:noProof/>
                <w:webHidden/>
              </w:rPr>
              <w:fldChar w:fldCharType="separate"/>
            </w:r>
            <w:r>
              <w:rPr>
                <w:noProof/>
                <w:webHidden/>
              </w:rPr>
              <w:t>14</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08" w:history="1">
            <w:r w:rsidRPr="0064095F">
              <w:rPr>
                <w:rStyle w:val="Hyperlink"/>
                <w:noProof/>
              </w:rPr>
              <w:t>First round assessment of benefit-risk balance</w:t>
            </w:r>
            <w:r>
              <w:rPr>
                <w:noProof/>
                <w:webHidden/>
              </w:rPr>
              <w:tab/>
            </w:r>
            <w:r>
              <w:rPr>
                <w:noProof/>
                <w:webHidden/>
              </w:rPr>
              <w:fldChar w:fldCharType="begin"/>
            </w:r>
            <w:r>
              <w:rPr>
                <w:noProof/>
                <w:webHidden/>
              </w:rPr>
              <w:instrText xml:space="preserve"> PAGEREF _Toc403987308 \h </w:instrText>
            </w:r>
            <w:r>
              <w:rPr>
                <w:noProof/>
                <w:webHidden/>
              </w:rPr>
            </w:r>
            <w:r>
              <w:rPr>
                <w:noProof/>
                <w:webHidden/>
              </w:rPr>
              <w:fldChar w:fldCharType="separate"/>
            </w:r>
            <w:r>
              <w:rPr>
                <w:noProof/>
                <w:webHidden/>
              </w:rPr>
              <w:t>14</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09" w:history="1">
            <w:r w:rsidRPr="0064095F">
              <w:rPr>
                <w:rStyle w:val="Hyperlink"/>
                <w:noProof/>
              </w:rPr>
              <w:t>First round recommendation regarding authorisation</w:t>
            </w:r>
            <w:r>
              <w:rPr>
                <w:noProof/>
                <w:webHidden/>
              </w:rPr>
              <w:tab/>
            </w:r>
            <w:r>
              <w:rPr>
                <w:noProof/>
                <w:webHidden/>
              </w:rPr>
              <w:fldChar w:fldCharType="begin"/>
            </w:r>
            <w:r>
              <w:rPr>
                <w:noProof/>
                <w:webHidden/>
              </w:rPr>
              <w:instrText xml:space="preserve"> PAGEREF _Toc403987309 \h </w:instrText>
            </w:r>
            <w:r>
              <w:rPr>
                <w:noProof/>
                <w:webHidden/>
              </w:rPr>
            </w:r>
            <w:r>
              <w:rPr>
                <w:noProof/>
                <w:webHidden/>
              </w:rPr>
              <w:fldChar w:fldCharType="separate"/>
            </w:r>
            <w:r>
              <w:rPr>
                <w:noProof/>
                <w:webHidden/>
              </w:rPr>
              <w:t>16</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10" w:history="1">
            <w:r w:rsidRPr="0064095F">
              <w:rPr>
                <w:rStyle w:val="Hyperlink"/>
                <w:noProof/>
              </w:rPr>
              <w:t>Clinical questions</w:t>
            </w:r>
            <w:r>
              <w:rPr>
                <w:noProof/>
                <w:webHidden/>
              </w:rPr>
              <w:tab/>
            </w:r>
            <w:r>
              <w:rPr>
                <w:noProof/>
                <w:webHidden/>
              </w:rPr>
              <w:fldChar w:fldCharType="begin"/>
            </w:r>
            <w:r>
              <w:rPr>
                <w:noProof/>
                <w:webHidden/>
              </w:rPr>
              <w:instrText xml:space="preserve"> PAGEREF _Toc403987310 \h </w:instrText>
            </w:r>
            <w:r>
              <w:rPr>
                <w:noProof/>
                <w:webHidden/>
              </w:rPr>
            </w:r>
            <w:r>
              <w:rPr>
                <w:noProof/>
                <w:webHidden/>
              </w:rPr>
              <w:fldChar w:fldCharType="separate"/>
            </w:r>
            <w:r>
              <w:rPr>
                <w:noProof/>
                <w:webHidden/>
              </w:rPr>
              <w:t>16</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11" w:history="1">
            <w:r w:rsidRPr="0064095F">
              <w:rPr>
                <w:rStyle w:val="Hyperlink"/>
                <w:noProof/>
              </w:rPr>
              <w:t>Efficacy and safety</w:t>
            </w:r>
            <w:r>
              <w:rPr>
                <w:noProof/>
                <w:webHidden/>
              </w:rPr>
              <w:tab/>
            </w:r>
            <w:r>
              <w:rPr>
                <w:noProof/>
                <w:webHidden/>
              </w:rPr>
              <w:fldChar w:fldCharType="begin"/>
            </w:r>
            <w:r>
              <w:rPr>
                <w:noProof/>
                <w:webHidden/>
              </w:rPr>
              <w:instrText xml:space="preserve"> PAGEREF _Toc403987311 \h </w:instrText>
            </w:r>
            <w:r>
              <w:rPr>
                <w:noProof/>
                <w:webHidden/>
              </w:rPr>
            </w:r>
            <w:r>
              <w:rPr>
                <w:noProof/>
                <w:webHidden/>
              </w:rPr>
              <w:fldChar w:fldCharType="separate"/>
            </w:r>
            <w:r>
              <w:rPr>
                <w:noProof/>
                <w:webHidden/>
              </w:rPr>
              <w:t>16</w:t>
            </w:r>
            <w:r>
              <w:rPr>
                <w:noProof/>
                <w:webHidden/>
              </w:rPr>
              <w:fldChar w:fldCharType="end"/>
            </w:r>
          </w:hyperlink>
        </w:p>
        <w:p w:rsidR="00B7103C" w:rsidRDefault="00B7103C">
          <w:pPr>
            <w:pStyle w:val="TOC1"/>
            <w:rPr>
              <w:rFonts w:asciiTheme="minorHAnsi" w:eastAsiaTheme="minorEastAsia" w:hAnsiTheme="minorHAnsi" w:cstheme="minorBidi"/>
              <w:b w:val="0"/>
              <w:noProof/>
              <w:sz w:val="22"/>
              <w:lang w:eastAsia="en-AU"/>
            </w:rPr>
          </w:pPr>
          <w:hyperlink w:anchor="_Toc403987312" w:history="1">
            <w:r w:rsidRPr="0064095F">
              <w:rPr>
                <w:rStyle w:val="Hyperlink"/>
                <w:noProof/>
              </w:rPr>
              <w:t>V. Pharmacovigilance findings</w:t>
            </w:r>
            <w:r>
              <w:rPr>
                <w:noProof/>
                <w:webHidden/>
              </w:rPr>
              <w:tab/>
            </w:r>
            <w:r>
              <w:rPr>
                <w:noProof/>
                <w:webHidden/>
              </w:rPr>
              <w:fldChar w:fldCharType="begin"/>
            </w:r>
            <w:r>
              <w:rPr>
                <w:noProof/>
                <w:webHidden/>
              </w:rPr>
              <w:instrText xml:space="preserve"> PAGEREF _Toc403987312 \h </w:instrText>
            </w:r>
            <w:r>
              <w:rPr>
                <w:noProof/>
                <w:webHidden/>
              </w:rPr>
            </w:r>
            <w:r>
              <w:rPr>
                <w:noProof/>
                <w:webHidden/>
              </w:rPr>
              <w:fldChar w:fldCharType="separate"/>
            </w:r>
            <w:r>
              <w:rPr>
                <w:noProof/>
                <w:webHidden/>
              </w:rPr>
              <w:t>17</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13" w:history="1">
            <w:r w:rsidRPr="0064095F">
              <w:rPr>
                <w:rStyle w:val="Hyperlink"/>
                <w:noProof/>
                <w:lang w:eastAsia="en-AU"/>
              </w:rPr>
              <w:t>Risk management plan</w:t>
            </w:r>
            <w:r>
              <w:rPr>
                <w:noProof/>
                <w:webHidden/>
              </w:rPr>
              <w:tab/>
            </w:r>
            <w:r>
              <w:rPr>
                <w:noProof/>
                <w:webHidden/>
              </w:rPr>
              <w:fldChar w:fldCharType="begin"/>
            </w:r>
            <w:r>
              <w:rPr>
                <w:noProof/>
                <w:webHidden/>
              </w:rPr>
              <w:instrText xml:space="preserve"> PAGEREF _Toc403987313 \h </w:instrText>
            </w:r>
            <w:r>
              <w:rPr>
                <w:noProof/>
                <w:webHidden/>
              </w:rPr>
            </w:r>
            <w:r>
              <w:rPr>
                <w:noProof/>
                <w:webHidden/>
              </w:rPr>
              <w:fldChar w:fldCharType="separate"/>
            </w:r>
            <w:r>
              <w:rPr>
                <w:noProof/>
                <w:webHidden/>
              </w:rPr>
              <w:t>17</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14" w:history="1">
            <w:r w:rsidRPr="0064095F">
              <w:rPr>
                <w:rStyle w:val="Hyperlink"/>
                <w:noProof/>
                <w:lang w:eastAsia="en-AU"/>
              </w:rPr>
              <w:t>Contents of the submission</w:t>
            </w:r>
            <w:r>
              <w:rPr>
                <w:noProof/>
                <w:webHidden/>
              </w:rPr>
              <w:tab/>
            </w:r>
            <w:r>
              <w:rPr>
                <w:noProof/>
                <w:webHidden/>
              </w:rPr>
              <w:fldChar w:fldCharType="begin"/>
            </w:r>
            <w:r>
              <w:rPr>
                <w:noProof/>
                <w:webHidden/>
              </w:rPr>
              <w:instrText xml:space="preserve"> PAGEREF _Toc403987314 \h </w:instrText>
            </w:r>
            <w:r>
              <w:rPr>
                <w:noProof/>
                <w:webHidden/>
              </w:rPr>
            </w:r>
            <w:r>
              <w:rPr>
                <w:noProof/>
                <w:webHidden/>
              </w:rPr>
              <w:fldChar w:fldCharType="separate"/>
            </w:r>
            <w:r>
              <w:rPr>
                <w:noProof/>
                <w:webHidden/>
              </w:rPr>
              <w:t>17</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15" w:history="1">
            <w:r w:rsidRPr="0064095F">
              <w:rPr>
                <w:rStyle w:val="Hyperlink"/>
                <w:noProof/>
                <w:lang w:eastAsia="en-AU"/>
              </w:rPr>
              <w:t>Summary of ongoing safety concerns</w:t>
            </w:r>
            <w:r>
              <w:rPr>
                <w:noProof/>
                <w:webHidden/>
              </w:rPr>
              <w:tab/>
            </w:r>
            <w:r>
              <w:rPr>
                <w:noProof/>
                <w:webHidden/>
              </w:rPr>
              <w:fldChar w:fldCharType="begin"/>
            </w:r>
            <w:r>
              <w:rPr>
                <w:noProof/>
                <w:webHidden/>
              </w:rPr>
              <w:instrText xml:space="preserve"> PAGEREF _Toc403987315 \h </w:instrText>
            </w:r>
            <w:r>
              <w:rPr>
                <w:noProof/>
                <w:webHidden/>
              </w:rPr>
            </w:r>
            <w:r>
              <w:rPr>
                <w:noProof/>
                <w:webHidden/>
              </w:rPr>
              <w:fldChar w:fldCharType="separate"/>
            </w:r>
            <w:r>
              <w:rPr>
                <w:noProof/>
                <w:webHidden/>
              </w:rPr>
              <w:t>18</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16" w:history="1">
            <w:r w:rsidRPr="0064095F">
              <w:rPr>
                <w:rStyle w:val="Hyperlink"/>
                <w:noProof/>
                <w:lang w:eastAsia="en-AU"/>
              </w:rPr>
              <w:t>Reconciliation of issues outlined in the RMP report</w:t>
            </w:r>
            <w:r>
              <w:rPr>
                <w:noProof/>
                <w:webHidden/>
              </w:rPr>
              <w:tab/>
            </w:r>
            <w:r>
              <w:rPr>
                <w:noProof/>
                <w:webHidden/>
              </w:rPr>
              <w:fldChar w:fldCharType="begin"/>
            </w:r>
            <w:r>
              <w:rPr>
                <w:noProof/>
                <w:webHidden/>
              </w:rPr>
              <w:instrText xml:space="preserve"> PAGEREF _Toc403987316 \h </w:instrText>
            </w:r>
            <w:r>
              <w:rPr>
                <w:noProof/>
                <w:webHidden/>
              </w:rPr>
            </w:r>
            <w:r>
              <w:rPr>
                <w:noProof/>
                <w:webHidden/>
              </w:rPr>
              <w:fldChar w:fldCharType="separate"/>
            </w:r>
            <w:r>
              <w:rPr>
                <w:noProof/>
                <w:webHidden/>
              </w:rPr>
              <w:t>19</w:t>
            </w:r>
            <w:r>
              <w:rPr>
                <w:noProof/>
                <w:webHidden/>
              </w:rPr>
              <w:fldChar w:fldCharType="end"/>
            </w:r>
          </w:hyperlink>
        </w:p>
        <w:p w:rsidR="00B7103C" w:rsidRDefault="00B7103C">
          <w:pPr>
            <w:pStyle w:val="TOC1"/>
            <w:rPr>
              <w:rFonts w:asciiTheme="minorHAnsi" w:eastAsiaTheme="minorEastAsia" w:hAnsiTheme="minorHAnsi" w:cstheme="minorBidi"/>
              <w:b w:val="0"/>
              <w:noProof/>
              <w:sz w:val="22"/>
              <w:lang w:eastAsia="en-AU"/>
            </w:rPr>
          </w:pPr>
          <w:hyperlink w:anchor="_Toc403987317" w:history="1">
            <w:r w:rsidRPr="0064095F">
              <w:rPr>
                <w:rStyle w:val="Hyperlink"/>
                <w:noProof/>
              </w:rPr>
              <w:t>VI. Overall conclusion and risk/benefit assessment</w:t>
            </w:r>
            <w:r>
              <w:rPr>
                <w:noProof/>
                <w:webHidden/>
              </w:rPr>
              <w:tab/>
            </w:r>
            <w:r>
              <w:rPr>
                <w:noProof/>
                <w:webHidden/>
              </w:rPr>
              <w:fldChar w:fldCharType="begin"/>
            </w:r>
            <w:r>
              <w:rPr>
                <w:noProof/>
                <w:webHidden/>
              </w:rPr>
              <w:instrText xml:space="preserve"> PAGEREF _Toc403987317 \h </w:instrText>
            </w:r>
            <w:r>
              <w:rPr>
                <w:noProof/>
                <w:webHidden/>
              </w:rPr>
            </w:r>
            <w:r>
              <w:rPr>
                <w:noProof/>
                <w:webHidden/>
              </w:rPr>
              <w:fldChar w:fldCharType="separate"/>
            </w:r>
            <w:r>
              <w:rPr>
                <w:noProof/>
                <w:webHidden/>
              </w:rPr>
              <w:t>26</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18" w:history="1">
            <w:r w:rsidRPr="0064095F">
              <w:rPr>
                <w:rStyle w:val="Hyperlink"/>
                <w:noProof/>
              </w:rPr>
              <w:t>Quality</w:t>
            </w:r>
            <w:r>
              <w:rPr>
                <w:noProof/>
                <w:webHidden/>
              </w:rPr>
              <w:tab/>
            </w:r>
            <w:r>
              <w:rPr>
                <w:noProof/>
                <w:webHidden/>
              </w:rPr>
              <w:fldChar w:fldCharType="begin"/>
            </w:r>
            <w:r>
              <w:rPr>
                <w:noProof/>
                <w:webHidden/>
              </w:rPr>
              <w:instrText xml:space="preserve"> PAGEREF _Toc403987318 \h </w:instrText>
            </w:r>
            <w:r>
              <w:rPr>
                <w:noProof/>
                <w:webHidden/>
              </w:rPr>
            </w:r>
            <w:r>
              <w:rPr>
                <w:noProof/>
                <w:webHidden/>
              </w:rPr>
              <w:fldChar w:fldCharType="separate"/>
            </w:r>
            <w:r>
              <w:rPr>
                <w:noProof/>
                <w:webHidden/>
              </w:rPr>
              <w:t>26</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19" w:history="1">
            <w:r w:rsidRPr="0064095F">
              <w:rPr>
                <w:rStyle w:val="Hyperlink"/>
                <w:noProof/>
              </w:rPr>
              <w:t>Nonclinical</w:t>
            </w:r>
            <w:r>
              <w:rPr>
                <w:noProof/>
                <w:webHidden/>
              </w:rPr>
              <w:tab/>
            </w:r>
            <w:r>
              <w:rPr>
                <w:noProof/>
                <w:webHidden/>
              </w:rPr>
              <w:fldChar w:fldCharType="begin"/>
            </w:r>
            <w:r>
              <w:rPr>
                <w:noProof/>
                <w:webHidden/>
              </w:rPr>
              <w:instrText xml:space="preserve"> PAGEREF _Toc403987319 \h </w:instrText>
            </w:r>
            <w:r>
              <w:rPr>
                <w:noProof/>
                <w:webHidden/>
              </w:rPr>
            </w:r>
            <w:r>
              <w:rPr>
                <w:noProof/>
                <w:webHidden/>
              </w:rPr>
              <w:fldChar w:fldCharType="separate"/>
            </w:r>
            <w:r>
              <w:rPr>
                <w:noProof/>
                <w:webHidden/>
              </w:rPr>
              <w:t>26</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20" w:history="1">
            <w:r w:rsidRPr="0064095F">
              <w:rPr>
                <w:rStyle w:val="Hyperlink"/>
                <w:noProof/>
              </w:rPr>
              <w:t>Clinical</w:t>
            </w:r>
            <w:r>
              <w:rPr>
                <w:noProof/>
                <w:webHidden/>
              </w:rPr>
              <w:tab/>
            </w:r>
            <w:r>
              <w:rPr>
                <w:noProof/>
                <w:webHidden/>
              </w:rPr>
              <w:fldChar w:fldCharType="begin"/>
            </w:r>
            <w:r>
              <w:rPr>
                <w:noProof/>
                <w:webHidden/>
              </w:rPr>
              <w:instrText xml:space="preserve"> PAGEREF _Toc403987320 \h </w:instrText>
            </w:r>
            <w:r>
              <w:rPr>
                <w:noProof/>
                <w:webHidden/>
              </w:rPr>
            </w:r>
            <w:r>
              <w:rPr>
                <w:noProof/>
                <w:webHidden/>
              </w:rPr>
              <w:fldChar w:fldCharType="separate"/>
            </w:r>
            <w:r>
              <w:rPr>
                <w:noProof/>
                <w:webHidden/>
              </w:rPr>
              <w:t>26</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21" w:history="1">
            <w:r w:rsidRPr="0064095F">
              <w:rPr>
                <w:rStyle w:val="Hyperlink"/>
                <w:noProof/>
              </w:rPr>
              <w:t>Pharmacokinetic study</w:t>
            </w:r>
            <w:r>
              <w:rPr>
                <w:noProof/>
                <w:webHidden/>
              </w:rPr>
              <w:tab/>
            </w:r>
            <w:r>
              <w:rPr>
                <w:noProof/>
                <w:webHidden/>
              </w:rPr>
              <w:fldChar w:fldCharType="begin"/>
            </w:r>
            <w:r>
              <w:rPr>
                <w:noProof/>
                <w:webHidden/>
              </w:rPr>
              <w:instrText xml:space="preserve"> PAGEREF _Toc403987321 \h </w:instrText>
            </w:r>
            <w:r>
              <w:rPr>
                <w:noProof/>
                <w:webHidden/>
              </w:rPr>
            </w:r>
            <w:r>
              <w:rPr>
                <w:noProof/>
                <w:webHidden/>
              </w:rPr>
              <w:fldChar w:fldCharType="separate"/>
            </w:r>
            <w:r>
              <w:rPr>
                <w:noProof/>
                <w:webHidden/>
              </w:rPr>
              <w:t>26</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22" w:history="1">
            <w:r w:rsidRPr="0064095F">
              <w:rPr>
                <w:rStyle w:val="Hyperlink"/>
                <w:noProof/>
              </w:rPr>
              <w:t>Efficacy</w:t>
            </w:r>
            <w:r>
              <w:rPr>
                <w:noProof/>
                <w:webHidden/>
              </w:rPr>
              <w:tab/>
            </w:r>
            <w:r>
              <w:rPr>
                <w:noProof/>
                <w:webHidden/>
              </w:rPr>
              <w:fldChar w:fldCharType="begin"/>
            </w:r>
            <w:r>
              <w:rPr>
                <w:noProof/>
                <w:webHidden/>
              </w:rPr>
              <w:instrText xml:space="preserve"> PAGEREF _Toc403987322 \h </w:instrText>
            </w:r>
            <w:r>
              <w:rPr>
                <w:noProof/>
                <w:webHidden/>
              </w:rPr>
            </w:r>
            <w:r>
              <w:rPr>
                <w:noProof/>
                <w:webHidden/>
              </w:rPr>
              <w:fldChar w:fldCharType="separate"/>
            </w:r>
            <w:r>
              <w:rPr>
                <w:noProof/>
                <w:webHidden/>
              </w:rPr>
              <w:t>27</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23" w:history="1">
            <w:r w:rsidRPr="0064095F">
              <w:rPr>
                <w:rStyle w:val="Hyperlink"/>
                <w:noProof/>
              </w:rPr>
              <w:t>Safety</w:t>
            </w:r>
            <w:r>
              <w:rPr>
                <w:noProof/>
                <w:webHidden/>
              </w:rPr>
              <w:tab/>
            </w:r>
            <w:r>
              <w:rPr>
                <w:noProof/>
                <w:webHidden/>
              </w:rPr>
              <w:fldChar w:fldCharType="begin"/>
            </w:r>
            <w:r>
              <w:rPr>
                <w:noProof/>
                <w:webHidden/>
              </w:rPr>
              <w:instrText xml:space="preserve"> PAGEREF _Toc403987323 \h </w:instrText>
            </w:r>
            <w:r>
              <w:rPr>
                <w:noProof/>
                <w:webHidden/>
              </w:rPr>
            </w:r>
            <w:r>
              <w:rPr>
                <w:noProof/>
                <w:webHidden/>
              </w:rPr>
              <w:fldChar w:fldCharType="separate"/>
            </w:r>
            <w:r>
              <w:rPr>
                <w:noProof/>
                <w:webHidden/>
              </w:rPr>
              <w:t>31</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24" w:history="1">
            <w:r w:rsidRPr="0064095F">
              <w:rPr>
                <w:rStyle w:val="Hyperlink"/>
                <w:noProof/>
              </w:rPr>
              <w:t>Clinical evaluator’s recommendation</w:t>
            </w:r>
            <w:r>
              <w:rPr>
                <w:noProof/>
                <w:webHidden/>
              </w:rPr>
              <w:tab/>
            </w:r>
            <w:r>
              <w:rPr>
                <w:noProof/>
                <w:webHidden/>
              </w:rPr>
              <w:fldChar w:fldCharType="begin"/>
            </w:r>
            <w:r>
              <w:rPr>
                <w:noProof/>
                <w:webHidden/>
              </w:rPr>
              <w:instrText xml:space="preserve"> PAGEREF _Toc403987324 \h </w:instrText>
            </w:r>
            <w:r>
              <w:rPr>
                <w:noProof/>
                <w:webHidden/>
              </w:rPr>
            </w:r>
            <w:r>
              <w:rPr>
                <w:noProof/>
                <w:webHidden/>
              </w:rPr>
              <w:fldChar w:fldCharType="separate"/>
            </w:r>
            <w:r>
              <w:rPr>
                <w:noProof/>
                <w:webHidden/>
              </w:rPr>
              <w:t>33</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25" w:history="1">
            <w:r w:rsidRPr="0064095F">
              <w:rPr>
                <w:rStyle w:val="Hyperlink"/>
                <w:noProof/>
                <w:lang w:eastAsia="en-AU"/>
              </w:rPr>
              <w:t>Risk management plan</w:t>
            </w:r>
            <w:r>
              <w:rPr>
                <w:noProof/>
                <w:webHidden/>
              </w:rPr>
              <w:tab/>
            </w:r>
            <w:r>
              <w:rPr>
                <w:noProof/>
                <w:webHidden/>
              </w:rPr>
              <w:fldChar w:fldCharType="begin"/>
            </w:r>
            <w:r>
              <w:rPr>
                <w:noProof/>
                <w:webHidden/>
              </w:rPr>
              <w:instrText xml:space="preserve"> PAGEREF _Toc403987325 \h </w:instrText>
            </w:r>
            <w:r>
              <w:rPr>
                <w:noProof/>
                <w:webHidden/>
              </w:rPr>
            </w:r>
            <w:r>
              <w:rPr>
                <w:noProof/>
                <w:webHidden/>
              </w:rPr>
              <w:fldChar w:fldCharType="separate"/>
            </w:r>
            <w:r>
              <w:rPr>
                <w:noProof/>
                <w:webHidden/>
              </w:rPr>
              <w:t>33</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26" w:history="1">
            <w:r w:rsidRPr="0064095F">
              <w:rPr>
                <w:rStyle w:val="Hyperlink"/>
                <w:noProof/>
              </w:rPr>
              <w:t>Risk-benefit analysis</w:t>
            </w:r>
            <w:r>
              <w:rPr>
                <w:noProof/>
                <w:webHidden/>
              </w:rPr>
              <w:tab/>
            </w:r>
            <w:r>
              <w:rPr>
                <w:noProof/>
                <w:webHidden/>
              </w:rPr>
              <w:fldChar w:fldCharType="begin"/>
            </w:r>
            <w:r>
              <w:rPr>
                <w:noProof/>
                <w:webHidden/>
              </w:rPr>
              <w:instrText xml:space="preserve"> PAGEREF _Toc403987326 \h </w:instrText>
            </w:r>
            <w:r>
              <w:rPr>
                <w:noProof/>
                <w:webHidden/>
              </w:rPr>
            </w:r>
            <w:r>
              <w:rPr>
                <w:noProof/>
                <w:webHidden/>
              </w:rPr>
              <w:fldChar w:fldCharType="separate"/>
            </w:r>
            <w:r>
              <w:rPr>
                <w:noProof/>
                <w:webHidden/>
              </w:rPr>
              <w:t>33</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27" w:history="1">
            <w:r w:rsidRPr="0064095F">
              <w:rPr>
                <w:rStyle w:val="Hyperlink"/>
                <w:noProof/>
              </w:rPr>
              <w:t>Delegate’s considerations</w:t>
            </w:r>
            <w:r>
              <w:rPr>
                <w:noProof/>
                <w:webHidden/>
              </w:rPr>
              <w:tab/>
            </w:r>
            <w:r>
              <w:rPr>
                <w:noProof/>
                <w:webHidden/>
              </w:rPr>
              <w:fldChar w:fldCharType="begin"/>
            </w:r>
            <w:r>
              <w:rPr>
                <w:noProof/>
                <w:webHidden/>
              </w:rPr>
              <w:instrText xml:space="preserve"> PAGEREF _Toc403987327 \h </w:instrText>
            </w:r>
            <w:r>
              <w:rPr>
                <w:noProof/>
                <w:webHidden/>
              </w:rPr>
            </w:r>
            <w:r>
              <w:rPr>
                <w:noProof/>
                <w:webHidden/>
              </w:rPr>
              <w:fldChar w:fldCharType="separate"/>
            </w:r>
            <w:r>
              <w:rPr>
                <w:noProof/>
                <w:webHidden/>
              </w:rPr>
              <w:t>33</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28" w:history="1">
            <w:r w:rsidRPr="0064095F">
              <w:rPr>
                <w:rStyle w:val="Hyperlink"/>
                <w:noProof/>
              </w:rPr>
              <w:t>Proposed action</w:t>
            </w:r>
            <w:r>
              <w:rPr>
                <w:noProof/>
                <w:webHidden/>
              </w:rPr>
              <w:tab/>
            </w:r>
            <w:r>
              <w:rPr>
                <w:noProof/>
                <w:webHidden/>
              </w:rPr>
              <w:fldChar w:fldCharType="begin"/>
            </w:r>
            <w:r>
              <w:rPr>
                <w:noProof/>
                <w:webHidden/>
              </w:rPr>
              <w:instrText xml:space="preserve"> PAGEREF _Toc403987328 \h </w:instrText>
            </w:r>
            <w:r>
              <w:rPr>
                <w:noProof/>
                <w:webHidden/>
              </w:rPr>
            </w:r>
            <w:r>
              <w:rPr>
                <w:noProof/>
                <w:webHidden/>
              </w:rPr>
              <w:fldChar w:fldCharType="separate"/>
            </w:r>
            <w:r>
              <w:rPr>
                <w:noProof/>
                <w:webHidden/>
              </w:rPr>
              <w:t>34</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29" w:history="1">
            <w:r w:rsidRPr="0064095F">
              <w:rPr>
                <w:rStyle w:val="Hyperlink"/>
                <w:noProof/>
              </w:rPr>
              <w:t>Request for ACPM advice</w:t>
            </w:r>
            <w:r>
              <w:rPr>
                <w:noProof/>
                <w:webHidden/>
              </w:rPr>
              <w:tab/>
            </w:r>
            <w:r>
              <w:rPr>
                <w:noProof/>
                <w:webHidden/>
              </w:rPr>
              <w:fldChar w:fldCharType="begin"/>
            </w:r>
            <w:r>
              <w:rPr>
                <w:noProof/>
                <w:webHidden/>
              </w:rPr>
              <w:instrText xml:space="preserve"> PAGEREF _Toc403987329 \h </w:instrText>
            </w:r>
            <w:r>
              <w:rPr>
                <w:noProof/>
                <w:webHidden/>
              </w:rPr>
            </w:r>
            <w:r>
              <w:rPr>
                <w:noProof/>
                <w:webHidden/>
              </w:rPr>
              <w:fldChar w:fldCharType="separate"/>
            </w:r>
            <w:r>
              <w:rPr>
                <w:noProof/>
                <w:webHidden/>
              </w:rPr>
              <w:t>34</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30" w:history="1">
            <w:r w:rsidRPr="0064095F">
              <w:rPr>
                <w:rStyle w:val="Hyperlink"/>
                <w:noProof/>
              </w:rPr>
              <w:t>Response from sponsor</w:t>
            </w:r>
            <w:r>
              <w:rPr>
                <w:noProof/>
                <w:webHidden/>
              </w:rPr>
              <w:tab/>
            </w:r>
            <w:r>
              <w:rPr>
                <w:noProof/>
                <w:webHidden/>
              </w:rPr>
              <w:fldChar w:fldCharType="begin"/>
            </w:r>
            <w:r>
              <w:rPr>
                <w:noProof/>
                <w:webHidden/>
              </w:rPr>
              <w:instrText xml:space="preserve"> PAGEREF _Toc403987330 \h </w:instrText>
            </w:r>
            <w:r>
              <w:rPr>
                <w:noProof/>
                <w:webHidden/>
              </w:rPr>
            </w:r>
            <w:r>
              <w:rPr>
                <w:noProof/>
                <w:webHidden/>
              </w:rPr>
              <w:fldChar w:fldCharType="separate"/>
            </w:r>
            <w:r>
              <w:rPr>
                <w:noProof/>
                <w:webHidden/>
              </w:rPr>
              <w:t>34</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31" w:history="1">
            <w:r w:rsidRPr="0064095F">
              <w:rPr>
                <w:rStyle w:val="Hyperlink"/>
                <w:noProof/>
              </w:rPr>
              <w:t>Changes to indications for the individual products</w:t>
            </w:r>
            <w:r>
              <w:rPr>
                <w:noProof/>
                <w:webHidden/>
              </w:rPr>
              <w:tab/>
            </w:r>
            <w:r>
              <w:rPr>
                <w:noProof/>
                <w:webHidden/>
              </w:rPr>
              <w:fldChar w:fldCharType="begin"/>
            </w:r>
            <w:r>
              <w:rPr>
                <w:noProof/>
                <w:webHidden/>
              </w:rPr>
              <w:instrText xml:space="preserve"> PAGEREF _Toc403987331 \h </w:instrText>
            </w:r>
            <w:r>
              <w:rPr>
                <w:noProof/>
                <w:webHidden/>
              </w:rPr>
            </w:r>
            <w:r>
              <w:rPr>
                <w:noProof/>
                <w:webHidden/>
              </w:rPr>
              <w:fldChar w:fldCharType="separate"/>
            </w:r>
            <w:r>
              <w:rPr>
                <w:noProof/>
                <w:webHidden/>
              </w:rPr>
              <w:t>34</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32" w:history="1">
            <w:r w:rsidRPr="0064095F">
              <w:rPr>
                <w:rStyle w:val="Hyperlink"/>
                <w:noProof/>
              </w:rPr>
              <w:t>Clinical efficacy – Data from the Australian Authorised Prescriber Program</w:t>
            </w:r>
            <w:r>
              <w:rPr>
                <w:noProof/>
                <w:webHidden/>
              </w:rPr>
              <w:tab/>
            </w:r>
            <w:r>
              <w:rPr>
                <w:noProof/>
                <w:webHidden/>
              </w:rPr>
              <w:fldChar w:fldCharType="begin"/>
            </w:r>
            <w:r>
              <w:rPr>
                <w:noProof/>
                <w:webHidden/>
              </w:rPr>
              <w:instrText xml:space="preserve"> PAGEREF _Toc403987332 \h </w:instrText>
            </w:r>
            <w:r>
              <w:rPr>
                <w:noProof/>
                <w:webHidden/>
              </w:rPr>
            </w:r>
            <w:r>
              <w:rPr>
                <w:noProof/>
                <w:webHidden/>
              </w:rPr>
              <w:fldChar w:fldCharType="separate"/>
            </w:r>
            <w:r>
              <w:rPr>
                <w:noProof/>
                <w:webHidden/>
              </w:rPr>
              <w:t>34</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33" w:history="1">
            <w:r w:rsidRPr="0064095F">
              <w:rPr>
                <w:rStyle w:val="Hyperlink"/>
                <w:noProof/>
              </w:rPr>
              <w:t>Clinical efficacy – Interim data from the post-registration study</w:t>
            </w:r>
            <w:r>
              <w:rPr>
                <w:noProof/>
                <w:webHidden/>
              </w:rPr>
              <w:tab/>
            </w:r>
            <w:r>
              <w:rPr>
                <w:noProof/>
                <w:webHidden/>
              </w:rPr>
              <w:fldChar w:fldCharType="begin"/>
            </w:r>
            <w:r>
              <w:rPr>
                <w:noProof/>
                <w:webHidden/>
              </w:rPr>
              <w:instrText xml:space="preserve"> PAGEREF _Toc403987333 \h </w:instrText>
            </w:r>
            <w:r>
              <w:rPr>
                <w:noProof/>
                <w:webHidden/>
              </w:rPr>
            </w:r>
            <w:r>
              <w:rPr>
                <w:noProof/>
                <w:webHidden/>
              </w:rPr>
              <w:fldChar w:fldCharType="separate"/>
            </w:r>
            <w:r>
              <w:rPr>
                <w:noProof/>
                <w:webHidden/>
              </w:rPr>
              <w:t>34</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34" w:history="1">
            <w:r w:rsidRPr="0064095F">
              <w:rPr>
                <w:rStyle w:val="Hyperlink"/>
                <w:rFonts w:eastAsiaTheme="minorHAnsi"/>
                <w:noProof/>
              </w:rPr>
              <w:t>Clinical safety - Data from the Australian Authorised Prescriber Program</w:t>
            </w:r>
            <w:r>
              <w:rPr>
                <w:noProof/>
                <w:webHidden/>
              </w:rPr>
              <w:tab/>
            </w:r>
            <w:r>
              <w:rPr>
                <w:noProof/>
                <w:webHidden/>
              </w:rPr>
              <w:fldChar w:fldCharType="begin"/>
            </w:r>
            <w:r>
              <w:rPr>
                <w:noProof/>
                <w:webHidden/>
              </w:rPr>
              <w:instrText xml:space="preserve"> PAGEREF _Toc403987334 \h </w:instrText>
            </w:r>
            <w:r>
              <w:rPr>
                <w:noProof/>
                <w:webHidden/>
              </w:rPr>
            </w:r>
            <w:r>
              <w:rPr>
                <w:noProof/>
                <w:webHidden/>
              </w:rPr>
              <w:fldChar w:fldCharType="separate"/>
            </w:r>
            <w:r>
              <w:rPr>
                <w:noProof/>
                <w:webHidden/>
              </w:rPr>
              <w:t>34</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35" w:history="1">
            <w:r w:rsidRPr="0064095F">
              <w:rPr>
                <w:rStyle w:val="Hyperlink"/>
                <w:rFonts w:eastAsiaTheme="minorHAnsi"/>
                <w:noProof/>
              </w:rPr>
              <w:t>Clinical safety - Interim data from the post-registration study</w:t>
            </w:r>
            <w:r>
              <w:rPr>
                <w:noProof/>
                <w:webHidden/>
              </w:rPr>
              <w:tab/>
            </w:r>
            <w:r>
              <w:rPr>
                <w:noProof/>
                <w:webHidden/>
              </w:rPr>
              <w:fldChar w:fldCharType="begin"/>
            </w:r>
            <w:r>
              <w:rPr>
                <w:noProof/>
                <w:webHidden/>
              </w:rPr>
              <w:instrText xml:space="preserve"> PAGEREF _Toc403987335 \h </w:instrText>
            </w:r>
            <w:r>
              <w:rPr>
                <w:noProof/>
                <w:webHidden/>
              </w:rPr>
            </w:r>
            <w:r>
              <w:rPr>
                <w:noProof/>
                <w:webHidden/>
              </w:rPr>
              <w:fldChar w:fldCharType="separate"/>
            </w:r>
            <w:r>
              <w:rPr>
                <w:noProof/>
                <w:webHidden/>
              </w:rPr>
              <w:t>34</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36" w:history="1">
            <w:r w:rsidRPr="0064095F">
              <w:rPr>
                <w:rStyle w:val="Hyperlink"/>
                <w:rFonts w:eastAsiaTheme="minorHAnsi"/>
                <w:noProof/>
              </w:rPr>
              <w:t>Clinical safety – General comments</w:t>
            </w:r>
            <w:r>
              <w:rPr>
                <w:noProof/>
                <w:webHidden/>
              </w:rPr>
              <w:tab/>
            </w:r>
            <w:r>
              <w:rPr>
                <w:noProof/>
                <w:webHidden/>
              </w:rPr>
              <w:fldChar w:fldCharType="begin"/>
            </w:r>
            <w:r>
              <w:rPr>
                <w:noProof/>
                <w:webHidden/>
              </w:rPr>
              <w:instrText xml:space="preserve"> PAGEREF _Toc403987336 \h </w:instrText>
            </w:r>
            <w:r>
              <w:rPr>
                <w:noProof/>
                <w:webHidden/>
              </w:rPr>
            </w:r>
            <w:r>
              <w:rPr>
                <w:noProof/>
                <w:webHidden/>
              </w:rPr>
              <w:fldChar w:fldCharType="separate"/>
            </w:r>
            <w:r>
              <w:rPr>
                <w:noProof/>
                <w:webHidden/>
              </w:rPr>
              <w:t>35</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37" w:history="1">
            <w:r w:rsidRPr="0064095F">
              <w:rPr>
                <w:rStyle w:val="Hyperlink"/>
                <w:noProof/>
              </w:rPr>
              <w:t>Advisory committee considerations</w:t>
            </w:r>
            <w:r>
              <w:rPr>
                <w:noProof/>
                <w:webHidden/>
              </w:rPr>
              <w:tab/>
            </w:r>
            <w:r>
              <w:rPr>
                <w:noProof/>
                <w:webHidden/>
              </w:rPr>
              <w:fldChar w:fldCharType="begin"/>
            </w:r>
            <w:r>
              <w:rPr>
                <w:noProof/>
                <w:webHidden/>
              </w:rPr>
              <w:instrText xml:space="preserve"> PAGEREF _Toc403987337 \h </w:instrText>
            </w:r>
            <w:r>
              <w:rPr>
                <w:noProof/>
                <w:webHidden/>
              </w:rPr>
            </w:r>
            <w:r>
              <w:rPr>
                <w:noProof/>
                <w:webHidden/>
              </w:rPr>
              <w:fldChar w:fldCharType="separate"/>
            </w:r>
            <w:r>
              <w:rPr>
                <w:noProof/>
                <w:webHidden/>
              </w:rPr>
              <w:t>35</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38" w:history="1">
            <w:r w:rsidRPr="0064095F">
              <w:rPr>
                <w:rStyle w:val="Hyperlink"/>
                <w:noProof/>
              </w:rPr>
              <w:t>Proposed conditions of registration</w:t>
            </w:r>
            <w:r>
              <w:rPr>
                <w:noProof/>
                <w:webHidden/>
              </w:rPr>
              <w:tab/>
            </w:r>
            <w:r>
              <w:rPr>
                <w:noProof/>
                <w:webHidden/>
              </w:rPr>
              <w:fldChar w:fldCharType="begin"/>
            </w:r>
            <w:r>
              <w:rPr>
                <w:noProof/>
                <w:webHidden/>
              </w:rPr>
              <w:instrText xml:space="preserve"> PAGEREF _Toc403987338 \h </w:instrText>
            </w:r>
            <w:r>
              <w:rPr>
                <w:noProof/>
                <w:webHidden/>
              </w:rPr>
            </w:r>
            <w:r>
              <w:rPr>
                <w:noProof/>
                <w:webHidden/>
              </w:rPr>
              <w:fldChar w:fldCharType="separate"/>
            </w:r>
            <w:r>
              <w:rPr>
                <w:noProof/>
                <w:webHidden/>
              </w:rPr>
              <w:t>36</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39" w:history="1">
            <w:r w:rsidRPr="0064095F">
              <w:rPr>
                <w:rStyle w:val="Hyperlink"/>
                <w:noProof/>
              </w:rPr>
              <w:t>Proposed Product Information (PI)/Consumer Medicine Information (CMI) amendments</w:t>
            </w:r>
            <w:r>
              <w:rPr>
                <w:noProof/>
                <w:webHidden/>
              </w:rPr>
              <w:tab/>
            </w:r>
            <w:r>
              <w:rPr>
                <w:noProof/>
                <w:webHidden/>
              </w:rPr>
              <w:fldChar w:fldCharType="begin"/>
            </w:r>
            <w:r>
              <w:rPr>
                <w:noProof/>
                <w:webHidden/>
              </w:rPr>
              <w:instrText xml:space="preserve"> PAGEREF _Toc403987339 \h </w:instrText>
            </w:r>
            <w:r>
              <w:rPr>
                <w:noProof/>
                <w:webHidden/>
              </w:rPr>
            </w:r>
            <w:r>
              <w:rPr>
                <w:noProof/>
                <w:webHidden/>
              </w:rPr>
              <w:fldChar w:fldCharType="separate"/>
            </w:r>
            <w:r>
              <w:rPr>
                <w:noProof/>
                <w:webHidden/>
              </w:rPr>
              <w:t>36</w:t>
            </w:r>
            <w:r>
              <w:rPr>
                <w:noProof/>
                <w:webHidden/>
              </w:rPr>
              <w:fldChar w:fldCharType="end"/>
            </w:r>
          </w:hyperlink>
        </w:p>
        <w:p w:rsidR="00B7103C" w:rsidRDefault="00B7103C">
          <w:pPr>
            <w:pStyle w:val="TOC4"/>
            <w:rPr>
              <w:rFonts w:asciiTheme="minorHAnsi" w:eastAsiaTheme="minorEastAsia" w:hAnsiTheme="minorHAnsi"/>
              <w:noProof/>
              <w:lang w:eastAsia="en-AU"/>
            </w:rPr>
          </w:pPr>
          <w:hyperlink w:anchor="_Toc403987340" w:history="1">
            <w:r w:rsidRPr="0064095F">
              <w:rPr>
                <w:rStyle w:val="Hyperlink"/>
                <w:noProof/>
              </w:rPr>
              <w:t>Specific advice</w:t>
            </w:r>
            <w:r>
              <w:rPr>
                <w:noProof/>
                <w:webHidden/>
              </w:rPr>
              <w:tab/>
            </w:r>
            <w:r>
              <w:rPr>
                <w:noProof/>
                <w:webHidden/>
              </w:rPr>
              <w:fldChar w:fldCharType="begin"/>
            </w:r>
            <w:r>
              <w:rPr>
                <w:noProof/>
                <w:webHidden/>
              </w:rPr>
              <w:instrText xml:space="preserve"> PAGEREF _Toc403987340 \h </w:instrText>
            </w:r>
            <w:r>
              <w:rPr>
                <w:noProof/>
                <w:webHidden/>
              </w:rPr>
            </w:r>
            <w:r>
              <w:rPr>
                <w:noProof/>
                <w:webHidden/>
              </w:rPr>
              <w:fldChar w:fldCharType="separate"/>
            </w:r>
            <w:r>
              <w:rPr>
                <w:noProof/>
                <w:webHidden/>
              </w:rPr>
              <w:t>36</w:t>
            </w:r>
            <w:r>
              <w:rPr>
                <w:noProof/>
                <w:webHidden/>
              </w:rPr>
              <w:fldChar w:fldCharType="end"/>
            </w:r>
          </w:hyperlink>
        </w:p>
        <w:p w:rsidR="00B7103C" w:rsidRDefault="00B7103C">
          <w:pPr>
            <w:pStyle w:val="TOC2"/>
            <w:rPr>
              <w:rFonts w:asciiTheme="minorHAnsi" w:eastAsiaTheme="minorEastAsia" w:hAnsiTheme="minorHAnsi" w:cstheme="minorBidi"/>
              <w:b w:val="0"/>
              <w:noProof/>
              <w:sz w:val="22"/>
              <w:lang w:eastAsia="en-AU"/>
            </w:rPr>
          </w:pPr>
          <w:hyperlink w:anchor="_Toc403987341" w:history="1">
            <w:r w:rsidRPr="0064095F">
              <w:rPr>
                <w:rStyle w:val="Hyperlink"/>
                <w:noProof/>
              </w:rPr>
              <w:t>Outcome</w:t>
            </w:r>
            <w:r>
              <w:rPr>
                <w:noProof/>
                <w:webHidden/>
              </w:rPr>
              <w:tab/>
            </w:r>
            <w:r>
              <w:rPr>
                <w:noProof/>
                <w:webHidden/>
              </w:rPr>
              <w:fldChar w:fldCharType="begin"/>
            </w:r>
            <w:r>
              <w:rPr>
                <w:noProof/>
                <w:webHidden/>
              </w:rPr>
              <w:instrText xml:space="preserve"> PAGEREF _Toc403987341 \h </w:instrText>
            </w:r>
            <w:r>
              <w:rPr>
                <w:noProof/>
                <w:webHidden/>
              </w:rPr>
            </w:r>
            <w:r>
              <w:rPr>
                <w:noProof/>
                <w:webHidden/>
              </w:rPr>
              <w:fldChar w:fldCharType="separate"/>
            </w:r>
            <w:r>
              <w:rPr>
                <w:noProof/>
                <w:webHidden/>
              </w:rPr>
              <w:t>36</w:t>
            </w:r>
            <w:r>
              <w:rPr>
                <w:noProof/>
                <w:webHidden/>
              </w:rPr>
              <w:fldChar w:fldCharType="end"/>
            </w:r>
          </w:hyperlink>
        </w:p>
        <w:p w:rsidR="00B7103C" w:rsidRDefault="00B7103C">
          <w:pPr>
            <w:pStyle w:val="TOC3"/>
            <w:rPr>
              <w:rFonts w:asciiTheme="minorHAnsi" w:eastAsiaTheme="minorEastAsia" w:hAnsiTheme="minorHAnsi" w:cstheme="minorBidi"/>
              <w:noProof/>
              <w:lang w:eastAsia="en-AU"/>
            </w:rPr>
          </w:pPr>
          <w:hyperlink w:anchor="_Toc403987342" w:history="1">
            <w:r w:rsidRPr="0064095F">
              <w:rPr>
                <w:rStyle w:val="Hyperlink"/>
                <w:noProof/>
              </w:rPr>
              <w:t>Specific conditions of registration applying to these goods</w:t>
            </w:r>
            <w:r>
              <w:rPr>
                <w:noProof/>
                <w:webHidden/>
              </w:rPr>
              <w:tab/>
            </w:r>
            <w:r>
              <w:rPr>
                <w:noProof/>
                <w:webHidden/>
              </w:rPr>
              <w:fldChar w:fldCharType="begin"/>
            </w:r>
            <w:r>
              <w:rPr>
                <w:noProof/>
                <w:webHidden/>
              </w:rPr>
              <w:instrText xml:space="preserve"> PAGEREF _Toc403987342 \h </w:instrText>
            </w:r>
            <w:r>
              <w:rPr>
                <w:noProof/>
                <w:webHidden/>
              </w:rPr>
            </w:r>
            <w:r>
              <w:rPr>
                <w:noProof/>
                <w:webHidden/>
              </w:rPr>
              <w:fldChar w:fldCharType="separate"/>
            </w:r>
            <w:r>
              <w:rPr>
                <w:noProof/>
                <w:webHidden/>
              </w:rPr>
              <w:t>37</w:t>
            </w:r>
            <w:r>
              <w:rPr>
                <w:noProof/>
                <w:webHidden/>
              </w:rPr>
              <w:fldChar w:fldCharType="end"/>
            </w:r>
          </w:hyperlink>
        </w:p>
        <w:p w:rsidR="00B7103C" w:rsidRDefault="00B7103C">
          <w:pPr>
            <w:pStyle w:val="TOC1"/>
            <w:rPr>
              <w:rFonts w:asciiTheme="minorHAnsi" w:eastAsiaTheme="minorEastAsia" w:hAnsiTheme="minorHAnsi" w:cstheme="minorBidi"/>
              <w:b w:val="0"/>
              <w:noProof/>
              <w:sz w:val="22"/>
              <w:lang w:eastAsia="en-AU"/>
            </w:rPr>
          </w:pPr>
          <w:hyperlink w:anchor="_Toc403987343" w:history="1">
            <w:r w:rsidRPr="0064095F">
              <w:rPr>
                <w:rStyle w:val="Hyperlink"/>
                <w:noProof/>
              </w:rPr>
              <w:t>Attachment 1. Product Information</w:t>
            </w:r>
            <w:r>
              <w:rPr>
                <w:noProof/>
                <w:webHidden/>
              </w:rPr>
              <w:tab/>
            </w:r>
            <w:r>
              <w:rPr>
                <w:noProof/>
                <w:webHidden/>
              </w:rPr>
              <w:fldChar w:fldCharType="begin"/>
            </w:r>
            <w:r>
              <w:rPr>
                <w:noProof/>
                <w:webHidden/>
              </w:rPr>
              <w:instrText xml:space="preserve"> PAGEREF _Toc403987343 \h </w:instrText>
            </w:r>
            <w:r>
              <w:rPr>
                <w:noProof/>
                <w:webHidden/>
              </w:rPr>
            </w:r>
            <w:r>
              <w:rPr>
                <w:noProof/>
                <w:webHidden/>
              </w:rPr>
              <w:fldChar w:fldCharType="separate"/>
            </w:r>
            <w:r>
              <w:rPr>
                <w:noProof/>
                <w:webHidden/>
              </w:rPr>
              <w:t>37</w:t>
            </w:r>
            <w:r>
              <w:rPr>
                <w:noProof/>
                <w:webHidden/>
              </w:rPr>
              <w:fldChar w:fldCharType="end"/>
            </w:r>
          </w:hyperlink>
        </w:p>
        <w:p w:rsidR="00062545" w:rsidRDefault="00B7103C" w:rsidP="00B7103C">
          <w:pPr>
            <w:pStyle w:val="TOC1"/>
          </w:pPr>
          <w:hyperlink w:anchor="_Toc403987344" w:history="1">
            <w:r w:rsidRPr="0064095F">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_Toc403987344 \h </w:instrText>
            </w:r>
            <w:r>
              <w:rPr>
                <w:noProof/>
                <w:webHidden/>
              </w:rPr>
            </w:r>
            <w:r>
              <w:rPr>
                <w:noProof/>
                <w:webHidden/>
              </w:rPr>
              <w:fldChar w:fldCharType="separate"/>
            </w:r>
            <w:r>
              <w:rPr>
                <w:noProof/>
                <w:webHidden/>
              </w:rPr>
              <w:t>37</w:t>
            </w:r>
            <w:r>
              <w:rPr>
                <w:noProof/>
                <w:webHidden/>
              </w:rPr>
              <w:fldChar w:fldCharType="end"/>
            </w:r>
          </w:hyperlink>
          <w:r w:rsidR="00BC0D9D">
            <w:rPr>
              <w:b w:val="0"/>
              <w:sz w:val="28"/>
            </w:rPr>
            <w:fldChar w:fldCharType="end"/>
          </w:r>
        </w:p>
        <w:bookmarkStart w:id="0" w:name="_GoBack" w:displacedByCustomXml="next"/>
        <w:bookmarkEnd w:id="0" w:displacedByCustomXml="next"/>
      </w:sdtContent>
    </w:sdt>
    <w:p w:rsidR="000E552D" w:rsidRDefault="000E552D">
      <w:pPr>
        <w:spacing w:before="0" w:after="200" w:line="0" w:lineRule="auto"/>
      </w:pPr>
      <w:r>
        <w:br w:type="page"/>
      </w:r>
    </w:p>
    <w:p w:rsidR="000E552D" w:rsidRPr="00C45465" w:rsidRDefault="000E552D" w:rsidP="00C45465">
      <w:pPr>
        <w:pStyle w:val="Heading2"/>
      </w:pPr>
      <w:bookmarkStart w:id="1" w:name="_Toc403987278"/>
      <w:r w:rsidRPr="00FD119B">
        <w:lastRenderedPageBreak/>
        <w:t xml:space="preserve">List of the most common abbreviations used in this </w:t>
      </w:r>
      <w:proofErr w:type="spellStart"/>
      <w:r w:rsidRPr="004F0C4A">
        <w:t>AusPAR</w:t>
      </w:r>
      <w:bookmarkEnd w:id="1"/>
      <w:proofErr w:type="spellEnd"/>
    </w:p>
    <w:tbl>
      <w:tblPr>
        <w:tblStyle w:val="TableTGAblue"/>
        <w:tblW w:w="0" w:type="auto"/>
        <w:tblLook w:val="04A0" w:firstRow="1" w:lastRow="0" w:firstColumn="1" w:lastColumn="0" w:noHBand="0" w:noVBand="1"/>
      </w:tblPr>
      <w:tblGrid>
        <w:gridCol w:w="1884"/>
        <w:gridCol w:w="6836"/>
      </w:tblGrid>
      <w:tr w:rsidR="001E3F0E" w:rsidRPr="00D35908" w:rsidTr="00C45465">
        <w:trPr>
          <w:cnfStyle w:val="100000000000" w:firstRow="1" w:lastRow="0" w:firstColumn="0" w:lastColumn="0" w:oddVBand="0" w:evenVBand="0" w:oddHBand="0" w:evenHBand="0" w:firstRowFirstColumn="0" w:firstRowLastColumn="0" w:lastRowFirstColumn="0" w:lastRowLastColumn="0"/>
        </w:trPr>
        <w:tc>
          <w:tcPr>
            <w:tcW w:w="1884" w:type="dxa"/>
          </w:tcPr>
          <w:p w:rsidR="001E3F0E" w:rsidRPr="00D35908" w:rsidRDefault="001E3F0E" w:rsidP="00C45465">
            <w:pPr>
              <w:ind w:left="0" w:right="0"/>
              <w:rPr>
                <w:lang w:eastAsia="en-US"/>
              </w:rPr>
            </w:pPr>
            <w:r w:rsidRPr="00D35908">
              <w:rPr>
                <w:lang w:eastAsia="en-US"/>
              </w:rPr>
              <w:t>Abbreviation</w:t>
            </w:r>
          </w:p>
        </w:tc>
        <w:tc>
          <w:tcPr>
            <w:tcW w:w="6836" w:type="dxa"/>
          </w:tcPr>
          <w:p w:rsidR="001E3F0E" w:rsidRPr="00D35908" w:rsidRDefault="001E3F0E" w:rsidP="00C45465">
            <w:pPr>
              <w:ind w:left="0" w:right="0"/>
              <w:rPr>
                <w:lang w:eastAsia="en-US"/>
              </w:rPr>
            </w:pPr>
            <w:r w:rsidRPr="00D35908">
              <w:rPr>
                <w:lang w:eastAsia="en-US"/>
              </w:rPr>
              <w:t>Meaning</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µg</w:t>
            </w:r>
          </w:p>
        </w:tc>
        <w:tc>
          <w:tcPr>
            <w:tcW w:w="6836" w:type="dxa"/>
          </w:tcPr>
          <w:p w:rsidR="001E3F0E" w:rsidRPr="00D35908" w:rsidRDefault="001E3F0E" w:rsidP="00C45465">
            <w:pPr>
              <w:ind w:left="0" w:right="0"/>
              <w:rPr>
                <w:color w:val="auto"/>
                <w:lang w:eastAsia="en-US"/>
              </w:rPr>
            </w:pPr>
            <w:r w:rsidRPr="00D35908">
              <w:rPr>
                <w:color w:val="auto"/>
                <w:lang w:eastAsia="en-US"/>
              </w:rPr>
              <w:t>Microgram</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AE</w:t>
            </w:r>
          </w:p>
        </w:tc>
        <w:tc>
          <w:tcPr>
            <w:tcW w:w="6836" w:type="dxa"/>
          </w:tcPr>
          <w:p w:rsidR="001E3F0E" w:rsidRPr="00D35908" w:rsidRDefault="001E3F0E" w:rsidP="00C45465">
            <w:pPr>
              <w:ind w:left="0" w:right="0"/>
              <w:rPr>
                <w:color w:val="auto"/>
                <w:lang w:eastAsia="en-US"/>
              </w:rPr>
            </w:pPr>
            <w:r w:rsidRPr="00D35908">
              <w:rPr>
                <w:color w:val="auto"/>
                <w:lang w:eastAsia="en-US"/>
              </w:rPr>
              <w:t>Adverse event</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CI</w:t>
            </w:r>
          </w:p>
        </w:tc>
        <w:tc>
          <w:tcPr>
            <w:tcW w:w="6836" w:type="dxa"/>
          </w:tcPr>
          <w:p w:rsidR="001E3F0E" w:rsidRPr="00D35908" w:rsidRDefault="001E3F0E" w:rsidP="00C45465">
            <w:pPr>
              <w:ind w:left="0" w:right="0"/>
              <w:rPr>
                <w:color w:val="auto"/>
                <w:lang w:eastAsia="en-US"/>
              </w:rPr>
            </w:pPr>
            <w:r w:rsidRPr="00D35908">
              <w:rPr>
                <w:color w:val="auto"/>
                <w:lang w:eastAsia="en-US"/>
              </w:rPr>
              <w:t>Confidence interval</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CSR</w:t>
            </w:r>
          </w:p>
        </w:tc>
        <w:tc>
          <w:tcPr>
            <w:tcW w:w="6836" w:type="dxa"/>
          </w:tcPr>
          <w:p w:rsidR="001E3F0E" w:rsidRPr="00D35908" w:rsidRDefault="001E3F0E" w:rsidP="00C45465">
            <w:pPr>
              <w:ind w:left="0" w:right="0"/>
              <w:rPr>
                <w:color w:val="auto"/>
                <w:lang w:eastAsia="en-US"/>
              </w:rPr>
            </w:pPr>
            <w:r w:rsidRPr="00D35908">
              <w:rPr>
                <w:color w:val="auto"/>
                <w:lang w:eastAsia="en-US"/>
              </w:rPr>
              <w:t>Clinical study report</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D&amp;C</w:t>
            </w:r>
          </w:p>
        </w:tc>
        <w:tc>
          <w:tcPr>
            <w:tcW w:w="6836" w:type="dxa"/>
          </w:tcPr>
          <w:p w:rsidR="001E3F0E" w:rsidRPr="00D35908" w:rsidRDefault="001E3F0E" w:rsidP="00C45465">
            <w:pPr>
              <w:ind w:left="0" w:right="0"/>
              <w:rPr>
                <w:color w:val="auto"/>
                <w:lang w:eastAsia="en-US"/>
              </w:rPr>
            </w:pPr>
            <w:r w:rsidRPr="00D35908">
              <w:rPr>
                <w:color w:val="auto"/>
                <w:lang w:eastAsia="en-US"/>
              </w:rPr>
              <w:t>Dilatation and curettage</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DA</w:t>
            </w:r>
          </w:p>
        </w:tc>
        <w:tc>
          <w:tcPr>
            <w:tcW w:w="6836" w:type="dxa"/>
          </w:tcPr>
          <w:p w:rsidR="001E3F0E" w:rsidRPr="00D35908" w:rsidRDefault="001E3F0E" w:rsidP="00C45465">
            <w:pPr>
              <w:ind w:left="0" w:right="0"/>
              <w:rPr>
                <w:color w:val="auto"/>
                <w:lang w:eastAsia="en-US"/>
              </w:rPr>
            </w:pPr>
            <w:r w:rsidRPr="00D35908">
              <w:rPr>
                <w:color w:val="auto"/>
                <w:lang w:eastAsia="en-US"/>
              </w:rPr>
              <w:t>Days of amenorrhoea</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GA</w:t>
            </w:r>
          </w:p>
        </w:tc>
        <w:tc>
          <w:tcPr>
            <w:tcW w:w="6836" w:type="dxa"/>
          </w:tcPr>
          <w:p w:rsidR="001E3F0E" w:rsidRPr="00D35908" w:rsidRDefault="001E3F0E" w:rsidP="00C45465">
            <w:pPr>
              <w:ind w:left="0" w:right="0"/>
              <w:rPr>
                <w:color w:val="auto"/>
                <w:lang w:eastAsia="en-US"/>
              </w:rPr>
            </w:pPr>
            <w:r w:rsidRPr="00D35908">
              <w:rPr>
                <w:color w:val="auto"/>
                <w:lang w:eastAsia="en-US"/>
              </w:rPr>
              <w:t>Gestational age</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IUD</w:t>
            </w:r>
          </w:p>
        </w:tc>
        <w:tc>
          <w:tcPr>
            <w:tcW w:w="6836" w:type="dxa"/>
          </w:tcPr>
          <w:p w:rsidR="001E3F0E" w:rsidRPr="00D35908" w:rsidRDefault="001E3F0E" w:rsidP="00C45465">
            <w:pPr>
              <w:ind w:left="0" w:right="0"/>
              <w:rPr>
                <w:color w:val="auto"/>
                <w:lang w:eastAsia="en-US"/>
              </w:rPr>
            </w:pPr>
            <w:r w:rsidRPr="00D35908">
              <w:rPr>
                <w:color w:val="auto"/>
                <w:lang w:eastAsia="en-US"/>
              </w:rPr>
              <w:t>Intrauterine device</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LMP</w:t>
            </w:r>
          </w:p>
        </w:tc>
        <w:tc>
          <w:tcPr>
            <w:tcW w:w="6836" w:type="dxa"/>
          </w:tcPr>
          <w:p w:rsidR="001E3F0E" w:rsidRPr="00D35908" w:rsidRDefault="001E3F0E" w:rsidP="00C45465">
            <w:pPr>
              <w:ind w:left="0" w:right="0"/>
              <w:rPr>
                <w:color w:val="auto"/>
                <w:lang w:eastAsia="en-US"/>
              </w:rPr>
            </w:pPr>
            <w:r w:rsidRPr="00D35908">
              <w:rPr>
                <w:color w:val="auto"/>
                <w:lang w:eastAsia="en-US"/>
              </w:rPr>
              <w:t>Last menstrual period</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MF</w:t>
            </w:r>
          </w:p>
        </w:tc>
        <w:tc>
          <w:tcPr>
            <w:tcW w:w="6836" w:type="dxa"/>
          </w:tcPr>
          <w:p w:rsidR="001E3F0E" w:rsidRPr="00D35908" w:rsidRDefault="001E3F0E" w:rsidP="00C45465">
            <w:pPr>
              <w:ind w:left="0" w:right="0"/>
              <w:rPr>
                <w:color w:val="auto"/>
                <w:lang w:eastAsia="en-US"/>
              </w:rPr>
            </w:pPr>
            <w:r w:rsidRPr="00D35908">
              <w:rPr>
                <w:color w:val="auto"/>
                <w:lang w:eastAsia="en-US"/>
              </w:rPr>
              <w:t xml:space="preserve">Mifepristone </w:t>
            </w:r>
          </w:p>
        </w:tc>
      </w:tr>
      <w:tr w:rsidR="001E3F0E" w:rsidRPr="00D35908" w:rsidTr="00C45465">
        <w:tc>
          <w:tcPr>
            <w:tcW w:w="1884" w:type="dxa"/>
          </w:tcPr>
          <w:p w:rsidR="001E3F0E" w:rsidRPr="00D35908" w:rsidRDefault="001E3F0E" w:rsidP="00C45465">
            <w:pPr>
              <w:ind w:left="0" w:right="0"/>
              <w:rPr>
                <w:color w:val="auto"/>
                <w:lang w:eastAsia="en-US"/>
              </w:rPr>
            </w:pPr>
            <w:proofErr w:type="spellStart"/>
            <w:r w:rsidRPr="00D35908">
              <w:rPr>
                <w:color w:val="auto"/>
                <w:lang w:eastAsia="en-US"/>
              </w:rPr>
              <w:t>Msp</w:t>
            </w:r>
            <w:proofErr w:type="spellEnd"/>
          </w:p>
        </w:tc>
        <w:tc>
          <w:tcPr>
            <w:tcW w:w="6836" w:type="dxa"/>
          </w:tcPr>
          <w:p w:rsidR="001E3F0E" w:rsidRPr="00D35908" w:rsidRDefault="001E3F0E" w:rsidP="00C45465">
            <w:pPr>
              <w:ind w:left="0" w:right="0"/>
              <w:rPr>
                <w:color w:val="auto"/>
                <w:lang w:eastAsia="en-US"/>
              </w:rPr>
            </w:pPr>
            <w:r w:rsidRPr="00D35908">
              <w:rPr>
                <w:color w:val="auto"/>
                <w:lang w:eastAsia="en-US"/>
              </w:rPr>
              <w:t xml:space="preserve">Misoprostol </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PI</w:t>
            </w:r>
          </w:p>
        </w:tc>
        <w:tc>
          <w:tcPr>
            <w:tcW w:w="6836" w:type="dxa"/>
          </w:tcPr>
          <w:p w:rsidR="001E3F0E" w:rsidRPr="00D35908" w:rsidRDefault="001E3F0E" w:rsidP="00C45465">
            <w:pPr>
              <w:ind w:left="0" w:right="0"/>
              <w:rPr>
                <w:color w:val="auto"/>
                <w:lang w:eastAsia="en-US"/>
              </w:rPr>
            </w:pPr>
            <w:r w:rsidRPr="00D35908">
              <w:rPr>
                <w:color w:val="auto"/>
                <w:lang w:eastAsia="en-US"/>
              </w:rPr>
              <w:t>Product information</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PR</w:t>
            </w:r>
          </w:p>
        </w:tc>
        <w:tc>
          <w:tcPr>
            <w:tcW w:w="6836" w:type="dxa"/>
          </w:tcPr>
          <w:p w:rsidR="001E3F0E" w:rsidRPr="00D35908" w:rsidRDefault="001E3F0E" w:rsidP="00C45465">
            <w:pPr>
              <w:ind w:left="0" w:right="0"/>
              <w:rPr>
                <w:color w:val="auto"/>
                <w:lang w:eastAsia="en-US"/>
              </w:rPr>
            </w:pPr>
            <w:r w:rsidRPr="00D35908">
              <w:rPr>
                <w:color w:val="auto"/>
                <w:lang w:eastAsia="en-US"/>
              </w:rPr>
              <w:t>Pregnancy rate</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RCT</w:t>
            </w:r>
          </w:p>
        </w:tc>
        <w:tc>
          <w:tcPr>
            <w:tcW w:w="6836" w:type="dxa"/>
          </w:tcPr>
          <w:p w:rsidR="001E3F0E" w:rsidRPr="00D35908" w:rsidRDefault="001E3F0E" w:rsidP="00C45465">
            <w:pPr>
              <w:ind w:left="0" w:right="0"/>
              <w:rPr>
                <w:color w:val="auto"/>
                <w:lang w:eastAsia="en-US"/>
              </w:rPr>
            </w:pPr>
            <w:r w:rsidRPr="00D35908">
              <w:rPr>
                <w:color w:val="auto"/>
                <w:lang w:eastAsia="en-US"/>
              </w:rPr>
              <w:t>Randomised controlled trial</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SAE</w:t>
            </w:r>
          </w:p>
        </w:tc>
        <w:tc>
          <w:tcPr>
            <w:tcW w:w="6836" w:type="dxa"/>
          </w:tcPr>
          <w:p w:rsidR="001E3F0E" w:rsidRPr="00D35908" w:rsidRDefault="001E3F0E" w:rsidP="00C45465">
            <w:pPr>
              <w:ind w:left="0" w:right="0"/>
              <w:rPr>
                <w:color w:val="auto"/>
                <w:lang w:eastAsia="en-US"/>
              </w:rPr>
            </w:pPr>
            <w:r w:rsidRPr="00D35908">
              <w:rPr>
                <w:color w:val="auto"/>
                <w:lang w:eastAsia="en-US"/>
              </w:rPr>
              <w:t>Serious Adverse Event</w:t>
            </w:r>
          </w:p>
        </w:tc>
      </w:tr>
      <w:tr w:rsidR="001E3F0E" w:rsidRPr="00D35908" w:rsidTr="00C45465">
        <w:tc>
          <w:tcPr>
            <w:tcW w:w="1884" w:type="dxa"/>
          </w:tcPr>
          <w:p w:rsidR="001E3F0E" w:rsidRPr="00D35908" w:rsidRDefault="001E3F0E" w:rsidP="00C45465">
            <w:pPr>
              <w:ind w:left="0" w:right="0"/>
              <w:rPr>
                <w:color w:val="auto"/>
                <w:lang w:eastAsia="en-US"/>
              </w:rPr>
            </w:pPr>
            <w:r w:rsidRPr="00D35908">
              <w:rPr>
                <w:color w:val="auto"/>
                <w:lang w:eastAsia="en-US"/>
              </w:rPr>
              <w:t>TOP</w:t>
            </w:r>
          </w:p>
        </w:tc>
        <w:tc>
          <w:tcPr>
            <w:tcW w:w="6836" w:type="dxa"/>
          </w:tcPr>
          <w:p w:rsidR="001E3F0E" w:rsidRPr="00D35908" w:rsidRDefault="001E3F0E" w:rsidP="00C45465">
            <w:pPr>
              <w:ind w:left="0" w:right="0"/>
              <w:rPr>
                <w:color w:val="auto"/>
                <w:lang w:eastAsia="en-US"/>
              </w:rPr>
            </w:pPr>
            <w:r w:rsidRPr="00D35908">
              <w:rPr>
                <w:color w:val="auto"/>
                <w:lang w:eastAsia="en-US"/>
              </w:rPr>
              <w:t>Termination of Pregnancy</w:t>
            </w:r>
          </w:p>
        </w:tc>
      </w:tr>
    </w:tbl>
    <w:p w:rsidR="000E552D" w:rsidRPr="00D35908" w:rsidRDefault="000E552D" w:rsidP="00FD119B">
      <w:pPr>
        <w:rPr>
          <w:sz w:val="20"/>
          <w:szCs w:val="20"/>
        </w:rPr>
      </w:pPr>
    </w:p>
    <w:p w:rsidR="000E552D" w:rsidRPr="00FD119B" w:rsidRDefault="000E552D" w:rsidP="00FD119B">
      <w:pPr>
        <w:spacing w:before="0" w:after="200" w:line="0" w:lineRule="auto"/>
        <w:rPr>
          <w:b/>
          <w:i/>
          <w:sz w:val="24"/>
          <w:szCs w:val="24"/>
        </w:rPr>
      </w:pPr>
      <w:r w:rsidRPr="00FD119B">
        <w:rPr>
          <w:b/>
          <w:i/>
          <w:sz w:val="24"/>
          <w:szCs w:val="24"/>
        </w:rPr>
        <w:br w:type="page"/>
      </w:r>
    </w:p>
    <w:p w:rsidR="000E552D" w:rsidRPr="00C45465" w:rsidRDefault="000E552D" w:rsidP="00C45465">
      <w:pPr>
        <w:pStyle w:val="Heading2"/>
      </w:pPr>
      <w:bookmarkStart w:id="2" w:name="_Toc403987279"/>
      <w:r>
        <w:lastRenderedPageBreak/>
        <w:t>I. Introduction to product submission</w:t>
      </w:r>
      <w:bookmarkEnd w:id="2"/>
    </w:p>
    <w:p w:rsidR="000E552D" w:rsidRPr="00C45465" w:rsidRDefault="000E552D" w:rsidP="00C45465">
      <w:pPr>
        <w:pStyle w:val="Heading3"/>
      </w:pPr>
      <w:bookmarkStart w:id="3" w:name="_Toc403987280"/>
      <w:r>
        <w:rPr>
          <w:lang w:eastAsia="en-AU"/>
        </w:rPr>
        <w:t>Submission details</w:t>
      </w:r>
      <w:bookmarkEnd w:id="3"/>
    </w:p>
    <w:tbl>
      <w:tblPr>
        <w:tblW w:w="9497" w:type="dxa"/>
        <w:tblInd w:w="108" w:type="dxa"/>
        <w:tblLook w:val="01E0" w:firstRow="1" w:lastRow="1" w:firstColumn="1" w:lastColumn="1" w:noHBand="0" w:noVBand="0"/>
      </w:tblPr>
      <w:tblGrid>
        <w:gridCol w:w="2907"/>
        <w:gridCol w:w="6307"/>
        <w:gridCol w:w="283"/>
      </w:tblGrid>
      <w:tr w:rsidR="000E552D" w:rsidRPr="003D1E62" w:rsidTr="00C45465">
        <w:trPr>
          <w:trHeight w:hRule="exact" w:val="454"/>
        </w:trPr>
        <w:tc>
          <w:tcPr>
            <w:tcW w:w="2907" w:type="dxa"/>
          </w:tcPr>
          <w:p w:rsidR="000E552D" w:rsidRPr="003D1E62" w:rsidRDefault="000E552D" w:rsidP="001B5C90">
            <w:pPr>
              <w:rPr>
                <w:i/>
              </w:rPr>
            </w:pPr>
            <w:r>
              <w:rPr>
                <w:i/>
              </w:rPr>
              <w:t>Type of s</w:t>
            </w:r>
            <w:r w:rsidRPr="003D1E62">
              <w:rPr>
                <w:i/>
              </w:rPr>
              <w:t>ubmission</w:t>
            </w:r>
            <w:r>
              <w:rPr>
                <w:i/>
              </w:rPr>
              <w:t>:</w:t>
            </w:r>
          </w:p>
        </w:tc>
        <w:tc>
          <w:tcPr>
            <w:tcW w:w="6590" w:type="dxa"/>
            <w:gridSpan w:val="2"/>
          </w:tcPr>
          <w:p w:rsidR="000E552D" w:rsidRPr="003D1E62" w:rsidRDefault="000E552D" w:rsidP="001B5C90">
            <w:r>
              <w:rPr>
                <w:noProof/>
              </w:rPr>
              <w:t>New combination of active ingredients</w:t>
            </w:r>
          </w:p>
        </w:tc>
      </w:tr>
      <w:tr w:rsidR="000E552D" w:rsidRPr="003D1E62" w:rsidTr="00C45465">
        <w:trPr>
          <w:trHeight w:hRule="exact" w:val="454"/>
        </w:trPr>
        <w:tc>
          <w:tcPr>
            <w:tcW w:w="2907" w:type="dxa"/>
          </w:tcPr>
          <w:p w:rsidR="000E552D" w:rsidRPr="003D1E62" w:rsidRDefault="000E552D" w:rsidP="003D1E62">
            <w:r w:rsidRPr="003D1E62">
              <w:rPr>
                <w:i/>
              </w:rPr>
              <w:t>Decision</w:t>
            </w:r>
            <w:r w:rsidRPr="003D1E62">
              <w:t>:</w:t>
            </w:r>
          </w:p>
        </w:tc>
        <w:tc>
          <w:tcPr>
            <w:tcW w:w="6590" w:type="dxa"/>
            <w:gridSpan w:val="2"/>
          </w:tcPr>
          <w:p w:rsidR="000E552D" w:rsidRPr="003D1E62" w:rsidRDefault="00293619" w:rsidP="00293619">
            <w:r>
              <w:t>Approved</w:t>
            </w:r>
          </w:p>
        </w:tc>
      </w:tr>
      <w:tr w:rsidR="000E552D" w:rsidRPr="003D1E62" w:rsidTr="00C45465">
        <w:trPr>
          <w:trHeight w:hRule="exact" w:val="454"/>
        </w:trPr>
        <w:tc>
          <w:tcPr>
            <w:tcW w:w="2907" w:type="dxa"/>
          </w:tcPr>
          <w:p w:rsidR="000E552D" w:rsidRPr="003D1E62" w:rsidRDefault="000E552D" w:rsidP="001B5C90">
            <w:pPr>
              <w:rPr>
                <w:i/>
              </w:rPr>
            </w:pPr>
            <w:r w:rsidRPr="003D1E62">
              <w:rPr>
                <w:i/>
              </w:rPr>
              <w:t xml:space="preserve">Date of </w:t>
            </w:r>
            <w:r>
              <w:rPr>
                <w:i/>
              </w:rPr>
              <w:t>d</w:t>
            </w:r>
            <w:r w:rsidRPr="003D1E62">
              <w:rPr>
                <w:i/>
              </w:rPr>
              <w:t>ecision:</w:t>
            </w:r>
          </w:p>
        </w:tc>
        <w:tc>
          <w:tcPr>
            <w:tcW w:w="6590" w:type="dxa"/>
            <w:gridSpan w:val="2"/>
          </w:tcPr>
          <w:p w:rsidR="000E552D" w:rsidRPr="003D1E62" w:rsidRDefault="006270FF" w:rsidP="001B5C90">
            <w:r>
              <w:t>28 May 2014</w:t>
            </w:r>
          </w:p>
        </w:tc>
      </w:tr>
      <w:tr w:rsidR="000E552D" w:rsidRPr="00487162" w:rsidTr="00C45465">
        <w:trPr>
          <w:gridAfter w:val="1"/>
          <w:wAfter w:w="283" w:type="dxa"/>
        </w:trPr>
        <w:tc>
          <w:tcPr>
            <w:tcW w:w="2907" w:type="dxa"/>
          </w:tcPr>
          <w:p w:rsidR="000E552D" w:rsidRPr="00487162" w:rsidRDefault="000E552D" w:rsidP="00C45465">
            <w:pPr>
              <w:rPr>
                <w:i/>
              </w:rPr>
            </w:pPr>
            <w:r>
              <w:rPr>
                <w:i/>
              </w:rPr>
              <w:t>Active ingredients:</w:t>
            </w:r>
          </w:p>
        </w:tc>
        <w:tc>
          <w:tcPr>
            <w:tcW w:w="6307" w:type="dxa"/>
          </w:tcPr>
          <w:p w:rsidR="000E552D" w:rsidRPr="00487162" w:rsidRDefault="00293619" w:rsidP="00E45619">
            <w:r>
              <w:rPr>
                <w:noProof/>
              </w:rPr>
              <w:t>M</w:t>
            </w:r>
            <w:r w:rsidR="000E552D">
              <w:rPr>
                <w:noProof/>
              </w:rPr>
              <w:t>ifepristone / mis</w:t>
            </w:r>
            <w:r w:rsidR="00D37DD2">
              <w:rPr>
                <w:noProof/>
              </w:rPr>
              <w:t>o</w:t>
            </w:r>
            <w:r w:rsidR="000E552D">
              <w:rPr>
                <w:noProof/>
              </w:rPr>
              <w:t>prostol</w:t>
            </w:r>
          </w:p>
        </w:tc>
      </w:tr>
      <w:tr w:rsidR="000E552D" w:rsidRPr="00487162" w:rsidTr="00C45465">
        <w:trPr>
          <w:gridAfter w:val="1"/>
          <w:wAfter w:w="283" w:type="dxa"/>
        </w:trPr>
        <w:tc>
          <w:tcPr>
            <w:tcW w:w="2907" w:type="dxa"/>
          </w:tcPr>
          <w:p w:rsidR="000E552D" w:rsidRPr="00487162" w:rsidRDefault="000E552D" w:rsidP="00293619">
            <w:pPr>
              <w:rPr>
                <w:i/>
              </w:rPr>
            </w:pPr>
            <w:r w:rsidRPr="00487162">
              <w:rPr>
                <w:i/>
              </w:rPr>
              <w:t>Product</w:t>
            </w:r>
            <w:r w:rsidR="00293619">
              <w:rPr>
                <w:i/>
              </w:rPr>
              <w:t xml:space="preserve"> name</w:t>
            </w:r>
            <w:r>
              <w:rPr>
                <w:i/>
              </w:rPr>
              <w:t>:</w:t>
            </w:r>
          </w:p>
        </w:tc>
        <w:tc>
          <w:tcPr>
            <w:tcW w:w="6307" w:type="dxa"/>
          </w:tcPr>
          <w:p w:rsidR="000E552D" w:rsidRPr="00487162" w:rsidRDefault="000E552D" w:rsidP="00C71B85">
            <w:r>
              <w:rPr>
                <w:noProof/>
              </w:rPr>
              <w:t>MS-2 S</w:t>
            </w:r>
            <w:r w:rsidR="00C71B85">
              <w:rPr>
                <w:noProof/>
              </w:rPr>
              <w:t>tep</w:t>
            </w:r>
          </w:p>
        </w:tc>
      </w:tr>
      <w:tr w:rsidR="000E552D" w:rsidRPr="00487162" w:rsidTr="00C45465">
        <w:trPr>
          <w:gridAfter w:val="1"/>
          <w:wAfter w:w="283" w:type="dxa"/>
        </w:trPr>
        <w:tc>
          <w:tcPr>
            <w:tcW w:w="2907" w:type="dxa"/>
          </w:tcPr>
          <w:p w:rsidR="000E552D" w:rsidRPr="00487162" w:rsidRDefault="000E552D" w:rsidP="001B5C90">
            <w:pPr>
              <w:rPr>
                <w:i/>
              </w:rPr>
            </w:pPr>
            <w:r w:rsidRPr="00487162">
              <w:rPr>
                <w:i/>
              </w:rPr>
              <w:t xml:space="preserve">Sponsor’s </w:t>
            </w:r>
            <w:r>
              <w:rPr>
                <w:i/>
              </w:rPr>
              <w:t>n</w:t>
            </w:r>
            <w:r w:rsidRPr="00487162">
              <w:rPr>
                <w:i/>
              </w:rPr>
              <w:t xml:space="preserve">ame and </w:t>
            </w:r>
            <w:r>
              <w:rPr>
                <w:i/>
              </w:rPr>
              <w:t>a</w:t>
            </w:r>
            <w:r w:rsidRPr="00487162">
              <w:rPr>
                <w:i/>
              </w:rPr>
              <w:t>ddress:</w:t>
            </w:r>
          </w:p>
        </w:tc>
        <w:tc>
          <w:tcPr>
            <w:tcW w:w="6307" w:type="dxa"/>
          </w:tcPr>
          <w:p w:rsidR="00CE0EEC" w:rsidRPr="00487162" w:rsidRDefault="000E552D" w:rsidP="00C45465">
            <w:r>
              <w:rPr>
                <w:noProof/>
              </w:rPr>
              <w:t>MS Health Pty Ltd</w:t>
            </w:r>
            <w:r w:rsidR="00C45465">
              <w:rPr>
                <w:noProof/>
              </w:rPr>
              <w:br/>
            </w:r>
            <w:r w:rsidR="00CE0EEC" w:rsidRPr="00F121DD">
              <w:rPr>
                <w:rFonts w:asciiTheme="minorHAnsi" w:hAnsiTheme="minorHAnsi"/>
              </w:rPr>
              <w:t>Suite 129, 135 Cardigan Street</w:t>
            </w:r>
            <w:r w:rsidR="00C45465">
              <w:rPr>
                <w:rFonts w:asciiTheme="minorHAnsi" w:hAnsiTheme="minorHAnsi"/>
              </w:rPr>
              <w:br/>
            </w:r>
            <w:r w:rsidR="00CE0EEC" w:rsidRPr="00F121DD">
              <w:rPr>
                <w:rFonts w:asciiTheme="minorHAnsi" w:hAnsiTheme="minorHAnsi"/>
              </w:rPr>
              <w:t>Carlton VIC 3053</w:t>
            </w:r>
          </w:p>
        </w:tc>
      </w:tr>
      <w:tr w:rsidR="000E552D" w:rsidRPr="00487162" w:rsidTr="00C45465">
        <w:trPr>
          <w:gridAfter w:val="1"/>
          <w:wAfter w:w="283" w:type="dxa"/>
        </w:trPr>
        <w:tc>
          <w:tcPr>
            <w:tcW w:w="2907" w:type="dxa"/>
          </w:tcPr>
          <w:p w:rsidR="000E552D" w:rsidRPr="00487162" w:rsidRDefault="000E552D" w:rsidP="00C71B85">
            <w:pPr>
              <w:rPr>
                <w:i/>
              </w:rPr>
            </w:pPr>
            <w:r>
              <w:rPr>
                <w:i/>
              </w:rPr>
              <w:t>Dose</w:t>
            </w:r>
            <w:r w:rsidR="00C71B85">
              <w:rPr>
                <w:i/>
              </w:rPr>
              <w:t xml:space="preserve"> form</w:t>
            </w:r>
            <w:r>
              <w:rPr>
                <w:i/>
              </w:rPr>
              <w:t>:</w:t>
            </w:r>
          </w:p>
        </w:tc>
        <w:tc>
          <w:tcPr>
            <w:tcW w:w="6307" w:type="dxa"/>
          </w:tcPr>
          <w:p w:rsidR="000E552D" w:rsidRPr="00487162" w:rsidRDefault="000E552D" w:rsidP="00E45619">
            <w:r>
              <w:rPr>
                <w:noProof/>
              </w:rPr>
              <w:t>Tablet blister pack</w:t>
            </w:r>
          </w:p>
        </w:tc>
      </w:tr>
      <w:tr w:rsidR="000E552D" w:rsidRPr="00487162" w:rsidTr="00C45465">
        <w:trPr>
          <w:gridAfter w:val="1"/>
          <w:wAfter w:w="283" w:type="dxa"/>
        </w:trPr>
        <w:tc>
          <w:tcPr>
            <w:tcW w:w="2907" w:type="dxa"/>
          </w:tcPr>
          <w:p w:rsidR="000E552D" w:rsidRPr="00487162" w:rsidRDefault="000E552D" w:rsidP="00C45465">
            <w:pPr>
              <w:rPr>
                <w:i/>
              </w:rPr>
            </w:pPr>
            <w:r w:rsidRPr="00487162">
              <w:rPr>
                <w:i/>
              </w:rPr>
              <w:t>Strengths</w:t>
            </w:r>
            <w:r w:rsidR="00C45465">
              <w:rPr>
                <w:i/>
              </w:rPr>
              <w:t>:</w:t>
            </w:r>
          </w:p>
        </w:tc>
        <w:tc>
          <w:tcPr>
            <w:tcW w:w="6307" w:type="dxa"/>
          </w:tcPr>
          <w:p w:rsidR="000E552D" w:rsidRPr="00487162" w:rsidRDefault="00C71B85" w:rsidP="00E45619">
            <w:r>
              <w:rPr>
                <w:noProof/>
              </w:rPr>
              <w:t>M</w:t>
            </w:r>
            <w:r w:rsidR="000E552D">
              <w:rPr>
                <w:noProof/>
              </w:rPr>
              <w:t>ifepristone: one 200</w:t>
            </w:r>
            <w:r w:rsidR="00001F72">
              <w:rPr>
                <w:noProof/>
              </w:rPr>
              <w:t xml:space="preserve"> </w:t>
            </w:r>
            <w:r w:rsidR="000E552D">
              <w:rPr>
                <w:noProof/>
              </w:rPr>
              <w:t>mg tablet, in a blister</w:t>
            </w:r>
            <w:r>
              <w:rPr>
                <w:noProof/>
              </w:rPr>
              <w:t xml:space="preserve"> and </w:t>
            </w:r>
            <w:r w:rsidR="000E552D">
              <w:rPr>
                <w:noProof/>
              </w:rPr>
              <w:t>mis</w:t>
            </w:r>
            <w:r w:rsidR="003A5FE5">
              <w:rPr>
                <w:noProof/>
              </w:rPr>
              <w:t>o</w:t>
            </w:r>
            <w:r w:rsidR="000E552D">
              <w:rPr>
                <w:noProof/>
              </w:rPr>
              <w:t>prostol: four 200</w:t>
            </w:r>
            <w:r w:rsidR="00001F72">
              <w:rPr>
                <w:noProof/>
              </w:rPr>
              <w:t xml:space="preserve"> </w:t>
            </w:r>
            <w:r w:rsidR="000E552D">
              <w:rPr>
                <w:noProof/>
              </w:rPr>
              <w:t>m</w:t>
            </w:r>
            <w:r w:rsidR="007372B4">
              <w:rPr>
                <w:noProof/>
              </w:rPr>
              <w:t>i</w:t>
            </w:r>
            <w:r w:rsidR="000E552D">
              <w:rPr>
                <w:noProof/>
              </w:rPr>
              <w:t>c</w:t>
            </w:r>
            <w:r w:rsidR="007372B4">
              <w:rPr>
                <w:noProof/>
              </w:rPr>
              <w:t>ro</w:t>
            </w:r>
            <w:r w:rsidR="000E552D">
              <w:rPr>
                <w:noProof/>
              </w:rPr>
              <w:t>g</w:t>
            </w:r>
            <w:r w:rsidR="007372B4">
              <w:rPr>
                <w:noProof/>
              </w:rPr>
              <w:t>ram</w:t>
            </w:r>
            <w:r w:rsidR="000E552D">
              <w:rPr>
                <w:noProof/>
              </w:rPr>
              <w:t xml:space="preserve"> tablets, in a blister pack</w:t>
            </w:r>
          </w:p>
        </w:tc>
      </w:tr>
      <w:tr w:rsidR="000E552D" w:rsidRPr="00487162" w:rsidTr="00C45465">
        <w:trPr>
          <w:gridAfter w:val="1"/>
          <w:wAfter w:w="283" w:type="dxa"/>
        </w:trPr>
        <w:tc>
          <w:tcPr>
            <w:tcW w:w="2907" w:type="dxa"/>
          </w:tcPr>
          <w:p w:rsidR="000E552D" w:rsidRPr="00487162" w:rsidRDefault="000E552D" w:rsidP="00C45465">
            <w:pPr>
              <w:rPr>
                <w:i/>
              </w:rPr>
            </w:pPr>
            <w:r w:rsidRPr="00487162">
              <w:rPr>
                <w:i/>
              </w:rPr>
              <w:t>Container:</w:t>
            </w:r>
          </w:p>
        </w:tc>
        <w:tc>
          <w:tcPr>
            <w:tcW w:w="6307" w:type="dxa"/>
          </w:tcPr>
          <w:p w:rsidR="000E552D" w:rsidRPr="00487162" w:rsidRDefault="006270FF" w:rsidP="00E45619">
            <w:r>
              <w:t>Blister</w:t>
            </w:r>
          </w:p>
        </w:tc>
      </w:tr>
      <w:tr w:rsidR="000E552D" w:rsidRPr="00487162" w:rsidTr="00C45465">
        <w:trPr>
          <w:gridAfter w:val="1"/>
          <w:wAfter w:w="283" w:type="dxa"/>
        </w:trPr>
        <w:tc>
          <w:tcPr>
            <w:tcW w:w="2907" w:type="dxa"/>
          </w:tcPr>
          <w:p w:rsidR="000E552D" w:rsidRPr="00487162" w:rsidRDefault="000E552D" w:rsidP="00C45465">
            <w:pPr>
              <w:rPr>
                <w:i/>
              </w:rPr>
            </w:pPr>
            <w:r w:rsidRPr="00487162">
              <w:rPr>
                <w:i/>
              </w:rPr>
              <w:t>Pack sizes:</w:t>
            </w:r>
          </w:p>
        </w:tc>
        <w:tc>
          <w:tcPr>
            <w:tcW w:w="6307" w:type="dxa"/>
          </w:tcPr>
          <w:p w:rsidR="000E552D" w:rsidRPr="00487162" w:rsidRDefault="006270FF" w:rsidP="007372B4">
            <w:r>
              <w:t xml:space="preserve">One (1) mifepristone tablet and four (4) </w:t>
            </w:r>
            <w:proofErr w:type="spellStart"/>
            <w:r w:rsidR="00052E21">
              <w:t>GyMiso</w:t>
            </w:r>
            <w:proofErr w:type="spellEnd"/>
            <w:r w:rsidR="00052E21">
              <w:t>®</w:t>
            </w:r>
            <w:r>
              <w:t xml:space="preserve"> tablets per M</w:t>
            </w:r>
            <w:r w:rsidR="007372B4">
              <w:t>S-2 Step</w:t>
            </w:r>
            <w:r>
              <w:t xml:space="preserve"> pack.</w:t>
            </w:r>
          </w:p>
        </w:tc>
      </w:tr>
      <w:tr w:rsidR="000E552D" w:rsidRPr="00487162" w:rsidTr="00C45465">
        <w:trPr>
          <w:gridAfter w:val="1"/>
          <w:wAfter w:w="283" w:type="dxa"/>
        </w:trPr>
        <w:tc>
          <w:tcPr>
            <w:tcW w:w="2907" w:type="dxa"/>
          </w:tcPr>
          <w:p w:rsidR="000E552D" w:rsidRPr="00487162" w:rsidRDefault="000E552D" w:rsidP="001B5C90">
            <w:pPr>
              <w:rPr>
                <w:i/>
              </w:rPr>
            </w:pPr>
            <w:r w:rsidRPr="00487162">
              <w:rPr>
                <w:i/>
              </w:rPr>
              <w:t xml:space="preserve">Approved </w:t>
            </w:r>
            <w:r>
              <w:rPr>
                <w:i/>
              </w:rPr>
              <w:t>t</w:t>
            </w:r>
            <w:r w:rsidRPr="00487162">
              <w:rPr>
                <w:i/>
              </w:rPr>
              <w:t>herapeutic use:</w:t>
            </w:r>
          </w:p>
        </w:tc>
        <w:tc>
          <w:tcPr>
            <w:tcW w:w="6307" w:type="dxa"/>
          </w:tcPr>
          <w:p w:rsidR="00C45465" w:rsidRDefault="006270FF" w:rsidP="00C45465">
            <w:r>
              <w:t>MS-2 Step is indicated in females of childbearing age for the medical termination of a developing intrauterine pregnancy, up to 63 days of gestation.</w:t>
            </w:r>
          </w:p>
          <w:p w:rsidR="00C45465" w:rsidRDefault="006270FF" w:rsidP="00C45465">
            <w:r>
              <w:t>It is recommended that the duration of pregnancy (that is, up to 63 days gestation) be confirmed by ultrasound. In the event that an ultrasound is not possible, extra caution should be exercised.</w:t>
            </w:r>
          </w:p>
          <w:p w:rsidR="000E552D" w:rsidRPr="00487162" w:rsidRDefault="006270FF" w:rsidP="00C45465">
            <w:pPr>
              <w:rPr>
                <w:rFonts w:eastAsia="MS Mincho"/>
                <w:lang w:eastAsia="ja-JP"/>
              </w:rPr>
            </w:pPr>
            <w:r>
              <w:t>Ultrasound is also useful to exclude ectopic pregnancy.</w:t>
            </w:r>
          </w:p>
        </w:tc>
      </w:tr>
      <w:tr w:rsidR="000E552D" w:rsidRPr="00487162" w:rsidTr="00C45465">
        <w:trPr>
          <w:gridAfter w:val="1"/>
          <w:wAfter w:w="283" w:type="dxa"/>
        </w:trPr>
        <w:tc>
          <w:tcPr>
            <w:tcW w:w="2907" w:type="dxa"/>
          </w:tcPr>
          <w:p w:rsidR="000E552D" w:rsidRPr="00487162" w:rsidRDefault="000E552D" w:rsidP="00C45465">
            <w:pPr>
              <w:rPr>
                <w:i/>
              </w:rPr>
            </w:pPr>
            <w:r w:rsidRPr="00487162">
              <w:rPr>
                <w:i/>
              </w:rPr>
              <w:t>Route of administration:</w:t>
            </w:r>
          </w:p>
        </w:tc>
        <w:tc>
          <w:tcPr>
            <w:tcW w:w="6307" w:type="dxa"/>
          </w:tcPr>
          <w:p w:rsidR="000E552D" w:rsidRPr="00487162" w:rsidRDefault="00C45465" w:rsidP="00E45619">
            <w:r>
              <w:rPr>
                <w:noProof/>
              </w:rPr>
              <w:t>O</w:t>
            </w:r>
            <w:r w:rsidR="000E552D">
              <w:rPr>
                <w:noProof/>
              </w:rPr>
              <w:t>ral/buccal</w:t>
            </w:r>
          </w:p>
        </w:tc>
      </w:tr>
      <w:tr w:rsidR="000E552D" w:rsidRPr="00487162" w:rsidTr="00C45465">
        <w:trPr>
          <w:gridAfter w:val="1"/>
          <w:wAfter w:w="283" w:type="dxa"/>
        </w:trPr>
        <w:tc>
          <w:tcPr>
            <w:tcW w:w="2907" w:type="dxa"/>
          </w:tcPr>
          <w:p w:rsidR="000E552D" w:rsidRPr="00487162" w:rsidRDefault="000E552D" w:rsidP="00E45619">
            <w:pPr>
              <w:rPr>
                <w:i/>
              </w:rPr>
            </w:pPr>
            <w:r w:rsidRPr="00487162">
              <w:rPr>
                <w:i/>
              </w:rPr>
              <w:t>Dosage:</w:t>
            </w:r>
          </w:p>
        </w:tc>
        <w:tc>
          <w:tcPr>
            <w:tcW w:w="6307" w:type="dxa"/>
          </w:tcPr>
          <w:p w:rsidR="000E552D" w:rsidRPr="00487162" w:rsidRDefault="000E552D" w:rsidP="00D37DD2">
            <w:r>
              <w:rPr>
                <w:noProof/>
              </w:rPr>
              <w:t xml:space="preserve">One mifepristone tablet 200 mg (orally), followed in 36 to 48 hours by </w:t>
            </w:r>
            <w:r w:rsidR="00001F72">
              <w:rPr>
                <w:noProof/>
              </w:rPr>
              <w:t>800 microgram</w:t>
            </w:r>
            <w:r w:rsidR="008E1E51">
              <w:rPr>
                <w:noProof/>
              </w:rPr>
              <w:t xml:space="preserve"> of </w:t>
            </w:r>
            <w:r>
              <w:rPr>
                <w:noProof/>
              </w:rPr>
              <w:t>mis</w:t>
            </w:r>
            <w:r w:rsidR="00001F72">
              <w:rPr>
                <w:noProof/>
              </w:rPr>
              <w:t>o</w:t>
            </w:r>
            <w:r>
              <w:rPr>
                <w:noProof/>
              </w:rPr>
              <w:t xml:space="preserve">prostol </w:t>
            </w:r>
            <w:r w:rsidR="00001F72">
              <w:rPr>
                <w:noProof/>
              </w:rPr>
              <w:t xml:space="preserve">(4 </w:t>
            </w:r>
            <w:r>
              <w:rPr>
                <w:noProof/>
              </w:rPr>
              <w:t>tablets</w:t>
            </w:r>
            <w:r w:rsidR="00001F72">
              <w:rPr>
                <w:noProof/>
              </w:rPr>
              <w:t xml:space="preserve"> of</w:t>
            </w:r>
            <w:r>
              <w:rPr>
                <w:noProof/>
              </w:rPr>
              <w:t xml:space="preserve"> 200</w:t>
            </w:r>
            <w:r w:rsidR="00001F72">
              <w:rPr>
                <w:noProof/>
              </w:rPr>
              <w:t xml:space="preserve"> </w:t>
            </w:r>
            <w:r w:rsidR="00336C5D">
              <w:rPr>
                <w:noProof/>
              </w:rPr>
              <w:t>microgram</w:t>
            </w:r>
            <w:r>
              <w:rPr>
                <w:noProof/>
              </w:rPr>
              <w:t xml:space="preserve"> (buccally)</w:t>
            </w:r>
            <w:r w:rsidR="008E1E51">
              <w:rPr>
                <w:noProof/>
              </w:rPr>
              <w:t>)</w:t>
            </w:r>
            <w:r>
              <w:rPr>
                <w:noProof/>
              </w:rPr>
              <w:t>.</w:t>
            </w:r>
          </w:p>
        </w:tc>
      </w:tr>
      <w:tr w:rsidR="000E552D" w:rsidRPr="00487162" w:rsidTr="00C45465">
        <w:trPr>
          <w:gridAfter w:val="1"/>
          <w:wAfter w:w="283" w:type="dxa"/>
        </w:trPr>
        <w:tc>
          <w:tcPr>
            <w:tcW w:w="2907" w:type="dxa"/>
          </w:tcPr>
          <w:p w:rsidR="000E552D" w:rsidRPr="00487162" w:rsidRDefault="000E552D" w:rsidP="00C71B85">
            <w:pPr>
              <w:rPr>
                <w:i/>
              </w:rPr>
            </w:pPr>
            <w:r w:rsidRPr="00487162">
              <w:rPr>
                <w:i/>
              </w:rPr>
              <w:t xml:space="preserve">ARTG </w:t>
            </w:r>
            <w:r>
              <w:rPr>
                <w:i/>
              </w:rPr>
              <w:t>n</w:t>
            </w:r>
            <w:r w:rsidR="00C71B85">
              <w:rPr>
                <w:i/>
              </w:rPr>
              <w:t>umber</w:t>
            </w:r>
            <w:r>
              <w:rPr>
                <w:i/>
              </w:rPr>
              <w:t>:</w:t>
            </w:r>
          </w:p>
        </w:tc>
        <w:tc>
          <w:tcPr>
            <w:tcW w:w="6307" w:type="dxa"/>
          </w:tcPr>
          <w:p w:rsidR="000E552D" w:rsidRPr="00487162" w:rsidRDefault="006270FF" w:rsidP="00C71B85">
            <w:r>
              <w:t>210574</w:t>
            </w:r>
          </w:p>
        </w:tc>
      </w:tr>
    </w:tbl>
    <w:p w:rsidR="000E552D" w:rsidRPr="00C45465" w:rsidRDefault="000E552D" w:rsidP="00C45465">
      <w:pPr>
        <w:pStyle w:val="Heading3"/>
      </w:pPr>
      <w:bookmarkStart w:id="4" w:name="_Toc403987281"/>
      <w:r>
        <w:t>Product background</w:t>
      </w:r>
      <w:bookmarkEnd w:id="4"/>
    </w:p>
    <w:p w:rsidR="000E552D" w:rsidRDefault="000E552D" w:rsidP="00C45465">
      <w:r w:rsidRPr="00940A89">
        <w:t xml:space="preserve">This </w:t>
      </w:r>
      <w:proofErr w:type="spellStart"/>
      <w:r w:rsidRPr="00940A89">
        <w:t>AusPAR</w:t>
      </w:r>
      <w:proofErr w:type="spellEnd"/>
      <w:r w:rsidRPr="00940A89">
        <w:t xml:space="preserve"> describes the application by the sponsor to register</w:t>
      </w:r>
      <w:r w:rsidR="00C71B85">
        <w:t xml:space="preserve"> </w:t>
      </w:r>
      <w:r>
        <w:rPr>
          <w:noProof/>
        </w:rPr>
        <w:t xml:space="preserve">MS-2 </w:t>
      </w:r>
      <w:r w:rsidR="00C71B85">
        <w:rPr>
          <w:noProof/>
        </w:rPr>
        <w:t>Step</w:t>
      </w:r>
      <w:r w:rsidR="00C71B85">
        <w:t xml:space="preserve"> (mifepristone/misoprostol) for the following indication</w:t>
      </w:r>
      <w:r w:rsidR="00103FBA">
        <w:t>:</w:t>
      </w:r>
    </w:p>
    <w:p w:rsidR="00C71B85" w:rsidRPr="00C45465" w:rsidRDefault="00C71B85" w:rsidP="00C45465">
      <w:pPr>
        <w:ind w:left="720"/>
        <w:rPr>
          <w:i/>
        </w:rPr>
      </w:pPr>
      <w:proofErr w:type="gramStart"/>
      <w:r w:rsidRPr="00C45465">
        <w:rPr>
          <w:i/>
        </w:rPr>
        <w:t>Females of childbearing age for the medical termination of a developing intrauterine pregnancy up to 63 days gestation.</w:t>
      </w:r>
      <w:proofErr w:type="gramEnd"/>
    </w:p>
    <w:p w:rsidR="00C71B85" w:rsidRDefault="00C71B85" w:rsidP="00C45465">
      <w:r>
        <w:t>Mifepristone and misoprostol are already registered for use as two mono products.</w:t>
      </w:r>
      <w:r w:rsidR="00062545">
        <w:t xml:space="preserve"> </w:t>
      </w:r>
      <w:r>
        <w:t>MS-2 Step represents a composite pack.</w:t>
      </w:r>
    </w:p>
    <w:p w:rsidR="00C71B85" w:rsidRPr="00C71B85" w:rsidRDefault="00C71B85" w:rsidP="00C45465">
      <w:r>
        <w:lastRenderedPageBreak/>
        <w:t>This represents an extension of the indications from 49 to 63 days.</w:t>
      </w:r>
    </w:p>
    <w:p w:rsidR="000E552D" w:rsidRPr="003F31A2" w:rsidRDefault="000E552D" w:rsidP="00C45465">
      <w:pPr>
        <w:pStyle w:val="Heading3"/>
      </w:pPr>
      <w:bookmarkStart w:id="5" w:name="_Toc403987282"/>
      <w:r>
        <w:t>Regulatory status</w:t>
      </w:r>
      <w:bookmarkEnd w:id="5"/>
    </w:p>
    <w:p w:rsidR="000E552D" w:rsidRPr="00940A89" w:rsidRDefault="000E552D" w:rsidP="00C45465">
      <w:r w:rsidRPr="00940A89">
        <w:t>The product received initial registration on the Australian Register</w:t>
      </w:r>
      <w:r w:rsidR="00C71B85">
        <w:t xml:space="preserve"> of Therapeutic Goods (ARTG) on </w:t>
      </w:r>
      <w:r w:rsidR="006270FF">
        <w:t>04 June 2014.</w:t>
      </w:r>
    </w:p>
    <w:p w:rsidR="00C71B85" w:rsidRDefault="00C71B85" w:rsidP="00C45465">
      <w:r>
        <w:t xml:space="preserve">The original formulation of mifepristone was registered in France in 1988. Since then, mifepristone (either the originator or a generic) has been approved in </w:t>
      </w:r>
      <w:r w:rsidR="009D7934">
        <w:t>over 50</w:t>
      </w:r>
      <w:r w:rsidR="003D7A42">
        <w:t xml:space="preserve"> </w:t>
      </w:r>
      <w:r>
        <w:t xml:space="preserve">countries, including United Kingdom (1991), United States </w:t>
      </w:r>
      <w:r w:rsidR="00C45465">
        <w:t>(2000), and New Zealand (2001).</w:t>
      </w:r>
    </w:p>
    <w:p w:rsidR="00C71B85" w:rsidRDefault="00C71B85" w:rsidP="00C45465">
      <w:r w:rsidRPr="00C71B85">
        <w:t>At the time the T</w:t>
      </w:r>
      <w:r>
        <w:t>GA considered this application;</w:t>
      </w:r>
    </w:p>
    <w:p w:rsidR="00C71B85" w:rsidRDefault="00C71B85" w:rsidP="00C45465">
      <w:pPr>
        <w:pStyle w:val="ListBullet"/>
      </w:pPr>
      <w:r>
        <w:t xml:space="preserve">The extension of indications from 49 to 63 days for Mifepristone </w:t>
      </w:r>
      <w:proofErr w:type="spellStart"/>
      <w:r>
        <w:t>Linepharma</w:t>
      </w:r>
      <w:proofErr w:type="spellEnd"/>
      <w:r>
        <w:t xml:space="preserve"> would bring Australia into line with other countries; the main exception is the United States, where the indication is 49 days (in South Africa the indication is 56 days).</w:t>
      </w:r>
    </w:p>
    <w:p w:rsidR="00C71B85" w:rsidRDefault="00C71B85" w:rsidP="00C45465">
      <w:pPr>
        <w:pStyle w:val="ListBullet"/>
      </w:pPr>
      <w:r>
        <w:t>Mifepristone is included on the World Health organisation’s list of essential medicines for developing countries.</w:t>
      </w:r>
    </w:p>
    <w:p w:rsidR="00C71B85" w:rsidRDefault="00C71B85" w:rsidP="00C45465">
      <w:pPr>
        <w:pStyle w:val="ListBullet"/>
      </w:pPr>
      <w:proofErr w:type="spellStart"/>
      <w:r>
        <w:t>Gy</w:t>
      </w:r>
      <w:r w:rsidR="009D7934">
        <w:t>M</w:t>
      </w:r>
      <w:r>
        <w:t>iso</w:t>
      </w:r>
      <w:proofErr w:type="spellEnd"/>
      <w:r w:rsidR="00052E21">
        <w:t>®</w:t>
      </w:r>
      <w:r>
        <w:t xml:space="preserve"> has been approved in France since 2004 and applications have been filed in Canada and South Africa. Besides Australia, France is the only country in which both of these specific products are currently registered (as opposed to the originators or other generics).</w:t>
      </w:r>
    </w:p>
    <w:p w:rsidR="00C71B85" w:rsidRDefault="00C71B85" w:rsidP="00C45465">
      <w:pPr>
        <w:pStyle w:val="ListBullet"/>
      </w:pPr>
      <w:r>
        <w:t>A composite pack is not approved in any country</w:t>
      </w:r>
      <w:r w:rsidR="00D438DD">
        <w:t xml:space="preserve"> but an application has been filed in Canada.</w:t>
      </w:r>
    </w:p>
    <w:p w:rsidR="000E552D" w:rsidRDefault="000E552D" w:rsidP="00C45465">
      <w:pPr>
        <w:pStyle w:val="Heading3"/>
      </w:pPr>
      <w:bookmarkStart w:id="6" w:name="_Toc403987283"/>
      <w:r w:rsidRPr="00C45465">
        <w:t>Product</w:t>
      </w:r>
      <w:r>
        <w:t xml:space="preserve"> Information</w:t>
      </w:r>
      <w:bookmarkEnd w:id="6"/>
    </w:p>
    <w:p w:rsidR="000E552D" w:rsidRDefault="000E552D" w:rsidP="00C45465">
      <w:pPr>
        <w:rPr>
          <w:b/>
          <w:bCs/>
        </w:rPr>
      </w:pPr>
      <w:r w:rsidRPr="00940A89">
        <w:t xml:space="preserve">The approved Product Information (PI) current at the time this </w:t>
      </w:r>
      <w:proofErr w:type="spellStart"/>
      <w:r w:rsidRPr="00940A89">
        <w:t>AusPAR</w:t>
      </w:r>
      <w:proofErr w:type="spellEnd"/>
      <w:r w:rsidRPr="00940A89">
        <w:t xml:space="preserve"> was prepared can be found as Attachment 1. For the most recent Product Information please refer to the TGA website at &lt;</w:t>
      </w:r>
      <w:hyperlink r:id="rId14" w:history="1">
        <w:r w:rsidRPr="00940A89">
          <w:rPr>
            <w:rStyle w:val="Hyperlink"/>
          </w:rPr>
          <w:t>http://www.tga.gov.au/hp/information-medicines-pi.htm</w:t>
        </w:r>
      </w:hyperlink>
      <w:r w:rsidRPr="00940A89">
        <w:t>&gt;.</w:t>
      </w:r>
    </w:p>
    <w:p w:rsidR="000E552D" w:rsidRPr="003602A9" w:rsidRDefault="000E552D" w:rsidP="00C45465">
      <w:pPr>
        <w:pStyle w:val="Heading2"/>
      </w:pPr>
      <w:bookmarkStart w:id="7" w:name="_Toc403987284"/>
      <w:r>
        <w:t>II. Quality findings</w:t>
      </w:r>
      <w:bookmarkEnd w:id="7"/>
    </w:p>
    <w:p w:rsidR="000E552D" w:rsidRPr="00940A89" w:rsidRDefault="000E552D" w:rsidP="00C45465">
      <w:r w:rsidRPr="00940A89">
        <w:t>There was no requirement for a quality evaluation in a submission of this type.</w:t>
      </w:r>
    </w:p>
    <w:p w:rsidR="000E552D" w:rsidRDefault="000E552D" w:rsidP="00C45465">
      <w:pPr>
        <w:pStyle w:val="Heading2"/>
      </w:pPr>
      <w:bookmarkStart w:id="8" w:name="_Toc403987285"/>
      <w:r>
        <w:t>III. Nonclinical findings</w:t>
      </w:r>
      <w:bookmarkEnd w:id="8"/>
    </w:p>
    <w:p w:rsidR="000E552D" w:rsidRDefault="000E552D" w:rsidP="00C45465">
      <w:r>
        <w:t>There was no requirement for a nonclinical evaluation in a submission of this type.</w:t>
      </w:r>
    </w:p>
    <w:p w:rsidR="000E552D" w:rsidRPr="00254787" w:rsidRDefault="000E552D" w:rsidP="00C45465">
      <w:pPr>
        <w:pStyle w:val="Heading2"/>
      </w:pPr>
      <w:bookmarkStart w:id="9" w:name="_Toc403987286"/>
      <w:r>
        <w:t xml:space="preserve">IV. </w:t>
      </w:r>
      <w:r w:rsidRPr="00254787">
        <w:t>Clinical</w:t>
      </w:r>
      <w:r>
        <w:t xml:space="preserve"> findings</w:t>
      </w:r>
      <w:bookmarkEnd w:id="9"/>
    </w:p>
    <w:p w:rsidR="000E552D" w:rsidRDefault="000E552D" w:rsidP="00C45465">
      <w:r>
        <w:t xml:space="preserve">A summary of the </w:t>
      </w:r>
      <w:r w:rsidRPr="00FD70B8">
        <w:t xml:space="preserve">clinical findings is presented in this section. </w:t>
      </w:r>
      <w:r>
        <w:t xml:space="preserve">Further details of these </w:t>
      </w:r>
      <w:r w:rsidRPr="00FD70B8">
        <w:t>clinical findings can be found in Attachment 2.</w:t>
      </w:r>
    </w:p>
    <w:p w:rsidR="000E552D" w:rsidRDefault="000E552D" w:rsidP="00C45465">
      <w:pPr>
        <w:pStyle w:val="Heading3"/>
      </w:pPr>
      <w:bookmarkStart w:id="10" w:name="_Toc403987287"/>
      <w:r w:rsidRPr="00605AD4">
        <w:t xml:space="preserve">Clinical </w:t>
      </w:r>
      <w:r w:rsidR="00C45465">
        <w:t>r</w:t>
      </w:r>
      <w:r w:rsidRPr="00605AD4">
        <w:t>ationale</w:t>
      </w:r>
      <w:bookmarkEnd w:id="10"/>
    </w:p>
    <w:p w:rsidR="00C71B85" w:rsidRPr="00262C59" w:rsidRDefault="00C71B85" w:rsidP="00C45465">
      <w:pPr>
        <w:rPr>
          <w:lang w:eastAsia="zh-TW"/>
        </w:rPr>
      </w:pPr>
      <w:r w:rsidRPr="00262C59">
        <w:rPr>
          <w:lang w:eastAsia="zh-TW"/>
        </w:rPr>
        <w:t xml:space="preserve">Both </w:t>
      </w:r>
      <w:r>
        <w:rPr>
          <w:lang w:eastAsia="zh-TW"/>
        </w:rPr>
        <w:t xml:space="preserve">mifepristone and misoprostol </w:t>
      </w:r>
      <w:r w:rsidRPr="00262C59">
        <w:rPr>
          <w:lang w:eastAsia="zh-TW"/>
        </w:rPr>
        <w:t xml:space="preserve">were originally developed by </w:t>
      </w:r>
      <w:proofErr w:type="spellStart"/>
      <w:r w:rsidRPr="00262C59">
        <w:rPr>
          <w:lang w:eastAsia="zh-TW"/>
        </w:rPr>
        <w:t>Laboratoire</w:t>
      </w:r>
      <w:proofErr w:type="spellEnd"/>
      <w:r w:rsidRPr="00262C59">
        <w:rPr>
          <w:lang w:eastAsia="zh-TW"/>
        </w:rPr>
        <w:t xml:space="preserve"> HRA </w:t>
      </w:r>
      <w:proofErr w:type="spellStart"/>
      <w:r w:rsidRPr="00262C59">
        <w:rPr>
          <w:lang w:eastAsia="zh-TW"/>
        </w:rPr>
        <w:t>Pharma</w:t>
      </w:r>
      <w:proofErr w:type="spellEnd"/>
      <w:r w:rsidRPr="00262C59">
        <w:rPr>
          <w:lang w:eastAsia="zh-TW"/>
        </w:rPr>
        <w:t xml:space="preserve">, France, </w:t>
      </w:r>
      <w:r>
        <w:rPr>
          <w:lang w:eastAsia="zh-TW"/>
        </w:rPr>
        <w:t>which</w:t>
      </w:r>
      <w:r w:rsidRPr="00262C59">
        <w:rPr>
          <w:lang w:eastAsia="zh-TW"/>
        </w:rPr>
        <w:t xml:space="preserve"> licensed them to </w:t>
      </w:r>
      <w:proofErr w:type="spellStart"/>
      <w:r w:rsidRPr="00262C59">
        <w:rPr>
          <w:lang w:eastAsia="zh-TW"/>
        </w:rPr>
        <w:t>Linepharma</w:t>
      </w:r>
      <w:proofErr w:type="spellEnd"/>
      <w:r w:rsidRPr="00262C59">
        <w:rPr>
          <w:lang w:eastAsia="zh-TW"/>
        </w:rPr>
        <w:t xml:space="preserve"> </w:t>
      </w:r>
      <w:proofErr w:type="spellStart"/>
      <w:r w:rsidRPr="00262C59">
        <w:rPr>
          <w:lang w:eastAsia="zh-TW"/>
        </w:rPr>
        <w:t>Sarl</w:t>
      </w:r>
      <w:proofErr w:type="spellEnd"/>
      <w:r w:rsidRPr="00262C59">
        <w:rPr>
          <w:lang w:eastAsia="zh-TW"/>
        </w:rPr>
        <w:t xml:space="preserve">, France, for registration and marketing worldwide. </w:t>
      </w:r>
      <w:r w:rsidR="008E1E51">
        <w:rPr>
          <w:lang w:eastAsia="zh-TW"/>
        </w:rPr>
        <w:t xml:space="preserve"> </w:t>
      </w:r>
      <w:r w:rsidRPr="00262C59">
        <w:rPr>
          <w:lang w:eastAsia="zh-TW"/>
        </w:rPr>
        <w:t xml:space="preserve">Marie Stopes International (Australia), an independent non-governmental organisation, licensed both products from </w:t>
      </w:r>
      <w:proofErr w:type="spellStart"/>
      <w:r w:rsidRPr="00262C59">
        <w:rPr>
          <w:lang w:eastAsia="zh-TW"/>
        </w:rPr>
        <w:t>Linepharma</w:t>
      </w:r>
      <w:proofErr w:type="spellEnd"/>
      <w:r w:rsidR="009D7934">
        <w:rPr>
          <w:lang w:eastAsia="zh-TW"/>
        </w:rPr>
        <w:t xml:space="preserve"> (now </w:t>
      </w:r>
      <w:proofErr w:type="spellStart"/>
      <w:r w:rsidR="009D7934">
        <w:rPr>
          <w:lang w:eastAsia="zh-TW"/>
        </w:rPr>
        <w:t>Linepharma</w:t>
      </w:r>
      <w:proofErr w:type="spellEnd"/>
      <w:r w:rsidR="009D7934">
        <w:rPr>
          <w:lang w:eastAsia="zh-TW"/>
        </w:rPr>
        <w:t xml:space="preserve"> International Limited, UK)</w:t>
      </w:r>
      <w:r w:rsidRPr="00262C59">
        <w:rPr>
          <w:lang w:eastAsia="zh-TW"/>
        </w:rPr>
        <w:t>. MS Health Pty Ltd</w:t>
      </w:r>
      <w:r w:rsidR="00093F76">
        <w:rPr>
          <w:lang w:eastAsia="zh-TW"/>
        </w:rPr>
        <w:t xml:space="preserve">, the Australian </w:t>
      </w:r>
      <w:r w:rsidR="00F121DD">
        <w:rPr>
          <w:lang w:eastAsia="zh-TW"/>
        </w:rPr>
        <w:t>s</w:t>
      </w:r>
      <w:r w:rsidR="00093F76">
        <w:rPr>
          <w:lang w:eastAsia="zh-TW"/>
        </w:rPr>
        <w:t>ponsor,</w:t>
      </w:r>
      <w:r w:rsidR="009D7934">
        <w:rPr>
          <w:lang w:eastAsia="zh-TW"/>
        </w:rPr>
        <w:t xml:space="preserve"> </w:t>
      </w:r>
      <w:r w:rsidRPr="00262C59">
        <w:rPr>
          <w:lang w:eastAsia="zh-TW"/>
        </w:rPr>
        <w:t xml:space="preserve">is a subsidiary of </w:t>
      </w:r>
      <w:r w:rsidRPr="00262C59">
        <w:rPr>
          <w:lang w:eastAsia="zh-TW"/>
        </w:rPr>
        <w:lastRenderedPageBreak/>
        <w:t>Marie Stopes International (London), which is a registered charity in the UK and a global partner with Marie Stopes International (Australia)</w:t>
      </w:r>
      <w:r>
        <w:rPr>
          <w:lang w:eastAsia="zh-TW"/>
        </w:rPr>
        <w:t xml:space="preserve"> (MSIA)</w:t>
      </w:r>
      <w:r w:rsidRPr="00262C59">
        <w:rPr>
          <w:lang w:eastAsia="zh-TW"/>
        </w:rPr>
        <w:t>.</w:t>
      </w:r>
    </w:p>
    <w:p w:rsidR="00C71B85" w:rsidRDefault="00C71B85" w:rsidP="00C45465">
      <w:pPr>
        <w:rPr>
          <w:lang w:eastAsia="zh-TW"/>
        </w:rPr>
      </w:pPr>
      <w:r w:rsidRPr="00262C59">
        <w:rPr>
          <w:lang w:eastAsia="zh-TW"/>
        </w:rPr>
        <w:t>The current product information</w:t>
      </w:r>
      <w:r>
        <w:rPr>
          <w:lang w:eastAsia="zh-TW"/>
        </w:rPr>
        <w:t xml:space="preserve"> (PI)</w:t>
      </w:r>
      <w:r w:rsidRPr="00262C59">
        <w:rPr>
          <w:lang w:eastAsia="zh-TW"/>
        </w:rPr>
        <w:t xml:space="preserve"> for mifepristone states that it is to be used in sequential combination with a prostaglandin analogue. Likewise</w:t>
      </w:r>
      <w:r>
        <w:rPr>
          <w:lang w:eastAsia="zh-TW"/>
        </w:rPr>
        <w:t>,</w:t>
      </w:r>
      <w:r w:rsidRPr="00262C59">
        <w:rPr>
          <w:lang w:eastAsia="zh-TW"/>
        </w:rPr>
        <w:t xml:space="preserve"> the PI for </w:t>
      </w:r>
      <w:proofErr w:type="spellStart"/>
      <w:r w:rsidR="00052E21">
        <w:rPr>
          <w:lang w:eastAsia="zh-TW"/>
        </w:rPr>
        <w:t>GyMiso</w:t>
      </w:r>
      <w:proofErr w:type="spellEnd"/>
      <w:r w:rsidR="00052E21">
        <w:rPr>
          <w:lang w:eastAsia="zh-TW"/>
        </w:rPr>
        <w:t>®</w:t>
      </w:r>
      <w:r w:rsidRPr="00262C59">
        <w:rPr>
          <w:lang w:eastAsia="zh-TW"/>
        </w:rPr>
        <w:t xml:space="preserve"> </w:t>
      </w:r>
      <w:r>
        <w:rPr>
          <w:lang w:eastAsia="zh-TW"/>
        </w:rPr>
        <w:t xml:space="preserve">(misoprostol) </w:t>
      </w:r>
      <w:r w:rsidRPr="00262C59">
        <w:rPr>
          <w:lang w:eastAsia="zh-TW"/>
        </w:rPr>
        <w:t>also states that it is to be used in sequential combination with a mifepristone 200 mg tablet.</w:t>
      </w:r>
    </w:p>
    <w:p w:rsidR="00C71B85" w:rsidRPr="00262C59" w:rsidRDefault="00C71B85" w:rsidP="00C45465">
      <w:r w:rsidRPr="00262C59">
        <w:rPr>
          <w:rFonts w:cs="TimesNewRoman"/>
          <w:lang w:eastAsia="zh-TW"/>
        </w:rPr>
        <w:t>The rational</w:t>
      </w:r>
      <w:r>
        <w:rPr>
          <w:rFonts w:cs="TimesNewRoman"/>
          <w:lang w:eastAsia="zh-TW"/>
        </w:rPr>
        <w:t>e</w:t>
      </w:r>
      <w:r w:rsidRPr="00262C59">
        <w:rPr>
          <w:rFonts w:cs="TimesNewRoman"/>
          <w:lang w:eastAsia="zh-TW"/>
        </w:rPr>
        <w:t xml:space="preserve"> for the composite pack presentation is therefore logical and according to the </w:t>
      </w:r>
      <w:r w:rsidR="00062545">
        <w:rPr>
          <w:rFonts w:cs="TimesNewRoman"/>
          <w:lang w:eastAsia="zh-TW"/>
        </w:rPr>
        <w:t>sponsor</w:t>
      </w:r>
      <w:r w:rsidRPr="00262C59">
        <w:rPr>
          <w:rFonts w:cs="TimesNewRoman"/>
          <w:lang w:eastAsia="zh-TW"/>
        </w:rPr>
        <w:t xml:space="preserve"> </w:t>
      </w:r>
      <w:r w:rsidRPr="00C45465">
        <w:rPr>
          <w:rFonts w:cs="TimesNewRoman"/>
          <w:i/>
          <w:lang w:eastAsia="zh-TW"/>
        </w:rPr>
        <w:t>‘</w:t>
      </w:r>
      <w:r w:rsidRPr="00C45465">
        <w:rPr>
          <w:i/>
        </w:rPr>
        <w:t>will allow a simplification in the use of the mifepristone – misoprostol method for termination of pregnancy and will ensure a better compliance (less risk that a woman omits to take the misoprostol tablets after having taken the mifepristone tablets).’</w:t>
      </w:r>
    </w:p>
    <w:p w:rsidR="00C71B85" w:rsidRDefault="00C71B85" w:rsidP="00C45465">
      <w:pPr>
        <w:rPr>
          <w:lang w:eastAsia="en-AU"/>
        </w:rPr>
      </w:pPr>
      <w:r>
        <w:t>The extended indication for the combination proposes use for medical termination of pregnancy out to 63 days of gestation (from 49 days). This provides an alternative to surgical termination of pregnancy for this gestational age. The sponsor stated that there is no intention to alter the indications for the individual components.</w:t>
      </w:r>
    </w:p>
    <w:p w:rsidR="000E552D" w:rsidRPr="00C45465" w:rsidRDefault="000E552D" w:rsidP="00C45465">
      <w:pPr>
        <w:pStyle w:val="Heading4"/>
      </w:pPr>
      <w:bookmarkStart w:id="11" w:name="_Toc403987288"/>
      <w:r w:rsidRPr="00605AD4">
        <w:t>Contents of the clinical dossier</w:t>
      </w:r>
      <w:bookmarkEnd w:id="11"/>
    </w:p>
    <w:p w:rsidR="00C71B85" w:rsidRPr="00C71B85" w:rsidRDefault="00C71B85" w:rsidP="00C45465">
      <w:r w:rsidRPr="00C71B85">
        <w:t>The submission contained the following clinical information:</w:t>
      </w:r>
    </w:p>
    <w:p w:rsidR="00C71B85" w:rsidRPr="00C71B85" w:rsidRDefault="00C71B85" w:rsidP="00C45465">
      <w:pPr>
        <w:pStyle w:val="ListBullet"/>
      </w:pPr>
      <w:r w:rsidRPr="00C71B85">
        <w:t xml:space="preserve">One clinical pharmacology </w:t>
      </w:r>
      <w:r w:rsidRPr="00C45465">
        <w:t>study</w:t>
      </w:r>
      <w:r w:rsidRPr="00C71B85">
        <w:t xml:space="preserve"> (MCPK12001J1).</w:t>
      </w:r>
    </w:p>
    <w:p w:rsidR="00C71B85" w:rsidRPr="00C71B85" w:rsidRDefault="00C71B85" w:rsidP="00C45465">
      <w:pPr>
        <w:pStyle w:val="ListBullet"/>
      </w:pPr>
      <w:r w:rsidRPr="00C71B85">
        <w:t>One Phase III study (Study 1.1.4).</w:t>
      </w:r>
    </w:p>
    <w:p w:rsidR="00C71B85" w:rsidRPr="00C71B85" w:rsidRDefault="00C71B85" w:rsidP="00C45465">
      <w:pPr>
        <w:pStyle w:val="ListBullet"/>
      </w:pPr>
      <w:r w:rsidRPr="00C71B85">
        <w:t xml:space="preserve">A summary of authorised </w:t>
      </w:r>
      <w:r w:rsidRPr="00C45465">
        <w:t>prescriber</w:t>
      </w:r>
      <w:r w:rsidRPr="00C71B85">
        <w:t xml:space="preserve"> experience at MSIA clinics in 2012.</w:t>
      </w:r>
    </w:p>
    <w:p w:rsidR="00C71B85" w:rsidRPr="00C71B85" w:rsidRDefault="00C71B85" w:rsidP="00C45465">
      <w:pPr>
        <w:pStyle w:val="ListBullet"/>
      </w:pPr>
      <w:r w:rsidRPr="00C71B85">
        <w:t>Protocol for a Phase IV post-</w:t>
      </w:r>
      <w:r w:rsidRPr="00C45465">
        <w:t>registration</w:t>
      </w:r>
      <w:r w:rsidRPr="00C71B85">
        <w:t xml:space="preserve"> study (HREC2012001).</w:t>
      </w:r>
    </w:p>
    <w:p w:rsidR="00C71B85" w:rsidRPr="00C71B85" w:rsidRDefault="00F8648B" w:rsidP="00C71B85">
      <w:pPr>
        <w:pStyle w:val="ListBullet"/>
      </w:pPr>
      <w:r>
        <w:t xml:space="preserve">Periodic Safety Update Reports (PSURs) </w:t>
      </w:r>
      <w:r w:rsidR="00C71B85" w:rsidRPr="00C71B85">
        <w:t xml:space="preserve">for </w:t>
      </w:r>
      <w:proofErr w:type="spellStart"/>
      <w:r w:rsidR="00052E21">
        <w:t>GyMiso</w:t>
      </w:r>
      <w:proofErr w:type="spellEnd"/>
      <w:r w:rsidR="00052E21">
        <w:t>®</w:t>
      </w:r>
      <w:r w:rsidR="00C71B85" w:rsidRPr="00C71B85">
        <w:t xml:space="preserve"> (20 October 2012 to 28 April 2013) and PSUR for mifepristone </w:t>
      </w:r>
      <w:proofErr w:type="spellStart"/>
      <w:r w:rsidR="00C71B85" w:rsidRPr="00C71B85">
        <w:t>Linepharma</w:t>
      </w:r>
      <w:proofErr w:type="spellEnd"/>
      <w:r w:rsidR="00C71B85" w:rsidRPr="00C71B85">
        <w:t xml:space="preserve"> (29 June 2012 to 28 December 2012).</w:t>
      </w:r>
    </w:p>
    <w:p w:rsidR="00C71B85" w:rsidRPr="00C71B85" w:rsidRDefault="00C71B85" w:rsidP="00C45465">
      <w:pPr>
        <w:pStyle w:val="ListBullet"/>
      </w:pPr>
      <w:r w:rsidRPr="00C71B85">
        <w:t>Literature references.</w:t>
      </w:r>
    </w:p>
    <w:p w:rsidR="00C71B85" w:rsidRPr="00C71B85" w:rsidRDefault="00C71B85" w:rsidP="00C45465">
      <w:pPr>
        <w:pStyle w:val="ListBullet"/>
      </w:pPr>
      <w:r w:rsidRPr="00C71B85">
        <w:t xml:space="preserve">The sponsor’s Clinical </w:t>
      </w:r>
      <w:r w:rsidRPr="00C45465">
        <w:t>Overview</w:t>
      </w:r>
      <w:r w:rsidRPr="00C71B85">
        <w:t>, Summary of Clinical Pharmacology, Summary of Clinical Efficacy, Summary of Clinical Safety, individual study synopses and listing of literature references.</w:t>
      </w:r>
    </w:p>
    <w:p w:rsidR="000E552D" w:rsidRDefault="000E552D" w:rsidP="00C45465">
      <w:pPr>
        <w:pStyle w:val="Heading4"/>
      </w:pPr>
      <w:bookmarkStart w:id="12" w:name="_Toc403987289"/>
      <w:r w:rsidRPr="00605AD4">
        <w:t>Paediatric data</w:t>
      </w:r>
      <w:bookmarkEnd w:id="12"/>
    </w:p>
    <w:p w:rsidR="00C71B85" w:rsidRPr="00C71B85" w:rsidRDefault="00C71B85" w:rsidP="00C45465">
      <w:pPr>
        <w:rPr>
          <w:lang w:eastAsia="ja-JP"/>
        </w:rPr>
      </w:pPr>
      <w:r w:rsidRPr="00C71B85">
        <w:rPr>
          <w:lang w:eastAsia="ja-JP"/>
        </w:rPr>
        <w:t>The submission did not include paediatric data. The product is for use</w:t>
      </w:r>
      <w:r w:rsidR="00C45465">
        <w:rPr>
          <w:lang w:eastAsia="ja-JP"/>
        </w:rPr>
        <w:t xml:space="preserve"> in women of child bearing age.</w:t>
      </w:r>
    </w:p>
    <w:p w:rsidR="00C71B85" w:rsidRPr="00C71B85" w:rsidRDefault="00C71B85" w:rsidP="00C45465">
      <w:pPr>
        <w:rPr>
          <w:lang w:eastAsia="ja-JP"/>
        </w:rPr>
      </w:pPr>
      <w:r w:rsidRPr="00C71B85">
        <w:rPr>
          <w:lang w:eastAsia="ja-JP"/>
        </w:rPr>
        <w:t>There have been no clinical trials in adolescent girls and the sponsor states th</w:t>
      </w:r>
      <w:r w:rsidR="00C45465">
        <w:rPr>
          <w:lang w:eastAsia="ja-JP"/>
        </w:rPr>
        <w:t>at no such studies are planned.</w:t>
      </w:r>
    </w:p>
    <w:p w:rsidR="00C71B85" w:rsidRPr="00C71B85" w:rsidRDefault="00C71B85" w:rsidP="00C45465">
      <w:pPr>
        <w:rPr>
          <w:lang w:eastAsia="ja-JP"/>
        </w:rPr>
      </w:pPr>
      <w:r w:rsidRPr="00C71B85">
        <w:rPr>
          <w:lang w:eastAsia="ja-JP"/>
        </w:rPr>
        <w:t xml:space="preserve">The sponsor also stated that there was no requirement in the EU to submit a Paediatric Investigational Plan. It was stated however that </w:t>
      </w:r>
      <w:proofErr w:type="spellStart"/>
      <w:r w:rsidRPr="00C71B85">
        <w:rPr>
          <w:lang w:eastAsia="ja-JP"/>
        </w:rPr>
        <w:t>Linepharma</w:t>
      </w:r>
      <w:proofErr w:type="spellEnd"/>
      <w:r w:rsidRPr="00C71B85">
        <w:rPr>
          <w:lang w:eastAsia="ja-JP"/>
        </w:rPr>
        <w:t xml:space="preserve"> is planning to seek future marketing authorisation in the EU (under Decentralised Procedure) for the combination product of Mifepristone </w:t>
      </w:r>
      <w:proofErr w:type="spellStart"/>
      <w:r w:rsidRPr="00C71B85">
        <w:rPr>
          <w:lang w:eastAsia="ja-JP"/>
        </w:rPr>
        <w:t>Linepharma</w:t>
      </w:r>
      <w:proofErr w:type="spellEnd"/>
      <w:r w:rsidRPr="00C71B85">
        <w:rPr>
          <w:lang w:eastAsia="ja-JP"/>
        </w:rPr>
        <w:t xml:space="preserve"> + </w:t>
      </w:r>
      <w:proofErr w:type="spellStart"/>
      <w:r w:rsidR="00052E21">
        <w:rPr>
          <w:lang w:eastAsia="ja-JP"/>
        </w:rPr>
        <w:t>GyMiso</w:t>
      </w:r>
      <w:proofErr w:type="spellEnd"/>
      <w:r w:rsidR="00052E21">
        <w:rPr>
          <w:lang w:eastAsia="ja-JP"/>
        </w:rPr>
        <w:t>®</w:t>
      </w:r>
      <w:r w:rsidR="00D438DD">
        <w:rPr>
          <w:lang w:eastAsia="ja-JP"/>
        </w:rPr>
        <w:t>.</w:t>
      </w:r>
    </w:p>
    <w:p w:rsidR="00C71B85" w:rsidRPr="00C71B85" w:rsidRDefault="00C71B85" w:rsidP="00C45465">
      <w:pPr>
        <w:rPr>
          <w:lang w:eastAsia="ja-JP"/>
        </w:rPr>
      </w:pPr>
      <w:r w:rsidRPr="00C71B85">
        <w:rPr>
          <w:lang w:eastAsia="ja-JP"/>
        </w:rPr>
        <w:t xml:space="preserve">The proposed PIP will relate to continuing collection of data from use of the two products for medical abortion in women under </w:t>
      </w:r>
      <w:r w:rsidR="008425F5">
        <w:rPr>
          <w:lang w:eastAsia="ja-JP"/>
        </w:rPr>
        <w:t xml:space="preserve">the age of </w:t>
      </w:r>
      <w:r w:rsidRPr="00C71B85">
        <w:rPr>
          <w:lang w:eastAsia="ja-JP"/>
        </w:rPr>
        <w:t>18 years, as a post-marketing prospective follow-up investigation.</w:t>
      </w:r>
    </w:p>
    <w:p w:rsidR="000E552D" w:rsidRDefault="000E552D" w:rsidP="00C45465">
      <w:pPr>
        <w:pStyle w:val="Heading4"/>
      </w:pPr>
      <w:bookmarkStart w:id="13" w:name="_Toc403987290"/>
      <w:r w:rsidRPr="00605AD4">
        <w:t>Good clinical practice</w:t>
      </w:r>
      <w:bookmarkEnd w:id="13"/>
    </w:p>
    <w:p w:rsidR="00C71B85" w:rsidRPr="00C71B85" w:rsidRDefault="00C71B85" w:rsidP="00C45465">
      <w:r w:rsidRPr="00C71B85">
        <w:t>The sponsor stated that both clinical trials submitted in the dossier were conducted according to Good Clinical Practice guidelines as well as local ethic</w:t>
      </w:r>
      <w:r w:rsidR="00C45465">
        <w:t>al and regulatory requirements.</w:t>
      </w:r>
    </w:p>
    <w:p w:rsidR="000E552D" w:rsidRPr="00254787" w:rsidRDefault="000E552D" w:rsidP="00C45465">
      <w:pPr>
        <w:pStyle w:val="Heading3"/>
      </w:pPr>
      <w:bookmarkStart w:id="14" w:name="_Toc403987291"/>
      <w:r w:rsidRPr="00C45465">
        <w:lastRenderedPageBreak/>
        <w:t>Pharmacokinetics</w:t>
      </w:r>
      <w:bookmarkEnd w:id="14"/>
    </w:p>
    <w:p w:rsidR="000E552D" w:rsidRDefault="000E552D" w:rsidP="00C45465">
      <w:pPr>
        <w:pStyle w:val="Heading4"/>
      </w:pPr>
      <w:bookmarkStart w:id="15" w:name="_Toc403987292"/>
      <w:r>
        <w:t xml:space="preserve">Studies </w:t>
      </w:r>
      <w:r w:rsidRPr="00C45465">
        <w:t>providing</w:t>
      </w:r>
      <w:r>
        <w:t xml:space="preserve"> pharmacokinetic data</w:t>
      </w:r>
      <w:bookmarkEnd w:id="15"/>
    </w:p>
    <w:p w:rsidR="00C71B85" w:rsidRPr="00C71B85" w:rsidRDefault="00C71B85" w:rsidP="00C45465">
      <w:r w:rsidRPr="00C71B85">
        <w:t>The dossier included one pharmacokinetic s</w:t>
      </w:r>
      <w:r w:rsidR="00C45465">
        <w:t>tudy which has been summarised.</w:t>
      </w:r>
    </w:p>
    <w:p w:rsidR="00C71B85" w:rsidRPr="00C71B85" w:rsidRDefault="00C71B85" w:rsidP="00C71B85">
      <w:r w:rsidRPr="00C71B85">
        <w:t>The sponsor stated that since 2003, medical practices have changed and currently prescribers are often using misoprostol tablets by buccal or sublingual routes, and thus a comparative study aiming to compare the pharmacokinetic properties of misoprostol by oral/buccal/sublingual administration was undertaken.</w:t>
      </w:r>
    </w:p>
    <w:p w:rsidR="000E552D" w:rsidRPr="00C45465" w:rsidRDefault="000E552D" w:rsidP="00C45465">
      <w:pPr>
        <w:pStyle w:val="Heading4"/>
      </w:pPr>
      <w:bookmarkStart w:id="16" w:name="_Toc403987293"/>
      <w:r>
        <w:t>Evaluator’s conclusions on pharmacokinetics</w:t>
      </w:r>
      <w:bookmarkEnd w:id="16"/>
    </w:p>
    <w:p w:rsidR="00C71B85" w:rsidRPr="00C71B85" w:rsidRDefault="00C71B85" w:rsidP="00C45465">
      <w:r w:rsidRPr="00C71B85">
        <w:t xml:space="preserve">The dossier included one PK study comparing three routes of administration for misoprostol – oral, buccal and sublingual. It found significant differences between the routes with the highest exposure with sublingual administration and similar exposure between the buccal and oral routes. The sponsor stated that the higher bioavailability by sublingual route of administration may be explained by the absence of a first-pass effect by the liver. For buccal administration, some portions of the dose may be swallowed and metabolised by the liver before reaching the systemic circulation and so result in a lower exposure than the sublingual route. It is noted that sublingual misoprostol is not proposed for the </w:t>
      </w:r>
      <w:r w:rsidRPr="005B72F0">
        <w:t xml:space="preserve">route of administration in the PI while buccal administration is already approved for use and is proposed </w:t>
      </w:r>
      <w:r w:rsidR="006D02D5" w:rsidRPr="005B72F0">
        <w:t xml:space="preserve">as the only route of administration for </w:t>
      </w:r>
      <w:r w:rsidR="00065A19" w:rsidRPr="005B72F0">
        <w:t xml:space="preserve">all </w:t>
      </w:r>
      <w:r w:rsidR="006D02D5" w:rsidRPr="005B72F0">
        <w:t>gestational periods</w:t>
      </w:r>
      <w:r w:rsidR="00C45465">
        <w:t xml:space="preserve"> up to 63 days.</w:t>
      </w:r>
    </w:p>
    <w:p w:rsidR="000E552D" w:rsidRPr="00C45465" w:rsidRDefault="000E552D" w:rsidP="00C45465">
      <w:pPr>
        <w:pStyle w:val="Heading3"/>
      </w:pPr>
      <w:bookmarkStart w:id="17" w:name="_Toc403987294"/>
      <w:r w:rsidRPr="00254787">
        <w:t>Pharmacodynamics</w:t>
      </w:r>
      <w:bookmarkEnd w:id="17"/>
    </w:p>
    <w:p w:rsidR="00C71B85" w:rsidRPr="00C71B85" w:rsidRDefault="00C71B85" w:rsidP="00C45465">
      <w:r w:rsidRPr="00C71B85">
        <w:t xml:space="preserve">There were no </w:t>
      </w:r>
      <w:proofErr w:type="spellStart"/>
      <w:r w:rsidRPr="00C71B85">
        <w:t>pharmacodynamic</w:t>
      </w:r>
      <w:proofErr w:type="spellEnd"/>
      <w:r w:rsidRPr="00C71B85">
        <w:t xml:space="preserve"> studies submitted.</w:t>
      </w:r>
    </w:p>
    <w:p w:rsidR="000E552D" w:rsidRDefault="000E552D" w:rsidP="00C45465">
      <w:pPr>
        <w:pStyle w:val="Heading3"/>
      </w:pPr>
      <w:bookmarkStart w:id="18" w:name="_Toc403987295"/>
      <w:r>
        <w:t xml:space="preserve">Dosage selection </w:t>
      </w:r>
      <w:r w:rsidRPr="00C45465">
        <w:t>for</w:t>
      </w:r>
      <w:r>
        <w:t xml:space="preserve"> the pivotal studies</w:t>
      </w:r>
      <w:bookmarkEnd w:id="18"/>
    </w:p>
    <w:p w:rsidR="00C71B85" w:rsidRPr="00C71B85" w:rsidRDefault="00C71B85" w:rsidP="00C45465">
      <w:r w:rsidRPr="00C71B85">
        <w:t>No dosage change is proposed and the registered dosage was used in the clinical trial.</w:t>
      </w:r>
    </w:p>
    <w:p w:rsidR="000E552D" w:rsidRPr="00C45465" w:rsidRDefault="000E552D" w:rsidP="00C45465">
      <w:pPr>
        <w:pStyle w:val="Heading3"/>
      </w:pPr>
      <w:bookmarkStart w:id="19" w:name="_Toc403987296"/>
      <w:r w:rsidRPr="00254787">
        <w:t>Efficacy</w:t>
      </w:r>
      <w:bookmarkEnd w:id="19"/>
    </w:p>
    <w:p w:rsidR="000E552D" w:rsidRDefault="000E552D" w:rsidP="00C45465">
      <w:pPr>
        <w:pStyle w:val="Heading4"/>
      </w:pPr>
      <w:bookmarkStart w:id="20" w:name="_Toc403987297"/>
      <w:r>
        <w:t xml:space="preserve">Studies providing </w:t>
      </w:r>
      <w:r w:rsidRPr="00C45465">
        <w:t>efficacy</w:t>
      </w:r>
      <w:r>
        <w:t xml:space="preserve"> data</w:t>
      </w:r>
      <w:bookmarkEnd w:id="20"/>
    </w:p>
    <w:p w:rsidR="00C71B85" w:rsidRPr="00C71B85" w:rsidRDefault="00376448" w:rsidP="00C45465">
      <w:r>
        <w:t>Study 1.1.4, the Authorised prescriber program and a literature review were provided to the TGA. Discussion of this information may be found in the CER extract (Attachment 2).</w:t>
      </w:r>
    </w:p>
    <w:p w:rsidR="000E552D" w:rsidRDefault="000E552D" w:rsidP="00C45465">
      <w:pPr>
        <w:pStyle w:val="Heading4"/>
      </w:pPr>
      <w:bookmarkStart w:id="21" w:name="_Toc403987298"/>
      <w:r>
        <w:t xml:space="preserve">Evaluator’s conclusions </w:t>
      </w:r>
      <w:r w:rsidRPr="00C45465">
        <w:t>on</w:t>
      </w:r>
      <w:r>
        <w:t xml:space="preserve"> efficacy</w:t>
      </w:r>
      <w:bookmarkEnd w:id="21"/>
    </w:p>
    <w:p w:rsidR="00376448" w:rsidRDefault="00376448" w:rsidP="00C45465">
      <w:r>
        <w:t>The sponsor submitted three sources of efficacy data to support the composite pack and the proposed change to indication extending the gestational age</w:t>
      </w:r>
      <w:r w:rsidR="00C45465">
        <w:t xml:space="preserve"> limit from 49 days to 63 days.</w:t>
      </w:r>
    </w:p>
    <w:p w:rsidR="00376448" w:rsidRDefault="00376448" w:rsidP="00376448">
      <w:r>
        <w:t xml:space="preserve">Study 1.1.4 was an open label, non-comparative study of mifepristone (200 mg oral) and misoprostol (800 </w:t>
      </w:r>
      <w:r w:rsidR="00336C5D">
        <w:t>microgram</w:t>
      </w:r>
      <w:r>
        <w:t xml:space="preserve"> buccal) for medical abortion in 1000 women with pregnancies through 63 days of gestation. The overall medical abortion efficacy was 97.3%, with 94.9% achieving successful abortion with one dose of misoprostol. Success rates were marginally lower at 50-56 GA (96.8%) and 57-63 GA (95.9%) compared to less than or equal to 49 GA (98.0%) although still felt to be acceptable.</w:t>
      </w:r>
    </w:p>
    <w:p w:rsidR="00376448" w:rsidRDefault="00376448" w:rsidP="00376448">
      <w:r>
        <w:t xml:space="preserve">Under the Authorised Prescriber Program in Australia in 2012, there were 7166 medical terminations, with 2678 for GA greater than or equal to 49, performed using mifepristone </w:t>
      </w:r>
      <w:r>
        <w:lastRenderedPageBreak/>
        <w:t>200 mg followed by misoprostol 800 m</w:t>
      </w:r>
      <w:r w:rsidR="00336C5D">
        <w:t>i</w:t>
      </w:r>
      <w:r>
        <w:t>c</w:t>
      </w:r>
      <w:r w:rsidR="00336C5D">
        <w:t>ro</w:t>
      </w:r>
      <w:r>
        <w:t>g</w:t>
      </w:r>
      <w:r w:rsidR="00336C5D">
        <w:t>ram</w:t>
      </w:r>
      <w:r>
        <w:t xml:space="preserve"> </w:t>
      </w:r>
      <w:proofErr w:type="spellStart"/>
      <w:r>
        <w:t>buc</w:t>
      </w:r>
      <w:r w:rsidR="00953F20">
        <w:t>c</w:t>
      </w:r>
      <w:r>
        <w:t>ally</w:t>
      </w:r>
      <w:proofErr w:type="spellEnd"/>
      <w:r>
        <w:t>. The overall success rate was 96.6% and success rates for GA 49-63 (94.6% to 96.9%) were in line with gestational age &lt; 49 (97.4%). The ongoing pregnancy rate was slightly higher 0.6%-0.9% at 49-62 days compared to 0.3% at &lt; 49 days.</w:t>
      </w:r>
    </w:p>
    <w:p w:rsidR="00376448" w:rsidRDefault="00376448" w:rsidP="00C45465">
      <w:r>
        <w:t>The literature review was conducted and, while the dossier adequately discussed how the searches were undertaken, the actual studies identified and then rejected were not well described. The review included 6 studies (4 were controlled trials, one a retrospective survey and one a non-comparative single centre study). These assessed, in at least one group, the efficacy of the mifepristone 200 mg and buccal misoprostol 800 m</w:t>
      </w:r>
      <w:r w:rsidR="00336C5D">
        <w:t>i</w:t>
      </w:r>
      <w:r>
        <w:t>c</w:t>
      </w:r>
      <w:r w:rsidR="00336C5D">
        <w:t>ro</w:t>
      </w:r>
      <w:r>
        <w:t>g</w:t>
      </w:r>
      <w:r w:rsidR="00336C5D">
        <w:t>ram</w:t>
      </w:r>
      <w:r>
        <w:t xml:space="preserve"> combination for medical termination of pregnancy to 63 days. The efficacy reported was similar in three trials and lower in two. The range reported was 86.5-98.5% and 93.0-100% in the 50-56 GA and the 57-63 GA groups, respectively.</w:t>
      </w:r>
    </w:p>
    <w:p w:rsidR="00376448" w:rsidRDefault="00376448" w:rsidP="00C45465">
      <w:r>
        <w:t>A systematic review reported improved efficacy with buccal over oral misoprostol although failed to breakdown data by gestational age (Raymond 2012). A randomised controlled study (</w:t>
      </w:r>
      <w:proofErr w:type="spellStart"/>
      <w:r>
        <w:t>Winikoff</w:t>
      </w:r>
      <w:proofErr w:type="spellEnd"/>
      <w:r>
        <w:t xml:space="preserve"> 2008) provided evidence for superior efficacy of buccal over oral misoprostol administration for pregn</w:t>
      </w:r>
      <w:r w:rsidR="00C45465">
        <w:t>ancies at 57-63 GA.</w:t>
      </w:r>
    </w:p>
    <w:p w:rsidR="00376448" w:rsidRDefault="00376448" w:rsidP="00376448">
      <w:r>
        <w:t xml:space="preserve">Success was similar between </w:t>
      </w:r>
      <w:proofErr w:type="spellStart"/>
      <w:r>
        <w:t>primi</w:t>
      </w:r>
      <w:proofErr w:type="spellEnd"/>
      <w:r>
        <w:t>- and multigravidas and efficacy data were available in both Caucasian and Asian populations although no direct comparisons were made.</w:t>
      </w:r>
    </w:p>
    <w:p w:rsidR="00376448" w:rsidRPr="00376448" w:rsidRDefault="00376448" w:rsidP="00C45465">
      <w:r w:rsidRPr="00953F20">
        <w:t xml:space="preserve">Abortion success rates for pregnancies 50-56 GA and 57-63 GA from the three data sources overall indicate comparable efficacy of the mifepristone 200 mg and buccal misoprostol 800 </w:t>
      </w:r>
      <w:r w:rsidR="00336C5D" w:rsidRPr="00953F20">
        <w:t>microgram</w:t>
      </w:r>
      <w:r w:rsidRPr="00953F20">
        <w:t xml:space="preserve"> regimen at 50-63 GA</w:t>
      </w:r>
      <w:r w:rsidR="006A596B" w:rsidRPr="00953F20">
        <w:t xml:space="preserve">. The reported efficacy is </w:t>
      </w:r>
      <w:r w:rsidRPr="00953F20">
        <w:t xml:space="preserve">less than or equal to </w:t>
      </w:r>
      <w:r w:rsidR="006A596B" w:rsidRPr="00953F20">
        <w:t xml:space="preserve">efficacy reported at </w:t>
      </w:r>
      <w:r w:rsidRPr="00953F20">
        <w:t>49 GA.</w:t>
      </w:r>
    </w:p>
    <w:p w:rsidR="000E552D" w:rsidRPr="00C45465" w:rsidRDefault="000E552D" w:rsidP="00C45465">
      <w:pPr>
        <w:pStyle w:val="Heading3"/>
      </w:pPr>
      <w:bookmarkStart w:id="22" w:name="_Toc403987299"/>
      <w:r w:rsidRPr="002E238E">
        <w:t>Safety</w:t>
      </w:r>
      <w:bookmarkEnd w:id="22"/>
    </w:p>
    <w:p w:rsidR="000E552D" w:rsidRDefault="000E552D" w:rsidP="00C45465">
      <w:pPr>
        <w:pStyle w:val="Heading4"/>
      </w:pPr>
      <w:bookmarkStart w:id="23" w:name="_Toc403987300"/>
      <w:r w:rsidRPr="00C45465">
        <w:t>Studies</w:t>
      </w:r>
      <w:r w:rsidRPr="00605AD4">
        <w:t xml:space="preserve"> providing safety data</w:t>
      </w:r>
      <w:bookmarkEnd w:id="23"/>
    </w:p>
    <w:p w:rsidR="00376448" w:rsidRPr="00376448" w:rsidRDefault="00376448" w:rsidP="00C45465">
      <w:r w:rsidRPr="00376448">
        <w:t>In the efficacy study 1.1.4, general adverse events (AEs) were collected at the exit interview. Pain was scored on a 7 point scale. Safety data were also sourced from the literature review and the report of the Authorised Pre</w:t>
      </w:r>
      <w:r w:rsidR="00336C5D">
        <w:t>s</w:t>
      </w:r>
      <w:r w:rsidRPr="00376448">
        <w:t>criber Program. Two of the six identified studies of mifepristone and buccal misoprostol did not report adverse events (</w:t>
      </w:r>
      <w:proofErr w:type="spellStart"/>
      <w:r w:rsidRPr="00376448">
        <w:t>Boersma</w:t>
      </w:r>
      <w:proofErr w:type="spellEnd"/>
      <w:r w:rsidRPr="00376448">
        <w:t xml:space="preserve"> 2011, reference 947 and </w:t>
      </w:r>
      <w:proofErr w:type="spellStart"/>
      <w:r w:rsidRPr="00376448">
        <w:t>Fjerstad</w:t>
      </w:r>
      <w:proofErr w:type="spellEnd"/>
      <w:r w:rsidRPr="00376448">
        <w:t xml:space="preserve"> 2009, reference 908). Safety data from the other four studies were available.</w:t>
      </w:r>
    </w:p>
    <w:p w:rsidR="000E552D" w:rsidRPr="00C45465" w:rsidRDefault="000E552D" w:rsidP="00C45465">
      <w:pPr>
        <w:pStyle w:val="Heading4"/>
      </w:pPr>
      <w:bookmarkStart w:id="24" w:name="_Toc403987301"/>
      <w:r w:rsidRPr="00605AD4">
        <w:t>Patient exposure</w:t>
      </w:r>
      <w:bookmarkEnd w:id="24"/>
    </w:p>
    <w:p w:rsidR="00376448" w:rsidRPr="00376448" w:rsidRDefault="00376448" w:rsidP="00C45465">
      <w:r w:rsidRPr="00376448">
        <w:t>Study 1.1.4 included 1000 women with safety data available from 969 (GA less than or equal to 63). The data from the Authorised Prescriber Program included 7166 women, of these 4488 had pregnancies of less than 49 GA and 2678 of 50-63 GA.</w:t>
      </w:r>
    </w:p>
    <w:p w:rsidR="000E552D" w:rsidRPr="00C45465" w:rsidRDefault="000E552D" w:rsidP="00C45465">
      <w:pPr>
        <w:pStyle w:val="Heading4"/>
      </w:pPr>
      <w:bookmarkStart w:id="25" w:name="_Toc403987302"/>
      <w:r w:rsidRPr="00605AD4">
        <w:t>Safety issues with the potential for major regulatory impact</w:t>
      </w:r>
      <w:bookmarkEnd w:id="25"/>
    </w:p>
    <w:p w:rsidR="00376448" w:rsidRDefault="00376448" w:rsidP="00C45465">
      <w:r>
        <w:t>There were no deaths reported in Study 1.1.4. The rate of SAEs was 1.1% (11/971) with all being hospitalisations for dilatation and curettage (D&amp;C) due to “problematic bleeding”. One woman required a blood transfusion (0.1%) and one IV antibiotics (0.1%).</w:t>
      </w:r>
      <w:r w:rsidR="002C2CD9">
        <w:t xml:space="preserve"> N</w:t>
      </w:r>
      <w:r>
        <w:t>o further details were provided and only very brief narratives were included in the CSR.</w:t>
      </w:r>
    </w:p>
    <w:p w:rsidR="00376448" w:rsidRDefault="00376448" w:rsidP="00C45465">
      <w:r>
        <w:t>There were no deaths in the</w:t>
      </w:r>
      <w:r w:rsidR="00C45465">
        <w:t xml:space="preserve"> Authorised Prescriber Program.</w:t>
      </w:r>
    </w:p>
    <w:p w:rsidR="00376448" w:rsidRDefault="00376448" w:rsidP="00C45465">
      <w:r>
        <w:t>The overall rate of incomplete abortion requiring surgical aspiration was 3.0%. The rate of haemorrhage requiring transfusion was 0.02%, 0.15%, 0.14% and 0% at less than 49 GA, 49-55 GA, 56-63 GA and 63 GA, respectively. There were no cases of pain requiring hospital treatment.</w:t>
      </w:r>
    </w:p>
    <w:p w:rsidR="00376448" w:rsidRDefault="00376448" w:rsidP="00C45465">
      <w:r>
        <w:lastRenderedPageBreak/>
        <w:t>There were no deaths or SAEs in the PK study MCPK12001J1.</w:t>
      </w:r>
    </w:p>
    <w:p w:rsidR="00376448" w:rsidRDefault="00376448" w:rsidP="00376448">
      <w:r>
        <w:t>There were a number of significant adverse events reported from the literature search. These included:</w:t>
      </w:r>
    </w:p>
    <w:p w:rsidR="00376448" w:rsidRPr="00376448" w:rsidRDefault="00376448" w:rsidP="00C45465">
      <w:pPr>
        <w:pStyle w:val="ListBullet"/>
      </w:pPr>
      <w:r w:rsidRPr="00376448">
        <w:t xml:space="preserve">Acute necrotising pancreatitis following second trimester TOP with mifepristone 600 mg and </w:t>
      </w:r>
      <w:proofErr w:type="spellStart"/>
      <w:r w:rsidRPr="00376448">
        <w:t>gemeprost</w:t>
      </w:r>
      <w:proofErr w:type="spellEnd"/>
      <w:r w:rsidRPr="00376448">
        <w:t xml:space="preserve"> (reference 980, </w:t>
      </w:r>
      <w:proofErr w:type="spellStart"/>
      <w:r w:rsidRPr="00376448">
        <w:t>Hallberg</w:t>
      </w:r>
      <w:proofErr w:type="spellEnd"/>
      <w:r w:rsidRPr="00376448">
        <w:t xml:space="preserve"> 2004).</w:t>
      </w:r>
    </w:p>
    <w:p w:rsidR="00376448" w:rsidRPr="00376448" w:rsidRDefault="00376448" w:rsidP="00C45465">
      <w:pPr>
        <w:pStyle w:val="ListBullet"/>
      </w:pPr>
      <w:proofErr w:type="spellStart"/>
      <w:r w:rsidRPr="00376448">
        <w:t>Vasospastic</w:t>
      </w:r>
      <w:proofErr w:type="spellEnd"/>
      <w:r w:rsidRPr="00376448">
        <w:t xml:space="preserve"> angina pectoris with loss of consciousness, </w:t>
      </w:r>
      <w:r w:rsidRPr="00C45465">
        <w:t>bradycardia</w:t>
      </w:r>
      <w:r w:rsidRPr="00376448">
        <w:t xml:space="preserve"> and seizures following mifepristone 600 mg and </w:t>
      </w:r>
      <w:proofErr w:type="spellStart"/>
      <w:r w:rsidRPr="00376448">
        <w:t>gemeprost</w:t>
      </w:r>
      <w:proofErr w:type="spellEnd"/>
      <w:r w:rsidRPr="00376448">
        <w:t xml:space="preserve"> 1 mg (reference 981, </w:t>
      </w:r>
      <w:proofErr w:type="spellStart"/>
      <w:r w:rsidRPr="00376448">
        <w:t>Lindhardt</w:t>
      </w:r>
      <w:proofErr w:type="spellEnd"/>
      <w:r w:rsidRPr="00376448">
        <w:t xml:space="preserve"> 2000).</w:t>
      </w:r>
    </w:p>
    <w:p w:rsidR="00376448" w:rsidRPr="00376448" w:rsidRDefault="00376448" w:rsidP="00C45465">
      <w:pPr>
        <w:pStyle w:val="ListBullet"/>
      </w:pPr>
      <w:r w:rsidRPr="00376448">
        <w:t xml:space="preserve">Uterine rupture following termination of pregnancy at 12 weeks with mifepristone 200 mg and misoprostol 800 </w:t>
      </w:r>
      <w:r w:rsidR="00336C5D">
        <w:t>microgram</w:t>
      </w:r>
      <w:r w:rsidRPr="00376448">
        <w:t xml:space="preserve"> vaginally and 400 </w:t>
      </w:r>
      <w:r w:rsidR="00336C5D">
        <w:t>microgram</w:t>
      </w:r>
      <w:r w:rsidRPr="00376448">
        <w:t xml:space="preserve"> orally (reference 982, </w:t>
      </w:r>
      <w:proofErr w:type="spellStart"/>
      <w:r w:rsidRPr="00376448">
        <w:t>Willmott</w:t>
      </w:r>
      <w:proofErr w:type="spellEnd"/>
      <w:r w:rsidRPr="00376448">
        <w:t xml:space="preserve"> 2008).</w:t>
      </w:r>
    </w:p>
    <w:p w:rsidR="00376448" w:rsidRPr="00376448" w:rsidRDefault="00376448" w:rsidP="00C45465">
      <w:pPr>
        <w:pStyle w:val="ListBullet"/>
      </w:pPr>
      <w:r w:rsidRPr="00376448">
        <w:t xml:space="preserve">Birth of child with Mobius syndrome (facial palsy, </w:t>
      </w:r>
      <w:proofErr w:type="spellStart"/>
      <w:r w:rsidRPr="00C45465">
        <w:t>microretrognathia</w:t>
      </w:r>
      <w:proofErr w:type="spellEnd"/>
      <w:r w:rsidRPr="00376448">
        <w:t xml:space="preserve">, axial </w:t>
      </w:r>
      <w:proofErr w:type="spellStart"/>
      <w:r w:rsidRPr="00376448">
        <w:t>hypotonia</w:t>
      </w:r>
      <w:proofErr w:type="spellEnd"/>
      <w:r w:rsidRPr="00376448">
        <w:t xml:space="preserve">) following foetal exposure to mifepristone 600 mg and misoprostol 400 </w:t>
      </w:r>
      <w:r w:rsidR="00336C5D">
        <w:t>microgram</w:t>
      </w:r>
      <w:r w:rsidRPr="00376448">
        <w:t xml:space="preserve"> orally during 7th week of pregnancy (reference 983, </w:t>
      </w:r>
      <w:proofErr w:type="spellStart"/>
      <w:r w:rsidRPr="00376448">
        <w:t>Bos</w:t>
      </w:r>
      <w:proofErr w:type="spellEnd"/>
      <w:r w:rsidRPr="00376448">
        <w:t xml:space="preserve"> 2008).</w:t>
      </w:r>
    </w:p>
    <w:p w:rsidR="00376448" w:rsidRPr="00376448" w:rsidRDefault="00376448" w:rsidP="00C45465">
      <w:pPr>
        <w:pStyle w:val="ListBullet"/>
      </w:pPr>
      <w:r w:rsidRPr="00376448">
        <w:t xml:space="preserve">Congenital abnormalities (vascular abnormalities and </w:t>
      </w:r>
      <w:r w:rsidRPr="00C45465">
        <w:t>early</w:t>
      </w:r>
      <w:r w:rsidRPr="00376448">
        <w:t xml:space="preserve"> amniotic rupture with resultant limb deformities) were reported in two cases with exposure during pregnancy to misoprostol</w:t>
      </w:r>
      <w:r w:rsidR="00062545">
        <w:t xml:space="preserve"> </w:t>
      </w:r>
      <w:r w:rsidRPr="00376448">
        <w:t xml:space="preserve">(reference 984, Rosa 2007 and reference 985, </w:t>
      </w:r>
      <w:proofErr w:type="spellStart"/>
      <w:r w:rsidRPr="00376448">
        <w:t>Genest</w:t>
      </w:r>
      <w:proofErr w:type="spellEnd"/>
      <w:r w:rsidRPr="00376448">
        <w:t xml:space="preserve"> 1999)</w:t>
      </w:r>
    </w:p>
    <w:p w:rsidR="00376448" w:rsidRPr="00376448" w:rsidRDefault="00376448" w:rsidP="00C45465">
      <w:pPr>
        <w:pStyle w:val="ListBullet"/>
      </w:pPr>
      <w:r w:rsidRPr="00376448">
        <w:t xml:space="preserve">A reported congenital malformation rate of 4.2% in a </w:t>
      </w:r>
      <w:r w:rsidRPr="00C45465">
        <w:t>prospective</w:t>
      </w:r>
      <w:r w:rsidRPr="00376448">
        <w:t xml:space="preserve"> review of 105 pregnancies exposed of mifepristone or mifepristone and misoprostol (reference 987, Bernard 2013).</w:t>
      </w:r>
    </w:p>
    <w:p w:rsidR="000E552D" w:rsidRPr="00C45465" w:rsidRDefault="000E552D" w:rsidP="00C45465">
      <w:pPr>
        <w:pStyle w:val="Heading4"/>
      </w:pPr>
      <w:bookmarkStart w:id="26" w:name="_Toc403987303"/>
      <w:proofErr w:type="spellStart"/>
      <w:r w:rsidRPr="00605AD4">
        <w:t>Postmarketing</w:t>
      </w:r>
      <w:proofErr w:type="spellEnd"/>
      <w:r w:rsidRPr="00605AD4">
        <w:t xml:space="preserve"> data</w:t>
      </w:r>
      <w:bookmarkEnd w:id="26"/>
    </w:p>
    <w:p w:rsidR="006815CD" w:rsidRDefault="00C45465" w:rsidP="00C45465">
      <w:r>
        <w:t>The dossier included two PSURs.</w:t>
      </w:r>
    </w:p>
    <w:p w:rsidR="00376448" w:rsidRDefault="00376448" w:rsidP="00C45465">
      <w:r>
        <w:t xml:space="preserve">The mifepristone </w:t>
      </w:r>
      <w:proofErr w:type="spellStart"/>
      <w:r>
        <w:t>Linepharma</w:t>
      </w:r>
      <w:proofErr w:type="spellEnd"/>
      <w:r>
        <w:t xml:space="preserve"> 200 mg tablet PSUR number 4 covered the period from 29 June 2012 to 28 December 2012 during which 20,669 packs containing 1 tablet and 312 packs of 30 tablets were distributed worldwide. The total patient exposure during the period was 24,379 women. There was only one reported case with two events “feeling unwell” and “stomach flu” which were non-serious. There was a second case of disease progression and death in a compassionate use patient with Cushing syndrome and metastatic adrenal carcinoma.</w:t>
      </w:r>
    </w:p>
    <w:p w:rsidR="008E5707" w:rsidRDefault="00376448" w:rsidP="00C45465">
      <w:r>
        <w:t xml:space="preserve">The </w:t>
      </w:r>
      <w:proofErr w:type="spellStart"/>
      <w:r w:rsidR="00052E21">
        <w:t>GyMiso</w:t>
      </w:r>
      <w:proofErr w:type="spellEnd"/>
      <w:r w:rsidR="00052E21">
        <w:t>®</w:t>
      </w:r>
      <w:r>
        <w:t xml:space="preserve"> (misoprostol) 200 </w:t>
      </w:r>
      <w:r w:rsidR="00336C5D">
        <w:t>microgram</w:t>
      </w:r>
      <w:r>
        <w:t xml:space="preserve"> tablet PSUR covered the period from 29 October 2012 to 28 April 2013. This was the first Australian PSUR for </w:t>
      </w:r>
      <w:proofErr w:type="spellStart"/>
      <w:r w:rsidR="00052E21">
        <w:t>GyMiso</w:t>
      </w:r>
      <w:proofErr w:type="spellEnd"/>
      <w:r w:rsidR="00052E21">
        <w:t>®</w:t>
      </w:r>
      <w:r>
        <w:t xml:space="preserve"> following approval on 29 August 2012. During the period a total of 13138 packs (containing 2 x 200 </w:t>
      </w:r>
      <w:r w:rsidR="00336C5D">
        <w:t>microgram</w:t>
      </w:r>
      <w:r>
        <w:t xml:space="preserve"> tablets) were distributed in France. There was no distribution in Australia. (It is noted that the pack size in Australia is 4</w:t>
      </w:r>
      <w:r w:rsidR="007D566A">
        <w:t xml:space="preserve"> </w:t>
      </w:r>
      <w:r>
        <w:t xml:space="preserve">x 200 </w:t>
      </w:r>
      <w:r w:rsidR="00336C5D">
        <w:t>microgram</w:t>
      </w:r>
      <w:r>
        <w:t xml:space="preserve">). A further 1960 packs were distributed for </w:t>
      </w:r>
      <w:proofErr w:type="spellStart"/>
      <w:r>
        <w:t>Gynuity</w:t>
      </w:r>
      <w:proofErr w:type="spellEnd"/>
      <w:r>
        <w:t xml:space="preserve"> Health Projects leading to a total patient exposure of 15,098 </w:t>
      </w:r>
      <w:r w:rsidR="00C45465">
        <w:t>women.</w:t>
      </w:r>
    </w:p>
    <w:p w:rsidR="009A2A2B" w:rsidRDefault="00AB3440" w:rsidP="00C45465">
      <w:r>
        <w:t xml:space="preserve">Details of adverse events reported are discussed in the </w:t>
      </w:r>
      <w:r w:rsidR="00937C35">
        <w:t xml:space="preserve">Delegate’s Overview </w:t>
      </w:r>
      <w:r>
        <w:t>below</w:t>
      </w:r>
      <w:r w:rsidR="00937C35">
        <w:t xml:space="preserve"> (pages 30</w:t>
      </w:r>
      <w:r w:rsidR="00CE459E">
        <w:t>-3</w:t>
      </w:r>
      <w:r w:rsidR="007167D0">
        <w:t>2</w:t>
      </w:r>
      <w:r w:rsidR="00937C35">
        <w:t xml:space="preserve"> of this </w:t>
      </w:r>
      <w:proofErr w:type="spellStart"/>
      <w:r w:rsidR="00937C35">
        <w:t>AusPAR</w:t>
      </w:r>
      <w:proofErr w:type="spellEnd"/>
      <w:r w:rsidR="00937C35">
        <w:t>).</w:t>
      </w:r>
    </w:p>
    <w:p w:rsidR="00376448" w:rsidRDefault="009A2A2B" w:rsidP="00C45465">
      <w:r>
        <w:t xml:space="preserve">One death was </w:t>
      </w:r>
      <w:r w:rsidRPr="00F8648B">
        <w:t xml:space="preserve">reported in </w:t>
      </w:r>
      <w:r w:rsidR="006E0837" w:rsidRPr="00F8648B">
        <w:t>Australia in</w:t>
      </w:r>
      <w:r w:rsidR="00376448" w:rsidRPr="00953F20">
        <w:t xml:space="preserve"> May 2013</w:t>
      </w:r>
      <w:r>
        <w:t xml:space="preserve">; </w:t>
      </w:r>
      <w:r w:rsidR="00376448" w:rsidRPr="00953F20">
        <w:t xml:space="preserve"> </w:t>
      </w:r>
      <w:r w:rsidR="00B31152">
        <w:t>the patient</w:t>
      </w:r>
      <w:r w:rsidR="00376448" w:rsidRPr="00953F20">
        <w:t xml:space="preserve"> took mifepristone </w:t>
      </w:r>
      <w:proofErr w:type="spellStart"/>
      <w:r w:rsidR="00376448" w:rsidRPr="00953F20">
        <w:t>Linepharma</w:t>
      </w:r>
      <w:proofErr w:type="spellEnd"/>
      <w:r w:rsidR="00376448" w:rsidRPr="00953F20">
        <w:t xml:space="preserve"> 200 mg followed by misoprostol 800 </w:t>
      </w:r>
      <w:r w:rsidR="00336C5D" w:rsidRPr="00953F20">
        <w:t>microgram</w:t>
      </w:r>
      <w:r w:rsidR="00376448" w:rsidRPr="00953F20">
        <w:t xml:space="preserve"> (different brand</w:t>
      </w:r>
      <w:r w:rsidR="008E5707">
        <w:t xml:space="preserve"> to </w:t>
      </w:r>
      <w:r w:rsidR="003501D4">
        <w:t xml:space="preserve">the </w:t>
      </w:r>
      <w:r w:rsidR="008E5707">
        <w:t>current application</w:t>
      </w:r>
      <w:r w:rsidR="00376448" w:rsidRPr="00953F20">
        <w:t>) a day later at 47 days of gestation. The patient developed sepsis with acute renal failure and died 12 days after taking the medication.</w:t>
      </w:r>
      <w:bookmarkStart w:id="27" w:name="_Ref390747228"/>
      <w:r w:rsidR="008C4C26" w:rsidRPr="00953F20" w:rsidDel="008C4C26">
        <w:rPr>
          <w:rStyle w:val="FootnoteReference"/>
        </w:rPr>
        <w:t xml:space="preserve"> </w:t>
      </w:r>
      <w:bookmarkStart w:id="28" w:name="_Ref399318917"/>
      <w:bookmarkEnd w:id="27"/>
      <w:r w:rsidR="00B0478D">
        <w:rPr>
          <w:rStyle w:val="FootnoteReference"/>
        </w:rPr>
        <w:footnoteReference w:id="1"/>
      </w:r>
      <w:bookmarkEnd w:id="28"/>
      <w:r w:rsidR="007C1E97" w:rsidRPr="007C1E97">
        <w:rPr>
          <w:vertAlign w:val="superscript"/>
        </w:rPr>
        <w:t>,</w:t>
      </w:r>
      <w:bookmarkStart w:id="29" w:name="_Ref399318920"/>
      <w:r w:rsidR="007C1E97">
        <w:rPr>
          <w:rStyle w:val="FootnoteReference"/>
        </w:rPr>
        <w:footnoteReference w:id="2"/>
      </w:r>
      <w:bookmarkEnd w:id="29"/>
    </w:p>
    <w:p w:rsidR="000E552D" w:rsidRPr="00735770" w:rsidRDefault="000E552D" w:rsidP="00735770">
      <w:pPr>
        <w:pStyle w:val="Heading4"/>
      </w:pPr>
      <w:bookmarkStart w:id="30" w:name="_Toc403987304"/>
      <w:r w:rsidRPr="00605AD4">
        <w:lastRenderedPageBreak/>
        <w:t>Evaluator’s conclusions on safety</w:t>
      </w:r>
      <w:bookmarkEnd w:id="30"/>
    </w:p>
    <w:p w:rsidR="00376448" w:rsidRPr="00376448" w:rsidRDefault="00376448" w:rsidP="00735770">
      <w:r w:rsidRPr="00376448">
        <w:t xml:space="preserve">The three safety data sources in the dossier were the Phase III Study 1.1.4, the Authorised Prescriber Program in Australia and a literature review. Study 1.1.4 included 1000 women with safety data available from 969 and provided non-comparative safety data on the proposed regimen of mifepristone and buccal misoprostol 800 </w:t>
      </w:r>
      <w:r w:rsidR="00336C5D">
        <w:t>microgram</w:t>
      </w:r>
      <w:r w:rsidRPr="00376448">
        <w:t xml:space="preserve">, but did not break down AEs by gestational age. The Authorised Prescriber Program data included 7166 women, of these 4488 had pregnancies of gestational age less than 49 days and 2678 of 50-63 days. This provided safety data on the regimen by gestational age. One study from the literature provided randomised comparative data for buccal and oral routes of administration of misoprostol 800 </w:t>
      </w:r>
      <w:r w:rsidR="00336C5D">
        <w:t>microgram</w:t>
      </w:r>
      <w:r w:rsidRPr="00376448">
        <w:t>.</w:t>
      </w:r>
    </w:p>
    <w:p w:rsidR="00376448" w:rsidRPr="00376448" w:rsidRDefault="00376448" w:rsidP="00735770">
      <w:r w:rsidRPr="00376448">
        <w:t xml:space="preserve">The Phase III study reported frequent adverse events with the treatment regimen, in particular diarrhoea, fever/chills, nausea, vomiting and weakness, although the events were mainly mild to moderate in severity. Four studies in the literature review which assessed 800 </w:t>
      </w:r>
      <w:r w:rsidR="00336C5D">
        <w:t>microgram</w:t>
      </w:r>
      <w:r w:rsidRPr="00376448">
        <w:t xml:space="preserve"> buccal misoprostol with mifepristone reported a similar profile and frequency of adverse events to the sponsor’s Phase III trial. In addition, the overall experience with adverse events was deemed acceptable or very acceptable in </w:t>
      </w:r>
      <w:r w:rsidR="00735770">
        <w:t>the majority of women (70-98%).</w:t>
      </w:r>
    </w:p>
    <w:p w:rsidR="00376448" w:rsidRPr="00376448" w:rsidRDefault="00376448" w:rsidP="00735770">
      <w:r w:rsidRPr="00376448">
        <w:t>A randomised controlled trial (</w:t>
      </w:r>
      <w:proofErr w:type="spellStart"/>
      <w:r w:rsidRPr="00376448">
        <w:t>Winikoff</w:t>
      </w:r>
      <w:proofErr w:type="spellEnd"/>
      <w:r w:rsidRPr="00376448">
        <w:t xml:space="preserve"> 2008) found the rate of AEs was similar between buccal and oral misoprostol administration except for a significantly higher rate of fever/chills with the buccal route (41% versus 33%). Adverse events were reported as acceptable in at least 70% of women with no apparent difference between the routes of administration.</w:t>
      </w:r>
    </w:p>
    <w:p w:rsidR="00376448" w:rsidRPr="00376448" w:rsidRDefault="00376448" w:rsidP="00735770">
      <w:r w:rsidRPr="00376448">
        <w:t>From the Australian Authorised Prescriber Program, the rate of AEs was slightly higher for gestational age of greater than or equal to 49 days than less than 49 days (2.9%, 5.8%, 4.0% and 4.6% for less than 49 GA, 49-55 GA, 56-62 GA and 63 GA, respectively), although the number of abortions at greater than or equal to 56 GA were low. There appeared to be a small but increasing risk of haemorrhage with increasing GA. The numbers, however, were low and so it is difficult to draw definitive conclusions on this potential risk.</w:t>
      </w:r>
    </w:p>
    <w:p w:rsidR="00376448" w:rsidRPr="00376448" w:rsidRDefault="00376448" w:rsidP="00735770">
      <w:r w:rsidRPr="00815813">
        <w:t xml:space="preserve">There were no deaths reported in the clinical trials or </w:t>
      </w:r>
      <w:r w:rsidR="005B6D3C">
        <w:t xml:space="preserve">in the </w:t>
      </w:r>
      <w:r w:rsidRPr="00815813">
        <w:t>Authorised Prescriber Program</w:t>
      </w:r>
      <w:r w:rsidR="005B72F0">
        <w:t xml:space="preserve"> data analysed</w:t>
      </w:r>
      <w:r w:rsidRPr="00376448">
        <w:t xml:space="preserve">. </w:t>
      </w:r>
      <w:r w:rsidRPr="00873F17">
        <w:t>There was one death from sepsis 12 days post treatment reported in post-marketing surveillance</w:t>
      </w:r>
      <w:r w:rsidR="003501D4">
        <w:t>.</w:t>
      </w:r>
      <w:r w:rsidR="003501D4" w:rsidRPr="00F8648B">
        <w:rPr>
          <w:vertAlign w:val="superscript"/>
        </w:rPr>
        <w:fldChar w:fldCharType="begin"/>
      </w:r>
      <w:r w:rsidR="003501D4" w:rsidRPr="00F8648B">
        <w:rPr>
          <w:vertAlign w:val="superscript"/>
        </w:rPr>
        <w:instrText xml:space="preserve"> NOTEREF _Ref399318917 \h </w:instrText>
      </w:r>
      <w:r w:rsidR="003501D4">
        <w:rPr>
          <w:vertAlign w:val="superscript"/>
        </w:rPr>
        <w:instrText xml:space="preserve"> \* MERGEFORMAT </w:instrText>
      </w:r>
      <w:r w:rsidR="003501D4" w:rsidRPr="00F8648B">
        <w:rPr>
          <w:vertAlign w:val="superscript"/>
        </w:rPr>
      </w:r>
      <w:r w:rsidR="003501D4" w:rsidRPr="00F8648B">
        <w:rPr>
          <w:vertAlign w:val="superscript"/>
        </w:rPr>
        <w:fldChar w:fldCharType="separate"/>
      </w:r>
      <w:r w:rsidR="000260D6">
        <w:rPr>
          <w:vertAlign w:val="superscript"/>
        </w:rPr>
        <w:t>1</w:t>
      </w:r>
      <w:r w:rsidR="003501D4" w:rsidRPr="00F8648B">
        <w:rPr>
          <w:vertAlign w:val="superscript"/>
        </w:rPr>
        <w:fldChar w:fldCharType="end"/>
      </w:r>
      <w:proofErr w:type="gramStart"/>
      <w:r w:rsidR="003501D4" w:rsidRPr="00F8648B">
        <w:rPr>
          <w:vertAlign w:val="superscript"/>
        </w:rPr>
        <w:t>,</w:t>
      </w:r>
      <w:proofErr w:type="gramEnd"/>
      <w:r w:rsidR="003501D4" w:rsidRPr="00F8648B">
        <w:rPr>
          <w:vertAlign w:val="superscript"/>
        </w:rPr>
        <w:fldChar w:fldCharType="begin"/>
      </w:r>
      <w:r w:rsidR="003501D4" w:rsidRPr="00F8648B">
        <w:rPr>
          <w:vertAlign w:val="superscript"/>
        </w:rPr>
        <w:instrText xml:space="preserve"> NOTEREF _Ref399318920 \h </w:instrText>
      </w:r>
      <w:r w:rsidR="003501D4">
        <w:rPr>
          <w:vertAlign w:val="superscript"/>
        </w:rPr>
        <w:instrText xml:space="preserve"> \* MERGEFORMAT </w:instrText>
      </w:r>
      <w:r w:rsidR="003501D4" w:rsidRPr="00F8648B">
        <w:rPr>
          <w:vertAlign w:val="superscript"/>
        </w:rPr>
      </w:r>
      <w:r w:rsidR="003501D4" w:rsidRPr="00F8648B">
        <w:rPr>
          <w:vertAlign w:val="superscript"/>
        </w:rPr>
        <w:fldChar w:fldCharType="separate"/>
      </w:r>
      <w:r w:rsidR="000260D6">
        <w:rPr>
          <w:vertAlign w:val="superscript"/>
        </w:rPr>
        <w:t>2</w:t>
      </w:r>
      <w:r w:rsidR="003501D4" w:rsidRPr="00F8648B">
        <w:rPr>
          <w:vertAlign w:val="superscript"/>
        </w:rPr>
        <w:fldChar w:fldCharType="end"/>
      </w:r>
      <w:r w:rsidRPr="00873F17">
        <w:t xml:space="preserve">The subject had received mifepristone and a different brand of misoprostol at 47 </w:t>
      </w:r>
      <w:r w:rsidR="001205F3">
        <w:t>days of gestation</w:t>
      </w:r>
      <w:r w:rsidRPr="00873F17">
        <w:t>.</w:t>
      </w:r>
    </w:p>
    <w:p w:rsidR="00376448" w:rsidRPr="00376448" w:rsidRDefault="00376448" w:rsidP="00735770">
      <w:r w:rsidRPr="00376448">
        <w:t>Serious adverse events occurred in 1.1% of the study 1.1.4 population. All were related to hospitalisation for D&amp;C to manage bleeding. There was one reported case requiring transfusion and one IV antibiotics (0.1% each). In the Authorised Prescriber Program the rate of rate of incomplete abortion requiring surgical aspiration was 3.0%, haemorrhage requiring transfusion 0.07%, haemorrhage not requiring transfusion 0.25% and infect</w:t>
      </w:r>
      <w:r w:rsidR="00735770">
        <w:t>ion (known or suspected) 0.54%.</w:t>
      </w:r>
    </w:p>
    <w:p w:rsidR="00376448" w:rsidRPr="00376448" w:rsidRDefault="00376448" w:rsidP="00735770">
      <w:r w:rsidRPr="00376448">
        <w:t xml:space="preserve">Other risks identified from the literature included acute necrotising pancreatitis, </w:t>
      </w:r>
      <w:proofErr w:type="spellStart"/>
      <w:r w:rsidRPr="00376448">
        <w:t>vasospastic</w:t>
      </w:r>
      <w:proofErr w:type="spellEnd"/>
      <w:r w:rsidRPr="00376448">
        <w:t xml:space="preserve"> angin</w:t>
      </w:r>
      <w:r w:rsidR="00735770">
        <w:t>a pectoris and uterine rupture.</w:t>
      </w:r>
    </w:p>
    <w:p w:rsidR="00376448" w:rsidRPr="00376448" w:rsidRDefault="00376448" w:rsidP="00735770">
      <w:r w:rsidRPr="00376448">
        <w:t xml:space="preserve"> The sponsor stated that pancreatitis would be ad</w:t>
      </w:r>
      <w:r w:rsidR="00735770">
        <w:t>ded to the product information.</w:t>
      </w:r>
    </w:p>
    <w:p w:rsidR="00376448" w:rsidRPr="00376448" w:rsidRDefault="00376448" w:rsidP="00735770">
      <w:r w:rsidRPr="00376448">
        <w:t>Congenital abnormalities following foetal exposure were reported (Mobius syndrome, vascular abnormalities and limb deformities following to amniotic membrane rupture). A prospective study of 105 pregnancies exposed to mifepristone with or without misoprostol found a congenital malformation rate of 4.2%.</w:t>
      </w:r>
    </w:p>
    <w:p w:rsidR="00062545" w:rsidRDefault="00376448" w:rsidP="00735770">
      <w:r w:rsidRPr="00815813">
        <w:t>Post-marketing data from the two most recent PSURs were unremarkable apart from the death discussed above</w:t>
      </w:r>
      <w:r w:rsidRPr="00376448">
        <w:t>.</w:t>
      </w:r>
    </w:p>
    <w:p w:rsidR="000E552D" w:rsidRPr="00605AD4" w:rsidRDefault="000E552D" w:rsidP="00735770">
      <w:pPr>
        <w:pStyle w:val="Heading3"/>
        <w:rPr>
          <w:rFonts w:eastAsia="Cambria"/>
        </w:rPr>
      </w:pPr>
      <w:bookmarkStart w:id="31" w:name="_Toc403987305"/>
      <w:r w:rsidRPr="00605AD4">
        <w:rPr>
          <w:rFonts w:eastAsia="Cambria"/>
        </w:rPr>
        <w:lastRenderedPageBreak/>
        <w:t xml:space="preserve">First </w:t>
      </w:r>
      <w:r w:rsidR="00735770">
        <w:rPr>
          <w:rFonts w:eastAsia="Cambria"/>
        </w:rPr>
        <w:t>r</w:t>
      </w:r>
      <w:r w:rsidRPr="00605AD4">
        <w:rPr>
          <w:rFonts w:eastAsia="Cambria"/>
        </w:rPr>
        <w:t xml:space="preserve">ound </w:t>
      </w:r>
      <w:r w:rsidR="00735770">
        <w:rPr>
          <w:rFonts w:eastAsia="Cambria"/>
        </w:rPr>
        <w:t>b</w:t>
      </w:r>
      <w:r w:rsidRPr="00605AD4">
        <w:rPr>
          <w:rFonts w:eastAsia="Cambria"/>
        </w:rPr>
        <w:t>enefit-</w:t>
      </w:r>
      <w:r w:rsidR="00735770">
        <w:rPr>
          <w:rFonts w:eastAsia="Cambria"/>
        </w:rPr>
        <w:t>r</w:t>
      </w:r>
      <w:r w:rsidRPr="00605AD4">
        <w:rPr>
          <w:rFonts w:eastAsia="Cambria"/>
        </w:rPr>
        <w:t xml:space="preserve">isk </w:t>
      </w:r>
      <w:r w:rsidR="00735770" w:rsidRPr="00735770">
        <w:rPr>
          <w:rFonts w:eastAsia="Cambria"/>
        </w:rPr>
        <w:t>a</w:t>
      </w:r>
      <w:r w:rsidRPr="00735770">
        <w:rPr>
          <w:rFonts w:eastAsia="Cambria"/>
        </w:rPr>
        <w:t>ssessment</w:t>
      </w:r>
      <w:bookmarkEnd w:id="31"/>
    </w:p>
    <w:p w:rsidR="000E552D" w:rsidRDefault="000E552D" w:rsidP="00735770">
      <w:pPr>
        <w:pStyle w:val="Heading4"/>
      </w:pPr>
      <w:bookmarkStart w:id="32" w:name="_Toc403987306"/>
      <w:r w:rsidRPr="00605AD4">
        <w:t>First round assessment of benefits</w:t>
      </w:r>
      <w:bookmarkEnd w:id="32"/>
    </w:p>
    <w:p w:rsidR="00157ABD" w:rsidRDefault="00157ABD" w:rsidP="00735770">
      <w:r>
        <w:t>The benefits of mifepristone/misoprostol in the proposed usage are:</w:t>
      </w:r>
    </w:p>
    <w:p w:rsidR="00157ABD" w:rsidRDefault="00157ABD" w:rsidP="00735770">
      <w:pPr>
        <w:pStyle w:val="ListBullet"/>
      </w:pPr>
      <w:r>
        <w:t xml:space="preserve">Efficacy demonstrated </w:t>
      </w:r>
      <w:r w:rsidRPr="00735770">
        <w:t>to</w:t>
      </w:r>
      <w:r>
        <w:t xml:space="preserve"> 63 GA with similar efficacy at ≤49 GA and 50-63 GA.</w:t>
      </w:r>
    </w:p>
    <w:p w:rsidR="00157ABD" w:rsidRDefault="00157ABD" w:rsidP="00735770">
      <w:pPr>
        <w:pStyle w:val="ListBullet"/>
      </w:pPr>
      <w:r>
        <w:t xml:space="preserve">The buccal route of </w:t>
      </w:r>
      <w:r w:rsidRPr="00735770">
        <w:t>misoprostol</w:t>
      </w:r>
      <w:r>
        <w:t xml:space="preserve"> administration was efficacious and, from the literature, had greater efficacy tha</w:t>
      </w:r>
      <w:r w:rsidR="00735770">
        <w:t>n the oral route for GA &gt;57-63.</w:t>
      </w:r>
    </w:p>
    <w:p w:rsidR="00157ABD" w:rsidRDefault="00157ABD" w:rsidP="00735770">
      <w:pPr>
        <w:pStyle w:val="ListBullet"/>
      </w:pPr>
      <w:r>
        <w:t xml:space="preserve">Physician and patient convenience of a combination pack </w:t>
      </w:r>
      <w:r w:rsidRPr="00735770">
        <w:t>supplying</w:t>
      </w:r>
      <w:r>
        <w:t xml:space="preserve"> the two medications in the correct dosage.</w:t>
      </w:r>
    </w:p>
    <w:p w:rsidR="00157ABD" w:rsidRDefault="00157ABD" w:rsidP="00735770">
      <w:pPr>
        <w:pStyle w:val="ListBullet"/>
      </w:pPr>
      <w:r>
        <w:t>An alternative to surgical abortion for GA 50-63.</w:t>
      </w:r>
    </w:p>
    <w:p w:rsidR="00157ABD" w:rsidRPr="00735770" w:rsidRDefault="00157ABD" w:rsidP="00735770">
      <w:pPr>
        <w:pStyle w:val="Heading4"/>
      </w:pPr>
      <w:bookmarkStart w:id="33" w:name="_Toc236802596"/>
      <w:bookmarkStart w:id="34" w:name="_Toc241374334"/>
      <w:bookmarkStart w:id="35" w:name="_Ref272160964"/>
      <w:bookmarkStart w:id="36" w:name="_Toc272414694"/>
      <w:bookmarkStart w:id="37" w:name="_Toc290846332"/>
      <w:bookmarkStart w:id="38" w:name="_Toc369514523"/>
      <w:bookmarkStart w:id="39" w:name="_Toc403987307"/>
      <w:r>
        <w:t>First round assessment of risks</w:t>
      </w:r>
      <w:bookmarkEnd w:id="33"/>
      <w:bookmarkEnd w:id="34"/>
      <w:bookmarkEnd w:id="35"/>
      <w:bookmarkEnd w:id="36"/>
      <w:bookmarkEnd w:id="37"/>
      <w:bookmarkEnd w:id="38"/>
      <w:bookmarkEnd w:id="39"/>
    </w:p>
    <w:p w:rsidR="00157ABD" w:rsidRDefault="00157ABD" w:rsidP="00735770">
      <w:r>
        <w:t xml:space="preserve">The risks of </w:t>
      </w:r>
      <w:r w:rsidRPr="00ED0F1F">
        <w:t xml:space="preserve">mifepristone/misoprostol </w:t>
      </w:r>
      <w:r>
        <w:t>in the proposed usage are:</w:t>
      </w:r>
    </w:p>
    <w:p w:rsidR="00157ABD" w:rsidRDefault="00157ABD" w:rsidP="00735770">
      <w:pPr>
        <w:pStyle w:val="ListBullet"/>
      </w:pPr>
      <w:r>
        <w:t>Frequent adverse events of nausea, vomiting, diarrhoea, fevers/</w:t>
      </w:r>
      <w:r w:rsidRPr="00735770">
        <w:t>chills</w:t>
      </w:r>
      <w:r>
        <w:t xml:space="preserve"> and weakness. The rate of fever/chills was higher with buccal than oral misoprostol, however patient acceptability was similar.</w:t>
      </w:r>
    </w:p>
    <w:p w:rsidR="00157ABD" w:rsidRDefault="00157ABD" w:rsidP="00735770">
      <w:pPr>
        <w:pStyle w:val="ListBullet"/>
      </w:pPr>
      <w:r>
        <w:t>Haemorrhage and the potential need for transfusion.</w:t>
      </w:r>
    </w:p>
    <w:p w:rsidR="00157ABD" w:rsidRDefault="00157ABD" w:rsidP="00735770">
      <w:pPr>
        <w:pStyle w:val="ListBullet"/>
      </w:pPr>
      <w:r>
        <w:t xml:space="preserve">Infection including </w:t>
      </w:r>
      <w:proofErr w:type="spellStart"/>
      <w:r>
        <w:t>endometritis</w:t>
      </w:r>
      <w:proofErr w:type="spellEnd"/>
      <w:r>
        <w:t xml:space="preserve"> and septic shock</w:t>
      </w:r>
      <w:r w:rsidRPr="004778C7">
        <w:t xml:space="preserve"> </w:t>
      </w:r>
      <w:r>
        <w:t xml:space="preserve">which may be </w:t>
      </w:r>
      <w:r w:rsidRPr="00735770">
        <w:t>fatal</w:t>
      </w:r>
      <w:r>
        <w:t>.</w:t>
      </w:r>
    </w:p>
    <w:p w:rsidR="00157ABD" w:rsidRDefault="00157ABD" w:rsidP="00735770">
      <w:pPr>
        <w:pStyle w:val="ListBullet"/>
      </w:pPr>
      <w:r>
        <w:t>Method failure and need for subsequent surgical intervention.</w:t>
      </w:r>
    </w:p>
    <w:p w:rsidR="00157ABD" w:rsidRDefault="00157ABD" w:rsidP="00735770">
      <w:pPr>
        <w:pStyle w:val="ListBullet"/>
      </w:pPr>
      <w:r>
        <w:t xml:space="preserve">Ongoing pregnancy with a risk of malformations from foetal </w:t>
      </w:r>
      <w:r w:rsidRPr="00735770">
        <w:t>exposure</w:t>
      </w:r>
      <w:r>
        <w:t>.</w:t>
      </w:r>
    </w:p>
    <w:p w:rsidR="00157ABD" w:rsidRDefault="00157ABD" w:rsidP="00735770">
      <w:pPr>
        <w:pStyle w:val="ListBullet"/>
      </w:pPr>
      <w:r>
        <w:t xml:space="preserve">Severe asthma risk with prostaglandins and prostaglandin </w:t>
      </w:r>
      <w:r w:rsidRPr="00735770">
        <w:t>analogues</w:t>
      </w:r>
      <w:r>
        <w:t>.</w:t>
      </w:r>
    </w:p>
    <w:p w:rsidR="00157ABD" w:rsidRDefault="00157ABD" w:rsidP="00735770">
      <w:pPr>
        <w:pStyle w:val="ListBullet"/>
      </w:pPr>
      <w:r>
        <w:t xml:space="preserve">Limited data in women </w:t>
      </w:r>
      <w:proofErr w:type="gramStart"/>
      <w:r>
        <w:t>under</w:t>
      </w:r>
      <w:proofErr w:type="gramEnd"/>
      <w:r>
        <w:t xml:space="preserve"> 18 years of age.</w:t>
      </w:r>
    </w:p>
    <w:p w:rsidR="00157ABD" w:rsidRDefault="00157ABD" w:rsidP="00735770">
      <w:pPr>
        <w:pStyle w:val="ListBullet"/>
      </w:pPr>
      <w:r>
        <w:t>Lack of follow up of patients post treatment.</w:t>
      </w:r>
    </w:p>
    <w:p w:rsidR="00157ABD" w:rsidRPr="00735770" w:rsidRDefault="00157ABD" w:rsidP="00735770">
      <w:pPr>
        <w:pStyle w:val="Heading4"/>
      </w:pPr>
      <w:bookmarkStart w:id="40" w:name="_Toc236802597"/>
      <w:bookmarkStart w:id="41" w:name="_Toc241374335"/>
      <w:bookmarkStart w:id="42" w:name="_Toc272414695"/>
      <w:bookmarkStart w:id="43" w:name="_Toc290846333"/>
      <w:bookmarkStart w:id="44" w:name="_Toc369514524"/>
      <w:bookmarkStart w:id="45" w:name="_Toc403987308"/>
      <w:r>
        <w:t>First round assessment of benefit-risk balance</w:t>
      </w:r>
      <w:bookmarkEnd w:id="40"/>
      <w:bookmarkEnd w:id="41"/>
      <w:bookmarkEnd w:id="42"/>
      <w:bookmarkEnd w:id="43"/>
      <w:bookmarkEnd w:id="44"/>
      <w:bookmarkEnd w:id="45"/>
    </w:p>
    <w:p w:rsidR="00157ABD" w:rsidRPr="00333DD0" w:rsidRDefault="00157ABD" w:rsidP="00735770">
      <w:r>
        <w:t>The current application had two purposes: to register a combination pack of mifepristone and misoprostol and to extend the indication for medical abortion to pregnancies of gestational age up to 63 days (from 49 days). For this extended gestational age group of 50-63 days it is proposed that the route of administration of misoprostol is buccal rather than being optional buccal or oral.</w:t>
      </w:r>
    </w:p>
    <w:p w:rsidR="00157ABD" w:rsidRDefault="00157ABD" w:rsidP="00735770">
      <w:r>
        <w:t>The proposal of a combination pack containing both mifepristone and misoprostol makes clinical sense in that it provides the two required products together. This may assist patients with taking the medication in the correct order and may lead to improved compliance with taking the second component of the treatment regimen. It is noted, however, that no data on lack of compliance with the misoprostol tablets were provided to demonstrate that this actually is</w:t>
      </w:r>
      <w:r w:rsidR="00735770">
        <w:t xml:space="preserve"> an issue in clinical practice.</w:t>
      </w:r>
    </w:p>
    <w:p w:rsidR="00157ABD" w:rsidRDefault="00157ABD" w:rsidP="00735770">
      <w:r>
        <w:t xml:space="preserve">The sponsor provided three sources of data to support extending the indication out to 63 days of gestation. The submitted Phase III clinical trial was open label and non-comparative with data summarised in a clinical study report which appeared abbreviated. In addition, while efficacy was provided by gestational age, this was not the case for the safety data. The trial data were supported by the larger dataset from the </w:t>
      </w:r>
      <w:r w:rsidRPr="008D57B8">
        <w:t>Authorised Prescriber Program</w:t>
      </w:r>
      <w:r>
        <w:t xml:space="preserve"> in Australia which did provide some safety data by gestational age. The efficacy data from the literature were also supportive, although the evaluator found a lack of detail on the search methodology and a question on this has been raised.</w:t>
      </w:r>
    </w:p>
    <w:p w:rsidR="00157ABD" w:rsidRDefault="00157ABD" w:rsidP="00735770">
      <w:r>
        <w:lastRenderedPageBreak/>
        <w:t>When</w:t>
      </w:r>
      <w:r w:rsidRPr="00333DD0">
        <w:t xml:space="preserve"> combining the three sources of data</w:t>
      </w:r>
      <w:r>
        <w:t>,</w:t>
      </w:r>
      <w:r w:rsidRPr="00333DD0">
        <w:t xml:space="preserve"> which covered a variety of settings and populations, </w:t>
      </w:r>
      <w:r>
        <w:t>an efficacy rate of about 95% was reported for the extended gestational age of 50 to 63 days. There appeared to be a very small numerical decline in efficacy with increasing gestational age, the significance of which could not be confirmed due a lack of statistical testing. Nonetheless, the evaluator believes the efficacy rates at this later gestation are sufficiently similar to that seen at &lt;49 days</w:t>
      </w:r>
      <w:r w:rsidR="00735770">
        <w:t xml:space="preserve"> and are clinically acceptable.</w:t>
      </w:r>
    </w:p>
    <w:p w:rsidR="00157ABD" w:rsidRPr="008D57B8" w:rsidRDefault="00157ABD" w:rsidP="00735770">
      <w:pPr>
        <w:rPr>
          <w:b/>
        </w:rPr>
      </w:pPr>
      <w:r>
        <w:t xml:space="preserve">Safety for the extended gestation was primarily assessed from the Authorised Prescriber Program dataset which was moderate in size (approximately 2600 in the 49-63 GA group). In general, the safety risks were similar across the gestational age groups apart from a small increasing risk of haemorrhage, although the numbers on which this was based were limited. </w:t>
      </w:r>
      <w:r w:rsidRPr="00333DD0">
        <w:t xml:space="preserve">Sepsis </w:t>
      </w:r>
      <w:r>
        <w:t xml:space="preserve">is the other </w:t>
      </w:r>
      <w:r w:rsidRPr="00333DD0">
        <w:t>major risk</w:t>
      </w:r>
      <w:r>
        <w:t xml:space="preserve"> and one death was reported from post-marketing surveillance. There was no indication that this risk was increased in the 50-63 </w:t>
      </w:r>
      <w:r w:rsidR="008425F5">
        <w:t xml:space="preserve">day </w:t>
      </w:r>
      <w:r>
        <w:t>gestational age group. These risks will need ongoing monitoring as the dataset is too small to detect differences in such rare events.</w:t>
      </w:r>
    </w:p>
    <w:p w:rsidR="00157ABD" w:rsidRDefault="00157ABD" w:rsidP="00735770">
      <w:r>
        <w:t>It is noted that the sponsor does not propose to extend the gestational age for the respective monotherapies. If medical termination was required at 50 to 63 GA, the treatment would be with the two agents and so the composite pack would have to be prescribed rather than the two monotherapies. However, should a second dose of misoprostol be required, this would be prescribed as a monotherapy and the prescriber would be forced to use it off label as its current indication is to “up to 49 days”. This conflict needs to be addressed by the sponsor. The sponsor has also been requested to justify why there is no intention to change in the mifepristone indication.</w:t>
      </w:r>
    </w:p>
    <w:p w:rsidR="00157ABD" w:rsidRDefault="00157ABD" w:rsidP="00735770">
      <w:r>
        <w:t xml:space="preserve">In terms of the route of administration of misoprostol at 50 to 63 </w:t>
      </w:r>
      <w:r w:rsidR="008425F5">
        <w:t xml:space="preserve">day </w:t>
      </w:r>
      <w:r>
        <w:t>gestational age, there was evidence for improved efficacy with buccal compared to oral misoprostol in a randomised controlled trial in the literature, particularly for GA 57 to 63 days. These data were supported by non-comparative data from the clinical trial and the Authorised Prescriber Program. The safety of buccal compared to oral misoprostol was found to be similar, apart from an increased risk of fever/chills and patient acceptability, as reported in the literature, was also similar. Given these factors, the evaluator agrees with the sponsor that misoprostol must be given by the buccal route for GA 50 to 63 days. Nonetheless, the current dosage and administration instructions appear overly complicated. Given the positive data on buccal administration it would seem more sensible to offer only one route of administration across gestational ages. Therefore, the sponsor has been asked to justify th</w:t>
      </w:r>
      <w:r w:rsidR="00735770">
        <w:t>e proposed dosage instructions.</w:t>
      </w:r>
    </w:p>
    <w:p w:rsidR="00157ABD" w:rsidRDefault="00157ABD" w:rsidP="00735770">
      <w:r>
        <w:t>Overall, the dossier provided evidence on the safety of the mifepristone/misoprostol combination from the clinical trial and the Authorised Prescriber Program which included over 3000 terminations at 49 to 63 days. No</w:t>
      </w:r>
      <w:r>
        <w:rPr>
          <w:sz w:val="23"/>
          <w:szCs w:val="23"/>
        </w:rPr>
        <w:t xml:space="preserve"> new safety signals were identified apart from a single reported case in the literature of </w:t>
      </w:r>
      <w:r>
        <w:t xml:space="preserve">acute necrotising pancreatitis. This has been included in the product information. The major safety risks with the combination are rare, the reported risk of haemorrhage requiring transfusion was ≤0.15% at 49 to 63 GA, and, as mentioned above, the overall haemorrhage risk appeared to increase with gestational age. Given these factors, the evaluator believes it is necessary to formally continue to assess risks in the older gestational age group. It is noted that there is a phase IV study proposed to assess adverse event, failure and follow up rates in the ≤49 GA group. This study could be extended to include the 50 to 63 </w:t>
      </w:r>
      <w:r w:rsidR="008425F5">
        <w:t xml:space="preserve">day </w:t>
      </w:r>
      <w:r>
        <w:t>GA group with appropriate adjustment of the sample size so that comparisons by ges</w:t>
      </w:r>
      <w:r w:rsidR="00735770">
        <w:t>tational age may be undertaken.</w:t>
      </w:r>
    </w:p>
    <w:p w:rsidR="00157ABD" w:rsidRDefault="00157ABD" w:rsidP="00735770">
      <w:r>
        <w:t>Other risk management processes must continue such as appropriate training of medical practitioners, limiting the access and distribution of the medicines to appropriate practitioners and mandatory follow up of patients.</w:t>
      </w:r>
      <w:r w:rsidRPr="00E74A4F">
        <w:t xml:space="preserve"> </w:t>
      </w:r>
      <w:r>
        <w:t>In addition, there should be ongoing monitoring of off label use beyond 63 days as well as in women aged &lt;18 years in whom safety data are lacking.</w:t>
      </w:r>
    </w:p>
    <w:p w:rsidR="00157ABD" w:rsidRPr="00E74A4F" w:rsidRDefault="00157ABD" w:rsidP="00735770">
      <w:r w:rsidRPr="00E74A4F">
        <w:lastRenderedPageBreak/>
        <w:t xml:space="preserve">There are several changes that need to be made to the product information. In particular, the Clinical Trial section needs rewording to adequately describe the sources of efficacy and safety data and the </w:t>
      </w:r>
      <w:r>
        <w:t>P</w:t>
      </w:r>
      <w:r w:rsidRPr="00E74A4F">
        <w:t xml:space="preserve">recautions </w:t>
      </w:r>
      <w:r>
        <w:t xml:space="preserve">section </w:t>
      </w:r>
      <w:r w:rsidRPr="00E74A4F">
        <w:t>need to be made clearer</w:t>
      </w:r>
      <w:r>
        <w:t>.</w:t>
      </w:r>
    </w:p>
    <w:p w:rsidR="00157ABD" w:rsidRDefault="00157ABD" w:rsidP="00157ABD">
      <w:r>
        <w:t xml:space="preserve">In summary, the evaluator finds that the possible small increase in risk of haemorrhage does not outweigh the similar efficacy and tolerability seen with the combination for the older gestation group of 50 to 63 days. At this gestation, the buccal route of administration is found to be necessary to maintain efficacy. There is also a clinical place for an option of medical rather than surgical termination at this gestation. Nonetheless, the safety risks warrant further elucidation and the evaluator recommends post-marketing surveillance in the extended gestational age group and continuation of the active risk management program which includes mandatory patient follow up. There are also </w:t>
      </w:r>
      <w:proofErr w:type="gramStart"/>
      <w:r>
        <w:t>a number</w:t>
      </w:r>
      <w:proofErr w:type="gramEnd"/>
      <w:r>
        <w:t xml:space="preserve"> issues which need to be addressed prior to any recommendation being made on approval. In particular, the sponsor needs to address the discordance of the indication between the composite pack and the monotherapies and look at simplification of dosage a</w:t>
      </w:r>
      <w:r w:rsidR="00735770">
        <w:t>nd administration instructions.</w:t>
      </w:r>
    </w:p>
    <w:p w:rsidR="00157ABD" w:rsidRDefault="00157ABD" w:rsidP="008F519E">
      <w:pPr>
        <w:pStyle w:val="Heading3"/>
      </w:pPr>
      <w:bookmarkStart w:id="46" w:name="_Ref272160564"/>
      <w:bookmarkStart w:id="47" w:name="_Ref272161481"/>
      <w:bookmarkStart w:id="48" w:name="_Toc272414697"/>
      <w:bookmarkStart w:id="49" w:name="_Toc290846334"/>
      <w:bookmarkStart w:id="50" w:name="_Toc369514525"/>
      <w:bookmarkStart w:id="51" w:name="_Toc403987309"/>
      <w:r>
        <w:t xml:space="preserve">First </w:t>
      </w:r>
      <w:r w:rsidR="008F519E">
        <w:t>r</w:t>
      </w:r>
      <w:r>
        <w:t xml:space="preserve">ound </w:t>
      </w:r>
      <w:r w:rsidR="008F519E">
        <w:t>r</w:t>
      </w:r>
      <w:r>
        <w:t xml:space="preserve">ecommendation </w:t>
      </w:r>
      <w:r w:rsidR="008F519E">
        <w:t>r</w:t>
      </w:r>
      <w:r>
        <w:t xml:space="preserve">egarding </w:t>
      </w:r>
      <w:r w:rsidR="008F519E" w:rsidRPr="008F519E">
        <w:t>a</w:t>
      </w:r>
      <w:r w:rsidRPr="008F519E">
        <w:t>uthorisation</w:t>
      </w:r>
      <w:bookmarkEnd w:id="46"/>
      <w:bookmarkEnd w:id="47"/>
      <w:bookmarkEnd w:id="48"/>
      <w:bookmarkEnd w:id="49"/>
      <w:bookmarkEnd w:id="50"/>
      <w:bookmarkEnd w:id="51"/>
    </w:p>
    <w:p w:rsidR="00376448" w:rsidRPr="00376448" w:rsidRDefault="00376448" w:rsidP="008F519E">
      <w:r w:rsidRPr="00376448">
        <w:t>Responses to the evaluator</w:t>
      </w:r>
      <w:r w:rsidR="00103FBA">
        <w:t>’</w:t>
      </w:r>
      <w:r w:rsidRPr="00376448">
        <w:t>s questions are required prior to the evaluator being able to make a recommendation on the authorisation of MS-2 Step, a combination pack of mifepristone and misoprostol</w:t>
      </w:r>
      <w:r w:rsidR="008F519E">
        <w:t xml:space="preserve"> with the following indication:</w:t>
      </w:r>
    </w:p>
    <w:p w:rsidR="00376448" w:rsidRPr="008F519E" w:rsidRDefault="00376448" w:rsidP="008F519E">
      <w:pPr>
        <w:rPr>
          <w:i/>
        </w:rPr>
      </w:pPr>
      <w:r w:rsidRPr="008F519E">
        <w:rPr>
          <w:i/>
        </w:rPr>
        <w:t>MS-2 Step is indicated in females of childbearing age for the medical termination of a developing intrauterine pregnancy, up to 63 days of gestation.</w:t>
      </w:r>
    </w:p>
    <w:p w:rsidR="00376448" w:rsidRPr="00376448" w:rsidRDefault="00376448" w:rsidP="008F519E">
      <w:r w:rsidRPr="00376448">
        <w:t>Any possible future authorisation would need to be subject to:</w:t>
      </w:r>
    </w:p>
    <w:p w:rsidR="00376448" w:rsidRPr="00376448" w:rsidRDefault="00376448" w:rsidP="008F519E">
      <w:pPr>
        <w:pStyle w:val="ListBullet"/>
      </w:pPr>
      <w:r w:rsidRPr="00376448">
        <w:t xml:space="preserve">Conduct of post-marketing surveillance, such as via a </w:t>
      </w:r>
      <w:r w:rsidRPr="008F519E">
        <w:t>Phase</w:t>
      </w:r>
      <w:r w:rsidRPr="00376448">
        <w:t xml:space="preserve"> IV study, to further detail rare safety risks in the gestational age group of 50-63 days. This study could be incorporated in the proposed HREC2012001 study </w:t>
      </w:r>
      <w:r w:rsidRPr="00CB28DA">
        <w:t>with appropriate amendments and sample size adjustment</w:t>
      </w:r>
      <w:r w:rsidRPr="00376448">
        <w:t>. Risks will need to be regularly monitored in the gestational age groups during the conduct of the study to ensure continued positive benefit-risk balance. Monitoring should be conducted by an independent safety monitoring committee.</w:t>
      </w:r>
    </w:p>
    <w:p w:rsidR="00376448" w:rsidRPr="00376448" w:rsidRDefault="00376448" w:rsidP="008F519E">
      <w:pPr>
        <w:pStyle w:val="ListBullet"/>
      </w:pPr>
      <w:r w:rsidRPr="00376448">
        <w:t xml:space="preserve">Maintenance of an active risk management program which includes physician training, controlled medication access and </w:t>
      </w:r>
      <w:r w:rsidRPr="008F519E">
        <w:t>distribution</w:t>
      </w:r>
      <w:r w:rsidRPr="00376448">
        <w:t>, and mandatory patient follow up.</w:t>
      </w:r>
    </w:p>
    <w:p w:rsidR="000E552D" w:rsidRDefault="008F519E" w:rsidP="008F519E">
      <w:pPr>
        <w:pStyle w:val="Heading3"/>
        <w:rPr>
          <w:rFonts w:eastAsia="Cambria"/>
        </w:rPr>
      </w:pPr>
      <w:bookmarkStart w:id="52" w:name="_Toc403987310"/>
      <w:r>
        <w:rPr>
          <w:rFonts w:eastAsia="Cambria"/>
        </w:rPr>
        <w:t xml:space="preserve">Clinical </w:t>
      </w:r>
      <w:r w:rsidRPr="008F519E">
        <w:rPr>
          <w:rFonts w:eastAsia="Cambria"/>
        </w:rPr>
        <w:t>q</w:t>
      </w:r>
      <w:r w:rsidR="000E552D" w:rsidRPr="008F519E">
        <w:rPr>
          <w:rFonts w:eastAsia="Cambria"/>
        </w:rPr>
        <w:t>uestions</w:t>
      </w:r>
      <w:bookmarkEnd w:id="52"/>
    </w:p>
    <w:p w:rsidR="00376448" w:rsidRPr="00376448" w:rsidRDefault="00376448" w:rsidP="008F519E">
      <w:pPr>
        <w:pStyle w:val="Heading4"/>
      </w:pPr>
      <w:bookmarkStart w:id="53" w:name="_Toc389051648"/>
      <w:bookmarkStart w:id="54" w:name="_Toc403987311"/>
      <w:r w:rsidRPr="00376448">
        <w:t>Efficacy</w:t>
      </w:r>
      <w:bookmarkEnd w:id="53"/>
      <w:r w:rsidR="008F519E">
        <w:t xml:space="preserve"> and s</w:t>
      </w:r>
      <w:r w:rsidRPr="00376448">
        <w:t>afety</w:t>
      </w:r>
      <w:bookmarkEnd w:id="54"/>
    </w:p>
    <w:p w:rsidR="00376448" w:rsidRPr="00376448" w:rsidRDefault="00376448" w:rsidP="008F519E">
      <w:r w:rsidRPr="00376448">
        <w:t xml:space="preserve">There </w:t>
      </w:r>
      <w:r w:rsidR="00D317EB">
        <w:t>were</w:t>
      </w:r>
      <w:r w:rsidR="00D317EB" w:rsidRPr="00376448">
        <w:t xml:space="preserve"> </w:t>
      </w:r>
      <w:r w:rsidRPr="00376448">
        <w:t>two key questions for this application:</w:t>
      </w:r>
    </w:p>
    <w:p w:rsidR="00376448" w:rsidRPr="00376448" w:rsidRDefault="00376448" w:rsidP="008F519E">
      <w:pPr>
        <w:pStyle w:val="Numberbullet0"/>
      </w:pPr>
      <w:r w:rsidRPr="00376448">
        <w:t xml:space="preserve">It is noted that there is no proposal to extend the gestational age for the respective monotherapies. If medical termination was required at 50-63 </w:t>
      </w:r>
      <w:r w:rsidR="008425F5">
        <w:t xml:space="preserve">day </w:t>
      </w:r>
      <w:r w:rsidRPr="00376448">
        <w:t xml:space="preserve">GA, the treatment would be with the two agents and so the composite pack would have to be prescribed rather than the two monotherapies. However, should a second dose of misoprostol be required in this scenario, this would be prescribed as a monotherapy and the prescriber would be forced to use it off label as its current indication is to “up to 49 days”. Could the sponsor explain the rationale for not proposing a concordant change in the indication for </w:t>
      </w:r>
      <w:proofErr w:type="spellStart"/>
      <w:r w:rsidR="00052E21">
        <w:t>GyMiso</w:t>
      </w:r>
      <w:proofErr w:type="spellEnd"/>
      <w:r w:rsidR="00052E21">
        <w:t>®</w:t>
      </w:r>
      <w:r w:rsidRPr="00376448">
        <w:t>?</w:t>
      </w:r>
    </w:p>
    <w:p w:rsidR="00376448" w:rsidRPr="00376448" w:rsidRDefault="00376448" w:rsidP="008F519E">
      <w:pPr>
        <w:pStyle w:val="Numberbullet0"/>
      </w:pPr>
      <w:r w:rsidRPr="00376448">
        <w:t>Could the sponsor also discuss why there is no intention to apply for an altered indication for mifepristone in relation to gesta</w:t>
      </w:r>
      <w:r w:rsidR="008F519E">
        <w:t>tional age of 50 to 63 days?</w:t>
      </w:r>
    </w:p>
    <w:p w:rsidR="00376448" w:rsidRPr="00376448" w:rsidRDefault="00376448" w:rsidP="008F519E">
      <w:r w:rsidRPr="00376448">
        <w:lastRenderedPageBreak/>
        <w:t>The dosing ins</w:t>
      </w:r>
      <w:r w:rsidR="008F519E">
        <w:t>tructions need to be clarified:</w:t>
      </w:r>
    </w:p>
    <w:p w:rsidR="00376448" w:rsidRPr="00376448" w:rsidRDefault="00376448" w:rsidP="008F519E">
      <w:pPr>
        <w:pStyle w:val="Numberbullet0"/>
      </w:pPr>
      <w:r w:rsidRPr="00376448">
        <w:t>Given the efficacy with buccal administration of misoprostol across the proposed gestational ages, it is not clear why the buccal route is not proposed for all women. The sponsor should outline the rationale for the dosage and administration instructions and discuss options for making these simpler.</w:t>
      </w:r>
    </w:p>
    <w:p w:rsidR="00376448" w:rsidRPr="00376448" w:rsidRDefault="00376448" w:rsidP="008F519E">
      <w:r w:rsidRPr="00376448">
        <w:t>Other questions relating to the evidence base:</w:t>
      </w:r>
    </w:p>
    <w:p w:rsidR="00376448" w:rsidRPr="00376448" w:rsidRDefault="00376448" w:rsidP="008F519E">
      <w:pPr>
        <w:pStyle w:val="Numberbullet0"/>
      </w:pPr>
      <w:r w:rsidRPr="00376448">
        <w:t>In light of the data from study 1.14 being pivotal in supporting an extension of gestational age to 63 days, it is important to determine the accuracy of the GA variable. From the study report it was not clear if women had an ultrasound to confirm gestational age or if this was solely determined by the date of the last menstrual period. What were the methods used for determining gestation and what was the frequency of use of these methods in the Mexican study? Similarly, how was gestation determined in the Authorised Prescriber Program? Discuss if potential inaccuracies in GA determination could have influenced results.</w:t>
      </w:r>
    </w:p>
    <w:p w:rsidR="00376448" w:rsidRPr="00376448" w:rsidRDefault="00376448" w:rsidP="008F519E">
      <w:pPr>
        <w:pStyle w:val="Numberbullet0"/>
      </w:pPr>
      <w:r w:rsidRPr="00376448">
        <w:t xml:space="preserve">Could the sponsor confirm if all women in the Authorised Prescriber Program took the misoprostol 800 </w:t>
      </w:r>
      <w:r w:rsidR="00336C5D">
        <w:t>microgram</w:t>
      </w:r>
      <w:r w:rsidRPr="00376448">
        <w:t xml:space="preserve"> via the buccal route? If not, provide frequency of use for the different routes of administration. Are there any data on acceptability of this route of administration?</w:t>
      </w:r>
    </w:p>
    <w:p w:rsidR="00376448" w:rsidRPr="00376448" w:rsidRDefault="00376448" w:rsidP="008F519E">
      <w:pPr>
        <w:pStyle w:val="Numberbullet0"/>
      </w:pPr>
      <w:r>
        <w:t>A</w:t>
      </w:r>
      <w:r w:rsidRPr="00376448">
        <w:t xml:space="preserve"> literature search method has been outlined and then 23 articles have been tabulated. It is stated that 17 of these articles were rejected, 2 were kept for safety analysis and 4 kept for efficacy analysis. These 4 articles included 2 of the 6 discussed for efficacy. Given the difference in this reported literature search output and the literature actually analysed, it is not clear how the process has been conducted. This needs clarification. Include the actual results of the literature search and describe which articles have been included or excluded for the relevant efficacy and safety i</w:t>
      </w:r>
      <w:r w:rsidR="008F519E">
        <w:t>ssues discussed in the dossier.</w:t>
      </w:r>
    </w:p>
    <w:p w:rsidR="000E552D" w:rsidRPr="00E41208" w:rsidRDefault="000E552D" w:rsidP="008F519E">
      <w:pPr>
        <w:pStyle w:val="Heading2"/>
      </w:pPr>
      <w:bookmarkStart w:id="55" w:name="_Toc403987312"/>
      <w:r w:rsidRPr="00E41208">
        <w:t xml:space="preserve">V. </w:t>
      </w:r>
      <w:proofErr w:type="spellStart"/>
      <w:r w:rsidRPr="00E41208">
        <w:t>Pharmacovigilance</w:t>
      </w:r>
      <w:proofErr w:type="spellEnd"/>
      <w:r w:rsidRPr="00E41208">
        <w:t xml:space="preserve"> </w:t>
      </w:r>
      <w:r>
        <w:t>f</w:t>
      </w:r>
      <w:r w:rsidRPr="00E41208">
        <w:t>indings</w:t>
      </w:r>
      <w:bookmarkEnd w:id="55"/>
    </w:p>
    <w:p w:rsidR="000E552D" w:rsidRPr="008F519E" w:rsidRDefault="000E552D" w:rsidP="008F519E">
      <w:pPr>
        <w:pStyle w:val="Heading3"/>
      </w:pPr>
      <w:bookmarkStart w:id="56" w:name="_Toc403987313"/>
      <w:r>
        <w:rPr>
          <w:lang w:eastAsia="en-AU"/>
        </w:rPr>
        <w:t>Risk management plan</w:t>
      </w:r>
      <w:bookmarkEnd w:id="56"/>
    </w:p>
    <w:p w:rsidR="000E552D" w:rsidRDefault="000E552D" w:rsidP="008F519E">
      <w:pPr>
        <w:rPr>
          <w:lang w:eastAsia="en-AU"/>
        </w:rPr>
      </w:pPr>
      <w:r>
        <w:rPr>
          <w:lang w:eastAsia="en-AU"/>
        </w:rPr>
        <w:t>The sponsor submitted a Risk Management Plan</w:t>
      </w:r>
      <w:r w:rsidR="00376448">
        <w:rPr>
          <w:lang w:eastAsia="en-AU"/>
        </w:rPr>
        <w:t xml:space="preserve"> dated 31 May 2013</w:t>
      </w:r>
      <w:r>
        <w:rPr>
          <w:lang w:eastAsia="en-AU"/>
        </w:rPr>
        <w:t xml:space="preserve"> which was reviewed by the </w:t>
      </w:r>
      <w:r w:rsidR="00376448">
        <w:rPr>
          <w:lang w:eastAsia="en-AU"/>
        </w:rPr>
        <w:t>TGA.</w:t>
      </w:r>
    </w:p>
    <w:p w:rsidR="00376448" w:rsidRPr="008F519E" w:rsidRDefault="00376448" w:rsidP="008F519E">
      <w:pPr>
        <w:pStyle w:val="Heading4"/>
      </w:pPr>
      <w:bookmarkStart w:id="57" w:name="_Toc403987314"/>
      <w:r>
        <w:rPr>
          <w:lang w:eastAsia="en-AU"/>
        </w:rPr>
        <w:t>Contents of the submission</w:t>
      </w:r>
      <w:bookmarkEnd w:id="57"/>
    </w:p>
    <w:p w:rsidR="00376448" w:rsidRDefault="00376448" w:rsidP="008F519E">
      <w:pPr>
        <w:rPr>
          <w:lang w:eastAsia="en-AU"/>
        </w:rPr>
      </w:pPr>
      <w:r>
        <w:rPr>
          <w:lang w:eastAsia="en-AU"/>
        </w:rPr>
        <w:t xml:space="preserve">With the current application, the </w:t>
      </w:r>
      <w:r w:rsidR="00062545">
        <w:rPr>
          <w:lang w:eastAsia="en-AU"/>
        </w:rPr>
        <w:t>sponsor</w:t>
      </w:r>
      <w:r>
        <w:rPr>
          <w:lang w:eastAsia="en-AU"/>
        </w:rPr>
        <w:t xml:space="preserve"> has provided a RMP dated 31 May 2013, although no version number is provided. The sponsor has not included a summary of the changes from previous RMP versions which has complicated the evaluation process.</w:t>
      </w:r>
    </w:p>
    <w:p w:rsidR="00376448" w:rsidRDefault="00376448" w:rsidP="008F519E">
      <w:pPr>
        <w:rPr>
          <w:lang w:eastAsia="en-AU"/>
        </w:rPr>
      </w:pPr>
      <w:r>
        <w:rPr>
          <w:lang w:eastAsia="en-AU"/>
        </w:rPr>
        <w:t xml:space="preserve">The sponsor states that only routine </w:t>
      </w:r>
      <w:proofErr w:type="spellStart"/>
      <w:r>
        <w:rPr>
          <w:lang w:eastAsia="en-AU"/>
        </w:rPr>
        <w:t>pharmacovigilance</w:t>
      </w:r>
      <w:proofErr w:type="spellEnd"/>
      <w:r>
        <w:rPr>
          <w:lang w:eastAsia="en-AU"/>
        </w:rPr>
        <w:t xml:space="preserve"> activities are require for MS-2 Step. However, a post-marketing study is proposed. This is considered additional </w:t>
      </w:r>
      <w:proofErr w:type="spellStart"/>
      <w:r>
        <w:rPr>
          <w:lang w:eastAsia="en-AU"/>
        </w:rPr>
        <w:t>pharmacovigilance</w:t>
      </w:r>
      <w:proofErr w:type="spellEnd"/>
      <w:r>
        <w:rPr>
          <w:lang w:eastAsia="en-AU"/>
        </w:rPr>
        <w:t>.</w:t>
      </w:r>
    </w:p>
    <w:p w:rsidR="00376448" w:rsidRPr="008F519E" w:rsidRDefault="00376448" w:rsidP="008F519E">
      <w:pPr>
        <w:pStyle w:val="Heading4"/>
      </w:pPr>
      <w:bookmarkStart w:id="58" w:name="_Toc403987315"/>
      <w:r>
        <w:rPr>
          <w:lang w:eastAsia="en-AU"/>
        </w:rPr>
        <w:lastRenderedPageBreak/>
        <w:t>Summary of ongoing safety concerns</w:t>
      </w:r>
      <w:bookmarkEnd w:id="58"/>
    </w:p>
    <w:p w:rsidR="00376448" w:rsidRDefault="00376448" w:rsidP="008F519E">
      <w:pPr>
        <w:pStyle w:val="TableTitle"/>
        <w:rPr>
          <w:lang w:eastAsia="en-AU"/>
        </w:rPr>
      </w:pPr>
      <w:proofErr w:type="gramStart"/>
      <w:r>
        <w:rPr>
          <w:lang w:eastAsia="en-AU"/>
        </w:rPr>
        <w:t>Table 1.</w:t>
      </w:r>
      <w:proofErr w:type="gramEnd"/>
      <w:r>
        <w:rPr>
          <w:lang w:eastAsia="en-AU"/>
        </w:rPr>
        <w:t xml:space="preserve"> Summary of ongoing safety </w:t>
      </w:r>
      <w:r w:rsidRPr="008F519E">
        <w:t>concerns</w:t>
      </w:r>
      <w:r>
        <w:rPr>
          <w:lang w:eastAsia="en-AU"/>
        </w:rPr>
        <w:t xml:space="preserve"> as specified by the sponsor</w:t>
      </w:r>
    </w:p>
    <w:p w:rsidR="00376448" w:rsidRPr="00376448" w:rsidRDefault="00376448" w:rsidP="008F519E">
      <w:pPr>
        <w:rPr>
          <w:lang w:eastAsia="en-AU"/>
        </w:rPr>
      </w:pPr>
      <w:r>
        <w:rPr>
          <w:noProof/>
          <w:lang w:eastAsia="en-AU"/>
        </w:rPr>
        <w:drawing>
          <wp:inline distT="0" distB="0" distL="0" distR="0" wp14:anchorId="71027CB6" wp14:editId="07775625">
            <wp:extent cx="4132381" cy="5037827"/>
            <wp:effectExtent l="0" t="0" r="1905" b="0"/>
            <wp:docPr id="2" name="Picture 2" descr="Table 1. Summary of ongoing safety concerns as specified by the spo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2401" cy="5037851"/>
                    </a:xfrm>
                    <a:prstGeom prst="rect">
                      <a:avLst/>
                    </a:prstGeom>
                    <a:noFill/>
                  </pic:spPr>
                </pic:pic>
              </a:graphicData>
            </a:graphic>
          </wp:inline>
        </w:drawing>
      </w:r>
    </w:p>
    <w:p w:rsidR="00376448" w:rsidRPr="00376448" w:rsidRDefault="00376448" w:rsidP="008F519E">
      <w:pPr>
        <w:rPr>
          <w:lang w:eastAsia="en-AU"/>
        </w:rPr>
      </w:pPr>
      <w:r w:rsidRPr="00376448">
        <w:rPr>
          <w:lang w:eastAsia="en-AU"/>
        </w:rPr>
        <w:t xml:space="preserve"> </w:t>
      </w:r>
      <w:r w:rsidR="000F6DBE">
        <w:rPr>
          <w:lang w:eastAsia="en-AU"/>
        </w:rPr>
        <w:t xml:space="preserve">It was recommended the </w:t>
      </w:r>
      <w:r w:rsidRPr="00376448">
        <w:rPr>
          <w:lang w:eastAsia="en-AU"/>
        </w:rPr>
        <w:t>following be added to the list of ongoing safety concerns:</w:t>
      </w:r>
    </w:p>
    <w:p w:rsidR="00376448" w:rsidRPr="00376448" w:rsidRDefault="00376448" w:rsidP="008F519E">
      <w:pPr>
        <w:pStyle w:val="ListBullet"/>
        <w:rPr>
          <w:lang w:eastAsia="en-AU"/>
        </w:rPr>
      </w:pPr>
      <w:r w:rsidRPr="00376448">
        <w:rPr>
          <w:lang w:eastAsia="en-AU"/>
        </w:rPr>
        <w:t>Potential for missed ectopic pregnancy:</w:t>
      </w:r>
    </w:p>
    <w:p w:rsidR="00376448" w:rsidRPr="00376448" w:rsidRDefault="00376448" w:rsidP="008F519E">
      <w:pPr>
        <w:pStyle w:val="ListBullet2"/>
        <w:rPr>
          <w:lang w:eastAsia="en-AU"/>
        </w:rPr>
      </w:pPr>
      <w:r w:rsidRPr="00376448">
        <w:rPr>
          <w:lang w:eastAsia="en-AU"/>
        </w:rPr>
        <w:t xml:space="preserve">For terminations from 50-63 days gestation, the potential for missed </w:t>
      </w:r>
      <w:r w:rsidRPr="008F519E">
        <w:t>ectopic</w:t>
      </w:r>
      <w:r w:rsidRPr="00376448">
        <w:rPr>
          <w:lang w:eastAsia="en-AU"/>
        </w:rPr>
        <w:t xml:space="preserve"> pregnancy is an important consideration compared to terminations &lt;49days.</w:t>
      </w:r>
    </w:p>
    <w:p w:rsidR="00376448" w:rsidRPr="00376448" w:rsidRDefault="00376448" w:rsidP="008F519E">
      <w:pPr>
        <w:pStyle w:val="ListBullet2"/>
        <w:rPr>
          <w:lang w:eastAsia="en-AU"/>
        </w:rPr>
      </w:pPr>
      <w:r w:rsidRPr="00376448">
        <w:rPr>
          <w:lang w:eastAsia="en-AU"/>
        </w:rPr>
        <w:t xml:space="preserve">In previous evaluations for both Mifepristone </w:t>
      </w:r>
      <w:proofErr w:type="spellStart"/>
      <w:r w:rsidRPr="00376448">
        <w:rPr>
          <w:lang w:eastAsia="en-AU"/>
        </w:rPr>
        <w:t>Linepharma</w:t>
      </w:r>
      <w:proofErr w:type="spellEnd"/>
      <w:r w:rsidRPr="00376448">
        <w:rPr>
          <w:lang w:eastAsia="en-AU"/>
        </w:rPr>
        <w:t xml:space="preserve"> and </w:t>
      </w:r>
      <w:proofErr w:type="spellStart"/>
      <w:r w:rsidR="00052E21">
        <w:rPr>
          <w:lang w:eastAsia="en-AU"/>
        </w:rPr>
        <w:t>GyMiso</w:t>
      </w:r>
      <w:proofErr w:type="spellEnd"/>
      <w:r w:rsidR="00052E21">
        <w:rPr>
          <w:lang w:eastAsia="en-AU"/>
        </w:rPr>
        <w:t>®</w:t>
      </w:r>
      <w:r w:rsidRPr="00376448">
        <w:rPr>
          <w:lang w:eastAsia="en-AU"/>
        </w:rPr>
        <w:t xml:space="preserve">, </w:t>
      </w:r>
      <w:r w:rsidRPr="008F519E">
        <w:t>the</w:t>
      </w:r>
      <w:r w:rsidRPr="00376448">
        <w:rPr>
          <w:lang w:eastAsia="en-AU"/>
        </w:rPr>
        <w:t xml:space="preserve"> potential for delayed diagnosis of an ectopic pregnancy has been raised. The evaluator does not contend that mifepristone or misoprostol cause ectopic pregnancy. However, given the difficulty of diagnosing some ectopic pregnancies and the catastrophic consequences of missed or late diagnosis including death, it is reasonable to include this as an important potential risk.</w:t>
      </w:r>
    </w:p>
    <w:p w:rsidR="00376448" w:rsidRPr="00376448" w:rsidRDefault="00376448" w:rsidP="008F519E">
      <w:pPr>
        <w:pStyle w:val="ListBullet2"/>
        <w:rPr>
          <w:lang w:eastAsia="en-AU"/>
        </w:rPr>
      </w:pPr>
      <w:r w:rsidRPr="00376448">
        <w:rPr>
          <w:lang w:eastAsia="en-AU"/>
        </w:rPr>
        <w:t>Since 2002, the WHO Global Database of individual Case Safety Reports (</w:t>
      </w:r>
      <w:r w:rsidRPr="008F519E">
        <w:t>ICSRs</w:t>
      </w:r>
      <w:r w:rsidRPr="00376448">
        <w:rPr>
          <w:lang w:eastAsia="en-AU"/>
        </w:rPr>
        <w:t>) lists a total of 65 ectopic pregnancies/ruptured ectopic pregnancies in women treated with mifepristone and misoprostol.</w:t>
      </w:r>
    </w:p>
    <w:p w:rsidR="00376448" w:rsidRPr="00376448" w:rsidRDefault="00376448" w:rsidP="008F519E">
      <w:pPr>
        <w:pStyle w:val="ListBullet2"/>
        <w:rPr>
          <w:lang w:eastAsia="en-AU"/>
        </w:rPr>
      </w:pPr>
      <w:r w:rsidRPr="00376448">
        <w:rPr>
          <w:lang w:eastAsia="en-AU"/>
        </w:rPr>
        <w:t>This is an important potential risk that should be reported on within PSURs.</w:t>
      </w:r>
    </w:p>
    <w:p w:rsidR="00376448" w:rsidRPr="00376448" w:rsidRDefault="00376448" w:rsidP="008F519E">
      <w:pPr>
        <w:pStyle w:val="ListBullet"/>
        <w:rPr>
          <w:lang w:eastAsia="en-AU"/>
        </w:rPr>
      </w:pPr>
      <w:r w:rsidRPr="00376448">
        <w:rPr>
          <w:lang w:eastAsia="en-AU"/>
        </w:rPr>
        <w:t>Potential for postnatal developmental delay:</w:t>
      </w:r>
    </w:p>
    <w:p w:rsidR="00376448" w:rsidRPr="00376448" w:rsidRDefault="00376448" w:rsidP="008F519E">
      <w:pPr>
        <w:pStyle w:val="ListBullet2"/>
        <w:rPr>
          <w:lang w:eastAsia="en-AU"/>
        </w:rPr>
      </w:pPr>
      <w:r w:rsidRPr="00376448">
        <w:rPr>
          <w:lang w:eastAsia="en-AU"/>
        </w:rPr>
        <w:lastRenderedPageBreak/>
        <w:t xml:space="preserve">In the evaluation process for Mifepristone </w:t>
      </w:r>
      <w:proofErr w:type="spellStart"/>
      <w:r w:rsidRPr="00376448">
        <w:rPr>
          <w:lang w:eastAsia="en-AU"/>
        </w:rPr>
        <w:t>Linepharma</w:t>
      </w:r>
      <w:proofErr w:type="spellEnd"/>
      <w:r w:rsidRPr="00376448">
        <w:rPr>
          <w:lang w:eastAsia="en-AU"/>
        </w:rPr>
        <w:t xml:space="preserve">, the non-clinical evaluator raised the potential concern for postnatal </w:t>
      </w:r>
      <w:r w:rsidRPr="008F519E">
        <w:t>development</w:t>
      </w:r>
      <w:r w:rsidRPr="00376448">
        <w:rPr>
          <w:lang w:eastAsia="en-AU"/>
        </w:rPr>
        <w:t xml:space="preserve"> delay if a pregnancy is continued after exposure to mifepristone.</w:t>
      </w:r>
    </w:p>
    <w:p w:rsidR="00376448" w:rsidRPr="00376448" w:rsidRDefault="00376448" w:rsidP="008F519E">
      <w:pPr>
        <w:pStyle w:val="ListBullet2"/>
        <w:rPr>
          <w:lang w:eastAsia="en-AU"/>
        </w:rPr>
      </w:pPr>
      <w:r w:rsidRPr="00376448">
        <w:rPr>
          <w:lang w:eastAsia="en-AU"/>
        </w:rPr>
        <w:t xml:space="preserve">In the current RMP under evaluation, the </w:t>
      </w:r>
      <w:r w:rsidRPr="008F519E">
        <w:t>sponsor</w:t>
      </w:r>
      <w:r w:rsidRPr="00376448">
        <w:rPr>
          <w:lang w:eastAsia="en-AU"/>
        </w:rPr>
        <w:t xml:space="preserve"> makes the following statement, under the nonclinical safety specification: </w:t>
      </w:r>
      <w:r w:rsidRPr="008F519E">
        <w:rPr>
          <w:i/>
          <w:lang w:eastAsia="en-AU"/>
        </w:rPr>
        <w:t>“These results indicate that in case a woman carries her pregnancy to term despite exposure to mifepristone during pregnancy, there is some potential for postnatal development to be delayed.”</w:t>
      </w:r>
    </w:p>
    <w:p w:rsidR="00376448" w:rsidRPr="00376448" w:rsidRDefault="00376448" w:rsidP="008F519E">
      <w:pPr>
        <w:pStyle w:val="ListBullet2"/>
        <w:rPr>
          <w:lang w:eastAsia="en-AU"/>
        </w:rPr>
      </w:pPr>
      <w:r w:rsidRPr="00376448">
        <w:rPr>
          <w:lang w:eastAsia="en-AU"/>
        </w:rPr>
        <w:t xml:space="preserve">The potential for postnatal development delay is a crucial piece of </w:t>
      </w:r>
      <w:r w:rsidRPr="008F519E">
        <w:t>information</w:t>
      </w:r>
      <w:r w:rsidRPr="00376448">
        <w:rPr>
          <w:lang w:eastAsia="en-AU"/>
        </w:rPr>
        <w:t xml:space="preserve"> that will assist physicians to counsel women for whom there has been method failure when considering their op</w:t>
      </w:r>
      <w:r w:rsidR="006270FF">
        <w:rPr>
          <w:lang w:eastAsia="en-AU"/>
        </w:rPr>
        <w:t>tions for further management (for example</w:t>
      </w:r>
      <w:r w:rsidRPr="00376448">
        <w:rPr>
          <w:lang w:eastAsia="en-AU"/>
        </w:rPr>
        <w:t xml:space="preserve"> continue with the pregnancy or proceed to surgical termination). This should also be included in the Australian PI and physician educational materials.</w:t>
      </w:r>
    </w:p>
    <w:p w:rsidR="00376448" w:rsidRPr="00376448" w:rsidRDefault="00376448" w:rsidP="008F519E">
      <w:pPr>
        <w:pStyle w:val="ListBullet2"/>
        <w:rPr>
          <w:lang w:eastAsia="en-AU"/>
        </w:rPr>
      </w:pPr>
      <w:r w:rsidRPr="00376448">
        <w:rPr>
          <w:lang w:eastAsia="en-AU"/>
        </w:rPr>
        <w:t>Since 2003, the WHO Global Database of individual Case Safety Reports (</w:t>
      </w:r>
      <w:r w:rsidRPr="008F519E">
        <w:t>ICSRs</w:t>
      </w:r>
      <w:r w:rsidRPr="00376448">
        <w:rPr>
          <w:lang w:eastAsia="en-AU"/>
        </w:rPr>
        <w:t>) lists a total of 9 adverse events of developmental delay (and related conditions) in children who experienced foetal exposure to mifepristone and misoprostol.</w:t>
      </w:r>
    </w:p>
    <w:p w:rsidR="00376448" w:rsidRPr="00376448" w:rsidRDefault="00376448" w:rsidP="008F519E">
      <w:pPr>
        <w:pStyle w:val="ListBullet2"/>
        <w:rPr>
          <w:lang w:eastAsia="en-AU"/>
        </w:rPr>
      </w:pPr>
      <w:r w:rsidRPr="00376448">
        <w:rPr>
          <w:lang w:eastAsia="en-AU"/>
        </w:rPr>
        <w:t xml:space="preserve">This is an important potential risk that should also be reported on within </w:t>
      </w:r>
      <w:r w:rsidRPr="008F519E">
        <w:t>the</w:t>
      </w:r>
      <w:r w:rsidRPr="00376448">
        <w:rPr>
          <w:lang w:eastAsia="en-AU"/>
        </w:rPr>
        <w:t xml:space="preserve"> PSURs.</w:t>
      </w:r>
    </w:p>
    <w:p w:rsidR="00376448" w:rsidRPr="00376448" w:rsidRDefault="00376448" w:rsidP="008F519E">
      <w:pPr>
        <w:pStyle w:val="ListBullet"/>
        <w:rPr>
          <w:lang w:eastAsia="en-AU"/>
        </w:rPr>
      </w:pPr>
      <w:r w:rsidRPr="00376448">
        <w:rPr>
          <w:lang w:eastAsia="en-AU"/>
        </w:rPr>
        <w:t>Potential for off-label use, including use beyond the f</w:t>
      </w:r>
      <w:r w:rsidR="009A26E2">
        <w:rPr>
          <w:lang w:eastAsia="en-AU"/>
        </w:rPr>
        <w:t xml:space="preserve">irst trimester of </w:t>
      </w:r>
      <w:r w:rsidR="009A26E2" w:rsidRPr="008F519E">
        <w:t>pregnancy</w:t>
      </w:r>
      <w:r w:rsidRPr="00376448">
        <w:rPr>
          <w:lang w:eastAsia="en-AU"/>
        </w:rPr>
        <w:t>.</w:t>
      </w:r>
    </w:p>
    <w:p w:rsidR="00062545" w:rsidRDefault="00376448" w:rsidP="008F519E">
      <w:pPr>
        <w:pStyle w:val="ListBullet"/>
        <w:rPr>
          <w:lang w:eastAsia="en-AU"/>
        </w:rPr>
      </w:pPr>
      <w:r w:rsidRPr="00376448">
        <w:rPr>
          <w:lang w:eastAsia="en-AU"/>
        </w:rPr>
        <w:t>Potential safety risks in vulnerable groups including rural, indigenous and non-English speaking women (with particular regard to the risks of being lost to follow-up for bleeding</w:t>
      </w:r>
      <w:r w:rsidR="00D317EB">
        <w:rPr>
          <w:lang w:eastAsia="en-AU"/>
        </w:rPr>
        <w:t xml:space="preserve"> or</w:t>
      </w:r>
      <w:r w:rsidRPr="00376448">
        <w:rPr>
          <w:lang w:eastAsia="en-AU"/>
        </w:rPr>
        <w:t xml:space="preserve"> infection).</w:t>
      </w:r>
    </w:p>
    <w:p w:rsidR="000E552D" w:rsidRPr="008F519E" w:rsidRDefault="000E552D" w:rsidP="008F519E">
      <w:pPr>
        <w:pStyle w:val="Heading4"/>
      </w:pPr>
      <w:bookmarkStart w:id="59" w:name="_Toc403987316"/>
      <w:r w:rsidRPr="006F25B8">
        <w:rPr>
          <w:lang w:eastAsia="en-AU"/>
        </w:rPr>
        <w:t>Reconciliation of issues outlined in the RMP report</w:t>
      </w:r>
      <w:bookmarkEnd w:id="59"/>
    </w:p>
    <w:p w:rsidR="000E552D" w:rsidRDefault="009A26E2" w:rsidP="008F519E">
      <w:pPr>
        <w:rPr>
          <w:lang w:eastAsia="en-AU"/>
        </w:rPr>
      </w:pPr>
      <w:r>
        <w:rPr>
          <w:lang w:eastAsia="en-AU"/>
        </w:rPr>
        <w:t>T</w:t>
      </w:r>
      <w:r w:rsidR="000E552D">
        <w:rPr>
          <w:lang w:eastAsia="en-AU"/>
        </w:rPr>
        <w:t xml:space="preserve">able </w:t>
      </w:r>
      <w:r>
        <w:rPr>
          <w:lang w:eastAsia="en-AU"/>
        </w:rPr>
        <w:t>2</w:t>
      </w:r>
      <w:r w:rsidR="000E552D">
        <w:rPr>
          <w:lang w:eastAsia="en-AU"/>
        </w:rPr>
        <w:t xml:space="preserve"> summarises the </w:t>
      </w:r>
      <w:r>
        <w:rPr>
          <w:lang w:eastAsia="en-AU"/>
        </w:rPr>
        <w:t>TGA’</w:t>
      </w:r>
      <w:r w:rsidR="000E552D">
        <w:rPr>
          <w:lang w:eastAsia="en-AU"/>
        </w:rPr>
        <w:t xml:space="preserve">s first round evaluation of the RMP, the sponsor’s responses to issues raised </w:t>
      </w:r>
      <w:r>
        <w:rPr>
          <w:lang w:eastAsia="en-AU"/>
        </w:rPr>
        <w:t>a</w:t>
      </w:r>
      <w:r w:rsidR="000E552D">
        <w:rPr>
          <w:lang w:eastAsia="en-AU"/>
        </w:rPr>
        <w:t xml:space="preserve">nd the </w:t>
      </w:r>
      <w:r>
        <w:rPr>
          <w:lang w:eastAsia="en-AU"/>
        </w:rPr>
        <w:t>TGA</w:t>
      </w:r>
      <w:r w:rsidR="000E552D">
        <w:rPr>
          <w:lang w:eastAsia="en-AU"/>
        </w:rPr>
        <w:t>’s evaluat</w:t>
      </w:r>
      <w:r>
        <w:rPr>
          <w:lang w:eastAsia="en-AU"/>
        </w:rPr>
        <w:t>ion of the sponsor’s responses.</w:t>
      </w:r>
    </w:p>
    <w:p w:rsidR="009A26E2" w:rsidRDefault="009A26E2" w:rsidP="008F519E">
      <w:pPr>
        <w:pStyle w:val="TableTitle"/>
        <w:rPr>
          <w:lang w:eastAsia="en-AU"/>
        </w:rPr>
      </w:pPr>
      <w:proofErr w:type="gramStart"/>
      <w:r>
        <w:rPr>
          <w:lang w:eastAsia="en-AU"/>
        </w:rPr>
        <w:t>Table 2.</w:t>
      </w:r>
      <w:proofErr w:type="gramEnd"/>
      <w:r>
        <w:rPr>
          <w:lang w:eastAsia="en-AU"/>
        </w:rPr>
        <w:t xml:space="preserve"> Reconciliation of issues outlined in the </w:t>
      </w:r>
      <w:r w:rsidRPr="008F519E">
        <w:t>RMP</w:t>
      </w:r>
      <w:r>
        <w:rPr>
          <w:lang w:eastAsia="en-AU"/>
        </w:rPr>
        <w:t xml:space="preserve"> report</w:t>
      </w:r>
    </w:p>
    <w:tbl>
      <w:tblPr>
        <w:tblStyle w:val="TableTGAblue"/>
        <w:tblW w:w="5429" w:type="pct"/>
        <w:jc w:val="center"/>
        <w:tblLayout w:type="fixed"/>
        <w:tblLook w:val="04A0" w:firstRow="1" w:lastRow="0" w:firstColumn="1" w:lastColumn="0" w:noHBand="0" w:noVBand="1"/>
      </w:tblPr>
      <w:tblGrid>
        <w:gridCol w:w="4310"/>
        <w:gridCol w:w="3119"/>
        <w:gridCol w:w="2039"/>
      </w:tblGrid>
      <w:tr w:rsidR="009A26E2" w:rsidRPr="00F2735F" w:rsidTr="000260D6">
        <w:trPr>
          <w:cnfStyle w:val="100000000000" w:firstRow="1" w:lastRow="0" w:firstColumn="0" w:lastColumn="0" w:oddVBand="0" w:evenVBand="0" w:oddHBand="0" w:evenHBand="0" w:firstRowFirstColumn="0" w:firstRowLastColumn="0" w:lastRowFirstColumn="0" w:lastRowLastColumn="0"/>
          <w:jc w:val="center"/>
        </w:trPr>
        <w:tc>
          <w:tcPr>
            <w:tcW w:w="2276" w:type="pct"/>
            <w:noWrap/>
          </w:tcPr>
          <w:p w:rsidR="009A26E2" w:rsidRPr="003A7614" w:rsidRDefault="009A26E2" w:rsidP="00DF3CFF">
            <w:pPr>
              <w:ind w:left="0" w:right="34"/>
            </w:pPr>
            <w:r w:rsidRPr="003A7614">
              <w:t>Recommendation in RMP evaluation report</w:t>
            </w:r>
          </w:p>
        </w:tc>
        <w:tc>
          <w:tcPr>
            <w:tcW w:w="1647" w:type="pct"/>
            <w:noWrap/>
          </w:tcPr>
          <w:p w:rsidR="009A26E2" w:rsidRPr="003A7614" w:rsidRDefault="009A26E2" w:rsidP="00DF3CFF">
            <w:pPr>
              <w:ind w:left="0" w:right="34"/>
            </w:pPr>
            <w:r w:rsidRPr="003A7614">
              <w:t>Sponsor’s response</w:t>
            </w:r>
          </w:p>
        </w:tc>
        <w:tc>
          <w:tcPr>
            <w:tcW w:w="1077" w:type="pct"/>
            <w:noWrap/>
          </w:tcPr>
          <w:p w:rsidR="009A26E2" w:rsidRPr="003A7614" w:rsidRDefault="009A26E2" w:rsidP="00DF3CFF">
            <w:pPr>
              <w:ind w:left="0" w:right="34"/>
            </w:pPr>
            <w:r w:rsidRPr="003A7614">
              <w:t>Evaluator’s comment</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An application was made to the United States (US) in November 2009 which is also still pending. It is recommended that the sponsor clarify the reason for the delay in this application process in the US.</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proofErr w:type="spellStart"/>
            <w:r w:rsidRPr="003A7614">
              <w:t>Linepharma’s</w:t>
            </w:r>
            <w:proofErr w:type="spellEnd"/>
            <w:r w:rsidRPr="003A7614">
              <w:t xml:space="preserve"> application in the US (for an Abbreviated New Drug application, ANDA) is currently on hold until </w:t>
            </w:r>
            <w:proofErr w:type="spellStart"/>
            <w:r w:rsidRPr="003A7614">
              <w:t>Linepharma</w:t>
            </w:r>
            <w:proofErr w:type="spellEnd"/>
            <w:r w:rsidRPr="003A7614">
              <w:t xml:space="preserve"> provides the results of a bioequivalence (BE) study after subjects have taken a meal: indeed a new regulation for ANDAs requires that BE studies are performed in the fasting state and after a calibrated meal. </w:t>
            </w:r>
            <w:proofErr w:type="spellStart"/>
            <w:r w:rsidRPr="003A7614">
              <w:t>Linepharma</w:t>
            </w:r>
            <w:proofErr w:type="spellEnd"/>
            <w:r w:rsidRPr="003A7614">
              <w:t xml:space="preserve"> is currently exploring the optimal conditions for such a study.</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This </w:t>
            </w:r>
            <w:r w:rsidR="000F6124" w:rsidRPr="003A7614">
              <w:t>was</w:t>
            </w:r>
            <w:r w:rsidRPr="003A7614">
              <w:t xml:space="preserve"> acceptable</w:t>
            </w:r>
            <w:r w:rsidR="00D35908">
              <w:t>.</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It is noted that the following important potential risks have been removed from the list of ongoing safety concerns compared to the previously evaluated RMP </w:t>
            </w:r>
            <w:r w:rsidRPr="003A7614">
              <w:lastRenderedPageBreak/>
              <w:t>dated 27th March 2012. It is recommended that these be added to the list of important potential risks, unless the sponsor can provide compelling justification for their exclusion:</w:t>
            </w:r>
          </w:p>
          <w:p w:rsidR="009A26E2" w:rsidRPr="003A7614" w:rsidRDefault="009A26E2" w:rsidP="00481E45">
            <w:pPr>
              <w:ind w:left="0" w:right="34"/>
            </w:pPr>
            <w:r w:rsidRPr="003A7614">
              <w:t>Effects in women with impaired liver function</w:t>
            </w:r>
          </w:p>
          <w:p w:rsidR="009A26E2" w:rsidRPr="003A7614" w:rsidRDefault="009A26E2" w:rsidP="00481E45">
            <w:pPr>
              <w:ind w:left="0" w:right="34"/>
            </w:pPr>
            <w:r w:rsidRPr="003A7614">
              <w:t>Effects in women with impaired renal function</w:t>
            </w:r>
          </w:p>
          <w:p w:rsidR="009A26E2" w:rsidRPr="003A7614" w:rsidRDefault="009A26E2" w:rsidP="00481E45">
            <w:pPr>
              <w:ind w:left="0" w:right="34"/>
            </w:pPr>
            <w:r w:rsidRPr="003A7614">
              <w:t>Effects in women with malnutrition</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rPr>
                <w:highlight w:val="yellow"/>
              </w:rPr>
            </w:pPr>
            <w:r w:rsidRPr="003A7614">
              <w:lastRenderedPageBreak/>
              <w:t xml:space="preserve">The </w:t>
            </w:r>
            <w:r w:rsidR="00062545" w:rsidRPr="003A7614">
              <w:t>sponsor</w:t>
            </w:r>
            <w:r w:rsidRPr="003A7614">
              <w:t xml:space="preserve"> confirms that these ongoing safety concerns </w:t>
            </w:r>
            <w:r w:rsidR="0009294A" w:rsidRPr="003A7614">
              <w:t>are included</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This </w:t>
            </w:r>
            <w:r w:rsidR="000F6124" w:rsidRPr="003A7614">
              <w:t>was</w:t>
            </w:r>
            <w:r w:rsidRPr="003A7614">
              <w:t xml:space="preserve"> acceptable</w:t>
            </w:r>
            <w:r w:rsidR="00D35908">
              <w:t>.</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lastRenderedPageBreak/>
              <w:t>The following should also be added to the list of ongoing safety concerns (see RMP evaluation Round 1 Report for further details):</w:t>
            </w:r>
          </w:p>
          <w:p w:rsidR="009A26E2" w:rsidRPr="003A7614" w:rsidRDefault="009A26E2" w:rsidP="00DF3CFF">
            <w:pPr>
              <w:ind w:left="0" w:right="34"/>
            </w:pPr>
            <w:r w:rsidRPr="003A7614">
              <w:t>Potential for missed ectopic pregnancy:</w:t>
            </w:r>
          </w:p>
          <w:p w:rsidR="009A26E2" w:rsidRPr="003A7614" w:rsidRDefault="009A26E2" w:rsidP="00DF3CFF">
            <w:pPr>
              <w:ind w:left="0" w:right="34"/>
            </w:pPr>
            <w:r w:rsidRPr="003A7614">
              <w:t>Potential for postnatal developmental delay:</w:t>
            </w:r>
          </w:p>
          <w:p w:rsidR="009A26E2" w:rsidRPr="003A7614" w:rsidRDefault="009A26E2" w:rsidP="00DF3CFF">
            <w:pPr>
              <w:ind w:left="0" w:right="34"/>
            </w:pPr>
            <w:r w:rsidRPr="003A7614">
              <w:t>Potential for off-label use, including use beyond the first trimester of pregnancy (see Section 9.2).</w:t>
            </w:r>
          </w:p>
          <w:p w:rsidR="009A26E2" w:rsidRPr="003A7614" w:rsidRDefault="009A26E2" w:rsidP="00DF3CFF">
            <w:pPr>
              <w:ind w:left="0" w:right="34"/>
            </w:pPr>
            <w:r w:rsidRPr="003A7614">
              <w:t xml:space="preserve">Potential safety risks in vulnerable groups including rural, Indigenous and non-English speaking women (with particular regard to the risks of being lost to follow-up for bleeding, infection </w:t>
            </w:r>
            <w:proofErr w:type="spellStart"/>
            <w:r w:rsidRPr="003A7614">
              <w:t>etc</w:t>
            </w:r>
            <w:proofErr w:type="spellEnd"/>
            <w:r w:rsidRPr="003A7614">
              <w:t>).</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The </w:t>
            </w:r>
            <w:r w:rsidR="00062545" w:rsidRPr="003A7614">
              <w:t>sponsor</w:t>
            </w:r>
            <w:r w:rsidRPr="003A7614">
              <w:t xml:space="preserve"> confirms that these potential risks have been added to the ongoing safety concerns in the RMP. The potential risk of postnatal development delay ha</w:t>
            </w:r>
            <w:r w:rsidR="00DF3CFF">
              <w:t>s also been included in the PI.</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0F6124" w:rsidP="00DF3CFF">
            <w:pPr>
              <w:ind w:left="0" w:right="34"/>
            </w:pPr>
            <w:r w:rsidRPr="003A7614">
              <w:t xml:space="preserve">This was </w:t>
            </w:r>
            <w:r w:rsidR="009A26E2" w:rsidRPr="003A7614">
              <w:t>partially acceptable.</w:t>
            </w:r>
          </w:p>
          <w:p w:rsidR="009A26E2" w:rsidRPr="003A7614" w:rsidRDefault="009A26E2" w:rsidP="00DF3CFF">
            <w:pPr>
              <w:ind w:left="0" w:right="34"/>
            </w:pPr>
            <w:r w:rsidRPr="003A7614">
              <w:t xml:space="preserve">There </w:t>
            </w:r>
            <w:r w:rsidR="000F6124" w:rsidRPr="003A7614">
              <w:t>was</w:t>
            </w:r>
            <w:r w:rsidRPr="003A7614">
              <w:t xml:space="preserve"> no reference to vulnerable groups including women living in rural areas, Aboriginal and Torres</w:t>
            </w:r>
            <w:r w:rsidR="00062545" w:rsidRPr="003A7614">
              <w:t xml:space="preserve"> </w:t>
            </w:r>
            <w:r w:rsidRPr="003A7614">
              <w:t>Strait Islander or non- English speaking women.</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09294A" w:rsidP="00DF3CFF">
            <w:pPr>
              <w:ind w:left="0" w:right="34"/>
            </w:pPr>
            <w:r w:rsidRPr="003A7614">
              <w:t>R</w:t>
            </w:r>
            <w:r w:rsidR="009A26E2" w:rsidRPr="003A7614">
              <w:t>outine risk minimisation activities are insufficient to appropriately mitigate all the specified ongoing safety concerns</w:t>
            </w:r>
            <w:r w:rsidRPr="003A7614">
              <w:t>,</w:t>
            </w:r>
            <w:r w:rsidR="009A26E2" w:rsidRPr="003A7614">
              <w:t xml:space="preserve"> and </w:t>
            </w:r>
            <w:r w:rsidRPr="003A7614">
              <w:t>this should be</w:t>
            </w:r>
            <w:r w:rsidR="009A26E2" w:rsidRPr="003A7614">
              <w:t xml:space="preserve"> reflect</w:t>
            </w:r>
            <w:r w:rsidR="00D317EB" w:rsidRPr="003A7614">
              <w:t xml:space="preserve">ed </w:t>
            </w:r>
            <w:r w:rsidRPr="003A7614">
              <w:t>in</w:t>
            </w:r>
            <w:r w:rsidR="009A26E2" w:rsidRPr="003A7614">
              <w:t xml:space="preserve"> the proposed use of addition</w:t>
            </w:r>
            <w:r w:rsidR="00481E45">
              <w:t>al risk minimisation activities</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481E45">
            <w:pPr>
              <w:ind w:left="0" w:right="34"/>
            </w:pPr>
            <w:r w:rsidRPr="003A7614">
              <w:t xml:space="preserve">The </w:t>
            </w:r>
            <w:r w:rsidR="00062545" w:rsidRPr="003A7614">
              <w:t>sponsor</w:t>
            </w:r>
            <w:r w:rsidRPr="003A7614">
              <w:t xml:space="preserve"> confirms that these ch</w:t>
            </w:r>
            <w:r w:rsidR="00481E45">
              <w:t>anges have been made in the RMP.</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This </w:t>
            </w:r>
            <w:r w:rsidR="000F6124" w:rsidRPr="003A7614">
              <w:t>was</w:t>
            </w:r>
            <w:r w:rsidRPr="003A7614">
              <w:t xml:space="preserve"> acceptable</w:t>
            </w:r>
            <w:r w:rsidR="00D35908">
              <w:t>.</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The sponsor has not given sufficient consideration in the RMP or educational materials to the potential risk of medication error as a result of variations in approved indications. It is recommended that the sponsor update the relevant sections of the RMP to include consideration of this risk. Furthermore, the RMP should include post-marketing data regarding rates of medication error of the component products.</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After consideration of the situation for the single pack products the </w:t>
            </w:r>
            <w:r w:rsidR="00062545" w:rsidRPr="003A7614">
              <w:t>sponsor</w:t>
            </w:r>
            <w:r w:rsidR="00481E45">
              <w:t xml:space="preserve"> now proposes the following:</w:t>
            </w:r>
          </w:p>
          <w:p w:rsidR="009A26E2" w:rsidRPr="003A7614" w:rsidRDefault="009A26E2" w:rsidP="00DF3CFF">
            <w:pPr>
              <w:ind w:left="0" w:right="34"/>
            </w:pPr>
            <w:r w:rsidRPr="003A7614">
              <w:t>Steps will be taken that will prevent variations in indication occurring for the marketed products used in the indication of medical terminatio</w:t>
            </w:r>
            <w:r w:rsidR="00481E45">
              <w:t>n of first trimester pregnancy.</w:t>
            </w:r>
          </w:p>
          <w:p w:rsidR="009A26E2" w:rsidRPr="003A7614" w:rsidRDefault="009A26E2" w:rsidP="00DF3CFF">
            <w:pPr>
              <w:ind w:left="0" w:right="34"/>
            </w:pPr>
            <w:r w:rsidRPr="003A7614">
              <w:t>Response relating to the RMP question 5</w:t>
            </w:r>
            <w:r w:rsidR="003A7614">
              <w:t xml:space="preserve">. </w:t>
            </w:r>
            <w:r w:rsidRPr="003A7614">
              <w:t xml:space="preserve">In view of the </w:t>
            </w:r>
            <w:r w:rsidRPr="003A7614">
              <w:lastRenderedPageBreak/>
              <w:t xml:space="preserve">steps being taken with regard to resolving any difference in product indications, the </w:t>
            </w:r>
            <w:r w:rsidR="00062545" w:rsidRPr="003A7614">
              <w:t>sponsor</w:t>
            </w:r>
            <w:r w:rsidRPr="003A7614">
              <w:t xml:space="preserve"> proposes that there is no special need to implement other steps with regard to the potential for medication errors, beyond those described in the RMP Potential for medication errors.</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062545" w:rsidRPr="003A7614" w:rsidRDefault="009A26E2" w:rsidP="00DF3CFF">
            <w:pPr>
              <w:ind w:left="0" w:right="34"/>
            </w:pPr>
            <w:r w:rsidRPr="003A7614">
              <w:lastRenderedPageBreak/>
              <w:t>This is partially acceptable</w:t>
            </w:r>
          </w:p>
          <w:p w:rsidR="009A26E2" w:rsidRPr="003A7614" w:rsidRDefault="00BE11C4" w:rsidP="00DF3CFF">
            <w:pPr>
              <w:ind w:left="0" w:right="34"/>
            </w:pPr>
            <w:r w:rsidRPr="003A7614">
              <w:t>One RMP section</w:t>
            </w:r>
            <w:r w:rsidR="009A26E2" w:rsidRPr="003A7614">
              <w:t xml:space="preserve"> still contains st</w:t>
            </w:r>
            <w:r w:rsidR="00481E45">
              <w:t>atements that require updating.</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lastRenderedPageBreak/>
              <w:t xml:space="preserve">It is also noted in the CMI instruction insert that the Mifepristone </w:t>
            </w:r>
            <w:proofErr w:type="spellStart"/>
            <w:r w:rsidRPr="003A7614">
              <w:t>Linepharma</w:t>
            </w:r>
            <w:proofErr w:type="spellEnd"/>
            <w:r w:rsidRPr="003A7614">
              <w:t xml:space="preserve"> tablet is inscribed with the initials “MF”, and the </w:t>
            </w:r>
            <w:proofErr w:type="spellStart"/>
            <w:r w:rsidR="00052E21" w:rsidRPr="003A7614">
              <w:t>GyMiso</w:t>
            </w:r>
            <w:proofErr w:type="spellEnd"/>
            <w:r w:rsidR="00052E21" w:rsidRPr="003A7614">
              <w:t>®</w:t>
            </w:r>
            <w:r w:rsidRPr="003A7614">
              <w:t xml:space="preserve"> tablet is inscribed with the initials “ML” This may confuse consumers and lead to medication error as “ML” may be interpreted as the initials for “Mifepristone </w:t>
            </w:r>
            <w:proofErr w:type="spellStart"/>
            <w:r w:rsidRPr="003A7614">
              <w:t>Linepharma</w:t>
            </w:r>
            <w:proofErr w:type="spellEnd"/>
            <w:r w:rsidRPr="003A7614">
              <w:t>”.</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481E45">
            <w:pPr>
              <w:ind w:left="0" w:right="34"/>
            </w:pPr>
            <w:r w:rsidRPr="003A7614">
              <w:t>The CMI Instruction Insert has been changed so that the tablets depicted do not show any inscription of lette</w:t>
            </w:r>
            <w:r w:rsidR="00481E45">
              <w:t>rs.</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This </w:t>
            </w:r>
            <w:r w:rsidR="000F6124" w:rsidRPr="003A7614">
              <w:t>was</w:t>
            </w:r>
            <w:r w:rsidRPr="003A7614">
              <w:t xml:space="preserve"> acceptable</w:t>
            </w:r>
            <w:r w:rsidR="00D35908">
              <w:t>.</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The potential for off-label adult use of MS-2 Step is not adequately addressed in the RMP. The statements made regarding mifepristone are misleading as they appear to refer to other brands and doses of mifepristone. This section should specifically refer to mifepristone </w:t>
            </w:r>
            <w:proofErr w:type="spellStart"/>
            <w:r w:rsidRPr="003A7614">
              <w:t>linepharma</w:t>
            </w:r>
            <w:proofErr w:type="spellEnd"/>
            <w:r w:rsidRPr="003A7614">
              <w:t xml:space="preserve"> and MS-2 Step. Where reference is made to products other than Mifepristone </w:t>
            </w:r>
            <w:proofErr w:type="spellStart"/>
            <w:r w:rsidRPr="003A7614">
              <w:t>Linepharma</w:t>
            </w:r>
            <w:proofErr w:type="spellEnd"/>
            <w:r w:rsidRPr="003A7614">
              <w:t xml:space="preserve">, this should be clearly stated. Furthermore, the potential for off-label use of MS-2 Step should be specifically addressed in this section. It is recommended that the </w:t>
            </w:r>
            <w:r w:rsidR="00062545" w:rsidRPr="003A7614">
              <w:t>sponsor</w:t>
            </w:r>
            <w:r w:rsidRPr="003A7614">
              <w:t xml:space="preserve"> update this section with </w:t>
            </w:r>
            <w:proofErr w:type="spellStart"/>
            <w:r w:rsidRPr="003A7614">
              <w:t>postmarketing</w:t>
            </w:r>
            <w:proofErr w:type="spellEnd"/>
            <w:r w:rsidRPr="003A7614">
              <w:t xml:space="preserve"> data regarding off-label use of Mifepristone </w:t>
            </w:r>
            <w:proofErr w:type="spellStart"/>
            <w:r w:rsidRPr="003A7614">
              <w:t>Linepharma</w:t>
            </w:r>
            <w:proofErr w:type="spellEnd"/>
            <w:r w:rsidRPr="003A7614">
              <w:t xml:space="preserve"> and </w:t>
            </w:r>
            <w:proofErr w:type="spellStart"/>
            <w:r w:rsidRPr="003A7614">
              <w:t>GyMiso</w:t>
            </w:r>
            <w:proofErr w:type="spellEnd"/>
            <w:r w:rsidRPr="003A7614">
              <w:t>.</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481E45">
            <w:pPr>
              <w:ind w:left="0" w:right="34"/>
            </w:pPr>
            <w:r w:rsidRPr="003A7614">
              <w:t xml:space="preserve">The </w:t>
            </w:r>
            <w:r w:rsidR="00062545" w:rsidRPr="003A7614">
              <w:t>sponsor</w:t>
            </w:r>
            <w:r w:rsidRPr="003A7614">
              <w:t xml:space="preserve"> confirms that this section of the RM</w:t>
            </w:r>
            <w:r w:rsidR="00481E45">
              <w:t>P has been revised accordingly.</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This </w:t>
            </w:r>
            <w:r w:rsidR="000F6124" w:rsidRPr="003A7614">
              <w:t>was</w:t>
            </w:r>
            <w:r w:rsidR="00481E45">
              <w:t xml:space="preserve"> only partially acceptable.</w:t>
            </w:r>
          </w:p>
          <w:p w:rsidR="009A26E2" w:rsidRPr="003A7614" w:rsidRDefault="009A26E2" w:rsidP="00DF3CFF">
            <w:pPr>
              <w:ind w:left="0" w:right="34"/>
            </w:pPr>
            <w:r w:rsidRPr="003A7614">
              <w:t xml:space="preserve">While some improvements have been made to this section of the RMP, the </w:t>
            </w:r>
            <w:r w:rsidR="00062545" w:rsidRPr="003A7614">
              <w:t>sponsor</w:t>
            </w:r>
            <w:r w:rsidRPr="003A7614">
              <w:t xml:space="preserve"> has not stated the number of reported cases of off-label use of Mifepristone </w:t>
            </w:r>
            <w:proofErr w:type="spellStart"/>
            <w:r w:rsidRPr="003A7614">
              <w:t>Linepharma</w:t>
            </w:r>
            <w:proofErr w:type="spellEnd"/>
            <w:r w:rsidRPr="003A7614">
              <w:t xml:space="preserve"> or </w:t>
            </w:r>
            <w:proofErr w:type="spellStart"/>
            <w:r w:rsidR="00052E21" w:rsidRPr="003A7614">
              <w:t>GyMiso</w:t>
            </w:r>
            <w:proofErr w:type="spellEnd"/>
            <w:r w:rsidR="00052E21" w:rsidRPr="003A7614">
              <w:t>®</w:t>
            </w:r>
            <w:r w:rsidRPr="003A7614">
              <w:t xml:space="preserve">. The </w:t>
            </w:r>
            <w:r w:rsidR="00062545" w:rsidRPr="003A7614">
              <w:t>sponsor</w:t>
            </w:r>
            <w:r w:rsidRPr="003A7614">
              <w:t xml:space="preserve"> should amend this section with the next update of the RMP to provide adequate data on off-label use.</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A number of issues regarding the risk management plan for MS-2 Step require clarification</w:t>
            </w:r>
            <w:r w:rsidR="00EF51BA" w:rsidRPr="003A7614">
              <w:t>:</w:t>
            </w:r>
          </w:p>
          <w:p w:rsidR="009A26E2" w:rsidRPr="003A7614" w:rsidRDefault="009A26E2" w:rsidP="00DF3CFF">
            <w:pPr>
              <w:ind w:left="0" w:right="34"/>
            </w:pPr>
            <w:r w:rsidRPr="003A7614">
              <w:t xml:space="preserve">There is no mention of the medical education programme in this section. The </w:t>
            </w:r>
            <w:r w:rsidR="00062545" w:rsidRPr="003A7614">
              <w:t>sponsor</w:t>
            </w:r>
            <w:r w:rsidRPr="003A7614">
              <w:t xml:space="preserve"> should include an overview of the </w:t>
            </w:r>
            <w:r w:rsidRPr="003A7614">
              <w:lastRenderedPageBreak/>
              <w:t>aims of this programme with a list of published versions and changes/updates to the programme.</w:t>
            </w:r>
          </w:p>
          <w:p w:rsidR="00EF51BA" w:rsidRPr="003A7614" w:rsidRDefault="00EF51BA" w:rsidP="00DF3CFF">
            <w:pPr>
              <w:ind w:left="0" w:right="34"/>
            </w:pPr>
            <w:r w:rsidRPr="003A7614">
              <w:t>One section</w:t>
            </w:r>
            <w:r w:rsidR="009A26E2" w:rsidRPr="003A7614">
              <w:t xml:space="preserve"> states that there are three specific risk minimisation tools, which contradicts the activities presented in </w:t>
            </w:r>
            <w:r w:rsidRPr="003A7614">
              <w:t>another section.</w:t>
            </w:r>
          </w:p>
          <w:p w:rsidR="009A26E2" w:rsidRPr="003A7614" w:rsidRDefault="009A26E2" w:rsidP="00DF3CFF">
            <w:pPr>
              <w:ind w:left="0" w:right="34"/>
            </w:pPr>
            <w:r w:rsidRPr="003A7614">
              <w:t>In Appendix 5 MS Health Proposed Australian Education programme, 24-hour after care and follow-up text messaging is listed as part of the risk management plan. The RMP does not mention this activity and should be updated accordingly.</w:t>
            </w:r>
          </w:p>
          <w:p w:rsidR="009A26E2" w:rsidRPr="003A7614" w:rsidRDefault="009A26E2" w:rsidP="00DF3CFF">
            <w:pPr>
              <w:ind w:left="0" w:right="34"/>
            </w:pPr>
            <w:r w:rsidRPr="003A7614">
              <w:t xml:space="preserve">The sponsor states in the RMP the following as part of the risk management plan “The set of recommendations implemented in the MS-2 Step Product Information and/or Consumer Medicine Information for Mifepristone and </w:t>
            </w:r>
            <w:proofErr w:type="spellStart"/>
            <w:r w:rsidR="00052E21" w:rsidRPr="003A7614">
              <w:t>GyMiso</w:t>
            </w:r>
            <w:proofErr w:type="spellEnd"/>
            <w:r w:rsidR="00052E21" w:rsidRPr="003A7614">
              <w:t>®</w:t>
            </w:r>
            <w:r w:rsidRPr="003A7614">
              <w:t>.” It is recommended that the sponsor clarify this statement and define to which recommendations they are referring.</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lastRenderedPageBreak/>
              <w:t xml:space="preserve">The </w:t>
            </w:r>
            <w:r w:rsidR="00062545" w:rsidRPr="003A7614">
              <w:t>sponsor</w:t>
            </w:r>
            <w:r w:rsidRPr="003A7614">
              <w:t xml:space="preserve"> has made revisions to the RMP that specifically address the points, </w:t>
            </w:r>
            <w:r w:rsidR="00BB5AA0" w:rsidRPr="003A7614">
              <w:t>including an update on the</w:t>
            </w:r>
            <w:r w:rsidRPr="003A7614">
              <w:t xml:space="preserve"> number of risk minimisation tools and an overview of t</w:t>
            </w:r>
            <w:r w:rsidR="00481E45">
              <w:t xml:space="preserve">he Medical </w:t>
            </w:r>
            <w:r w:rsidR="00481E45">
              <w:lastRenderedPageBreak/>
              <w:t>Education programme.</w:t>
            </w:r>
          </w:p>
          <w:p w:rsidR="009A26E2" w:rsidRPr="003A7614" w:rsidRDefault="009A26E2" w:rsidP="00481E45">
            <w:pPr>
              <w:ind w:left="0" w:right="34"/>
            </w:pPr>
            <w:r w:rsidRPr="003A7614">
              <w:t xml:space="preserve">The RMP and the Appendix 5 </w:t>
            </w:r>
            <w:r w:rsidR="00BB5AA0" w:rsidRPr="003A7614">
              <w:t>have been made</w:t>
            </w:r>
            <w:r w:rsidRPr="003A7614">
              <w:t xml:space="preserve"> consistent with regard to mention of the after-care and fo</w:t>
            </w:r>
            <w:r w:rsidR="00481E45">
              <w:t>llow-up text services provided.</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lastRenderedPageBreak/>
              <w:t xml:space="preserve">This </w:t>
            </w:r>
            <w:r w:rsidR="000F6124" w:rsidRPr="003A7614">
              <w:t>was</w:t>
            </w:r>
            <w:r w:rsidRPr="003A7614">
              <w:t xml:space="preserve"> acceptable</w:t>
            </w:r>
            <w:r w:rsidR="00D35908">
              <w:t>.</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lastRenderedPageBreak/>
              <w:t>Medical Education Programme:</w:t>
            </w:r>
          </w:p>
          <w:p w:rsidR="009A26E2" w:rsidRPr="003A7614" w:rsidRDefault="009A26E2" w:rsidP="00DF3CFF">
            <w:pPr>
              <w:ind w:left="0" w:right="34"/>
            </w:pPr>
            <w:r w:rsidRPr="003A7614">
              <w:t xml:space="preserve">There is internal inconsistency throughout the training manual when referring to MS-2 Step, mifepristone and </w:t>
            </w:r>
            <w:proofErr w:type="spellStart"/>
            <w:r w:rsidRPr="003A7614">
              <w:t>misorpostol</w:t>
            </w:r>
            <w:proofErr w:type="spellEnd"/>
            <w:r w:rsidRPr="003A7614">
              <w:t xml:space="preserve">, mifepristone </w:t>
            </w:r>
            <w:proofErr w:type="spellStart"/>
            <w:r w:rsidRPr="003A7614">
              <w:t>linepharma</w:t>
            </w:r>
            <w:proofErr w:type="spellEnd"/>
            <w:r w:rsidRPr="003A7614">
              <w:t xml:space="preserve"> and </w:t>
            </w:r>
            <w:proofErr w:type="spellStart"/>
            <w:r w:rsidRPr="003A7614">
              <w:t>GyMiso</w:t>
            </w:r>
            <w:proofErr w:type="spellEnd"/>
            <w:r w:rsidRPr="003A7614">
              <w:t xml:space="preserve">. In some cases, reference to MS-2 Step (shown in red text with strikethrough) has been removed completely for no apparent reason. It is recommended that the </w:t>
            </w:r>
            <w:r w:rsidR="00062545" w:rsidRPr="003A7614">
              <w:t>sponsor</w:t>
            </w:r>
            <w:r w:rsidRPr="003A7614">
              <w:t xml:space="preserve"> review this document and improve the consistency of referring to each product.</w:t>
            </w:r>
          </w:p>
          <w:p w:rsidR="009A26E2" w:rsidRPr="003A7614" w:rsidRDefault="009A26E2" w:rsidP="00DF3CFF">
            <w:pPr>
              <w:ind w:left="0" w:right="34"/>
            </w:pPr>
            <w:r w:rsidRPr="003A7614">
              <w:t>It is recommended that the education programme should emphasise that the proposed indication of MS-2Step (</w:t>
            </w:r>
            <w:r w:rsidR="00E22DB5" w:rsidRPr="003A7614">
              <w:t>that is,</w:t>
            </w:r>
            <w:r w:rsidRPr="003A7614">
              <w:t xml:space="preserve"> up to 63 days gestation), is different from that of </w:t>
            </w:r>
            <w:proofErr w:type="spellStart"/>
            <w:proofErr w:type="gramStart"/>
            <w:r w:rsidRPr="003A7614">
              <w:t>it’s</w:t>
            </w:r>
            <w:proofErr w:type="spellEnd"/>
            <w:proofErr w:type="gramEnd"/>
            <w:r w:rsidRPr="003A7614">
              <w:t xml:space="preserve"> component products (</w:t>
            </w:r>
            <w:r w:rsidR="00E22DB5" w:rsidRPr="003A7614">
              <w:t>that is,</w:t>
            </w:r>
            <w:r w:rsidRPr="003A7614">
              <w:t xml:space="preserve"> up to 49 days gestation). This will reduce the likelihood of inadvertent off-label use of the component products.</w:t>
            </w:r>
          </w:p>
          <w:p w:rsidR="009A26E2" w:rsidRPr="003A7614" w:rsidRDefault="0075142D" w:rsidP="00DF3CFF">
            <w:pPr>
              <w:ind w:left="0" w:right="34"/>
            </w:pPr>
            <w:r w:rsidRPr="003A7614">
              <w:t>R</w:t>
            </w:r>
            <w:r w:rsidR="009A26E2" w:rsidRPr="003A7614">
              <w:t xml:space="preserve">egarding termination of pregnancy after the first trimester: The sponsor Clarifies that </w:t>
            </w:r>
            <w:proofErr w:type="spellStart"/>
            <w:r w:rsidR="009A26E2" w:rsidRPr="003A7614">
              <w:t>GyMiso</w:t>
            </w:r>
            <w:proofErr w:type="spellEnd"/>
            <w:r w:rsidR="009A26E2" w:rsidRPr="003A7614">
              <w:t xml:space="preserve"> is not approved for this </w:t>
            </w:r>
            <w:proofErr w:type="gramStart"/>
            <w:r w:rsidR="009A26E2" w:rsidRPr="003A7614">
              <w:t>indication,</w:t>
            </w:r>
            <w:proofErr w:type="gramEnd"/>
            <w:r w:rsidR="009A26E2" w:rsidRPr="003A7614">
              <w:t xml:space="preserve"> however there is no mention of </w:t>
            </w:r>
            <w:r w:rsidR="009A26E2" w:rsidRPr="003A7614">
              <w:lastRenderedPageBreak/>
              <w:t>MS-2 Step in this section. It is recommended that a statement to the effect of “MS 2-step is not approved in Australia for termination of pregnancy for gestations beyond 63 days” be added to this section.</w:t>
            </w:r>
          </w:p>
          <w:p w:rsidR="009A26E2" w:rsidRPr="003A7614" w:rsidRDefault="009A26E2" w:rsidP="00DF3CFF">
            <w:pPr>
              <w:ind w:left="0" w:right="34"/>
            </w:pPr>
            <w:r w:rsidRPr="003A7614">
              <w:t xml:space="preserve">The </w:t>
            </w:r>
            <w:r w:rsidR="00062545" w:rsidRPr="003A7614">
              <w:t>sponsor</w:t>
            </w:r>
            <w:r w:rsidRPr="003A7614">
              <w:t xml:space="preserve"> does not clarify the method of assessment of practitioners completing the training programme. It is recommended that the </w:t>
            </w:r>
            <w:r w:rsidR="00062545" w:rsidRPr="003A7614">
              <w:t>sponsor</w:t>
            </w:r>
            <w:r w:rsidRPr="003A7614">
              <w:t xml:space="preserve"> clarify how Australian prescribers who participate in the educat</w:t>
            </w:r>
            <w:r w:rsidR="00481E45">
              <w:t>ion programme will be assessed.</w:t>
            </w:r>
          </w:p>
          <w:p w:rsidR="009A26E2" w:rsidRPr="003A7614" w:rsidRDefault="009A26E2" w:rsidP="00DF3CFF">
            <w:pPr>
              <w:ind w:left="0" w:right="34"/>
            </w:pPr>
            <w:r w:rsidRPr="003A7614">
              <w:t xml:space="preserve">In light of the difference in proposed indication for MS-2 Step compared to its component products, the effectiveness of the updated MS-2 Step educational materials should be evaluated. The </w:t>
            </w:r>
            <w:r w:rsidR="00062545" w:rsidRPr="003A7614">
              <w:t>sponsor</w:t>
            </w:r>
            <w:r w:rsidRPr="003A7614">
              <w:t xml:space="preserve"> is requested to clarify the methods that will be used to achieve this and the expected timelines/milestones for this process.</w:t>
            </w:r>
          </w:p>
          <w:p w:rsidR="009A26E2" w:rsidRPr="003A7614" w:rsidRDefault="009A26E2" w:rsidP="00481E45">
            <w:pPr>
              <w:ind w:left="0" w:right="34"/>
            </w:pPr>
            <w:r w:rsidRPr="003A7614">
              <w:t xml:space="preserve">Healthcare professionals are directed to the MS Health Website for the healthcare practitioner training </w:t>
            </w:r>
            <w:r w:rsidR="00481E45">
              <w:t>&lt;</w:t>
            </w:r>
            <w:hyperlink r:id="rId16" w:history="1">
              <w:r w:rsidRPr="003A7614">
                <w:rPr>
                  <w:rStyle w:val="Hyperlink"/>
                  <w:rFonts w:asciiTheme="minorHAnsi" w:hAnsiTheme="minorHAnsi"/>
                  <w:sz w:val="20"/>
                  <w:szCs w:val="20"/>
                </w:rPr>
                <w:t>www.mshealth.com.au</w:t>
              </w:r>
            </w:hyperlink>
            <w:r w:rsidR="00481E45">
              <w:t>&gt;</w:t>
            </w:r>
            <w:r w:rsidRPr="003A7614">
              <w:t xml:space="preserve">. However, the </w:t>
            </w:r>
            <w:r w:rsidR="00062545" w:rsidRPr="003A7614">
              <w:t>sponsor</w:t>
            </w:r>
            <w:r w:rsidRPr="003A7614">
              <w:t xml:space="preserve"> has not provided the TGA with access to the online training, or provided screenshots of this training programme within the RMP. It is recommended that the sponsor clarify that the content of the online training is exactly the same as that provided in the training manual. Ideally, the RMP should contain screenshots of the proposed online training to ensure consistency with future evaluations and updates.</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062545" w:rsidRPr="003A7614" w:rsidRDefault="009A26E2" w:rsidP="00DF3CFF">
            <w:pPr>
              <w:ind w:left="0" w:right="34"/>
            </w:pPr>
            <w:r w:rsidRPr="003A7614">
              <w:lastRenderedPageBreak/>
              <w:t xml:space="preserve">The </w:t>
            </w:r>
            <w:r w:rsidR="00062545" w:rsidRPr="003A7614">
              <w:t>sponsor</w:t>
            </w:r>
            <w:r w:rsidRPr="003A7614">
              <w:t xml:space="preserve"> confirms that the points have been taken into account in the revised Medical Education Programme</w:t>
            </w:r>
            <w:r w:rsidR="00A80138" w:rsidRPr="003A7614">
              <w:t xml:space="preserve">.  </w:t>
            </w:r>
            <w:r w:rsidRPr="003A7614">
              <w:t xml:space="preserve"> The Medical Education Programme has been reviewed and updated to remove inconsistencies when referring to MS-2 Step</w:t>
            </w:r>
            <w:r w:rsidR="0084552F" w:rsidRPr="003A7614">
              <w:t>.</w:t>
            </w:r>
          </w:p>
          <w:p w:rsidR="00062545" w:rsidRPr="003A7614" w:rsidRDefault="009A26E2" w:rsidP="00DF3CFF">
            <w:pPr>
              <w:ind w:left="0" w:right="34"/>
            </w:pPr>
            <w:r w:rsidRPr="003A7614">
              <w:t xml:space="preserve">The difference in the indication for </w:t>
            </w:r>
            <w:r w:rsidR="0084552F" w:rsidRPr="003A7614">
              <w:t>MS-2 Step</w:t>
            </w:r>
            <w:r w:rsidRPr="003A7614">
              <w:t xml:space="preserve"> and the </w:t>
            </w:r>
            <w:r w:rsidR="0084552F" w:rsidRPr="003A7614">
              <w:t xml:space="preserve">mifepristone </w:t>
            </w:r>
            <w:proofErr w:type="spellStart"/>
            <w:r w:rsidR="0084552F" w:rsidRPr="003A7614">
              <w:t>mono</w:t>
            </w:r>
            <w:r w:rsidRPr="003A7614">
              <w:t>product</w:t>
            </w:r>
            <w:proofErr w:type="spellEnd"/>
            <w:r w:rsidRPr="003A7614">
              <w:t xml:space="preserve"> has been clearly articulated within the amend</w:t>
            </w:r>
            <w:r w:rsidR="00481E45">
              <w:t>ed Medical Education Programme.</w:t>
            </w:r>
          </w:p>
          <w:p w:rsidR="00062545" w:rsidRPr="003A7614" w:rsidRDefault="009A26E2" w:rsidP="00DF3CFF">
            <w:pPr>
              <w:ind w:left="0" w:right="34"/>
            </w:pPr>
            <w:r w:rsidRPr="003A7614">
              <w:t xml:space="preserve">A Statement confirming that </w:t>
            </w:r>
            <w:r w:rsidR="0084552F" w:rsidRPr="003A7614">
              <w:t>MS-2 Step</w:t>
            </w:r>
            <w:r w:rsidRPr="003A7614">
              <w:t xml:space="preserve"> is not indicated for medical termination of pregnancy beyond 63 days of gestation has been added to t</w:t>
            </w:r>
            <w:r w:rsidR="00481E45">
              <w:t>he Medical Education Programme.</w:t>
            </w:r>
          </w:p>
          <w:p w:rsidR="009A26E2" w:rsidRPr="003A7614" w:rsidRDefault="009A26E2" w:rsidP="00DF3CFF">
            <w:pPr>
              <w:ind w:left="0" w:right="34"/>
            </w:pPr>
            <w:r w:rsidRPr="003A7614">
              <w:t xml:space="preserve">The method of assessment is </w:t>
            </w:r>
            <w:r w:rsidRPr="003A7614">
              <w:lastRenderedPageBreak/>
              <w:t xml:space="preserve">clearly defined within the training programme (refer to the copy of the training information provided in </w:t>
            </w:r>
            <w:r w:rsidR="00481E45">
              <w:t>Appendix 5 to the revised RMP).</w:t>
            </w:r>
          </w:p>
          <w:p w:rsidR="009A26E2" w:rsidRPr="003A7614" w:rsidRDefault="009A26E2" w:rsidP="00DF3CFF">
            <w:pPr>
              <w:ind w:left="0" w:right="34"/>
            </w:pPr>
            <w:r w:rsidRPr="003A7614">
              <w:t>The content of the online Medical Education Programme is derived from the Medical Education Training Manual. The updated Medical Education Training Programme and Manual are provided as Appendix 5 of the revised RMP.</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062545" w:rsidRPr="003A7614" w:rsidRDefault="009A26E2" w:rsidP="00DF3CFF">
            <w:pPr>
              <w:ind w:left="0" w:right="34"/>
            </w:pPr>
            <w:r w:rsidRPr="003A7614">
              <w:lastRenderedPageBreak/>
              <w:t xml:space="preserve">This </w:t>
            </w:r>
            <w:r w:rsidR="00796A99" w:rsidRPr="003A7614">
              <w:t>was</w:t>
            </w:r>
            <w:r w:rsidRPr="003A7614">
              <w:t xml:space="preserve"> only partially acceptable.</w:t>
            </w:r>
          </w:p>
          <w:p w:rsidR="009A26E2" w:rsidRPr="003A7614" w:rsidRDefault="009A26E2" w:rsidP="00481E45">
            <w:pPr>
              <w:ind w:left="0" w:right="34"/>
            </w:pPr>
            <w:r w:rsidRPr="003A7614">
              <w:t>The Medical Education Programme still c</w:t>
            </w:r>
            <w:r w:rsidR="00481E45">
              <w:t>ontains internal inconsistency.</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lastRenderedPageBreak/>
              <w:t>Patient Information Sheet and Consent Form:</w:t>
            </w:r>
          </w:p>
          <w:p w:rsidR="009A26E2" w:rsidRPr="003A7614" w:rsidRDefault="009A26E2" w:rsidP="00DF3CFF">
            <w:pPr>
              <w:ind w:left="0" w:right="34"/>
            </w:pPr>
            <w:r w:rsidRPr="003A7614">
              <w:t xml:space="preserve">Section three: How to take the medicines contained within MS-2 Step: This section may be confusing to consumers regarding the important difference in the misoprostol administration method for terminations after 50 days gestation. It is recommended that this section be restructured to improve clarity. For example the two methods of administration should be listed as </w:t>
            </w:r>
            <w:r w:rsidRPr="003A7614">
              <w:lastRenderedPageBreak/>
              <w:t>alternatives, with an option for the prescribing doctor to circle/tick box the correct method for the individual patient. In light of patients performing these steps days after receiving medical instructions from their doctor and without medical supervision, it is important that patients have a clear memory aid regarding their prescribed administration method.</w:t>
            </w:r>
            <w:r w:rsidR="00020AC5" w:rsidRPr="003A7614">
              <w:t xml:space="preserve"> See table footnote</w:t>
            </w:r>
            <w:r w:rsidR="00771112" w:rsidRPr="003A7614">
              <w:t>*</w:t>
            </w:r>
            <w:r w:rsidR="00020AC5" w:rsidRPr="003A7614">
              <w:t xml:space="preserve"> below.</w:t>
            </w:r>
          </w:p>
          <w:p w:rsidR="009A26E2" w:rsidRPr="003A7614" w:rsidRDefault="009A26E2" w:rsidP="00DF3CFF">
            <w:pPr>
              <w:ind w:left="0" w:right="34"/>
            </w:pPr>
            <w:r w:rsidRPr="003A7614">
              <w:t>The patient information sheet does not direct patients to their local emergency department for emergency care. A statement to this effect is recommended (please note, this was also raised in earlier evaluations but remains unchanged).</w:t>
            </w:r>
          </w:p>
          <w:p w:rsidR="009A26E2" w:rsidRPr="003A7614" w:rsidRDefault="009A26E2" w:rsidP="00DF3CFF">
            <w:pPr>
              <w:ind w:left="0" w:right="34"/>
            </w:pPr>
            <w:r w:rsidRPr="003A7614">
              <w:t xml:space="preserve">The consent form shown in Section 7 does not address </w:t>
            </w:r>
            <w:proofErr w:type="gramStart"/>
            <w:r w:rsidRPr="003A7614">
              <w:t>minor’s</w:t>
            </w:r>
            <w:proofErr w:type="gramEnd"/>
            <w:r w:rsidRPr="003A7614">
              <w:t xml:space="preserve"> and “mature minor’s”.</w:t>
            </w:r>
          </w:p>
          <w:p w:rsidR="009A26E2" w:rsidRPr="003A7614" w:rsidRDefault="009A26E2" w:rsidP="00DF3CFF">
            <w:pPr>
              <w:ind w:left="0" w:right="34"/>
            </w:pPr>
            <w:r w:rsidRPr="003A7614">
              <w:t xml:space="preserve">It is recommended that the Patient Information Sheet and Consent Form contain a space for physicians to record the follow up appointment time/date under </w:t>
            </w:r>
            <w:r w:rsidR="00481E45">
              <w:t>Section Six titled “Follow up”.</w:t>
            </w:r>
          </w:p>
          <w:p w:rsidR="009A26E2" w:rsidRPr="003A7614" w:rsidRDefault="009A26E2" w:rsidP="00DF3CFF">
            <w:pPr>
              <w:ind w:left="0" w:right="34"/>
            </w:pPr>
            <w:r w:rsidRPr="003A7614">
              <w:t xml:space="preserve">In light of the new combination pack and differences in administration methods for MS -2 Step depending on gestational </w:t>
            </w:r>
            <w:proofErr w:type="gramStart"/>
            <w:r w:rsidRPr="003A7614">
              <w:t>age,</w:t>
            </w:r>
            <w:proofErr w:type="gramEnd"/>
            <w:r w:rsidRPr="003A7614">
              <w:t xml:space="preserve"> the effectiveness of this updated form should be evaluated. It is recommended that the sponsor provide details of how this will be achieved.</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481E45">
            <w:pPr>
              <w:ind w:left="0" w:right="34"/>
            </w:pPr>
            <w:r w:rsidRPr="003A7614">
              <w:lastRenderedPageBreak/>
              <w:t xml:space="preserve">The </w:t>
            </w:r>
            <w:r w:rsidR="00062545" w:rsidRPr="003A7614">
              <w:t>sponsor</w:t>
            </w:r>
            <w:r w:rsidRPr="003A7614">
              <w:t xml:space="preserve"> confirms that the above points have been taken into account in the revised Patient Info</w:t>
            </w:r>
            <w:r w:rsidR="00481E45">
              <w:t>rmation Sheet and Consent Form.</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This is acceptable</w:t>
            </w:r>
            <w:r w:rsidR="00D35908">
              <w:t>.</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lastRenderedPageBreak/>
              <w:t>MS-2 Step CMI Instruction Insert</w:t>
            </w:r>
          </w:p>
          <w:p w:rsidR="009A26E2" w:rsidRPr="003A7614" w:rsidRDefault="009A26E2" w:rsidP="00DF3CFF">
            <w:pPr>
              <w:ind w:left="0" w:right="34"/>
            </w:pPr>
            <w:r w:rsidRPr="003A7614">
              <w:t>The MS-2 Step CMI instruction insert does not mention the importance of medical follow up after completion of treatment, regardless of the presence of adverse events. The statement placed on the instruction insert states “If you have any questions please contact your doctor, or the MS-2 Step 24-hour Nurse Aftercare Telephone Service...</w:t>
            </w:r>
            <w:proofErr w:type="gramStart"/>
            <w:r w:rsidRPr="003A7614">
              <w:t>”.</w:t>
            </w:r>
            <w:proofErr w:type="gramEnd"/>
            <w:r w:rsidR="00062545" w:rsidRPr="003A7614">
              <w:t xml:space="preserve"> </w:t>
            </w:r>
            <w:r w:rsidRPr="003A7614">
              <w:t xml:space="preserve">Although the prescribing doctor is likely to discuss follow-up and make the appropriate appointments for the patient, this statement at the end of treatment may imply that medical follow is only required if they have questions. It is recommended that a statement be added after the purple “Step 2” section regarding the importance </w:t>
            </w:r>
            <w:r w:rsidRPr="003A7614">
              <w:lastRenderedPageBreak/>
              <w:t>of seeing a doctor after taking MS-2 Step to ensure that the therapy has been effective.</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481E45">
            <w:pPr>
              <w:ind w:left="0" w:right="34"/>
            </w:pPr>
            <w:r w:rsidRPr="003A7614">
              <w:lastRenderedPageBreak/>
              <w:t xml:space="preserve">The </w:t>
            </w:r>
            <w:r w:rsidR="00062545" w:rsidRPr="003A7614">
              <w:t>sponsor</w:t>
            </w:r>
            <w:r w:rsidRPr="003A7614">
              <w:t xml:space="preserve"> confirms these changes have been made</w:t>
            </w:r>
            <w:r w:rsidR="00481E45">
              <w:t xml:space="preserve"> to the CMI Instruction Insert.</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This </w:t>
            </w:r>
            <w:r w:rsidR="000F6124" w:rsidRPr="003A7614">
              <w:t>was</w:t>
            </w:r>
            <w:r w:rsidRPr="003A7614">
              <w:t xml:space="preserve"> acceptable</w:t>
            </w:r>
            <w:r w:rsidR="00D35908">
              <w:t>.</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lastRenderedPageBreak/>
              <w:t>In regard to the proposed routine risk minimisation activities, the Delegate may wish to revise the draft product information document as follows:</w:t>
            </w:r>
          </w:p>
          <w:p w:rsidR="009A26E2" w:rsidRPr="003A7614" w:rsidRDefault="009A26E2" w:rsidP="00DF3CFF">
            <w:pPr>
              <w:ind w:left="0" w:right="34"/>
            </w:pPr>
            <w:r w:rsidRPr="003A7614">
              <w:t>Under “Use in pregnancy”, the wording should be strengthened regarding the importance of counselling women on the risk of postnatal developmental delay, should the patient wish to continue with her pregnancy after exposure to MS-2 Step.</w:t>
            </w:r>
          </w:p>
          <w:p w:rsidR="009A26E2" w:rsidRPr="003A7614" w:rsidRDefault="009A26E2" w:rsidP="00DF3CFF">
            <w:pPr>
              <w:ind w:left="0" w:right="34"/>
            </w:pPr>
            <w:r w:rsidRPr="003A7614">
              <w:t>Under “Dosage and Administration” a statement should be added to the effect of “doses higher than 200mg should not be given”.</w:t>
            </w:r>
          </w:p>
          <w:p w:rsidR="009A26E2" w:rsidRPr="003A7614" w:rsidRDefault="009A26E2" w:rsidP="00DF3CFF">
            <w:pPr>
              <w:ind w:left="0" w:right="34"/>
            </w:pPr>
            <w:r w:rsidRPr="003A7614">
              <w:t>Under “Dosage and administration”, an additional section should be added to the effect of “before prescribing MS-2Step”. This section should list the important preparation steps of identifying gestational age, rhesus status, STI screening, prophylactic antibiotics, pain management, completing the informed consent process, advising on the importance of follow up and ensuring that the patient has received the Patient Information Sheet.</w:t>
            </w:r>
          </w:p>
          <w:p w:rsidR="009A26E2" w:rsidRPr="003A7614" w:rsidRDefault="009A26E2" w:rsidP="00DF3CFF">
            <w:pPr>
              <w:ind w:left="0" w:right="34"/>
            </w:pPr>
            <w:r w:rsidRPr="003A7614">
              <w:t xml:space="preserve">Under “Precautions” a statement should be added to the effect of “uterine </w:t>
            </w:r>
            <w:proofErr w:type="spellStart"/>
            <w:r w:rsidRPr="003A7614">
              <w:t>hyperstimulation</w:t>
            </w:r>
            <w:proofErr w:type="spellEnd"/>
            <w:r w:rsidRPr="003A7614">
              <w:t xml:space="preserve"> and rupture have been reported with the use of misoprostol beyond the first trimester when a much lower dosage of </w:t>
            </w:r>
            <w:proofErr w:type="spellStart"/>
            <w:r w:rsidRPr="003A7614">
              <w:t>misoprosotol</w:t>
            </w:r>
            <w:proofErr w:type="spellEnd"/>
            <w:r w:rsidRPr="003A7614">
              <w:t xml:space="preserve"> may be required to induce abortion”. This is important to clarify in light of the conflicting approved indications of the </w:t>
            </w:r>
            <w:r w:rsidR="00481E45">
              <w:t>component products of MS-2 Step.</w:t>
            </w:r>
          </w:p>
          <w:p w:rsidR="009A26E2" w:rsidRPr="003A7614" w:rsidRDefault="009A26E2" w:rsidP="00DF3CFF">
            <w:pPr>
              <w:ind w:left="0" w:right="34"/>
            </w:pPr>
            <w:r w:rsidRPr="003A7614">
              <w:t xml:space="preserve">Under “Adverse Effects” the </w:t>
            </w:r>
            <w:r w:rsidR="00062545" w:rsidRPr="003A7614">
              <w:t>Delegate</w:t>
            </w:r>
            <w:r w:rsidRPr="003A7614">
              <w:t xml:space="preserve"> may wish to consider if this section should be re-structured.</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The </w:t>
            </w:r>
            <w:r w:rsidR="00062545" w:rsidRPr="003A7614">
              <w:t>sponsor</w:t>
            </w:r>
            <w:r w:rsidRPr="003A7614">
              <w:t xml:space="preserve"> confirms that the points in the first 4 bullets shown above can be included in the respective revised CMIs, pending the decision of the Delegate in the Delegate’s Overview (refer to instructions in the RM</w:t>
            </w:r>
            <w:r w:rsidR="00481E45">
              <w:t>P Report, Section 11, page 29).</w:t>
            </w:r>
          </w:p>
          <w:p w:rsidR="009A26E2" w:rsidRPr="003A7614" w:rsidRDefault="009A26E2" w:rsidP="00DF3CFF">
            <w:pPr>
              <w:ind w:left="0" w:right="34"/>
            </w:pPr>
            <w:r w:rsidRPr="003A7614">
              <w:t>As per discussion with TGA at the 26 November 2013 meeting, the option in bullet 5 to change the format of the tabulation of the Adverse Effects has been agreed, and is already included in the revised PI.</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481E45">
            <w:pPr>
              <w:ind w:left="0" w:right="34"/>
            </w:pPr>
            <w:r w:rsidRPr="003A7614">
              <w:t xml:space="preserve">This </w:t>
            </w:r>
            <w:r w:rsidR="000F6124" w:rsidRPr="003A7614">
              <w:t>was</w:t>
            </w:r>
            <w:r w:rsidRPr="003A7614">
              <w:t xml:space="preserve"> acceptable</w:t>
            </w:r>
            <w:r w:rsidR="00D35908">
              <w:t>.</w:t>
            </w:r>
          </w:p>
        </w:tc>
      </w:tr>
      <w:tr w:rsidR="009A26E2" w:rsidRPr="00F2735F" w:rsidTr="000260D6">
        <w:trPr>
          <w:jc w:val="center"/>
        </w:trPr>
        <w:tc>
          <w:tcPr>
            <w:tcW w:w="227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In regard to the proposed routine risk minimisation activities, it is recommended to the Delegate that the draft consumer medicine information document be revised as follows:</w:t>
            </w:r>
          </w:p>
          <w:p w:rsidR="009A26E2" w:rsidRPr="003A7614" w:rsidRDefault="009A26E2" w:rsidP="00DF3CFF">
            <w:pPr>
              <w:ind w:left="0" w:right="34"/>
            </w:pPr>
            <w:r w:rsidRPr="003A7614">
              <w:t xml:space="preserve">The section “How to take misoprostol” </w:t>
            </w:r>
            <w:r w:rsidRPr="003A7614">
              <w:lastRenderedPageBreak/>
              <w:t>should be re-structured.</w:t>
            </w:r>
            <w:r w:rsidR="00020AC5" w:rsidRPr="003A7614">
              <w:t xml:space="preserve"> See table footnote</w:t>
            </w:r>
            <w:r w:rsidR="00BD6788" w:rsidRPr="003A7614">
              <w:t>*</w:t>
            </w:r>
            <w:r w:rsidR="00020AC5" w:rsidRPr="003A7614">
              <w:t xml:space="preserve"> below.</w:t>
            </w:r>
          </w:p>
          <w:p w:rsidR="009A26E2" w:rsidRPr="003A7614" w:rsidRDefault="009A26E2" w:rsidP="00DF3CFF">
            <w:pPr>
              <w:ind w:left="0" w:right="34"/>
            </w:pPr>
            <w:r w:rsidRPr="003A7614">
              <w:t xml:space="preserve">The CMI for both Mifepristone </w:t>
            </w:r>
            <w:proofErr w:type="spellStart"/>
            <w:r w:rsidRPr="003A7614">
              <w:t>Linepharma</w:t>
            </w:r>
            <w:proofErr w:type="spellEnd"/>
            <w:r w:rsidRPr="003A7614">
              <w:t xml:space="preserve"> and </w:t>
            </w:r>
            <w:proofErr w:type="spellStart"/>
            <w:r w:rsidR="00052E21" w:rsidRPr="003A7614">
              <w:t>GyMiso</w:t>
            </w:r>
            <w:proofErr w:type="spellEnd"/>
            <w:r w:rsidR="00052E21" w:rsidRPr="003A7614">
              <w:t>®</w:t>
            </w:r>
            <w:r w:rsidRPr="003A7614">
              <w:t xml:space="preserve"> should have a statement added to the Section titled “After being given the mifepristone tablet/misoprostol” regarding the important of medical follow-up after taking mifepristone/misoprostol regardless of adverse events.</w:t>
            </w:r>
          </w:p>
          <w:p w:rsidR="009A26E2" w:rsidRPr="003A7614" w:rsidRDefault="009A26E2" w:rsidP="00DF3CFF">
            <w:pPr>
              <w:ind w:left="0" w:right="34"/>
            </w:pPr>
            <w:r w:rsidRPr="003A7614">
              <w:t xml:space="preserve">If the </w:t>
            </w:r>
            <w:r w:rsidR="00062545" w:rsidRPr="003A7614">
              <w:t>Delegate</w:t>
            </w:r>
            <w:r w:rsidRPr="003A7614">
              <w:t xml:space="preserve"> wishes to make any changes to the product information, the CMI should be updated accordingly.</w:t>
            </w:r>
          </w:p>
        </w:tc>
        <w:tc>
          <w:tcPr>
            <w:tcW w:w="164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lastRenderedPageBreak/>
              <w:t xml:space="preserve">The </w:t>
            </w:r>
            <w:r w:rsidR="00062545" w:rsidRPr="003A7614">
              <w:t>sponsor</w:t>
            </w:r>
            <w:r w:rsidRPr="003A7614">
              <w:t xml:space="preserve"> confirms that the </w:t>
            </w:r>
            <w:r w:rsidR="00A647AE" w:rsidRPr="003A7614">
              <w:t>revisions</w:t>
            </w:r>
            <w:r w:rsidRPr="003A7614">
              <w:t xml:space="preserve"> can be included in the respective revised CMIs, pending the decision of the Delegate in the Delegate’s Overview).</w:t>
            </w:r>
          </w:p>
        </w:tc>
        <w:tc>
          <w:tcPr>
            <w:tcW w:w="1077"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9A26E2" w:rsidRPr="003A7614" w:rsidRDefault="009A26E2" w:rsidP="00DF3CFF">
            <w:pPr>
              <w:ind w:left="0" w:right="34"/>
            </w:pPr>
            <w:r w:rsidRPr="003A7614">
              <w:t xml:space="preserve">This </w:t>
            </w:r>
            <w:r w:rsidR="007E159C" w:rsidRPr="003A7614">
              <w:t>was</w:t>
            </w:r>
            <w:r w:rsidRPr="003A7614">
              <w:t xml:space="preserve"> acceptable</w:t>
            </w:r>
            <w:r w:rsidR="00D35908">
              <w:t>.</w:t>
            </w:r>
          </w:p>
        </w:tc>
      </w:tr>
    </w:tbl>
    <w:p w:rsidR="00020AC5" w:rsidRPr="000260D6" w:rsidRDefault="00365337" w:rsidP="00481E45">
      <w:pPr>
        <w:pStyle w:val="TableDescription"/>
        <w:rPr>
          <w:rFonts w:asciiTheme="minorHAnsi" w:hAnsiTheme="minorHAnsi"/>
        </w:rPr>
      </w:pPr>
      <w:r w:rsidRPr="000260D6">
        <w:rPr>
          <w:rFonts w:asciiTheme="minorHAnsi" w:hAnsiTheme="minorHAnsi"/>
          <w:lang w:eastAsia="en-AU"/>
        </w:rPr>
        <w:lastRenderedPageBreak/>
        <w:t xml:space="preserve">* </w:t>
      </w:r>
      <w:r w:rsidR="00020AC5" w:rsidRPr="000260D6">
        <w:t xml:space="preserve">The route of administration for </w:t>
      </w:r>
      <w:proofErr w:type="spellStart"/>
      <w:r w:rsidR="00020AC5" w:rsidRPr="000260D6">
        <w:t>GyMiso</w:t>
      </w:r>
      <w:proofErr w:type="spellEnd"/>
      <w:r w:rsidR="00020AC5" w:rsidRPr="000260D6">
        <w:t xml:space="preserve">® 800 micrograms of misoprostol (4 tablets, each tablet containing 200 micrograms) was altered to be </w:t>
      </w:r>
      <w:proofErr w:type="spellStart"/>
      <w:r w:rsidR="00020AC5" w:rsidRPr="000260D6">
        <w:t>buccally</w:t>
      </w:r>
      <w:proofErr w:type="spellEnd"/>
      <w:r w:rsidR="00020AC5" w:rsidRPr="000260D6">
        <w:t xml:space="preserve"> (that is,</w:t>
      </w:r>
      <w:r w:rsidR="003D52B2" w:rsidRPr="000260D6">
        <w:t xml:space="preserve"> </w:t>
      </w:r>
      <w:r w:rsidR="00020AC5" w:rsidRPr="000260D6">
        <w:t>kept between the cheek and the gum for 30 minutes before any fragments being swallowed with water) for medical termination of developing intra-uterine pregnancy up to 63 days of gestation (that is, not different for intra-uterine pregnancies up to 49 days and 50-69 days).</w:t>
      </w:r>
    </w:p>
    <w:p w:rsidR="000E552D" w:rsidRPr="00792A32" w:rsidRDefault="000E552D" w:rsidP="002B605C">
      <w:pPr>
        <w:pStyle w:val="Heading2"/>
      </w:pPr>
      <w:bookmarkStart w:id="60" w:name="_Toc403987317"/>
      <w:r>
        <w:t xml:space="preserve">VI. </w:t>
      </w:r>
      <w:r w:rsidRPr="00792A32">
        <w:t xml:space="preserve">Overall </w:t>
      </w:r>
      <w:r w:rsidRPr="002B605C">
        <w:t>conclusion</w:t>
      </w:r>
      <w:r w:rsidRPr="00792A32">
        <w:t xml:space="preserve"> and </w:t>
      </w:r>
      <w:r>
        <w:t>r</w:t>
      </w:r>
      <w:r w:rsidRPr="00792A32">
        <w:t>isk/</w:t>
      </w:r>
      <w:r>
        <w:t>b</w:t>
      </w:r>
      <w:r w:rsidRPr="00792A32">
        <w:t xml:space="preserve">enefit </w:t>
      </w:r>
      <w:r>
        <w:t>a</w:t>
      </w:r>
      <w:r w:rsidRPr="00792A32">
        <w:t>ssessment</w:t>
      </w:r>
      <w:bookmarkEnd w:id="60"/>
    </w:p>
    <w:p w:rsidR="000E552D" w:rsidRDefault="000E552D" w:rsidP="002B605C">
      <w:r>
        <w:t xml:space="preserve">The submission was summarised in the following </w:t>
      </w:r>
      <w:r w:rsidRPr="00EF5C48">
        <w:t xml:space="preserve">Delegate’s </w:t>
      </w:r>
      <w:r>
        <w:t>overview</w:t>
      </w:r>
      <w:r w:rsidRPr="00EF5C48">
        <w:t xml:space="preserve"> and recommendation</w:t>
      </w:r>
      <w:r>
        <w:t>s:</w:t>
      </w:r>
    </w:p>
    <w:p w:rsidR="000E552D" w:rsidRDefault="000E552D" w:rsidP="002B605C">
      <w:pPr>
        <w:pStyle w:val="Heading3"/>
      </w:pPr>
      <w:bookmarkStart w:id="61" w:name="_Toc403987318"/>
      <w:r>
        <w:t>Quality</w:t>
      </w:r>
      <w:bookmarkEnd w:id="61"/>
    </w:p>
    <w:p w:rsidR="000E552D" w:rsidRDefault="000E552D" w:rsidP="002B605C">
      <w:r>
        <w:t>There was no requirement for a quality evaluation in a submission of this type.</w:t>
      </w:r>
    </w:p>
    <w:p w:rsidR="000E552D" w:rsidRDefault="000E552D" w:rsidP="002B605C">
      <w:pPr>
        <w:pStyle w:val="Heading3"/>
      </w:pPr>
      <w:bookmarkStart w:id="62" w:name="_Toc403987319"/>
      <w:r>
        <w:t>Nonclinical</w:t>
      </w:r>
      <w:bookmarkEnd w:id="62"/>
    </w:p>
    <w:p w:rsidR="000E552D" w:rsidRDefault="000E552D" w:rsidP="002B605C">
      <w:r>
        <w:t>There was no requirement for a nonclinical evaluation in a submission of this type.</w:t>
      </w:r>
    </w:p>
    <w:p w:rsidR="000E552D" w:rsidRDefault="000E552D" w:rsidP="002B605C">
      <w:pPr>
        <w:pStyle w:val="Heading3"/>
      </w:pPr>
      <w:bookmarkStart w:id="63" w:name="_Toc403987320"/>
      <w:r>
        <w:t>Clinical</w:t>
      </w:r>
      <w:bookmarkEnd w:id="63"/>
    </w:p>
    <w:p w:rsidR="00A85B6A" w:rsidRPr="001E3F0E" w:rsidRDefault="00A85B6A" w:rsidP="002B605C">
      <w:pPr>
        <w:pStyle w:val="Heading4"/>
      </w:pPr>
      <w:bookmarkStart w:id="64" w:name="_Toc389470323"/>
      <w:bookmarkStart w:id="65" w:name="_Toc403987321"/>
      <w:r w:rsidRPr="001E3F0E">
        <w:t>Pharmacokinetic study</w:t>
      </w:r>
      <w:bookmarkEnd w:id="64"/>
      <w:bookmarkEnd w:id="65"/>
    </w:p>
    <w:p w:rsidR="00A85B6A" w:rsidRPr="001E3F0E" w:rsidRDefault="00A85B6A" w:rsidP="002B605C">
      <w:r w:rsidRPr="001E3F0E">
        <w:t>Study MCPK12001J1 was a 3-way (oral versus sublingual versus buccal) cross-over study</w:t>
      </w:r>
      <w:r w:rsidR="002B605C">
        <w:t xml:space="preserve"> conducted in 10 healthy women.</w:t>
      </w:r>
    </w:p>
    <w:p w:rsidR="00A85B6A" w:rsidRPr="002B605C" w:rsidRDefault="00A85B6A" w:rsidP="002B605C">
      <w:pPr>
        <w:pStyle w:val="TableTitle"/>
      </w:pPr>
      <w:proofErr w:type="gramStart"/>
      <w:r>
        <w:lastRenderedPageBreak/>
        <w:t>Table 3.</w:t>
      </w:r>
      <w:proofErr w:type="gramEnd"/>
      <w:r>
        <w:t xml:space="preserve"> Concentration-time profile</w:t>
      </w:r>
    </w:p>
    <w:p w:rsidR="00A85B6A" w:rsidRPr="00A85B6A" w:rsidRDefault="00A85B6A" w:rsidP="002B605C">
      <w:r>
        <w:rPr>
          <w:noProof/>
          <w:lang w:eastAsia="en-AU"/>
        </w:rPr>
        <w:drawing>
          <wp:inline distT="0" distB="0" distL="0" distR="0" wp14:anchorId="0C91EA1A" wp14:editId="54CE9A52">
            <wp:extent cx="5400136" cy="3105510"/>
            <wp:effectExtent l="0" t="0" r="0" b="0"/>
            <wp:docPr id="3" name="Picture 3" descr="Table 3. Concentration-time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5406" b="6137"/>
                    <a:stretch/>
                  </pic:blipFill>
                  <pic:spPr bwMode="auto">
                    <a:xfrm>
                      <a:off x="0" y="0"/>
                      <a:ext cx="5401310" cy="3106185"/>
                    </a:xfrm>
                    <a:prstGeom prst="rect">
                      <a:avLst/>
                    </a:prstGeom>
                    <a:noFill/>
                    <a:ln>
                      <a:noFill/>
                    </a:ln>
                    <a:extLst>
                      <a:ext uri="{53640926-AAD7-44D8-BBD7-CCE9431645EC}">
                        <a14:shadowObscured xmlns:a14="http://schemas.microsoft.com/office/drawing/2010/main"/>
                      </a:ext>
                    </a:extLst>
                  </pic:spPr>
                </pic:pic>
              </a:graphicData>
            </a:graphic>
          </wp:inline>
        </w:drawing>
      </w:r>
    </w:p>
    <w:p w:rsidR="00A85B6A" w:rsidRPr="00A85B6A" w:rsidRDefault="00A85B6A" w:rsidP="002B605C">
      <w:bookmarkStart w:id="66" w:name="_Toc389470122"/>
      <w:bookmarkStart w:id="67" w:name="_Toc389470324"/>
      <w:bookmarkStart w:id="68" w:name="_Toc390163098"/>
      <w:r w:rsidRPr="001E3F0E">
        <w:t>The study found statistically significant differences (p &lt; 0.05) between</w:t>
      </w:r>
      <w:r w:rsidR="00062545" w:rsidRPr="001E3F0E">
        <w:t xml:space="preserve"> </w:t>
      </w:r>
      <w:r w:rsidRPr="001E3F0E">
        <w:t>the 3 routes of administration for the log-transformed</w:t>
      </w:r>
      <w:r w:rsidRPr="00A85B6A">
        <w:t xml:space="preserve"> AUC</w:t>
      </w:r>
      <w:r w:rsidRPr="00A85B6A">
        <w:rPr>
          <w:vertAlign w:val="subscript"/>
        </w:rPr>
        <w:t>0_t</w:t>
      </w:r>
      <w:r w:rsidRPr="00A85B6A">
        <w:t xml:space="preserve">, </w:t>
      </w:r>
      <w:proofErr w:type="spellStart"/>
      <w:r w:rsidRPr="00A85B6A">
        <w:t>AUC</w:t>
      </w:r>
      <w:r w:rsidRPr="00A85B6A">
        <w:rPr>
          <w:vertAlign w:val="subscript"/>
        </w:rPr>
        <w:t>o</w:t>
      </w:r>
      <w:proofErr w:type="spellEnd"/>
      <w:r w:rsidRPr="00A85B6A">
        <w:rPr>
          <w:vertAlign w:val="subscript"/>
        </w:rPr>
        <w:t>-∞</w:t>
      </w:r>
      <w:r w:rsidRPr="00A85B6A">
        <w:t xml:space="preserve"> and </w:t>
      </w:r>
      <w:proofErr w:type="spellStart"/>
      <w:r w:rsidRPr="00A85B6A">
        <w:t>C</w:t>
      </w:r>
      <w:r w:rsidRPr="00A85B6A">
        <w:rPr>
          <w:vertAlign w:val="subscript"/>
        </w:rPr>
        <w:t>max</w:t>
      </w:r>
      <w:proofErr w:type="spellEnd"/>
      <w:r w:rsidRPr="00A85B6A">
        <w:t>. Sublingual administration of misoprostol resulted in a higher exposure (AUC</w:t>
      </w:r>
      <w:r w:rsidRPr="00A85B6A">
        <w:rPr>
          <w:vertAlign w:val="subscript"/>
        </w:rPr>
        <w:t>0_t</w:t>
      </w:r>
      <w:r w:rsidRPr="00A85B6A">
        <w:t xml:space="preserve">, </w:t>
      </w:r>
      <w:proofErr w:type="spellStart"/>
      <w:r w:rsidRPr="00A85B6A">
        <w:t>AUC</w:t>
      </w:r>
      <w:r w:rsidRPr="00A85B6A">
        <w:rPr>
          <w:vertAlign w:val="subscript"/>
        </w:rPr>
        <w:t>o</w:t>
      </w:r>
      <w:proofErr w:type="spellEnd"/>
      <w:r w:rsidRPr="00A85B6A">
        <w:rPr>
          <w:vertAlign w:val="subscript"/>
        </w:rPr>
        <w:t>-∞</w:t>
      </w:r>
      <w:r w:rsidRPr="00A85B6A">
        <w:t>) compared to oral or buccal administration and the latter two had similar exposure (</w:t>
      </w:r>
      <w:proofErr w:type="spellStart"/>
      <w:r w:rsidRPr="00A85B6A">
        <w:t>AUC</w:t>
      </w:r>
      <w:r w:rsidRPr="00A85B6A">
        <w:rPr>
          <w:vertAlign w:val="subscript"/>
        </w:rPr>
        <w:t>o</w:t>
      </w:r>
      <w:proofErr w:type="spellEnd"/>
      <w:r w:rsidRPr="00A85B6A">
        <w:rPr>
          <w:vertAlign w:val="subscript"/>
        </w:rPr>
        <w:t>-∞</w:t>
      </w:r>
      <w:r w:rsidRPr="00A85B6A">
        <w:t xml:space="preserve">: </w:t>
      </w:r>
      <w:r>
        <w:t>3.21 versus 2.02 and 2.07 </w:t>
      </w:r>
      <w:proofErr w:type="spellStart"/>
      <w:r w:rsidRPr="00A85B6A">
        <w:t>hr</w:t>
      </w:r>
      <w:proofErr w:type="spellEnd"/>
      <w:r w:rsidRPr="00A85B6A">
        <w:t>*ng/mL, respectively). The peak concentration (</w:t>
      </w:r>
      <w:proofErr w:type="spellStart"/>
      <w:r w:rsidRPr="00A85B6A">
        <w:t>C</w:t>
      </w:r>
      <w:r w:rsidRPr="00A85B6A">
        <w:rPr>
          <w:vertAlign w:val="subscript"/>
        </w:rPr>
        <w:t>max</w:t>
      </w:r>
      <w:proofErr w:type="spellEnd"/>
      <w:r w:rsidRPr="00A85B6A">
        <w:t xml:space="preserve">) was higher following oral and sublingual than via buccal administration (2.68 and 2.44 </w:t>
      </w:r>
      <w:proofErr w:type="gramStart"/>
      <w:r>
        <w:t>versus</w:t>
      </w:r>
      <w:r w:rsidRPr="00A85B6A">
        <w:t xml:space="preserve"> 1.36 ng/mL</w:t>
      </w:r>
      <w:proofErr w:type="gramEnd"/>
      <w:r w:rsidRPr="00A85B6A">
        <w:t>). The time to peak concentration (</w:t>
      </w:r>
      <w:proofErr w:type="spellStart"/>
      <w:r w:rsidRPr="00A85B6A">
        <w:t>T</w:t>
      </w:r>
      <w:r w:rsidRPr="00A85B6A">
        <w:rPr>
          <w:vertAlign w:val="subscript"/>
        </w:rPr>
        <w:t>max</w:t>
      </w:r>
      <w:proofErr w:type="spellEnd"/>
      <w:r w:rsidRPr="00A85B6A">
        <w:t>) was shortest with oral compared to buccal or sublingual administration.</w:t>
      </w:r>
      <w:bookmarkEnd w:id="66"/>
      <w:bookmarkEnd w:id="67"/>
      <w:bookmarkEnd w:id="68"/>
    </w:p>
    <w:p w:rsidR="00A85B6A" w:rsidRPr="00A85B6A" w:rsidRDefault="00A85B6A" w:rsidP="002B605C">
      <w:r w:rsidRPr="00A85B6A">
        <w:t>The higher bioavailability by sublingual route of administration may be explained by the absence of a first-pass effect by the liver. For buccal administration, some portions of the dose may be swallowed and metabolised by the liver before reaching the systemic circulation and so result in a lower expo</w:t>
      </w:r>
      <w:r w:rsidR="002B605C">
        <w:t>sure than the sublingual route.</w:t>
      </w:r>
    </w:p>
    <w:p w:rsidR="00A85B6A" w:rsidRPr="002B605C" w:rsidRDefault="00A85B6A" w:rsidP="002B605C">
      <w:pPr>
        <w:pStyle w:val="Heading5"/>
      </w:pPr>
      <w:bookmarkStart w:id="69" w:name="_Toc389470325"/>
      <w:bookmarkStart w:id="70" w:name="_Toc403987322"/>
      <w:r w:rsidRPr="00DD05EE">
        <w:t>Efficacy</w:t>
      </w:r>
      <w:bookmarkEnd w:id="69"/>
      <w:bookmarkEnd w:id="70"/>
    </w:p>
    <w:p w:rsidR="00A85B6A" w:rsidRPr="00DD05EE" w:rsidRDefault="00A85B6A" w:rsidP="002B605C">
      <w:r w:rsidRPr="00DD05EE">
        <w:t>Four main sources of data on efficacy (for the extension from 49 days to 63 days) were provided:</w:t>
      </w:r>
    </w:p>
    <w:p w:rsidR="00A85B6A" w:rsidRPr="003A7614" w:rsidRDefault="00A85B6A" w:rsidP="002B605C">
      <w:pPr>
        <w:pStyle w:val="ListBullet"/>
      </w:pPr>
      <w:r w:rsidRPr="003A7614">
        <w:t>Phase III study conducted in Mexico (Study 1.1.4).</w:t>
      </w:r>
    </w:p>
    <w:p w:rsidR="00A85B6A" w:rsidRPr="003A7614" w:rsidRDefault="00A85B6A" w:rsidP="002B605C">
      <w:pPr>
        <w:pStyle w:val="ListBullet"/>
      </w:pPr>
      <w:r w:rsidRPr="003A7614">
        <w:t>Literature review.</w:t>
      </w:r>
    </w:p>
    <w:p w:rsidR="00A85B6A" w:rsidRPr="003A7614" w:rsidRDefault="00A85B6A" w:rsidP="002B605C">
      <w:pPr>
        <w:pStyle w:val="ListBullet"/>
      </w:pPr>
      <w:r w:rsidRPr="003A7614">
        <w:t>A summary of authorised prescriber experience at MSIA clinics in 2012.</w:t>
      </w:r>
    </w:p>
    <w:p w:rsidR="00A85B6A" w:rsidRDefault="00A85B6A" w:rsidP="003A7614">
      <w:pPr>
        <w:pStyle w:val="ListBullet"/>
      </w:pPr>
      <w:r w:rsidRPr="003A7614">
        <w:t>Interim results for the post-registration study (4 months: March 2013 to June 2013; 1957 women).</w:t>
      </w:r>
    </w:p>
    <w:p w:rsidR="00A85B6A" w:rsidRPr="002B605C" w:rsidRDefault="00AC4926" w:rsidP="002B605C">
      <w:pPr>
        <w:pStyle w:val="Heading6"/>
      </w:pPr>
      <w:r>
        <w:lastRenderedPageBreak/>
        <w:t>Phase III</w:t>
      </w:r>
      <w:r w:rsidR="00DD05EE">
        <w:t xml:space="preserve"> </w:t>
      </w:r>
      <w:r w:rsidR="00A85B6A" w:rsidRPr="00A85B6A">
        <w:t>study conducted in Mexico (Study 1.1.4)</w:t>
      </w:r>
    </w:p>
    <w:p w:rsidR="00A85B6A" w:rsidRPr="00A85B6A" w:rsidRDefault="00A85B6A" w:rsidP="002B605C">
      <w:pPr>
        <w:pStyle w:val="TableTitle"/>
      </w:pPr>
      <w:proofErr w:type="gramStart"/>
      <w:r>
        <w:t>Table 4.</w:t>
      </w:r>
      <w:proofErr w:type="gramEnd"/>
      <w:r>
        <w:t xml:space="preserve"> </w:t>
      </w:r>
      <w:r w:rsidRPr="00A85B6A">
        <w:t xml:space="preserve">Study 1.1.4, 2010-2011, 3 sites in </w:t>
      </w:r>
      <w:r w:rsidRPr="002B605C">
        <w:t>Mexico</w:t>
      </w:r>
    </w:p>
    <w:tbl>
      <w:tblPr>
        <w:tblStyle w:val="TableTGAblue"/>
        <w:tblW w:w="0" w:type="auto"/>
        <w:tblLook w:val="0480" w:firstRow="0" w:lastRow="0" w:firstColumn="1" w:lastColumn="0" w:noHBand="0" w:noVBand="1"/>
      </w:tblPr>
      <w:tblGrid>
        <w:gridCol w:w="1499"/>
        <w:gridCol w:w="7221"/>
      </w:tblGrid>
      <w:tr w:rsidR="00A85B6A" w:rsidRPr="00A85B6A" w:rsidTr="002B605C">
        <w:trPr>
          <w:tblHeader/>
        </w:trPr>
        <w:tc>
          <w:tcPr>
            <w:tcW w:w="1243" w:type="dxa"/>
          </w:tcPr>
          <w:p w:rsidR="00A85B6A" w:rsidRPr="002B605C" w:rsidRDefault="00A85B6A" w:rsidP="002B605C">
            <w:pPr>
              <w:ind w:left="0" w:right="0"/>
              <w:rPr>
                <w:b/>
              </w:rPr>
            </w:pPr>
            <w:bookmarkStart w:id="71" w:name="_Toc389470124"/>
            <w:bookmarkStart w:id="72" w:name="_Toc389470326"/>
            <w:bookmarkStart w:id="73" w:name="_Toc390163100"/>
            <w:r w:rsidRPr="002B605C">
              <w:rPr>
                <w:b/>
              </w:rPr>
              <w:t>Patients</w:t>
            </w:r>
            <w:bookmarkEnd w:id="71"/>
            <w:bookmarkEnd w:id="72"/>
            <w:bookmarkEnd w:id="73"/>
          </w:p>
        </w:tc>
        <w:tc>
          <w:tcPr>
            <w:tcW w:w="7477" w:type="dxa"/>
          </w:tcPr>
          <w:p w:rsidR="00A85B6A" w:rsidRPr="00AF45CD" w:rsidRDefault="00A85B6A" w:rsidP="002B605C">
            <w:pPr>
              <w:ind w:left="0" w:right="0"/>
            </w:pPr>
            <w:bookmarkStart w:id="74" w:name="_Toc389470125"/>
            <w:bookmarkStart w:id="75" w:name="_Toc389470327"/>
            <w:bookmarkStart w:id="76" w:name="_Toc390163101"/>
            <w:r w:rsidRPr="00AF45CD">
              <w:t>Women requesting termination of pregnancy at &lt; 63 days. Gestational age was confirmed by US for all women enrolled.</w:t>
            </w:r>
            <w:bookmarkEnd w:id="74"/>
            <w:bookmarkEnd w:id="75"/>
            <w:bookmarkEnd w:id="76"/>
          </w:p>
          <w:p w:rsidR="00A85B6A" w:rsidRPr="00AF45CD" w:rsidRDefault="00A85B6A" w:rsidP="002B605C">
            <w:pPr>
              <w:ind w:left="0" w:right="0"/>
            </w:pPr>
            <w:bookmarkStart w:id="77" w:name="_Toc389470126"/>
            <w:bookmarkStart w:id="78" w:name="_Toc389470328"/>
            <w:bookmarkStart w:id="79" w:name="_Toc390163102"/>
            <w:r w:rsidRPr="00AF45CD">
              <w:t>Exclusions: IUD users, suspected ectopic pregnancy</w:t>
            </w:r>
            <w:bookmarkEnd w:id="77"/>
            <w:bookmarkEnd w:id="78"/>
            <w:bookmarkEnd w:id="79"/>
          </w:p>
          <w:p w:rsidR="00A85B6A" w:rsidRPr="00AF45CD" w:rsidRDefault="00A85B6A" w:rsidP="002B605C">
            <w:pPr>
              <w:ind w:left="0" w:right="0"/>
            </w:pPr>
            <w:bookmarkStart w:id="80" w:name="_Toc389470127"/>
            <w:bookmarkStart w:id="81" w:name="_Toc389470329"/>
            <w:bookmarkStart w:id="82" w:name="_Toc390163103"/>
            <w:r w:rsidRPr="00AF45CD">
              <w:t>Mean age: 24 years, mean gravidity: 2.3, previous abortion: 9.6%, previous medical abortion: 7.4%, &lt; = 49days: 57%, 50-63 days: 43%</w:t>
            </w:r>
            <w:bookmarkEnd w:id="80"/>
            <w:bookmarkEnd w:id="81"/>
            <w:bookmarkEnd w:id="82"/>
          </w:p>
        </w:tc>
      </w:tr>
      <w:tr w:rsidR="00A85B6A" w:rsidRPr="00A85B6A" w:rsidTr="002B605C">
        <w:trPr>
          <w:tblHeader/>
        </w:trPr>
        <w:tc>
          <w:tcPr>
            <w:tcW w:w="1243" w:type="dxa"/>
          </w:tcPr>
          <w:p w:rsidR="00A85B6A" w:rsidRPr="002B605C" w:rsidRDefault="00A85B6A" w:rsidP="002B605C">
            <w:pPr>
              <w:ind w:left="0" w:right="0"/>
              <w:rPr>
                <w:b/>
              </w:rPr>
            </w:pPr>
            <w:bookmarkStart w:id="83" w:name="_Toc389470128"/>
            <w:bookmarkStart w:id="84" w:name="_Toc389470330"/>
            <w:bookmarkStart w:id="85" w:name="_Toc390163104"/>
            <w:r w:rsidRPr="002B605C">
              <w:rPr>
                <w:b/>
              </w:rPr>
              <w:t>Intervention</w:t>
            </w:r>
            <w:bookmarkEnd w:id="83"/>
            <w:bookmarkEnd w:id="84"/>
            <w:bookmarkEnd w:id="85"/>
          </w:p>
        </w:tc>
        <w:tc>
          <w:tcPr>
            <w:tcW w:w="7477" w:type="dxa"/>
          </w:tcPr>
          <w:p w:rsidR="00A85B6A" w:rsidRPr="00AF45CD" w:rsidRDefault="00A85B6A" w:rsidP="002B605C">
            <w:pPr>
              <w:ind w:left="0" w:right="0"/>
            </w:pPr>
            <w:bookmarkStart w:id="86" w:name="_Toc389470129"/>
            <w:bookmarkStart w:id="87" w:name="_Toc389470331"/>
            <w:bookmarkStart w:id="88" w:name="_Toc390163105"/>
            <w:r w:rsidRPr="00AF45CD">
              <w:t xml:space="preserve">Women were given mifepristone (200mg) (Mifepristone </w:t>
            </w:r>
            <w:proofErr w:type="spellStart"/>
            <w:r w:rsidRPr="00AF45CD">
              <w:t>Linepharma</w:t>
            </w:r>
            <w:proofErr w:type="spellEnd"/>
            <w:r w:rsidRPr="00AF45CD">
              <w:t xml:space="preserve"> 200 mg), and then self-administered misoprostol (800</w:t>
            </w:r>
            <w:r w:rsidR="00336C5D" w:rsidRPr="00AF45CD">
              <w:t>microgram</w:t>
            </w:r>
            <w:r w:rsidRPr="00AF45CD">
              <w:t>) (</w:t>
            </w:r>
            <w:proofErr w:type="spellStart"/>
            <w:r w:rsidRPr="00AF45CD">
              <w:t>Cytotec</w:t>
            </w:r>
            <w:proofErr w:type="spellEnd"/>
            <w:r w:rsidR="00062545" w:rsidRPr="00AF45CD">
              <w:t xml:space="preserve"> </w:t>
            </w:r>
            <w:r w:rsidRPr="00AF45CD">
              <w:t xml:space="preserve">Pfizer USA) </w:t>
            </w:r>
            <w:proofErr w:type="spellStart"/>
            <w:r w:rsidRPr="00AF45CD">
              <w:t>buccally</w:t>
            </w:r>
            <w:proofErr w:type="spellEnd"/>
            <w:r w:rsidRPr="00AF45CD">
              <w:t xml:space="preserve"> at home, 1-2 days later. The instructions were to hold the tablets in the cheek pouch for 30 minutes and then swallow remnants. If termination was incomplete at day-8, a second dose of misoprostol (800</w:t>
            </w:r>
            <w:r w:rsidR="00336C5D" w:rsidRPr="00AF45CD">
              <w:t>microgram</w:t>
            </w:r>
            <w:r w:rsidRPr="00AF45CD">
              <w:t>) was given (25 women),</w:t>
            </w:r>
            <w:bookmarkEnd w:id="86"/>
            <w:bookmarkEnd w:id="87"/>
            <w:bookmarkEnd w:id="88"/>
          </w:p>
        </w:tc>
      </w:tr>
      <w:tr w:rsidR="00A85B6A" w:rsidRPr="00A85B6A" w:rsidTr="002B605C">
        <w:trPr>
          <w:tblHeader/>
        </w:trPr>
        <w:tc>
          <w:tcPr>
            <w:tcW w:w="1243" w:type="dxa"/>
          </w:tcPr>
          <w:p w:rsidR="00A85B6A" w:rsidRPr="002B605C" w:rsidRDefault="00A85B6A" w:rsidP="002B605C">
            <w:pPr>
              <w:ind w:left="0" w:right="0"/>
              <w:rPr>
                <w:b/>
              </w:rPr>
            </w:pPr>
            <w:bookmarkStart w:id="89" w:name="_Toc389470130"/>
            <w:bookmarkStart w:id="90" w:name="_Toc389470332"/>
            <w:bookmarkStart w:id="91" w:name="_Toc390163106"/>
            <w:r w:rsidRPr="002B605C">
              <w:rPr>
                <w:b/>
              </w:rPr>
              <w:t>Comparator</w:t>
            </w:r>
            <w:bookmarkEnd w:id="89"/>
            <w:bookmarkEnd w:id="90"/>
            <w:bookmarkEnd w:id="91"/>
          </w:p>
        </w:tc>
        <w:tc>
          <w:tcPr>
            <w:tcW w:w="7477" w:type="dxa"/>
          </w:tcPr>
          <w:p w:rsidR="00A85B6A" w:rsidRPr="00AF45CD" w:rsidRDefault="00A85B6A" w:rsidP="002B605C">
            <w:pPr>
              <w:ind w:left="0" w:right="0"/>
            </w:pPr>
            <w:bookmarkStart w:id="92" w:name="_Toc389470131"/>
            <w:bookmarkStart w:id="93" w:name="_Toc389470333"/>
            <w:bookmarkStart w:id="94" w:name="_Toc390163107"/>
            <w:r w:rsidRPr="00AF45CD">
              <w:t>Nil, single arm study</w:t>
            </w:r>
            <w:bookmarkEnd w:id="92"/>
            <w:bookmarkEnd w:id="93"/>
            <w:bookmarkEnd w:id="94"/>
          </w:p>
        </w:tc>
      </w:tr>
      <w:tr w:rsidR="00A85B6A" w:rsidRPr="00A85B6A" w:rsidTr="002B605C">
        <w:trPr>
          <w:tblHeader/>
        </w:trPr>
        <w:tc>
          <w:tcPr>
            <w:tcW w:w="1243" w:type="dxa"/>
          </w:tcPr>
          <w:p w:rsidR="00A85B6A" w:rsidRPr="002B605C" w:rsidRDefault="00A85B6A" w:rsidP="002B605C">
            <w:pPr>
              <w:ind w:left="0" w:right="0"/>
              <w:rPr>
                <w:b/>
              </w:rPr>
            </w:pPr>
            <w:bookmarkStart w:id="95" w:name="_Toc389470132"/>
            <w:bookmarkStart w:id="96" w:name="_Toc389470334"/>
            <w:bookmarkStart w:id="97" w:name="_Toc390163108"/>
            <w:r w:rsidRPr="002B605C">
              <w:rPr>
                <w:b/>
              </w:rPr>
              <w:t>Endpoint</w:t>
            </w:r>
            <w:bookmarkEnd w:id="95"/>
            <w:bookmarkEnd w:id="96"/>
            <w:bookmarkEnd w:id="97"/>
          </w:p>
        </w:tc>
        <w:tc>
          <w:tcPr>
            <w:tcW w:w="7477" w:type="dxa"/>
          </w:tcPr>
          <w:p w:rsidR="00A85B6A" w:rsidRPr="00AF45CD" w:rsidRDefault="00A85B6A" w:rsidP="002B605C">
            <w:pPr>
              <w:ind w:left="0" w:right="0"/>
            </w:pPr>
            <w:bookmarkStart w:id="98" w:name="_Toc389470133"/>
            <w:bookmarkStart w:id="99" w:name="_Toc389470335"/>
            <w:bookmarkStart w:id="100" w:name="_Toc390163109"/>
            <w:r w:rsidRPr="00AF45CD">
              <w:t>The primary endpoint was abortion status. The outcome of complete abortion was defined as uterine evacuation with study drugs alone without recourse to surgical uterine evacuation for any reason. This was determined by history, clinical/pelvic examination and ultrasound one week post medication.</w:t>
            </w:r>
            <w:bookmarkEnd w:id="98"/>
            <w:bookmarkEnd w:id="99"/>
            <w:bookmarkEnd w:id="100"/>
          </w:p>
        </w:tc>
      </w:tr>
      <w:tr w:rsidR="00A85B6A" w:rsidRPr="00A85B6A" w:rsidTr="002B605C">
        <w:trPr>
          <w:tblHeader/>
        </w:trPr>
        <w:tc>
          <w:tcPr>
            <w:tcW w:w="1243" w:type="dxa"/>
          </w:tcPr>
          <w:p w:rsidR="00A85B6A" w:rsidRPr="002B605C" w:rsidRDefault="00A85B6A" w:rsidP="002B605C">
            <w:pPr>
              <w:ind w:left="0" w:right="0"/>
              <w:rPr>
                <w:b/>
              </w:rPr>
            </w:pPr>
            <w:bookmarkStart w:id="101" w:name="_Toc389470134"/>
            <w:bookmarkStart w:id="102" w:name="_Toc389470336"/>
            <w:bookmarkStart w:id="103" w:name="_Toc390163110"/>
            <w:r w:rsidRPr="002B605C">
              <w:rPr>
                <w:b/>
              </w:rPr>
              <w:t>Follow-up</w:t>
            </w:r>
            <w:bookmarkEnd w:id="101"/>
            <w:bookmarkEnd w:id="102"/>
            <w:bookmarkEnd w:id="103"/>
          </w:p>
        </w:tc>
        <w:tc>
          <w:tcPr>
            <w:tcW w:w="7477" w:type="dxa"/>
          </w:tcPr>
          <w:p w:rsidR="00A85B6A" w:rsidRPr="00AF45CD" w:rsidRDefault="00A85B6A" w:rsidP="002B605C">
            <w:pPr>
              <w:ind w:left="0" w:right="0"/>
            </w:pPr>
            <w:bookmarkStart w:id="104" w:name="_Toc389470135"/>
            <w:bookmarkStart w:id="105" w:name="_Toc389470337"/>
            <w:bookmarkStart w:id="106" w:name="_Toc390163111"/>
            <w:r w:rsidRPr="00AF45CD">
              <w:t>Follow-up at day-8 assessed termination status. Women with complete termination finished the study. Those with an incomplete termination had a second dose of 800</w:t>
            </w:r>
            <w:r w:rsidR="00336C5D" w:rsidRPr="00AF45CD">
              <w:t>microgram</w:t>
            </w:r>
            <w:r w:rsidRPr="00AF45CD">
              <w:t xml:space="preserve"> </w:t>
            </w:r>
            <w:proofErr w:type="spellStart"/>
            <w:r w:rsidRPr="00AF45CD">
              <w:t>misprostol</w:t>
            </w:r>
            <w:proofErr w:type="spellEnd"/>
            <w:r w:rsidRPr="00AF45CD">
              <w:t xml:space="preserve"> and were followed-up sometime between days 15-36. Those with an incomplete termination had surgery.</w:t>
            </w:r>
            <w:bookmarkEnd w:id="104"/>
            <w:bookmarkEnd w:id="105"/>
            <w:bookmarkEnd w:id="106"/>
          </w:p>
        </w:tc>
      </w:tr>
      <w:tr w:rsidR="00A85B6A" w:rsidRPr="00A85B6A" w:rsidTr="002B605C">
        <w:trPr>
          <w:tblHeader/>
        </w:trPr>
        <w:tc>
          <w:tcPr>
            <w:tcW w:w="1243" w:type="dxa"/>
          </w:tcPr>
          <w:p w:rsidR="00A85B6A" w:rsidRPr="002B605C" w:rsidRDefault="00A85B6A" w:rsidP="002B605C">
            <w:pPr>
              <w:ind w:left="0" w:right="0"/>
              <w:rPr>
                <w:b/>
              </w:rPr>
            </w:pPr>
            <w:bookmarkStart w:id="107" w:name="_Toc389470136"/>
            <w:bookmarkStart w:id="108" w:name="_Toc389470338"/>
            <w:bookmarkStart w:id="109" w:name="_Toc390163112"/>
            <w:r w:rsidRPr="002B605C">
              <w:rPr>
                <w:b/>
              </w:rPr>
              <w:t>Sample size</w:t>
            </w:r>
            <w:bookmarkEnd w:id="107"/>
            <w:bookmarkEnd w:id="108"/>
            <w:bookmarkEnd w:id="109"/>
          </w:p>
        </w:tc>
        <w:tc>
          <w:tcPr>
            <w:tcW w:w="7477" w:type="dxa"/>
          </w:tcPr>
          <w:p w:rsidR="00A85B6A" w:rsidRPr="00AF45CD" w:rsidRDefault="00A85B6A" w:rsidP="002B605C">
            <w:pPr>
              <w:ind w:left="0" w:right="0"/>
            </w:pPr>
            <w:bookmarkStart w:id="110" w:name="_Toc389470137"/>
            <w:bookmarkStart w:id="111" w:name="_Toc389470339"/>
            <w:bookmarkStart w:id="112" w:name="_Toc390163113"/>
            <w:r w:rsidRPr="00AF45CD">
              <w:t>A sample of 500 participants was estimated to be sufficient to demonstrate 95% efficacy with a 95% confidence interval of ± 2%. A sample of 1000 was chosen to allow for subject variability. 29 women did not return for their follow-up visit and are excluded from the analysis.</w:t>
            </w:r>
            <w:bookmarkEnd w:id="110"/>
            <w:bookmarkEnd w:id="111"/>
            <w:bookmarkEnd w:id="112"/>
          </w:p>
        </w:tc>
      </w:tr>
    </w:tbl>
    <w:p w:rsidR="00A85B6A" w:rsidRPr="002B605C" w:rsidRDefault="00A85B6A" w:rsidP="002B605C">
      <w:pPr>
        <w:pStyle w:val="TableTitle"/>
      </w:pPr>
      <w:proofErr w:type="gramStart"/>
      <w:r>
        <w:t>Table 5.</w:t>
      </w:r>
      <w:proofErr w:type="gramEnd"/>
      <w:r>
        <w:t xml:space="preserve"> </w:t>
      </w:r>
      <w:r w:rsidRPr="00A85B6A">
        <w:t>Outcome by gestational age (n</w:t>
      </w:r>
      <w:r>
        <w:t xml:space="preserve"> </w:t>
      </w:r>
      <w:r w:rsidRPr="00A85B6A">
        <w:t>=</w:t>
      </w:r>
      <w:r>
        <w:t xml:space="preserve"> </w:t>
      </w:r>
      <w:r w:rsidRPr="00A85B6A">
        <w:t>971)</w:t>
      </w:r>
    </w:p>
    <w:tbl>
      <w:tblPr>
        <w:tblStyle w:val="TableTGAblue"/>
        <w:tblW w:w="8755" w:type="dxa"/>
        <w:tblLayout w:type="fixed"/>
        <w:tblLook w:val="04A0" w:firstRow="1" w:lastRow="0" w:firstColumn="1" w:lastColumn="0" w:noHBand="0" w:noVBand="1"/>
      </w:tblPr>
      <w:tblGrid>
        <w:gridCol w:w="2376"/>
        <w:gridCol w:w="1560"/>
        <w:gridCol w:w="1275"/>
        <w:gridCol w:w="1134"/>
        <w:gridCol w:w="1276"/>
        <w:gridCol w:w="1134"/>
      </w:tblGrid>
      <w:tr w:rsidR="00A85B6A" w:rsidRPr="00A85B6A" w:rsidTr="00516A98">
        <w:trPr>
          <w:cnfStyle w:val="100000000000" w:firstRow="1" w:lastRow="0" w:firstColumn="0" w:lastColumn="0" w:oddVBand="0" w:evenVBand="0" w:oddHBand="0" w:evenHBand="0" w:firstRowFirstColumn="0" w:firstRowLastColumn="0" w:lastRowFirstColumn="0" w:lastRowLastColumn="0"/>
        </w:trPr>
        <w:tc>
          <w:tcPr>
            <w:tcW w:w="2376" w:type="dxa"/>
          </w:tcPr>
          <w:p w:rsidR="00A85B6A" w:rsidRPr="00A85B6A" w:rsidRDefault="00A85B6A" w:rsidP="002B605C">
            <w:pPr>
              <w:ind w:left="0" w:right="33"/>
            </w:pPr>
          </w:p>
        </w:tc>
        <w:tc>
          <w:tcPr>
            <w:tcW w:w="1560" w:type="dxa"/>
          </w:tcPr>
          <w:p w:rsidR="00A85B6A" w:rsidRPr="00AF45CD" w:rsidRDefault="00A85B6A" w:rsidP="002B605C">
            <w:pPr>
              <w:ind w:left="0" w:right="33"/>
            </w:pPr>
            <w:bookmarkStart w:id="113" w:name="_Toc389470138"/>
            <w:bookmarkStart w:id="114" w:name="_Toc389470340"/>
            <w:bookmarkStart w:id="115" w:name="_Toc390163114"/>
            <w:r w:rsidRPr="00AF45CD">
              <w:t>&lt; = 49days</w:t>
            </w:r>
            <w:bookmarkEnd w:id="113"/>
            <w:bookmarkEnd w:id="114"/>
            <w:bookmarkEnd w:id="115"/>
          </w:p>
        </w:tc>
        <w:tc>
          <w:tcPr>
            <w:tcW w:w="1275" w:type="dxa"/>
          </w:tcPr>
          <w:p w:rsidR="00A85B6A" w:rsidRPr="00AF45CD" w:rsidRDefault="00A85B6A" w:rsidP="002B605C">
            <w:pPr>
              <w:ind w:left="0" w:right="33"/>
            </w:pPr>
            <w:bookmarkStart w:id="116" w:name="_Toc389470139"/>
            <w:bookmarkStart w:id="117" w:name="_Toc389470341"/>
            <w:bookmarkStart w:id="118" w:name="_Toc390163115"/>
            <w:r w:rsidRPr="00AF45CD">
              <w:t>50-56 days</w:t>
            </w:r>
            <w:bookmarkEnd w:id="116"/>
            <w:bookmarkEnd w:id="117"/>
            <w:bookmarkEnd w:id="118"/>
          </w:p>
        </w:tc>
        <w:tc>
          <w:tcPr>
            <w:tcW w:w="1134" w:type="dxa"/>
          </w:tcPr>
          <w:p w:rsidR="00A85B6A" w:rsidRPr="00AF45CD" w:rsidRDefault="00A85B6A" w:rsidP="002B605C">
            <w:pPr>
              <w:ind w:left="0" w:right="33"/>
            </w:pPr>
            <w:bookmarkStart w:id="119" w:name="_Toc389470140"/>
            <w:bookmarkStart w:id="120" w:name="_Toc389470342"/>
            <w:bookmarkStart w:id="121" w:name="_Toc390163116"/>
            <w:r w:rsidRPr="00AF45CD">
              <w:t>57-63 days</w:t>
            </w:r>
            <w:bookmarkEnd w:id="119"/>
            <w:bookmarkEnd w:id="120"/>
            <w:bookmarkEnd w:id="121"/>
          </w:p>
        </w:tc>
        <w:tc>
          <w:tcPr>
            <w:tcW w:w="1276" w:type="dxa"/>
          </w:tcPr>
          <w:p w:rsidR="00A85B6A" w:rsidRPr="00AF45CD" w:rsidRDefault="00A85B6A" w:rsidP="002B605C">
            <w:pPr>
              <w:ind w:left="0" w:right="33"/>
            </w:pPr>
            <w:bookmarkStart w:id="122" w:name="_Toc389470141"/>
            <w:bookmarkStart w:id="123" w:name="_Toc389470343"/>
            <w:bookmarkStart w:id="124" w:name="_Toc390163117"/>
            <w:r w:rsidRPr="00AF45CD">
              <w:t>64+ days</w:t>
            </w:r>
            <w:bookmarkEnd w:id="122"/>
            <w:bookmarkEnd w:id="123"/>
            <w:bookmarkEnd w:id="124"/>
          </w:p>
        </w:tc>
        <w:tc>
          <w:tcPr>
            <w:tcW w:w="1134" w:type="dxa"/>
          </w:tcPr>
          <w:p w:rsidR="00A85B6A" w:rsidRPr="00AF45CD" w:rsidRDefault="00A85B6A" w:rsidP="002B605C">
            <w:pPr>
              <w:ind w:left="0" w:right="33"/>
            </w:pPr>
            <w:bookmarkStart w:id="125" w:name="_Toc389470142"/>
            <w:bookmarkStart w:id="126" w:name="_Toc389470344"/>
            <w:bookmarkStart w:id="127" w:name="_Toc390163118"/>
            <w:r w:rsidRPr="00AF45CD">
              <w:t>Total</w:t>
            </w:r>
            <w:bookmarkEnd w:id="125"/>
            <w:bookmarkEnd w:id="126"/>
            <w:bookmarkEnd w:id="127"/>
          </w:p>
        </w:tc>
      </w:tr>
      <w:tr w:rsidR="00A85B6A" w:rsidRPr="00A85B6A" w:rsidTr="00516A98">
        <w:tc>
          <w:tcPr>
            <w:tcW w:w="2376" w:type="dxa"/>
          </w:tcPr>
          <w:p w:rsidR="00A85B6A" w:rsidRPr="003A7614" w:rsidRDefault="00A85B6A" w:rsidP="002B605C">
            <w:pPr>
              <w:ind w:left="0" w:right="33"/>
            </w:pPr>
            <w:bookmarkStart w:id="128" w:name="_Toc389470345"/>
            <w:bookmarkStart w:id="129" w:name="_Toc390163119"/>
            <w:r w:rsidRPr="003A7614">
              <w:t>Complete medical termination, n (%)</w:t>
            </w:r>
            <w:bookmarkEnd w:id="128"/>
            <w:bookmarkEnd w:id="129"/>
          </w:p>
        </w:tc>
        <w:tc>
          <w:tcPr>
            <w:tcW w:w="1560" w:type="dxa"/>
          </w:tcPr>
          <w:p w:rsidR="00A85B6A" w:rsidRPr="003A7614" w:rsidRDefault="00A85B6A" w:rsidP="002B605C">
            <w:pPr>
              <w:ind w:left="0" w:right="33"/>
            </w:pPr>
            <w:bookmarkStart w:id="130" w:name="_Toc389470346"/>
            <w:bookmarkStart w:id="131" w:name="_Toc390163120"/>
            <w:r w:rsidRPr="003A7614">
              <w:t>540 (98.0)</w:t>
            </w:r>
            <w:bookmarkEnd w:id="130"/>
            <w:bookmarkEnd w:id="131"/>
          </w:p>
        </w:tc>
        <w:tc>
          <w:tcPr>
            <w:tcW w:w="1275" w:type="dxa"/>
          </w:tcPr>
          <w:p w:rsidR="00A85B6A" w:rsidRPr="003A7614" w:rsidRDefault="00A85B6A" w:rsidP="002B605C">
            <w:pPr>
              <w:ind w:left="0" w:right="33"/>
            </w:pPr>
            <w:bookmarkStart w:id="132" w:name="_Toc389470347"/>
            <w:bookmarkStart w:id="133" w:name="_Toc390163121"/>
            <w:r w:rsidRPr="003A7614">
              <w:t>239 (96.8)</w:t>
            </w:r>
            <w:bookmarkEnd w:id="132"/>
            <w:bookmarkEnd w:id="133"/>
          </w:p>
        </w:tc>
        <w:tc>
          <w:tcPr>
            <w:tcW w:w="1134" w:type="dxa"/>
          </w:tcPr>
          <w:p w:rsidR="00A85B6A" w:rsidRPr="003A7614" w:rsidRDefault="00A85B6A" w:rsidP="002B605C">
            <w:pPr>
              <w:ind w:left="0" w:right="33"/>
            </w:pPr>
            <w:bookmarkStart w:id="134" w:name="_Toc389470348"/>
            <w:bookmarkStart w:id="135" w:name="_Toc390163122"/>
            <w:r w:rsidRPr="003A7614">
              <w:t>164 (95.9)</w:t>
            </w:r>
            <w:bookmarkEnd w:id="134"/>
            <w:bookmarkEnd w:id="135"/>
          </w:p>
        </w:tc>
        <w:tc>
          <w:tcPr>
            <w:tcW w:w="1276" w:type="dxa"/>
          </w:tcPr>
          <w:p w:rsidR="00A85B6A" w:rsidRPr="003A7614" w:rsidRDefault="00A85B6A" w:rsidP="002B605C">
            <w:pPr>
              <w:ind w:left="0" w:right="33"/>
            </w:pPr>
            <w:bookmarkStart w:id="136" w:name="_Toc389470349"/>
            <w:bookmarkStart w:id="137" w:name="_Toc390163123"/>
            <w:r w:rsidRPr="003A7614">
              <w:t>2 (100.0)</w:t>
            </w:r>
            <w:bookmarkEnd w:id="136"/>
            <w:bookmarkEnd w:id="137"/>
          </w:p>
        </w:tc>
        <w:tc>
          <w:tcPr>
            <w:tcW w:w="1134" w:type="dxa"/>
          </w:tcPr>
          <w:p w:rsidR="00A85B6A" w:rsidRPr="003A7614" w:rsidRDefault="00A85B6A" w:rsidP="002B605C">
            <w:pPr>
              <w:ind w:left="0" w:right="33"/>
            </w:pPr>
            <w:bookmarkStart w:id="138" w:name="_Toc389470350"/>
            <w:bookmarkStart w:id="139" w:name="_Toc390163124"/>
            <w:r w:rsidRPr="003A7614">
              <w:t>945 (97.3)</w:t>
            </w:r>
            <w:bookmarkEnd w:id="138"/>
            <w:bookmarkEnd w:id="139"/>
          </w:p>
        </w:tc>
      </w:tr>
      <w:tr w:rsidR="00A85B6A" w:rsidRPr="00A85B6A" w:rsidTr="00516A98">
        <w:tc>
          <w:tcPr>
            <w:tcW w:w="2376" w:type="dxa"/>
          </w:tcPr>
          <w:p w:rsidR="00A85B6A" w:rsidRPr="003A7614" w:rsidRDefault="00A85B6A" w:rsidP="002B605C">
            <w:pPr>
              <w:ind w:left="0" w:right="33"/>
            </w:pPr>
            <w:bookmarkStart w:id="140" w:name="_Toc389470351"/>
            <w:bookmarkStart w:id="141" w:name="_Toc390163125"/>
            <w:r w:rsidRPr="003A7614">
              <w:t>Surgical evacuation, n (%)</w:t>
            </w:r>
            <w:bookmarkEnd w:id="140"/>
            <w:bookmarkEnd w:id="141"/>
          </w:p>
        </w:tc>
        <w:tc>
          <w:tcPr>
            <w:tcW w:w="1560" w:type="dxa"/>
          </w:tcPr>
          <w:p w:rsidR="00A85B6A" w:rsidRPr="003A7614" w:rsidRDefault="00A85B6A" w:rsidP="002B605C">
            <w:pPr>
              <w:ind w:left="0" w:right="33"/>
            </w:pPr>
            <w:bookmarkStart w:id="142" w:name="_Toc389470352"/>
            <w:bookmarkStart w:id="143" w:name="_Toc390163126"/>
            <w:r w:rsidRPr="003A7614">
              <w:t>11 (2.0)</w:t>
            </w:r>
            <w:bookmarkEnd w:id="142"/>
            <w:bookmarkEnd w:id="143"/>
          </w:p>
        </w:tc>
        <w:tc>
          <w:tcPr>
            <w:tcW w:w="1275" w:type="dxa"/>
          </w:tcPr>
          <w:p w:rsidR="00A85B6A" w:rsidRPr="003A7614" w:rsidRDefault="00A85B6A" w:rsidP="002B605C">
            <w:pPr>
              <w:ind w:left="0" w:right="33"/>
            </w:pPr>
            <w:bookmarkStart w:id="144" w:name="_Toc389470353"/>
            <w:bookmarkStart w:id="145" w:name="_Toc390163127"/>
            <w:r w:rsidRPr="003A7614">
              <w:t>8 (3.2)</w:t>
            </w:r>
            <w:bookmarkEnd w:id="144"/>
            <w:bookmarkEnd w:id="145"/>
          </w:p>
        </w:tc>
        <w:tc>
          <w:tcPr>
            <w:tcW w:w="1134" w:type="dxa"/>
          </w:tcPr>
          <w:p w:rsidR="00A85B6A" w:rsidRPr="003A7614" w:rsidRDefault="00A85B6A" w:rsidP="002B605C">
            <w:pPr>
              <w:ind w:left="0" w:right="33"/>
            </w:pPr>
            <w:bookmarkStart w:id="146" w:name="_Toc389470354"/>
            <w:bookmarkStart w:id="147" w:name="_Toc390163128"/>
            <w:r w:rsidRPr="003A7614">
              <w:t>7 (4.1)</w:t>
            </w:r>
            <w:bookmarkEnd w:id="146"/>
            <w:bookmarkEnd w:id="147"/>
          </w:p>
        </w:tc>
        <w:tc>
          <w:tcPr>
            <w:tcW w:w="1276" w:type="dxa"/>
          </w:tcPr>
          <w:p w:rsidR="00A85B6A" w:rsidRPr="003A7614" w:rsidRDefault="00A85B6A" w:rsidP="002B605C">
            <w:pPr>
              <w:ind w:left="0" w:right="33"/>
            </w:pPr>
            <w:bookmarkStart w:id="148" w:name="_Toc389470355"/>
            <w:bookmarkStart w:id="149" w:name="_Toc390163129"/>
            <w:r w:rsidRPr="003A7614">
              <w:t>0 (0.0)</w:t>
            </w:r>
            <w:bookmarkEnd w:id="148"/>
            <w:bookmarkEnd w:id="149"/>
          </w:p>
        </w:tc>
        <w:tc>
          <w:tcPr>
            <w:tcW w:w="1134" w:type="dxa"/>
          </w:tcPr>
          <w:p w:rsidR="00A85B6A" w:rsidRPr="003A7614" w:rsidRDefault="00A85B6A" w:rsidP="002B605C">
            <w:pPr>
              <w:ind w:left="0" w:right="33"/>
            </w:pPr>
            <w:bookmarkStart w:id="150" w:name="_Toc389470356"/>
            <w:bookmarkStart w:id="151" w:name="_Toc390163130"/>
            <w:r w:rsidRPr="003A7614">
              <w:t>26 (2.7)</w:t>
            </w:r>
            <w:bookmarkEnd w:id="150"/>
            <w:bookmarkEnd w:id="151"/>
          </w:p>
        </w:tc>
      </w:tr>
    </w:tbl>
    <w:p w:rsidR="00A85B6A" w:rsidRPr="002B605C" w:rsidRDefault="00A85B6A" w:rsidP="002B605C">
      <w:pPr>
        <w:pStyle w:val="TableTitle"/>
      </w:pPr>
      <w:proofErr w:type="gramStart"/>
      <w:r>
        <w:t>Table 6.</w:t>
      </w:r>
      <w:proofErr w:type="gramEnd"/>
      <w:r>
        <w:t xml:space="preserve"> </w:t>
      </w:r>
      <w:r w:rsidRPr="00A85B6A">
        <w:t>Outcome by gravidity (n=971)</w:t>
      </w:r>
    </w:p>
    <w:tbl>
      <w:tblPr>
        <w:tblStyle w:val="TableTGAblue"/>
        <w:tblW w:w="0" w:type="auto"/>
        <w:tblInd w:w="250" w:type="dxa"/>
        <w:tblLook w:val="04A0" w:firstRow="1" w:lastRow="0" w:firstColumn="1" w:lastColumn="0" w:noHBand="0" w:noVBand="1"/>
      </w:tblPr>
      <w:tblGrid>
        <w:gridCol w:w="2665"/>
        <w:gridCol w:w="1304"/>
        <w:gridCol w:w="1418"/>
        <w:gridCol w:w="1417"/>
      </w:tblGrid>
      <w:tr w:rsidR="00A85B6A" w:rsidRPr="00A85B6A" w:rsidTr="003A7614">
        <w:trPr>
          <w:cnfStyle w:val="100000000000" w:firstRow="1" w:lastRow="0" w:firstColumn="0" w:lastColumn="0" w:oddVBand="0" w:evenVBand="0" w:oddHBand="0" w:evenHBand="0" w:firstRowFirstColumn="0" w:firstRowLastColumn="0" w:lastRowFirstColumn="0" w:lastRowLastColumn="0"/>
        </w:trPr>
        <w:tc>
          <w:tcPr>
            <w:tcW w:w="2665" w:type="dxa"/>
          </w:tcPr>
          <w:p w:rsidR="00A85B6A" w:rsidRPr="00516A98" w:rsidRDefault="00A85B6A" w:rsidP="002B605C">
            <w:pPr>
              <w:ind w:left="34" w:right="5"/>
            </w:pPr>
          </w:p>
        </w:tc>
        <w:tc>
          <w:tcPr>
            <w:tcW w:w="1304" w:type="dxa"/>
          </w:tcPr>
          <w:p w:rsidR="00A85B6A" w:rsidRPr="00516A98" w:rsidRDefault="00A85B6A" w:rsidP="002B605C">
            <w:pPr>
              <w:ind w:left="34" w:right="5"/>
            </w:pPr>
            <w:proofErr w:type="spellStart"/>
            <w:r w:rsidRPr="00516A98">
              <w:t>primip</w:t>
            </w:r>
            <w:proofErr w:type="spellEnd"/>
          </w:p>
        </w:tc>
        <w:tc>
          <w:tcPr>
            <w:tcW w:w="1418" w:type="dxa"/>
          </w:tcPr>
          <w:p w:rsidR="00A85B6A" w:rsidRPr="00516A98" w:rsidRDefault="00A85B6A" w:rsidP="002B605C">
            <w:pPr>
              <w:ind w:left="34" w:right="5"/>
            </w:pPr>
            <w:proofErr w:type="spellStart"/>
            <w:r w:rsidRPr="00516A98">
              <w:t>multip</w:t>
            </w:r>
            <w:proofErr w:type="spellEnd"/>
          </w:p>
        </w:tc>
        <w:tc>
          <w:tcPr>
            <w:tcW w:w="1417" w:type="dxa"/>
          </w:tcPr>
          <w:p w:rsidR="003A7614" w:rsidRPr="00516A98" w:rsidRDefault="00A85B6A" w:rsidP="002B605C">
            <w:pPr>
              <w:ind w:left="34" w:right="5"/>
            </w:pPr>
            <w:r w:rsidRPr="00516A98">
              <w:t>Total</w:t>
            </w:r>
          </w:p>
        </w:tc>
      </w:tr>
      <w:tr w:rsidR="00A85B6A" w:rsidRPr="00A85B6A" w:rsidTr="003A7614">
        <w:tc>
          <w:tcPr>
            <w:tcW w:w="2665" w:type="dxa"/>
          </w:tcPr>
          <w:p w:rsidR="00A85B6A" w:rsidRPr="00516A98" w:rsidRDefault="00A85B6A" w:rsidP="002B605C">
            <w:pPr>
              <w:ind w:left="34" w:right="5"/>
            </w:pPr>
            <w:r w:rsidRPr="00516A98">
              <w:t>Complete medical termination, n (%)</w:t>
            </w:r>
          </w:p>
        </w:tc>
        <w:tc>
          <w:tcPr>
            <w:tcW w:w="1304" w:type="dxa"/>
          </w:tcPr>
          <w:p w:rsidR="00A85B6A" w:rsidRPr="00516A98" w:rsidRDefault="00A85B6A" w:rsidP="002B605C">
            <w:pPr>
              <w:ind w:left="34" w:right="5"/>
            </w:pPr>
            <w:r w:rsidRPr="00516A98">
              <w:t>342 (97.2)</w:t>
            </w:r>
          </w:p>
        </w:tc>
        <w:tc>
          <w:tcPr>
            <w:tcW w:w="1418" w:type="dxa"/>
          </w:tcPr>
          <w:p w:rsidR="00A85B6A" w:rsidRPr="00516A98" w:rsidRDefault="00A85B6A" w:rsidP="002B605C">
            <w:pPr>
              <w:ind w:left="34" w:right="5"/>
            </w:pPr>
            <w:r w:rsidRPr="00516A98">
              <w:t>603 (97.4)</w:t>
            </w:r>
          </w:p>
        </w:tc>
        <w:tc>
          <w:tcPr>
            <w:tcW w:w="1417" w:type="dxa"/>
          </w:tcPr>
          <w:p w:rsidR="00A85B6A" w:rsidRPr="00516A98" w:rsidRDefault="00A85B6A" w:rsidP="002B605C">
            <w:pPr>
              <w:ind w:left="34" w:right="5"/>
            </w:pPr>
            <w:r w:rsidRPr="00516A98">
              <w:t>945 (97.3)</w:t>
            </w:r>
          </w:p>
        </w:tc>
      </w:tr>
      <w:tr w:rsidR="00A85B6A" w:rsidRPr="00A85B6A" w:rsidTr="003A7614">
        <w:tc>
          <w:tcPr>
            <w:tcW w:w="2665" w:type="dxa"/>
          </w:tcPr>
          <w:p w:rsidR="00A85B6A" w:rsidRPr="00516A98" w:rsidRDefault="00A85B6A" w:rsidP="002B605C">
            <w:pPr>
              <w:ind w:left="34" w:right="5"/>
            </w:pPr>
            <w:r w:rsidRPr="00516A98">
              <w:lastRenderedPageBreak/>
              <w:t>Surgical evacuation, n (%)</w:t>
            </w:r>
          </w:p>
        </w:tc>
        <w:tc>
          <w:tcPr>
            <w:tcW w:w="1304" w:type="dxa"/>
          </w:tcPr>
          <w:p w:rsidR="00A85B6A" w:rsidRPr="00516A98" w:rsidRDefault="00A85B6A" w:rsidP="002B605C">
            <w:pPr>
              <w:ind w:left="34" w:right="5"/>
            </w:pPr>
            <w:r w:rsidRPr="00516A98">
              <w:t>10 (2.8)</w:t>
            </w:r>
          </w:p>
        </w:tc>
        <w:tc>
          <w:tcPr>
            <w:tcW w:w="1418" w:type="dxa"/>
          </w:tcPr>
          <w:p w:rsidR="00A85B6A" w:rsidRPr="00516A98" w:rsidRDefault="00A85B6A" w:rsidP="002B605C">
            <w:pPr>
              <w:ind w:left="34" w:right="5"/>
            </w:pPr>
            <w:r w:rsidRPr="00516A98">
              <w:t>16 (2.6)</w:t>
            </w:r>
          </w:p>
        </w:tc>
        <w:tc>
          <w:tcPr>
            <w:tcW w:w="1417" w:type="dxa"/>
          </w:tcPr>
          <w:p w:rsidR="00A85B6A" w:rsidRPr="00516A98" w:rsidRDefault="00A85B6A" w:rsidP="002B605C">
            <w:pPr>
              <w:ind w:left="34" w:right="5"/>
            </w:pPr>
            <w:r w:rsidRPr="00516A98">
              <w:t>26 (2.7)</w:t>
            </w:r>
          </w:p>
        </w:tc>
      </w:tr>
    </w:tbl>
    <w:p w:rsidR="00A85B6A" w:rsidRPr="00A85B6A" w:rsidRDefault="00A85B6A" w:rsidP="002B605C">
      <w:pPr>
        <w:pStyle w:val="TableTitle"/>
      </w:pPr>
      <w:proofErr w:type="gramStart"/>
      <w:r>
        <w:t>Table 7.</w:t>
      </w:r>
      <w:proofErr w:type="gramEnd"/>
      <w:r>
        <w:t xml:space="preserve"> </w:t>
      </w:r>
      <w:r w:rsidRPr="00A85B6A">
        <w:t>Reasons for surgical evacuation</w:t>
      </w:r>
    </w:p>
    <w:tbl>
      <w:tblPr>
        <w:tblStyle w:val="TableTGAblue"/>
        <w:tblW w:w="0" w:type="auto"/>
        <w:tblInd w:w="250" w:type="dxa"/>
        <w:tblLook w:val="04A0" w:firstRow="1" w:lastRow="0" w:firstColumn="1" w:lastColumn="0" w:noHBand="0" w:noVBand="1"/>
      </w:tblPr>
      <w:tblGrid>
        <w:gridCol w:w="2835"/>
        <w:gridCol w:w="1276"/>
      </w:tblGrid>
      <w:tr w:rsidR="00516A98" w:rsidRPr="00A85B6A" w:rsidTr="003A7614">
        <w:trPr>
          <w:cnfStyle w:val="100000000000" w:firstRow="1" w:lastRow="0" w:firstColumn="0" w:lastColumn="0" w:oddVBand="0" w:evenVBand="0" w:oddHBand="0" w:evenHBand="0" w:firstRowFirstColumn="0" w:firstRowLastColumn="0" w:lastRowFirstColumn="0" w:lastRowLastColumn="0"/>
        </w:trPr>
        <w:tc>
          <w:tcPr>
            <w:tcW w:w="2835" w:type="dxa"/>
          </w:tcPr>
          <w:p w:rsidR="00516A98" w:rsidRPr="00D35908" w:rsidRDefault="00516A98" w:rsidP="002B605C">
            <w:r w:rsidRPr="00D35908">
              <w:t>Reason</w:t>
            </w:r>
          </w:p>
        </w:tc>
        <w:tc>
          <w:tcPr>
            <w:tcW w:w="1276" w:type="dxa"/>
          </w:tcPr>
          <w:p w:rsidR="00516A98" w:rsidRPr="00D35908" w:rsidRDefault="00516A98" w:rsidP="002B605C">
            <w:r w:rsidRPr="00D35908">
              <w:t>N</w:t>
            </w:r>
          </w:p>
        </w:tc>
      </w:tr>
      <w:tr w:rsidR="00A85B6A" w:rsidRPr="00A85B6A" w:rsidTr="003A7614">
        <w:tc>
          <w:tcPr>
            <w:tcW w:w="2835" w:type="dxa"/>
          </w:tcPr>
          <w:p w:rsidR="00A85B6A" w:rsidRPr="00D35908" w:rsidRDefault="00A85B6A" w:rsidP="002B605C">
            <w:r w:rsidRPr="00D35908">
              <w:t>Bleeding problem</w:t>
            </w:r>
          </w:p>
        </w:tc>
        <w:tc>
          <w:tcPr>
            <w:tcW w:w="1276" w:type="dxa"/>
          </w:tcPr>
          <w:p w:rsidR="00A85B6A" w:rsidRPr="00D35908" w:rsidRDefault="00A85B6A" w:rsidP="002B605C">
            <w:r w:rsidRPr="00D35908">
              <w:t>16</w:t>
            </w:r>
          </w:p>
        </w:tc>
      </w:tr>
      <w:tr w:rsidR="00A85B6A" w:rsidRPr="00A85B6A" w:rsidTr="003A7614">
        <w:tc>
          <w:tcPr>
            <w:tcW w:w="2835" w:type="dxa"/>
          </w:tcPr>
          <w:p w:rsidR="00A85B6A" w:rsidRPr="00D35908" w:rsidRDefault="00A85B6A" w:rsidP="002B605C">
            <w:r w:rsidRPr="00D35908">
              <w:t>On-going pregnancy</w:t>
            </w:r>
          </w:p>
        </w:tc>
        <w:tc>
          <w:tcPr>
            <w:tcW w:w="1276" w:type="dxa"/>
          </w:tcPr>
          <w:p w:rsidR="00A85B6A" w:rsidRPr="00D35908" w:rsidRDefault="00A85B6A" w:rsidP="002B605C">
            <w:r w:rsidRPr="00D35908">
              <w:t>6</w:t>
            </w:r>
          </w:p>
        </w:tc>
      </w:tr>
      <w:tr w:rsidR="00A85B6A" w:rsidRPr="00A85B6A" w:rsidTr="003A7614">
        <w:tc>
          <w:tcPr>
            <w:tcW w:w="2835" w:type="dxa"/>
          </w:tcPr>
          <w:p w:rsidR="00A85B6A" w:rsidRPr="00D35908" w:rsidRDefault="00A85B6A" w:rsidP="002B605C">
            <w:r w:rsidRPr="00D35908">
              <w:t>Persistent sac</w:t>
            </w:r>
          </w:p>
        </w:tc>
        <w:tc>
          <w:tcPr>
            <w:tcW w:w="1276" w:type="dxa"/>
          </w:tcPr>
          <w:p w:rsidR="00A85B6A" w:rsidRPr="00D35908" w:rsidRDefault="00A85B6A" w:rsidP="002B605C">
            <w:r w:rsidRPr="00D35908">
              <w:t>2</w:t>
            </w:r>
          </w:p>
        </w:tc>
      </w:tr>
      <w:tr w:rsidR="00A85B6A" w:rsidRPr="00A85B6A" w:rsidTr="003A7614">
        <w:tc>
          <w:tcPr>
            <w:tcW w:w="2835" w:type="dxa"/>
          </w:tcPr>
          <w:p w:rsidR="00A85B6A" w:rsidRPr="00D35908" w:rsidRDefault="00A85B6A" w:rsidP="002B605C">
            <w:r w:rsidRPr="00D35908">
              <w:t>Other</w:t>
            </w:r>
          </w:p>
        </w:tc>
        <w:tc>
          <w:tcPr>
            <w:tcW w:w="1276" w:type="dxa"/>
          </w:tcPr>
          <w:p w:rsidR="00A85B6A" w:rsidRPr="00D35908" w:rsidRDefault="00A85B6A" w:rsidP="002B605C">
            <w:r w:rsidRPr="00D35908">
              <w:t>2</w:t>
            </w:r>
          </w:p>
        </w:tc>
      </w:tr>
      <w:tr w:rsidR="00A85B6A" w:rsidRPr="00A85B6A" w:rsidTr="003A7614">
        <w:tc>
          <w:tcPr>
            <w:tcW w:w="2835" w:type="dxa"/>
          </w:tcPr>
          <w:p w:rsidR="00A85B6A" w:rsidRPr="00D35908" w:rsidRDefault="00A85B6A" w:rsidP="002B605C">
            <w:r w:rsidRPr="00D35908">
              <w:t>Total</w:t>
            </w:r>
          </w:p>
        </w:tc>
        <w:tc>
          <w:tcPr>
            <w:tcW w:w="1276" w:type="dxa"/>
          </w:tcPr>
          <w:p w:rsidR="00A85B6A" w:rsidRPr="00D35908" w:rsidRDefault="00A85B6A" w:rsidP="002B605C">
            <w:r w:rsidRPr="00D35908">
              <w:t>26</w:t>
            </w:r>
          </w:p>
        </w:tc>
      </w:tr>
    </w:tbl>
    <w:p w:rsidR="00A85B6A" w:rsidRPr="00A85B6A" w:rsidRDefault="00A85B6A" w:rsidP="002B605C">
      <w:pPr>
        <w:pStyle w:val="Heading6"/>
      </w:pPr>
      <w:r w:rsidRPr="00A85B6A">
        <w:t xml:space="preserve">Literature </w:t>
      </w:r>
      <w:r w:rsidRPr="002B605C">
        <w:t>review</w:t>
      </w:r>
    </w:p>
    <w:p w:rsidR="00A85B6A" w:rsidRPr="003A7614" w:rsidRDefault="00A85B6A" w:rsidP="002B605C">
      <w:r w:rsidRPr="003A7614">
        <w:t>The sponsor identified 6 studies, where the method was mifepristone (orally) followed by misoprostol (800</w:t>
      </w:r>
      <w:r w:rsidR="00E473C2" w:rsidRPr="003A7614">
        <w:t xml:space="preserve"> </w:t>
      </w:r>
      <w:r w:rsidR="00336C5D" w:rsidRPr="003A7614">
        <w:t>microgram</w:t>
      </w:r>
      <w:r w:rsidRPr="003A7614">
        <w:t xml:space="preserve"> </w:t>
      </w:r>
      <w:proofErr w:type="spellStart"/>
      <w:r w:rsidRPr="003A7614">
        <w:t>buccally</w:t>
      </w:r>
      <w:proofErr w:type="spellEnd"/>
      <w:r w:rsidRPr="003A7614">
        <w:t>); and where method failure was stratified by gestational age. The sample size for 50 + days stratum ranged from ~ 40 to ~ 400 women. The method failure rates were: 50-56 days: 2% to 14%; 57-63 days: 0% to 7%. Heterogeneity in study design and study quality; and concerns about the applicability of data from middle and low income countries to a high income country like Australia, make this literature review difficult to interpret. Further, the review only includes those studies that happened to provide data stratified by gestational age. These might be an unrepres</w:t>
      </w:r>
      <w:r w:rsidR="002B605C">
        <w:t>entative sample of all studies.</w:t>
      </w:r>
    </w:p>
    <w:p w:rsidR="00A85B6A" w:rsidRPr="003A7614" w:rsidRDefault="00A85B6A" w:rsidP="002B605C">
      <w:r w:rsidRPr="003A7614">
        <w:t>A systematic review (Raymond 2012) assessing first trimester medical abortion with mifepristone 200 mg and misoprostol identified 87 trials with 47,283 treated women, with pregnancies of up to 63 days. There was no breakdown by gestational age.</w:t>
      </w:r>
    </w:p>
    <w:p w:rsidR="00A85B6A" w:rsidRPr="003A7614" w:rsidRDefault="00A85B6A" w:rsidP="002B605C">
      <w:r w:rsidRPr="003A7614">
        <w:t xml:space="preserve">The method failure rate in the subgroup who received mifepristone with misoprostol ≥ 800 </w:t>
      </w:r>
      <w:r w:rsidR="00336C5D" w:rsidRPr="003A7614">
        <w:t>microgram</w:t>
      </w:r>
      <w:r w:rsidRPr="003A7614">
        <w:t xml:space="preserve"> for the various routes of administration of misoprostol was 3.2% (71/2205) for buccal, 6.5% (158/2449) for oral, 5.2% (52/1003) for sublingual an</w:t>
      </w:r>
      <w:r w:rsidR="002B605C">
        <w:t>d 3.4% (653/19210) for vaginal.</w:t>
      </w:r>
    </w:p>
    <w:p w:rsidR="00A85B6A" w:rsidRPr="00A85B6A" w:rsidRDefault="00A85B6A" w:rsidP="002B605C">
      <w:pPr>
        <w:pStyle w:val="Heading6"/>
      </w:pPr>
      <w:r w:rsidRPr="00A85B6A">
        <w:t>Data from the Australian Authorised Prescriber Program, 2012</w:t>
      </w:r>
    </w:p>
    <w:p w:rsidR="00A85B6A" w:rsidRDefault="00A85B6A" w:rsidP="00A85B6A">
      <w:r w:rsidRPr="00A85B6A">
        <w:t>The sponsor collected efficacy and safety data during the Authori</w:t>
      </w:r>
      <w:r w:rsidR="002B605C">
        <w:t>sed Prescriber Program in 2012.</w:t>
      </w:r>
    </w:p>
    <w:p w:rsidR="00A85B6A" w:rsidRPr="002B605C" w:rsidRDefault="00A85B6A" w:rsidP="002B605C">
      <w:pPr>
        <w:pStyle w:val="TableTitle"/>
      </w:pPr>
      <w:proofErr w:type="gramStart"/>
      <w:r>
        <w:t>Table 8.</w:t>
      </w:r>
      <w:proofErr w:type="gramEnd"/>
      <w:r>
        <w:t xml:space="preserve"> Authorised Prescriber data</w:t>
      </w:r>
    </w:p>
    <w:tbl>
      <w:tblPr>
        <w:tblStyle w:val="TableTGAblue"/>
        <w:tblW w:w="0" w:type="auto"/>
        <w:tblLook w:val="0480" w:firstRow="0" w:lastRow="0" w:firstColumn="1" w:lastColumn="0" w:noHBand="0" w:noVBand="1"/>
      </w:tblPr>
      <w:tblGrid>
        <w:gridCol w:w="1534"/>
        <w:gridCol w:w="7136"/>
      </w:tblGrid>
      <w:tr w:rsidR="00A85B6A" w:rsidRPr="00A85B6A" w:rsidTr="002B605C">
        <w:trPr>
          <w:trHeight w:val="1296"/>
        </w:trPr>
        <w:tc>
          <w:tcPr>
            <w:tcW w:w="1326" w:type="dxa"/>
          </w:tcPr>
          <w:p w:rsidR="00A85B6A" w:rsidRPr="002B605C" w:rsidRDefault="00A85B6A" w:rsidP="002B605C">
            <w:pPr>
              <w:ind w:left="0" w:right="35"/>
              <w:rPr>
                <w:b/>
              </w:rPr>
            </w:pPr>
            <w:r w:rsidRPr="002B605C">
              <w:rPr>
                <w:b/>
              </w:rPr>
              <w:t>Patients</w:t>
            </w:r>
          </w:p>
        </w:tc>
        <w:tc>
          <w:tcPr>
            <w:tcW w:w="7136" w:type="dxa"/>
          </w:tcPr>
          <w:p w:rsidR="00A85B6A" w:rsidRPr="00D35908" w:rsidRDefault="00A85B6A" w:rsidP="002B605C">
            <w:pPr>
              <w:ind w:left="0" w:right="35"/>
            </w:pPr>
            <w:r w:rsidRPr="00D35908">
              <w:t xml:space="preserve">Women attending prescribers who were part of the Marie </w:t>
            </w:r>
            <w:r w:rsidR="00BA6530" w:rsidRPr="00D35908">
              <w:t xml:space="preserve">Stopes </w:t>
            </w:r>
            <w:r w:rsidRPr="00D35908">
              <w:t>International Australia Authorised Prescriber Program</w:t>
            </w:r>
          </w:p>
          <w:p w:rsidR="00A85B6A" w:rsidRPr="00D35908" w:rsidRDefault="00A85B6A" w:rsidP="002B605C">
            <w:pPr>
              <w:ind w:left="0" w:right="35"/>
            </w:pPr>
            <w:r w:rsidRPr="00D35908">
              <w:t>4488/7166 (63%) had pregnancies &lt;49 days gestation.</w:t>
            </w:r>
          </w:p>
          <w:p w:rsidR="00A85B6A" w:rsidRPr="00D35908" w:rsidRDefault="00A85B6A" w:rsidP="002B605C">
            <w:pPr>
              <w:ind w:left="0" w:right="35"/>
            </w:pPr>
            <w:r w:rsidRPr="00D35908">
              <w:t>2678/7166 (37%) had pregnancies 49-63 days gestation</w:t>
            </w:r>
          </w:p>
        </w:tc>
      </w:tr>
      <w:tr w:rsidR="00A85B6A" w:rsidRPr="00A85B6A" w:rsidTr="002B605C">
        <w:trPr>
          <w:trHeight w:val="864"/>
        </w:trPr>
        <w:tc>
          <w:tcPr>
            <w:tcW w:w="1326" w:type="dxa"/>
          </w:tcPr>
          <w:p w:rsidR="00A85B6A" w:rsidRPr="002B605C" w:rsidRDefault="00A85B6A" w:rsidP="002B605C">
            <w:pPr>
              <w:keepNext/>
              <w:ind w:left="0" w:right="35"/>
              <w:rPr>
                <w:b/>
              </w:rPr>
            </w:pPr>
            <w:r w:rsidRPr="002B605C">
              <w:rPr>
                <w:b/>
              </w:rPr>
              <w:lastRenderedPageBreak/>
              <w:t>Intervention</w:t>
            </w:r>
          </w:p>
        </w:tc>
        <w:tc>
          <w:tcPr>
            <w:tcW w:w="7136" w:type="dxa"/>
          </w:tcPr>
          <w:p w:rsidR="00A85B6A" w:rsidRPr="00D35908" w:rsidRDefault="00A85B6A" w:rsidP="002B605C">
            <w:pPr>
              <w:ind w:left="0" w:right="35"/>
            </w:pPr>
            <w:r w:rsidRPr="00D35908">
              <w:t xml:space="preserve">Medical terminations were performed using mifepristone 200 mg followed by misoprostol 800 </w:t>
            </w:r>
            <w:r w:rsidR="00336C5D" w:rsidRPr="00D35908">
              <w:t>microgram</w:t>
            </w:r>
            <w:r w:rsidRPr="00D35908">
              <w:t xml:space="preserve"> </w:t>
            </w:r>
            <w:proofErr w:type="spellStart"/>
            <w:r w:rsidRPr="00D35908">
              <w:t>bucally</w:t>
            </w:r>
            <w:proofErr w:type="spellEnd"/>
            <w:r w:rsidRPr="00D35908">
              <w:t xml:space="preserve">. If no bleeding occurred within 24 hours of the misoprostol dose a second 800 </w:t>
            </w:r>
            <w:r w:rsidR="00336C5D" w:rsidRPr="00D35908">
              <w:t>microgram</w:t>
            </w:r>
            <w:r w:rsidRPr="00D35908">
              <w:t xml:space="preserve"> dose was given.</w:t>
            </w:r>
          </w:p>
        </w:tc>
      </w:tr>
      <w:tr w:rsidR="00A85B6A" w:rsidRPr="00A85B6A" w:rsidTr="002B605C">
        <w:trPr>
          <w:trHeight w:val="432"/>
        </w:trPr>
        <w:tc>
          <w:tcPr>
            <w:tcW w:w="1326" w:type="dxa"/>
          </w:tcPr>
          <w:p w:rsidR="00A85B6A" w:rsidRPr="002B605C" w:rsidRDefault="00A85B6A" w:rsidP="002B605C">
            <w:pPr>
              <w:ind w:left="0" w:right="35"/>
              <w:rPr>
                <w:b/>
              </w:rPr>
            </w:pPr>
            <w:r w:rsidRPr="002B605C">
              <w:rPr>
                <w:b/>
              </w:rPr>
              <w:t>Comparator</w:t>
            </w:r>
          </w:p>
        </w:tc>
        <w:tc>
          <w:tcPr>
            <w:tcW w:w="7136" w:type="dxa"/>
          </w:tcPr>
          <w:p w:rsidR="00A85B6A" w:rsidRPr="00D35908" w:rsidRDefault="00A85B6A" w:rsidP="002B605C">
            <w:pPr>
              <w:ind w:left="0" w:right="35"/>
            </w:pPr>
            <w:r w:rsidRPr="00D35908">
              <w:t>nil</w:t>
            </w:r>
          </w:p>
        </w:tc>
      </w:tr>
      <w:tr w:rsidR="00A85B6A" w:rsidRPr="00A85B6A" w:rsidTr="002B605C">
        <w:trPr>
          <w:trHeight w:val="432"/>
        </w:trPr>
        <w:tc>
          <w:tcPr>
            <w:tcW w:w="1326" w:type="dxa"/>
          </w:tcPr>
          <w:p w:rsidR="00A85B6A" w:rsidRPr="002B605C" w:rsidRDefault="00A85B6A" w:rsidP="002B605C">
            <w:pPr>
              <w:ind w:left="0" w:right="35"/>
              <w:rPr>
                <w:b/>
              </w:rPr>
            </w:pPr>
            <w:r w:rsidRPr="002B605C">
              <w:rPr>
                <w:b/>
              </w:rPr>
              <w:t>Endpoint</w:t>
            </w:r>
          </w:p>
        </w:tc>
        <w:tc>
          <w:tcPr>
            <w:tcW w:w="7136" w:type="dxa"/>
          </w:tcPr>
          <w:p w:rsidR="00A85B6A" w:rsidRPr="00D35908" w:rsidRDefault="00A85B6A" w:rsidP="002B605C">
            <w:pPr>
              <w:ind w:left="0" w:right="35"/>
            </w:pPr>
            <w:r w:rsidRPr="00D35908">
              <w:t>Method failure</w:t>
            </w:r>
          </w:p>
        </w:tc>
      </w:tr>
      <w:tr w:rsidR="00A85B6A" w:rsidRPr="00A85B6A" w:rsidTr="002B605C">
        <w:trPr>
          <w:trHeight w:val="648"/>
        </w:trPr>
        <w:tc>
          <w:tcPr>
            <w:tcW w:w="1326" w:type="dxa"/>
          </w:tcPr>
          <w:p w:rsidR="00A85B6A" w:rsidRPr="002B605C" w:rsidRDefault="00A85B6A" w:rsidP="002B605C">
            <w:pPr>
              <w:ind w:left="0" w:right="35"/>
              <w:rPr>
                <w:b/>
              </w:rPr>
            </w:pPr>
            <w:r w:rsidRPr="002B605C">
              <w:rPr>
                <w:b/>
              </w:rPr>
              <w:t>Follow up</w:t>
            </w:r>
          </w:p>
        </w:tc>
        <w:tc>
          <w:tcPr>
            <w:tcW w:w="7136" w:type="dxa"/>
          </w:tcPr>
          <w:p w:rsidR="00A85B6A" w:rsidRPr="00D35908" w:rsidRDefault="00A85B6A" w:rsidP="002B605C">
            <w:pPr>
              <w:ind w:left="0" w:right="35"/>
            </w:pPr>
            <w:r w:rsidRPr="00D35908">
              <w:t>Patients were followed up at 14-21 days post mifepristone dose. (79% returned for follow-up)</w:t>
            </w:r>
          </w:p>
        </w:tc>
      </w:tr>
    </w:tbl>
    <w:p w:rsidR="00A85B6A" w:rsidRPr="002B605C" w:rsidRDefault="00A85B6A" w:rsidP="002B605C">
      <w:pPr>
        <w:pStyle w:val="TableTitle"/>
      </w:pPr>
      <w:proofErr w:type="gramStart"/>
      <w:r>
        <w:t>Table 9.</w:t>
      </w:r>
      <w:proofErr w:type="gramEnd"/>
      <w:r>
        <w:t xml:space="preserve"> </w:t>
      </w:r>
      <w:r w:rsidRPr="00A85B6A">
        <w:t>Outcome by gestational age, Authorised Prescriber Program (n=7166)</w:t>
      </w:r>
    </w:p>
    <w:tbl>
      <w:tblPr>
        <w:tblStyle w:val="TableTGAblue"/>
        <w:tblW w:w="0" w:type="auto"/>
        <w:tblLook w:val="04A0" w:firstRow="1" w:lastRow="0" w:firstColumn="1" w:lastColumn="0" w:noHBand="0" w:noVBand="1"/>
      </w:tblPr>
      <w:tblGrid>
        <w:gridCol w:w="2660"/>
        <w:gridCol w:w="1276"/>
        <w:gridCol w:w="1417"/>
        <w:gridCol w:w="1418"/>
        <w:gridCol w:w="1559"/>
      </w:tblGrid>
      <w:tr w:rsidR="00A85B6A" w:rsidRPr="00A85B6A" w:rsidTr="004D3EE7">
        <w:trPr>
          <w:cnfStyle w:val="100000000000" w:firstRow="1" w:lastRow="0" w:firstColumn="0" w:lastColumn="0" w:oddVBand="0" w:evenVBand="0" w:oddHBand="0" w:evenHBand="0" w:firstRowFirstColumn="0" w:firstRowLastColumn="0" w:lastRowFirstColumn="0" w:lastRowLastColumn="0"/>
        </w:trPr>
        <w:tc>
          <w:tcPr>
            <w:tcW w:w="2660" w:type="dxa"/>
          </w:tcPr>
          <w:p w:rsidR="00A85B6A" w:rsidRPr="00AF45CD" w:rsidRDefault="00A85B6A" w:rsidP="002B605C">
            <w:pPr>
              <w:ind w:left="0" w:right="0"/>
            </w:pPr>
          </w:p>
        </w:tc>
        <w:tc>
          <w:tcPr>
            <w:tcW w:w="1276" w:type="dxa"/>
          </w:tcPr>
          <w:p w:rsidR="00A85B6A" w:rsidRPr="00AF45CD" w:rsidRDefault="00A85B6A" w:rsidP="002B605C">
            <w:pPr>
              <w:ind w:left="0" w:right="0"/>
            </w:pPr>
            <w:r w:rsidRPr="00AF45CD">
              <w:t>&lt; 49 days</w:t>
            </w:r>
          </w:p>
        </w:tc>
        <w:tc>
          <w:tcPr>
            <w:tcW w:w="1417" w:type="dxa"/>
          </w:tcPr>
          <w:p w:rsidR="00A85B6A" w:rsidRPr="00AF45CD" w:rsidRDefault="00A85B6A" w:rsidP="002B605C">
            <w:pPr>
              <w:ind w:left="0" w:right="0"/>
            </w:pPr>
            <w:r w:rsidRPr="00AF45CD">
              <w:t>49-55 days</w:t>
            </w:r>
          </w:p>
        </w:tc>
        <w:tc>
          <w:tcPr>
            <w:tcW w:w="1418" w:type="dxa"/>
          </w:tcPr>
          <w:p w:rsidR="00A85B6A" w:rsidRPr="00AF45CD" w:rsidRDefault="00A85B6A" w:rsidP="002B605C">
            <w:pPr>
              <w:ind w:left="0" w:right="0"/>
            </w:pPr>
            <w:r w:rsidRPr="00AF45CD">
              <w:t>56-63 days</w:t>
            </w:r>
          </w:p>
        </w:tc>
        <w:tc>
          <w:tcPr>
            <w:tcW w:w="1559" w:type="dxa"/>
          </w:tcPr>
          <w:p w:rsidR="00516A98" w:rsidRPr="00AF45CD" w:rsidRDefault="00A85B6A" w:rsidP="002B605C">
            <w:pPr>
              <w:ind w:left="0" w:right="0"/>
            </w:pPr>
            <w:r w:rsidRPr="00AF45CD">
              <w:t>Total</w:t>
            </w:r>
          </w:p>
        </w:tc>
      </w:tr>
      <w:tr w:rsidR="00A85B6A" w:rsidRPr="00A85B6A" w:rsidTr="004D3EE7">
        <w:tc>
          <w:tcPr>
            <w:tcW w:w="2660" w:type="dxa"/>
          </w:tcPr>
          <w:p w:rsidR="00A85B6A" w:rsidRPr="00AF45CD" w:rsidRDefault="00A85B6A" w:rsidP="002B605C">
            <w:pPr>
              <w:ind w:left="0" w:right="0"/>
            </w:pPr>
            <w:r w:rsidRPr="00AF45CD">
              <w:t>Complete medical termination, n (%)</w:t>
            </w:r>
          </w:p>
        </w:tc>
        <w:tc>
          <w:tcPr>
            <w:tcW w:w="1276" w:type="dxa"/>
          </w:tcPr>
          <w:p w:rsidR="00A85B6A" w:rsidRPr="00AF45CD" w:rsidRDefault="00A85B6A" w:rsidP="002B605C">
            <w:pPr>
              <w:ind w:left="0" w:right="0"/>
            </w:pPr>
            <w:r w:rsidRPr="00AF45CD">
              <w:t>4370 (97.4)</w:t>
            </w:r>
          </w:p>
        </w:tc>
        <w:tc>
          <w:tcPr>
            <w:tcW w:w="1417" w:type="dxa"/>
          </w:tcPr>
          <w:p w:rsidR="00A85B6A" w:rsidRPr="00AF45CD" w:rsidRDefault="00A85B6A" w:rsidP="002B605C">
            <w:pPr>
              <w:ind w:left="0" w:right="0"/>
            </w:pPr>
            <w:r w:rsidRPr="00AF45CD">
              <w:t>1846 (94.6)</w:t>
            </w:r>
          </w:p>
        </w:tc>
        <w:tc>
          <w:tcPr>
            <w:tcW w:w="1418" w:type="dxa"/>
          </w:tcPr>
          <w:p w:rsidR="00A85B6A" w:rsidRPr="00AF45CD" w:rsidRDefault="00A85B6A" w:rsidP="002B605C">
            <w:pPr>
              <w:ind w:left="0" w:right="0"/>
            </w:pPr>
            <w:r w:rsidRPr="00AF45CD">
              <w:t>704 (96.8)</w:t>
            </w:r>
          </w:p>
        </w:tc>
        <w:tc>
          <w:tcPr>
            <w:tcW w:w="1559" w:type="dxa"/>
          </w:tcPr>
          <w:p w:rsidR="00A85B6A" w:rsidRPr="00AF45CD" w:rsidRDefault="00A85B6A" w:rsidP="002B605C">
            <w:pPr>
              <w:ind w:left="0" w:right="0"/>
            </w:pPr>
            <w:r w:rsidRPr="00AF45CD">
              <w:t>6920 (96.6)</w:t>
            </w:r>
          </w:p>
        </w:tc>
      </w:tr>
      <w:tr w:rsidR="00A85B6A" w:rsidRPr="00A85B6A" w:rsidTr="004D3EE7">
        <w:tc>
          <w:tcPr>
            <w:tcW w:w="2660" w:type="dxa"/>
          </w:tcPr>
          <w:p w:rsidR="00A85B6A" w:rsidRPr="00AF45CD" w:rsidRDefault="00A85B6A" w:rsidP="002B605C">
            <w:pPr>
              <w:ind w:left="0" w:right="0"/>
            </w:pPr>
            <w:r w:rsidRPr="00AF45CD">
              <w:t>Surgical evacuation, n (%)</w:t>
            </w:r>
          </w:p>
        </w:tc>
        <w:tc>
          <w:tcPr>
            <w:tcW w:w="1276" w:type="dxa"/>
          </w:tcPr>
          <w:p w:rsidR="00A85B6A" w:rsidRPr="00AF45CD" w:rsidRDefault="00A85B6A" w:rsidP="002B605C">
            <w:pPr>
              <w:ind w:left="0" w:right="0"/>
            </w:pPr>
            <w:r w:rsidRPr="00AF45CD">
              <w:t>103 (2.3)</w:t>
            </w:r>
          </w:p>
        </w:tc>
        <w:tc>
          <w:tcPr>
            <w:tcW w:w="1417" w:type="dxa"/>
          </w:tcPr>
          <w:p w:rsidR="00A85B6A" w:rsidRPr="00AF45CD" w:rsidRDefault="00A85B6A" w:rsidP="002B605C">
            <w:pPr>
              <w:ind w:left="0" w:right="0"/>
            </w:pPr>
            <w:r w:rsidRPr="00AF45CD">
              <w:t>94 (4.8)</w:t>
            </w:r>
          </w:p>
        </w:tc>
        <w:tc>
          <w:tcPr>
            <w:tcW w:w="1418" w:type="dxa"/>
          </w:tcPr>
          <w:p w:rsidR="00A85B6A" w:rsidRPr="00AF45CD" w:rsidRDefault="00A85B6A" w:rsidP="002B605C">
            <w:pPr>
              <w:ind w:left="0" w:right="0"/>
            </w:pPr>
            <w:r w:rsidRPr="00AF45CD">
              <w:t>17 (2.3)</w:t>
            </w:r>
          </w:p>
        </w:tc>
        <w:tc>
          <w:tcPr>
            <w:tcW w:w="1559" w:type="dxa"/>
          </w:tcPr>
          <w:p w:rsidR="00A85B6A" w:rsidRPr="00AF45CD" w:rsidRDefault="00A85B6A" w:rsidP="002B605C">
            <w:pPr>
              <w:ind w:left="0" w:right="0"/>
            </w:pPr>
            <w:r w:rsidRPr="00AF45CD">
              <w:t>214 (3.0)</w:t>
            </w:r>
          </w:p>
        </w:tc>
      </w:tr>
      <w:tr w:rsidR="00A85B6A" w:rsidRPr="00A85B6A" w:rsidTr="004D3EE7">
        <w:tc>
          <w:tcPr>
            <w:tcW w:w="2660" w:type="dxa"/>
          </w:tcPr>
          <w:p w:rsidR="00A85B6A" w:rsidRPr="00AF45CD" w:rsidRDefault="00A85B6A" w:rsidP="002B605C">
            <w:pPr>
              <w:ind w:left="0" w:right="0"/>
            </w:pPr>
            <w:r w:rsidRPr="00AF45CD">
              <w:t>Continuing pregnancy</w:t>
            </w:r>
          </w:p>
        </w:tc>
        <w:tc>
          <w:tcPr>
            <w:tcW w:w="1276" w:type="dxa"/>
          </w:tcPr>
          <w:p w:rsidR="00A85B6A" w:rsidRPr="00AF45CD" w:rsidRDefault="00A85B6A" w:rsidP="002B605C">
            <w:pPr>
              <w:ind w:left="0" w:right="0"/>
            </w:pPr>
            <w:r w:rsidRPr="00AF45CD">
              <w:t>15 (0.3)</w:t>
            </w:r>
          </w:p>
        </w:tc>
        <w:tc>
          <w:tcPr>
            <w:tcW w:w="1417" w:type="dxa"/>
          </w:tcPr>
          <w:p w:rsidR="00A85B6A" w:rsidRPr="00AF45CD" w:rsidRDefault="00A85B6A" w:rsidP="002B605C">
            <w:pPr>
              <w:ind w:left="0" w:right="0"/>
            </w:pPr>
            <w:r w:rsidRPr="00AF45CD">
              <w:t>11 (0.6)</w:t>
            </w:r>
          </w:p>
        </w:tc>
        <w:tc>
          <w:tcPr>
            <w:tcW w:w="1418" w:type="dxa"/>
          </w:tcPr>
          <w:p w:rsidR="00A85B6A" w:rsidRPr="00AF45CD" w:rsidRDefault="00A85B6A" w:rsidP="002B605C">
            <w:pPr>
              <w:ind w:left="0" w:right="0"/>
            </w:pPr>
            <w:r w:rsidRPr="00AF45CD">
              <w:t>6 (0.8)</w:t>
            </w:r>
          </w:p>
        </w:tc>
        <w:tc>
          <w:tcPr>
            <w:tcW w:w="1559" w:type="dxa"/>
          </w:tcPr>
          <w:p w:rsidR="00A85B6A" w:rsidRPr="00AF45CD" w:rsidRDefault="00A85B6A" w:rsidP="002B605C">
            <w:pPr>
              <w:ind w:left="0" w:right="0"/>
            </w:pPr>
            <w:r w:rsidRPr="00AF45CD">
              <w:t>32 (0.4)</w:t>
            </w:r>
          </w:p>
        </w:tc>
      </w:tr>
    </w:tbl>
    <w:p w:rsidR="00A85B6A" w:rsidRPr="00A85B6A" w:rsidRDefault="00A85B6A" w:rsidP="002B605C">
      <w:pPr>
        <w:pStyle w:val="TableDescription"/>
      </w:pPr>
      <w:r w:rsidRPr="00A85B6A">
        <w:t>The categories are slightly different from Mexican study (only by one day; &lt;</w:t>
      </w:r>
      <w:r>
        <w:t> </w:t>
      </w:r>
      <w:r w:rsidRPr="00A85B6A">
        <w:t>49 rather than &lt;</w:t>
      </w:r>
      <w:r>
        <w:t> </w:t>
      </w:r>
      <w:r w:rsidRPr="00A85B6A">
        <w:t>=</w:t>
      </w:r>
      <w:r>
        <w:t> </w:t>
      </w:r>
      <w:r w:rsidRPr="00A85B6A">
        <w:t>49)</w:t>
      </w:r>
    </w:p>
    <w:p w:rsidR="00A85B6A" w:rsidRDefault="00A85B6A" w:rsidP="002B605C">
      <w:pPr>
        <w:pStyle w:val="TableDescription"/>
      </w:pPr>
      <w:r w:rsidRPr="00A85B6A">
        <w:t xml:space="preserve">For 49-63 days: </w:t>
      </w:r>
      <w:r w:rsidR="008C4C26" w:rsidRPr="00502E20">
        <w:t>128 / (2550 + 128) x 100% = 4.8%</w:t>
      </w:r>
    </w:p>
    <w:p w:rsidR="00A85B6A" w:rsidRPr="002B605C" w:rsidRDefault="00A85B6A" w:rsidP="002B605C">
      <w:pPr>
        <w:pStyle w:val="Heading6"/>
      </w:pPr>
      <w:r w:rsidRPr="00A85B6A">
        <w:t xml:space="preserve">Interim data from the post-registration study (Mar 2013-Dec 2013) </w:t>
      </w:r>
    </w:p>
    <w:p w:rsidR="00A85B6A" w:rsidRDefault="00A85B6A" w:rsidP="002B605C">
      <w:r w:rsidRPr="00A85B6A">
        <w:t>Four months of data from MSIA clinics (Melbourne, Sydney, Brisbane, Canberra, Perth, Newcastle, Gold Coast, Rockhampton, Townsville). Women are either self-referred or referred by their GP. (In Western Australia, all women must be referred by a doctor, by law.) All women had ultrasound dating. All women who returned to the clinic for follow-up had a repeat ultrasound.</w:t>
      </w:r>
    </w:p>
    <w:p w:rsidR="00A85B6A" w:rsidRPr="002B605C" w:rsidRDefault="00A85B6A" w:rsidP="002B605C">
      <w:pPr>
        <w:pStyle w:val="TableTitle"/>
      </w:pPr>
      <w:proofErr w:type="gramStart"/>
      <w:r>
        <w:t>Table 10.</w:t>
      </w:r>
      <w:proofErr w:type="gramEnd"/>
      <w:r>
        <w:t xml:space="preserve"> Data from Marie </w:t>
      </w:r>
      <w:r w:rsidR="004D45F9">
        <w:t xml:space="preserve">Stopes </w:t>
      </w:r>
      <w:r>
        <w:t>International Australia clinics</w:t>
      </w:r>
    </w:p>
    <w:tbl>
      <w:tblPr>
        <w:tblStyle w:val="TableTGAblue"/>
        <w:tblW w:w="0" w:type="auto"/>
        <w:tblLook w:val="0480" w:firstRow="0" w:lastRow="0" w:firstColumn="1" w:lastColumn="0" w:noHBand="0" w:noVBand="1"/>
      </w:tblPr>
      <w:tblGrid>
        <w:gridCol w:w="1461"/>
        <w:gridCol w:w="7151"/>
      </w:tblGrid>
      <w:tr w:rsidR="00A85B6A" w:rsidRPr="00A85B6A" w:rsidTr="002B605C">
        <w:tc>
          <w:tcPr>
            <w:tcW w:w="1461" w:type="dxa"/>
          </w:tcPr>
          <w:p w:rsidR="00A85B6A" w:rsidRPr="002B605C" w:rsidRDefault="00A85B6A" w:rsidP="002B605C">
            <w:pPr>
              <w:ind w:left="0" w:right="0"/>
              <w:rPr>
                <w:b/>
              </w:rPr>
            </w:pPr>
            <w:r w:rsidRPr="002B605C">
              <w:rPr>
                <w:b/>
              </w:rPr>
              <w:t>Patients</w:t>
            </w:r>
          </w:p>
        </w:tc>
        <w:tc>
          <w:tcPr>
            <w:tcW w:w="7151" w:type="dxa"/>
          </w:tcPr>
          <w:p w:rsidR="00A85B6A" w:rsidRPr="00A85B6A" w:rsidRDefault="00A85B6A" w:rsidP="002B605C">
            <w:pPr>
              <w:ind w:left="0" w:right="0"/>
            </w:pPr>
            <w:r w:rsidRPr="00A85B6A">
              <w:t xml:space="preserve">Women attending Marie </w:t>
            </w:r>
            <w:r w:rsidR="004D45F9" w:rsidRPr="00A85B6A">
              <w:t>Sto</w:t>
            </w:r>
            <w:r w:rsidR="004D45F9">
              <w:t>p</w:t>
            </w:r>
            <w:r w:rsidR="004D45F9" w:rsidRPr="00A85B6A">
              <w:t xml:space="preserve">es </w:t>
            </w:r>
            <w:r w:rsidRPr="00A85B6A">
              <w:t>International Australia clinics.</w:t>
            </w:r>
          </w:p>
          <w:p w:rsidR="00A85B6A" w:rsidRPr="00A85B6A" w:rsidRDefault="00A85B6A" w:rsidP="002B605C">
            <w:pPr>
              <w:ind w:left="0" w:right="0"/>
            </w:pPr>
            <w:r w:rsidRPr="00A85B6A">
              <w:t>Average age: 29 years.</w:t>
            </w:r>
          </w:p>
        </w:tc>
      </w:tr>
      <w:tr w:rsidR="00A85B6A" w:rsidRPr="00A85B6A" w:rsidTr="002B605C">
        <w:tc>
          <w:tcPr>
            <w:tcW w:w="1461" w:type="dxa"/>
          </w:tcPr>
          <w:p w:rsidR="00A85B6A" w:rsidRPr="002B605C" w:rsidRDefault="00A85B6A" w:rsidP="002B605C">
            <w:pPr>
              <w:ind w:left="0" w:right="0"/>
              <w:rPr>
                <w:b/>
                <w:sz w:val="20"/>
                <w:szCs w:val="20"/>
              </w:rPr>
            </w:pPr>
            <w:r w:rsidRPr="002B605C">
              <w:rPr>
                <w:b/>
                <w:sz w:val="20"/>
                <w:szCs w:val="20"/>
              </w:rPr>
              <w:t>Intervention</w:t>
            </w:r>
          </w:p>
        </w:tc>
        <w:tc>
          <w:tcPr>
            <w:tcW w:w="7151" w:type="dxa"/>
          </w:tcPr>
          <w:p w:rsidR="00A85B6A" w:rsidRPr="00AF45CD" w:rsidRDefault="00A85B6A" w:rsidP="002B605C">
            <w:pPr>
              <w:ind w:left="0" w:right="0"/>
              <w:rPr>
                <w:sz w:val="20"/>
                <w:szCs w:val="20"/>
              </w:rPr>
            </w:pPr>
            <w:r w:rsidRPr="00AF45CD">
              <w:rPr>
                <w:sz w:val="20"/>
                <w:szCs w:val="20"/>
              </w:rPr>
              <w:t>All had mifepristone 200mg, followed by misoprostol 800</w:t>
            </w:r>
            <w:r w:rsidR="00E473C2" w:rsidRPr="00AF45CD">
              <w:rPr>
                <w:sz w:val="20"/>
                <w:szCs w:val="20"/>
              </w:rPr>
              <w:t xml:space="preserve"> </w:t>
            </w:r>
            <w:r w:rsidR="00336C5D" w:rsidRPr="00AF45CD">
              <w:rPr>
                <w:sz w:val="20"/>
                <w:szCs w:val="20"/>
              </w:rPr>
              <w:t>microgram</w:t>
            </w:r>
            <w:r w:rsidRPr="00AF45CD">
              <w:rPr>
                <w:sz w:val="20"/>
                <w:szCs w:val="20"/>
              </w:rPr>
              <w:t xml:space="preserve">, </w:t>
            </w:r>
            <w:proofErr w:type="spellStart"/>
            <w:r w:rsidRPr="00AF45CD">
              <w:rPr>
                <w:sz w:val="20"/>
                <w:szCs w:val="20"/>
              </w:rPr>
              <w:t>buccally</w:t>
            </w:r>
            <w:proofErr w:type="spellEnd"/>
          </w:p>
        </w:tc>
      </w:tr>
      <w:tr w:rsidR="00A85B6A" w:rsidRPr="00A85B6A" w:rsidTr="002B605C">
        <w:tc>
          <w:tcPr>
            <w:tcW w:w="1461" w:type="dxa"/>
          </w:tcPr>
          <w:p w:rsidR="00A85B6A" w:rsidRPr="002B605C" w:rsidRDefault="00A85B6A" w:rsidP="002B605C">
            <w:pPr>
              <w:ind w:left="0" w:right="0"/>
              <w:rPr>
                <w:b/>
                <w:sz w:val="20"/>
                <w:szCs w:val="20"/>
              </w:rPr>
            </w:pPr>
            <w:r w:rsidRPr="002B605C">
              <w:rPr>
                <w:b/>
                <w:sz w:val="20"/>
                <w:szCs w:val="20"/>
              </w:rPr>
              <w:t>Comparator</w:t>
            </w:r>
          </w:p>
        </w:tc>
        <w:tc>
          <w:tcPr>
            <w:tcW w:w="7151" w:type="dxa"/>
          </w:tcPr>
          <w:p w:rsidR="00A85B6A" w:rsidRPr="00AF45CD" w:rsidRDefault="00A85B6A" w:rsidP="002B605C">
            <w:pPr>
              <w:ind w:left="0" w:right="0"/>
              <w:rPr>
                <w:sz w:val="20"/>
                <w:szCs w:val="20"/>
              </w:rPr>
            </w:pPr>
            <w:r w:rsidRPr="00AF45CD">
              <w:rPr>
                <w:sz w:val="20"/>
                <w:szCs w:val="20"/>
              </w:rPr>
              <w:t>Nil</w:t>
            </w:r>
          </w:p>
        </w:tc>
      </w:tr>
      <w:tr w:rsidR="00A85B6A" w:rsidRPr="00A85B6A" w:rsidTr="002B605C">
        <w:tc>
          <w:tcPr>
            <w:tcW w:w="1461" w:type="dxa"/>
          </w:tcPr>
          <w:p w:rsidR="00A85B6A" w:rsidRPr="002B605C" w:rsidRDefault="00A85B6A" w:rsidP="002B605C">
            <w:pPr>
              <w:ind w:left="0" w:right="0"/>
              <w:rPr>
                <w:b/>
                <w:sz w:val="20"/>
                <w:szCs w:val="20"/>
              </w:rPr>
            </w:pPr>
            <w:r w:rsidRPr="002B605C">
              <w:rPr>
                <w:b/>
                <w:sz w:val="20"/>
                <w:szCs w:val="20"/>
              </w:rPr>
              <w:t>Endpoint</w:t>
            </w:r>
          </w:p>
        </w:tc>
        <w:tc>
          <w:tcPr>
            <w:tcW w:w="7151" w:type="dxa"/>
          </w:tcPr>
          <w:p w:rsidR="00A85B6A" w:rsidRPr="00AF45CD" w:rsidRDefault="00A85B6A" w:rsidP="002B605C">
            <w:pPr>
              <w:ind w:left="0" w:right="0"/>
              <w:rPr>
                <w:sz w:val="20"/>
                <w:szCs w:val="20"/>
              </w:rPr>
            </w:pPr>
            <w:r w:rsidRPr="00AF45CD">
              <w:rPr>
                <w:sz w:val="20"/>
                <w:szCs w:val="20"/>
              </w:rPr>
              <w:t>Method failure</w:t>
            </w:r>
          </w:p>
        </w:tc>
      </w:tr>
      <w:tr w:rsidR="00A85B6A" w:rsidRPr="00A85B6A" w:rsidTr="002B605C">
        <w:tc>
          <w:tcPr>
            <w:tcW w:w="1461" w:type="dxa"/>
          </w:tcPr>
          <w:p w:rsidR="00A85B6A" w:rsidRPr="002B605C" w:rsidRDefault="00A85B6A" w:rsidP="002B605C">
            <w:pPr>
              <w:ind w:left="0" w:right="0"/>
              <w:rPr>
                <w:b/>
                <w:sz w:val="20"/>
                <w:szCs w:val="20"/>
              </w:rPr>
            </w:pPr>
            <w:r w:rsidRPr="002B605C">
              <w:rPr>
                <w:b/>
                <w:sz w:val="20"/>
                <w:szCs w:val="20"/>
              </w:rPr>
              <w:t>Follow-up</w:t>
            </w:r>
          </w:p>
        </w:tc>
        <w:tc>
          <w:tcPr>
            <w:tcW w:w="7151" w:type="dxa"/>
          </w:tcPr>
          <w:p w:rsidR="00A85B6A" w:rsidRPr="00AF45CD" w:rsidRDefault="00A85B6A" w:rsidP="002B605C">
            <w:pPr>
              <w:ind w:left="0" w:right="0"/>
              <w:rPr>
                <w:sz w:val="20"/>
                <w:szCs w:val="20"/>
              </w:rPr>
            </w:pPr>
            <w:r w:rsidRPr="00AF45CD">
              <w:rPr>
                <w:sz w:val="20"/>
                <w:szCs w:val="20"/>
              </w:rPr>
              <w:t>3561 (79%) returned to the clinic.</w:t>
            </w:r>
          </w:p>
          <w:p w:rsidR="00A85B6A" w:rsidRPr="00AF45CD" w:rsidRDefault="00A85B6A" w:rsidP="002B605C">
            <w:pPr>
              <w:ind w:left="0" w:right="0"/>
              <w:rPr>
                <w:sz w:val="20"/>
                <w:szCs w:val="20"/>
              </w:rPr>
            </w:pPr>
            <w:r w:rsidRPr="00AF45CD">
              <w:rPr>
                <w:sz w:val="20"/>
                <w:szCs w:val="20"/>
              </w:rPr>
              <w:t>355 (8%) had telephone follow-up</w:t>
            </w:r>
          </w:p>
          <w:p w:rsidR="00A85B6A" w:rsidRPr="00AF45CD" w:rsidRDefault="00A85B6A" w:rsidP="002B605C">
            <w:pPr>
              <w:ind w:left="0" w:right="0"/>
              <w:rPr>
                <w:sz w:val="20"/>
                <w:szCs w:val="20"/>
              </w:rPr>
            </w:pPr>
            <w:r w:rsidRPr="00AF45CD">
              <w:rPr>
                <w:sz w:val="20"/>
                <w:szCs w:val="20"/>
              </w:rPr>
              <w:t>574 (17%) were lost to follow-up; these women did not respond to repeated phone calls and a registered letter.</w:t>
            </w:r>
          </w:p>
        </w:tc>
      </w:tr>
    </w:tbl>
    <w:p w:rsidR="00A85B6A" w:rsidRPr="002B605C" w:rsidRDefault="00A85B6A" w:rsidP="002B605C">
      <w:pPr>
        <w:pStyle w:val="TableTitle"/>
      </w:pPr>
      <w:proofErr w:type="gramStart"/>
      <w:r>
        <w:lastRenderedPageBreak/>
        <w:t>Table 11.</w:t>
      </w:r>
      <w:proofErr w:type="gramEnd"/>
      <w:r>
        <w:t xml:space="preserve"> </w:t>
      </w:r>
      <w:r w:rsidRPr="00A85B6A">
        <w:t>Outcome by gestational age, Post-registration study (n=4490), Mar</w:t>
      </w:r>
      <w:r w:rsidR="00F8648B">
        <w:t xml:space="preserve">ch </w:t>
      </w:r>
      <w:r w:rsidRPr="00A85B6A">
        <w:t>2013-Dec</w:t>
      </w:r>
      <w:r w:rsidR="00F8648B">
        <w:t xml:space="preserve">ember </w:t>
      </w:r>
      <w:r w:rsidRPr="00A85B6A">
        <w:t>2013</w:t>
      </w:r>
    </w:p>
    <w:tbl>
      <w:tblPr>
        <w:tblStyle w:val="TableTGAblue"/>
        <w:tblW w:w="0" w:type="auto"/>
        <w:tblInd w:w="108" w:type="dxa"/>
        <w:tblLook w:val="04A0" w:firstRow="1" w:lastRow="0" w:firstColumn="1" w:lastColumn="0" w:noHBand="0" w:noVBand="1"/>
      </w:tblPr>
      <w:tblGrid>
        <w:gridCol w:w="2552"/>
        <w:gridCol w:w="1701"/>
        <w:gridCol w:w="2268"/>
      </w:tblGrid>
      <w:tr w:rsidR="00A85B6A" w:rsidRPr="00A85B6A" w:rsidTr="00516A98">
        <w:trPr>
          <w:cnfStyle w:val="100000000000" w:firstRow="1" w:lastRow="0" w:firstColumn="0" w:lastColumn="0" w:oddVBand="0" w:evenVBand="0" w:oddHBand="0" w:evenHBand="0" w:firstRowFirstColumn="0" w:firstRowLastColumn="0" w:lastRowFirstColumn="0" w:lastRowLastColumn="0"/>
        </w:trPr>
        <w:tc>
          <w:tcPr>
            <w:tcW w:w="2552" w:type="dxa"/>
          </w:tcPr>
          <w:p w:rsidR="00A85B6A" w:rsidRPr="00A85B6A" w:rsidRDefault="00A85B6A" w:rsidP="002B605C"/>
        </w:tc>
        <w:tc>
          <w:tcPr>
            <w:tcW w:w="1701" w:type="dxa"/>
          </w:tcPr>
          <w:p w:rsidR="00A85B6A" w:rsidRPr="00A85B6A" w:rsidRDefault="00A85B6A" w:rsidP="002B605C">
            <w:bookmarkStart w:id="152" w:name="_Toc389470357"/>
            <w:bookmarkStart w:id="153" w:name="_Toc390163131"/>
            <w:r w:rsidRPr="00A85B6A">
              <w:t>&lt;=49 days</w:t>
            </w:r>
            <w:r w:rsidRPr="00A85B6A">
              <w:br/>
              <w:t>(on label)</w:t>
            </w:r>
            <w:bookmarkEnd w:id="152"/>
            <w:bookmarkEnd w:id="153"/>
          </w:p>
        </w:tc>
        <w:tc>
          <w:tcPr>
            <w:tcW w:w="2268" w:type="dxa"/>
          </w:tcPr>
          <w:p w:rsidR="00A85B6A" w:rsidRPr="00A85B6A" w:rsidRDefault="00A85B6A" w:rsidP="002B605C">
            <w:bookmarkStart w:id="154" w:name="_Toc389470358"/>
            <w:bookmarkStart w:id="155" w:name="_Toc390163132"/>
            <w:r w:rsidRPr="00A85B6A">
              <w:t>50-63 days</w:t>
            </w:r>
            <w:r w:rsidRPr="00A85B6A">
              <w:br/>
              <w:t>(off label)</w:t>
            </w:r>
            <w:bookmarkEnd w:id="154"/>
            <w:bookmarkEnd w:id="155"/>
          </w:p>
        </w:tc>
      </w:tr>
      <w:tr w:rsidR="00A85B6A" w:rsidRPr="00A85B6A" w:rsidTr="00516A98">
        <w:tc>
          <w:tcPr>
            <w:tcW w:w="2552" w:type="dxa"/>
          </w:tcPr>
          <w:p w:rsidR="00A85B6A" w:rsidRPr="00AF45CD" w:rsidRDefault="00A85B6A" w:rsidP="002B605C">
            <w:bookmarkStart w:id="156" w:name="_Toc389470359"/>
            <w:bookmarkStart w:id="157" w:name="_Toc390163133"/>
            <w:r w:rsidRPr="00AF45CD">
              <w:t>Method-failure</w:t>
            </w:r>
            <w:bookmarkEnd w:id="156"/>
            <w:bookmarkEnd w:id="157"/>
          </w:p>
        </w:tc>
        <w:tc>
          <w:tcPr>
            <w:tcW w:w="1701" w:type="dxa"/>
          </w:tcPr>
          <w:p w:rsidR="00A85B6A" w:rsidRPr="00AF45CD" w:rsidRDefault="00A85B6A" w:rsidP="002B605C">
            <w:bookmarkStart w:id="158" w:name="_Toc389470360"/>
            <w:bookmarkStart w:id="159" w:name="_Toc390163134"/>
            <w:r w:rsidRPr="00AF45CD">
              <w:t>126/3641</w:t>
            </w:r>
            <w:bookmarkStart w:id="160" w:name="_Toc389470361"/>
            <w:bookmarkStart w:id="161" w:name="_Toc390163135"/>
            <w:bookmarkEnd w:id="158"/>
            <w:bookmarkEnd w:id="159"/>
            <w:r w:rsidR="004D3EE7" w:rsidRPr="00AF45CD">
              <w:br/>
            </w:r>
            <w:r w:rsidRPr="00AF45CD">
              <w:t>(3.5%)</w:t>
            </w:r>
            <w:bookmarkEnd w:id="160"/>
            <w:bookmarkEnd w:id="161"/>
          </w:p>
        </w:tc>
        <w:tc>
          <w:tcPr>
            <w:tcW w:w="2268" w:type="dxa"/>
          </w:tcPr>
          <w:p w:rsidR="00A85B6A" w:rsidRPr="00AF45CD" w:rsidRDefault="00A85B6A" w:rsidP="002B605C">
            <w:bookmarkStart w:id="162" w:name="_Toc389470362"/>
            <w:bookmarkStart w:id="163" w:name="_Toc390163136"/>
            <w:r w:rsidRPr="00AF45CD">
              <w:t>53/849</w:t>
            </w:r>
            <w:bookmarkEnd w:id="162"/>
            <w:bookmarkEnd w:id="163"/>
            <w:r w:rsidR="004D3EE7" w:rsidRPr="00AF45CD">
              <w:br/>
            </w:r>
            <w:bookmarkStart w:id="164" w:name="_Toc389470363"/>
            <w:bookmarkStart w:id="165" w:name="_Toc390163137"/>
            <w:r w:rsidRPr="00AF45CD">
              <w:t>(6.2%)</w:t>
            </w:r>
            <w:bookmarkEnd w:id="164"/>
            <w:bookmarkEnd w:id="165"/>
          </w:p>
        </w:tc>
      </w:tr>
    </w:tbl>
    <w:p w:rsidR="00A85B6A" w:rsidRPr="002B605C" w:rsidRDefault="00A85B6A" w:rsidP="002B605C">
      <w:pPr>
        <w:pStyle w:val="Heading5"/>
      </w:pPr>
      <w:bookmarkStart w:id="166" w:name="_Toc389470364"/>
      <w:bookmarkStart w:id="167" w:name="_Toc403987323"/>
      <w:r w:rsidRPr="00A85B6A">
        <w:t>Safety</w:t>
      </w:r>
      <w:bookmarkEnd w:id="166"/>
      <w:bookmarkEnd w:id="167"/>
    </w:p>
    <w:p w:rsidR="00A85B6A" w:rsidRPr="00516A98" w:rsidRDefault="00A85B6A" w:rsidP="002B605C">
      <w:pPr>
        <w:pStyle w:val="Heading6"/>
      </w:pPr>
      <w:r w:rsidRPr="00A85B6A">
        <w:t>Safety for the extension of indication from 49 days to 63 days</w:t>
      </w:r>
    </w:p>
    <w:p w:rsidR="00A85B6A" w:rsidRPr="00AC4926" w:rsidRDefault="00AC4926" w:rsidP="002B605C">
      <w:r>
        <w:t>Safety data from the Phase III</w:t>
      </w:r>
      <w:r w:rsidR="00A85B6A" w:rsidRPr="00AC4926">
        <w:t xml:space="preserve"> Mexican study and from the literature review were not stratified by gestational age; and consequently are of limited use for this submission to extend the</w:t>
      </w:r>
      <w:r>
        <w:t xml:space="preserve"> indication from 49 to 63 days</w:t>
      </w:r>
      <w:r w:rsidR="00A85B6A" w:rsidRPr="00AC4926">
        <w:t>.</w:t>
      </w:r>
    </w:p>
    <w:p w:rsidR="00A85B6A" w:rsidRPr="002B605C" w:rsidRDefault="00A85B6A" w:rsidP="002B605C">
      <w:pPr>
        <w:pStyle w:val="Heading6"/>
      </w:pPr>
      <w:r w:rsidRPr="001B2CCE">
        <w:t>Data from the Australian Authorised Prescriber Program, 2012</w:t>
      </w:r>
    </w:p>
    <w:p w:rsidR="00A85B6A" w:rsidRPr="003A7614" w:rsidRDefault="00A85B6A" w:rsidP="002B605C">
      <w:r w:rsidRPr="003A7614">
        <w:t>Haemorrhage requiring transfusion occurred in 5/7166 (0.07%); &lt;49 days: 1/4488 (0.02%); 49-63 days: 4/2688 (0.1%). Any haemorrhage occurred in 16/7166 (0.2%); &lt;49 days: 3/4488 (0.07%); 49-63 days: 13/2688 (0.5%). This was substantially lower than in the post-registration study, but the definitions may have differed (the sponsor will be asked if the definitions differed; see questions below).</w:t>
      </w:r>
    </w:p>
    <w:p w:rsidR="00062545" w:rsidRPr="003A7614" w:rsidRDefault="00A85B6A" w:rsidP="002B605C">
      <w:r w:rsidRPr="003A7614">
        <w:t>Suspected infection occurred in 7 (0.4%) women with &lt;</w:t>
      </w:r>
      <w:r w:rsidR="00AC4926" w:rsidRPr="003A7614">
        <w:t xml:space="preserve"> </w:t>
      </w:r>
      <w:r w:rsidRPr="003A7614">
        <w:t>49-day pregnancies and 1 woman at 49-63 days. Known infection occurred in 2 women with &lt;</w:t>
      </w:r>
      <w:r w:rsidR="00AC4926" w:rsidRPr="003A7614">
        <w:t xml:space="preserve"> </w:t>
      </w:r>
      <w:r w:rsidRPr="003A7614">
        <w:t>49-day pregnancies (none: 50</w:t>
      </w:r>
      <w:r w:rsidR="00AC4926" w:rsidRPr="003A7614">
        <w:t> </w:t>
      </w:r>
      <w:r w:rsidRPr="003A7614">
        <w:t>+ days). The category “sepsis” was not reported.</w:t>
      </w:r>
    </w:p>
    <w:p w:rsidR="00A85B6A" w:rsidRPr="003A7614" w:rsidRDefault="00A85B6A" w:rsidP="002B605C">
      <w:r w:rsidRPr="003A7614">
        <w:t>There were no cases of uterine rupture or death.</w:t>
      </w:r>
    </w:p>
    <w:p w:rsidR="00A85B6A" w:rsidRPr="00A85B6A" w:rsidRDefault="00AC4926" w:rsidP="002B605C">
      <w:pPr>
        <w:pStyle w:val="TableTitle"/>
      </w:pPr>
      <w:proofErr w:type="gramStart"/>
      <w:r>
        <w:t>Table 12.</w:t>
      </w:r>
      <w:proofErr w:type="gramEnd"/>
      <w:r>
        <w:t xml:space="preserve"> I</w:t>
      </w:r>
      <w:r w:rsidR="00A85B6A" w:rsidRPr="00A85B6A">
        <w:t>nterim data from the post-registration study (Mar 2013-Sep 2013) (data provided for Oct-Dec 2013 were similar)</w:t>
      </w:r>
    </w:p>
    <w:tbl>
      <w:tblPr>
        <w:tblStyle w:val="TableTGAblue"/>
        <w:tblW w:w="0" w:type="auto"/>
        <w:tblInd w:w="108" w:type="dxa"/>
        <w:tblLook w:val="04A0" w:firstRow="1" w:lastRow="0" w:firstColumn="1" w:lastColumn="0" w:noHBand="0" w:noVBand="1"/>
      </w:tblPr>
      <w:tblGrid>
        <w:gridCol w:w="2682"/>
        <w:gridCol w:w="1843"/>
        <w:gridCol w:w="1842"/>
        <w:gridCol w:w="1418"/>
      </w:tblGrid>
      <w:tr w:rsidR="00A85B6A" w:rsidRPr="00A85B6A" w:rsidTr="00AF45CD">
        <w:trPr>
          <w:cnfStyle w:val="100000000000" w:firstRow="1" w:lastRow="0" w:firstColumn="0" w:lastColumn="0" w:oddVBand="0" w:evenVBand="0" w:oddHBand="0" w:evenHBand="0" w:firstRowFirstColumn="0" w:firstRowLastColumn="0" w:lastRowFirstColumn="0" w:lastRowLastColumn="0"/>
        </w:trPr>
        <w:tc>
          <w:tcPr>
            <w:tcW w:w="2552" w:type="dxa"/>
          </w:tcPr>
          <w:p w:rsidR="00A85B6A" w:rsidRPr="00AC4926" w:rsidRDefault="00A85B6A" w:rsidP="002B605C"/>
        </w:tc>
        <w:tc>
          <w:tcPr>
            <w:tcW w:w="1843" w:type="dxa"/>
          </w:tcPr>
          <w:p w:rsidR="00A85B6A" w:rsidRPr="00AF45CD" w:rsidRDefault="00A85B6A" w:rsidP="002B605C">
            <w:pPr>
              <w:rPr>
                <w:sz w:val="20"/>
                <w:szCs w:val="20"/>
              </w:rPr>
            </w:pPr>
            <w:r w:rsidRPr="00AF45CD">
              <w:rPr>
                <w:sz w:val="20"/>
                <w:szCs w:val="20"/>
              </w:rPr>
              <w:t>&lt;</w:t>
            </w:r>
            <w:r w:rsidR="00AC4926" w:rsidRPr="00AF45CD">
              <w:rPr>
                <w:sz w:val="20"/>
                <w:szCs w:val="20"/>
              </w:rPr>
              <w:t> </w:t>
            </w:r>
            <w:r w:rsidRPr="00AF45CD">
              <w:rPr>
                <w:sz w:val="20"/>
                <w:szCs w:val="20"/>
              </w:rPr>
              <w:t>=</w:t>
            </w:r>
            <w:r w:rsidR="00AC4926" w:rsidRPr="00AF45CD">
              <w:rPr>
                <w:sz w:val="20"/>
                <w:szCs w:val="20"/>
              </w:rPr>
              <w:t> </w:t>
            </w:r>
            <w:r w:rsidRPr="00AF45CD">
              <w:rPr>
                <w:sz w:val="20"/>
                <w:szCs w:val="20"/>
              </w:rPr>
              <w:t>49 days</w:t>
            </w:r>
            <w:r w:rsidRPr="00AF45CD">
              <w:rPr>
                <w:sz w:val="20"/>
                <w:szCs w:val="20"/>
              </w:rPr>
              <w:br/>
              <w:t>(on label)</w:t>
            </w:r>
          </w:p>
        </w:tc>
        <w:tc>
          <w:tcPr>
            <w:tcW w:w="1842" w:type="dxa"/>
          </w:tcPr>
          <w:p w:rsidR="00A85B6A" w:rsidRPr="00AF45CD" w:rsidRDefault="00A85B6A" w:rsidP="002B605C">
            <w:pPr>
              <w:rPr>
                <w:sz w:val="20"/>
                <w:szCs w:val="20"/>
              </w:rPr>
            </w:pPr>
            <w:r w:rsidRPr="00AF45CD">
              <w:rPr>
                <w:sz w:val="20"/>
                <w:szCs w:val="20"/>
              </w:rPr>
              <w:t>50-63 days</w:t>
            </w:r>
            <w:r w:rsidRPr="00AF45CD">
              <w:rPr>
                <w:sz w:val="20"/>
                <w:szCs w:val="20"/>
              </w:rPr>
              <w:br/>
              <w:t>(off label)</w:t>
            </w:r>
          </w:p>
        </w:tc>
        <w:tc>
          <w:tcPr>
            <w:tcW w:w="1418" w:type="dxa"/>
          </w:tcPr>
          <w:p w:rsidR="00A85B6A" w:rsidRPr="00AF45CD" w:rsidRDefault="00A85B6A" w:rsidP="002B605C">
            <w:pPr>
              <w:rPr>
                <w:sz w:val="20"/>
                <w:szCs w:val="20"/>
              </w:rPr>
            </w:pPr>
            <w:r w:rsidRPr="00AF45CD">
              <w:rPr>
                <w:sz w:val="20"/>
                <w:szCs w:val="20"/>
              </w:rPr>
              <w:t>Total</w:t>
            </w:r>
          </w:p>
        </w:tc>
      </w:tr>
      <w:tr w:rsidR="00A85B6A" w:rsidRPr="00A85B6A" w:rsidTr="00AF45CD">
        <w:tc>
          <w:tcPr>
            <w:tcW w:w="2552" w:type="dxa"/>
          </w:tcPr>
          <w:p w:rsidR="00A85B6A" w:rsidRPr="000260D6" w:rsidRDefault="00A85B6A" w:rsidP="002B605C">
            <w:r w:rsidRPr="000260D6">
              <w:t>Bleeding with clots</w:t>
            </w:r>
          </w:p>
        </w:tc>
        <w:tc>
          <w:tcPr>
            <w:tcW w:w="1843" w:type="dxa"/>
          </w:tcPr>
          <w:p w:rsidR="00A85B6A" w:rsidRPr="000260D6" w:rsidRDefault="00A85B6A" w:rsidP="002B605C">
            <w:r w:rsidRPr="000260D6">
              <w:t>75(3)</w:t>
            </w:r>
          </w:p>
        </w:tc>
        <w:tc>
          <w:tcPr>
            <w:tcW w:w="1842" w:type="dxa"/>
          </w:tcPr>
          <w:p w:rsidR="00A85B6A" w:rsidRPr="000260D6" w:rsidRDefault="00A85B6A" w:rsidP="002B605C">
            <w:r w:rsidRPr="000260D6">
              <w:t>32 (6)</w:t>
            </w:r>
          </w:p>
        </w:tc>
        <w:tc>
          <w:tcPr>
            <w:tcW w:w="1418" w:type="dxa"/>
          </w:tcPr>
          <w:p w:rsidR="00A85B6A" w:rsidRPr="000260D6" w:rsidRDefault="00A85B6A" w:rsidP="002B605C">
            <w:r w:rsidRPr="000260D6">
              <w:t>107 (3)</w:t>
            </w:r>
          </w:p>
        </w:tc>
      </w:tr>
      <w:tr w:rsidR="00A85B6A" w:rsidRPr="00A85B6A" w:rsidTr="00AF45CD">
        <w:tc>
          <w:tcPr>
            <w:tcW w:w="2552" w:type="dxa"/>
          </w:tcPr>
          <w:p w:rsidR="00A85B6A" w:rsidRPr="000260D6" w:rsidRDefault="00A85B6A" w:rsidP="002B605C">
            <w:r w:rsidRPr="000260D6">
              <w:t>Blood transfusion</w:t>
            </w:r>
          </w:p>
        </w:tc>
        <w:tc>
          <w:tcPr>
            <w:tcW w:w="1843" w:type="dxa"/>
          </w:tcPr>
          <w:p w:rsidR="00A85B6A" w:rsidRPr="000260D6" w:rsidRDefault="00A85B6A" w:rsidP="002B605C">
            <w:r w:rsidRPr="000260D6">
              <w:t>6 (0.2)</w:t>
            </w:r>
          </w:p>
        </w:tc>
        <w:tc>
          <w:tcPr>
            <w:tcW w:w="1842" w:type="dxa"/>
          </w:tcPr>
          <w:p w:rsidR="00A85B6A" w:rsidRPr="000260D6" w:rsidRDefault="00A85B6A" w:rsidP="002B605C">
            <w:r w:rsidRPr="000260D6">
              <w:t>1 (0.2)</w:t>
            </w:r>
          </w:p>
        </w:tc>
        <w:tc>
          <w:tcPr>
            <w:tcW w:w="1418" w:type="dxa"/>
          </w:tcPr>
          <w:p w:rsidR="00A85B6A" w:rsidRPr="000260D6" w:rsidRDefault="00A85B6A" w:rsidP="002B605C">
            <w:r w:rsidRPr="000260D6">
              <w:t>7 (0.2)</w:t>
            </w:r>
          </w:p>
        </w:tc>
      </w:tr>
      <w:tr w:rsidR="00A85B6A" w:rsidRPr="00A85B6A" w:rsidTr="00AF45CD">
        <w:tc>
          <w:tcPr>
            <w:tcW w:w="2552" w:type="dxa"/>
          </w:tcPr>
          <w:p w:rsidR="00A85B6A" w:rsidRPr="000260D6" w:rsidRDefault="00A85B6A" w:rsidP="002B605C">
            <w:r w:rsidRPr="000260D6">
              <w:t>Uterine rupture/hysterectomy</w:t>
            </w:r>
          </w:p>
        </w:tc>
        <w:tc>
          <w:tcPr>
            <w:tcW w:w="1843" w:type="dxa"/>
          </w:tcPr>
          <w:p w:rsidR="00A85B6A" w:rsidRPr="000260D6" w:rsidRDefault="00A85B6A" w:rsidP="002B605C">
            <w:r w:rsidRPr="000260D6">
              <w:t>0</w:t>
            </w:r>
          </w:p>
        </w:tc>
        <w:tc>
          <w:tcPr>
            <w:tcW w:w="1842" w:type="dxa"/>
          </w:tcPr>
          <w:p w:rsidR="00A85B6A" w:rsidRPr="000260D6" w:rsidRDefault="00A85B6A" w:rsidP="002B605C">
            <w:r w:rsidRPr="000260D6">
              <w:t>1</w:t>
            </w:r>
          </w:p>
        </w:tc>
        <w:tc>
          <w:tcPr>
            <w:tcW w:w="1418" w:type="dxa"/>
          </w:tcPr>
          <w:p w:rsidR="00A85B6A" w:rsidRPr="000260D6" w:rsidRDefault="00A85B6A" w:rsidP="002B605C">
            <w:r w:rsidRPr="000260D6">
              <w:t>1</w:t>
            </w:r>
          </w:p>
        </w:tc>
      </w:tr>
      <w:tr w:rsidR="00A85B6A" w:rsidRPr="00A85B6A" w:rsidTr="00AF45CD">
        <w:tc>
          <w:tcPr>
            <w:tcW w:w="2552" w:type="dxa"/>
          </w:tcPr>
          <w:p w:rsidR="00A85B6A" w:rsidRPr="000260D6" w:rsidRDefault="00A85B6A" w:rsidP="002B605C">
            <w:r w:rsidRPr="000260D6">
              <w:t>Reproductive tract infections</w:t>
            </w:r>
          </w:p>
        </w:tc>
        <w:tc>
          <w:tcPr>
            <w:tcW w:w="1843" w:type="dxa"/>
          </w:tcPr>
          <w:p w:rsidR="00A85B6A" w:rsidRPr="000260D6" w:rsidRDefault="00A85B6A" w:rsidP="002B605C">
            <w:r w:rsidRPr="000260D6">
              <w:t>3</w:t>
            </w:r>
          </w:p>
        </w:tc>
        <w:tc>
          <w:tcPr>
            <w:tcW w:w="1842" w:type="dxa"/>
          </w:tcPr>
          <w:p w:rsidR="00A85B6A" w:rsidRPr="000260D6" w:rsidRDefault="00A85B6A" w:rsidP="002B605C">
            <w:r w:rsidRPr="000260D6">
              <w:t>0</w:t>
            </w:r>
          </w:p>
        </w:tc>
        <w:tc>
          <w:tcPr>
            <w:tcW w:w="1418" w:type="dxa"/>
          </w:tcPr>
          <w:p w:rsidR="00A85B6A" w:rsidRPr="000260D6" w:rsidRDefault="00A85B6A" w:rsidP="002B605C">
            <w:r w:rsidRPr="000260D6">
              <w:t>3</w:t>
            </w:r>
          </w:p>
        </w:tc>
      </w:tr>
      <w:tr w:rsidR="00A85B6A" w:rsidRPr="00A85B6A" w:rsidTr="00AF45CD">
        <w:tc>
          <w:tcPr>
            <w:tcW w:w="2552" w:type="dxa"/>
          </w:tcPr>
          <w:p w:rsidR="00A85B6A" w:rsidRPr="000260D6" w:rsidRDefault="00A85B6A" w:rsidP="002B605C">
            <w:r w:rsidRPr="000260D6">
              <w:t>Death (due to sepsis)</w:t>
            </w:r>
          </w:p>
        </w:tc>
        <w:tc>
          <w:tcPr>
            <w:tcW w:w="1843" w:type="dxa"/>
          </w:tcPr>
          <w:p w:rsidR="00A85B6A" w:rsidRPr="000260D6" w:rsidRDefault="00A85B6A" w:rsidP="002B605C">
            <w:r w:rsidRPr="000260D6">
              <w:t>1</w:t>
            </w:r>
          </w:p>
        </w:tc>
        <w:tc>
          <w:tcPr>
            <w:tcW w:w="1842" w:type="dxa"/>
          </w:tcPr>
          <w:p w:rsidR="00A85B6A" w:rsidRPr="000260D6" w:rsidRDefault="00A85B6A" w:rsidP="002B605C">
            <w:r w:rsidRPr="000260D6">
              <w:t>0</w:t>
            </w:r>
          </w:p>
        </w:tc>
        <w:tc>
          <w:tcPr>
            <w:tcW w:w="1418" w:type="dxa"/>
          </w:tcPr>
          <w:p w:rsidR="00A85B6A" w:rsidRPr="000260D6" w:rsidRDefault="00A85B6A" w:rsidP="002B605C">
            <w:r w:rsidRPr="000260D6">
              <w:t>1</w:t>
            </w:r>
          </w:p>
        </w:tc>
      </w:tr>
    </w:tbl>
    <w:p w:rsidR="00A85B6A" w:rsidRPr="00AC4926" w:rsidRDefault="00A85B6A" w:rsidP="002B605C">
      <w:r w:rsidRPr="00DA46A6">
        <w:t>There was one death due to sepsis (awaiting coroner’s case) and two other cases of infections</w:t>
      </w:r>
      <w:r w:rsidRPr="00AC4926">
        <w:t>.</w:t>
      </w:r>
    </w:p>
    <w:p w:rsidR="00A85B6A" w:rsidRPr="00516A98" w:rsidRDefault="00A85B6A" w:rsidP="002B605C">
      <w:pPr>
        <w:pStyle w:val="Heading6"/>
      </w:pPr>
      <w:r w:rsidRPr="00AC4926">
        <w:t xml:space="preserve">General </w:t>
      </w:r>
      <w:r w:rsidRPr="002B605C">
        <w:t>comments</w:t>
      </w:r>
      <w:r w:rsidR="002B605C">
        <w:t xml:space="preserve"> on safety</w:t>
      </w:r>
    </w:p>
    <w:p w:rsidR="00A85B6A" w:rsidRPr="00AC4926" w:rsidRDefault="00A85B6A" w:rsidP="002B605C">
      <w:r w:rsidRPr="00AC4926">
        <w:t>Termination by any method carries risks and complications; as</w:t>
      </w:r>
      <w:r w:rsidR="002B605C">
        <w:t xml:space="preserve"> does pregnancy and childbirth.</w:t>
      </w:r>
    </w:p>
    <w:p w:rsidR="00A85B6A" w:rsidRPr="00AC4926" w:rsidRDefault="00A85B6A" w:rsidP="002B605C">
      <w:r w:rsidRPr="00AC4926">
        <w:t>Many millions of women have been treated with mifepristone in single doses of 200</w:t>
      </w:r>
      <w:r w:rsidR="00937C35">
        <w:t xml:space="preserve"> to </w:t>
      </w:r>
      <w:r w:rsidRPr="00AC4926">
        <w:t>600</w:t>
      </w:r>
      <w:r w:rsidR="00937C35">
        <w:t xml:space="preserve"> </w:t>
      </w:r>
      <w:r w:rsidRPr="00AC4926">
        <w:t xml:space="preserve">mg with prostaglandin for termination of pregnancy, since 1988 when mifepristone was </w:t>
      </w:r>
      <w:r w:rsidRPr="00AC4926">
        <w:lastRenderedPageBreak/>
        <w:t>first registered in France. Serious adverse reactions are rare and are to infection, bleeding, undiagnosed ectopic pregnancy, and uterine rupture.</w:t>
      </w:r>
    </w:p>
    <w:p w:rsidR="00A85B6A" w:rsidRPr="002B605C" w:rsidRDefault="00A85B6A" w:rsidP="00394B8D">
      <w:pPr>
        <w:pStyle w:val="Heading7"/>
      </w:pPr>
      <w:r w:rsidRPr="00D35908">
        <w:t>Infection</w:t>
      </w:r>
    </w:p>
    <w:p w:rsidR="00A85B6A" w:rsidRPr="00AC4926" w:rsidRDefault="00A85B6A" w:rsidP="002B605C">
      <w:r w:rsidRPr="00AC4926">
        <w:t>Acc</w:t>
      </w:r>
      <w:r w:rsidR="00AC4926" w:rsidRPr="00AC4926">
        <w:t>o</w:t>
      </w:r>
      <w:r w:rsidRPr="00AC4926">
        <w:t>rding to several reviews in large treatment populations, the infection rate is &lt;</w:t>
      </w:r>
      <w:r w:rsidR="00AC4926">
        <w:t xml:space="preserve"> </w:t>
      </w:r>
      <w:r w:rsidR="002B605C">
        <w:t>1%.</w:t>
      </w:r>
    </w:p>
    <w:p w:rsidR="00062545" w:rsidRDefault="00A85B6A" w:rsidP="00394B8D">
      <w:r w:rsidRPr="00AC4926">
        <w:t>Fatal sepsis is rare (&lt;</w:t>
      </w:r>
      <w:r w:rsidR="00AC4926">
        <w:t xml:space="preserve"> </w:t>
      </w:r>
      <w:r w:rsidRPr="00AC4926">
        <w:t>1 in 100,000).</w:t>
      </w:r>
    </w:p>
    <w:p w:rsidR="00A85B6A" w:rsidRPr="00AC4926" w:rsidRDefault="00A85B6A" w:rsidP="00394B8D">
      <w:r w:rsidRPr="00AC4926">
        <w:t xml:space="preserve">The FDA published a </w:t>
      </w:r>
      <w:proofErr w:type="spellStart"/>
      <w:r w:rsidRPr="00AC4926">
        <w:t>Postmarketing</w:t>
      </w:r>
      <w:proofErr w:type="spellEnd"/>
      <w:r w:rsidRPr="00AC4926">
        <w:t xml:space="preserve"> Adverse Events Summary in 2011, after an estimated 1.5 million medical abortions with mifepristone in the United States. The Summary discusses 14 deaths associated with mifepris</w:t>
      </w:r>
      <w:r w:rsidR="001B2CCE">
        <w:t>t</w:t>
      </w:r>
      <w:r w:rsidRPr="00AC4926">
        <w:t>one of which 8 were from sepsis (Of the remainder, 2 were from ectopic pregnancy; and the other 4 were incidental [</w:t>
      </w:r>
      <w:r w:rsidR="00AC4926">
        <w:t>for example</w:t>
      </w:r>
      <w:r w:rsidRPr="00AC4926">
        <w:t xml:space="preserve">, drug overdose, homicide]). Of the 8 due to sepsis, 7 were positive for </w:t>
      </w:r>
      <w:r w:rsidRPr="001D714B">
        <w:rPr>
          <w:i/>
        </w:rPr>
        <w:t xml:space="preserve">Clostridium </w:t>
      </w:r>
      <w:proofErr w:type="spellStart"/>
      <w:r w:rsidRPr="001D714B">
        <w:rPr>
          <w:i/>
        </w:rPr>
        <w:t>sordellii</w:t>
      </w:r>
      <w:proofErr w:type="spellEnd"/>
      <w:r w:rsidRPr="00AC4926">
        <w:t xml:space="preserve"> and 1 for </w:t>
      </w:r>
      <w:r w:rsidRPr="001D714B">
        <w:rPr>
          <w:i/>
        </w:rPr>
        <w:t xml:space="preserve">Clostridium </w:t>
      </w:r>
      <w:proofErr w:type="spellStart"/>
      <w:r w:rsidRPr="001D714B">
        <w:rPr>
          <w:i/>
        </w:rPr>
        <w:t>perfringens</w:t>
      </w:r>
      <w:proofErr w:type="spellEnd"/>
      <w:r w:rsidRPr="00AC4926">
        <w:t xml:space="preserve"> (7 of the women used vaginal misoprostol; 1 used buccal misoprostol). Although some experts have hypothesised a link with vaginal administration of misoprostol, this hypothesi</w:t>
      </w:r>
      <w:r w:rsidR="00394B8D">
        <w:t>s has not been formally tested.</w:t>
      </w:r>
    </w:p>
    <w:p w:rsidR="00A85B6A" w:rsidRPr="00AC4926" w:rsidRDefault="00A85B6A" w:rsidP="00394B8D">
      <w:r w:rsidRPr="00AC4926">
        <w:t xml:space="preserve">Fatal toxic shock syndrome associated with </w:t>
      </w:r>
      <w:r w:rsidRPr="001D714B">
        <w:rPr>
          <w:i/>
        </w:rPr>
        <w:t xml:space="preserve">Clostridium </w:t>
      </w:r>
      <w:proofErr w:type="spellStart"/>
      <w:r w:rsidRPr="001D714B">
        <w:rPr>
          <w:i/>
        </w:rPr>
        <w:t>sordellii</w:t>
      </w:r>
      <w:proofErr w:type="spellEnd"/>
      <w:r w:rsidRPr="00AC4926">
        <w:t xml:space="preserve"> also occurs in association with childbirth and spontaneous termination.</w:t>
      </w:r>
    </w:p>
    <w:p w:rsidR="00A85B6A" w:rsidRPr="00AC4926" w:rsidRDefault="00A85B6A" w:rsidP="00394B8D">
      <w:r w:rsidRPr="00AC4926">
        <w:t xml:space="preserve">The symptoms of </w:t>
      </w:r>
      <w:r w:rsidRPr="001D714B">
        <w:rPr>
          <w:i/>
        </w:rPr>
        <w:t xml:space="preserve">Clostridium </w:t>
      </w:r>
      <w:proofErr w:type="spellStart"/>
      <w:r w:rsidRPr="001D714B">
        <w:rPr>
          <w:i/>
        </w:rPr>
        <w:t>sordellii</w:t>
      </w:r>
      <w:proofErr w:type="spellEnd"/>
      <w:r w:rsidRPr="00AC4926">
        <w:t xml:space="preserve"> infection are sometimes not the usual symptoms of sepsis. Therefore, the possibility of sepsis should be considered in all women who are undergoing medical termination and who present with nausea, vomiting, or diarrh</w:t>
      </w:r>
      <w:r w:rsidR="001B2CCE">
        <w:t>o</w:t>
      </w:r>
      <w:r w:rsidRPr="00AC4926">
        <w:t xml:space="preserve">ea and weakness with or without abdominal pain. These symptoms, even without a fever, may indicate </w:t>
      </w:r>
      <w:r w:rsidRPr="001D714B">
        <w:rPr>
          <w:i/>
        </w:rPr>
        <w:t xml:space="preserve">Clostridium </w:t>
      </w:r>
      <w:proofErr w:type="spellStart"/>
      <w:r w:rsidRPr="001D714B">
        <w:rPr>
          <w:i/>
        </w:rPr>
        <w:t>sordellii</w:t>
      </w:r>
      <w:proofErr w:type="spellEnd"/>
      <w:r w:rsidRPr="00AC4926">
        <w:t xml:space="preserve"> infection. Strong consideration should be given to obtaining a complete blood count in these patients. Significant </w:t>
      </w:r>
      <w:proofErr w:type="spellStart"/>
      <w:r w:rsidRPr="00AC4926">
        <w:t>leukocytosis</w:t>
      </w:r>
      <w:proofErr w:type="spellEnd"/>
      <w:r w:rsidRPr="00AC4926">
        <w:t xml:space="preserve"> with a marked left shift and </w:t>
      </w:r>
      <w:proofErr w:type="spellStart"/>
      <w:r w:rsidRPr="00AC4926">
        <w:t>haemo</w:t>
      </w:r>
      <w:proofErr w:type="spellEnd"/>
      <w:r w:rsidRPr="00AC4926">
        <w:t xml:space="preserve">-concentration may be indicative of sepsis. Doctors should consider immediately initiating treatment with antibiotics that includes coverage of anaerobic bacteria such as </w:t>
      </w:r>
      <w:r w:rsidRPr="001D714B">
        <w:rPr>
          <w:i/>
        </w:rPr>
        <w:t xml:space="preserve">Clostridium </w:t>
      </w:r>
      <w:proofErr w:type="spellStart"/>
      <w:r w:rsidRPr="001D714B">
        <w:rPr>
          <w:i/>
        </w:rPr>
        <w:t>sordellii</w:t>
      </w:r>
      <w:proofErr w:type="spellEnd"/>
      <w:r w:rsidRPr="00AC4926">
        <w:t>.</w:t>
      </w:r>
    </w:p>
    <w:p w:rsidR="00A85B6A" w:rsidRPr="00D35908" w:rsidRDefault="00A85B6A" w:rsidP="00394B8D">
      <w:pPr>
        <w:pStyle w:val="Heading7"/>
      </w:pPr>
      <w:r w:rsidRPr="00D35908">
        <w:t>Prophylactic antibiotics</w:t>
      </w:r>
    </w:p>
    <w:p w:rsidR="00A85B6A" w:rsidRPr="00AC4926" w:rsidRDefault="00A85B6A" w:rsidP="00394B8D">
      <w:r w:rsidRPr="00AC4926">
        <w:t>This was considered at the August 2012 ACPM. Prophylactic antibiotics were not recommended in line with overseas regulatory agencies. The reasons given by the FDA for not recommending prophylactic antibiotics are:</w:t>
      </w:r>
    </w:p>
    <w:p w:rsidR="00A85B6A" w:rsidRPr="00516A98" w:rsidRDefault="00A85B6A" w:rsidP="00394B8D">
      <w:pPr>
        <w:pStyle w:val="ListBullet"/>
      </w:pPr>
      <w:proofErr w:type="gramStart"/>
      <w:r w:rsidRPr="00516A98">
        <w:t>fatal</w:t>
      </w:r>
      <w:proofErr w:type="gramEnd"/>
      <w:r w:rsidRPr="00516A98">
        <w:t xml:space="preserve"> sepsis in </w:t>
      </w:r>
      <w:r w:rsidRPr="00394B8D">
        <w:t>women</w:t>
      </w:r>
      <w:r w:rsidRPr="00516A98">
        <w:t xml:space="preserve"> undergoing medical abortion is rare</w:t>
      </w:r>
      <w:r w:rsidR="00AC4926" w:rsidRPr="00516A98">
        <w:t>.</w:t>
      </w:r>
    </w:p>
    <w:p w:rsidR="00A85B6A" w:rsidRPr="00516A98" w:rsidRDefault="00A85B6A" w:rsidP="00394B8D">
      <w:pPr>
        <w:pStyle w:val="ListBullet"/>
      </w:pPr>
      <w:proofErr w:type="gramStart"/>
      <w:r w:rsidRPr="00516A98">
        <w:t>prophylactic</w:t>
      </w:r>
      <w:proofErr w:type="gramEnd"/>
      <w:r w:rsidRPr="00516A98">
        <w:t xml:space="preserve"> </w:t>
      </w:r>
      <w:r w:rsidRPr="00394B8D">
        <w:t>antibiotic</w:t>
      </w:r>
      <w:r w:rsidRPr="00516A98">
        <w:t xml:space="preserve"> use carries its own risk of serious adverse events such as severe or fatal allergic reactions</w:t>
      </w:r>
      <w:r w:rsidR="00AC4926" w:rsidRPr="00516A98">
        <w:t>.</w:t>
      </w:r>
    </w:p>
    <w:p w:rsidR="00A85B6A" w:rsidRPr="00516A98" w:rsidRDefault="00A85B6A" w:rsidP="00394B8D">
      <w:pPr>
        <w:pStyle w:val="ListBullet"/>
      </w:pPr>
      <w:r w:rsidRPr="00516A98">
        <w:t xml:space="preserve">prophylactic </w:t>
      </w:r>
      <w:r w:rsidRPr="00394B8D">
        <w:t>antibiotics</w:t>
      </w:r>
      <w:r w:rsidRPr="00516A98">
        <w:t xml:space="preserve"> use can stimulate the growth o</w:t>
      </w:r>
      <w:r w:rsidR="00394B8D">
        <w:t>f antibiotic-resistant bacteria</w:t>
      </w:r>
    </w:p>
    <w:p w:rsidR="00A85B6A" w:rsidRPr="00516A98" w:rsidRDefault="00A85B6A" w:rsidP="00394B8D">
      <w:pPr>
        <w:pStyle w:val="ListBullet"/>
      </w:pPr>
      <w:proofErr w:type="gramStart"/>
      <w:r w:rsidRPr="00516A98">
        <w:t>there</w:t>
      </w:r>
      <w:proofErr w:type="gramEnd"/>
      <w:r w:rsidRPr="00516A98">
        <w:t xml:space="preserve"> is a lack of evidence as to which antibiotic and regimen (what dose and f</w:t>
      </w:r>
      <w:r w:rsidR="00AC4926" w:rsidRPr="00516A98">
        <w:t xml:space="preserve">or </w:t>
      </w:r>
      <w:r w:rsidR="00AC4926" w:rsidRPr="00394B8D">
        <w:t>how</w:t>
      </w:r>
      <w:r w:rsidR="00AC4926" w:rsidRPr="00516A98">
        <w:t xml:space="preserve"> long) would be effective.</w:t>
      </w:r>
    </w:p>
    <w:p w:rsidR="00A85B6A" w:rsidRPr="00394B8D" w:rsidRDefault="00A85B6A" w:rsidP="00394B8D">
      <w:pPr>
        <w:pStyle w:val="Heading7"/>
      </w:pPr>
      <w:r w:rsidRPr="00D35908">
        <w:t>Severe bleeding</w:t>
      </w:r>
    </w:p>
    <w:p w:rsidR="00062545" w:rsidRDefault="00A85B6A" w:rsidP="00394B8D">
      <w:r w:rsidRPr="00AC4926">
        <w:t>Vaginal bleeding (and some degree of abdominal/pelvic/uterine pain) is intrinsic to the process of medical termination. Blood transfusion is sometimes used as an indicator of severe bleeding. Most studies report low rates of blood transfusion (&lt;0.1%). The risk of severe bleeding is higher in the first trimester than the second (0.1% versus 0.4%). Whether there are material differences in the risk of severe bleeding for 49 days versus 63 days is an open question. Missed ectopic pregnancy is rare, but can c</w:t>
      </w:r>
      <w:r w:rsidR="00394B8D">
        <w:t>ause severe bleeding and death.</w:t>
      </w:r>
    </w:p>
    <w:p w:rsidR="00A85B6A" w:rsidRPr="00D35908" w:rsidRDefault="00A85B6A" w:rsidP="00394B8D">
      <w:pPr>
        <w:pStyle w:val="Heading7"/>
      </w:pPr>
      <w:r w:rsidRPr="00D35908">
        <w:t xml:space="preserve">ACSOM </w:t>
      </w:r>
      <w:r w:rsidRPr="00394B8D">
        <w:t>advice</w:t>
      </w:r>
    </w:p>
    <w:p w:rsidR="00A85B6A" w:rsidRPr="00AC4926" w:rsidRDefault="00A85B6A" w:rsidP="00394B8D">
      <w:r w:rsidRPr="00AC4926">
        <w:t>ACSOM noted that there was a stigma associated with termination of pregnancy, and patients may be unwilling to seek follow-up. This means that the PI, CMI and education program require further editing to provide patients with a clear and concise source of information, under the assumption that women might not seek follow-up.</w:t>
      </w:r>
    </w:p>
    <w:p w:rsidR="00A85B6A" w:rsidRPr="00A85B6A" w:rsidRDefault="00A85B6A" w:rsidP="00394B8D">
      <w:r w:rsidRPr="00AC4926">
        <w:lastRenderedPageBreak/>
        <w:t xml:space="preserve">ACSOM advised that the PI for MS-2 </w:t>
      </w:r>
      <w:r w:rsidR="00AC4926">
        <w:t>Step</w:t>
      </w:r>
      <w:r w:rsidRPr="00AC4926">
        <w:t xml:space="preserve"> should only contain information about that product. ACSOM further advised that references to repeat doses of mis</w:t>
      </w:r>
      <w:r w:rsidR="00796A99">
        <w:t>o</w:t>
      </w:r>
      <w:r w:rsidRPr="00AC4926">
        <w:t>prostol (in the event of method failure) should be removed from the PI and a statement added that patients should seek medical follow-up in the event of method</w:t>
      </w:r>
      <w:r w:rsidRPr="00A85B6A">
        <w:t xml:space="preserve"> failure.</w:t>
      </w:r>
    </w:p>
    <w:p w:rsidR="00A85B6A" w:rsidRPr="00AC4926" w:rsidRDefault="00A85B6A" w:rsidP="00394B8D">
      <w:r w:rsidRPr="00AC4926">
        <w:t>ACSOM noted that the indication (before 49/63 days) referred to the time of starting the procedure; the end of the procedure may extend beyond that time.</w:t>
      </w:r>
    </w:p>
    <w:p w:rsidR="00A85B6A" w:rsidRPr="00AC4926" w:rsidRDefault="00A85B6A" w:rsidP="00394B8D">
      <w:r w:rsidRPr="00AC4926">
        <w:t xml:space="preserve">ACSOM noted that, in early pregnancy, US dating </w:t>
      </w:r>
      <w:r w:rsidR="00AC4926">
        <w:t xml:space="preserve">was accurate to within 3 days. </w:t>
      </w:r>
      <w:r w:rsidR="00AC4926" w:rsidRPr="00394B8D">
        <w:rPr>
          <w:i/>
        </w:rPr>
        <w:t>‘</w:t>
      </w:r>
      <w:r w:rsidRPr="00394B8D">
        <w:rPr>
          <w:i/>
        </w:rPr>
        <w:t>As the failure rate increases with increased gestation, the use of ultrasound to accurate</w:t>
      </w:r>
      <w:r w:rsidR="00AC4926" w:rsidRPr="00394B8D">
        <w:rPr>
          <w:i/>
        </w:rPr>
        <w:t>ly date pregnancy is important.’</w:t>
      </w:r>
    </w:p>
    <w:p w:rsidR="00A85B6A" w:rsidRDefault="00A85B6A" w:rsidP="00394B8D">
      <w:r w:rsidRPr="00AC4926">
        <w:t>Women might expect heavy bleeding. ASCOM was concerned that without medical</w:t>
      </w:r>
      <w:r w:rsidRPr="00A85B6A">
        <w:t xml:space="preserve"> follow-up haemorrhaging due to ectopic pregnancy could be missed.</w:t>
      </w:r>
    </w:p>
    <w:p w:rsidR="000E552D" w:rsidRPr="00394B8D" w:rsidRDefault="000E552D" w:rsidP="00394B8D">
      <w:pPr>
        <w:pStyle w:val="Heading4"/>
      </w:pPr>
      <w:bookmarkStart w:id="168" w:name="_Toc389470365"/>
      <w:bookmarkStart w:id="169" w:name="_Toc403987324"/>
      <w:r w:rsidRPr="007B6132">
        <w:t>Clinical evaluator’s recommendation</w:t>
      </w:r>
      <w:bookmarkEnd w:id="168"/>
      <w:bookmarkEnd w:id="169"/>
    </w:p>
    <w:p w:rsidR="00AC4926" w:rsidRPr="00AC4926" w:rsidRDefault="00AC4926" w:rsidP="00394B8D">
      <w:r>
        <w:t>There is no reason to say, at this time, that MS-2 step should not be approved.</w:t>
      </w:r>
    </w:p>
    <w:p w:rsidR="000E552D" w:rsidRPr="00394B8D" w:rsidRDefault="000E552D" w:rsidP="00394B8D">
      <w:pPr>
        <w:pStyle w:val="Heading3"/>
      </w:pPr>
      <w:bookmarkStart w:id="170" w:name="_Toc403987325"/>
      <w:r>
        <w:rPr>
          <w:lang w:eastAsia="en-AU"/>
        </w:rPr>
        <w:t>Risk management plan</w:t>
      </w:r>
      <w:bookmarkEnd w:id="170"/>
    </w:p>
    <w:p w:rsidR="000E552D" w:rsidRDefault="00AC4926" w:rsidP="00394B8D">
      <w:r w:rsidRPr="00AC4926">
        <w:t xml:space="preserve">There are no outstanding RMP issues. The sponsor and the </w:t>
      </w:r>
      <w:r>
        <w:t>TGA</w:t>
      </w:r>
      <w:r w:rsidRPr="00AC4926">
        <w:t xml:space="preserve"> are in communication about the educational materials.</w:t>
      </w:r>
    </w:p>
    <w:p w:rsidR="000E552D" w:rsidRPr="00394B8D" w:rsidRDefault="000E552D" w:rsidP="00394B8D">
      <w:pPr>
        <w:pStyle w:val="Heading3"/>
      </w:pPr>
      <w:bookmarkStart w:id="171" w:name="_Toc403987326"/>
      <w:r>
        <w:t>Risk-benefit analysis</w:t>
      </w:r>
      <w:bookmarkEnd w:id="171"/>
    </w:p>
    <w:p w:rsidR="000E552D" w:rsidRPr="00394B8D" w:rsidRDefault="000E552D" w:rsidP="00394B8D">
      <w:pPr>
        <w:pStyle w:val="Heading4"/>
      </w:pPr>
      <w:bookmarkStart w:id="172" w:name="_Toc403987327"/>
      <w:r w:rsidRPr="00D23139">
        <w:t>Delegate’s considerations</w:t>
      </w:r>
      <w:bookmarkEnd w:id="172"/>
    </w:p>
    <w:p w:rsidR="00AC4926" w:rsidRPr="00AC4926" w:rsidRDefault="00AC4926" w:rsidP="00394B8D">
      <w:r w:rsidRPr="00AC4926">
        <w:t xml:space="preserve">The applicability/relevance of a </w:t>
      </w:r>
      <w:r>
        <w:t xml:space="preserve">Phase III </w:t>
      </w:r>
      <w:r w:rsidRPr="00AC4926">
        <w:t>study conducted in Mexico to the specific circumstances of MS-2 S</w:t>
      </w:r>
      <w:r>
        <w:t>tep</w:t>
      </w:r>
      <w:r w:rsidRPr="00AC4926">
        <w:t xml:space="preserve"> use in Australia is questionable. Similarly the applicability and representativeness of the studies identified in the literature review is questionable. Also, their quality is variable.</w:t>
      </w:r>
    </w:p>
    <w:p w:rsidR="00AC4926" w:rsidRPr="00AC4926" w:rsidRDefault="00AC4926" w:rsidP="00394B8D">
      <w:r w:rsidRPr="00AC4926">
        <w:t xml:space="preserve">Consequently, the best data we have to compare method failure for 49 days versus 63 days is from the Australian Authorised Prescriber Program (2012) and the Australian Post-Registration </w:t>
      </w:r>
      <w:r>
        <w:t xml:space="preserve">Phase IV </w:t>
      </w:r>
      <w:r w:rsidRPr="00AC4926">
        <w:t>study (Mar-Dec 2013).</w:t>
      </w:r>
    </w:p>
    <w:p w:rsidR="00AC4926" w:rsidRPr="00AC4926" w:rsidRDefault="00AC4926" w:rsidP="00394B8D">
      <w:r w:rsidRPr="00AC4926">
        <w:t>For the Australian Authorised Prescriber Program (2012), the failure rate was: &lt; = 49 days: 118/4488 (2.6%) versus 50-63 days</w:t>
      </w:r>
      <w:r w:rsidRPr="00B95E37">
        <w:t xml:space="preserve">: </w:t>
      </w:r>
      <w:r w:rsidR="008C4C26" w:rsidRPr="00601B85">
        <w:rPr>
          <w:rFonts w:asciiTheme="minorHAnsi" w:hAnsiTheme="minorHAnsi"/>
        </w:rPr>
        <w:t>128 / (2550 + 128) x 100% = 4.8%</w:t>
      </w:r>
      <w:r w:rsidR="000A09BF">
        <w:t>.</w:t>
      </w:r>
    </w:p>
    <w:p w:rsidR="00AC4926" w:rsidRPr="00AC4926" w:rsidRDefault="00AC4926" w:rsidP="00394B8D">
      <w:r w:rsidRPr="00AC4926">
        <w:t xml:space="preserve">For Australian Post-Registration </w:t>
      </w:r>
      <w:r>
        <w:t xml:space="preserve">Phase IV </w:t>
      </w:r>
      <w:r w:rsidRPr="00AC4926">
        <w:t>study (Mar 2013-Dec 2013), the failure rate was: &lt; = 49 days: 126/3641 (3.5%) versus 50-63 days: 53/849 (6.2%)</w:t>
      </w:r>
      <w:r w:rsidR="00394B8D">
        <w:t>.</w:t>
      </w:r>
    </w:p>
    <w:p w:rsidR="00AC4926" w:rsidRPr="00AC4926" w:rsidRDefault="00AC4926" w:rsidP="00394B8D">
      <w:r>
        <w:t xml:space="preserve">The Delegate’s </w:t>
      </w:r>
      <w:r w:rsidRPr="00AC4926">
        <w:t>preliminary view, at this point-in-time, and pending ACPM advice is that failure rates of 5-6% at 50-63 days are acceptable and that the extension of indications could be allowed; which would bring the indication in Australia into line with nearly all other countries (with the notable exception of the United States, where the indication is 49 days).</w:t>
      </w:r>
    </w:p>
    <w:p w:rsidR="00AC4926" w:rsidRPr="00AC4926" w:rsidRDefault="00AC4926" w:rsidP="00394B8D">
      <w:r w:rsidRPr="00AC4926">
        <w:t>Safety at 50-63 days is similar to that up to 49 days. Bleeding with clots is more common, but there are no data to suggest that bleeding requiring blood transfusion is more common. Sepsis is a very rare, but serious and potentially life-threatening adverse reaction. There are no data to suggest that it is more common at 50-63 days than up to 49 days.</w:t>
      </w:r>
    </w:p>
    <w:p w:rsidR="000E552D" w:rsidRPr="00394B8D" w:rsidRDefault="000E552D" w:rsidP="00394B8D">
      <w:pPr>
        <w:pStyle w:val="Heading3"/>
      </w:pPr>
      <w:bookmarkStart w:id="173" w:name="_Toc403987328"/>
      <w:r w:rsidRPr="00D23139">
        <w:lastRenderedPageBreak/>
        <w:t>Proposed action</w:t>
      </w:r>
      <w:bookmarkEnd w:id="173"/>
    </w:p>
    <w:p w:rsidR="000E552D" w:rsidRDefault="000E552D" w:rsidP="00394B8D">
      <w:pPr>
        <w:pStyle w:val="Heading4"/>
      </w:pPr>
      <w:bookmarkStart w:id="174" w:name="_Toc403987329"/>
      <w:r w:rsidRPr="00D23139">
        <w:t>Request for ACPM advice</w:t>
      </w:r>
      <w:bookmarkEnd w:id="174"/>
    </w:p>
    <w:p w:rsidR="00AC4926" w:rsidRPr="00516A98" w:rsidRDefault="00AC4926" w:rsidP="00394B8D">
      <w:pPr>
        <w:pStyle w:val="ListBullet"/>
      </w:pPr>
      <w:r w:rsidRPr="00516A98">
        <w:t xml:space="preserve">Has the </w:t>
      </w:r>
      <w:r w:rsidRPr="00394B8D">
        <w:t>safety</w:t>
      </w:r>
      <w:r w:rsidRPr="00516A98">
        <w:t xml:space="preserve"> and efficacy of MS-2 step been satisfactorily established by the sponsor for women with gestations of 50-63 days?</w:t>
      </w:r>
    </w:p>
    <w:p w:rsidR="00AC4926" w:rsidRDefault="00AC4926" w:rsidP="00394B8D">
      <w:r>
        <w:t>The ACPM is asked to provide expert clinical advice on the PI. In particular:</w:t>
      </w:r>
    </w:p>
    <w:p w:rsidR="00AC4926" w:rsidRPr="00516A98" w:rsidRDefault="00AC4926" w:rsidP="00394B8D">
      <w:pPr>
        <w:pStyle w:val="ListBullet"/>
      </w:pPr>
      <w:r w:rsidRPr="00516A98">
        <w:t xml:space="preserve">The </w:t>
      </w:r>
      <w:r w:rsidRPr="00394B8D">
        <w:t>information</w:t>
      </w:r>
      <w:r w:rsidRPr="00516A98">
        <w:t xml:space="preserve"> on ultrasound under indications</w:t>
      </w:r>
    </w:p>
    <w:p w:rsidR="00AC4926" w:rsidRPr="00516A98" w:rsidRDefault="00AC4926" w:rsidP="00394B8D">
      <w:pPr>
        <w:pStyle w:val="ListBullet"/>
      </w:pPr>
      <w:r w:rsidRPr="00516A98">
        <w:t xml:space="preserve">Information </w:t>
      </w:r>
      <w:r w:rsidRPr="00394B8D">
        <w:t>about</w:t>
      </w:r>
      <w:r w:rsidRPr="00516A98">
        <w:t xml:space="preserve"> what to do if termination does not occur under </w:t>
      </w:r>
      <w:r w:rsidR="00D35908">
        <w:t>D</w:t>
      </w:r>
      <w:r w:rsidRPr="00516A98">
        <w:t xml:space="preserve">osage &amp; </w:t>
      </w:r>
      <w:r w:rsidR="00D35908">
        <w:t>A</w:t>
      </w:r>
      <w:r w:rsidR="00D35908" w:rsidRPr="00516A98">
        <w:t xml:space="preserve">dministration </w:t>
      </w:r>
      <w:r w:rsidRPr="00516A98">
        <w:t>(information about a second dose of misoprostol has been removed).</w:t>
      </w:r>
    </w:p>
    <w:p w:rsidR="000E552D" w:rsidRPr="00394B8D" w:rsidRDefault="000E552D" w:rsidP="00394B8D">
      <w:pPr>
        <w:pStyle w:val="Heading4"/>
      </w:pPr>
      <w:bookmarkStart w:id="175" w:name="_Toc403987330"/>
      <w:r w:rsidRPr="00D23139">
        <w:t xml:space="preserve">Response from </w:t>
      </w:r>
      <w:r w:rsidR="00062545">
        <w:t>sponsor</w:t>
      </w:r>
      <w:bookmarkEnd w:id="175"/>
    </w:p>
    <w:p w:rsidR="00DD3151" w:rsidRPr="00DD3151" w:rsidRDefault="00DD3151" w:rsidP="00394B8D">
      <w:r w:rsidRPr="00DD3151">
        <w:t xml:space="preserve">The </w:t>
      </w:r>
      <w:r w:rsidR="00062545">
        <w:t>sponsor</w:t>
      </w:r>
      <w:r w:rsidRPr="00DD3151">
        <w:t xml:space="preserve"> ha</w:t>
      </w:r>
      <w:r w:rsidR="000F20C6">
        <w:t>d</w:t>
      </w:r>
      <w:r w:rsidRPr="00DD3151">
        <w:t xml:space="preserve"> comments on the Request for ACPM’s Advice (dated 28 February 2014) for the application to register the MS-2 Step composite pack product in Australia.</w:t>
      </w:r>
    </w:p>
    <w:p w:rsidR="00DD3151" w:rsidRPr="00AF45CD" w:rsidRDefault="00DD3151" w:rsidP="00394B8D">
      <w:pPr>
        <w:pStyle w:val="Heading5"/>
      </w:pPr>
      <w:bookmarkStart w:id="176" w:name="_Toc403987331"/>
      <w:r w:rsidRPr="00AF45CD">
        <w:t xml:space="preserve">Changes to </w:t>
      </w:r>
      <w:r w:rsidR="00394B8D">
        <w:t>i</w:t>
      </w:r>
      <w:r w:rsidRPr="00AF45CD">
        <w:t xml:space="preserve">ndications for the </w:t>
      </w:r>
      <w:r w:rsidR="00394B8D">
        <w:t>i</w:t>
      </w:r>
      <w:r w:rsidRPr="00AF45CD">
        <w:t xml:space="preserve">ndividual </w:t>
      </w:r>
      <w:r w:rsidR="00394B8D">
        <w:t>p</w:t>
      </w:r>
      <w:r w:rsidRPr="00AF45CD">
        <w:t>roducts</w:t>
      </w:r>
      <w:bookmarkEnd w:id="176"/>
    </w:p>
    <w:p w:rsidR="00DD3151" w:rsidRPr="00DD3151" w:rsidRDefault="00DD3151" w:rsidP="00394B8D">
      <w:r w:rsidRPr="00DD3151">
        <w:t xml:space="preserve">The </w:t>
      </w:r>
      <w:r w:rsidR="007D3B58">
        <w:t>sponsor agreed</w:t>
      </w:r>
      <w:r w:rsidRPr="00DD3151">
        <w:t xml:space="preserve"> that should the composite pack product be registered, then the </w:t>
      </w:r>
      <w:r w:rsidR="00062545">
        <w:t>sponsor</w:t>
      </w:r>
      <w:r w:rsidRPr="00DD3151">
        <w:t xml:space="preserve"> will remove the indication for medical termination of pregnancy from the mono product Mifepristone </w:t>
      </w:r>
      <w:proofErr w:type="spellStart"/>
      <w:r w:rsidRPr="00DD3151">
        <w:t>Linepharma</w:t>
      </w:r>
      <w:proofErr w:type="spellEnd"/>
      <w:r w:rsidRPr="00DD3151">
        <w:t xml:space="preserve">, and will withdraw the mono product </w:t>
      </w:r>
      <w:proofErr w:type="spellStart"/>
      <w:r w:rsidR="00052E21">
        <w:t>GyMiso</w:t>
      </w:r>
      <w:proofErr w:type="spellEnd"/>
      <w:r w:rsidR="00052E21">
        <w:t>®</w:t>
      </w:r>
      <w:r w:rsidRPr="00DD3151">
        <w:t xml:space="preserve"> from </w:t>
      </w:r>
      <w:r w:rsidR="007D3B58">
        <w:t xml:space="preserve">supply to </w:t>
      </w:r>
      <w:r w:rsidRPr="00DD3151">
        <w:t>the market.</w:t>
      </w:r>
    </w:p>
    <w:p w:rsidR="00DD3151" w:rsidRPr="00AF45CD" w:rsidRDefault="00DD3151" w:rsidP="00394B8D">
      <w:pPr>
        <w:pStyle w:val="Heading5"/>
      </w:pPr>
      <w:bookmarkStart w:id="177" w:name="_Toc403987332"/>
      <w:r w:rsidRPr="00AF45CD">
        <w:t xml:space="preserve">Clinical </w:t>
      </w:r>
      <w:r w:rsidR="00394B8D">
        <w:t>e</w:t>
      </w:r>
      <w:r w:rsidRPr="00AF45CD">
        <w:t>fficacy – Data from the Australian Authorised Prescriber Program</w:t>
      </w:r>
      <w:bookmarkEnd w:id="177"/>
    </w:p>
    <w:p w:rsidR="00DD3151" w:rsidRPr="00DD3151" w:rsidRDefault="00DD3151" w:rsidP="00394B8D">
      <w:r w:rsidRPr="00DD3151">
        <w:t xml:space="preserve">The </w:t>
      </w:r>
      <w:r>
        <w:t>sponsor</w:t>
      </w:r>
      <w:r w:rsidRPr="00DD3151">
        <w:t xml:space="preserve"> </w:t>
      </w:r>
      <w:r w:rsidR="007D3B58">
        <w:t>provided a revised</w:t>
      </w:r>
      <w:r w:rsidRPr="00DD3151">
        <w:t xml:space="preserve"> calculation of failure rate for terminations at 50-63 days gestation, for </w:t>
      </w:r>
      <w:r w:rsidR="007D3B58">
        <w:t>consideration by the ACPM</w:t>
      </w:r>
      <w:r w:rsidRPr="00DD3151">
        <w:t>. The number of women reported in the 2012 data set with complete abortion is 2550, and the number with incomplete abortion is 128, as stated. However, the failure rate calculation therefore should be:</w:t>
      </w:r>
    </w:p>
    <w:p w:rsidR="00DD3151" w:rsidRPr="00DD3151" w:rsidRDefault="00DD3151" w:rsidP="00394B8D">
      <w:r w:rsidRPr="00DD3151">
        <w:t xml:space="preserve">128 </w:t>
      </w:r>
      <w:r>
        <w:t>/</w:t>
      </w:r>
      <w:r w:rsidRPr="00DD3151">
        <w:t xml:space="preserve"> (2550 + 128) x 100% = 4.8%</w:t>
      </w:r>
    </w:p>
    <w:p w:rsidR="00DD3151" w:rsidRPr="00AF45CD" w:rsidRDefault="00394B8D" w:rsidP="00394B8D">
      <w:pPr>
        <w:pStyle w:val="Heading5"/>
      </w:pPr>
      <w:bookmarkStart w:id="178" w:name="_Toc403987333"/>
      <w:r>
        <w:t>Clinical e</w:t>
      </w:r>
      <w:r w:rsidR="00DD3151" w:rsidRPr="00AF45CD">
        <w:t xml:space="preserve">fficacy – Interim </w:t>
      </w:r>
      <w:r>
        <w:t>d</w:t>
      </w:r>
      <w:r w:rsidR="00DD3151" w:rsidRPr="00AF45CD">
        <w:t xml:space="preserve">ata from the </w:t>
      </w:r>
      <w:r>
        <w:t>p</w:t>
      </w:r>
      <w:r w:rsidR="00DD3151" w:rsidRPr="00AF45CD">
        <w:t>ost-</w:t>
      </w:r>
      <w:r>
        <w:t>r</w:t>
      </w:r>
      <w:r w:rsidR="00DD3151" w:rsidRPr="00AF45CD">
        <w:t xml:space="preserve">egistration </w:t>
      </w:r>
      <w:r w:rsidRPr="00394B8D">
        <w:t>s</w:t>
      </w:r>
      <w:r w:rsidR="00DD3151" w:rsidRPr="00394B8D">
        <w:t>tudy</w:t>
      </w:r>
      <w:bookmarkEnd w:id="178"/>
    </w:p>
    <w:p w:rsidR="00DD3151" w:rsidRDefault="00DD3151" w:rsidP="00394B8D">
      <w:r w:rsidRPr="00DD3151">
        <w:t xml:space="preserve">Failure rate calculations </w:t>
      </w:r>
      <w:r w:rsidR="007D3B58">
        <w:t>for</w:t>
      </w:r>
      <w:r w:rsidRPr="00DD3151">
        <w:t xml:space="preserve"> the period March to December </w:t>
      </w:r>
      <w:r w:rsidR="007D3B58">
        <w:t>were</w:t>
      </w:r>
      <w:r w:rsidRPr="00DD3151">
        <w:t xml:space="preserve"> 126/3641 or 3.5% for terminations at </w:t>
      </w:r>
      <w:r>
        <w:t xml:space="preserve">less than or equal to </w:t>
      </w:r>
      <w:r w:rsidRPr="00DD3151">
        <w:t>49 days gestation, and as 53/849 or 6.2% for terminations at 50-63 days gestation.</w:t>
      </w:r>
    </w:p>
    <w:p w:rsidR="00DD3151" w:rsidRPr="00DD3151" w:rsidRDefault="00DD3151" w:rsidP="00394B8D">
      <w:r w:rsidRPr="00DD3151">
        <w:t xml:space="preserve">The </w:t>
      </w:r>
      <w:r w:rsidR="00DD05EE">
        <w:t>s</w:t>
      </w:r>
      <w:r w:rsidRPr="00DD3151">
        <w:t xml:space="preserve">ponsor </w:t>
      </w:r>
      <w:r w:rsidR="007D3B58">
        <w:t xml:space="preserve">clarified </w:t>
      </w:r>
      <w:r w:rsidRPr="00DD3151">
        <w:t xml:space="preserve">that the number used to calculate the failure rate in the </w:t>
      </w:r>
      <w:r>
        <w:t xml:space="preserve">less than or equal to </w:t>
      </w:r>
      <w:r w:rsidRPr="00DD3151">
        <w:t>49 days gestation group should be 128/3641 (however, the calculated percen</w:t>
      </w:r>
      <w:r w:rsidR="00394B8D">
        <w:t>tage remains the same at 3.5%).</w:t>
      </w:r>
    </w:p>
    <w:p w:rsidR="00DD3151" w:rsidRPr="00AF45CD" w:rsidRDefault="00DD3151" w:rsidP="00394B8D">
      <w:pPr>
        <w:pStyle w:val="Heading5"/>
        <w:rPr>
          <w:rFonts w:eastAsiaTheme="minorHAnsi"/>
        </w:rPr>
      </w:pPr>
      <w:bookmarkStart w:id="179" w:name="_Toc403987334"/>
      <w:r w:rsidRPr="00AF45CD">
        <w:rPr>
          <w:rFonts w:eastAsiaTheme="minorHAnsi"/>
        </w:rPr>
        <w:t xml:space="preserve">Clinical </w:t>
      </w:r>
      <w:r w:rsidR="00394B8D">
        <w:rPr>
          <w:rFonts w:eastAsiaTheme="minorHAnsi"/>
        </w:rPr>
        <w:t>s</w:t>
      </w:r>
      <w:r w:rsidRPr="00AF45CD">
        <w:rPr>
          <w:rFonts w:eastAsiaTheme="minorHAnsi"/>
        </w:rPr>
        <w:t>afety - Data from the Australia</w:t>
      </w:r>
      <w:r w:rsidR="00394B8D">
        <w:rPr>
          <w:rFonts w:eastAsiaTheme="minorHAnsi"/>
        </w:rPr>
        <w:t>n Authorised Prescriber Program</w:t>
      </w:r>
      <w:bookmarkEnd w:id="179"/>
    </w:p>
    <w:p w:rsidR="00DD3151" w:rsidRPr="00DD3151" w:rsidRDefault="00DD3151" w:rsidP="00394B8D">
      <w:r w:rsidRPr="00DD3151">
        <w:t xml:space="preserve">The </w:t>
      </w:r>
      <w:r>
        <w:t>s</w:t>
      </w:r>
      <w:r w:rsidRPr="00DD3151">
        <w:t>ponsor confirm</w:t>
      </w:r>
      <w:r w:rsidR="007D3B58">
        <w:t>ed</w:t>
      </w:r>
      <w:r w:rsidRPr="00DD3151">
        <w:t xml:space="preserve"> that the definitions used to collect data on haemorrhage under the Authorised Prescriber Program and in the Pha</w:t>
      </w:r>
      <w:r w:rsidR="00394B8D">
        <w:t>se IV study were not different.</w:t>
      </w:r>
    </w:p>
    <w:p w:rsidR="00DD3151" w:rsidRPr="00AF45CD" w:rsidRDefault="00DD3151" w:rsidP="00394B8D">
      <w:pPr>
        <w:pStyle w:val="Heading5"/>
        <w:rPr>
          <w:rFonts w:eastAsiaTheme="minorHAnsi"/>
        </w:rPr>
      </w:pPr>
      <w:bookmarkStart w:id="180" w:name="_Toc403987335"/>
      <w:r w:rsidRPr="00AF45CD">
        <w:rPr>
          <w:rFonts w:eastAsiaTheme="minorHAnsi"/>
        </w:rPr>
        <w:t xml:space="preserve">Clinical </w:t>
      </w:r>
      <w:r w:rsidR="00394B8D">
        <w:rPr>
          <w:rFonts w:eastAsiaTheme="minorHAnsi"/>
        </w:rPr>
        <w:t>s</w:t>
      </w:r>
      <w:r w:rsidRPr="00AF45CD">
        <w:rPr>
          <w:rFonts w:eastAsiaTheme="minorHAnsi"/>
        </w:rPr>
        <w:t xml:space="preserve">afety - Interim </w:t>
      </w:r>
      <w:r w:rsidR="00394B8D">
        <w:rPr>
          <w:rFonts w:eastAsiaTheme="minorHAnsi"/>
        </w:rPr>
        <w:t>d</w:t>
      </w:r>
      <w:r w:rsidRPr="00AF45CD">
        <w:rPr>
          <w:rFonts w:eastAsiaTheme="minorHAnsi"/>
        </w:rPr>
        <w:t>ata f</w:t>
      </w:r>
      <w:r w:rsidR="00394B8D">
        <w:rPr>
          <w:rFonts w:eastAsiaTheme="minorHAnsi"/>
        </w:rPr>
        <w:t>rom the post-registration study</w:t>
      </w:r>
      <w:bookmarkEnd w:id="180"/>
    </w:p>
    <w:p w:rsidR="00DD3151" w:rsidRPr="00DD3151" w:rsidRDefault="00DD3151" w:rsidP="00394B8D">
      <w:r>
        <w:t>The s</w:t>
      </w:r>
      <w:r w:rsidRPr="00DD3151">
        <w:t>ponsor confirm</w:t>
      </w:r>
      <w:r w:rsidR="007D3B58">
        <w:t>ed</w:t>
      </w:r>
      <w:r w:rsidRPr="00DD3151">
        <w:t xml:space="preserve"> </w:t>
      </w:r>
      <w:r w:rsidR="007D3B58">
        <w:t xml:space="preserve">that </w:t>
      </w:r>
      <w:r w:rsidR="007D3B58" w:rsidRPr="00DD3151">
        <w:t>adverse effects reported during the period March to September 2013, and for October to December</w:t>
      </w:r>
      <w:r w:rsidR="00AA32F0">
        <w:t xml:space="preserve"> 2013,</w:t>
      </w:r>
      <w:r w:rsidR="007D3B58" w:rsidRPr="00DD3151">
        <w:t xml:space="preserve"> were similar</w:t>
      </w:r>
      <w:r w:rsidR="00AA32F0">
        <w:t>, as shown in</w:t>
      </w:r>
      <w:r w:rsidRPr="00DD3151">
        <w:t xml:space="preserve"> the updated tabulation (see below).</w:t>
      </w:r>
    </w:p>
    <w:p w:rsidR="00DD05EE" w:rsidRPr="00394B8D" w:rsidRDefault="00DD05EE" w:rsidP="00394B8D">
      <w:pPr>
        <w:pStyle w:val="TableTitle"/>
      </w:pPr>
      <w:proofErr w:type="gramStart"/>
      <w:r>
        <w:lastRenderedPageBreak/>
        <w:t>Table 13.</w:t>
      </w:r>
      <w:proofErr w:type="gramEnd"/>
      <w:r>
        <w:t xml:space="preserve"> Data for March to September 2013 (n = 3327)</w:t>
      </w:r>
    </w:p>
    <w:p w:rsidR="00DD05EE" w:rsidRDefault="00DD05EE" w:rsidP="00516A98">
      <w:r>
        <w:rPr>
          <w:noProof/>
          <w:lang w:eastAsia="en-AU"/>
        </w:rPr>
        <w:drawing>
          <wp:inline distT="0" distB="0" distL="0" distR="0" wp14:anchorId="6DFAE9F0" wp14:editId="4DED841D">
            <wp:extent cx="5400040" cy="1281933"/>
            <wp:effectExtent l="0" t="0" r="0" b="0"/>
            <wp:docPr id="5" name="Picture 5" descr="Table 13. Data for March to September 2013 (n = 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0040" cy="1281933"/>
                    </a:xfrm>
                    <a:prstGeom prst="rect">
                      <a:avLst/>
                    </a:prstGeom>
                  </pic:spPr>
                </pic:pic>
              </a:graphicData>
            </a:graphic>
          </wp:inline>
        </w:drawing>
      </w:r>
    </w:p>
    <w:p w:rsidR="00DD05EE" w:rsidRPr="00091F29" w:rsidRDefault="00DD05EE" w:rsidP="00091F29">
      <w:pPr>
        <w:pStyle w:val="TableTitle"/>
      </w:pPr>
      <w:proofErr w:type="gramStart"/>
      <w:r>
        <w:t>Table 14.</w:t>
      </w:r>
      <w:proofErr w:type="gramEnd"/>
      <w:r>
        <w:t xml:space="preserve"> Data for March to December 2013 (n = 4490)</w:t>
      </w:r>
    </w:p>
    <w:p w:rsidR="00DD05EE" w:rsidRPr="00A322B3" w:rsidRDefault="00DD05EE" w:rsidP="00091F29">
      <w:r>
        <w:rPr>
          <w:noProof/>
          <w:lang w:eastAsia="en-AU"/>
        </w:rPr>
        <w:drawing>
          <wp:inline distT="0" distB="0" distL="0" distR="0" wp14:anchorId="02CB6C85" wp14:editId="510ED7B9">
            <wp:extent cx="5400040" cy="1300394"/>
            <wp:effectExtent l="0" t="0" r="0" b="0"/>
            <wp:docPr id="6" name="Picture 6" descr="Table 14. Data for March to December 2013 (n = 4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00040" cy="1300394"/>
                    </a:xfrm>
                    <a:prstGeom prst="rect">
                      <a:avLst/>
                    </a:prstGeom>
                  </pic:spPr>
                </pic:pic>
              </a:graphicData>
            </a:graphic>
          </wp:inline>
        </w:drawing>
      </w:r>
    </w:p>
    <w:p w:rsidR="00DD05EE" w:rsidRPr="00DD05EE" w:rsidRDefault="00DD05EE" w:rsidP="00091F29">
      <w:r w:rsidRPr="00DD05EE">
        <w:t>Further, the following additional points are included for clarification.</w:t>
      </w:r>
    </w:p>
    <w:p w:rsidR="00DD05EE" w:rsidRPr="00AF45CD" w:rsidRDefault="00DD05EE" w:rsidP="00091F29">
      <w:pPr>
        <w:pStyle w:val="ListBullet"/>
      </w:pPr>
      <w:r w:rsidRPr="00AF45CD">
        <w:t>Case listed as uterine rupture/hysterectomy*: Hysterectomy was required in one patient following perforation of the uterus that occurred during surgical intervention following a failed medical termination.</w:t>
      </w:r>
    </w:p>
    <w:p w:rsidR="00DD05EE" w:rsidRPr="00AF45CD" w:rsidRDefault="00DD05EE" w:rsidP="00091F29">
      <w:pPr>
        <w:pStyle w:val="ListBullet"/>
      </w:pPr>
      <w:r w:rsidRPr="00AF45CD">
        <w:t xml:space="preserve">Case of death due to sepsis: The death is awaiting a coroner’s </w:t>
      </w:r>
      <w:r w:rsidRPr="00091F29">
        <w:t>final</w:t>
      </w:r>
      <w:r w:rsidRPr="00AF45CD">
        <w:t xml:space="preserve"> determination but an autopsy report noted acute lobar pneumonia and lung necrosis, and stated ‘the relationship of the recent pregnancy termination and her demise is uncertain and may have been coincidental.’</w:t>
      </w:r>
    </w:p>
    <w:p w:rsidR="00DD05EE" w:rsidRPr="00AF45CD" w:rsidRDefault="00DD05EE" w:rsidP="00091F29">
      <w:pPr>
        <w:pStyle w:val="Heading5"/>
        <w:rPr>
          <w:rFonts w:eastAsiaTheme="minorHAnsi"/>
        </w:rPr>
      </w:pPr>
      <w:bookmarkStart w:id="181" w:name="_Toc403987336"/>
      <w:r w:rsidRPr="00DD05EE">
        <w:rPr>
          <w:rFonts w:eastAsiaTheme="minorHAnsi"/>
        </w:rPr>
        <w:t>Cli</w:t>
      </w:r>
      <w:r w:rsidR="00091F29">
        <w:rPr>
          <w:rFonts w:eastAsiaTheme="minorHAnsi"/>
        </w:rPr>
        <w:t>nical safety – General comments</w:t>
      </w:r>
      <w:bookmarkEnd w:id="181"/>
    </w:p>
    <w:p w:rsidR="00DD05EE" w:rsidRPr="00AF45CD" w:rsidRDefault="00DD05EE" w:rsidP="00091F29">
      <w:r w:rsidRPr="00AF45CD">
        <w:t>The Delegate note</w:t>
      </w:r>
      <w:r w:rsidR="00AA32F0" w:rsidRPr="00AF45CD">
        <w:t>d</w:t>
      </w:r>
      <w:r w:rsidRPr="00AF45CD">
        <w:t xml:space="preserve"> that the rate of fatal s</w:t>
      </w:r>
      <w:r w:rsidR="00091F29">
        <w:t>epsis is rare (&lt; 1 in 100,000).</w:t>
      </w:r>
    </w:p>
    <w:p w:rsidR="00DD05EE" w:rsidRPr="00AF45CD" w:rsidRDefault="00DD05EE" w:rsidP="00091F29">
      <w:r w:rsidRPr="00AF45CD">
        <w:t>The sponsor confirm</w:t>
      </w:r>
      <w:r w:rsidR="00AA32F0" w:rsidRPr="00AF45CD">
        <w:t>ed</w:t>
      </w:r>
      <w:r w:rsidRPr="00AF45CD">
        <w:t xml:space="preserve"> that th</w:t>
      </w:r>
      <w:r w:rsidR="00AA32F0" w:rsidRPr="00AF45CD">
        <w:t>e</w:t>
      </w:r>
      <w:r w:rsidRPr="00AF45CD">
        <w:t xml:space="preserve"> rate </w:t>
      </w:r>
      <w:r w:rsidR="00AA32F0" w:rsidRPr="00AF45CD">
        <w:t xml:space="preserve">of fatal sepsis </w:t>
      </w:r>
      <w:r w:rsidRPr="00AF45CD">
        <w:t xml:space="preserve">is indeed very rare, since it is much less frequent than the usual very </w:t>
      </w:r>
      <w:r w:rsidR="00091F29">
        <w:t>rare category of &lt; 1 in 10,000.</w:t>
      </w:r>
    </w:p>
    <w:p w:rsidR="00DD05EE" w:rsidRPr="00091F29" w:rsidRDefault="00091F29" w:rsidP="00091F29">
      <w:pPr>
        <w:pStyle w:val="Heading4"/>
      </w:pPr>
      <w:bookmarkStart w:id="182" w:name="_Toc403987337"/>
      <w:r>
        <w:t>Advisory c</w:t>
      </w:r>
      <w:r w:rsidR="00DD05EE" w:rsidRPr="00DD3151">
        <w:t xml:space="preserve">ommittee </w:t>
      </w:r>
      <w:r>
        <w:t>c</w:t>
      </w:r>
      <w:r w:rsidR="00DD05EE" w:rsidRPr="00DD3151">
        <w:t>onsiderations</w:t>
      </w:r>
      <w:bookmarkEnd w:id="182"/>
    </w:p>
    <w:p w:rsidR="00DD05EE" w:rsidRDefault="00DD05EE" w:rsidP="00091F29">
      <w:r w:rsidRPr="00DD3151">
        <w:t>The Advisory Committee on Prescription Medicines (ACP</w:t>
      </w:r>
      <w:r w:rsidRPr="00D23139">
        <w:t xml:space="preserve">M), having considered the evaluations and the Delegate’s overview, as well as the </w:t>
      </w:r>
      <w:r>
        <w:t>sponsor</w:t>
      </w:r>
      <w:r w:rsidRPr="00D23139">
        <w:t>’s response to these documents, advised the following:</w:t>
      </w:r>
    </w:p>
    <w:p w:rsidR="00062545" w:rsidRPr="00062545" w:rsidRDefault="00062545" w:rsidP="00091F29">
      <w:pPr>
        <w:pStyle w:val="ListBullet"/>
      </w:pPr>
      <w:r w:rsidRPr="00062545">
        <w:t>The submission seeks to register a new combination of active ingredients and to extend the indications.</w:t>
      </w:r>
    </w:p>
    <w:p w:rsidR="00062545" w:rsidRPr="00062545" w:rsidRDefault="00062545" w:rsidP="00091F29">
      <w:pPr>
        <w:pStyle w:val="ListBullet"/>
      </w:pPr>
      <w:r w:rsidRPr="00062545">
        <w:t xml:space="preserve">The ACPM, taking into account the submitted evidence of efficacy, safety and quality, considered MS-2 </w:t>
      </w:r>
      <w:r>
        <w:t>Step</w:t>
      </w:r>
      <w:r w:rsidRPr="00062545">
        <w:t xml:space="preserve"> containing mifepristone, one 200 mg tablet, misoprostol, four 200 µg tablets in a tablet blister pack to have an overall positive benefit–r</w:t>
      </w:r>
      <w:r w:rsidR="00091F29">
        <w:t>isk profile for the indication;</w:t>
      </w:r>
    </w:p>
    <w:p w:rsidR="00062545" w:rsidRPr="00091F29" w:rsidRDefault="00062545" w:rsidP="00091F29">
      <w:pPr>
        <w:ind w:left="360"/>
        <w:rPr>
          <w:i/>
        </w:rPr>
      </w:pPr>
      <w:proofErr w:type="gramStart"/>
      <w:r w:rsidRPr="00091F29">
        <w:rPr>
          <w:i/>
        </w:rPr>
        <w:t>Females of childbearing age for the medical termination of a developing intrauterine pregnancy up to 63 days gestation.</w:t>
      </w:r>
      <w:proofErr w:type="gramEnd"/>
    </w:p>
    <w:p w:rsidR="00062545" w:rsidRPr="00091F29" w:rsidRDefault="00062545" w:rsidP="00091F29">
      <w:pPr>
        <w:ind w:left="360"/>
        <w:rPr>
          <w:i/>
        </w:rPr>
      </w:pPr>
      <w:r w:rsidRPr="00091F29">
        <w:rPr>
          <w:i/>
        </w:rPr>
        <w:t>It is recommended that the duration of pregnancy (that is, up to 63 days gestation) be confirmed by ultrasound. In the event that an ultrasound is not possible, extra caution should be exercised.</w:t>
      </w:r>
    </w:p>
    <w:p w:rsidR="00062545" w:rsidRPr="00091F29" w:rsidRDefault="00062545" w:rsidP="00091F29">
      <w:pPr>
        <w:ind w:left="360"/>
        <w:rPr>
          <w:i/>
        </w:rPr>
      </w:pPr>
      <w:r w:rsidRPr="00091F29">
        <w:rPr>
          <w:i/>
        </w:rPr>
        <w:t>Ultrasound is also useful to exclude ectopic pregnancy.</w:t>
      </w:r>
    </w:p>
    <w:p w:rsidR="00062545" w:rsidRPr="00AF45CD" w:rsidRDefault="00062545" w:rsidP="00091F29">
      <w:pPr>
        <w:pStyle w:val="Heading5"/>
      </w:pPr>
      <w:bookmarkStart w:id="183" w:name="_Toc403987338"/>
      <w:r w:rsidRPr="00062545">
        <w:lastRenderedPageBreak/>
        <w:t>Proposed conditions of registration</w:t>
      </w:r>
      <w:bookmarkEnd w:id="183"/>
    </w:p>
    <w:p w:rsidR="00062545" w:rsidRPr="00062545" w:rsidRDefault="00062545" w:rsidP="00091F29">
      <w:r w:rsidRPr="00062545">
        <w:t xml:space="preserve">The ACPM agreed with the </w:t>
      </w:r>
      <w:r>
        <w:t>Delegate</w:t>
      </w:r>
      <w:r w:rsidRPr="00062545">
        <w:t xml:space="preserve"> on the propo</w:t>
      </w:r>
      <w:r w:rsidR="00091F29">
        <w:t>sed conditions of registration.</w:t>
      </w:r>
    </w:p>
    <w:p w:rsidR="00062545" w:rsidRPr="00062545" w:rsidRDefault="00062545" w:rsidP="00091F29">
      <w:pPr>
        <w:pStyle w:val="Heading5"/>
      </w:pPr>
      <w:bookmarkStart w:id="184" w:name="_Toc403987339"/>
      <w:r w:rsidRPr="00062545">
        <w:t>Proposed Product Information (PI)/Consumer Medici</w:t>
      </w:r>
      <w:r w:rsidR="00091F29">
        <w:t>ne Information (CMI) amendments</w:t>
      </w:r>
      <w:bookmarkEnd w:id="184"/>
    </w:p>
    <w:p w:rsidR="00062545" w:rsidRPr="00062545" w:rsidRDefault="00062545" w:rsidP="00091F29">
      <w:r w:rsidRPr="00062545">
        <w:t xml:space="preserve">The ACPM agreed with the </w:t>
      </w:r>
      <w:r>
        <w:t>Delegate</w:t>
      </w:r>
      <w:r w:rsidRPr="00062545">
        <w:t xml:space="preserve"> to the proposed amendments to the Product Information (PI) and Consumer Medicine Information (CMI).</w:t>
      </w:r>
    </w:p>
    <w:p w:rsidR="00062545" w:rsidRPr="00AF45CD" w:rsidRDefault="00062545" w:rsidP="00091F29">
      <w:pPr>
        <w:pStyle w:val="Heading5"/>
      </w:pPr>
      <w:bookmarkStart w:id="185" w:name="_Toc403987340"/>
      <w:r w:rsidRPr="00062545">
        <w:t xml:space="preserve">Specific </w:t>
      </w:r>
      <w:r w:rsidR="00091F29">
        <w:t>a</w:t>
      </w:r>
      <w:r w:rsidRPr="00062545">
        <w:t>dvice</w:t>
      </w:r>
      <w:bookmarkEnd w:id="185"/>
    </w:p>
    <w:p w:rsidR="00062545" w:rsidRPr="00062545" w:rsidRDefault="00062545" w:rsidP="00091F29">
      <w:r w:rsidRPr="00062545">
        <w:t xml:space="preserve">The ACPM advised the following in response to the specific </w:t>
      </w:r>
      <w:r>
        <w:t>Delegate</w:t>
      </w:r>
      <w:r w:rsidRPr="00062545">
        <w:t>’s questions on this submission:</w:t>
      </w:r>
    </w:p>
    <w:p w:rsidR="00062545" w:rsidRPr="00062545" w:rsidRDefault="00062545" w:rsidP="00091F29">
      <w:pPr>
        <w:pStyle w:val="Numberbullet0"/>
        <w:numPr>
          <w:ilvl w:val="0"/>
          <w:numId w:val="39"/>
        </w:numPr>
      </w:pPr>
      <w:r w:rsidRPr="00062545">
        <w:t xml:space="preserve">Has </w:t>
      </w:r>
      <w:r w:rsidRPr="00091F29">
        <w:t>the</w:t>
      </w:r>
      <w:r w:rsidRPr="00062545">
        <w:t xml:space="preserve"> safety and efficacy of MS-2 S</w:t>
      </w:r>
      <w:r w:rsidR="006270FF">
        <w:t>tep</w:t>
      </w:r>
      <w:r w:rsidRPr="00062545">
        <w:t xml:space="preserve"> been satisfactorily established by the sponsor for females/women with gestations of 50-63 days</w:t>
      </w:r>
    </w:p>
    <w:p w:rsidR="00062545" w:rsidRPr="00062545" w:rsidRDefault="00062545" w:rsidP="00091F29">
      <w:r w:rsidRPr="00062545">
        <w:t>The ACPM noted that surgical termination of pregnancy carries a greater risk and the risk of death in pregnancy is greater still than the risk of termination of pregnancy either medical or surgical. The ACPM was reassured by the post</w:t>
      </w:r>
      <w:r>
        <w:t xml:space="preserve"> </w:t>
      </w:r>
      <w:r w:rsidRPr="00062545">
        <w:t>marketing data from other jurisdictions. The ACPM considered that there is no significant increase in bleeding and complications when the timing termination is increased from 49 to 63 days and that the safety and efficacy had been satisfactorily established.</w:t>
      </w:r>
    </w:p>
    <w:p w:rsidR="00062545" w:rsidRPr="00062545" w:rsidRDefault="00062545" w:rsidP="00091F29">
      <w:pPr>
        <w:pStyle w:val="Numberbullet0"/>
      </w:pPr>
      <w:r w:rsidRPr="00062545">
        <w:t>The ACPM is also asked to provide expert clinical advice on clinical aspects of the PI. In particular:</w:t>
      </w:r>
    </w:p>
    <w:p w:rsidR="00062545" w:rsidRPr="00062545" w:rsidRDefault="00062545" w:rsidP="00091F29">
      <w:pPr>
        <w:pStyle w:val="Numberbullet2"/>
      </w:pPr>
      <w:r w:rsidRPr="00062545">
        <w:t xml:space="preserve">The </w:t>
      </w:r>
      <w:r w:rsidRPr="00091F29">
        <w:t>information</w:t>
      </w:r>
      <w:r w:rsidRPr="00062545">
        <w:t xml:space="preserve"> on ultrasound under </w:t>
      </w:r>
      <w:r w:rsidR="00F8648B" w:rsidRPr="00F8648B">
        <w:rPr>
          <w:i/>
        </w:rPr>
        <w:t>Indications</w:t>
      </w:r>
    </w:p>
    <w:p w:rsidR="00062545" w:rsidRPr="00062545" w:rsidRDefault="00062545" w:rsidP="00091F29">
      <w:r w:rsidRPr="00062545">
        <w:t>The ACPM was of the view that the wording proposed by the sponsor regarding the use of ultrasound to confirm the duration of pregnancy was appropriate. If ultrasound is not available, the ACPM considered that it was appropriate that examination by a doctor be undertaken. The ACPM agreed that ultrasound was also useful in excluding ectopic pregnancy.</w:t>
      </w:r>
    </w:p>
    <w:p w:rsidR="00062545" w:rsidRPr="00062545" w:rsidRDefault="00062545" w:rsidP="00091F29">
      <w:pPr>
        <w:pStyle w:val="Numberbullet2"/>
      </w:pPr>
      <w:r w:rsidRPr="00062545">
        <w:t xml:space="preserve">Information about what to do if termination does not occur under </w:t>
      </w:r>
      <w:r w:rsidR="00D35908" w:rsidRPr="00062545">
        <w:t>Dosage &amp; Administration.</w:t>
      </w:r>
    </w:p>
    <w:p w:rsidR="00062545" w:rsidRPr="00062545" w:rsidRDefault="00062545" w:rsidP="00091F29">
      <w:r w:rsidRPr="00062545">
        <w:t xml:space="preserve">The ACPM noted that the wording about a repeat dose of misoprostol had been deleted in the draft Product Information and replaced by wording in the </w:t>
      </w:r>
      <w:r w:rsidR="00D35908" w:rsidRPr="00D35908">
        <w:t xml:space="preserve">Dosage </w:t>
      </w:r>
      <w:r w:rsidR="00D35908">
        <w:t>a</w:t>
      </w:r>
      <w:r w:rsidR="00D35908" w:rsidRPr="00D35908">
        <w:t>nd Administration</w:t>
      </w:r>
      <w:r w:rsidRPr="00062545">
        <w:t xml:space="preserve"> section, which refers patients back to their doctor if termination does not occur. The ACPM agreed that the proposed wording was appropriate. However patient </w:t>
      </w:r>
      <w:proofErr w:type="spellStart"/>
      <w:r w:rsidRPr="00062545">
        <w:t>followup</w:t>
      </w:r>
      <w:proofErr w:type="spellEnd"/>
      <w:r w:rsidRPr="00062545">
        <w:t xml:space="preserve"> needed to be emphasised.</w:t>
      </w:r>
    </w:p>
    <w:p w:rsidR="00062545" w:rsidRDefault="00062545" w:rsidP="00091F29">
      <w:r w:rsidRPr="00062545">
        <w:t>The ACPM advised that the implementation by the sponsor of the recommendations outlined above to the satisfaction of the TGA, in addition to the evidence of efficacy and safety provided would support the safe and effective use of this product.</w:t>
      </w:r>
    </w:p>
    <w:p w:rsidR="000E552D" w:rsidRPr="002E238E" w:rsidRDefault="000E552D" w:rsidP="00091F29">
      <w:pPr>
        <w:pStyle w:val="Heading3"/>
      </w:pPr>
      <w:bookmarkStart w:id="186" w:name="_Toc403987341"/>
      <w:r>
        <w:t>Outcome</w:t>
      </w:r>
      <w:bookmarkEnd w:id="186"/>
    </w:p>
    <w:p w:rsidR="000E552D" w:rsidRDefault="000E552D" w:rsidP="00091F29">
      <w:r w:rsidRPr="00D23139">
        <w:t>Based on a review of quality, safety and efficacy, TGA approved the registration of</w:t>
      </w:r>
      <w:r w:rsidR="006270FF">
        <w:t xml:space="preserve"> MS-2 Step composite pack (mifepristone </w:t>
      </w:r>
      <w:proofErr w:type="spellStart"/>
      <w:r w:rsidR="006270FF">
        <w:t>Linepharma</w:t>
      </w:r>
      <w:proofErr w:type="spellEnd"/>
      <w:r w:rsidR="006270FF">
        <w:t xml:space="preserve"> 200 mg tablet</w:t>
      </w:r>
      <w:r w:rsidR="001E3F0E">
        <w:t xml:space="preserve"> mifepristone 200</w:t>
      </w:r>
      <w:r w:rsidR="00F8648B">
        <w:t xml:space="preserve"> </w:t>
      </w:r>
      <w:r w:rsidR="001E3F0E">
        <w:t xml:space="preserve">mg tablet blister; </w:t>
      </w:r>
      <w:proofErr w:type="spellStart"/>
      <w:r w:rsidR="00052E21">
        <w:t>GyMiso</w:t>
      </w:r>
      <w:proofErr w:type="spellEnd"/>
      <w:r w:rsidR="00052E21">
        <w:t>®</w:t>
      </w:r>
      <w:r w:rsidR="001E3F0E">
        <w:t xml:space="preserve"> misoprostol 200 microgram tablet blister)</w:t>
      </w:r>
      <w:r w:rsidR="000F20C6">
        <w:t xml:space="preserve"> </w:t>
      </w:r>
      <w:r w:rsidRPr="00D23139">
        <w:t>indicated for:</w:t>
      </w:r>
    </w:p>
    <w:p w:rsidR="00091F29" w:rsidRPr="00091F29" w:rsidRDefault="001E3F0E" w:rsidP="00091F29">
      <w:pPr>
        <w:ind w:left="720"/>
        <w:rPr>
          <w:i/>
        </w:rPr>
      </w:pPr>
      <w:r w:rsidRPr="00091F29">
        <w:rPr>
          <w:i/>
        </w:rPr>
        <w:t>MS-2 Step is indicated in females of childbearing age for the medical termination of a developing intrauterine pregnancy, up to 63 days of gestation.</w:t>
      </w:r>
    </w:p>
    <w:p w:rsidR="00091F29" w:rsidRPr="00091F29" w:rsidRDefault="001E3F0E" w:rsidP="00091F29">
      <w:pPr>
        <w:ind w:left="720"/>
        <w:rPr>
          <w:i/>
        </w:rPr>
      </w:pPr>
      <w:r w:rsidRPr="00091F29">
        <w:rPr>
          <w:i/>
        </w:rPr>
        <w:t>It is recommended that the duration of pregnancy (that is, up to 63 days gestation) be confirmed by ultrasound. In the event that an ultrasound is not possible, extra caution should be exercised.</w:t>
      </w:r>
    </w:p>
    <w:p w:rsidR="001E3F0E" w:rsidRPr="00091F29" w:rsidRDefault="001E3F0E" w:rsidP="00091F29">
      <w:pPr>
        <w:ind w:left="720"/>
        <w:rPr>
          <w:i/>
        </w:rPr>
      </w:pPr>
      <w:r w:rsidRPr="00091F29">
        <w:rPr>
          <w:i/>
        </w:rPr>
        <w:lastRenderedPageBreak/>
        <w:t>Ultrasound is also useful to exclude ectopic pregnancy.</w:t>
      </w:r>
    </w:p>
    <w:p w:rsidR="000E552D" w:rsidRPr="00AF45CD" w:rsidRDefault="000E552D" w:rsidP="00091F29">
      <w:pPr>
        <w:pStyle w:val="Heading4"/>
      </w:pPr>
      <w:bookmarkStart w:id="187" w:name="_Toc403987342"/>
      <w:r w:rsidRPr="00AF45CD">
        <w:t>Specific conditions of registration applying to these goods</w:t>
      </w:r>
      <w:bookmarkEnd w:id="187"/>
    </w:p>
    <w:p w:rsidR="001E3F0E" w:rsidRPr="001E3F0E" w:rsidRDefault="001E3F0E" w:rsidP="00091F29">
      <w:r w:rsidRPr="001E3F0E">
        <w:t>The M</w:t>
      </w:r>
      <w:r w:rsidR="00DA46A6">
        <w:t>S</w:t>
      </w:r>
      <w:r w:rsidRPr="001E3F0E">
        <w:t>-2 Step Risk Management Plan (RMP) dated 7</w:t>
      </w:r>
      <w:r>
        <w:t xml:space="preserve"> J</w:t>
      </w:r>
      <w:r w:rsidRPr="001E3F0E">
        <w:t>anuary 2014, and any</w:t>
      </w:r>
      <w:r>
        <w:t xml:space="preserve"> </w:t>
      </w:r>
      <w:r w:rsidRPr="001E3F0E">
        <w:t xml:space="preserve">subsequent </w:t>
      </w:r>
      <w:r>
        <w:t>revisions, as agreed with the TG</w:t>
      </w:r>
      <w:r w:rsidRPr="001E3F0E">
        <w:t xml:space="preserve">A will be implemented in </w:t>
      </w:r>
      <w:r>
        <w:t>Australia.</w:t>
      </w:r>
    </w:p>
    <w:p w:rsidR="000E552D" w:rsidRPr="00091F29" w:rsidRDefault="000E552D" w:rsidP="00091F29">
      <w:pPr>
        <w:pStyle w:val="Heading2"/>
      </w:pPr>
      <w:bookmarkStart w:id="188" w:name="_Toc403987343"/>
      <w:proofErr w:type="gramStart"/>
      <w:r>
        <w:t>Attachment 1.</w:t>
      </w:r>
      <w:proofErr w:type="gramEnd"/>
      <w:r w:rsidR="00091F29">
        <w:t xml:space="preserve"> </w:t>
      </w:r>
      <w:r>
        <w:t>Product Information</w:t>
      </w:r>
      <w:bookmarkEnd w:id="188"/>
    </w:p>
    <w:p w:rsidR="000E552D" w:rsidRDefault="000E552D" w:rsidP="00091F29">
      <w:pPr>
        <w:rPr>
          <w:color w:val="000000"/>
          <w:lang w:eastAsia="en-AU"/>
        </w:rPr>
      </w:pPr>
      <w:r w:rsidRPr="002B3624">
        <w:t xml:space="preserve">The Product Information approved for main </w:t>
      </w:r>
      <w:proofErr w:type="spellStart"/>
      <w:r w:rsidR="00062545">
        <w:t>tradename</w:t>
      </w:r>
      <w:proofErr w:type="spellEnd"/>
      <w:r w:rsidR="00062545">
        <w:t xml:space="preserve"> </w:t>
      </w:r>
      <w:r w:rsidRPr="002B3624">
        <w:t>at the time this AusPAR was published is at Attachment 1. For the most recent Product Information please refer to the TGA website at &lt;</w:t>
      </w:r>
      <w:hyperlink r:id="rId20" w:history="1">
        <w:r w:rsidRPr="000734D8">
          <w:rPr>
            <w:rStyle w:val="Hyperlink"/>
          </w:rPr>
          <w:t>http://www.tga.gov.au/hp/information-medicines-pi.htm</w:t>
        </w:r>
      </w:hyperlink>
      <w:r w:rsidRPr="002B3624">
        <w:t>&gt;.</w:t>
      </w:r>
    </w:p>
    <w:p w:rsidR="00062545" w:rsidRDefault="000E552D" w:rsidP="00091F29">
      <w:pPr>
        <w:pStyle w:val="Heading2"/>
        <w:rPr>
          <w:lang w:eastAsia="en-AU"/>
        </w:rPr>
      </w:pPr>
      <w:bookmarkStart w:id="189" w:name="_Toc403987344"/>
      <w:proofErr w:type="gramStart"/>
      <w:r>
        <w:rPr>
          <w:lang w:eastAsia="en-AU"/>
        </w:rPr>
        <w:t>Attachment 2.</w:t>
      </w:r>
      <w:proofErr w:type="gramEnd"/>
      <w:r>
        <w:rPr>
          <w:lang w:eastAsia="en-AU"/>
        </w:rPr>
        <w:t xml:space="preserve"> Extract from the Clinical Evaluation Report</w:t>
      </w:r>
      <w:bookmarkEnd w:id="189"/>
    </w:p>
    <w:p w:rsidR="000E552D" w:rsidRPr="001D043B" w:rsidRDefault="000E552D" w:rsidP="003A7F6C">
      <w:pPr>
        <w:pStyle w:val="TableTitle"/>
        <w:sectPr w:rsidR="000E552D" w:rsidRPr="001D043B" w:rsidSect="00B452CE">
          <w:headerReference w:type="even" r:id="rId21"/>
          <w:headerReference w:type="default" r:id="rId22"/>
          <w:headerReference w:type="first" r:id="rId23"/>
          <w:footerReference w:type="first" r:id="rId24"/>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0E552D" w:rsidRPr="00487162" w:rsidTr="0016588E">
        <w:trPr>
          <w:trHeight w:hRule="exact" w:val="704"/>
        </w:trPr>
        <w:tc>
          <w:tcPr>
            <w:tcW w:w="9175" w:type="dxa"/>
          </w:tcPr>
          <w:p w:rsidR="000E552D" w:rsidRPr="00487162" w:rsidRDefault="000E552D" w:rsidP="0016588E">
            <w:pPr>
              <w:pStyle w:val="TGASignoff"/>
            </w:pPr>
            <w:r w:rsidRPr="00487162">
              <w:lastRenderedPageBreak/>
              <w:t>Therapeutic Goods Administration</w:t>
            </w:r>
          </w:p>
        </w:tc>
      </w:tr>
      <w:tr w:rsidR="000E552D" w:rsidRPr="004C239D" w:rsidTr="0016588E">
        <w:trPr>
          <w:trHeight w:val="1221"/>
        </w:trPr>
        <w:tc>
          <w:tcPr>
            <w:tcW w:w="9175" w:type="dxa"/>
            <w:tcMar>
              <w:top w:w="28" w:type="dxa"/>
            </w:tcMar>
          </w:tcPr>
          <w:p w:rsidR="000E552D" w:rsidRPr="00487162" w:rsidRDefault="000E552D" w:rsidP="0016588E">
            <w:pPr>
              <w:pStyle w:val="Address"/>
            </w:pPr>
            <w:r w:rsidRPr="00487162">
              <w:t>PO Box 100 Woden ACT 2606 Australia</w:t>
            </w:r>
          </w:p>
          <w:p w:rsidR="000E552D" w:rsidRPr="00487162" w:rsidRDefault="000E552D" w:rsidP="0016588E">
            <w:pPr>
              <w:pStyle w:val="Address"/>
            </w:pPr>
            <w:r w:rsidRPr="00487162">
              <w:t xml:space="preserve">Email: </w:t>
            </w:r>
            <w:hyperlink r:id="rId25" w:history="1">
              <w:r w:rsidRPr="004C239D">
                <w:rPr>
                  <w:rStyle w:val="Hyperlink"/>
                </w:rPr>
                <w:t>info@tga.gov.au</w:t>
              </w:r>
            </w:hyperlink>
            <w:r w:rsidR="00062545">
              <w:t xml:space="preserve"> </w:t>
            </w:r>
            <w:r w:rsidRPr="00487162">
              <w:t>Phone: 1800 020 653</w:t>
            </w:r>
            <w:r w:rsidR="00062545">
              <w:t xml:space="preserve"> </w:t>
            </w:r>
            <w:r w:rsidRPr="00487162">
              <w:t>Fax: 02 6232 8605</w:t>
            </w:r>
          </w:p>
          <w:p w:rsidR="000E552D" w:rsidRPr="004C239D" w:rsidRDefault="00B7103C" w:rsidP="0016588E">
            <w:pPr>
              <w:pStyle w:val="Address"/>
              <w:spacing w:line="260" w:lineRule="atLeast"/>
              <w:rPr>
                <w:b/>
                <w:color w:val="0000FF"/>
                <w:u w:val="single"/>
              </w:rPr>
            </w:pPr>
            <w:hyperlink r:id="rId26" w:history="1">
              <w:r w:rsidR="000E552D" w:rsidRPr="00607888">
                <w:rPr>
                  <w:rStyle w:val="Hyperlink"/>
                  <w:b/>
                </w:rPr>
                <w:t>http://www.tga.gov.au</w:t>
              </w:r>
            </w:hyperlink>
          </w:p>
        </w:tc>
      </w:tr>
    </w:tbl>
    <w:p w:rsidR="000E552D" w:rsidRDefault="000E552D" w:rsidP="004C239D">
      <w:pPr>
        <w:sectPr w:rsidR="000E552D" w:rsidSect="001C32CD">
          <w:headerReference w:type="even" r:id="rId27"/>
          <w:headerReference w:type="default" r:id="rId28"/>
          <w:footerReference w:type="default" r:id="rId29"/>
          <w:headerReference w:type="first" r:id="rId30"/>
          <w:footerReference w:type="first" r:id="rId31"/>
          <w:pgSz w:w="11906" w:h="16838" w:code="9"/>
          <w:pgMar w:top="13467" w:right="1701" w:bottom="426" w:left="1701" w:header="907" w:footer="0" w:gutter="0"/>
          <w:cols w:space="708"/>
          <w:docGrid w:linePitch="360"/>
        </w:sectPr>
      </w:pPr>
    </w:p>
    <w:p w:rsidR="000E552D" w:rsidRPr="008A5E0B" w:rsidRDefault="000E552D" w:rsidP="004C239D"/>
    <w:sectPr w:rsidR="000E552D" w:rsidRPr="008A5E0B" w:rsidSect="000E552D">
      <w:headerReference w:type="even" r:id="rId32"/>
      <w:headerReference w:type="default" r:id="rId33"/>
      <w:footerReference w:type="default" r:id="rId34"/>
      <w:headerReference w:type="first" r:id="rId35"/>
      <w:footerReference w:type="first" r:id="rId36"/>
      <w:type w:val="continuous"/>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CFF" w:rsidRDefault="00DF3CFF" w:rsidP="00C40A36">
      <w:pPr>
        <w:spacing w:after="0"/>
      </w:pPr>
      <w:r>
        <w:separator/>
      </w:r>
    </w:p>
  </w:endnote>
  <w:endnote w:type="continuationSeparator" w:id="0">
    <w:p w:rsidR="00DF3CFF" w:rsidRDefault="00DF3CFF"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DF3CFF" w:rsidRPr="00487162" w:rsidTr="00DB750B">
      <w:trPr>
        <w:trHeight w:val="269"/>
      </w:trPr>
      <w:tc>
        <w:tcPr>
          <w:tcW w:w="7371" w:type="dxa"/>
          <w:tcMar>
            <w:top w:w="142" w:type="dxa"/>
            <w:bottom w:w="0" w:type="dxa"/>
          </w:tcMar>
        </w:tcPr>
        <w:p w:rsidR="00DF3CFF" w:rsidRPr="00487162" w:rsidRDefault="00DF3CFF" w:rsidP="00C45465">
          <w:pPr>
            <w:pStyle w:val="Footer"/>
          </w:pPr>
          <w:proofErr w:type="spellStart"/>
          <w:r w:rsidRPr="00487162">
            <w:t>AusPAR</w:t>
          </w:r>
          <w:proofErr w:type="spellEnd"/>
          <w:r w:rsidRPr="00487162">
            <w:t xml:space="preserve"> </w:t>
          </w:r>
          <w:r>
            <w:t>MS-2 Step mifepristone/misoprostol MS Health Pty Ltd PM-2013-01037-1-5</w:t>
          </w:r>
          <w:r>
            <w:br/>
            <w:t>Final 13 October 2014</w:t>
          </w:r>
        </w:p>
      </w:tc>
      <w:tc>
        <w:tcPr>
          <w:tcW w:w="1490" w:type="dxa"/>
          <w:tcMar>
            <w:top w:w="142" w:type="dxa"/>
            <w:bottom w:w="0" w:type="dxa"/>
          </w:tcMar>
        </w:tcPr>
        <w:p w:rsidR="00DF3CFF" w:rsidRPr="00487162" w:rsidRDefault="00DF3CFF" w:rsidP="00DB750B">
          <w:pPr>
            <w:pStyle w:val="Footer"/>
            <w:jc w:val="right"/>
          </w:pPr>
          <w:r w:rsidRPr="00487162">
            <w:t xml:space="preserve">Page </w:t>
          </w:r>
          <w:r>
            <w:fldChar w:fldCharType="begin"/>
          </w:r>
          <w:r>
            <w:instrText xml:space="preserve"> PAGE  \* Arabic </w:instrText>
          </w:r>
          <w:r>
            <w:fldChar w:fldCharType="separate"/>
          </w:r>
          <w:r w:rsidR="00B7103C">
            <w:rPr>
              <w:noProof/>
            </w:rPr>
            <w:t>5</w:t>
          </w:r>
          <w:r>
            <w:fldChar w:fldCharType="end"/>
          </w:r>
          <w:r w:rsidRPr="00487162">
            <w:t xml:space="preserve"> of </w:t>
          </w:r>
          <w:fldSimple w:instr=" NUMPAGES  \* Arabic ">
            <w:r w:rsidR="00B7103C">
              <w:rPr>
                <w:noProof/>
              </w:rPr>
              <w:t>38</w:t>
            </w:r>
          </w:fldSimple>
        </w:p>
      </w:tc>
    </w:tr>
  </w:tbl>
  <w:p w:rsidR="00DF3CFF" w:rsidRDefault="00DF3CFF"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DF3CFF" w:rsidRPr="00487162" w:rsidTr="00E45619">
      <w:trPr>
        <w:trHeight w:val="269"/>
      </w:trPr>
      <w:tc>
        <w:tcPr>
          <w:tcW w:w="4519" w:type="dxa"/>
          <w:tcBorders>
            <w:top w:val="single" w:sz="4" w:space="0" w:color="auto"/>
          </w:tcBorders>
          <w:tcMar>
            <w:top w:w="142" w:type="dxa"/>
            <w:bottom w:w="0" w:type="dxa"/>
          </w:tcMar>
        </w:tcPr>
        <w:p w:rsidR="00DF3CFF" w:rsidRPr="00487162" w:rsidRDefault="00DF3CFF" w:rsidP="00FE1DEE">
          <w:pPr>
            <w:pStyle w:val="Footer"/>
          </w:pPr>
          <w:r w:rsidRPr="00487162">
            <w:t>Document title, Part #, Section # - Section title</w:t>
          </w:r>
        </w:p>
        <w:p w:rsidR="00DF3CFF" w:rsidRPr="00487162" w:rsidRDefault="00DF3CFF" w:rsidP="00FE1DEE">
          <w:pPr>
            <w:pStyle w:val="Footer"/>
          </w:pPr>
          <w:r w:rsidRPr="00487162">
            <w:t>V1.0 October 2010</w:t>
          </w:r>
        </w:p>
      </w:tc>
      <w:tc>
        <w:tcPr>
          <w:tcW w:w="4342" w:type="dxa"/>
          <w:tcBorders>
            <w:top w:val="single" w:sz="4" w:space="0" w:color="auto"/>
          </w:tcBorders>
          <w:tcMar>
            <w:top w:w="142" w:type="dxa"/>
            <w:bottom w:w="0" w:type="dxa"/>
          </w:tcMar>
        </w:tcPr>
        <w:p w:rsidR="00DF3CFF" w:rsidRPr="00487162" w:rsidRDefault="00DF3CFF" w:rsidP="00E45619">
          <w:pPr>
            <w:pStyle w:val="Footer"/>
            <w:jc w:val="right"/>
          </w:pPr>
          <w:r w:rsidRPr="00487162">
            <w:t xml:space="preserve">Page </w:t>
          </w:r>
          <w:r>
            <w:fldChar w:fldCharType="begin"/>
          </w:r>
          <w:r>
            <w:instrText xml:space="preserve"> PAGE   \* MERGEFORMAT </w:instrText>
          </w:r>
          <w:r>
            <w:fldChar w:fldCharType="separate"/>
          </w:r>
          <w:r>
            <w:rPr>
              <w:noProof/>
            </w:rPr>
            <w:t>1</w:t>
          </w:r>
          <w:r>
            <w:rPr>
              <w:noProof/>
            </w:rPr>
            <w:fldChar w:fldCharType="end"/>
          </w:r>
          <w:r w:rsidRPr="00487162">
            <w:t xml:space="preserve"> of </w:t>
          </w:r>
          <w:fldSimple w:instr=" NUMPAGES  ">
            <w:r>
              <w:rPr>
                <w:noProof/>
              </w:rPr>
              <w:t>36</w:t>
            </w:r>
          </w:fldSimple>
        </w:p>
      </w:tc>
    </w:tr>
  </w:tbl>
  <w:p w:rsidR="00DF3CFF" w:rsidRDefault="00DF3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Pr="001C32CD" w:rsidRDefault="00DF3CFF"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DF3CFF" w:rsidTr="0010601F">
      <w:trPr>
        <w:trHeight w:val="108"/>
      </w:trPr>
      <w:tc>
        <w:tcPr>
          <w:tcW w:w="8875" w:type="dxa"/>
          <w:gridSpan w:val="2"/>
          <w:tcBorders>
            <w:bottom w:val="single" w:sz="4" w:space="0" w:color="auto"/>
          </w:tcBorders>
          <w:tcMar>
            <w:right w:w="284" w:type="dxa"/>
          </w:tcMar>
        </w:tcPr>
        <w:p w:rsidR="00DF3CFF" w:rsidRDefault="00DF3CFF" w:rsidP="006E08B3">
          <w:pPr>
            <w:pStyle w:val="Heading3"/>
          </w:pPr>
          <w:r>
            <w:t>Copyright</w:t>
          </w:r>
        </w:p>
        <w:p w:rsidR="00DF3CFF" w:rsidRDefault="00DF3CFF" w:rsidP="006E08B3">
          <w:r>
            <w:rPr>
              <w:rFonts w:cs="Arial"/>
            </w:rPr>
            <w:t>©</w:t>
          </w:r>
          <w:r>
            <w:t xml:space="preserve"> Commonwealth of Australia [add year]</w:t>
          </w:r>
        </w:p>
        <w:p w:rsidR="00DF3CFF" w:rsidRDefault="00DF3CFF"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DF3CFF" w:rsidRDefault="00DF3CFF" w:rsidP="006E08B3">
          <w:pPr>
            <w:pStyle w:val="Heading3"/>
          </w:pPr>
          <w:r>
            <w:t>Confidentiality</w:t>
          </w:r>
        </w:p>
        <w:p w:rsidR="00DF3CFF" w:rsidRDefault="00DF3CFF"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DF3CFF" w:rsidRDefault="00DF3CFF" w:rsidP="006E08B3">
          <w:r>
            <w:t>For submission made by individuals, all personal details, other than your name, will be removed from your submission before it is published on the TGA’s Internet site.</w:t>
          </w:r>
        </w:p>
        <w:p w:rsidR="00DF3CFF" w:rsidRDefault="00DF3CFF" w:rsidP="006E08B3">
          <w:r>
            <w:t>In addition, a list of parties making submissions will be published. If you do not wish to be identified with your submission you must specifically request this in the space provided ib the submission coversheet.</w:t>
          </w:r>
        </w:p>
      </w:tc>
    </w:tr>
    <w:tr w:rsidR="00DF3CFF" w:rsidTr="0010601F">
      <w:trPr>
        <w:trHeight w:val="417"/>
      </w:trPr>
      <w:tc>
        <w:tcPr>
          <w:tcW w:w="4519" w:type="dxa"/>
          <w:tcBorders>
            <w:top w:val="single" w:sz="4" w:space="0" w:color="auto"/>
          </w:tcBorders>
          <w:tcMar>
            <w:top w:w="142" w:type="dxa"/>
            <w:bottom w:w="0" w:type="dxa"/>
          </w:tcMar>
        </w:tcPr>
        <w:p w:rsidR="00DF3CFF" w:rsidRDefault="00DF3CFF" w:rsidP="006E08B3">
          <w:r>
            <w:t>Document title, Part #, Section # - Section title</w:t>
          </w:r>
        </w:p>
        <w:p w:rsidR="00DF3CFF" w:rsidRDefault="00DF3CFF" w:rsidP="006E08B3">
          <w:r>
            <w:t>V1.0 October 2010</w:t>
          </w:r>
        </w:p>
      </w:tc>
      <w:tc>
        <w:tcPr>
          <w:tcW w:w="4356" w:type="dxa"/>
          <w:tcBorders>
            <w:top w:val="single" w:sz="4" w:space="0" w:color="auto"/>
          </w:tcBorders>
          <w:tcMar>
            <w:top w:w="142" w:type="dxa"/>
            <w:bottom w:w="0" w:type="dxa"/>
          </w:tcMar>
        </w:tcPr>
        <w:p w:rsidR="00DF3CFF" w:rsidRDefault="00DF3CFF"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36</w:t>
            </w:r>
          </w:fldSimple>
          <w:r>
            <w:t xml:space="preserve"> </w:t>
          </w:r>
        </w:p>
      </w:tc>
    </w:tr>
  </w:tbl>
  <w:p w:rsidR="00DF3CFF" w:rsidRDefault="00DF3CF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Pr="001C32CD" w:rsidRDefault="00DF3CFF" w:rsidP="001C32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DF3CFF" w:rsidTr="0010601F">
      <w:trPr>
        <w:trHeight w:val="108"/>
      </w:trPr>
      <w:tc>
        <w:tcPr>
          <w:tcW w:w="8875" w:type="dxa"/>
          <w:gridSpan w:val="2"/>
          <w:tcBorders>
            <w:bottom w:val="single" w:sz="4" w:space="0" w:color="auto"/>
          </w:tcBorders>
          <w:tcMar>
            <w:right w:w="284" w:type="dxa"/>
          </w:tcMar>
        </w:tcPr>
        <w:p w:rsidR="00DF3CFF" w:rsidRDefault="00DF3CFF" w:rsidP="006E08B3">
          <w:pPr>
            <w:pStyle w:val="Heading3"/>
          </w:pPr>
          <w:r>
            <w:t>Copyright</w:t>
          </w:r>
        </w:p>
        <w:p w:rsidR="00DF3CFF" w:rsidRDefault="00DF3CFF" w:rsidP="006E08B3">
          <w:r>
            <w:rPr>
              <w:rFonts w:cs="Arial"/>
            </w:rPr>
            <w:t>©</w:t>
          </w:r>
          <w:r>
            <w:t xml:space="preserve"> Commonwealth of Australia [add year]</w:t>
          </w:r>
        </w:p>
        <w:p w:rsidR="00DF3CFF" w:rsidRDefault="00DF3CFF"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DF3CFF" w:rsidRDefault="00DF3CFF" w:rsidP="006E08B3">
          <w:pPr>
            <w:pStyle w:val="Heading3"/>
          </w:pPr>
          <w:r>
            <w:t>Confidentiality</w:t>
          </w:r>
        </w:p>
        <w:p w:rsidR="00DF3CFF" w:rsidRDefault="00DF3CFF"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DF3CFF" w:rsidRDefault="00DF3CFF" w:rsidP="006E08B3">
          <w:r>
            <w:t>For submission made by individuals, all personal details, other than your name, will be removed from your submission before it is published on the TGA’s Internet site.</w:t>
          </w:r>
        </w:p>
        <w:p w:rsidR="00DF3CFF" w:rsidRDefault="00DF3CFF" w:rsidP="006E08B3">
          <w:r>
            <w:t>In addition, a list of parties making submissions will be published. If you do not wish to be identified with your submission you must specifically request this in the space provided ib the submission coversheet.</w:t>
          </w:r>
        </w:p>
      </w:tc>
    </w:tr>
    <w:tr w:rsidR="00DF3CFF" w:rsidTr="0010601F">
      <w:trPr>
        <w:trHeight w:val="417"/>
      </w:trPr>
      <w:tc>
        <w:tcPr>
          <w:tcW w:w="4519" w:type="dxa"/>
          <w:tcBorders>
            <w:top w:val="single" w:sz="4" w:space="0" w:color="auto"/>
          </w:tcBorders>
          <w:tcMar>
            <w:top w:w="142" w:type="dxa"/>
            <w:bottom w:w="0" w:type="dxa"/>
          </w:tcMar>
        </w:tcPr>
        <w:p w:rsidR="00DF3CFF" w:rsidRDefault="00DF3CFF" w:rsidP="006E08B3">
          <w:r>
            <w:t>Document title, Part #, Section # - Section title</w:t>
          </w:r>
        </w:p>
        <w:p w:rsidR="00DF3CFF" w:rsidRDefault="00DF3CFF" w:rsidP="006E08B3">
          <w:r>
            <w:t>V1.0 October 2010</w:t>
          </w:r>
        </w:p>
      </w:tc>
      <w:tc>
        <w:tcPr>
          <w:tcW w:w="4356" w:type="dxa"/>
          <w:tcBorders>
            <w:top w:val="single" w:sz="4" w:space="0" w:color="auto"/>
          </w:tcBorders>
          <w:tcMar>
            <w:top w:w="142" w:type="dxa"/>
            <w:bottom w:w="0" w:type="dxa"/>
          </w:tcMar>
        </w:tcPr>
        <w:p w:rsidR="00DF3CFF" w:rsidRDefault="00DF3CFF"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36</w:t>
            </w:r>
          </w:fldSimple>
          <w:r>
            <w:t xml:space="preserve"> </w:t>
          </w:r>
        </w:p>
      </w:tc>
    </w:tr>
  </w:tbl>
  <w:p w:rsidR="00DF3CFF" w:rsidRDefault="00DF3C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CFF" w:rsidRDefault="00DF3CFF" w:rsidP="00C40A36">
      <w:pPr>
        <w:spacing w:after="0"/>
      </w:pPr>
      <w:r>
        <w:separator/>
      </w:r>
    </w:p>
  </w:footnote>
  <w:footnote w:type="continuationSeparator" w:id="0">
    <w:p w:rsidR="00DF3CFF" w:rsidRDefault="00DF3CFF" w:rsidP="00C40A36">
      <w:pPr>
        <w:spacing w:after="0"/>
      </w:pPr>
      <w:r>
        <w:continuationSeparator/>
      </w:r>
    </w:p>
  </w:footnote>
  <w:footnote w:id="1">
    <w:p w:rsidR="00DF3CFF" w:rsidRPr="00F8648B" w:rsidRDefault="00DF3CFF" w:rsidP="00C45465">
      <w:pPr>
        <w:pStyle w:val="FootnoteText"/>
      </w:pPr>
      <w:r>
        <w:rPr>
          <w:rStyle w:val="FootnoteReference"/>
        </w:rPr>
        <w:footnoteRef/>
      </w:r>
      <w:r>
        <w:t xml:space="preserve"> </w:t>
      </w:r>
      <w:r w:rsidRPr="007C1E97">
        <w:t xml:space="preserve">Sponsor </w:t>
      </w:r>
      <w:r w:rsidRPr="00C45465">
        <w:t>comment</w:t>
      </w:r>
      <w:r w:rsidRPr="007C1E97">
        <w:t xml:space="preserve">: </w:t>
      </w:r>
      <w:r>
        <w:t>"</w:t>
      </w:r>
      <w:r w:rsidRPr="007C1E97">
        <w:t>The cause of death is awaiting a coroner’s final determination</w:t>
      </w:r>
      <w:proofErr w:type="gramStart"/>
      <w:r>
        <w:t>” .</w:t>
      </w:r>
      <w:proofErr w:type="gramEnd"/>
      <w:r w:rsidRPr="007C1E97">
        <w:t xml:space="preserve"> </w:t>
      </w:r>
    </w:p>
  </w:footnote>
  <w:footnote w:id="2">
    <w:p w:rsidR="00DF3CFF" w:rsidRPr="00D35908" w:rsidRDefault="00DF3CFF" w:rsidP="00C45465">
      <w:pPr>
        <w:pStyle w:val="FootnoteText"/>
      </w:pPr>
      <w:r w:rsidRPr="00D35908">
        <w:rPr>
          <w:rStyle w:val="FootnoteReference"/>
          <w:sz w:val="20"/>
        </w:rPr>
        <w:footnoteRef/>
      </w:r>
      <w:r w:rsidRPr="00D35908">
        <w:t xml:space="preserve"> See also </w:t>
      </w:r>
      <w:r w:rsidRPr="00C45465">
        <w:rPr>
          <w:i/>
        </w:rPr>
        <w:t xml:space="preserve">Delegate’s Overview Overall conclusion and risk/benefit assessment, General comments on safety and Infection </w:t>
      </w:r>
      <w:r w:rsidRPr="00D35908">
        <w:t>below (page 31 of this AusPAR).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rsidP="00E45619">
    <w:pPr>
      <w:pStyle w:val="Header"/>
    </w:pPr>
    <w:r>
      <w:t>Therapeutic Goods Administration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rsidP="004C239D">
    <w:pPr>
      <w:pStyle w:val="HeaderNoLin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rsidP="006E08B3">
    <w:r>
      <w:t>Therapeutic Goods Administration</w:t>
    </w:r>
  </w:p>
  <w:p w:rsidR="00DF3CFF" w:rsidRDefault="00DF3CFF" w:rsidP="006D03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pPr>
      <w:rPr>
        <w:noProof/>
        <w:lang w:eastAsia="en-AU"/>
      </w:rPr>
    </w:pPr>
    <w:r w:rsidRPr="00347824">
      <w:rPr>
        <w:noProof/>
        <w:lang w:eastAsia="en-AU"/>
      </w:rPr>
      <w:drawing>
        <wp:anchor distT="0" distB="0" distL="114300" distR="114300" simplePos="0" relativeHeight="251659264" behindDoc="1" locked="0" layoutInCell="1" allowOverlap="1" wp14:anchorId="503D57EF" wp14:editId="5C634D28">
          <wp:simplePos x="0" y="0"/>
          <wp:positionH relativeFrom="column">
            <wp:posOffset>-1083310</wp:posOffset>
          </wp:positionH>
          <wp:positionV relativeFrom="paragraph">
            <wp:posOffset>-585470</wp:posOffset>
          </wp:positionV>
          <wp:extent cx="7572375" cy="10706100"/>
          <wp:effectExtent l="0" t="0" r="9525"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2375" cy="10706100"/>
                  </a:xfrm>
                  <a:prstGeom prst="rect">
                    <a:avLst/>
                  </a:prstGeom>
                </pic:spPr>
              </pic:pic>
            </a:graphicData>
          </a:graphic>
        </wp:anchor>
      </w:drawing>
    </w:r>
  </w:p>
  <w:p w:rsidR="00DF3CFF" w:rsidRDefault="00DF3CFF" w:rsidP="00593AD1">
    <w:pPr>
      <w:pStyle w:val="HeaderNoLine"/>
    </w:pPr>
    <w:r>
      <w:rPr>
        <w:noProof/>
        <w:lang w:eastAsia="en-AU"/>
      </w:rPr>
      <w:drawing>
        <wp:inline distT="0" distB="0" distL="0" distR="0" wp14:anchorId="6893CF7F" wp14:editId="098C1E6C">
          <wp:extent cx="5394960" cy="7635240"/>
          <wp:effectExtent l="0" t="0" r="0" b="3810"/>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4960" cy="76352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rsidP="006E08B3">
    <w:r>
      <w:t>Therapeutic Goods Administration</w:t>
    </w:r>
  </w:p>
  <w:p w:rsidR="00DF3CFF" w:rsidRDefault="00DF3CFF" w:rsidP="006D03E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FF" w:rsidRDefault="00DF3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BE05DE"/>
    <w:lvl w:ilvl="0">
      <w:start w:val="1"/>
      <w:numFmt w:val="decimal"/>
      <w:lvlText w:val="%1."/>
      <w:lvlJc w:val="left"/>
      <w:pPr>
        <w:tabs>
          <w:tab w:val="num" w:pos="1492"/>
        </w:tabs>
        <w:ind w:left="1492" w:hanging="360"/>
      </w:pPr>
    </w:lvl>
  </w:abstractNum>
  <w:abstractNum w:abstractNumId="1">
    <w:nsid w:val="FFFFFF7D"/>
    <w:multiLevelType w:val="singleLevel"/>
    <w:tmpl w:val="80CEECB0"/>
    <w:lvl w:ilvl="0">
      <w:start w:val="1"/>
      <w:numFmt w:val="decimal"/>
      <w:lvlText w:val="%1."/>
      <w:lvlJc w:val="left"/>
      <w:pPr>
        <w:tabs>
          <w:tab w:val="num" w:pos="1209"/>
        </w:tabs>
        <w:ind w:left="1209" w:hanging="360"/>
      </w:pPr>
    </w:lvl>
  </w:abstractNum>
  <w:abstractNum w:abstractNumId="2">
    <w:nsid w:val="FFFFFF7E"/>
    <w:multiLevelType w:val="singleLevel"/>
    <w:tmpl w:val="CA92FC66"/>
    <w:lvl w:ilvl="0">
      <w:start w:val="1"/>
      <w:numFmt w:val="decimal"/>
      <w:lvlText w:val="%1."/>
      <w:lvlJc w:val="left"/>
      <w:pPr>
        <w:tabs>
          <w:tab w:val="num" w:pos="926"/>
        </w:tabs>
        <w:ind w:left="926" w:hanging="360"/>
      </w:pPr>
    </w:lvl>
  </w:abstractNum>
  <w:abstractNum w:abstractNumId="3">
    <w:nsid w:val="FFFFFF7F"/>
    <w:multiLevelType w:val="singleLevel"/>
    <w:tmpl w:val="029C7396"/>
    <w:lvl w:ilvl="0">
      <w:start w:val="1"/>
      <w:numFmt w:val="decimal"/>
      <w:lvlText w:val="%1."/>
      <w:lvlJc w:val="left"/>
      <w:pPr>
        <w:tabs>
          <w:tab w:val="num" w:pos="643"/>
        </w:tabs>
        <w:ind w:left="643" w:hanging="360"/>
      </w:pPr>
    </w:lvl>
  </w:abstractNum>
  <w:abstractNum w:abstractNumId="4">
    <w:nsid w:val="FFFFFF80"/>
    <w:multiLevelType w:val="singleLevel"/>
    <w:tmpl w:val="571A02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A2B8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nsid w:val="FFFFFF88"/>
    <w:multiLevelType w:val="singleLevel"/>
    <w:tmpl w:val="75D6FC8A"/>
    <w:lvl w:ilvl="0">
      <w:start w:val="1"/>
      <w:numFmt w:val="decimal"/>
      <w:lvlText w:val="%1."/>
      <w:lvlJc w:val="left"/>
      <w:pPr>
        <w:tabs>
          <w:tab w:val="num" w:pos="360"/>
        </w:tabs>
        <w:ind w:left="360" w:hanging="360"/>
      </w:pPr>
    </w:lvl>
  </w:abstractNum>
  <w:abstractNum w:abstractNumId="9">
    <w:nsid w:val="FFFFFF89"/>
    <w:multiLevelType w:val="singleLevel"/>
    <w:tmpl w:val="F898942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320B0A"/>
    <w:lvl w:ilvl="0">
      <w:numFmt w:val="bullet"/>
      <w:lvlText w:val="*"/>
      <w:lvlJc w:val="left"/>
    </w:lvl>
  </w:abstractNum>
  <w:abstractNum w:abstractNumId="11">
    <w:nsid w:val="00F738C8"/>
    <w:multiLevelType w:val="hybridMultilevel"/>
    <w:tmpl w:val="2FE27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095260"/>
    <w:multiLevelType w:val="hybridMultilevel"/>
    <w:tmpl w:val="94C84B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23B3185"/>
    <w:multiLevelType w:val="multilevel"/>
    <w:tmpl w:val="4426C4CA"/>
    <w:lvl w:ilvl="0">
      <w:start w:val="1"/>
      <w:numFmt w:val="bullet"/>
      <w:lvlText w:val=""/>
      <w:lvlJc w:val="left"/>
      <w:pPr>
        <w:ind w:left="425" w:hanging="425"/>
      </w:pPr>
      <w:rPr>
        <w:rFonts w:ascii="Symbol" w:hAnsi="Symbol"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4">
    <w:nsid w:val="0C4E380B"/>
    <w:multiLevelType w:val="hybridMultilevel"/>
    <w:tmpl w:val="5BAC51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nsid w:val="27CB4E29"/>
    <w:multiLevelType w:val="hybridMultilevel"/>
    <w:tmpl w:val="41385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0171EB"/>
    <w:multiLevelType w:val="hybridMultilevel"/>
    <w:tmpl w:val="8EB65A1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0">
    <w:nsid w:val="3D1F0256"/>
    <w:multiLevelType w:val="multilevel"/>
    <w:tmpl w:val="4426C4CA"/>
    <w:lvl w:ilvl="0">
      <w:start w:val="1"/>
      <w:numFmt w:val="bullet"/>
      <w:lvlText w:val=""/>
      <w:lvlJc w:val="left"/>
      <w:pPr>
        <w:ind w:left="425" w:hanging="425"/>
      </w:pPr>
      <w:rPr>
        <w:rFonts w:ascii="Symbol" w:hAnsi="Symbol"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1">
    <w:nsid w:val="4D921E92"/>
    <w:multiLevelType w:val="multilevel"/>
    <w:tmpl w:val="4426C4CA"/>
    <w:lvl w:ilvl="0">
      <w:start w:val="1"/>
      <w:numFmt w:val="bullet"/>
      <w:lvlText w:val=""/>
      <w:lvlJc w:val="left"/>
      <w:pPr>
        <w:ind w:left="425" w:hanging="425"/>
      </w:pPr>
      <w:rPr>
        <w:rFonts w:ascii="Symbol" w:hAnsi="Symbol"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2">
    <w:nsid w:val="4E36313F"/>
    <w:multiLevelType w:val="hybridMultilevel"/>
    <w:tmpl w:val="072680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565B352A"/>
    <w:multiLevelType w:val="hybridMultilevel"/>
    <w:tmpl w:val="718EB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F40FA5"/>
    <w:multiLevelType w:val="hybridMultilevel"/>
    <w:tmpl w:val="9DBE08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8155A3"/>
    <w:multiLevelType w:val="hybridMultilevel"/>
    <w:tmpl w:val="09B8501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6">
    <w:nsid w:val="79F049CE"/>
    <w:multiLevelType w:val="multilevel"/>
    <w:tmpl w:val="4426C4CA"/>
    <w:lvl w:ilvl="0">
      <w:start w:val="1"/>
      <w:numFmt w:val="bullet"/>
      <w:lvlText w:val=""/>
      <w:lvlJc w:val="left"/>
      <w:pPr>
        <w:ind w:left="425" w:hanging="425"/>
      </w:pPr>
      <w:rPr>
        <w:rFonts w:ascii="Symbol" w:hAnsi="Symbol"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num w:numId="1">
    <w:abstractNumId w:val="9"/>
  </w:num>
  <w:num w:numId="2">
    <w:abstractNumId w:val="7"/>
  </w:num>
  <w:num w:numId="3">
    <w:abstractNumId w:val="16"/>
  </w:num>
  <w:num w:numId="4">
    <w:abstractNumId w:val="16"/>
  </w:num>
  <w:num w:numId="5">
    <w:abstractNumId w:val="6"/>
  </w:num>
  <w:num w:numId="6">
    <w:abstractNumId w:val="16"/>
  </w:num>
  <w:num w:numId="7">
    <w:abstractNumId w:val="16"/>
  </w:num>
  <w:num w:numId="8">
    <w:abstractNumId w:val="15"/>
  </w:num>
  <w:num w:numId="9">
    <w:abstractNumId w:val="15"/>
  </w:num>
  <w:num w:numId="10">
    <w:abstractNumId w:val="15"/>
  </w:num>
  <w:num w:numId="11">
    <w:abstractNumId w:val="15"/>
  </w:num>
  <w:num w:numId="12">
    <w:abstractNumId w:val="10"/>
    <w:lvlOverride w:ilvl="0">
      <w:lvl w:ilvl="0">
        <w:numFmt w:val="bullet"/>
        <w:lvlText w:val="•"/>
        <w:legacy w:legacy="1" w:legacySpace="0" w:legacyIndent="0"/>
        <w:lvlJc w:val="left"/>
        <w:rPr>
          <w:rFonts w:ascii="Helv" w:hAnsi="Helv" w:hint="default"/>
        </w:rPr>
      </w:lvl>
    </w:lvlOverride>
  </w:num>
  <w:num w:numId="13">
    <w:abstractNumId w:val="16"/>
  </w:num>
  <w:num w:numId="14">
    <w:abstractNumId w:val="16"/>
  </w:num>
  <w:num w:numId="15">
    <w:abstractNumId w:val="16"/>
  </w:num>
  <w:num w:numId="16">
    <w:abstractNumId w:val="15"/>
  </w:num>
  <w:num w:numId="17">
    <w:abstractNumId w:val="15"/>
  </w:num>
  <w:num w:numId="18">
    <w:abstractNumId w:val="15"/>
  </w:num>
  <w:num w:numId="19">
    <w:abstractNumId w:val="16"/>
  </w:num>
  <w:num w:numId="20">
    <w:abstractNumId w:val="16"/>
  </w:num>
  <w:num w:numId="21">
    <w:abstractNumId w:val="16"/>
  </w:num>
  <w:num w:numId="22">
    <w:abstractNumId w:val="15"/>
  </w:num>
  <w:num w:numId="23">
    <w:abstractNumId w:val="15"/>
  </w:num>
  <w:num w:numId="24">
    <w:abstractNumId w:val="15"/>
  </w:num>
  <w:num w:numId="25">
    <w:abstractNumId w:val="1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1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24"/>
  </w:num>
  <w:num w:numId="28">
    <w:abstractNumId w:val="23"/>
  </w:num>
  <w:num w:numId="29">
    <w:abstractNumId w:val="25"/>
  </w:num>
  <w:num w:numId="30">
    <w:abstractNumId w:val="17"/>
  </w:num>
  <w:num w:numId="31">
    <w:abstractNumId w:val="21"/>
  </w:num>
  <w:num w:numId="32">
    <w:abstractNumId w:val="13"/>
  </w:num>
  <w:num w:numId="33">
    <w:abstractNumId w:val="12"/>
  </w:num>
  <w:num w:numId="34">
    <w:abstractNumId w:val="20"/>
  </w:num>
  <w:num w:numId="35">
    <w:abstractNumId w:val="26"/>
  </w:num>
  <w:num w:numId="36">
    <w:abstractNumId w:val="11"/>
  </w:num>
  <w:num w:numId="37">
    <w:abstractNumId w:val="14"/>
  </w:num>
  <w:num w:numId="38">
    <w:abstractNumId w:val="18"/>
  </w:num>
  <w:num w:numId="39">
    <w:abstractNumId w:val="1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0">
    <w:abstractNumId w:val="22"/>
  </w:num>
  <w:num w:numId="41">
    <w:abstractNumId w:val="19"/>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C9"/>
    <w:rsid w:val="00001F72"/>
    <w:rsid w:val="00002031"/>
    <w:rsid w:val="00004734"/>
    <w:rsid w:val="00006B22"/>
    <w:rsid w:val="0001276A"/>
    <w:rsid w:val="00020AC5"/>
    <w:rsid w:val="000246AE"/>
    <w:rsid w:val="00025088"/>
    <w:rsid w:val="00025C67"/>
    <w:rsid w:val="000260D6"/>
    <w:rsid w:val="00035DFE"/>
    <w:rsid w:val="0003661F"/>
    <w:rsid w:val="000374D5"/>
    <w:rsid w:val="000440CA"/>
    <w:rsid w:val="00044772"/>
    <w:rsid w:val="00052E21"/>
    <w:rsid w:val="0005559E"/>
    <w:rsid w:val="000604D6"/>
    <w:rsid w:val="00062545"/>
    <w:rsid w:val="00065A19"/>
    <w:rsid w:val="000734D8"/>
    <w:rsid w:val="00077775"/>
    <w:rsid w:val="000823C0"/>
    <w:rsid w:val="00090471"/>
    <w:rsid w:val="00091F29"/>
    <w:rsid w:val="0009294A"/>
    <w:rsid w:val="00093F76"/>
    <w:rsid w:val="00096AA7"/>
    <w:rsid w:val="000A09BF"/>
    <w:rsid w:val="000A11F3"/>
    <w:rsid w:val="000A3AED"/>
    <w:rsid w:val="000B3532"/>
    <w:rsid w:val="000B3A75"/>
    <w:rsid w:val="000C690F"/>
    <w:rsid w:val="000D1295"/>
    <w:rsid w:val="000D391B"/>
    <w:rsid w:val="000D3D6D"/>
    <w:rsid w:val="000D4FC7"/>
    <w:rsid w:val="000D69B9"/>
    <w:rsid w:val="000D7E56"/>
    <w:rsid w:val="000E552D"/>
    <w:rsid w:val="000F20C6"/>
    <w:rsid w:val="000F4869"/>
    <w:rsid w:val="000F5B42"/>
    <w:rsid w:val="000F6124"/>
    <w:rsid w:val="000F6DBE"/>
    <w:rsid w:val="000F6E6F"/>
    <w:rsid w:val="00103FBA"/>
    <w:rsid w:val="0010601F"/>
    <w:rsid w:val="0010788A"/>
    <w:rsid w:val="00107A31"/>
    <w:rsid w:val="00110EA5"/>
    <w:rsid w:val="00112F56"/>
    <w:rsid w:val="001205F3"/>
    <w:rsid w:val="00125318"/>
    <w:rsid w:val="001305A2"/>
    <w:rsid w:val="00133238"/>
    <w:rsid w:val="0014197B"/>
    <w:rsid w:val="001447CD"/>
    <w:rsid w:val="001516B1"/>
    <w:rsid w:val="00154EBB"/>
    <w:rsid w:val="00156316"/>
    <w:rsid w:val="00157ABD"/>
    <w:rsid w:val="00162D14"/>
    <w:rsid w:val="00163AE7"/>
    <w:rsid w:val="00165389"/>
    <w:rsid w:val="0016588E"/>
    <w:rsid w:val="00172707"/>
    <w:rsid w:val="0017693F"/>
    <w:rsid w:val="0018110E"/>
    <w:rsid w:val="00181684"/>
    <w:rsid w:val="001843C6"/>
    <w:rsid w:val="001850E0"/>
    <w:rsid w:val="001A2158"/>
    <w:rsid w:val="001A525F"/>
    <w:rsid w:val="001B03AE"/>
    <w:rsid w:val="001B09F9"/>
    <w:rsid w:val="001B2CCE"/>
    <w:rsid w:val="001B2DAD"/>
    <w:rsid w:val="001B5C90"/>
    <w:rsid w:val="001B6448"/>
    <w:rsid w:val="001C32CD"/>
    <w:rsid w:val="001D2984"/>
    <w:rsid w:val="001D714B"/>
    <w:rsid w:val="001E07CF"/>
    <w:rsid w:val="001E3F0E"/>
    <w:rsid w:val="001E59F1"/>
    <w:rsid w:val="001F49EB"/>
    <w:rsid w:val="001F6CBA"/>
    <w:rsid w:val="00201D4E"/>
    <w:rsid w:val="002058A6"/>
    <w:rsid w:val="002076C9"/>
    <w:rsid w:val="00220B8A"/>
    <w:rsid w:val="002257F3"/>
    <w:rsid w:val="00233456"/>
    <w:rsid w:val="002339A5"/>
    <w:rsid w:val="00240110"/>
    <w:rsid w:val="00257848"/>
    <w:rsid w:val="0027084A"/>
    <w:rsid w:val="00272CC2"/>
    <w:rsid w:val="00286434"/>
    <w:rsid w:val="00286C59"/>
    <w:rsid w:val="00291957"/>
    <w:rsid w:val="00293619"/>
    <w:rsid w:val="002942D1"/>
    <w:rsid w:val="0029501A"/>
    <w:rsid w:val="002A0E03"/>
    <w:rsid w:val="002B1638"/>
    <w:rsid w:val="002B3624"/>
    <w:rsid w:val="002B605C"/>
    <w:rsid w:val="002C2CD9"/>
    <w:rsid w:val="002C63C4"/>
    <w:rsid w:val="002D0645"/>
    <w:rsid w:val="002D30A5"/>
    <w:rsid w:val="002D5BF9"/>
    <w:rsid w:val="002E23ED"/>
    <w:rsid w:val="002E40B3"/>
    <w:rsid w:val="002E4C9A"/>
    <w:rsid w:val="002F11F8"/>
    <w:rsid w:val="002F3F56"/>
    <w:rsid w:val="002F44B5"/>
    <w:rsid w:val="00300FCE"/>
    <w:rsid w:val="00311AC0"/>
    <w:rsid w:val="00312EC4"/>
    <w:rsid w:val="0032583B"/>
    <w:rsid w:val="00327883"/>
    <w:rsid w:val="00335504"/>
    <w:rsid w:val="00336C5D"/>
    <w:rsid w:val="00341A5C"/>
    <w:rsid w:val="00343672"/>
    <w:rsid w:val="00347824"/>
    <w:rsid w:val="003501D4"/>
    <w:rsid w:val="00350567"/>
    <w:rsid w:val="003521E8"/>
    <w:rsid w:val="00365337"/>
    <w:rsid w:val="003728F3"/>
    <w:rsid w:val="0037496E"/>
    <w:rsid w:val="003763C9"/>
    <w:rsid w:val="00376448"/>
    <w:rsid w:val="00386150"/>
    <w:rsid w:val="003874CE"/>
    <w:rsid w:val="00390900"/>
    <w:rsid w:val="00394B8D"/>
    <w:rsid w:val="003A5FE5"/>
    <w:rsid w:val="003A7614"/>
    <w:rsid w:val="003A7F6C"/>
    <w:rsid w:val="003B049B"/>
    <w:rsid w:val="003B4D60"/>
    <w:rsid w:val="003B7E39"/>
    <w:rsid w:val="003C58DC"/>
    <w:rsid w:val="003D1E62"/>
    <w:rsid w:val="003D265C"/>
    <w:rsid w:val="003D52B2"/>
    <w:rsid w:val="003D7A42"/>
    <w:rsid w:val="003E0382"/>
    <w:rsid w:val="003E1A8D"/>
    <w:rsid w:val="003E2486"/>
    <w:rsid w:val="003E3208"/>
    <w:rsid w:val="003F0B04"/>
    <w:rsid w:val="0040134E"/>
    <w:rsid w:val="004334C7"/>
    <w:rsid w:val="00440A2D"/>
    <w:rsid w:val="0045436C"/>
    <w:rsid w:val="004564A7"/>
    <w:rsid w:val="004617BF"/>
    <w:rsid w:val="00463658"/>
    <w:rsid w:val="004722CC"/>
    <w:rsid w:val="004774CE"/>
    <w:rsid w:val="00481E45"/>
    <w:rsid w:val="004936E4"/>
    <w:rsid w:val="00494E60"/>
    <w:rsid w:val="00495D85"/>
    <w:rsid w:val="00497487"/>
    <w:rsid w:val="004A643E"/>
    <w:rsid w:val="004B7B76"/>
    <w:rsid w:val="004C1B6A"/>
    <w:rsid w:val="004C239D"/>
    <w:rsid w:val="004C2DCA"/>
    <w:rsid w:val="004D3EE7"/>
    <w:rsid w:val="004D45F9"/>
    <w:rsid w:val="004F0C4A"/>
    <w:rsid w:val="004F0F38"/>
    <w:rsid w:val="00501921"/>
    <w:rsid w:val="00502E20"/>
    <w:rsid w:val="00516A98"/>
    <w:rsid w:val="005218D9"/>
    <w:rsid w:val="00530354"/>
    <w:rsid w:val="0053625B"/>
    <w:rsid w:val="005434C6"/>
    <w:rsid w:val="00543B39"/>
    <w:rsid w:val="00544194"/>
    <w:rsid w:val="00544844"/>
    <w:rsid w:val="00546154"/>
    <w:rsid w:val="00550096"/>
    <w:rsid w:val="00555280"/>
    <w:rsid w:val="0055630D"/>
    <w:rsid w:val="00557FF9"/>
    <w:rsid w:val="00576378"/>
    <w:rsid w:val="00577130"/>
    <w:rsid w:val="00577945"/>
    <w:rsid w:val="00577E38"/>
    <w:rsid w:val="00585322"/>
    <w:rsid w:val="005857C6"/>
    <w:rsid w:val="00592F6E"/>
    <w:rsid w:val="00593AD1"/>
    <w:rsid w:val="005A3917"/>
    <w:rsid w:val="005A68B6"/>
    <w:rsid w:val="005B0F16"/>
    <w:rsid w:val="005B6D3C"/>
    <w:rsid w:val="005B72F0"/>
    <w:rsid w:val="005C5570"/>
    <w:rsid w:val="005C79A4"/>
    <w:rsid w:val="005D5442"/>
    <w:rsid w:val="00603F32"/>
    <w:rsid w:val="00605AD4"/>
    <w:rsid w:val="00625A6E"/>
    <w:rsid w:val="006270FF"/>
    <w:rsid w:val="006271A4"/>
    <w:rsid w:val="00632398"/>
    <w:rsid w:val="0063641F"/>
    <w:rsid w:val="00640FC3"/>
    <w:rsid w:val="00642020"/>
    <w:rsid w:val="00651245"/>
    <w:rsid w:val="006512C4"/>
    <w:rsid w:val="0065337B"/>
    <w:rsid w:val="0065419D"/>
    <w:rsid w:val="006604D8"/>
    <w:rsid w:val="00664A5B"/>
    <w:rsid w:val="00674BB7"/>
    <w:rsid w:val="006763D2"/>
    <w:rsid w:val="00680C08"/>
    <w:rsid w:val="006815CD"/>
    <w:rsid w:val="006931B1"/>
    <w:rsid w:val="006A15C0"/>
    <w:rsid w:val="006A596B"/>
    <w:rsid w:val="006A62DC"/>
    <w:rsid w:val="006C099E"/>
    <w:rsid w:val="006C3E2A"/>
    <w:rsid w:val="006C642F"/>
    <w:rsid w:val="006D02D5"/>
    <w:rsid w:val="006D03E5"/>
    <w:rsid w:val="006D5D3E"/>
    <w:rsid w:val="006E0450"/>
    <w:rsid w:val="006E0837"/>
    <w:rsid w:val="006E08B3"/>
    <w:rsid w:val="006F17AC"/>
    <w:rsid w:val="006F25B8"/>
    <w:rsid w:val="006F572E"/>
    <w:rsid w:val="007023BF"/>
    <w:rsid w:val="007046D6"/>
    <w:rsid w:val="00704A29"/>
    <w:rsid w:val="00705DB0"/>
    <w:rsid w:val="00714C21"/>
    <w:rsid w:val="007167D0"/>
    <w:rsid w:val="00722B57"/>
    <w:rsid w:val="00730F8A"/>
    <w:rsid w:val="0073396D"/>
    <w:rsid w:val="007339AA"/>
    <w:rsid w:val="00735770"/>
    <w:rsid w:val="007372B4"/>
    <w:rsid w:val="0074253D"/>
    <w:rsid w:val="00743E65"/>
    <w:rsid w:val="0074429B"/>
    <w:rsid w:val="00745705"/>
    <w:rsid w:val="00746F7C"/>
    <w:rsid w:val="0075142D"/>
    <w:rsid w:val="007615BC"/>
    <w:rsid w:val="00762F05"/>
    <w:rsid w:val="007652FF"/>
    <w:rsid w:val="00770EF1"/>
    <w:rsid w:val="00771112"/>
    <w:rsid w:val="0077209C"/>
    <w:rsid w:val="00773EF7"/>
    <w:rsid w:val="00774E1D"/>
    <w:rsid w:val="00775116"/>
    <w:rsid w:val="0077675A"/>
    <w:rsid w:val="00780355"/>
    <w:rsid w:val="007819FD"/>
    <w:rsid w:val="00785721"/>
    <w:rsid w:val="00793A59"/>
    <w:rsid w:val="00793E5E"/>
    <w:rsid w:val="00796A99"/>
    <w:rsid w:val="007A7DF5"/>
    <w:rsid w:val="007B6132"/>
    <w:rsid w:val="007B6E9F"/>
    <w:rsid w:val="007C1216"/>
    <w:rsid w:val="007C1AF7"/>
    <w:rsid w:val="007C1E97"/>
    <w:rsid w:val="007D3B58"/>
    <w:rsid w:val="007D566A"/>
    <w:rsid w:val="007E159C"/>
    <w:rsid w:val="007F3440"/>
    <w:rsid w:val="00805D27"/>
    <w:rsid w:val="00815813"/>
    <w:rsid w:val="00821776"/>
    <w:rsid w:val="008321F5"/>
    <w:rsid w:val="00832369"/>
    <w:rsid w:val="00834660"/>
    <w:rsid w:val="00836BC2"/>
    <w:rsid w:val="008425F5"/>
    <w:rsid w:val="0084552F"/>
    <w:rsid w:val="0085156D"/>
    <w:rsid w:val="0085641B"/>
    <w:rsid w:val="00857136"/>
    <w:rsid w:val="00873F17"/>
    <w:rsid w:val="00885B11"/>
    <w:rsid w:val="00886D15"/>
    <w:rsid w:val="00887DD8"/>
    <w:rsid w:val="00896018"/>
    <w:rsid w:val="008960DD"/>
    <w:rsid w:val="0089635C"/>
    <w:rsid w:val="008A2B9D"/>
    <w:rsid w:val="008A3D9F"/>
    <w:rsid w:val="008A5E0B"/>
    <w:rsid w:val="008A6D59"/>
    <w:rsid w:val="008B4B03"/>
    <w:rsid w:val="008B596F"/>
    <w:rsid w:val="008C159F"/>
    <w:rsid w:val="008C1623"/>
    <w:rsid w:val="008C1850"/>
    <w:rsid w:val="008C4C26"/>
    <w:rsid w:val="008C51A9"/>
    <w:rsid w:val="008C5DF1"/>
    <w:rsid w:val="008E1E51"/>
    <w:rsid w:val="008E5707"/>
    <w:rsid w:val="008E7846"/>
    <w:rsid w:val="008F1CCC"/>
    <w:rsid w:val="008F2967"/>
    <w:rsid w:val="008F519E"/>
    <w:rsid w:val="008F6943"/>
    <w:rsid w:val="00902A21"/>
    <w:rsid w:val="0091264B"/>
    <w:rsid w:val="00920330"/>
    <w:rsid w:val="009219D7"/>
    <w:rsid w:val="009222A3"/>
    <w:rsid w:val="00922D53"/>
    <w:rsid w:val="00923B70"/>
    <w:rsid w:val="00924482"/>
    <w:rsid w:val="00930237"/>
    <w:rsid w:val="00937C35"/>
    <w:rsid w:val="00940A89"/>
    <w:rsid w:val="00946EA5"/>
    <w:rsid w:val="009528CF"/>
    <w:rsid w:val="00953F20"/>
    <w:rsid w:val="00963C08"/>
    <w:rsid w:val="0098585A"/>
    <w:rsid w:val="009872DB"/>
    <w:rsid w:val="009A26E2"/>
    <w:rsid w:val="009A2A2B"/>
    <w:rsid w:val="009A4CED"/>
    <w:rsid w:val="009A690D"/>
    <w:rsid w:val="009A6FCC"/>
    <w:rsid w:val="009B1D12"/>
    <w:rsid w:val="009B416B"/>
    <w:rsid w:val="009C4BD5"/>
    <w:rsid w:val="009D7934"/>
    <w:rsid w:val="009D7B77"/>
    <w:rsid w:val="009E0BB0"/>
    <w:rsid w:val="009E3FBB"/>
    <w:rsid w:val="00A102E4"/>
    <w:rsid w:val="00A12C42"/>
    <w:rsid w:val="00A14DF7"/>
    <w:rsid w:val="00A16208"/>
    <w:rsid w:val="00A25AE9"/>
    <w:rsid w:val="00A3246D"/>
    <w:rsid w:val="00A36FA7"/>
    <w:rsid w:val="00A44DDB"/>
    <w:rsid w:val="00A475B7"/>
    <w:rsid w:val="00A47AF7"/>
    <w:rsid w:val="00A47C3E"/>
    <w:rsid w:val="00A50226"/>
    <w:rsid w:val="00A60BAD"/>
    <w:rsid w:val="00A647AE"/>
    <w:rsid w:val="00A7212A"/>
    <w:rsid w:val="00A80138"/>
    <w:rsid w:val="00A84E36"/>
    <w:rsid w:val="00A85B6A"/>
    <w:rsid w:val="00A95046"/>
    <w:rsid w:val="00A964D1"/>
    <w:rsid w:val="00AA0ED0"/>
    <w:rsid w:val="00AA32F0"/>
    <w:rsid w:val="00AB3440"/>
    <w:rsid w:val="00AB53B2"/>
    <w:rsid w:val="00AC2B40"/>
    <w:rsid w:val="00AC2BB2"/>
    <w:rsid w:val="00AC2C3C"/>
    <w:rsid w:val="00AC4926"/>
    <w:rsid w:val="00AC512D"/>
    <w:rsid w:val="00AC5332"/>
    <w:rsid w:val="00AD0083"/>
    <w:rsid w:val="00AD3935"/>
    <w:rsid w:val="00AE65EB"/>
    <w:rsid w:val="00AE67A7"/>
    <w:rsid w:val="00AF1D94"/>
    <w:rsid w:val="00AF45CD"/>
    <w:rsid w:val="00AF60C5"/>
    <w:rsid w:val="00B009C6"/>
    <w:rsid w:val="00B01548"/>
    <w:rsid w:val="00B0478D"/>
    <w:rsid w:val="00B21D29"/>
    <w:rsid w:val="00B25034"/>
    <w:rsid w:val="00B31152"/>
    <w:rsid w:val="00B33588"/>
    <w:rsid w:val="00B33863"/>
    <w:rsid w:val="00B37D17"/>
    <w:rsid w:val="00B4175E"/>
    <w:rsid w:val="00B44093"/>
    <w:rsid w:val="00B452CE"/>
    <w:rsid w:val="00B53B95"/>
    <w:rsid w:val="00B54C25"/>
    <w:rsid w:val="00B7103C"/>
    <w:rsid w:val="00B75CDC"/>
    <w:rsid w:val="00B76B91"/>
    <w:rsid w:val="00B77EB1"/>
    <w:rsid w:val="00B811C6"/>
    <w:rsid w:val="00B855B0"/>
    <w:rsid w:val="00B92E08"/>
    <w:rsid w:val="00B95E37"/>
    <w:rsid w:val="00BA6530"/>
    <w:rsid w:val="00BB1C64"/>
    <w:rsid w:val="00BB5AA0"/>
    <w:rsid w:val="00BC0D9D"/>
    <w:rsid w:val="00BC3304"/>
    <w:rsid w:val="00BC622A"/>
    <w:rsid w:val="00BD6788"/>
    <w:rsid w:val="00BE0A78"/>
    <w:rsid w:val="00BE11C4"/>
    <w:rsid w:val="00BE79F0"/>
    <w:rsid w:val="00BF046D"/>
    <w:rsid w:val="00BF1190"/>
    <w:rsid w:val="00BF5D04"/>
    <w:rsid w:val="00C04A5E"/>
    <w:rsid w:val="00C1164D"/>
    <w:rsid w:val="00C16861"/>
    <w:rsid w:val="00C404A6"/>
    <w:rsid w:val="00C40A36"/>
    <w:rsid w:val="00C44419"/>
    <w:rsid w:val="00C445CA"/>
    <w:rsid w:val="00C45465"/>
    <w:rsid w:val="00C45E7B"/>
    <w:rsid w:val="00C471B1"/>
    <w:rsid w:val="00C6316B"/>
    <w:rsid w:val="00C634A9"/>
    <w:rsid w:val="00C64586"/>
    <w:rsid w:val="00C70D53"/>
    <w:rsid w:val="00C71B85"/>
    <w:rsid w:val="00C73D0B"/>
    <w:rsid w:val="00C772FF"/>
    <w:rsid w:val="00C80137"/>
    <w:rsid w:val="00C801AF"/>
    <w:rsid w:val="00C80256"/>
    <w:rsid w:val="00C9747E"/>
    <w:rsid w:val="00CA69AA"/>
    <w:rsid w:val="00CB28DA"/>
    <w:rsid w:val="00CB6BC0"/>
    <w:rsid w:val="00CC0A70"/>
    <w:rsid w:val="00CC1B7C"/>
    <w:rsid w:val="00CC727F"/>
    <w:rsid w:val="00CE0EEC"/>
    <w:rsid w:val="00CE459E"/>
    <w:rsid w:val="00CF15C3"/>
    <w:rsid w:val="00CF2B6F"/>
    <w:rsid w:val="00CF4A85"/>
    <w:rsid w:val="00CF58B6"/>
    <w:rsid w:val="00D017ED"/>
    <w:rsid w:val="00D01FFE"/>
    <w:rsid w:val="00D040D3"/>
    <w:rsid w:val="00D04C65"/>
    <w:rsid w:val="00D201D2"/>
    <w:rsid w:val="00D20974"/>
    <w:rsid w:val="00D21414"/>
    <w:rsid w:val="00D224FE"/>
    <w:rsid w:val="00D23139"/>
    <w:rsid w:val="00D317EB"/>
    <w:rsid w:val="00D35908"/>
    <w:rsid w:val="00D37DD2"/>
    <w:rsid w:val="00D40401"/>
    <w:rsid w:val="00D4222B"/>
    <w:rsid w:val="00D425BB"/>
    <w:rsid w:val="00D438DD"/>
    <w:rsid w:val="00D52B2D"/>
    <w:rsid w:val="00D6493E"/>
    <w:rsid w:val="00D7195D"/>
    <w:rsid w:val="00D7301E"/>
    <w:rsid w:val="00D83AE1"/>
    <w:rsid w:val="00D855D4"/>
    <w:rsid w:val="00D93466"/>
    <w:rsid w:val="00DA1124"/>
    <w:rsid w:val="00DA46A6"/>
    <w:rsid w:val="00DB6124"/>
    <w:rsid w:val="00DB750B"/>
    <w:rsid w:val="00DB75B7"/>
    <w:rsid w:val="00DC6E02"/>
    <w:rsid w:val="00DD05EE"/>
    <w:rsid w:val="00DD3151"/>
    <w:rsid w:val="00DD7220"/>
    <w:rsid w:val="00DE02AE"/>
    <w:rsid w:val="00DF1D7F"/>
    <w:rsid w:val="00DF3CFF"/>
    <w:rsid w:val="00DF4BE4"/>
    <w:rsid w:val="00E02FB4"/>
    <w:rsid w:val="00E20571"/>
    <w:rsid w:val="00E2184C"/>
    <w:rsid w:val="00E22DB5"/>
    <w:rsid w:val="00E235F7"/>
    <w:rsid w:val="00E23659"/>
    <w:rsid w:val="00E239D4"/>
    <w:rsid w:val="00E26130"/>
    <w:rsid w:val="00E30616"/>
    <w:rsid w:val="00E40B22"/>
    <w:rsid w:val="00E45619"/>
    <w:rsid w:val="00E4588F"/>
    <w:rsid w:val="00E46DA3"/>
    <w:rsid w:val="00E473C2"/>
    <w:rsid w:val="00E51BB1"/>
    <w:rsid w:val="00E624A5"/>
    <w:rsid w:val="00E6351A"/>
    <w:rsid w:val="00E67F2E"/>
    <w:rsid w:val="00E7344E"/>
    <w:rsid w:val="00EA161B"/>
    <w:rsid w:val="00EB0798"/>
    <w:rsid w:val="00EB40AD"/>
    <w:rsid w:val="00EB586E"/>
    <w:rsid w:val="00EB5FC8"/>
    <w:rsid w:val="00EC7A85"/>
    <w:rsid w:val="00ED23F9"/>
    <w:rsid w:val="00ED3CAD"/>
    <w:rsid w:val="00ED5A41"/>
    <w:rsid w:val="00EE1DE8"/>
    <w:rsid w:val="00EF51BA"/>
    <w:rsid w:val="00F033EC"/>
    <w:rsid w:val="00F04F68"/>
    <w:rsid w:val="00F121DD"/>
    <w:rsid w:val="00F12670"/>
    <w:rsid w:val="00F14B27"/>
    <w:rsid w:val="00F3148D"/>
    <w:rsid w:val="00F325C5"/>
    <w:rsid w:val="00F32FE0"/>
    <w:rsid w:val="00F35298"/>
    <w:rsid w:val="00F366DB"/>
    <w:rsid w:val="00F43ABB"/>
    <w:rsid w:val="00F4428D"/>
    <w:rsid w:val="00F47333"/>
    <w:rsid w:val="00F47E37"/>
    <w:rsid w:val="00F53C07"/>
    <w:rsid w:val="00F54B65"/>
    <w:rsid w:val="00F640B6"/>
    <w:rsid w:val="00F66EB6"/>
    <w:rsid w:val="00F70DEC"/>
    <w:rsid w:val="00F80E40"/>
    <w:rsid w:val="00F848D9"/>
    <w:rsid w:val="00F8648B"/>
    <w:rsid w:val="00FA5B82"/>
    <w:rsid w:val="00FA639E"/>
    <w:rsid w:val="00FC2019"/>
    <w:rsid w:val="00FC25E4"/>
    <w:rsid w:val="00FC41E2"/>
    <w:rsid w:val="00FC4EF7"/>
    <w:rsid w:val="00FD0824"/>
    <w:rsid w:val="00FD119B"/>
    <w:rsid w:val="00FE1DEE"/>
    <w:rsid w:val="00FE61BF"/>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4546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themeColor="accent1" w:themeTint="80"/>
      <w:szCs w:val="24"/>
    </w:rPr>
  </w:style>
  <w:style w:type="character" w:customStyle="1" w:styleId="InstructionaltextChar">
    <w:name w:val="Instructional text Char"/>
    <w:basedOn w:val="DefaultParagraphFont"/>
    <w:link w:val="Instructionaltext"/>
    <w:uiPriority w:val="1"/>
    <w:rsid w:val="00AD3935"/>
    <w:rPr>
      <w:rFonts w:ascii="Cambria" w:eastAsia="Cambria" w:hAnsi="Cambria" w:cs="Times New Roman"/>
      <w:i/>
      <w:color w:val="22ABFF" w:themeColor="accent1" w:themeTint="80"/>
      <w:szCs w:val="24"/>
    </w:rPr>
  </w:style>
  <w:style w:type="paragraph" w:customStyle="1" w:styleId="NonTOCheading20">
    <w:name w:val="Non TOC heading 2"/>
    <w:basedOn w:val="Normal"/>
    <w:next w:val="Normal"/>
    <w:rsid w:val="00BC0D9D"/>
    <w:pPr>
      <w:keepNext/>
      <w:keepLines/>
      <w:spacing w:before="360" w:after="180"/>
    </w:pPr>
    <w:rPr>
      <w:rFonts w:ascii="Arial" w:hAnsi="Arial" w:cstheme="minorBidi"/>
      <w:b/>
      <w:sz w:val="38"/>
    </w:rPr>
  </w:style>
  <w:style w:type="paragraph" w:styleId="TOC4">
    <w:name w:val="toc 4"/>
    <w:basedOn w:val="Normal"/>
    <w:next w:val="Normal"/>
    <w:autoRedefine/>
    <w:uiPriority w:val="39"/>
    <w:unhideWhenUsed/>
    <w:rsid w:val="001E3F0E"/>
    <w:pPr>
      <w:keepLines/>
      <w:tabs>
        <w:tab w:val="right" w:leader="underscore" w:pos="8505"/>
      </w:tabs>
      <w:spacing w:after="100"/>
      <w:ind w:left="993"/>
    </w:pPr>
    <w:rPr>
      <w:rFonts w:cstheme="minorBidi"/>
    </w:rPr>
  </w:style>
  <w:style w:type="paragraph" w:styleId="ListParagraph">
    <w:name w:val="List Paragraph"/>
    <w:basedOn w:val="Normal"/>
    <w:uiPriority w:val="34"/>
    <w:qFormat/>
    <w:rsid w:val="009A26E2"/>
    <w:pPr>
      <w:adjustRightInd w:val="0"/>
      <w:snapToGrid w:val="0"/>
      <w:spacing w:before="180" w:after="180"/>
      <w:ind w:left="720"/>
      <w:contextualSpacing/>
    </w:pPr>
    <w:rPr>
      <w:rFonts w:ascii="Arial" w:hAnsi="Arial" w:cs="Arial"/>
    </w:rPr>
  </w:style>
  <w:style w:type="paragraph" w:customStyle="1" w:styleId="Default">
    <w:name w:val="Default"/>
    <w:rsid w:val="009A26E2"/>
    <w:pPr>
      <w:autoSpaceDE w:val="0"/>
      <w:autoSpaceDN w:val="0"/>
      <w:adjustRightInd w:val="0"/>
      <w:spacing w:after="0" w:line="240" w:lineRule="auto"/>
    </w:pPr>
    <w:rPr>
      <w:rFonts w:ascii="Times New Roman" w:eastAsia="MS Mincho" w:hAnsi="Times New Roman" w:cs="Times New Roman"/>
      <w:color w:val="000000"/>
      <w:sz w:val="24"/>
      <w:szCs w:val="24"/>
      <w:lang w:eastAsia="en-AU"/>
    </w:rPr>
  </w:style>
  <w:style w:type="paragraph" w:customStyle="1" w:styleId="mine">
    <w:name w:val="mine"/>
    <w:basedOn w:val="Normal"/>
    <w:next w:val="Normal"/>
    <w:qFormat/>
    <w:rsid w:val="00AC4926"/>
    <w:pPr>
      <w:widowControl w:val="0"/>
      <w:adjustRightInd w:val="0"/>
      <w:snapToGrid w:val="0"/>
      <w:spacing w:before="0" w:after="0" w:line="240" w:lineRule="auto"/>
      <w:contextualSpacing/>
    </w:pPr>
    <w:rPr>
      <w:rFonts w:ascii="Times New Roman" w:eastAsia="MS Mincho" w:hAnsi="Times New Roman"/>
      <w:sz w:val="24"/>
      <w:szCs w:val="21"/>
      <w:lang w:eastAsia="en-AU"/>
    </w:rPr>
  </w:style>
  <w:style w:type="paragraph" w:styleId="TOC5">
    <w:name w:val="toc 5"/>
    <w:basedOn w:val="Normal"/>
    <w:next w:val="Normal"/>
    <w:autoRedefine/>
    <w:uiPriority w:val="39"/>
    <w:unhideWhenUsed/>
    <w:rsid w:val="00DD05EE"/>
    <w:pPr>
      <w:spacing w:before="0" w:after="100" w:line="276"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DD05EE"/>
    <w:pPr>
      <w:spacing w:before="0" w:after="100" w:line="276"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DD05EE"/>
    <w:pPr>
      <w:spacing w:before="0" w:after="100" w:line="276"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DD05EE"/>
    <w:pPr>
      <w:spacing w:before="0" w:after="100" w:line="276"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DD05EE"/>
    <w:pPr>
      <w:spacing w:before="0" w:after="100" w:line="276" w:lineRule="auto"/>
      <w:ind w:left="1760"/>
    </w:pPr>
    <w:rPr>
      <w:rFonts w:asciiTheme="minorHAnsi" w:eastAsiaTheme="minorEastAsia" w:hAnsiTheme="minorHAnsi" w:cstheme="minorBidi"/>
      <w:lang w:eastAsia="en-AU"/>
    </w:rPr>
  </w:style>
  <w:style w:type="table" w:customStyle="1" w:styleId="TableTGAblue1">
    <w:name w:val="Table TGA blue1"/>
    <w:basedOn w:val="TableNormal"/>
    <w:uiPriority w:val="99"/>
    <w:qFormat/>
    <w:rsid w:val="001E3F0E"/>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character" w:styleId="CommentReference">
    <w:name w:val="annotation reference"/>
    <w:basedOn w:val="DefaultParagraphFont"/>
    <w:uiPriority w:val="99"/>
    <w:semiHidden/>
    <w:unhideWhenUsed/>
    <w:rsid w:val="00DD7220"/>
    <w:rPr>
      <w:sz w:val="16"/>
      <w:szCs w:val="16"/>
    </w:rPr>
  </w:style>
  <w:style w:type="paragraph" w:styleId="CommentText">
    <w:name w:val="annotation text"/>
    <w:basedOn w:val="Normal"/>
    <w:link w:val="CommentTextChar"/>
    <w:uiPriority w:val="99"/>
    <w:semiHidden/>
    <w:unhideWhenUsed/>
    <w:rsid w:val="00DD7220"/>
    <w:pPr>
      <w:spacing w:line="240" w:lineRule="auto"/>
    </w:pPr>
    <w:rPr>
      <w:sz w:val="20"/>
      <w:szCs w:val="20"/>
    </w:rPr>
  </w:style>
  <w:style w:type="character" w:customStyle="1" w:styleId="CommentTextChar">
    <w:name w:val="Comment Text Char"/>
    <w:basedOn w:val="DefaultParagraphFont"/>
    <w:link w:val="CommentText"/>
    <w:uiPriority w:val="99"/>
    <w:semiHidden/>
    <w:rsid w:val="00DD722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D7220"/>
    <w:rPr>
      <w:b/>
      <w:bCs/>
    </w:rPr>
  </w:style>
  <w:style w:type="character" w:customStyle="1" w:styleId="CommentSubjectChar">
    <w:name w:val="Comment Subject Char"/>
    <w:basedOn w:val="CommentTextChar"/>
    <w:link w:val="CommentSubject"/>
    <w:uiPriority w:val="99"/>
    <w:semiHidden/>
    <w:rsid w:val="00DD7220"/>
    <w:rPr>
      <w:rFonts w:ascii="Cambria" w:eastAsia="Cambria" w:hAnsi="Cambria" w:cs="Times New Roman"/>
      <w:b/>
      <w:bCs/>
      <w:sz w:val="20"/>
      <w:szCs w:val="20"/>
    </w:rPr>
  </w:style>
  <w:style w:type="paragraph" w:customStyle="1" w:styleId="Bullet1">
    <w:name w:val="Bullet 1"/>
    <w:basedOn w:val="Normal"/>
    <w:rsid w:val="00157ABD"/>
    <w:pPr>
      <w:numPr>
        <w:numId w:val="41"/>
      </w:numPr>
      <w:spacing w:after="0" w:line="240" w:lineRule="auto"/>
    </w:pPr>
    <w:rPr>
      <w:rFonts w:eastAsia="Times New Roman"/>
      <w:kern w:val="24"/>
      <w:szCs w:val="24"/>
      <w:lang w:eastAsia="en-AU"/>
    </w:rPr>
  </w:style>
  <w:style w:type="paragraph" w:styleId="Revision">
    <w:name w:val="Revision"/>
    <w:hidden/>
    <w:uiPriority w:val="99"/>
    <w:semiHidden/>
    <w:rsid w:val="00502E20"/>
    <w:pPr>
      <w:spacing w:after="0" w:line="240" w:lineRule="auto"/>
    </w:pPr>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4546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themeColor="accent1" w:themeTint="80"/>
      <w:szCs w:val="24"/>
    </w:rPr>
  </w:style>
  <w:style w:type="character" w:customStyle="1" w:styleId="InstructionaltextChar">
    <w:name w:val="Instructional text Char"/>
    <w:basedOn w:val="DefaultParagraphFont"/>
    <w:link w:val="Instructionaltext"/>
    <w:uiPriority w:val="1"/>
    <w:rsid w:val="00AD3935"/>
    <w:rPr>
      <w:rFonts w:ascii="Cambria" w:eastAsia="Cambria" w:hAnsi="Cambria" w:cs="Times New Roman"/>
      <w:i/>
      <w:color w:val="22ABFF" w:themeColor="accent1" w:themeTint="80"/>
      <w:szCs w:val="24"/>
    </w:rPr>
  </w:style>
  <w:style w:type="paragraph" w:customStyle="1" w:styleId="NonTOCheading20">
    <w:name w:val="Non TOC heading 2"/>
    <w:basedOn w:val="Normal"/>
    <w:next w:val="Normal"/>
    <w:rsid w:val="00BC0D9D"/>
    <w:pPr>
      <w:keepNext/>
      <w:keepLines/>
      <w:spacing w:before="360" w:after="180"/>
    </w:pPr>
    <w:rPr>
      <w:rFonts w:ascii="Arial" w:hAnsi="Arial" w:cstheme="minorBidi"/>
      <w:b/>
      <w:sz w:val="38"/>
    </w:rPr>
  </w:style>
  <w:style w:type="paragraph" w:styleId="TOC4">
    <w:name w:val="toc 4"/>
    <w:basedOn w:val="Normal"/>
    <w:next w:val="Normal"/>
    <w:autoRedefine/>
    <w:uiPriority w:val="39"/>
    <w:unhideWhenUsed/>
    <w:rsid w:val="001E3F0E"/>
    <w:pPr>
      <w:keepLines/>
      <w:tabs>
        <w:tab w:val="right" w:leader="underscore" w:pos="8505"/>
      </w:tabs>
      <w:spacing w:after="100"/>
      <w:ind w:left="993"/>
    </w:pPr>
    <w:rPr>
      <w:rFonts w:cstheme="minorBidi"/>
    </w:rPr>
  </w:style>
  <w:style w:type="paragraph" w:styleId="ListParagraph">
    <w:name w:val="List Paragraph"/>
    <w:basedOn w:val="Normal"/>
    <w:uiPriority w:val="34"/>
    <w:qFormat/>
    <w:rsid w:val="009A26E2"/>
    <w:pPr>
      <w:adjustRightInd w:val="0"/>
      <w:snapToGrid w:val="0"/>
      <w:spacing w:before="180" w:after="180"/>
      <w:ind w:left="720"/>
      <w:contextualSpacing/>
    </w:pPr>
    <w:rPr>
      <w:rFonts w:ascii="Arial" w:hAnsi="Arial" w:cs="Arial"/>
    </w:rPr>
  </w:style>
  <w:style w:type="paragraph" w:customStyle="1" w:styleId="Default">
    <w:name w:val="Default"/>
    <w:rsid w:val="009A26E2"/>
    <w:pPr>
      <w:autoSpaceDE w:val="0"/>
      <w:autoSpaceDN w:val="0"/>
      <w:adjustRightInd w:val="0"/>
      <w:spacing w:after="0" w:line="240" w:lineRule="auto"/>
    </w:pPr>
    <w:rPr>
      <w:rFonts w:ascii="Times New Roman" w:eastAsia="MS Mincho" w:hAnsi="Times New Roman" w:cs="Times New Roman"/>
      <w:color w:val="000000"/>
      <w:sz w:val="24"/>
      <w:szCs w:val="24"/>
      <w:lang w:eastAsia="en-AU"/>
    </w:rPr>
  </w:style>
  <w:style w:type="paragraph" w:customStyle="1" w:styleId="mine">
    <w:name w:val="mine"/>
    <w:basedOn w:val="Normal"/>
    <w:next w:val="Normal"/>
    <w:qFormat/>
    <w:rsid w:val="00AC4926"/>
    <w:pPr>
      <w:widowControl w:val="0"/>
      <w:adjustRightInd w:val="0"/>
      <w:snapToGrid w:val="0"/>
      <w:spacing w:before="0" w:after="0" w:line="240" w:lineRule="auto"/>
      <w:contextualSpacing/>
    </w:pPr>
    <w:rPr>
      <w:rFonts w:ascii="Times New Roman" w:eastAsia="MS Mincho" w:hAnsi="Times New Roman"/>
      <w:sz w:val="24"/>
      <w:szCs w:val="21"/>
      <w:lang w:eastAsia="en-AU"/>
    </w:rPr>
  </w:style>
  <w:style w:type="paragraph" w:styleId="TOC5">
    <w:name w:val="toc 5"/>
    <w:basedOn w:val="Normal"/>
    <w:next w:val="Normal"/>
    <w:autoRedefine/>
    <w:uiPriority w:val="39"/>
    <w:unhideWhenUsed/>
    <w:rsid w:val="00DD05EE"/>
    <w:pPr>
      <w:spacing w:before="0" w:after="100" w:line="276"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DD05EE"/>
    <w:pPr>
      <w:spacing w:before="0" w:after="100" w:line="276"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DD05EE"/>
    <w:pPr>
      <w:spacing w:before="0" w:after="100" w:line="276"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DD05EE"/>
    <w:pPr>
      <w:spacing w:before="0" w:after="100" w:line="276"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DD05EE"/>
    <w:pPr>
      <w:spacing w:before="0" w:after="100" w:line="276" w:lineRule="auto"/>
      <w:ind w:left="1760"/>
    </w:pPr>
    <w:rPr>
      <w:rFonts w:asciiTheme="minorHAnsi" w:eastAsiaTheme="minorEastAsia" w:hAnsiTheme="minorHAnsi" w:cstheme="minorBidi"/>
      <w:lang w:eastAsia="en-AU"/>
    </w:rPr>
  </w:style>
  <w:style w:type="table" w:customStyle="1" w:styleId="TableTGAblue1">
    <w:name w:val="Table TGA blue1"/>
    <w:basedOn w:val="TableNormal"/>
    <w:uiPriority w:val="99"/>
    <w:qFormat/>
    <w:rsid w:val="001E3F0E"/>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character" w:styleId="CommentReference">
    <w:name w:val="annotation reference"/>
    <w:basedOn w:val="DefaultParagraphFont"/>
    <w:uiPriority w:val="99"/>
    <w:semiHidden/>
    <w:unhideWhenUsed/>
    <w:rsid w:val="00DD7220"/>
    <w:rPr>
      <w:sz w:val="16"/>
      <w:szCs w:val="16"/>
    </w:rPr>
  </w:style>
  <w:style w:type="paragraph" w:styleId="CommentText">
    <w:name w:val="annotation text"/>
    <w:basedOn w:val="Normal"/>
    <w:link w:val="CommentTextChar"/>
    <w:uiPriority w:val="99"/>
    <w:semiHidden/>
    <w:unhideWhenUsed/>
    <w:rsid w:val="00DD7220"/>
    <w:pPr>
      <w:spacing w:line="240" w:lineRule="auto"/>
    </w:pPr>
    <w:rPr>
      <w:sz w:val="20"/>
      <w:szCs w:val="20"/>
    </w:rPr>
  </w:style>
  <w:style w:type="character" w:customStyle="1" w:styleId="CommentTextChar">
    <w:name w:val="Comment Text Char"/>
    <w:basedOn w:val="DefaultParagraphFont"/>
    <w:link w:val="CommentText"/>
    <w:uiPriority w:val="99"/>
    <w:semiHidden/>
    <w:rsid w:val="00DD722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D7220"/>
    <w:rPr>
      <w:b/>
      <w:bCs/>
    </w:rPr>
  </w:style>
  <w:style w:type="character" w:customStyle="1" w:styleId="CommentSubjectChar">
    <w:name w:val="Comment Subject Char"/>
    <w:basedOn w:val="CommentTextChar"/>
    <w:link w:val="CommentSubject"/>
    <w:uiPriority w:val="99"/>
    <w:semiHidden/>
    <w:rsid w:val="00DD7220"/>
    <w:rPr>
      <w:rFonts w:ascii="Cambria" w:eastAsia="Cambria" w:hAnsi="Cambria" w:cs="Times New Roman"/>
      <w:b/>
      <w:bCs/>
      <w:sz w:val="20"/>
      <w:szCs w:val="20"/>
    </w:rPr>
  </w:style>
  <w:style w:type="paragraph" w:customStyle="1" w:styleId="Bullet1">
    <w:name w:val="Bullet 1"/>
    <w:basedOn w:val="Normal"/>
    <w:rsid w:val="00157ABD"/>
    <w:pPr>
      <w:numPr>
        <w:numId w:val="41"/>
      </w:numPr>
      <w:spacing w:after="0" w:line="240" w:lineRule="auto"/>
    </w:pPr>
    <w:rPr>
      <w:rFonts w:eastAsia="Times New Roman"/>
      <w:kern w:val="24"/>
      <w:szCs w:val="24"/>
      <w:lang w:eastAsia="en-AU"/>
    </w:rPr>
  </w:style>
  <w:style w:type="paragraph" w:styleId="Revision">
    <w:name w:val="Revision"/>
    <w:hidden/>
    <w:uiPriority w:val="99"/>
    <w:semiHidden/>
    <w:rsid w:val="00502E20"/>
    <w:pPr>
      <w:spacing w:after="0" w:line="240" w:lineRule="auto"/>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ga.copyright@tga.gov.au" TargetMode="External"/><Relationship Id="rId18" Type="http://schemas.openxmlformats.org/officeDocument/2006/relationships/image" Target="media/image5.png"/><Relationship Id="rId26" Type="http://schemas.openxmlformats.org/officeDocument/2006/relationships/hyperlink" Target="http://www.tga.gov.au"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yperlink" Target="mailto:info@tga.gov.au" TargetMode="Externa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health.com.au" TargetMode="External"/><Relationship Id="rId20" Type="http://schemas.openxmlformats.org/officeDocument/2006/relationships/hyperlink" Target="http://www.tga.gov.au/hp/information-medicines-pi.ht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yperlink" Target="http://www.tga.gov.au/hp/information-medicines-pi.htm"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jes\Desktop\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DAE1-C95B-4D02-B25C-7D67DE5A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AusPAR template.dotx</Template>
  <TotalTime>51</TotalTime>
  <Pages>38</Pages>
  <Words>12939</Words>
  <Characters>71295</Characters>
  <Application>Microsoft Office Word</Application>
  <DocSecurity>0</DocSecurity>
  <Lines>1782</Lines>
  <Paragraphs>833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Australian public assessment for mifepristone/misoprostol</vt:lpstr>
      <vt:lpstr>Australian public assessment for...</vt:lpstr>
    </vt:vector>
  </TitlesOfParts>
  <Company>Department of Health Therapeutic Goods Administration</Company>
  <LinksUpToDate>false</LinksUpToDate>
  <CharactersWithSpaces>83401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mifepristone/misoprostol</dc:title>
  <dc:subject>prescription medicine regulation</dc:subject>
  <dc:creator>Therapeutic Goods Administration</dc:creator>
  <cp:keywords>auspar, prescription, medicine, assessment, regulation, australia, mifepristone, misoprostol, ms-2 step, ms health</cp:keywords>
  <cp:lastModifiedBy>Dixon, Jenna</cp:lastModifiedBy>
  <cp:revision>10</cp:revision>
  <cp:lastPrinted>2014-07-23T04:40:00Z</cp:lastPrinted>
  <dcterms:created xsi:type="dcterms:W3CDTF">2014-10-12T22:44:00Z</dcterms:created>
  <dcterms:modified xsi:type="dcterms:W3CDTF">2014-11-17T00:32:00Z</dcterms:modified>
  <cp:category>external publication</cp:category>
</cp:coreProperties>
</file>