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D49A5FB" w14:textId="77777777" w:rsidTr="00BF1190">
        <w:trPr>
          <w:trHeight w:val="1863"/>
        </w:trPr>
        <w:tc>
          <w:tcPr>
            <w:tcW w:w="3652" w:type="dxa"/>
            <w:tcBorders>
              <w:top w:val="nil"/>
              <w:left w:val="nil"/>
              <w:bottom w:val="nil"/>
              <w:right w:val="nil"/>
            </w:tcBorders>
          </w:tcPr>
          <w:p w14:paraId="72A19E7A" w14:textId="40C1A2F5" w:rsidR="008E7846" w:rsidRPr="00096AA7" w:rsidRDefault="005672E3" w:rsidP="00096AA7">
            <w:pPr>
              <w:rPr>
                <w:rFonts w:ascii="Arial" w:hAnsi="Arial" w:cs="Arial"/>
                <w:b/>
                <w:color w:val="002C47"/>
                <w:sz w:val="36"/>
                <w:szCs w:val="36"/>
              </w:rPr>
            </w:pPr>
            <w:r>
              <w:rPr>
                <w:rFonts w:ascii="Arial" w:hAnsi="Arial" w:cs="Arial"/>
                <w:b/>
                <w:color w:val="002C47"/>
                <w:sz w:val="36"/>
                <w:szCs w:val="36"/>
              </w:rPr>
              <w:t xml:space="preserve">May </w:t>
            </w:r>
            <w:r w:rsidR="005F5089">
              <w:rPr>
                <w:rFonts w:ascii="Arial" w:hAnsi="Arial" w:cs="Arial"/>
                <w:b/>
                <w:color w:val="002C47"/>
                <w:sz w:val="36"/>
                <w:szCs w:val="36"/>
              </w:rPr>
              <w:t>2020</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13293A6C" w14:textId="77777777" w:rsidTr="0032583B">
        <w:trPr>
          <w:trHeight w:val="868"/>
        </w:trPr>
        <w:tc>
          <w:tcPr>
            <w:tcW w:w="9079" w:type="dxa"/>
          </w:tcPr>
          <w:p w14:paraId="4D716B2B" w14:textId="77777777" w:rsidR="0032583B" w:rsidRPr="00D8038D" w:rsidRDefault="0032583B" w:rsidP="00D8038D">
            <w:pPr>
              <w:pStyle w:val="Title"/>
              <w:framePr w:hSpace="0" w:wrap="auto" w:vAnchor="margin" w:yAlign="inline"/>
            </w:pPr>
            <w:bookmarkStart w:id="0" w:name="_GoBack"/>
            <w:r w:rsidRPr="00A964D1">
              <w:t xml:space="preserve">Australian Public Assessment Report for </w:t>
            </w:r>
            <w:proofErr w:type="spellStart"/>
            <w:r w:rsidR="005F5089">
              <w:t>N</w:t>
            </w:r>
            <w:r w:rsidR="005F5089" w:rsidRPr="005F5089">
              <w:t>eratinib</w:t>
            </w:r>
            <w:proofErr w:type="spellEnd"/>
            <w:r w:rsidR="005F5089" w:rsidRPr="005F5089">
              <w:t xml:space="preserve"> (as maleate)</w:t>
            </w:r>
            <w:bookmarkEnd w:id="0"/>
          </w:p>
        </w:tc>
      </w:tr>
      <w:tr w:rsidR="0032583B" w:rsidRPr="00B64760" w14:paraId="02201C3D" w14:textId="77777777" w:rsidTr="0032583B">
        <w:tc>
          <w:tcPr>
            <w:tcW w:w="9079" w:type="dxa"/>
          </w:tcPr>
          <w:p w14:paraId="2FB306FE" w14:textId="77777777" w:rsidR="0032583B" w:rsidRPr="008E7846" w:rsidRDefault="0032583B" w:rsidP="00D8038D">
            <w:pPr>
              <w:pStyle w:val="Subtitle"/>
              <w:framePr w:hSpace="0" w:wrap="auto" w:vAnchor="margin" w:yAlign="inline"/>
            </w:pPr>
            <w:r w:rsidRPr="008E7846">
              <w:t xml:space="preserve">Proprietary Product Name: </w:t>
            </w:r>
            <w:proofErr w:type="spellStart"/>
            <w:r w:rsidR="005F5089" w:rsidRPr="005F5089">
              <w:t>Nerlynx</w:t>
            </w:r>
            <w:proofErr w:type="spellEnd"/>
          </w:p>
        </w:tc>
      </w:tr>
      <w:tr w:rsidR="0032583B" w:rsidRPr="00B64760" w14:paraId="7298A4A1" w14:textId="77777777" w:rsidTr="0032583B">
        <w:trPr>
          <w:trHeight w:val="486"/>
        </w:trPr>
        <w:tc>
          <w:tcPr>
            <w:tcW w:w="9079" w:type="dxa"/>
          </w:tcPr>
          <w:p w14:paraId="24E7FB19" w14:textId="77777777" w:rsidR="0032583B" w:rsidRPr="008E7846" w:rsidRDefault="0032583B" w:rsidP="00D8038D">
            <w:pPr>
              <w:pStyle w:val="Subtitle"/>
              <w:framePr w:hSpace="0" w:wrap="auto" w:vAnchor="margin" w:yAlign="inline"/>
            </w:pPr>
            <w:r w:rsidRPr="008E7846">
              <w:t xml:space="preserve">Sponsor: </w:t>
            </w:r>
            <w:r w:rsidR="005F5089" w:rsidRPr="005F5089">
              <w:t>Specialised Therapeutics PM Pty Ltd</w:t>
            </w:r>
          </w:p>
        </w:tc>
      </w:tr>
    </w:tbl>
    <w:p w14:paraId="64F0AE52" w14:textId="77777777" w:rsidR="008E7846" w:rsidRPr="0085156D" w:rsidRDefault="008E7846" w:rsidP="0085156D">
      <w:r w:rsidRPr="0085156D">
        <w:br w:type="page"/>
      </w:r>
    </w:p>
    <w:p w14:paraId="005C671F" w14:textId="77777777" w:rsidR="008E7846" w:rsidRPr="001F6CBA" w:rsidRDefault="008E7846" w:rsidP="008E7846">
      <w:pPr>
        <w:pStyle w:val="NonTOCHeading2"/>
      </w:pPr>
      <w:r w:rsidRPr="001F6CBA">
        <w:lastRenderedPageBreak/>
        <w:t>About the Therapeutic Goods Administration (TGA)</w:t>
      </w:r>
    </w:p>
    <w:p w14:paraId="73ECAFE1" w14:textId="77777777" w:rsidR="008E7846" w:rsidRDefault="008E7846" w:rsidP="00D8038D">
      <w:pPr>
        <w:pStyle w:val="ListBullet"/>
      </w:pPr>
      <w:r>
        <w:t xml:space="preserve">The Therapeutic Goods Administration (TGA) is </w:t>
      </w:r>
      <w:r w:rsidR="00E624A5">
        <w:t xml:space="preserve">part </w:t>
      </w:r>
      <w:r>
        <w:t>of the Australian Government Department of Health and is responsible for regulating medicines and medical devices.</w:t>
      </w:r>
    </w:p>
    <w:p w14:paraId="5A243D9B"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3B5C36B4" w14:textId="77777777" w:rsidR="008E7846" w:rsidRDefault="008E7846" w:rsidP="008E7846">
      <w:pPr>
        <w:pStyle w:val="ListBullet"/>
        <w:numPr>
          <w:ilvl w:val="0"/>
          <w:numId w:val="3"/>
        </w:numPr>
        <w:ind w:left="357" w:hanging="357"/>
      </w:pPr>
      <w:r>
        <w:t xml:space="preserve">The work of the TGA </w:t>
      </w:r>
      <w:proofErr w:type="gramStart"/>
      <w:r>
        <w:t>is based</w:t>
      </w:r>
      <w:proofErr w:type="gramEnd"/>
      <w:r>
        <w:t xml:space="preserve"> on applying scientific and clinical expertise to decision-making, to ensure that the benefits to consumers outweigh any risks associated with the use of medicines and medical devices.</w:t>
      </w:r>
    </w:p>
    <w:p w14:paraId="5BAB7799"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5C180B1D"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216F2BE8" w14:textId="77777777" w:rsidR="008E7846" w:rsidRDefault="008E7846" w:rsidP="00875A6B">
      <w:pPr>
        <w:pStyle w:val="NonTOCHeading2"/>
      </w:pPr>
      <w:r>
        <w:t xml:space="preserve">About </w:t>
      </w:r>
      <w:proofErr w:type="spellStart"/>
      <w:r>
        <w:t>AusPARs</w:t>
      </w:r>
      <w:proofErr w:type="spellEnd"/>
    </w:p>
    <w:p w14:paraId="40F42AFD" w14:textId="77777777"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7221FF3A" w14:textId="77777777" w:rsidR="008E7846" w:rsidRDefault="008E7846" w:rsidP="008E7846">
      <w:pPr>
        <w:pStyle w:val="ListBullet"/>
        <w:numPr>
          <w:ilvl w:val="0"/>
          <w:numId w:val="3"/>
        </w:numPr>
        <w:ind w:left="357" w:hanging="357"/>
      </w:pPr>
      <w:proofErr w:type="spellStart"/>
      <w:r>
        <w:t>AusPARs</w:t>
      </w:r>
      <w:proofErr w:type="spellEnd"/>
      <w:r>
        <w:t xml:space="preserve"> </w:t>
      </w:r>
      <w:proofErr w:type="gramStart"/>
      <w:r>
        <w:t>are prepared and published by the TGA</w:t>
      </w:r>
      <w:proofErr w:type="gramEnd"/>
      <w:r>
        <w:t>.</w:t>
      </w:r>
    </w:p>
    <w:p w14:paraId="1D4953AD"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w:t>
      </w:r>
      <w:proofErr w:type="gramStart"/>
      <w:r>
        <w:t>is prepared</w:t>
      </w:r>
      <w:proofErr w:type="gramEnd"/>
      <w:r>
        <w:t xml:space="preserve"> for submissions that relate to new chemical entities, generic medicines, major variations and extensions of indications.</w:t>
      </w:r>
    </w:p>
    <w:p w14:paraId="211BD437"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43A8F695" w14:textId="77777777" w:rsidR="00B452CE" w:rsidRDefault="008E7846" w:rsidP="00FF5755">
      <w:pPr>
        <w:pStyle w:val="ListBullet"/>
        <w:numPr>
          <w:ilvl w:val="0"/>
          <w:numId w:val="3"/>
        </w:numPr>
        <w:ind w:left="357" w:hanging="357"/>
      </w:pPr>
      <w:r>
        <w:t xml:space="preserve">A new </w:t>
      </w:r>
      <w:proofErr w:type="spellStart"/>
      <w:r>
        <w:t>AusPAR</w:t>
      </w:r>
      <w:proofErr w:type="spellEnd"/>
      <w:r>
        <w:t xml:space="preserve"> </w:t>
      </w:r>
      <w:proofErr w:type="gramStart"/>
      <w:r>
        <w:t>will be developed</w:t>
      </w:r>
      <w:proofErr w:type="gramEnd"/>
      <w:r>
        <w:t xml:space="preserve"> to reflect changes to indications and/or major variations to a prescription medicine subject to evaluation by the TGA.</w:t>
      </w:r>
    </w:p>
    <w:p w14:paraId="4408793C" w14:textId="77777777" w:rsidR="00924482" w:rsidRPr="00DF1D7F" w:rsidRDefault="00924482" w:rsidP="00F54B65">
      <w:pPr>
        <w:pStyle w:val="LegalSubheading"/>
        <w:spacing w:before="3120"/>
      </w:pPr>
      <w:r w:rsidRPr="00DF1D7F">
        <w:t>Copyright</w:t>
      </w:r>
    </w:p>
    <w:p w14:paraId="141FDB1A" w14:textId="77777777" w:rsidR="00924482" w:rsidRDefault="00924482" w:rsidP="00924482">
      <w:pPr>
        <w:pStyle w:val="LegalCopy"/>
      </w:pPr>
      <w:r w:rsidRPr="00191B3B">
        <w:rPr>
          <w:rFonts w:cs="Arial"/>
          <w:lang w:val="en-GB"/>
        </w:rPr>
        <w:t>© Comm</w:t>
      </w:r>
      <w:r w:rsidR="00FA4AFC">
        <w:rPr>
          <w:rFonts w:cs="Arial"/>
          <w:lang w:val="en-GB"/>
        </w:rPr>
        <w:t>onwealth of Australia 2020</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w:t>
      </w:r>
      <w:proofErr w:type="gramStart"/>
      <w:r w:rsidRPr="00191B3B">
        <w:rPr>
          <w:rFonts w:cs="Arial"/>
          <w:lang w:val="en-GB"/>
        </w:rPr>
        <w:t>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w:t>
      </w:r>
      <w:proofErr w:type="gramEnd"/>
      <w:r w:rsidRPr="00191B3B">
        <w:rPr>
          <w:rFonts w:cs="Arial"/>
          <w:lang w:val="en-GB"/>
        </w:rPr>
        <w:t xml:space="preserve">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w:t>
      </w:r>
      <w:proofErr w:type="gramStart"/>
      <w:r w:rsidRPr="00191B3B">
        <w:rPr>
          <w:rFonts w:cs="Arial"/>
          <w:lang w:val="en-GB"/>
        </w:rPr>
        <w:t>sent</w:t>
      </w:r>
      <w:proofErr w:type="gramEnd"/>
      <w:r w:rsidRPr="00191B3B">
        <w:rPr>
          <w:rFonts w:cs="Arial"/>
          <w:lang w:val="en-GB"/>
        </w:rPr>
        <w:t xml:space="preserve">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252521EE"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1C9364C1" w14:textId="77777777" w:rsidR="0089635C" w:rsidRPr="0089635C" w:rsidRDefault="0089635C" w:rsidP="0010788A">
          <w:pPr>
            <w:pStyle w:val="Contents"/>
          </w:pPr>
          <w:r w:rsidRPr="0010788A">
            <w:t>Contents</w:t>
          </w:r>
        </w:p>
        <w:p w14:paraId="013158FF" w14:textId="03219DE2" w:rsidR="009B75E0" w:rsidRDefault="00960520">
          <w:pPr>
            <w:pStyle w:val="TOC2"/>
            <w:rPr>
              <w:rFonts w:asciiTheme="minorHAnsi" w:eastAsiaTheme="minorEastAsia" w:hAnsiTheme="minorHAnsi" w:cstheme="minorBidi"/>
              <w:b w:val="0"/>
              <w:noProof/>
              <w:sz w:val="22"/>
              <w:lang w:eastAsia="en-AU"/>
            </w:rPr>
          </w:pPr>
          <w:r>
            <w:fldChar w:fldCharType="begin"/>
          </w:r>
          <w:r>
            <w:instrText xml:space="preserve"> TOC \o "3-3" \h \z \t "Heading 1,1,Heading 2,2" </w:instrText>
          </w:r>
          <w:r>
            <w:fldChar w:fldCharType="separate"/>
          </w:r>
          <w:hyperlink w:anchor="_Toc40186897" w:history="1">
            <w:r w:rsidR="009B75E0" w:rsidRPr="00B56105">
              <w:rPr>
                <w:rStyle w:val="Hyperlink"/>
                <w:noProof/>
              </w:rPr>
              <w:t>Common abbreviations</w:t>
            </w:r>
            <w:r w:rsidR="009B75E0">
              <w:rPr>
                <w:noProof/>
                <w:webHidden/>
              </w:rPr>
              <w:tab/>
            </w:r>
            <w:r w:rsidR="009B75E0">
              <w:rPr>
                <w:noProof/>
                <w:webHidden/>
              </w:rPr>
              <w:fldChar w:fldCharType="begin"/>
            </w:r>
            <w:r w:rsidR="009B75E0">
              <w:rPr>
                <w:noProof/>
                <w:webHidden/>
              </w:rPr>
              <w:instrText xml:space="preserve"> PAGEREF _Toc40186897 \h </w:instrText>
            </w:r>
            <w:r w:rsidR="009B75E0">
              <w:rPr>
                <w:noProof/>
                <w:webHidden/>
              </w:rPr>
            </w:r>
            <w:r w:rsidR="009B75E0">
              <w:rPr>
                <w:noProof/>
                <w:webHidden/>
              </w:rPr>
              <w:fldChar w:fldCharType="separate"/>
            </w:r>
            <w:r w:rsidR="009B75E0">
              <w:rPr>
                <w:noProof/>
                <w:webHidden/>
              </w:rPr>
              <w:t>4</w:t>
            </w:r>
            <w:r w:rsidR="009B75E0">
              <w:rPr>
                <w:noProof/>
                <w:webHidden/>
              </w:rPr>
              <w:fldChar w:fldCharType="end"/>
            </w:r>
          </w:hyperlink>
        </w:p>
        <w:p w14:paraId="5D2FEF13" w14:textId="63C6EA0C" w:rsidR="009B75E0" w:rsidRDefault="003B0773">
          <w:pPr>
            <w:pStyle w:val="TOC2"/>
            <w:rPr>
              <w:rFonts w:asciiTheme="minorHAnsi" w:eastAsiaTheme="minorEastAsia" w:hAnsiTheme="minorHAnsi" w:cstheme="minorBidi"/>
              <w:b w:val="0"/>
              <w:noProof/>
              <w:sz w:val="22"/>
              <w:lang w:eastAsia="en-AU"/>
            </w:rPr>
          </w:pPr>
          <w:hyperlink w:anchor="_Toc40186898" w:history="1">
            <w:r w:rsidR="009B75E0" w:rsidRPr="00B56105">
              <w:rPr>
                <w:rStyle w:val="Hyperlink"/>
                <w:noProof/>
              </w:rPr>
              <w:t>I. Introduction to product submission</w:t>
            </w:r>
            <w:r w:rsidR="009B75E0">
              <w:rPr>
                <w:noProof/>
                <w:webHidden/>
              </w:rPr>
              <w:tab/>
            </w:r>
            <w:r w:rsidR="009B75E0">
              <w:rPr>
                <w:noProof/>
                <w:webHidden/>
              </w:rPr>
              <w:fldChar w:fldCharType="begin"/>
            </w:r>
            <w:r w:rsidR="009B75E0">
              <w:rPr>
                <w:noProof/>
                <w:webHidden/>
              </w:rPr>
              <w:instrText xml:space="preserve"> PAGEREF _Toc40186898 \h </w:instrText>
            </w:r>
            <w:r w:rsidR="009B75E0">
              <w:rPr>
                <w:noProof/>
                <w:webHidden/>
              </w:rPr>
            </w:r>
            <w:r w:rsidR="009B75E0">
              <w:rPr>
                <w:noProof/>
                <w:webHidden/>
              </w:rPr>
              <w:fldChar w:fldCharType="separate"/>
            </w:r>
            <w:r w:rsidR="009B75E0">
              <w:rPr>
                <w:noProof/>
                <w:webHidden/>
              </w:rPr>
              <w:t>6</w:t>
            </w:r>
            <w:r w:rsidR="009B75E0">
              <w:rPr>
                <w:noProof/>
                <w:webHidden/>
              </w:rPr>
              <w:fldChar w:fldCharType="end"/>
            </w:r>
          </w:hyperlink>
        </w:p>
        <w:p w14:paraId="12F38DD6" w14:textId="35C57699" w:rsidR="009B75E0" w:rsidRDefault="003B0773">
          <w:pPr>
            <w:pStyle w:val="TOC3"/>
            <w:rPr>
              <w:rFonts w:asciiTheme="minorHAnsi" w:eastAsiaTheme="minorEastAsia" w:hAnsiTheme="minorHAnsi" w:cstheme="minorBidi"/>
              <w:noProof/>
              <w:lang w:eastAsia="en-AU"/>
            </w:rPr>
          </w:pPr>
          <w:hyperlink w:anchor="_Toc40186899" w:history="1">
            <w:r w:rsidR="009B75E0" w:rsidRPr="00B56105">
              <w:rPr>
                <w:rStyle w:val="Hyperlink"/>
                <w:noProof/>
                <w:lang w:eastAsia="en-AU"/>
              </w:rPr>
              <w:t>Submission details</w:t>
            </w:r>
            <w:r w:rsidR="009B75E0">
              <w:rPr>
                <w:noProof/>
                <w:webHidden/>
              </w:rPr>
              <w:tab/>
            </w:r>
            <w:r w:rsidR="009B75E0">
              <w:rPr>
                <w:noProof/>
                <w:webHidden/>
              </w:rPr>
              <w:fldChar w:fldCharType="begin"/>
            </w:r>
            <w:r w:rsidR="009B75E0">
              <w:rPr>
                <w:noProof/>
                <w:webHidden/>
              </w:rPr>
              <w:instrText xml:space="preserve"> PAGEREF _Toc40186899 \h </w:instrText>
            </w:r>
            <w:r w:rsidR="009B75E0">
              <w:rPr>
                <w:noProof/>
                <w:webHidden/>
              </w:rPr>
            </w:r>
            <w:r w:rsidR="009B75E0">
              <w:rPr>
                <w:noProof/>
                <w:webHidden/>
              </w:rPr>
              <w:fldChar w:fldCharType="separate"/>
            </w:r>
            <w:r w:rsidR="009B75E0">
              <w:rPr>
                <w:noProof/>
                <w:webHidden/>
              </w:rPr>
              <w:t>6</w:t>
            </w:r>
            <w:r w:rsidR="009B75E0">
              <w:rPr>
                <w:noProof/>
                <w:webHidden/>
              </w:rPr>
              <w:fldChar w:fldCharType="end"/>
            </w:r>
          </w:hyperlink>
        </w:p>
        <w:p w14:paraId="24951932" w14:textId="0FA78E85" w:rsidR="009B75E0" w:rsidRDefault="003B0773">
          <w:pPr>
            <w:pStyle w:val="TOC3"/>
            <w:rPr>
              <w:rFonts w:asciiTheme="minorHAnsi" w:eastAsiaTheme="minorEastAsia" w:hAnsiTheme="minorHAnsi" w:cstheme="minorBidi"/>
              <w:noProof/>
              <w:lang w:eastAsia="en-AU"/>
            </w:rPr>
          </w:pPr>
          <w:hyperlink w:anchor="_Toc40186900" w:history="1">
            <w:r w:rsidR="009B75E0" w:rsidRPr="00B56105">
              <w:rPr>
                <w:rStyle w:val="Hyperlink"/>
                <w:noProof/>
              </w:rPr>
              <w:t>Product background</w:t>
            </w:r>
            <w:r w:rsidR="009B75E0">
              <w:rPr>
                <w:noProof/>
                <w:webHidden/>
              </w:rPr>
              <w:tab/>
            </w:r>
            <w:r w:rsidR="009B75E0">
              <w:rPr>
                <w:noProof/>
                <w:webHidden/>
              </w:rPr>
              <w:fldChar w:fldCharType="begin"/>
            </w:r>
            <w:r w:rsidR="009B75E0">
              <w:rPr>
                <w:noProof/>
                <w:webHidden/>
              </w:rPr>
              <w:instrText xml:space="preserve"> PAGEREF _Toc40186900 \h </w:instrText>
            </w:r>
            <w:r w:rsidR="009B75E0">
              <w:rPr>
                <w:noProof/>
                <w:webHidden/>
              </w:rPr>
            </w:r>
            <w:r w:rsidR="009B75E0">
              <w:rPr>
                <w:noProof/>
                <w:webHidden/>
              </w:rPr>
              <w:fldChar w:fldCharType="separate"/>
            </w:r>
            <w:r w:rsidR="009B75E0">
              <w:rPr>
                <w:noProof/>
                <w:webHidden/>
              </w:rPr>
              <w:t>7</w:t>
            </w:r>
            <w:r w:rsidR="009B75E0">
              <w:rPr>
                <w:noProof/>
                <w:webHidden/>
              </w:rPr>
              <w:fldChar w:fldCharType="end"/>
            </w:r>
          </w:hyperlink>
        </w:p>
        <w:p w14:paraId="06F44D76" w14:textId="231C54D2" w:rsidR="009B75E0" w:rsidRDefault="003B0773">
          <w:pPr>
            <w:pStyle w:val="TOC3"/>
            <w:rPr>
              <w:rFonts w:asciiTheme="minorHAnsi" w:eastAsiaTheme="minorEastAsia" w:hAnsiTheme="minorHAnsi" w:cstheme="minorBidi"/>
              <w:noProof/>
              <w:lang w:eastAsia="en-AU"/>
            </w:rPr>
          </w:pPr>
          <w:hyperlink w:anchor="_Toc40186901" w:history="1">
            <w:r w:rsidR="009B75E0" w:rsidRPr="00B56105">
              <w:rPr>
                <w:rStyle w:val="Hyperlink"/>
                <w:noProof/>
              </w:rPr>
              <w:t>Regulatory status</w:t>
            </w:r>
            <w:r w:rsidR="009B75E0">
              <w:rPr>
                <w:noProof/>
                <w:webHidden/>
              </w:rPr>
              <w:tab/>
            </w:r>
            <w:r w:rsidR="009B75E0">
              <w:rPr>
                <w:noProof/>
                <w:webHidden/>
              </w:rPr>
              <w:fldChar w:fldCharType="begin"/>
            </w:r>
            <w:r w:rsidR="009B75E0">
              <w:rPr>
                <w:noProof/>
                <w:webHidden/>
              </w:rPr>
              <w:instrText xml:space="preserve"> PAGEREF _Toc40186901 \h </w:instrText>
            </w:r>
            <w:r w:rsidR="009B75E0">
              <w:rPr>
                <w:noProof/>
                <w:webHidden/>
              </w:rPr>
            </w:r>
            <w:r w:rsidR="009B75E0">
              <w:rPr>
                <w:noProof/>
                <w:webHidden/>
              </w:rPr>
              <w:fldChar w:fldCharType="separate"/>
            </w:r>
            <w:r w:rsidR="009B75E0">
              <w:rPr>
                <w:noProof/>
                <w:webHidden/>
              </w:rPr>
              <w:t>8</w:t>
            </w:r>
            <w:r w:rsidR="009B75E0">
              <w:rPr>
                <w:noProof/>
                <w:webHidden/>
              </w:rPr>
              <w:fldChar w:fldCharType="end"/>
            </w:r>
          </w:hyperlink>
        </w:p>
        <w:p w14:paraId="654C677B" w14:textId="7FC3B62C" w:rsidR="009B75E0" w:rsidRDefault="003B0773">
          <w:pPr>
            <w:pStyle w:val="TOC3"/>
            <w:rPr>
              <w:rFonts w:asciiTheme="minorHAnsi" w:eastAsiaTheme="minorEastAsia" w:hAnsiTheme="minorHAnsi" w:cstheme="minorBidi"/>
              <w:noProof/>
              <w:lang w:eastAsia="en-AU"/>
            </w:rPr>
          </w:pPr>
          <w:hyperlink w:anchor="_Toc40186902" w:history="1">
            <w:r w:rsidR="009B75E0" w:rsidRPr="00B56105">
              <w:rPr>
                <w:rStyle w:val="Hyperlink"/>
                <w:noProof/>
              </w:rPr>
              <w:t>Product Information</w:t>
            </w:r>
            <w:r w:rsidR="009B75E0">
              <w:rPr>
                <w:noProof/>
                <w:webHidden/>
              </w:rPr>
              <w:tab/>
            </w:r>
            <w:r w:rsidR="009B75E0">
              <w:rPr>
                <w:noProof/>
                <w:webHidden/>
              </w:rPr>
              <w:fldChar w:fldCharType="begin"/>
            </w:r>
            <w:r w:rsidR="009B75E0">
              <w:rPr>
                <w:noProof/>
                <w:webHidden/>
              </w:rPr>
              <w:instrText xml:space="preserve"> PAGEREF _Toc40186902 \h </w:instrText>
            </w:r>
            <w:r w:rsidR="009B75E0">
              <w:rPr>
                <w:noProof/>
                <w:webHidden/>
              </w:rPr>
            </w:r>
            <w:r w:rsidR="009B75E0">
              <w:rPr>
                <w:noProof/>
                <w:webHidden/>
              </w:rPr>
              <w:fldChar w:fldCharType="separate"/>
            </w:r>
            <w:r w:rsidR="009B75E0">
              <w:rPr>
                <w:noProof/>
                <w:webHidden/>
              </w:rPr>
              <w:t>9</w:t>
            </w:r>
            <w:r w:rsidR="009B75E0">
              <w:rPr>
                <w:noProof/>
                <w:webHidden/>
              </w:rPr>
              <w:fldChar w:fldCharType="end"/>
            </w:r>
          </w:hyperlink>
        </w:p>
        <w:p w14:paraId="3F2ABBB1" w14:textId="5D02B420" w:rsidR="009B75E0" w:rsidRDefault="003B0773">
          <w:pPr>
            <w:pStyle w:val="TOC2"/>
            <w:rPr>
              <w:rFonts w:asciiTheme="minorHAnsi" w:eastAsiaTheme="minorEastAsia" w:hAnsiTheme="minorHAnsi" w:cstheme="minorBidi"/>
              <w:b w:val="0"/>
              <w:noProof/>
              <w:sz w:val="22"/>
              <w:lang w:eastAsia="en-AU"/>
            </w:rPr>
          </w:pPr>
          <w:hyperlink w:anchor="_Toc40186903" w:history="1">
            <w:r w:rsidR="009B75E0" w:rsidRPr="00B56105">
              <w:rPr>
                <w:rStyle w:val="Hyperlink"/>
                <w:noProof/>
              </w:rPr>
              <w:t>II. Registration timeline</w:t>
            </w:r>
            <w:r w:rsidR="009B75E0">
              <w:rPr>
                <w:noProof/>
                <w:webHidden/>
              </w:rPr>
              <w:tab/>
            </w:r>
            <w:r w:rsidR="009B75E0">
              <w:rPr>
                <w:noProof/>
                <w:webHidden/>
              </w:rPr>
              <w:fldChar w:fldCharType="begin"/>
            </w:r>
            <w:r w:rsidR="009B75E0">
              <w:rPr>
                <w:noProof/>
                <w:webHidden/>
              </w:rPr>
              <w:instrText xml:space="preserve"> PAGEREF _Toc40186903 \h </w:instrText>
            </w:r>
            <w:r w:rsidR="009B75E0">
              <w:rPr>
                <w:noProof/>
                <w:webHidden/>
              </w:rPr>
            </w:r>
            <w:r w:rsidR="009B75E0">
              <w:rPr>
                <w:noProof/>
                <w:webHidden/>
              </w:rPr>
              <w:fldChar w:fldCharType="separate"/>
            </w:r>
            <w:r w:rsidR="009B75E0">
              <w:rPr>
                <w:noProof/>
                <w:webHidden/>
              </w:rPr>
              <w:t>9</w:t>
            </w:r>
            <w:r w:rsidR="009B75E0">
              <w:rPr>
                <w:noProof/>
                <w:webHidden/>
              </w:rPr>
              <w:fldChar w:fldCharType="end"/>
            </w:r>
          </w:hyperlink>
        </w:p>
        <w:p w14:paraId="656F3F41" w14:textId="7135A987" w:rsidR="009B75E0" w:rsidRDefault="003B0773">
          <w:pPr>
            <w:pStyle w:val="TOC2"/>
            <w:rPr>
              <w:rFonts w:asciiTheme="minorHAnsi" w:eastAsiaTheme="minorEastAsia" w:hAnsiTheme="minorHAnsi" w:cstheme="minorBidi"/>
              <w:b w:val="0"/>
              <w:noProof/>
              <w:sz w:val="22"/>
              <w:lang w:eastAsia="en-AU"/>
            </w:rPr>
          </w:pPr>
          <w:hyperlink w:anchor="_Toc40186904" w:history="1">
            <w:r w:rsidR="009B75E0" w:rsidRPr="00B56105">
              <w:rPr>
                <w:rStyle w:val="Hyperlink"/>
                <w:noProof/>
              </w:rPr>
              <w:t>III. Submission overview and risk/benefit assessment</w:t>
            </w:r>
            <w:r w:rsidR="009B75E0">
              <w:rPr>
                <w:noProof/>
                <w:webHidden/>
              </w:rPr>
              <w:tab/>
            </w:r>
            <w:r w:rsidR="009B75E0">
              <w:rPr>
                <w:noProof/>
                <w:webHidden/>
              </w:rPr>
              <w:fldChar w:fldCharType="begin"/>
            </w:r>
            <w:r w:rsidR="009B75E0">
              <w:rPr>
                <w:noProof/>
                <w:webHidden/>
              </w:rPr>
              <w:instrText xml:space="preserve"> PAGEREF _Toc40186904 \h </w:instrText>
            </w:r>
            <w:r w:rsidR="009B75E0">
              <w:rPr>
                <w:noProof/>
                <w:webHidden/>
              </w:rPr>
            </w:r>
            <w:r w:rsidR="009B75E0">
              <w:rPr>
                <w:noProof/>
                <w:webHidden/>
              </w:rPr>
              <w:fldChar w:fldCharType="separate"/>
            </w:r>
            <w:r w:rsidR="009B75E0">
              <w:rPr>
                <w:noProof/>
                <w:webHidden/>
              </w:rPr>
              <w:t>9</w:t>
            </w:r>
            <w:r w:rsidR="009B75E0">
              <w:rPr>
                <w:noProof/>
                <w:webHidden/>
              </w:rPr>
              <w:fldChar w:fldCharType="end"/>
            </w:r>
          </w:hyperlink>
        </w:p>
        <w:p w14:paraId="77DA852A" w14:textId="2410EFFA" w:rsidR="009B75E0" w:rsidRDefault="003B0773">
          <w:pPr>
            <w:pStyle w:val="TOC3"/>
            <w:rPr>
              <w:rFonts w:asciiTheme="minorHAnsi" w:eastAsiaTheme="minorEastAsia" w:hAnsiTheme="minorHAnsi" w:cstheme="minorBidi"/>
              <w:noProof/>
              <w:lang w:eastAsia="en-AU"/>
            </w:rPr>
          </w:pPr>
          <w:hyperlink w:anchor="_Toc40186905" w:history="1">
            <w:r w:rsidR="009B75E0" w:rsidRPr="00B56105">
              <w:rPr>
                <w:rStyle w:val="Hyperlink"/>
                <w:noProof/>
              </w:rPr>
              <w:t>Quality</w:t>
            </w:r>
            <w:r w:rsidR="009B75E0">
              <w:rPr>
                <w:noProof/>
                <w:webHidden/>
              </w:rPr>
              <w:tab/>
            </w:r>
            <w:r w:rsidR="009B75E0">
              <w:rPr>
                <w:noProof/>
                <w:webHidden/>
              </w:rPr>
              <w:fldChar w:fldCharType="begin"/>
            </w:r>
            <w:r w:rsidR="009B75E0">
              <w:rPr>
                <w:noProof/>
                <w:webHidden/>
              </w:rPr>
              <w:instrText xml:space="preserve"> PAGEREF _Toc40186905 \h </w:instrText>
            </w:r>
            <w:r w:rsidR="009B75E0">
              <w:rPr>
                <w:noProof/>
                <w:webHidden/>
              </w:rPr>
            </w:r>
            <w:r w:rsidR="009B75E0">
              <w:rPr>
                <w:noProof/>
                <w:webHidden/>
              </w:rPr>
              <w:fldChar w:fldCharType="separate"/>
            </w:r>
            <w:r w:rsidR="009B75E0">
              <w:rPr>
                <w:noProof/>
                <w:webHidden/>
              </w:rPr>
              <w:t>9</w:t>
            </w:r>
            <w:r w:rsidR="009B75E0">
              <w:rPr>
                <w:noProof/>
                <w:webHidden/>
              </w:rPr>
              <w:fldChar w:fldCharType="end"/>
            </w:r>
          </w:hyperlink>
        </w:p>
        <w:p w14:paraId="15339352" w14:textId="7EB941CA" w:rsidR="009B75E0" w:rsidRDefault="003B0773">
          <w:pPr>
            <w:pStyle w:val="TOC3"/>
            <w:rPr>
              <w:rFonts w:asciiTheme="minorHAnsi" w:eastAsiaTheme="minorEastAsia" w:hAnsiTheme="minorHAnsi" w:cstheme="minorBidi"/>
              <w:noProof/>
              <w:lang w:eastAsia="en-AU"/>
            </w:rPr>
          </w:pPr>
          <w:hyperlink w:anchor="_Toc40186906" w:history="1">
            <w:r w:rsidR="009B75E0" w:rsidRPr="00B56105">
              <w:rPr>
                <w:rStyle w:val="Hyperlink"/>
                <w:noProof/>
              </w:rPr>
              <w:t>Nonclinical</w:t>
            </w:r>
            <w:r w:rsidR="009B75E0">
              <w:rPr>
                <w:noProof/>
                <w:webHidden/>
              </w:rPr>
              <w:tab/>
            </w:r>
            <w:r w:rsidR="009B75E0">
              <w:rPr>
                <w:noProof/>
                <w:webHidden/>
              </w:rPr>
              <w:fldChar w:fldCharType="begin"/>
            </w:r>
            <w:r w:rsidR="009B75E0">
              <w:rPr>
                <w:noProof/>
                <w:webHidden/>
              </w:rPr>
              <w:instrText xml:space="preserve"> PAGEREF _Toc40186906 \h </w:instrText>
            </w:r>
            <w:r w:rsidR="009B75E0">
              <w:rPr>
                <w:noProof/>
                <w:webHidden/>
              </w:rPr>
            </w:r>
            <w:r w:rsidR="009B75E0">
              <w:rPr>
                <w:noProof/>
                <w:webHidden/>
              </w:rPr>
              <w:fldChar w:fldCharType="separate"/>
            </w:r>
            <w:r w:rsidR="009B75E0">
              <w:rPr>
                <w:noProof/>
                <w:webHidden/>
              </w:rPr>
              <w:t>10</w:t>
            </w:r>
            <w:r w:rsidR="009B75E0">
              <w:rPr>
                <w:noProof/>
                <w:webHidden/>
              </w:rPr>
              <w:fldChar w:fldCharType="end"/>
            </w:r>
          </w:hyperlink>
        </w:p>
        <w:p w14:paraId="76A77C64" w14:textId="032A90B9" w:rsidR="009B75E0" w:rsidRDefault="003B0773">
          <w:pPr>
            <w:pStyle w:val="TOC3"/>
            <w:rPr>
              <w:rFonts w:asciiTheme="minorHAnsi" w:eastAsiaTheme="minorEastAsia" w:hAnsiTheme="minorHAnsi" w:cstheme="minorBidi"/>
              <w:noProof/>
              <w:lang w:eastAsia="en-AU"/>
            </w:rPr>
          </w:pPr>
          <w:hyperlink w:anchor="_Toc40186907" w:history="1">
            <w:r w:rsidR="009B75E0" w:rsidRPr="00B56105">
              <w:rPr>
                <w:rStyle w:val="Hyperlink"/>
                <w:noProof/>
              </w:rPr>
              <w:t>Clinical</w:t>
            </w:r>
            <w:r w:rsidR="009B75E0">
              <w:rPr>
                <w:noProof/>
                <w:webHidden/>
              </w:rPr>
              <w:tab/>
            </w:r>
            <w:r w:rsidR="009B75E0">
              <w:rPr>
                <w:noProof/>
                <w:webHidden/>
              </w:rPr>
              <w:fldChar w:fldCharType="begin"/>
            </w:r>
            <w:r w:rsidR="009B75E0">
              <w:rPr>
                <w:noProof/>
                <w:webHidden/>
              </w:rPr>
              <w:instrText xml:space="preserve"> PAGEREF _Toc40186907 \h </w:instrText>
            </w:r>
            <w:r w:rsidR="009B75E0">
              <w:rPr>
                <w:noProof/>
                <w:webHidden/>
              </w:rPr>
            </w:r>
            <w:r w:rsidR="009B75E0">
              <w:rPr>
                <w:noProof/>
                <w:webHidden/>
              </w:rPr>
              <w:fldChar w:fldCharType="separate"/>
            </w:r>
            <w:r w:rsidR="009B75E0">
              <w:rPr>
                <w:noProof/>
                <w:webHidden/>
              </w:rPr>
              <w:t>11</w:t>
            </w:r>
            <w:r w:rsidR="009B75E0">
              <w:rPr>
                <w:noProof/>
                <w:webHidden/>
              </w:rPr>
              <w:fldChar w:fldCharType="end"/>
            </w:r>
          </w:hyperlink>
        </w:p>
        <w:p w14:paraId="125BECBC" w14:textId="0904419E" w:rsidR="009B75E0" w:rsidRDefault="003B0773">
          <w:pPr>
            <w:pStyle w:val="TOC3"/>
            <w:rPr>
              <w:rFonts w:asciiTheme="minorHAnsi" w:eastAsiaTheme="minorEastAsia" w:hAnsiTheme="minorHAnsi" w:cstheme="minorBidi"/>
              <w:noProof/>
              <w:lang w:eastAsia="en-AU"/>
            </w:rPr>
          </w:pPr>
          <w:hyperlink w:anchor="_Toc40186908" w:history="1">
            <w:r w:rsidR="009B75E0" w:rsidRPr="00B56105">
              <w:rPr>
                <w:rStyle w:val="Hyperlink"/>
                <w:noProof/>
                <w:lang w:eastAsia="en-AU"/>
              </w:rPr>
              <w:t>Risk management plan</w:t>
            </w:r>
            <w:r w:rsidR="009B75E0">
              <w:rPr>
                <w:noProof/>
                <w:webHidden/>
              </w:rPr>
              <w:tab/>
            </w:r>
            <w:r w:rsidR="009B75E0">
              <w:rPr>
                <w:noProof/>
                <w:webHidden/>
              </w:rPr>
              <w:fldChar w:fldCharType="begin"/>
            </w:r>
            <w:r w:rsidR="009B75E0">
              <w:rPr>
                <w:noProof/>
                <w:webHidden/>
              </w:rPr>
              <w:instrText xml:space="preserve"> PAGEREF _Toc40186908 \h </w:instrText>
            </w:r>
            <w:r w:rsidR="009B75E0">
              <w:rPr>
                <w:noProof/>
                <w:webHidden/>
              </w:rPr>
            </w:r>
            <w:r w:rsidR="009B75E0">
              <w:rPr>
                <w:noProof/>
                <w:webHidden/>
              </w:rPr>
              <w:fldChar w:fldCharType="separate"/>
            </w:r>
            <w:r w:rsidR="009B75E0">
              <w:rPr>
                <w:noProof/>
                <w:webHidden/>
              </w:rPr>
              <w:t>20</w:t>
            </w:r>
            <w:r w:rsidR="009B75E0">
              <w:rPr>
                <w:noProof/>
                <w:webHidden/>
              </w:rPr>
              <w:fldChar w:fldCharType="end"/>
            </w:r>
          </w:hyperlink>
        </w:p>
        <w:p w14:paraId="6B95AB0E" w14:textId="092BF3E2" w:rsidR="009B75E0" w:rsidRDefault="003B0773">
          <w:pPr>
            <w:pStyle w:val="TOC3"/>
            <w:rPr>
              <w:rFonts w:asciiTheme="minorHAnsi" w:eastAsiaTheme="minorEastAsia" w:hAnsiTheme="minorHAnsi" w:cstheme="minorBidi"/>
              <w:noProof/>
              <w:lang w:eastAsia="en-AU"/>
            </w:rPr>
          </w:pPr>
          <w:hyperlink w:anchor="_Toc40186909" w:history="1">
            <w:r w:rsidR="009B75E0" w:rsidRPr="00B56105">
              <w:rPr>
                <w:rStyle w:val="Hyperlink"/>
                <w:noProof/>
              </w:rPr>
              <w:t>Risk-benefit analysis</w:t>
            </w:r>
            <w:r w:rsidR="009B75E0">
              <w:rPr>
                <w:noProof/>
                <w:webHidden/>
              </w:rPr>
              <w:tab/>
            </w:r>
            <w:r w:rsidR="009B75E0">
              <w:rPr>
                <w:noProof/>
                <w:webHidden/>
              </w:rPr>
              <w:fldChar w:fldCharType="begin"/>
            </w:r>
            <w:r w:rsidR="009B75E0">
              <w:rPr>
                <w:noProof/>
                <w:webHidden/>
              </w:rPr>
              <w:instrText xml:space="preserve"> PAGEREF _Toc40186909 \h </w:instrText>
            </w:r>
            <w:r w:rsidR="009B75E0">
              <w:rPr>
                <w:noProof/>
                <w:webHidden/>
              </w:rPr>
            </w:r>
            <w:r w:rsidR="009B75E0">
              <w:rPr>
                <w:noProof/>
                <w:webHidden/>
              </w:rPr>
              <w:fldChar w:fldCharType="separate"/>
            </w:r>
            <w:r w:rsidR="009B75E0">
              <w:rPr>
                <w:noProof/>
                <w:webHidden/>
              </w:rPr>
              <w:t>21</w:t>
            </w:r>
            <w:r w:rsidR="009B75E0">
              <w:rPr>
                <w:noProof/>
                <w:webHidden/>
              </w:rPr>
              <w:fldChar w:fldCharType="end"/>
            </w:r>
          </w:hyperlink>
        </w:p>
        <w:p w14:paraId="67D03238" w14:textId="5A47D01F" w:rsidR="009B75E0" w:rsidRDefault="003B0773">
          <w:pPr>
            <w:pStyle w:val="TOC3"/>
            <w:rPr>
              <w:rFonts w:asciiTheme="minorHAnsi" w:eastAsiaTheme="minorEastAsia" w:hAnsiTheme="minorHAnsi" w:cstheme="minorBidi"/>
              <w:noProof/>
              <w:lang w:eastAsia="en-AU"/>
            </w:rPr>
          </w:pPr>
          <w:hyperlink w:anchor="_Toc40186910" w:history="1">
            <w:r w:rsidR="009B75E0" w:rsidRPr="00B56105">
              <w:rPr>
                <w:rStyle w:val="Hyperlink"/>
                <w:noProof/>
              </w:rPr>
              <w:t>Outcome</w:t>
            </w:r>
            <w:r w:rsidR="009B75E0">
              <w:rPr>
                <w:noProof/>
                <w:webHidden/>
              </w:rPr>
              <w:tab/>
            </w:r>
            <w:r w:rsidR="009B75E0">
              <w:rPr>
                <w:noProof/>
                <w:webHidden/>
              </w:rPr>
              <w:fldChar w:fldCharType="begin"/>
            </w:r>
            <w:r w:rsidR="009B75E0">
              <w:rPr>
                <w:noProof/>
                <w:webHidden/>
              </w:rPr>
              <w:instrText xml:space="preserve"> PAGEREF _Toc40186910 \h </w:instrText>
            </w:r>
            <w:r w:rsidR="009B75E0">
              <w:rPr>
                <w:noProof/>
                <w:webHidden/>
              </w:rPr>
            </w:r>
            <w:r w:rsidR="009B75E0">
              <w:rPr>
                <w:noProof/>
                <w:webHidden/>
              </w:rPr>
              <w:fldChar w:fldCharType="separate"/>
            </w:r>
            <w:r w:rsidR="009B75E0">
              <w:rPr>
                <w:noProof/>
                <w:webHidden/>
              </w:rPr>
              <w:t>22</w:t>
            </w:r>
            <w:r w:rsidR="009B75E0">
              <w:rPr>
                <w:noProof/>
                <w:webHidden/>
              </w:rPr>
              <w:fldChar w:fldCharType="end"/>
            </w:r>
          </w:hyperlink>
        </w:p>
        <w:p w14:paraId="39236B2E" w14:textId="4CB1E1F7" w:rsidR="009B75E0" w:rsidRDefault="003B0773">
          <w:pPr>
            <w:pStyle w:val="TOC2"/>
            <w:rPr>
              <w:rFonts w:asciiTheme="minorHAnsi" w:eastAsiaTheme="minorEastAsia" w:hAnsiTheme="minorHAnsi" w:cstheme="minorBidi"/>
              <w:b w:val="0"/>
              <w:noProof/>
              <w:sz w:val="22"/>
              <w:lang w:eastAsia="en-AU"/>
            </w:rPr>
          </w:pPr>
          <w:hyperlink w:anchor="_Toc40186911" w:history="1">
            <w:r w:rsidR="009B75E0" w:rsidRPr="00B56105">
              <w:rPr>
                <w:rStyle w:val="Hyperlink"/>
                <w:noProof/>
              </w:rPr>
              <w:t>Attachment 1. Product Information</w:t>
            </w:r>
            <w:r w:rsidR="009B75E0">
              <w:rPr>
                <w:noProof/>
                <w:webHidden/>
              </w:rPr>
              <w:tab/>
            </w:r>
            <w:r w:rsidR="009B75E0">
              <w:rPr>
                <w:noProof/>
                <w:webHidden/>
              </w:rPr>
              <w:fldChar w:fldCharType="begin"/>
            </w:r>
            <w:r w:rsidR="009B75E0">
              <w:rPr>
                <w:noProof/>
                <w:webHidden/>
              </w:rPr>
              <w:instrText xml:space="preserve"> PAGEREF _Toc40186911 \h </w:instrText>
            </w:r>
            <w:r w:rsidR="009B75E0">
              <w:rPr>
                <w:noProof/>
                <w:webHidden/>
              </w:rPr>
            </w:r>
            <w:r w:rsidR="009B75E0">
              <w:rPr>
                <w:noProof/>
                <w:webHidden/>
              </w:rPr>
              <w:fldChar w:fldCharType="separate"/>
            </w:r>
            <w:r w:rsidR="009B75E0">
              <w:rPr>
                <w:noProof/>
                <w:webHidden/>
              </w:rPr>
              <w:t>23</w:t>
            </w:r>
            <w:r w:rsidR="009B75E0">
              <w:rPr>
                <w:noProof/>
                <w:webHidden/>
              </w:rPr>
              <w:fldChar w:fldCharType="end"/>
            </w:r>
          </w:hyperlink>
        </w:p>
        <w:p w14:paraId="34C6306E" w14:textId="652CC292" w:rsidR="003A7F6C" w:rsidRPr="00B811C6" w:rsidRDefault="00960520" w:rsidP="00B811C6">
          <w:pPr>
            <w:pStyle w:val="TOC2"/>
          </w:pPr>
          <w:r>
            <w:fldChar w:fldCharType="end"/>
          </w:r>
        </w:p>
      </w:sdtContent>
    </w:sdt>
    <w:bookmarkStart w:id="3" w:name="_Toc314842482" w:displacedByCustomXml="prev"/>
    <w:p w14:paraId="429F3884" w14:textId="130C331E" w:rsidR="00C52E24" w:rsidRPr="00C52E24" w:rsidRDefault="00441C3F" w:rsidP="00D8038D">
      <w:pPr>
        <w:pStyle w:val="Heading2"/>
        <w:pageBreakBefore/>
      </w:pPr>
      <w:bookmarkStart w:id="4" w:name="_Toc351716269"/>
      <w:bookmarkStart w:id="5" w:name="_Toc351718881"/>
      <w:bookmarkStart w:id="6" w:name="_Toc355338616"/>
      <w:bookmarkStart w:id="7" w:name="_Toc356306144"/>
      <w:bookmarkStart w:id="8" w:name="_Toc40186897"/>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594"/>
      </w:tblGrid>
      <w:tr w:rsidR="00FD119B" w:rsidRPr="005F52A1" w14:paraId="30E14EB8" w14:textId="77777777" w:rsidTr="005C7747">
        <w:trPr>
          <w:cnfStyle w:val="100000000000" w:firstRow="1" w:lastRow="0" w:firstColumn="0" w:lastColumn="0" w:oddVBand="0" w:evenVBand="0" w:oddHBand="0" w:evenHBand="0" w:firstRowFirstColumn="0" w:firstRowLastColumn="0" w:lastRowFirstColumn="0" w:lastRowLastColumn="0"/>
        </w:trPr>
        <w:tc>
          <w:tcPr>
            <w:tcW w:w="1890" w:type="dxa"/>
          </w:tcPr>
          <w:p w14:paraId="7147E915" w14:textId="77777777" w:rsidR="00FD119B" w:rsidRPr="005F52A1" w:rsidRDefault="00FD119B" w:rsidP="005F52A1">
            <w:pPr>
              <w:rPr>
                <w:szCs w:val="22"/>
                <w:lang w:eastAsia="en-US"/>
              </w:rPr>
            </w:pPr>
            <w:r w:rsidRPr="005F52A1">
              <w:rPr>
                <w:szCs w:val="22"/>
                <w:lang w:eastAsia="en-US"/>
              </w:rPr>
              <w:t>Abbreviation</w:t>
            </w:r>
          </w:p>
        </w:tc>
        <w:tc>
          <w:tcPr>
            <w:tcW w:w="6830" w:type="dxa"/>
          </w:tcPr>
          <w:p w14:paraId="6EC5AF41" w14:textId="77777777" w:rsidR="00FD119B" w:rsidRPr="005F52A1" w:rsidRDefault="00FD119B" w:rsidP="005F52A1">
            <w:pPr>
              <w:rPr>
                <w:szCs w:val="22"/>
                <w:lang w:eastAsia="en-US"/>
              </w:rPr>
            </w:pPr>
            <w:r w:rsidRPr="005F52A1">
              <w:rPr>
                <w:szCs w:val="22"/>
                <w:lang w:eastAsia="en-US"/>
              </w:rPr>
              <w:t>Meaning</w:t>
            </w:r>
          </w:p>
        </w:tc>
      </w:tr>
      <w:tr w:rsidR="005C7747" w:rsidRPr="005F52A1" w14:paraId="552C5C76" w14:textId="77777777" w:rsidTr="005C7747">
        <w:tc>
          <w:tcPr>
            <w:tcW w:w="1890" w:type="dxa"/>
          </w:tcPr>
          <w:p w14:paraId="5FB7AF60" w14:textId="6BB2F3C4" w:rsidR="005C7747" w:rsidRDefault="005C7747" w:rsidP="005F52A1">
            <w:pPr>
              <w:rPr>
                <w:lang w:eastAsia="ja-JP"/>
              </w:rPr>
            </w:pPr>
            <w:r>
              <w:rPr>
                <w:lang w:eastAsia="ja-JP"/>
              </w:rPr>
              <w:t>ACM</w:t>
            </w:r>
          </w:p>
        </w:tc>
        <w:tc>
          <w:tcPr>
            <w:tcW w:w="6830" w:type="dxa"/>
          </w:tcPr>
          <w:p w14:paraId="24CFDBB4" w14:textId="7783395C" w:rsidR="005C7747" w:rsidRDefault="005C7747" w:rsidP="00AC74A8">
            <w:pPr>
              <w:rPr>
                <w:lang w:eastAsia="ja-JP"/>
              </w:rPr>
            </w:pPr>
            <w:r>
              <w:rPr>
                <w:lang w:eastAsia="ja-JP"/>
              </w:rPr>
              <w:t>Advisory Committee on Medicines</w:t>
            </w:r>
          </w:p>
        </w:tc>
      </w:tr>
      <w:tr w:rsidR="00AC74A8" w:rsidRPr="005F52A1" w14:paraId="72FC6E11" w14:textId="77777777" w:rsidTr="005C7747">
        <w:tc>
          <w:tcPr>
            <w:tcW w:w="1890" w:type="dxa"/>
          </w:tcPr>
          <w:p w14:paraId="485CEDEF" w14:textId="504A6FAC" w:rsidR="00AC74A8" w:rsidRPr="005F52A1" w:rsidRDefault="00AC74A8" w:rsidP="005F52A1">
            <w:r>
              <w:rPr>
                <w:lang w:eastAsia="ja-JP"/>
              </w:rPr>
              <w:t>ADME</w:t>
            </w:r>
          </w:p>
        </w:tc>
        <w:tc>
          <w:tcPr>
            <w:tcW w:w="6830" w:type="dxa"/>
          </w:tcPr>
          <w:p w14:paraId="3020BCEC" w14:textId="4ACCC90F" w:rsidR="00AC74A8" w:rsidRDefault="00AC74A8" w:rsidP="00AC74A8">
            <w:r>
              <w:rPr>
                <w:lang w:eastAsia="ja-JP"/>
              </w:rPr>
              <w:t>A</w:t>
            </w:r>
            <w:r w:rsidRPr="00AC74A8">
              <w:rPr>
                <w:lang w:eastAsia="ja-JP"/>
              </w:rPr>
              <w:t>bsorption, distribution, metabolism, and excretion</w:t>
            </w:r>
          </w:p>
        </w:tc>
      </w:tr>
      <w:tr w:rsidR="005F52A1" w:rsidRPr="005F52A1" w14:paraId="412A69BF" w14:textId="77777777" w:rsidTr="005C7747">
        <w:tc>
          <w:tcPr>
            <w:tcW w:w="1890" w:type="dxa"/>
          </w:tcPr>
          <w:p w14:paraId="67E72867" w14:textId="13279397" w:rsidR="005F52A1" w:rsidRPr="005F52A1" w:rsidRDefault="005F52A1" w:rsidP="005F52A1">
            <w:pPr>
              <w:rPr>
                <w:szCs w:val="22"/>
              </w:rPr>
            </w:pPr>
            <w:r w:rsidRPr="005F52A1">
              <w:rPr>
                <w:szCs w:val="22"/>
              </w:rPr>
              <w:t>ALT</w:t>
            </w:r>
          </w:p>
        </w:tc>
        <w:tc>
          <w:tcPr>
            <w:tcW w:w="6830" w:type="dxa"/>
          </w:tcPr>
          <w:p w14:paraId="2A05F23A" w14:textId="11695B0E" w:rsidR="005F52A1" w:rsidRPr="005F52A1" w:rsidRDefault="00BD52C3" w:rsidP="005F52A1">
            <w:pPr>
              <w:rPr>
                <w:szCs w:val="22"/>
              </w:rPr>
            </w:pPr>
            <w:r>
              <w:rPr>
                <w:szCs w:val="22"/>
              </w:rPr>
              <w:t>Alanine t</w:t>
            </w:r>
            <w:r w:rsidR="005F52A1" w:rsidRPr="005F52A1">
              <w:rPr>
                <w:szCs w:val="22"/>
              </w:rPr>
              <w:t>ransaminase</w:t>
            </w:r>
          </w:p>
        </w:tc>
      </w:tr>
      <w:tr w:rsidR="005C7747" w:rsidRPr="005F52A1" w14:paraId="0B6D2FBD" w14:textId="77777777" w:rsidTr="005C7747">
        <w:tc>
          <w:tcPr>
            <w:tcW w:w="1890" w:type="dxa"/>
          </w:tcPr>
          <w:p w14:paraId="2DC9C072" w14:textId="395A6BA9" w:rsidR="005C7747" w:rsidRPr="005F52A1" w:rsidRDefault="005C7747" w:rsidP="005F52A1">
            <w:r>
              <w:t>ARTG</w:t>
            </w:r>
          </w:p>
        </w:tc>
        <w:tc>
          <w:tcPr>
            <w:tcW w:w="6830" w:type="dxa"/>
          </w:tcPr>
          <w:p w14:paraId="2FE8A776" w14:textId="3D18FDE4" w:rsidR="005C7747" w:rsidRDefault="005C7747" w:rsidP="005F52A1">
            <w:r>
              <w:t>Australian Register of Therapeutic Goods</w:t>
            </w:r>
          </w:p>
        </w:tc>
      </w:tr>
      <w:tr w:rsidR="00A30AB5" w:rsidRPr="005F52A1" w14:paraId="3A7C12E4" w14:textId="77777777" w:rsidTr="005C7747">
        <w:tc>
          <w:tcPr>
            <w:tcW w:w="1890" w:type="dxa"/>
          </w:tcPr>
          <w:p w14:paraId="4992F70F" w14:textId="794802F5" w:rsidR="00A30AB5" w:rsidRPr="005F52A1" w:rsidRDefault="00A30AB5" w:rsidP="005F52A1">
            <w:r>
              <w:t>ASA</w:t>
            </w:r>
          </w:p>
        </w:tc>
        <w:tc>
          <w:tcPr>
            <w:tcW w:w="6830" w:type="dxa"/>
          </w:tcPr>
          <w:p w14:paraId="261CD09E" w14:textId="1754BAE6" w:rsidR="00A30AB5" w:rsidRDefault="00A30AB5" w:rsidP="005F52A1">
            <w:r>
              <w:t>Australian specific Annex</w:t>
            </w:r>
          </w:p>
        </w:tc>
      </w:tr>
      <w:tr w:rsidR="005F52A1" w:rsidRPr="005F52A1" w14:paraId="653215EB" w14:textId="77777777" w:rsidTr="005C7747">
        <w:tc>
          <w:tcPr>
            <w:tcW w:w="1890" w:type="dxa"/>
          </w:tcPr>
          <w:p w14:paraId="5B613B85" w14:textId="4D7FCE3C" w:rsidR="005F52A1" w:rsidRPr="005F52A1" w:rsidRDefault="005F52A1" w:rsidP="005F52A1">
            <w:pPr>
              <w:rPr>
                <w:szCs w:val="22"/>
              </w:rPr>
            </w:pPr>
            <w:r w:rsidRPr="005F52A1">
              <w:rPr>
                <w:szCs w:val="22"/>
              </w:rPr>
              <w:t>AST</w:t>
            </w:r>
          </w:p>
        </w:tc>
        <w:tc>
          <w:tcPr>
            <w:tcW w:w="6830" w:type="dxa"/>
          </w:tcPr>
          <w:p w14:paraId="3C355607" w14:textId="54A089E8" w:rsidR="005F52A1" w:rsidRPr="005F52A1" w:rsidRDefault="00BD52C3" w:rsidP="005F52A1">
            <w:pPr>
              <w:rPr>
                <w:szCs w:val="22"/>
              </w:rPr>
            </w:pPr>
            <w:r>
              <w:rPr>
                <w:szCs w:val="22"/>
              </w:rPr>
              <w:t>Aspartate t</w:t>
            </w:r>
            <w:r w:rsidR="005F52A1" w:rsidRPr="005F52A1">
              <w:rPr>
                <w:szCs w:val="22"/>
              </w:rPr>
              <w:t>ransaminase</w:t>
            </w:r>
          </w:p>
        </w:tc>
      </w:tr>
      <w:tr w:rsidR="009116FB" w:rsidRPr="005F52A1" w14:paraId="4883498E" w14:textId="77777777" w:rsidTr="005C7747">
        <w:tc>
          <w:tcPr>
            <w:tcW w:w="1890" w:type="dxa"/>
          </w:tcPr>
          <w:p w14:paraId="2D15FD72" w14:textId="735FA26B" w:rsidR="009116FB" w:rsidRPr="005F52A1" w:rsidRDefault="009116FB" w:rsidP="005F52A1">
            <w:r>
              <w:t>BCRP</w:t>
            </w:r>
          </w:p>
        </w:tc>
        <w:tc>
          <w:tcPr>
            <w:tcW w:w="6830" w:type="dxa"/>
          </w:tcPr>
          <w:p w14:paraId="3FA8C466" w14:textId="6D110E77" w:rsidR="009116FB" w:rsidRPr="005F52A1" w:rsidRDefault="009116FB" w:rsidP="009116FB">
            <w:r>
              <w:t>Breast cancer resistance protein</w:t>
            </w:r>
          </w:p>
        </w:tc>
      </w:tr>
      <w:tr w:rsidR="009531B7" w:rsidRPr="005F52A1" w14:paraId="4F2E6276" w14:textId="77777777" w:rsidTr="005C7747">
        <w:tc>
          <w:tcPr>
            <w:tcW w:w="1890" w:type="dxa"/>
          </w:tcPr>
          <w:p w14:paraId="0688FB2B" w14:textId="0529B953" w:rsidR="009531B7" w:rsidRPr="005F52A1" w:rsidRDefault="009531B7" w:rsidP="005F52A1">
            <w:r>
              <w:t>CEP17</w:t>
            </w:r>
          </w:p>
        </w:tc>
        <w:tc>
          <w:tcPr>
            <w:tcW w:w="6830" w:type="dxa"/>
          </w:tcPr>
          <w:p w14:paraId="50184C27" w14:textId="30B75509" w:rsidR="009531B7" w:rsidRPr="005F52A1" w:rsidRDefault="009531B7" w:rsidP="009531B7">
            <w:r>
              <w:t>C</w:t>
            </w:r>
            <w:r w:rsidRPr="009531B7">
              <w:t>hromosome enumeration probe 17</w:t>
            </w:r>
          </w:p>
        </w:tc>
      </w:tr>
      <w:tr w:rsidR="005F52A1" w:rsidRPr="005F52A1" w14:paraId="7E35F1BF" w14:textId="77777777" w:rsidTr="005C7747">
        <w:tc>
          <w:tcPr>
            <w:tcW w:w="1890" w:type="dxa"/>
          </w:tcPr>
          <w:p w14:paraId="442A9FF7" w14:textId="768823BF" w:rsidR="005F52A1" w:rsidRPr="005F52A1" w:rsidRDefault="005F52A1" w:rsidP="005F52A1">
            <w:pPr>
              <w:rPr>
                <w:szCs w:val="22"/>
              </w:rPr>
            </w:pPr>
            <w:r w:rsidRPr="005F52A1">
              <w:rPr>
                <w:szCs w:val="22"/>
              </w:rPr>
              <w:t>CI</w:t>
            </w:r>
          </w:p>
        </w:tc>
        <w:tc>
          <w:tcPr>
            <w:tcW w:w="6830" w:type="dxa"/>
          </w:tcPr>
          <w:p w14:paraId="32478E96" w14:textId="5FD03DDC" w:rsidR="005F52A1" w:rsidRPr="005F52A1" w:rsidRDefault="005F52A1" w:rsidP="005F52A1">
            <w:pPr>
              <w:rPr>
                <w:szCs w:val="22"/>
              </w:rPr>
            </w:pPr>
            <w:r w:rsidRPr="005F52A1">
              <w:rPr>
                <w:szCs w:val="22"/>
              </w:rPr>
              <w:t>Confidence interval</w:t>
            </w:r>
          </w:p>
        </w:tc>
      </w:tr>
      <w:tr w:rsidR="005F52A1" w:rsidRPr="005F52A1" w14:paraId="1F51832D" w14:textId="77777777" w:rsidTr="005C7747">
        <w:tc>
          <w:tcPr>
            <w:tcW w:w="1890" w:type="dxa"/>
          </w:tcPr>
          <w:p w14:paraId="28F18F74" w14:textId="15221F88" w:rsidR="005F52A1" w:rsidRPr="005F52A1" w:rsidRDefault="005F52A1" w:rsidP="005F52A1">
            <w:pPr>
              <w:rPr>
                <w:szCs w:val="22"/>
              </w:rPr>
            </w:pPr>
            <w:r w:rsidRPr="005F52A1">
              <w:rPr>
                <w:szCs w:val="22"/>
              </w:rPr>
              <w:t>CMI</w:t>
            </w:r>
          </w:p>
        </w:tc>
        <w:tc>
          <w:tcPr>
            <w:tcW w:w="6830" w:type="dxa"/>
          </w:tcPr>
          <w:p w14:paraId="56192FF4" w14:textId="59205123" w:rsidR="005F52A1" w:rsidRPr="005F52A1" w:rsidRDefault="005F52A1" w:rsidP="005F52A1">
            <w:pPr>
              <w:rPr>
                <w:szCs w:val="22"/>
              </w:rPr>
            </w:pPr>
            <w:r w:rsidRPr="005F52A1">
              <w:rPr>
                <w:szCs w:val="22"/>
              </w:rPr>
              <w:t>Consumer Medicines Information</w:t>
            </w:r>
          </w:p>
        </w:tc>
      </w:tr>
      <w:tr w:rsidR="009116FB" w:rsidRPr="005F52A1" w14:paraId="0D0D22B9" w14:textId="77777777" w:rsidTr="005C7747">
        <w:tc>
          <w:tcPr>
            <w:tcW w:w="1890" w:type="dxa"/>
          </w:tcPr>
          <w:p w14:paraId="4776C3C5" w14:textId="5E4A3ABE" w:rsidR="009116FB" w:rsidRPr="005F52A1" w:rsidRDefault="009116FB" w:rsidP="005F52A1">
            <w:r w:rsidRPr="009116FB">
              <w:rPr>
                <w:lang w:val="en-US"/>
              </w:rPr>
              <w:t>CYP3A4</w:t>
            </w:r>
          </w:p>
        </w:tc>
        <w:tc>
          <w:tcPr>
            <w:tcW w:w="6830" w:type="dxa"/>
          </w:tcPr>
          <w:p w14:paraId="32414552" w14:textId="72B83242" w:rsidR="009116FB" w:rsidRPr="005F52A1" w:rsidRDefault="009116FB" w:rsidP="009116FB">
            <w:pPr>
              <w:rPr>
                <w:lang w:val="en-US"/>
              </w:rPr>
            </w:pPr>
            <w:r>
              <w:rPr>
                <w:lang w:val="en-US"/>
              </w:rPr>
              <w:t>Cytochrome P450 3A4</w:t>
            </w:r>
          </w:p>
        </w:tc>
      </w:tr>
      <w:tr w:rsidR="00A30AB5" w:rsidRPr="005F52A1" w14:paraId="4B41307F" w14:textId="77777777" w:rsidTr="005C7747">
        <w:tc>
          <w:tcPr>
            <w:tcW w:w="1890" w:type="dxa"/>
          </w:tcPr>
          <w:p w14:paraId="2A7F731F" w14:textId="4D467735" w:rsidR="00A30AB5" w:rsidRPr="005F52A1" w:rsidRDefault="00A30AB5" w:rsidP="005F52A1">
            <w:r w:rsidRPr="00490BAA">
              <w:t>DLP</w:t>
            </w:r>
          </w:p>
        </w:tc>
        <w:tc>
          <w:tcPr>
            <w:tcW w:w="6830" w:type="dxa"/>
          </w:tcPr>
          <w:p w14:paraId="76703F81" w14:textId="5E74DFD7" w:rsidR="00A30AB5" w:rsidRPr="005F52A1" w:rsidRDefault="00A30AB5" w:rsidP="00A30AB5">
            <w:pPr>
              <w:rPr>
                <w:lang w:val="en-US"/>
              </w:rPr>
            </w:pPr>
            <w:r>
              <w:t>Data lock point</w:t>
            </w:r>
          </w:p>
        </w:tc>
      </w:tr>
      <w:tr w:rsidR="007337DB" w:rsidRPr="005F52A1" w14:paraId="7C877FAF" w14:textId="77777777" w:rsidTr="005C7747">
        <w:tc>
          <w:tcPr>
            <w:tcW w:w="1890" w:type="dxa"/>
          </w:tcPr>
          <w:p w14:paraId="366F2243" w14:textId="2229ECF7" w:rsidR="007337DB" w:rsidRPr="005F52A1" w:rsidRDefault="007337DB" w:rsidP="005F52A1">
            <w:r>
              <w:t>EGFR</w:t>
            </w:r>
          </w:p>
        </w:tc>
        <w:tc>
          <w:tcPr>
            <w:tcW w:w="6830" w:type="dxa"/>
          </w:tcPr>
          <w:p w14:paraId="608229B9" w14:textId="1543C947" w:rsidR="007337DB" w:rsidRPr="005F52A1" w:rsidRDefault="007337DB" w:rsidP="007337DB">
            <w:pPr>
              <w:rPr>
                <w:lang w:val="en-US"/>
              </w:rPr>
            </w:pPr>
            <w:r>
              <w:t>Epidermal growth factor receptor</w:t>
            </w:r>
          </w:p>
        </w:tc>
      </w:tr>
      <w:tr w:rsidR="005F52A1" w:rsidRPr="005F52A1" w14:paraId="03C5CA49" w14:textId="77777777" w:rsidTr="005C7747">
        <w:tc>
          <w:tcPr>
            <w:tcW w:w="1890" w:type="dxa"/>
          </w:tcPr>
          <w:p w14:paraId="5C3F99FB" w14:textId="55EE077E" w:rsidR="005F52A1" w:rsidRPr="005F52A1" w:rsidRDefault="005F52A1" w:rsidP="005F52A1">
            <w:pPr>
              <w:rPr>
                <w:szCs w:val="22"/>
              </w:rPr>
            </w:pPr>
            <w:r w:rsidRPr="005F52A1">
              <w:rPr>
                <w:szCs w:val="22"/>
              </w:rPr>
              <w:t>EMA</w:t>
            </w:r>
          </w:p>
        </w:tc>
        <w:tc>
          <w:tcPr>
            <w:tcW w:w="6830" w:type="dxa"/>
          </w:tcPr>
          <w:p w14:paraId="0F031192" w14:textId="1C5CA917" w:rsidR="005F52A1" w:rsidRPr="005F52A1" w:rsidRDefault="005F52A1" w:rsidP="005F52A1">
            <w:pPr>
              <w:rPr>
                <w:szCs w:val="22"/>
                <w:lang w:val="en-US"/>
              </w:rPr>
            </w:pPr>
            <w:r w:rsidRPr="005F52A1">
              <w:rPr>
                <w:szCs w:val="22"/>
              </w:rPr>
              <w:t>European Medicines Agency</w:t>
            </w:r>
            <w:r w:rsidR="008B28B7">
              <w:rPr>
                <w:szCs w:val="22"/>
              </w:rPr>
              <w:t xml:space="preserve"> (European Union)</w:t>
            </w:r>
          </w:p>
        </w:tc>
      </w:tr>
      <w:tr w:rsidR="005672E3" w:rsidRPr="005F52A1" w14:paraId="1C383FB3" w14:textId="77777777" w:rsidTr="005C7747">
        <w:tc>
          <w:tcPr>
            <w:tcW w:w="1890" w:type="dxa"/>
          </w:tcPr>
          <w:p w14:paraId="07A0B810" w14:textId="5FCD3EF0" w:rsidR="005672E3" w:rsidRPr="005F52A1" w:rsidRDefault="005672E3" w:rsidP="005F52A1">
            <w:r>
              <w:t>EU</w:t>
            </w:r>
          </w:p>
        </w:tc>
        <w:tc>
          <w:tcPr>
            <w:tcW w:w="6830" w:type="dxa"/>
          </w:tcPr>
          <w:p w14:paraId="3BC1FDF4" w14:textId="46C7F444" w:rsidR="005672E3" w:rsidRPr="005F52A1" w:rsidRDefault="005672E3" w:rsidP="005F52A1">
            <w:r>
              <w:t>European Union</w:t>
            </w:r>
          </w:p>
        </w:tc>
      </w:tr>
      <w:tr w:rsidR="00A30AB5" w:rsidRPr="005F52A1" w14:paraId="680CEDF0" w14:textId="77777777" w:rsidTr="005C7747">
        <w:tc>
          <w:tcPr>
            <w:tcW w:w="1890" w:type="dxa"/>
          </w:tcPr>
          <w:p w14:paraId="14DC3147" w14:textId="220A3067" w:rsidR="00A30AB5" w:rsidRPr="005F52A1" w:rsidRDefault="00A30AB5" w:rsidP="005F52A1">
            <w:r w:rsidRPr="00490BAA">
              <w:t>EU-RMP</w:t>
            </w:r>
          </w:p>
        </w:tc>
        <w:tc>
          <w:tcPr>
            <w:tcW w:w="6830" w:type="dxa"/>
          </w:tcPr>
          <w:p w14:paraId="5E5B1A4D" w14:textId="75789FE0" w:rsidR="00A30AB5" w:rsidRPr="005F52A1" w:rsidRDefault="00A30AB5" w:rsidP="00A30AB5">
            <w:r>
              <w:t>European Union-risk management plan</w:t>
            </w:r>
          </w:p>
        </w:tc>
      </w:tr>
      <w:tr w:rsidR="005F52A1" w:rsidRPr="005F52A1" w14:paraId="5284A211" w14:textId="77777777" w:rsidTr="005C7747">
        <w:tc>
          <w:tcPr>
            <w:tcW w:w="1890" w:type="dxa"/>
          </w:tcPr>
          <w:p w14:paraId="3B91088D" w14:textId="454A59F1" w:rsidR="005F52A1" w:rsidRPr="005F52A1" w:rsidRDefault="005F52A1" w:rsidP="005F52A1">
            <w:pPr>
              <w:rPr>
                <w:szCs w:val="22"/>
              </w:rPr>
            </w:pPr>
            <w:r w:rsidRPr="005F52A1">
              <w:rPr>
                <w:szCs w:val="22"/>
              </w:rPr>
              <w:t>FDA</w:t>
            </w:r>
          </w:p>
        </w:tc>
        <w:tc>
          <w:tcPr>
            <w:tcW w:w="6830" w:type="dxa"/>
          </w:tcPr>
          <w:p w14:paraId="4601EA41" w14:textId="61E2B4C0" w:rsidR="005F52A1" w:rsidRPr="005F52A1" w:rsidRDefault="005F52A1" w:rsidP="005F52A1">
            <w:pPr>
              <w:rPr>
                <w:szCs w:val="22"/>
              </w:rPr>
            </w:pPr>
            <w:r w:rsidRPr="005F52A1">
              <w:rPr>
                <w:szCs w:val="22"/>
              </w:rPr>
              <w:t>Food and Drug Administration</w:t>
            </w:r>
            <w:r w:rsidR="008B28B7">
              <w:rPr>
                <w:szCs w:val="22"/>
              </w:rPr>
              <w:t xml:space="preserve"> (United States)</w:t>
            </w:r>
          </w:p>
        </w:tc>
      </w:tr>
      <w:tr w:rsidR="009116FB" w:rsidRPr="005F52A1" w14:paraId="28014BF1" w14:textId="77777777" w:rsidTr="005C7747">
        <w:tc>
          <w:tcPr>
            <w:tcW w:w="1890" w:type="dxa"/>
          </w:tcPr>
          <w:p w14:paraId="7BA0B787" w14:textId="2380BD25" w:rsidR="009116FB" w:rsidRPr="005F52A1" w:rsidRDefault="009116FB" w:rsidP="005F52A1">
            <w:r>
              <w:t>GI</w:t>
            </w:r>
          </w:p>
        </w:tc>
        <w:tc>
          <w:tcPr>
            <w:tcW w:w="6830" w:type="dxa"/>
          </w:tcPr>
          <w:p w14:paraId="5FADC23B" w14:textId="1418E850" w:rsidR="009116FB" w:rsidRPr="005F52A1" w:rsidRDefault="009116FB" w:rsidP="009116FB">
            <w:r>
              <w:t>Gastrointestinal</w:t>
            </w:r>
          </w:p>
        </w:tc>
      </w:tr>
      <w:tr w:rsidR="000A75A1" w:rsidRPr="005F52A1" w14:paraId="2678B5DB" w14:textId="77777777" w:rsidTr="005C7747">
        <w:tc>
          <w:tcPr>
            <w:tcW w:w="1890" w:type="dxa"/>
          </w:tcPr>
          <w:p w14:paraId="7E79DEF0" w14:textId="03D436A3" w:rsidR="000A75A1" w:rsidRDefault="000A75A1" w:rsidP="005F52A1">
            <w:r>
              <w:t>GVP</w:t>
            </w:r>
          </w:p>
        </w:tc>
        <w:tc>
          <w:tcPr>
            <w:tcW w:w="6830" w:type="dxa"/>
          </w:tcPr>
          <w:p w14:paraId="246A8B8F" w14:textId="7AF53AC4" w:rsidR="000A75A1" w:rsidRDefault="000A75A1" w:rsidP="000A75A1">
            <w:r>
              <w:t>Good Pharmacovigilance Practice</w:t>
            </w:r>
          </w:p>
        </w:tc>
      </w:tr>
      <w:tr w:rsidR="005A6621" w:rsidRPr="005F52A1" w14:paraId="6A8BAF56" w14:textId="77777777" w:rsidTr="005C7747">
        <w:tc>
          <w:tcPr>
            <w:tcW w:w="1890" w:type="dxa"/>
          </w:tcPr>
          <w:p w14:paraId="5CA3C7F2" w14:textId="3C65BB63" w:rsidR="005A6621" w:rsidRDefault="005A6621" w:rsidP="005F52A1">
            <w:r w:rsidRPr="00887F1D">
              <w:t>HCP</w:t>
            </w:r>
          </w:p>
        </w:tc>
        <w:tc>
          <w:tcPr>
            <w:tcW w:w="6830" w:type="dxa"/>
          </w:tcPr>
          <w:p w14:paraId="123A884D" w14:textId="2DF0E68F" w:rsidR="005A6621" w:rsidRDefault="005A6621" w:rsidP="005A6621">
            <w:r>
              <w:t>Healthcare professional</w:t>
            </w:r>
          </w:p>
        </w:tc>
      </w:tr>
      <w:tr w:rsidR="00BD52C3" w:rsidRPr="005F52A1" w14:paraId="10FDD0CF" w14:textId="77777777" w:rsidTr="005C7747">
        <w:tc>
          <w:tcPr>
            <w:tcW w:w="1890" w:type="dxa"/>
          </w:tcPr>
          <w:p w14:paraId="1C92AEE7" w14:textId="65EE8E1F" w:rsidR="00BD52C3" w:rsidRPr="005F52A1" w:rsidRDefault="00741A11" w:rsidP="005F52A1">
            <w:r>
              <w:t>HER1, HER2, HER3, HER4</w:t>
            </w:r>
          </w:p>
        </w:tc>
        <w:tc>
          <w:tcPr>
            <w:tcW w:w="6830" w:type="dxa"/>
          </w:tcPr>
          <w:p w14:paraId="424CA25E" w14:textId="73D39E25" w:rsidR="00BD52C3" w:rsidRPr="005F52A1" w:rsidRDefault="00BD52C3" w:rsidP="00BD52C3">
            <w:r>
              <w:t>H</w:t>
            </w:r>
            <w:r w:rsidRPr="00BD52C3">
              <w:t>uman ep</w:t>
            </w:r>
            <w:r w:rsidR="00741A11">
              <w:t>idermal growth factor receptor</w:t>
            </w:r>
            <w:r w:rsidR="005672E3">
              <w:t>s</w:t>
            </w:r>
            <w:r w:rsidR="00741A11">
              <w:t xml:space="preserve"> 1, 2, 3</w:t>
            </w:r>
            <w:r w:rsidR="005672E3">
              <w:t xml:space="preserve"> and</w:t>
            </w:r>
            <w:r w:rsidR="00741A11">
              <w:t xml:space="preserve"> 4</w:t>
            </w:r>
          </w:p>
        </w:tc>
      </w:tr>
      <w:tr w:rsidR="005F52A1" w:rsidRPr="005F52A1" w14:paraId="17C42211" w14:textId="77777777" w:rsidTr="005C7747">
        <w:tc>
          <w:tcPr>
            <w:tcW w:w="1890" w:type="dxa"/>
          </w:tcPr>
          <w:p w14:paraId="20410920" w14:textId="5A5BABA2" w:rsidR="005F52A1" w:rsidRPr="005F52A1" w:rsidRDefault="005F52A1" w:rsidP="005F52A1">
            <w:pPr>
              <w:rPr>
                <w:szCs w:val="22"/>
              </w:rPr>
            </w:pPr>
            <w:r w:rsidRPr="005F52A1">
              <w:rPr>
                <w:szCs w:val="22"/>
              </w:rPr>
              <w:t>HR</w:t>
            </w:r>
          </w:p>
        </w:tc>
        <w:tc>
          <w:tcPr>
            <w:tcW w:w="6830" w:type="dxa"/>
          </w:tcPr>
          <w:p w14:paraId="7A07C958" w14:textId="09D44E4E" w:rsidR="005F52A1" w:rsidRPr="005F52A1" w:rsidRDefault="005F52A1" w:rsidP="005F52A1">
            <w:pPr>
              <w:rPr>
                <w:szCs w:val="22"/>
              </w:rPr>
            </w:pPr>
            <w:r w:rsidRPr="005F52A1">
              <w:rPr>
                <w:szCs w:val="22"/>
              </w:rPr>
              <w:t>Hazard ratio</w:t>
            </w:r>
          </w:p>
        </w:tc>
      </w:tr>
      <w:tr w:rsidR="009531B7" w:rsidRPr="005F52A1" w14:paraId="0999FA57" w14:textId="77777777" w:rsidTr="005C7747">
        <w:tc>
          <w:tcPr>
            <w:tcW w:w="1890" w:type="dxa"/>
          </w:tcPr>
          <w:p w14:paraId="7DEEE3B5" w14:textId="6102754F" w:rsidR="009531B7" w:rsidRPr="005F52A1" w:rsidRDefault="009531B7" w:rsidP="005F52A1">
            <w:proofErr w:type="spellStart"/>
            <w:r>
              <w:t>HRc</w:t>
            </w:r>
            <w:proofErr w:type="spellEnd"/>
          </w:p>
        </w:tc>
        <w:tc>
          <w:tcPr>
            <w:tcW w:w="6830" w:type="dxa"/>
          </w:tcPr>
          <w:p w14:paraId="50A29E26" w14:textId="00952413" w:rsidR="009531B7" w:rsidRPr="005F52A1" w:rsidRDefault="009531B7" w:rsidP="009531B7">
            <w:r>
              <w:t>Hormone receptor</w:t>
            </w:r>
          </w:p>
        </w:tc>
      </w:tr>
      <w:tr w:rsidR="005F52A1" w:rsidRPr="005F52A1" w14:paraId="36D3DEA0" w14:textId="77777777" w:rsidTr="005C7747">
        <w:tc>
          <w:tcPr>
            <w:tcW w:w="1890" w:type="dxa"/>
          </w:tcPr>
          <w:p w14:paraId="2718D999" w14:textId="79106EB9" w:rsidR="005F52A1" w:rsidRPr="005F52A1" w:rsidRDefault="005F52A1" w:rsidP="005F52A1">
            <w:pPr>
              <w:rPr>
                <w:szCs w:val="22"/>
              </w:rPr>
            </w:pPr>
            <w:proofErr w:type="spellStart"/>
            <w:r w:rsidRPr="005F52A1">
              <w:rPr>
                <w:szCs w:val="22"/>
              </w:rPr>
              <w:t>iDFS</w:t>
            </w:r>
            <w:proofErr w:type="spellEnd"/>
          </w:p>
        </w:tc>
        <w:tc>
          <w:tcPr>
            <w:tcW w:w="6830" w:type="dxa"/>
          </w:tcPr>
          <w:p w14:paraId="7F609227" w14:textId="06749DCE" w:rsidR="005F52A1" w:rsidRPr="005F52A1" w:rsidRDefault="005F52A1" w:rsidP="005F52A1">
            <w:pPr>
              <w:rPr>
                <w:szCs w:val="22"/>
              </w:rPr>
            </w:pPr>
            <w:r w:rsidRPr="005F52A1">
              <w:rPr>
                <w:szCs w:val="22"/>
              </w:rPr>
              <w:t>Invasive disease-free survival</w:t>
            </w:r>
          </w:p>
        </w:tc>
      </w:tr>
      <w:tr w:rsidR="005F52A1" w:rsidRPr="005F52A1" w14:paraId="74B20A32" w14:textId="77777777" w:rsidTr="005C7747">
        <w:tc>
          <w:tcPr>
            <w:tcW w:w="1890" w:type="dxa"/>
          </w:tcPr>
          <w:p w14:paraId="17FC1101" w14:textId="6D3E1533" w:rsidR="005F52A1" w:rsidRPr="005F52A1" w:rsidRDefault="005F52A1" w:rsidP="005F52A1">
            <w:pPr>
              <w:rPr>
                <w:szCs w:val="22"/>
              </w:rPr>
            </w:pPr>
            <w:r w:rsidRPr="005F52A1">
              <w:rPr>
                <w:szCs w:val="22"/>
              </w:rPr>
              <w:lastRenderedPageBreak/>
              <w:t>ITT</w:t>
            </w:r>
          </w:p>
        </w:tc>
        <w:tc>
          <w:tcPr>
            <w:tcW w:w="6830" w:type="dxa"/>
          </w:tcPr>
          <w:p w14:paraId="3C250EB5" w14:textId="0892E442" w:rsidR="005F52A1" w:rsidRPr="005F52A1" w:rsidRDefault="00FF6A2F" w:rsidP="005F52A1">
            <w:pPr>
              <w:rPr>
                <w:szCs w:val="22"/>
              </w:rPr>
            </w:pPr>
            <w:r>
              <w:rPr>
                <w:szCs w:val="22"/>
              </w:rPr>
              <w:t>Intention to t</w:t>
            </w:r>
            <w:r w:rsidR="005F52A1" w:rsidRPr="005F52A1">
              <w:rPr>
                <w:szCs w:val="22"/>
              </w:rPr>
              <w:t>reat</w:t>
            </w:r>
          </w:p>
        </w:tc>
      </w:tr>
      <w:tr w:rsidR="005F52A1" w:rsidRPr="005F52A1" w14:paraId="3CD1141A" w14:textId="77777777" w:rsidTr="005C7747">
        <w:tc>
          <w:tcPr>
            <w:tcW w:w="1890" w:type="dxa"/>
          </w:tcPr>
          <w:p w14:paraId="731454C2" w14:textId="3BFD02FC" w:rsidR="005F52A1" w:rsidRPr="005F52A1" w:rsidRDefault="005F52A1" w:rsidP="005F52A1">
            <w:pPr>
              <w:rPr>
                <w:szCs w:val="22"/>
              </w:rPr>
            </w:pPr>
            <w:r w:rsidRPr="005F52A1">
              <w:rPr>
                <w:szCs w:val="22"/>
              </w:rPr>
              <w:t>IV</w:t>
            </w:r>
          </w:p>
        </w:tc>
        <w:tc>
          <w:tcPr>
            <w:tcW w:w="6830" w:type="dxa"/>
          </w:tcPr>
          <w:p w14:paraId="6E047A34" w14:textId="746859B5" w:rsidR="005F52A1" w:rsidRPr="005F52A1" w:rsidRDefault="005F52A1" w:rsidP="005F52A1">
            <w:pPr>
              <w:rPr>
                <w:szCs w:val="22"/>
              </w:rPr>
            </w:pPr>
            <w:r w:rsidRPr="005F52A1">
              <w:rPr>
                <w:szCs w:val="22"/>
              </w:rPr>
              <w:t>Intravenous</w:t>
            </w:r>
          </w:p>
        </w:tc>
      </w:tr>
      <w:tr w:rsidR="009531B7" w:rsidRPr="005F52A1" w14:paraId="56C424D5" w14:textId="77777777" w:rsidTr="005C7747">
        <w:tc>
          <w:tcPr>
            <w:tcW w:w="1890" w:type="dxa"/>
          </w:tcPr>
          <w:p w14:paraId="35B5BF49" w14:textId="0D4C950A" w:rsidR="009531B7" w:rsidRPr="005F52A1" w:rsidRDefault="009531B7" w:rsidP="005F52A1">
            <w:r>
              <w:t>LVEF</w:t>
            </w:r>
          </w:p>
        </w:tc>
        <w:tc>
          <w:tcPr>
            <w:tcW w:w="6830" w:type="dxa"/>
          </w:tcPr>
          <w:p w14:paraId="18783634" w14:textId="10ED6D37" w:rsidR="009531B7" w:rsidRPr="005F52A1" w:rsidRDefault="009531B7" w:rsidP="009531B7">
            <w:r>
              <w:t>L</w:t>
            </w:r>
            <w:r w:rsidRPr="009531B7">
              <w:t>eft ventricular ejectio</w:t>
            </w:r>
            <w:r>
              <w:t>n fraction</w:t>
            </w:r>
          </w:p>
        </w:tc>
      </w:tr>
      <w:tr w:rsidR="009116FB" w:rsidRPr="005F52A1" w14:paraId="0015752D" w14:textId="77777777" w:rsidTr="005C7747">
        <w:tc>
          <w:tcPr>
            <w:tcW w:w="1890" w:type="dxa"/>
          </w:tcPr>
          <w:p w14:paraId="6252E928" w14:textId="5273D3BF" w:rsidR="009116FB" w:rsidRPr="005F52A1" w:rsidRDefault="009116FB" w:rsidP="005F52A1">
            <w:r>
              <w:t>M3, M11</w:t>
            </w:r>
          </w:p>
        </w:tc>
        <w:tc>
          <w:tcPr>
            <w:tcW w:w="6830" w:type="dxa"/>
          </w:tcPr>
          <w:p w14:paraId="21C79114" w14:textId="1CBDAA16" w:rsidR="009116FB" w:rsidRPr="005F52A1" w:rsidRDefault="009116FB" w:rsidP="005F52A1">
            <w:proofErr w:type="spellStart"/>
            <w:r>
              <w:t>Neratinib</w:t>
            </w:r>
            <w:proofErr w:type="spellEnd"/>
            <w:r>
              <w:t xml:space="preserve"> metabolite</w:t>
            </w:r>
            <w:r w:rsidR="005672E3">
              <w:t>s</w:t>
            </w:r>
            <w:r>
              <w:t xml:space="preserve"> 3</w:t>
            </w:r>
            <w:r w:rsidR="005672E3">
              <w:t xml:space="preserve"> and</w:t>
            </w:r>
            <w:r>
              <w:t xml:space="preserve"> 11</w:t>
            </w:r>
          </w:p>
        </w:tc>
      </w:tr>
      <w:tr w:rsidR="005F52A1" w:rsidRPr="005F52A1" w14:paraId="7B214FF9" w14:textId="77777777" w:rsidTr="005C7747">
        <w:tc>
          <w:tcPr>
            <w:tcW w:w="1890" w:type="dxa"/>
          </w:tcPr>
          <w:p w14:paraId="065597D8" w14:textId="48060C93" w:rsidR="005F52A1" w:rsidRPr="005F52A1" w:rsidRDefault="005F52A1" w:rsidP="005F52A1">
            <w:pPr>
              <w:rPr>
                <w:szCs w:val="22"/>
              </w:rPr>
            </w:pPr>
            <w:r w:rsidRPr="005F52A1">
              <w:rPr>
                <w:szCs w:val="22"/>
              </w:rPr>
              <w:t>NCCN</w:t>
            </w:r>
          </w:p>
        </w:tc>
        <w:tc>
          <w:tcPr>
            <w:tcW w:w="6830" w:type="dxa"/>
          </w:tcPr>
          <w:p w14:paraId="1CAEDB57" w14:textId="2B1D4CD4" w:rsidR="005F52A1" w:rsidRPr="005F52A1" w:rsidRDefault="005F52A1" w:rsidP="005F52A1">
            <w:pPr>
              <w:rPr>
                <w:szCs w:val="22"/>
                <w:lang w:eastAsia="ja-JP"/>
              </w:rPr>
            </w:pPr>
            <w:r w:rsidRPr="005F52A1">
              <w:rPr>
                <w:szCs w:val="22"/>
                <w:lang w:eastAsia="ja-JP"/>
              </w:rPr>
              <w:t>National Comprehensive Cancer Network</w:t>
            </w:r>
          </w:p>
        </w:tc>
      </w:tr>
      <w:tr w:rsidR="005C7747" w:rsidRPr="005F52A1" w14:paraId="03B0F19C" w14:textId="77777777" w:rsidTr="005C7747">
        <w:tc>
          <w:tcPr>
            <w:tcW w:w="1890" w:type="dxa"/>
          </w:tcPr>
          <w:p w14:paraId="55E8AC05" w14:textId="3C4AED34" w:rsidR="005C7747" w:rsidRPr="005F52A1" w:rsidRDefault="005C7747" w:rsidP="005F52A1">
            <w:r>
              <w:t>ODAC</w:t>
            </w:r>
          </w:p>
        </w:tc>
        <w:tc>
          <w:tcPr>
            <w:tcW w:w="6830" w:type="dxa"/>
          </w:tcPr>
          <w:p w14:paraId="5A1C1DD2" w14:textId="03A73190" w:rsidR="005C7747" w:rsidRPr="005F52A1" w:rsidRDefault="005C7747" w:rsidP="005C7747">
            <w:r w:rsidRPr="005C7747">
              <w:t xml:space="preserve">Oncologic Drugs Advisory Committee </w:t>
            </w:r>
            <w:r>
              <w:t>(F</w:t>
            </w:r>
            <w:r w:rsidR="005672E3">
              <w:t>ood and Drug Administration, United States</w:t>
            </w:r>
            <w:r>
              <w:t>)</w:t>
            </w:r>
          </w:p>
        </w:tc>
      </w:tr>
      <w:tr w:rsidR="005A6621" w:rsidRPr="005F52A1" w14:paraId="6F8A8E04" w14:textId="77777777" w:rsidTr="005C7747">
        <w:tc>
          <w:tcPr>
            <w:tcW w:w="1890" w:type="dxa"/>
          </w:tcPr>
          <w:p w14:paraId="5BC8E4F9" w14:textId="69834AB4" w:rsidR="005A6621" w:rsidRPr="005F52A1" w:rsidRDefault="005A6621" w:rsidP="005F52A1">
            <w:r w:rsidRPr="00887F1D">
              <w:t>PASS</w:t>
            </w:r>
          </w:p>
        </w:tc>
        <w:tc>
          <w:tcPr>
            <w:tcW w:w="6830" w:type="dxa"/>
          </w:tcPr>
          <w:p w14:paraId="45051885" w14:textId="018A77D4" w:rsidR="005A6621" w:rsidRDefault="005A6621" w:rsidP="005A6621">
            <w:r w:rsidRPr="005A6621">
              <w:t>P</w:t>
            </w:r>
            <w:r>
              <w:t>ost-authorisation safety study</w:t>
            </w:r>
          </w:p>
        </w:tc>
      </w:tr>
      <w:tr w:rsidR="009116FB" w:rsidRPr="005F52A1" w14:paraId="14E16BFF" w14:textId="77777777" w:rsidTr="005C7747">
        <w:tc>
          <w:tcPr>
            <w:tcW w:w="1890" w:type="dxa"/>
          </w:tcPr>
          <w:p w14:paraId="6EEDCAAC" w14:textId="5DC5826E" w:rsidR="009116FB" w:rsidRPr="005F52A1" w:rsidRDefault="009116FB" w:rsidP="005F52A1">
            <w:r>
              <w:t>PBPK</w:t>
            </w:r>
          </w:p>
        </w:tc>
        <w:tc>
          <w:tcPr>
            <w:tcW w:w="6830" w:type="dxa"/>
          </w:tcPr>
          <w:p w14:paraId="33851E1F" w14:textId="63C3620C" w:rsidR="009116FB" w:rsidRDefault="009116FB" w:rsidP="009116FB">
            <w:r>
              <w:t>Physiologically based pharmacokinetic</w:t>
            </w:r>
          </w:p>
        </w:tc>
      </w:tr>
      <w:tr w:rsidR="005F52A1" w:rsidRPr="005F52A1" w14:paraId="659D31DA" w14:textId="77777777" w:rsidTr="005C7747">
        <w:tc>
          <w:tcPr>
            <w:tcW w:w="1890" w:type="dxa"/>
          </w:tcPr>
          <w:p w14:paraId="286B27E4" w14:textId="5A8E722D" w:rsidR="005F52A1" w:rsidRPr="005F52A1" w:rsidRDefault="005F52A1" w:rsidP="005F52A1">
            <w:pPr>
              <w:rPr>
                <w:szCs w:val="22"/>
              </w:rPr>
            </w:pPr>
            <w:r w:rsidRPr="005F52A1">
              <w:rPr>
                <w:szCs w:val="22"/>
              </w:rPr>
              <w:t>PD</w:t>
            </w:r>
          </w:p>
        </w:tc>
        <w:tc>
          <w:tcPr>
            <w:tcW w:w="6830" w:type="dxa"/>
          </w:tcPr>
          <w:p w14:paraId="31E6281A" w14:textId="20688809" w:rsidR="005F52A1" w:rsidRPr="005F52A1" w:rsidRDefault="005F52A1" w:rsidP="005F52A1">
            <w:pPr>
              <w:rPr>
                <w:szCs w:val="22"/>
              </w:rPr>
            </w:pPr>
            <w:proofErr w:type="spellStart"/>
            <w:r w:rsidRPr="005F52A1">
              <w:rPr>
                <w:szCs w:val="22"/>
              </w:rPr>
              <w:t>Pharmacodynamic</w:t>
            </w:r>
            <w:proofErr w:type="spellEnd"/>
            <w:r w:rsidR="00AC74A8">
              <w:rPr>
                <w:szCs w:val="22"/>
              </w:rPr>
              <w:t>(</w:t>
            </w:r>
            <w:r w:rsidRPr="005F52A1">
              <w:rPr>
                <w:szCs w:val="22"/>
              </w:rPr>
              <w:t>s</w:t>
            </w:r>
            <w:r w:rsidR="00AC74A8">
              <w:rPr>
                <w:szCs w:val="22"/>
              </w:rPr>
              <w:t>)</w:t>
            </w:r>
          </w:p>
        </w:tc>
      </w:tr>
      <w:tr w:rsidR="009116FB" w:rsidRPr="005F52A1" w14:paraId="57484F35" w14:textId="77777777" w:rsidTr="005C7747">
        <w:tc>
          <w:tcPr>
            <w:tcW w:w="1890" w:type="dxa"/>
          </w:tcPr>
          <w:p w14:paraId="06E25626" w14:textId="36430D6F" w:rsidR="009116FB" w:rsidRPr="005F52A1" w:rsidRDefault="009116FB" w:rsidP="005F52A1">
            <w:r>
              <w:t>P-</w:t>
            </w:r>
            <w:proofErr w:type="spellStart"/>
            <w:r>
              <w:t>gp</w:t>
            </w:r>
            <w:proofErr w:type="spellEnd"/>
          </w:p>
        </w:tc>
        <w:tc>
          <w:tcPr>
            <w:tcW w:w="6830" w:type="dxa"/>
          </w:tcPr>
          <w:p w14:paraId="340FA561" w14:textId="61A4A481" w:rsidR="009116FB" w:rsidRPr="005F52A1" w:rsidRDefault="009116FB" w:rsidP="009116FB">
            <w:r>
              <w:t>P-glycoprotein</w:t>
            </w:r>
          </w:p>
        </w:tc>
      </w:tr>
      <w:tr w:rsidR="005F52A1" w:rsidRPr="005F52A1" w14:paraId="32D35D63" w14:textId="77777777" w:rsidTr="005C7747">
        <w:tc>
          <w:tcPr>
            <w:tcW w:w="1890" w:type="dxa"/>
          </w:tcPr>
          <w:p w14:paraId="0AAFD059" w14:textId="71B27727" w:rsidR="005F52A1" w:rsidRPr="005F52A1" w:rsidRDefault="005F52A1" w:rsidP="005F52A1">
            <w:pPr>
              <w:rPr>
                <w:szCs w:val="22"/>
              </w:rPr>
            </w:pPr>
            <w:r w:rsidRPr="005F52A1">
              <w:rPr>
                <w:szCs w:val="22"/>
              </w:rPr>
              <w:t>PI</w:t>
            </w:r>
          </w:p>
        </w:tc>
        <w:tc>
          <w:tcPr>
            <w:tcW w:w="6830" w:type="dxa"/>
          </w:tcPr>
          <w:p w14:paraId="15D8A234" w14:textId="66920B5A" w:rsidR="005F52A1" w:rsidRPr="005F52A1" w:rsidRDefault="005F52A1" w:rsidP="005F52A1">
            <w:pPr>
              <w:rPr>
                <w:szCs w:val="22"/>
              </w:rPr>
            </w:pPr>
            <w:r w:rsidRPr="005F52A1">
              <w:rPr>
                <w:szCs w:val="22"/>
              </w:rPr>
              <w:t>Product Information</w:t>
            </w:r>
          </w:p>
        </w:tc>
      </w:tr>
      <w:tr w:rsidR="005F52A1" w:rsidRPr="005F52A1" w14:paraId="1FA890D7" w14:textId="77777777" w:rsidTr="005C7747">
        <w:tc>
          <w:tcPr>
            <w:tcW w:w="1890" w:type="dxa"/>
          </w:tcPr>
          <w:p w14:paraId="00914EC4" w14:textId="20C9415A" w:rsidR="005F52A1" w:rsidRPr="005F52A1" w:rsidRDefault="005F52A1" w:rsidP="005F52A1">
            <w:pPr>
              <w:rPr>
                <w:szCs w:val="22"/>
              </w:rPr>
            </w:pPr>
            <w:r w:rsidRPr="005F52A1">
              <w:rPr>
                <w:szCs w:val="22"/>
              </w:rPr>
              <w:t>PK</w:t>
            </w:r>
          </w:p>
        </w:tc>
        <w:tc>
          <w:tcPr>
            <w:tcW w:w="6830" w:type="dxa"/>
          </w:tcPr>
          <w:p w14:paraId="618753D9" w14:textId="687056E7" w:rsidR="005F52A1" w:rsidRPr="005F52A1" w:rsidRDefault="00AC74A8" w:rsidP="005F52A1">
            <w:pPr>
              <w:rPr>
                <w:szCs w:val="22"/>
              </w:rPr>
            </w:pPr>
            <w:r>
              <w:rPr>
                <w:szCs w:val="22"/>
              </w:rPr>
              <w:t>Pharmacokinetic(s)</w:t>
            </w:r>
          </w:p>
        </w:tc>
      </w:tr>
      <w:tr w:rsidR="000A75A1" w:rsidRPr="005F52A1" w14:paraId="0F6A117B" w14:textId="77777777" w:rsidTr="005C7747">
        <w:tc>
          <w:tcPr>
            <w:tcW w:w="1890" w:type="dxa"/>
          </w:tcPr>
          <w:p w14:paraId="6361C19C" w14:textId="59B26FB6" w:rsidR="000A75A1" w:rsidRDefault="000A75A1" w:rsidP="005F52A1">
            <w:r>
              <w:t>PSUR</w:t>
            </w:r>
          </w:p>
        </w:tc>
        <w:tc>
          <w:tcPr>
            <w:tcW w:w="6830" w:type="dxa"/>
          </w:tcPr>
          <w:p w14:paraId="384D7ABA" w14:textId="54C58FB3" w:rsidR="000A75A1" w:rsidRPr="005F52A1" w:rsidRDefault="000A75A1" w:rsidP="000A75A1">
            <w:r>
              <w:t>Periodic safety update report</w:t>
            </w:r>
          </w:p>
        </w:tc>
      </w:tr>
      <w:tr w:rsidR="005F52A1" w:rsidRPr="005F52A1" w14:paraId="3C46A07D" w14:textId="77777777" w:rsidTr="005C7747">
        <w:tc>
          <w:tcPr>
            <w:tcW w:w="1890" w:type="dxa"/>
          </w:tcPr>
          <w:p w14:paraId="643847FD" w14:textId="7C87BEB0" w:rsidR="005F52A1" w:rsidRPr="005F52A1" w:rsidRDefault="005F52A1" w:rsidP="005F52A1">
            <w:pPr>
              <w:rPr>
                <w:szCs w:val="22"/>
              </w:rPr>
            </w:pPr>
            <w:r w:rsidRPr="005F52A1">
              <w:rPr>
                <w:szCs w:val="22"/>
              </w:rPr>
              <w:t>RMP</w:t>
            </w:r>
          </w:p>
        </w:tc>
        <w:tc>
          <w:tcPr>
            <w:tcW w:w="6830" w:type="dxa"/>
          </w:tcPr>
          <w:p w14:paraId="5E2E963E" w14:textId="5E30E8C7" w:rsidR="005F52A1" w:rsidRPr="005F52A1" w:rsidRDefault="005F52A1" w:rsidP="005F52A1">
            <w:pPr>
              <w:rPr>
                <w:szCs w:val="22"/>
              </w:rPr>
            </w:pPr>
            <w:r w:rsidRPr="005F52A1">
              <w:rPr>
                <w:szCs w:val="22"/>
              </w:rPr>
              <w:t xml:space="preserve">Risk </w:t>
            </w:r>
            <w:r w:rsidR="005A6621" w:rsidRPr="005F52A1">
              <w:rPr>
                <w:szCs w:val="22"/>
              </w:rPr>
              <w:t>management plan</w:t>
            </w:r>
          </w:p>
        </w:tc>
      </w:tr>
      <w:tr w:rsidR="005F52A1" w:rsidRPr="005F52A1" w14:paraId="6B0A5B95" w14:textId="77777777" w:rsidTr="005C7747">
        <w:tc>
          <w:tcPr>
            <w:tcW w:w="1890" w:type="dxa"/>
          </w:tcPr>
          <w:p w14:paraId="32887448" w14:textId="07685E17" w:rsidR="005F52A1" w:rsidRPr="005F52A1" w:rsidRDefault="005F52A1" w:rsidP="005F52A1">
            <w:pPr>
              <w:rPr>
                <w:szCs w:val="22"/>
              </w:rPr>
            </w:pPr>
            <w:r w:rsidRPr="005F52A1">
              <w:rPr>
                <w:szCs w:val="22"/>
              </w:rPr>
              <w:t>TGA</w:t>
            </w:r>
          </w:p>
        </w:tc>
        <w:tc>
          <w:tcPr>
            <w:tcW w:w="6830" w:type="dxa"/>
          </w:tcPr>
          <w:p w14:paraId="37E1C333" w14:textId="49EE4EAE" w:rsidR="005F52A1" w:rsidRPr="005F52A1" w:rsidRDefault="005F52A1" w:rsidP="005F52A1">
            <w:pPr>
              <w:rPr>
                <w:szCs w:val="22"/>
              </w:rPr>
            </w:pPr>
            <w:r w:rsidRPr="005F52A1">
              <w:rPr>
                <w:szCs w:val="22"/>
              </w:rPr>
              <w:t>Therapeutic Goods Administration</w:t>
            </w:r>
          </w:p>
        </w:tc>
      </w:tr>
      <w:tr w:rsidR="005672E3" w:rsidRPr="005F52A1" w14:paraId="712D10DA" w14:textId="77777777" w:rsidTr="005C7747">
        <w:tc>
          <w:tcPr>
            <w:tcW w:w="1890" w:type="dxa"/>
          </w:tcPr>
          <w:p w14:paraId="713967B0" w14:textId="0EC4A85C" w:rsidR="005672E3" w:rsidRPr="005F52A1" w:rsidRDefault="005672E3" w:rsidP="005F52A1">
            <w:r>
              <w:t>US(A)</w:t>
            </w:r>
          </w:p>
        </w:tc>
        <w:tc>
          <w:tcPr>
            <w:tcW w:w="6830" w:type="dxa"/>
          </w:tcPr>
          <w:p w14:paraId="424BCE10" w14:textId="1F3EE258" w:rsidR="005672E3" w:rsidRPr="005F52A1" w:rsidRDefault="005672E3" w:rsidP="005F52A1">
            <w:r>
              <w:t>United States (of America)</w:t>
            </w:r>
          </w:p>
        </w:tc>
      </w:tr>
    </w:tbl>
    <w:p w14:paraId="1F2C6B37" w14:textId="77777777" w:rsidR="008E7846" w:rsidRDefault="00F53C07" w:rsidP="00434603">
      <w:pPr>
        <w:pStyle w:val="Heading2"/>
        <w:pageBreakBefore/>
      </w:pPr>
      <w:bookmarkStart w:id="9" w:name="_Toc40186898"/>
      <w:r>
        <w:lastRenderedPageBreak/>
        <w:t>I.</w:t>
      </w:r>
      <w:r w:rsidR="008E7846">
        <w:t xml:space="preserve"> Introduction to product submission</w:t>
      </w:r>
      <w:bookmarkEnd w:id="9"/>
      <w:bookmarkEnd w:id="3"/>
      <w:bookmarkEnd w:id="1"/>
    </w:p>
    <w:p w14:paraId="0619E3DE" w14:textId="77777777" w:rsidR="008E7846" w:rsidRDefault="008E7846" w:rsidP="008E7846">
      <w:pPr>
        <w:pStyle w:val="Heading3"/>
        <w:rPr>
          <w:lang w:eastAsia="en-AU"/>
        </w:rPr>
      </w:pPr>
      <w:bookmarkStart w:id="10" w:name="_Toc247691502"/>
      <w:bookmarkStart w:id="11" w:name="_Toc314842483"/>
      <w:bookmarkStart w:id="12" w:name="_Toc40186899"/>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422DDA67" w14:textId="77777777" w:rsidTr="003735BC">
        <w:tc>
          <w:tcPr>
            <w:tcW w:w="2907" w:type="dxa"/>
          </w:tcPr>
          <w:p w14:paraId="2A4768AF"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1087BB6C" w14:textId="77777777" w:rsidR="008E7846" w:rsidRPr="003D1E62" w:rsidRDefault="008E7846" w:rsidP="005F5089">
            <w:r w:rsidRPr="003D1E62">
              <w:t xml:space="preserve">New </w:t>
            </w:r>
            <w:r w:rsidR="001B5C90">
              <w:t>c</w:t>
            </w:r>
            <w:r w:rsidRPr="003D1E62">
              <w:t xml:space="preserve">hemical </w:t>
            </w:r>
            <w:r w:rsidR="001B5C90">
              <w:t>e</w:t>
            </w:r>
            <w:r w:rsidR="005F5089">
              <w:t>ntity</w:t>
            </w:r>
          </w:p>
        </w:tc>
      </w:tr>
      <w:tr w:rsidR="008E7846" w:rsidRPr="003D1E62" w14:paraId="4C7EDBC0" w14:textId="77777777" w:rsidTr="003735BC">
        <w:tc>
          <w:tcPr>
            <w:tcW w:w="2907" w:type="dxa"/>
          </w:tcPr>
          <w:p w14:paraId="742075C9" w14:textId="77777777" w:rsidR="008E7846" w:rsidRPr="003D1E62" w:rsidRDefault="008E7846" w:rsidP="003D1E62">
            <w:r w:rsidRPr="003D1E62">
              <w:rPr>
                <w:i/>
              </w:rPr>
              <w:t>Decision</w:t>
            </w:r>
            <w:r w:rsidRPr="003D1E62">
              <w:t>:</w:t>
            </w:r>
          </w:p>
        </w:tc>
        <w:tc>
          <w:tcPr>
            <w:tcW w:w="6307" w:type="dxa"/>
          </w:tcPr>
          <w:p w14:paraId="1C538E17" w14:textId="77777777" w:rsidR="008E7846" w:rsidRPr="003D1E62" w:rsidRDefault="005F5089" w:rsidP="005F5089">
            <w:r>
              <w:t>Approved</w:t>
            </w:r>
          </w:p>
        </w:tc>
      </w:tr>
      <w:tr w:rsidR="008E7846" w:rsidRPr="003D1E62" w14:paraId="20F1C524" w14:textId="77777777" w:rsidTr="003735BC">
        <w:tc>
          <w:tcPr>
            <w:tcW w:w="2907" w:type="dxa"/>
          </w:tcPr>
          <w:p w14:paraId="39C134F5"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44197D89" w14:textId="77777777" w:rsidR="008E7846" w:rsidRPr="003D1E62" w:rsidRDefault="005F5089" w:rsidP="001B5C90">
            <w:r>
              <w:t>14 March 2019</w:t>
            </w:r>
          </w:p>
        </w:tc>
      </w:tr>
      <w:tr w:rsidR="00ED2922" w:rsidRPr="003D1E62" w14:paraId="3F0131D8" w14:textId="77777777" w:rsidTr="003735BC">
        <w:tc>
          <w:tcPr>
            <w:tcW w:w="2907" w:type="dxa"/>
          </w:tcPr>
          <w:p w14:paraId="7624BDC8" w14:textId="77777777" w:rsidR="00ED2922" w:rsidRPr="00441C3F" w:rsidRDefault="00ED2922" w:rsidP="001B5C90">
            <w:pPr>
              <w:rPr>
                <w:i/>
              </w:rPr>
            </w:pPr>
            <w:r w:rsidRPr="00441C3F">
              <w:rPr>
                <w:i/>
              </w:rPr>
              <w:t>Date of entry onto ARTG</w:t>
            </w:r>
            <w:r w:rsidR="00500337">
              <w:rPr>
                <w:i/>
              </w:rPr>
              <w:t>:</w:t>
            </w:r>
          </w:p>
        </w:tc>
        <w:tc>
          <w:tcPr>
            <w:tcW w:w="6307" w:type="dxa"/>
          </w:tcPr>
          <w:p w14:paraId="7A919B56" w14:textId="77777777" w:rsidR="00ED2922" w:rsidRPr="00441C3F" w:rsidRDefault="005F5089" w:rsidP="00D153D8">
            <w:pPr>
              <w:rPr>
                <w:i/>
              </w:rPr>
            </w:pPr>
            <w:r>
              <w:t>15 March 2019</w:t>
            </w:r>
          </w:p>
        </w:tc>
      </w:tr>
      <w:tr w:rsidR="00500337" w:rsidRPr="003D1E62" w14:paraId="40763018" w14:textId="77777777" w:rsidTr="003735BC">
        <w:tc>
          <w:tcPr>
            <w:tcW w:w="2907" w:type="dxa"/>
          </w:tcPr>
          <w:p w14:paraId="2BE21232" w14:textId="77777777" w:rsidR="00500337" w:rsidRPr="00441C3F" w:rsidRDefault="005F5089" w:rsidP="001B5C90">
            <w:pPr>
              <w:rPr>
                <w:i/>
              </w:rPr>
            </w:pPr>
            <w:r>
              <w:rPr>
                <w:i/>
              </w:rPr>
              <w:t>ARTG number</w:t>
            </w:r>
            <w:r w:rsidR="00500337">
              <w:rPr>
                <w:i/>
              </w:rPr>
              <w:t>:</w:t>
            </w:r>
          </w:p>
        </w:tc>
        <w:tc>
          <w:tcPr>
            <w:tcW w:w="6307" w:type="dxa"/>
          </w:tcPr>
          <w:p w14:paraId="1AE0E321" w14:textId="77777777" w:rsidR="00500337" w:rsidRPr="00441C3F" w:rsidRDefault="005F5089" w:rsidP="00EC463D">
            <w:r w:rsidRPr="005F5089">
              <w:t>301129</w:t>
            </w:r>
          </w:p>
        </w:tc>
      </w:tr>
      <w:tr w:rsidR="003735BC" w:rsidRPr="003D1E62" w14:paraId="0131D788" w14:textId="77777777" w:rsidTr="003735BC">
        <w:tc>
          <w:tcPr>
            <w:tcW w:w="2907" w:type="dxa"/>
          </w:tcPr>
          <w:p w14:paraId="111FF106"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14:paraId="116E20AA" w14:textId="77777777" w:rsidR="003735BC" w:rsidRDefault="005F5089" w:rsidP="003735BC">
            <w:r>
              <w:t>Yes</w:t>
            </w:r>
          </w:p>
          <w:p w14:paraId="48E7D70D" w14:textId="77777777" w:rsidR="003735BC" w:rsidRPr="00487162" w:rsidRDefault="003735BC" w:rsidP="003735BC">
            <w:r>
              <w:t xml:space="preserve">This product will remain in the scheme for 5 years, starting on the date the product </w:t>
            </w:r>
            <w:proofErr w:type="gramStart"/>
            <w:r>
              <w:t>is first supplied</w:t>
            </w:r>
            <w:proofErr w:type="gramEnd"/>
            <w:r>
              <w:t xml:space="preserve"> in </w:t>
            </w:r>
            <w:r w:rsidR="005F5089">
              <w:t>Australia.</w:t>
            </w:r>
          </w:p>
        </w:tc>
      </w:tr>
    </w:tbl>
    <w:p w14:paraId="70262CA8" w14:textId="77777777"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14:paraId="5F86CE40" w14:textId="77777777" w:rsidTr="00BF1190">
        <w:tc>
          <w:tcPr>
            <w:tcW w:w="2907" w:type="dxa"/>
          </w:tcPr>
          <w:p w14:paraId="038C2857" w14:textId="77777777" w:rsidR="008E7846" w:rsidRPr="00487162" w:rsidRDefault="005F5089" w:rsidP="00E45619">
            <w:pPr>
              <w:rPr>
                <w:i/>
              </w:rPr>
            </w:pPr>
            <w:r>
              <w:rPr>
                <w:i/>
              </w:rPr>
              <w:t>Active ingredient</w:t>
            </w:r>
            <w:r w:rsidR="001B5C90">
              <w:rPr>
                <w:i/>
              </w:rPr>
              <w:t>:</w:t>
            </w:r>
          </w:p>
        </w:tc>
        <w:tc>
          <w:tcPr>
            <w:tcW w:w="6307" w:type="dxa"/>
          </w:tcPr>
          <w:p w14:paraId="32F441A3" w14:textId="77777777" w:rsidR="008E7846" w:rsidRPr="00487162" w:rsidRDefault="005F5089" w:rsidP="00E55CB0">
            <w:proofErr w:type="spellStart"/>
            <w:r>
              <w:t>N</w:t>
            </w:r>
            <w:r w:rsidRPr="005F5089">
              <w:t>eratinib</w:t>
            </w:r>
            <w:proofErr w:type="spellEnd"/>
            <w:r w:rsidRPr="005F5089">
              <w:t xml:space="preserve"> (as maleate)</w:t>
            </w:r>
          </w:p>
        </w:tc>
      </w:tr>
      <w:tr w:rsidR="008E7846" w:rsidRPr="00487162" w14:paraId="75C574DE" w14:textId="77777777" w:rsidTr="00BF1190">
        <w:tc>
          <w:tcPr>
            <w:tcW w:w="2907" w:type="dxa"/>
          </w:tcPr>
          <w:p w14:paraId="51A34464" w14:textId="77777777" w:rsidR="008E7846" w:rsidRPr="00487162" w:rsidRDefault="008E7846" w:rsidP="001B5C90">
            <w:pPr>
              <w:rPr>
                <w:i/>
              </w:rPr>
            </w:pPr>
            <w:r w:rsidRPr="00487162">
              <w:rPr>
                <w:i/>
              </w:rPr>
              <w:t>Product</w:t>
            </w:r>
            <w:r w:rsidR="005F5089">
              <w:rPr>
                <w:i/>
              </w:rPr>
              <w:t xml:space="preserve"> name</w:t>
            </w:r>
            <w:r w:rsidR="001B5C90">
              <w:rPr>
                <w:i/>
              </w:rPr>
              <w:t>:</w:t>
            </w:r>
          </w:p>
        </w:tc>
        <w:tc>
          <w:tcPr>
            <w:tcW w:w="6307" w:type="dxa"/>
          </w:tcPr>
          <w:p w14:paraId="7F8393AE" w14:textId="77777777" w:rsidR="008E7846" w:rsidRPr="00487162" w:rsidRDefault="005F5089" w:rsidP="00E45619">
            <w:proofErr w:type="spellStart"/>
            <w:r w:rsidRPr="005F5089">
              <w:t>Nerlynx</w:t>
            </w:r>
            <w:proofErr w:type="spellEnd"/>
          </w:p>
        </w:tc>
      </w:tr>
      <w:tr w:rsidR="008E7846" w:rsidRPr="00487162" w14:paraId="257DF1A2" w14:textId="77777777" w:rsidTr="00BF1190">
        <w:tc>
          <w:tcPr>
            <w:tcW w:w="2907" w:type="dxa"/>
          </w:tcPr>
          <w:p w14:paraId="33214FD3"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20003024" w14:textId="77777777" w:rsidR="008E7846" w:rsidRDefault="005F5089" w:rsidP="00E45619">
            <w:r w:rsidRPr="005F5089">
              <w:t>Specialised Therapeutics PM Pty Ltd</w:t>
            </w:r>
          </w:p>
          <w:p w14:paraId="42438A6D" w14:textId="77777777" w:rsidR="005F5089" w:rsidRDefault="005F5089" w:rsidP="00E45619">
            <w:r>
              <w:t>Level 2, 17 Cotham Road,</w:t>
            </w:r>
          </w:p>
          <w:p w14:paraId="34225E07" w14:textId="77777777" w:rsidR="005F5089" w:rsidRPr="00487162" w:rsidRDefault="005F5089" w:rsidP="00E45619">
            <w:r w:rsidRPr="005F5089">
              <w:t>Kew, Victoria 3101</w:t>
            </w:r>
          </w:p>
        </w:tc>
      </w:tr>
      <w:tr w:rsidR="008E7846" w:rsidRPr="00487162" w14:paraId="3EAA3121" w14:textId="77777777" w:rsidTr="00BF1190">
        <w:tc>
          <w:tcPr>
            <w:tcW w:w="2907" w:type="dxa"/>
          </w:tcPr>
          <w:p w14:paraId="6BABAB71" w14:textId="77777777" w:rsidR="008E7846" w:rsidRPr="00487162" w:rsidRDefault="005F5089" w:rsidP="00E45619">
            <w:pPr>
              <w:rPr>
                <w:i/>
              </w:rPr>
            </w:pPr>
            <w:r>
              <w:rPr>
                <w:i/>
              </w:rPr>
              <w:t>Dose form</w:t>
            </w:r>
            <w:r w:rsidR="001B5C90">
              <w:rPr>
                <w:i/>
              </w:rPr>
              <w:t>:</w:t>
            </w:r>
          </w:p>
        </w:tc>
        <w:tc>
          <w:tcPr>
            <w:tcW w:w="6307" w:type="dxa"/>
          </w:tcPr>
          <w:p w14:paraId="33DCF4DA" w14:textId="77777777" w:rsidR="008E7846" w:rsidRPr="00487162" w:rsidRDefault="005F5089" w:rsidP="00E45619">
            <w:r>
              <w:t>Film coated tablet</w:t>
            </w:r>
          </w:p>
        </w:tc>
      </w:tr>
      <w:tr w:rsidR="008E7846" w:rsidRPr="00487162" w14:paraId="222BE6AD" w14:textId="77777777" w:rsidTr="00BF1190">
        <w:tc>
          <w:tcPr>
            <w:tcW w:w="2907" w:type="dxa"/>
          </w:tcPr>
          <w:p w14:paraId="222B81FA" w14:textId="77777777" w:rsidR="008E7846" w:rsidRPr="00487162" w:rsidRDefault="005F5089" w:rsidP="00E45619">
            <w:pPr>
              <w:rPr>
                <w:i/>
              </w:rPr>
            </w:pPr>
            <w:r>
              <w:rPr>
                <w:i/>
              </w:rPr>
              <w:t>Strength:</w:t>
            </w:r>
          </w:p>
        </w:tc>
        <w:tc>
          <w:tcPr>
            <w:tcW w:w="6307" w:type="dxa"/>
          </w:tcPr>
          <w:p w14:paraId="7A261621" w14:textId="77777777" w:rsidR="008E7846" w:rsidRPr="00487162" w:rsidRDefault="005F5089" w:rsidP="00E45619">
            <w:r>
              <w:t>40 mg</w:t>
            </w:r>
          </w:p>
        </w:tc>
      </w:tr>
      <w:tr w:rsidR="008E7846" w:rsidRPr="00487162" w14:paraId="76366ACE" w14:textId="77777777" w:rsidTr="00BF1190">
        <w:tc>
          <w:tcPr>
            <w:tcW w:w="2907" w:type="dxa"/>
          </w:tcPr>
          <w:p w14:paraId="093D49E7" w14:textId="77777777" w:rsidR="008E7846" w:rsidRPr="00487162" w:rsidRDefault="005F5089" w:rsidP="00E45619">
            <w:pPr>
              <w:rPr>
                <w:i/>
              </w:rPr>
            </w:pPr>
            <w:r>
              <w:rPr>
                <w:i/>
              </w:rPr>
              <w:t>Container</w:t>
            </w:r>
            <w:r w:rsidR="008E7846" w:rsidRPr="00487162">
              <w:rPr>
                <w:i/>
              </w:rPr>
              <w:t>:</w:t>
            </w:r>
          </w:p>
        </w:tc>
        <w:tc>
          <w:tcPr>
            <w:tcW w:w="6307" w:type="dxa"/>
          </w:tcPr>
          <w:p w14:paraId="0F48C83C" w14:textId="77777777" w:rsidR="008E7846" w:rsidRPr="00487162" w:rsidRDefault="005F5089" w:rsidP="00E45619">
            <w:r>
              <w:t>Bottle</w:t>
            </w:r>
          </w:p>
        </w:tc>
      </w:tr>
      <w:tr w:rsidR="008E7846" w:rsidRPr="00487162" w14:paraId="7B6EF969" w14:textId="77777777" w:rsidTr="00BF1190">
        <w:tc>
          <w:tcPr>
            <w:tcW w:w="2907" w:type="dxa"/>
          </w:tcPr>
          <w:p w14:paraId="20AC45D7" w14:textId="77777777" w:rsidR="008E7846" w:rsidRPr="00487162" w:rsidRDefault="005F5089" w:rsidP="00E45619">
            <w:pPr>
              <w:rPr>
                <w:i/>
              </w:rPr>
            </w:pPr>
            <w:r>
              <w:rPr>
                <w:i/>
              </w:rPr>
              <w:t>Pack size</w:t>
            </w:r>
            <w:r w:rsidR="008E7846" w:rsidRPr="00487162">
              <w:rPr>
                <w:i/>
              </w:rPr>
              <w:t>:</w:t>
            </w:r>
          </w:p>
        </w:tc>
        <w:tc>
          <w:tcPr>
            <w:tcW w:w="6307" w:type="dxa"/>
          </w:tcPr>
          <w:p w14:paraId="0C001D41" w14:textId="77777777" w:rsidR="008E7846" w:rsidRPr="00487162" w:rsidRDefault="005F5089" w:rsidP="00E45619">
            <w:r>
              <w:t>180</w:t>
            </w:r>
          </w:p>
        </w:tc>
      </w:tr>
      <w:tr w:rsidR="008E7846" w:rsidRPr="00487162" w14:paraId="0A03242C" w14:textId="77777777" w:rsidTr="00BF1190">
        <w:tc>
          <w:tcPr>
            <w:tcW w:w="2907" w:type="dxa"/>
          </w:tcPr>
          <w:p w14:paraId="6B633730"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58492AFD" w14:textId="77777777" w:rsidR="008E7846" w:rsidRPr="005F5089" w:rsidRDefault="005F5089" w:rsidP="005F5089">
            <w:pPr>
              <w:rPr>
                <w:i/>
              </w:rPr>
            </w:pPr>
            <w:proofErr w:type="spellStart"/>
            <w:r w:rsidRPr="005F5089">
              <w:rPr>
                <w:i/>
              </w:rPr>
              <w:t>Nerlynx</w:t>
            </w:r>
            <w:proofErr w:type="spellEnd"/>
            <w:r w:rsidRPr="005F5089">
              <w:rPr>
                <w:i/>
              </w:rPr>
              <w:t xml:space="preserve"> </w:t>
            </w:r>
            <w:proofErr w:type="gramStart"/>
            <w:r w:rsidRPr="005F5089">
              <w:rPr>
                <w:i/>
              </w:rPr>
              <w:t>is indicated</w:t>
            </w:r>
            <w:proofErr w:type="gramEnd"/>
            <w:r w:rsidRPr="005F5089">
              <w:rPr>
                <w:i/>
              </w:rPr>
              <w:t xml:space="preserve"> for the extended adjuvant treatment of adult patients with early-stage HER2-overexpressed/amplified breast cancer, to follow adjuvant </w:t>
            </w:r>
            <w:proofErr w:type="spellStart"/>
            <w:r w:rsidRPr="005F5089">
              <w:rPr>
                <w:i/>
              </w:rPr>
              <w:t>trastuzumab</w:t>
            </w:r>
            <w:proofErr w:type="spellEnd"/>
            <w:r w:rsidRPr="005F5089">
              <w:rPr>
                <w:i/>
              </w:rPr>
              <w:t xml:space="preserve"> based therapy.</w:t>
            </w:r>
          </w:p>
        </w:tc>
      </w:tr>
      <w:tr w:rsidR="008E7846" w:rsidRPr="00487162" w14:paraId="5D018AAC" w14:textId="77777777" w:rsidTr="00BF1190">
        <w:tc>
          <w:tcPr>
            <w:tcW w:w="2907" w:type="dxa"/>
          </w:tcPr>
          <w:p w14:paraId="358F73EB" w14:textId="77777777" w:rsidR="008E7846" w:rsidRPr="00487162" w:rsidRDefault="005338EC" w:rsidP="00E45619">
            <w:pPr>
              <w:rPr>
                <w:i/>
              </w:rPr>
            </w:pPr>
            <w:r>
              <w:rPr>
                <w:i/>
              </w:rPr>
              <w:t>Route</w:t>
            </w:r>
            <w:r w:rsidR="008E7846" w:rsidRPr="00487162">
              <w:rPr>
                <w:i/>
              </w:rPr>
              <w:t xml:space="preserve"> of administration:</w:t>
            </w:r>
          </w:p>
        </w:tc>
        <w:tc>
          <w:tcPr>
            <w:tcW w:w="6307" w:type="dxa"/>
          </w:tcPr>
          <w:p w14:paraId="5B5EC03B" w14:textId="77777777" w:rsidR="008E7846" w:rsidRPr="00487162" w:rsidRDefault="005F5089" w:rsidP="00E45619">
            <w:r>
              <w:t>Oral</w:t>
            </w:r>
          </w:p>
        </w:tc>
      </w:tr>
      <w:tr w:rsidR="008E7846" w:rsidRPr="00487162" w14:paraId="29DFD418" w14:textId="77777777" w:rsidTr="00BF1190">
        <w:tc>
          <w:tcPr>
            <w:tcW w:w="2907" w:type="dxa"/>
          </w:tcPr>
          <w:p w14:paraId="1F31D043" w14:textId="77777777" w:rsidR="008E7846" w:rsidRPr="00487162" w:rsidRDefault="008E7846" w:rsidP="00E45619">
            <w:pPr>
              <w:rPr>
                <w:i/>
              </w:rPr>
            </w:pPr>
            <w:r w:rsidRPr="00487162">
              <w:rPr>
                <w:i/>
              </w:rPr>
              <w:t>Dosage:</w:t>
            </w:r>
          </w:p>
        </w:tc>
        <w:tc>
          <w:tcPr>
            <w:tcW w:w="6307" w:type="dxa"/>
          </w:tcPr>
          <w:p w14:paraId="550F63C5" w14:textId="77777777" w:rsidR="005F5089" w:rsidRDefault="005F5089" w:rsidP="005F5089">
            <w:proofErr w:type="spellStart"/>
            <w:r>
              <w:t>Nerlynx</w:t>
            </w:r>
            <w:proofErr w:type="spellEnd"/>
            <w:r>
              <w:t xml:space="preserve"> treatment </w:t>
            </w:r>
            <w:proofErr w:type="gramStart"/>
            <w:r>
              <w:t>should be initiated and supervised by a physician experienced in the administration of anti-cancer medicinal products</w:t>
            </w:r>
            <w:proofErr w:type="gramEnd"/>
            <w:r>
              <w:t>.</w:t>
            </w:r>
          </w:p>
          <w:p w14:paraId="4A7356B4" w14:textId="2FB2E061" w:rsidR="008E7846" w:rsidRDefault="005F5089" w:rsidP="005F5089">
            <w:r>
              <w:t xml:space="preserve">The recommended dose of </w:t>
            </w:r>
            <w:proofErr w:type="spellStart"/>
            <w:r>
              <w:t>Nerlynx</w:t>
            </w:r>
            <w:proofErr w:type="spellEnd"/>
            <w:r>
              <w:t xml:space="preserve"> is 240 mg (</w:t>
            </w:r>
            <w:r w:rsidR="005672E3">
              <w:t>6</w:t>
            </w:r>
            <w:r>
              <w:t xml:space="preserve"> x 40 mg tablets) taken orally once daily, continuously for one year. The tablets should be swallowed </w:t>
            </w:r>
            <w:proofErr w:type="gramStart"/>
            <w:r>
              <w:t>whole</w:t>
            </w:r>
            <w:proofErr w:type="gramEnd"/>
            <w:r>
              <w:t xml:space="preserve"> preferably with water and should not be crushed or dissolved, and should be taken with food, preferably in the morning. Patients should initiate treatment within 1 year after completion of </w:t>
            </w:r>
            <w:proofErr w:type="spellStart"/>
            <w:r>
              <w:t>trastuzumab</w:t>
            </w:r>
            <w:proofErr w:type="spellEnd"/>
            <w:r>
              <w:t xml:space="preserve"> therapy.</w:t>
            </w:r>
          </w:p>
          <w:p w14:paraId="45D224F0" w14:textId="52D66E96" w:rsidR="005F5089" w:rsidRPr="00487162" w:rsidRDefault="005F5089" w:rsidP="005F5089">
            <w:r>
              <w:t>For further information</w:t>
            </w:r>
            <w:r w:rsidR="00077FFC">
              <w:t>,</w:t>
            </w:r>
            <w:r>
              <w:t xml:space="preserve"> refer to the Product Information (PI).</w:t>
            </w:r>
          </w:p>
        </w:tc>
      </w:tr>
    </w:tbl>
    <w:p w14:paraId="0AD86C72" w14:textId="77777777" w:rsidR="008E7846" w:rsidRDefault="008E7846" w:rsidP="008E7846">
      <w:pPr>
        <w:pStyle w:val="Heading3"/>
      </w:pPr>
      <w:bookmarkStart w:id="13" w:name="_Toc247691503"/>
      <w:bookmarkStart w:id="14" w:name="_Toc314842484"/>
      <w:bookmarkStart w:id="15" w:name="_Toc40186900"/>
      <w:r>
        <w:lastRenderedPageBreak/>
        <w:t>Product background</w:t>
      </w:r>
      <w:bookmarkEnd w:id="13"/>
      <w:bookmarkEnd w:id="14"/>
      <w:bookmarkEnd w:id="15"/>
    </w:p>
    <w:p w14:paraId="2BC50F15" w14:textId="77777777" w:rsidR="008E7846" w:rsidRDefault="00940A89" w:rsidP="00940A89">
      <w:r w:rsidRPr="00940A89">
        <w:t xml:space="preserve">This </w:t>
      </w:r>
      <w:proofErr w:type="spellStart"/>
      <w:r w:rsidRPr="00940A89">
        <w:t>AusPAR</w:t>
      </w:r>
      <w:proofErr w:type="spellEnd"/>
      <w:r w:rsidRPr="00940A89">
        <w:t xml:space="preserve"> describes the application by </w:t>
      </w:r>
      <w:r w:rsidR="005338EC" w:rsidRPr="005F5089">
        <w:t>Specialised Therapeutics PM Pty Ltd</w:t>
      </w:r>
      <w:r w:rsidR="005338EC" w:rsidRPr="00940A89">
        <w:t xml:space="preserve"> </w:t>
      </w:r>
      <w:r w:rsidR="005338EC">
        <w:t>(</w:t>
      </w:r>
      <w:r w:rsidRPr="00940A89">
        <w:t>the sponsor</w:t>
      </w:r>
      <w:r w:rsidR="005338EC">
        <w:t>)</w:t>
      </w:r>
      <w:r w:rsidRPr="00940A89">
        <w:t xml:space="preserve"> to register </w:t>
      </w:r>
      <w:proofErr w:type="spellStart"/>
      <w:r w:rsidR="005338EC" w:rsidRPr="005338EC">
        <w:t>Nerlynx</w:t>
      </w:r>
      <w:proofErr w:type="spellEnd"/>
      <w:r w:rsidR="005338EC" w:rsidRPr="005338EC">
        <w:t xml:space="preserve"> </w:t>
      </w:r>
      <w:r w:rsidR="005338EC">
        <w:t>(</w:t>
      </w:r>
      <w:proofErr w:type="spellStart"/>
      <w:r w:rsidR="005338EC">
        <w:t>neratinib</w:t>
      </w:r>
      <w:proofErr w:type="spellEnd"/>
      <w:r w:rsidR="005338EC">
        <w:t xml:space="preserve"> </w:t>
      </w:r>
      <w:r w:rsidR="005338EC" w:rsidRPr="005338EC">
        <w:t>as maleate) 40 mg film coated tablets</w:t>
      </w:r>
      <w:r w:rsidRPr="00940A89">
        <w:t xml:space="preserve"> for the following </w:t>
      </w:r>
      <w:r w:rsidR="005338EC">
        <w:t xml:space="preserve">proposed </w:t>
      </w:r>
      <w:r w:rsidRPr="00940A89">
        <w:t>indication</w:t>
      </w:r>
      <w:r w:rsidR="005338EC">
        <w:t>:</w:t>
      </w:r>
    </w:p>
    <w:p w14:paraId="41E05EE9" w14:textId="1629D948" w:rsidR="00ED2922" w:rsidRPr="005338EC" w:rsidRDefault="005338EC" w:rsidP="005338EC">
      <w:pPr>
        <w:ind w:left="720"/>
        <w:rPr>
          <w:i/>
        </w:rPr>
      </w:pPr>
      <w:r w:rsidRPr="005338EC">
        <w:rPr>
          <w:i/>
        </w:rPr>
        <w:t>The extended adjuvant treatment of adult patients with early-stage HER2</w:t>
      </w:r>
      <w:r w:rsidR="005672E3">
        <w:rPr>
          <w:i/>
        </w:rPr>
        <w:noBreakHyphen/>
      </w:r>
      <w:r w:rsidRPr="005338EC">
        <w:rPr>
          <w:i/>
        </w:rPr>
        <w:t xml:space="preserve">overexpressed/amplified breast cancer who have received prior adjuvant </w:t>
      </w:r>
      <w:proofErr w:type="spellStart"/>
      <w:r w:rsidRPr="005338EC">
        <w:rPr>
          <w:i/>
        </w:rPr>
        <w:t>trastuzumab</w:t>
      </w:r>
      <w:proofErr w:type="spellEnd"/>
      <w:r w:rsidRPr="005338EC">
        <w:rPr>
          <w:i/>
        </w:rPr>
        <w:t xml:space="preserve"> based therapy.</w:t>
      </w:r>
    </w:p>
    <w:p w14:paraId="57A5F905" w14:textId="7A1F484E" w:rsidR="005338EC" w:rsidRDefault="005338EC" w:rsidP="005338EC">
      <w:pPr>
        <w:rPr>
          <w:lang w:eastAsia="ja-JP"/>
        </w:rPr>
      </w:pPr>
      <w:r w:rsidRPr="00844EFF">
        <w:rPr>
          <w:lang w:eastAsia="ja-JP"/>
        </w:rPr>
        <w:t xml:space="preserve">Carcinoma of the breast is a malignancy arising from epithelial cells in the lobules or ducts of the mammary gland. According to Cancer Council </w:t>
      </w:r>
      <w:proofErr w:type="gramStart"/>
      <w:r w:rsidRPr="00844EFF">
        <w:rPr>
          <w:lang w:eastAsia="ja-JP"/>
        </w:rPr>
        <w:t>Australia</w:t>
      </w:r>
      <w:proofErr w:type="gramEnd"/>
      <w:r w:rsidRPr="00844EFF">
        <w:rPr>
          <w:lang w:eastAsia="ja-JP"/>
        </w:rPr>
        <w:t xml:space="preserve"> there were 16,614 women and 140 men diagnosed with breast cancer in Australia</w:t>
      </w:r>
      <w:r w:rsidR="00C35835">
        <w:rPr>
          <w:lang w:eastAsia="ja-JP"/>
        </w:rPr>
        <w:t xml:space="preserve"> in 2014 and 2,939 women and 28 </w:t>
      </w:r>
      <w:r w:rsidRPr="00844EFF">
        <w:rPr>
          <w:lang w:eastAsia="ja-JP"/>
        </w:rPr>
        <w:t>men died of the disease in 2015</w:t>
      </w:r>
      <w:r w:rsidR="00BD52C3">
        <w:rPr>
          <w:lang w:eastAsia="ja-JP"/>
        </w:rPr>
        <w:t>.</w:t>
      </w:r>
      <w:r w:rsidR="00BD52C3">
        <w:rPr>
          <w:rStyle w:val="FootnoteReference"/>
          <w:lang w:eastAsia="ja-JP"/>
        </w:rPr>
        <w:footnoteReference w:id="1"/>
      </w:r>
    </w:p>
    <w:p w14:paraId="15177306" w14:textId="7D880AF3" w:rsidR="005338EC" w:rsidRDefault="00BD52C3" w:rsidP="005338EC">
      <w:r>
        <w:t>H</w:t>
      </w:r>
      <w:r w:rsidRPr="00BD52C3">
        <w:t>uman epidermal growth factor receptor 2</w:t>
      </w:r>
      <w:r>
        <w:t xml:space="preserve"> (HER2; </w:t>
      </w:r>
      <w:r w:rsidR="005672E3">
        <w:t>also referred to as</w:t>
      </w:r>
      <w:r w:rsidR="005338EC" w:rsidRPr="007C5F5A">
        <w:t xml:space="preserve"> ErbB2) is a </w:t>
      </w:r>
      <w:r w:rsidR="005338EC">
        <w:t xml:space="preserve">cell surface </w:t>
      </w:r>
      <w:r w:rsidR="005338EC" w:rsidRPr="007C5F5A">
        <w:t xml:space="preserve">receptor that is expressed in a variety of normal epithelial cell types. </w:t>
      </w:r>
      <w:proofErr w:type="gramStart"/>
      <w:r w:rsidR="005338EC" w:rsidRPr="007C5F5A">
        <w:t xml:space="preserve">It is one of a family of four transmembrane receptors (the </w:t>
      </w:r>
      <w:proofErr w:type="spellStart"/>
      <w:r w:rsidR="005338EC" w:rsidRPr="007C5F5A">
        <w:t>ErbB</w:t>
      </w:r>
      <w:proofErr w:type="spellEnd"/>
      <w:r w:rsidR="005338EC" w:rsidRPr="007C5F5A">
        <w:t xml:space="preserve"> family) that activate a network of intracellular signalling pathways that affect </w:t>
      </w:r>
      <w:r w:rsidR="005338EC">
        <w:t xml:space="preserve">various cell functions including </w:t>
      </w:r>
      <w:r w:rsidR="005338EC" w:rsidRPr="007C5F5A">
        <w:t>cell proliferation and survival.</w:t>
      </w:r>
      <w:proofErr w:type="gramEnd"/>
      <w:r w:rsidR="005338EC" w:rsidRPr="007C5F5A">
        <w:t xml:space="preserve"> </w:t>
      </w:r>
      <w:r w:rsidR="005338EC">
        <w:t xml:space="preserve">The other members of the family are </w:t>
      </w:r>
      <w:r>
        <w:t>HER1 (</w:t>
      </w:r>
      <w:r w:rsidR="005672E3">
        <w:t>also referred to as</w:t>
      </w:r>
      <w:r w:rsidR="005338EC">
        <w:t xml:space="preserve"> ErbB1 or </w:t>
      </w:r>
      <w:r w:rsidR="00107007">
        <w:t>epidermal growth factor receptor (</w:t>
      </w:r>
      <w:r w:rsidR="005338EC">
        <w:t>EGFR</w:t>
      </w:r>
      <w:r w:rsidR="00107007">
        <w:t>)</w:t>
      </w:r>
      <w:r w:rsidR="005338EC">
        <w:t>)</w:t>
      </w:r>
      <w:r w:rsidR="005672E3">
        <w:t>;</w:t>
      </w:r>
      <w:r w:rsidR="005338EC">
        <w:t xml:space="preserve"> HER3 (or ErbB3)</w:t>
      </w:r>
      <w:proofErr w:type="gramStart"/>
      <w:r w:rsidR="005672E3">
        <w:t>;</w:t>
      </w:r>
      <w:proofErr w:type="gramEnd"/>
      <w:r w:rsidR="005338EC">
        <w:t xml:space="preserve"> and HER4</w:t>
      </w:r>
      <w:r w:rsidR="005338EC" w:rsidRPr="00402798">
        <w:t xml:space="preserve"> </w:t>
      </w:r>
      <w:r w:rsidR="005338EC">
        <w:t>(or ErbB4). The intracellular domains of the HER1 (EGFR), HER2 and HER4 receptor</w:t>
      </w:r>
      <w:r w:rsidR="00741A11">
        <w:t>s have tyrosine kinase activity</w:t>
      </w:r>
      <w:r w:rsidR="005338EC">
        <w:t>.</w:t>
      </w:r>
      <w:r w:rsidR="00741A11">
        <w:rPr>
          <w:rStyle w:val="FootnoteReference"/>
        </w:rPr>
        <w:footnoteReference w:id="2"/>
      </w:r>
      <w:r w:rsidR="005338EC">
        <w:t xml:space="preserve"> Ligand binding to the extracellular domains of HER1, HER3 or HER4 results in the formation of dimers between the four types of receptor and then activation of the tyrosine kinases. H</w:t>
      </w:r>
      <w:r>
        <w:t>ER2 itself has no known ligand.</w:t>
      </w:r>
    </w:p>
    <w:p w14:paraId="3FA4775C" w14:textId="779AE87D" w:rsidR="005338EC" w:rsidRDefault="00741A11" w:rsidP="005338EC">
      <w:r>
        <w:t>HER2-positivity (that is,</w:t>
      </w:r>
      <w:r w:rsidR="005338EC" w:rsidRPr="007C5F5A">
        <w:t xml:space="preserve"> overexpression of the HER2 </w:t>
      </w:r>
      <w:r w:rsidR="005338EC">
        <w:t>receptor</w:t>
      </w:r>
      <w:r w:rsidR="005338EC" w:rsidRPr="007C5F5A">
        <w:t xml:space="preserve"> or amplification of the HER2 gene) </w:t>
      </w:r>
      <w:proofErr w:type="gramStart"/>
      <w:r w:rsidR="005338EC" w:rsidRPr="007C5F5A">
        <w:t>is found</w:t>
      </w:r>
      <w:proofErr w:type="gramEnd"/>
      <w:r w:rsidR="005338EC" w:rsidRPr="007C5F5A">
        <w:t xml:space="preserve"> in approximately </w:t>
      </w:r>
      <w:r>
        <w:t xml:space="preserve">15 to </w:t>
      </w:r>
      <w:r w:rsidR="005338EC" w:rsidRPr="004C0575">
        <w:t xml:space="preserve">20% of </w:t>
      </w:r>
      <w:r w:rsidR="005338EC" w:rsidRPr="007C5F5A">
        <w:t>breast c</w:t>
      </w:r>
      <w:r>
        <w:t>ancers</w:t>
      </w:r>
      <w:r w:rsidR="005338EC" w:rsidRPr="007C5F5A">
        <w:t>.</w:t>
      </w:r>
      <w:r>
        <w:rPr>
          <w:rStyle w:val="FootnoteReference"/>
        </w:rPr>
        <w:footnoteReference w:id="3"/>
      </w:r>
      <w:r w:rsidR="005338EC" w:rsidRPr="007C5F5A">
        <w:t xml:space="preserve"> HER2-positive breast cancer is associated with reduced disease-free survival and ov</w:t>
      </w:r>
      <w:r>
        <w:t>erall survival compared to HER2</w:t>
      </w:r>
      <w:r>
        <w:noBreakHyphen/>
      </w:r>
      <w:r w:rsidR="005338EC" w:rsidRPr="007C5F5A">
        <w:t>negative disease.</w:t>
      </w:r>
      <w:r>
        <w:rPr>
          <w:rStyle w:val="FootnoteReference"/>
        </w:rPr>
        <w:footnoteReference w:id="4"/>
      </w:r>
    </w:p>
    <w:p w14:paraId="2383D785" w14:textId="2CABD2A2" w:rsidR="005338EC" w:rsidRDefault="005338EC" w:rsidP="005338EC">
      <w:pPr>
        <w:rPr>
          <w:lang w:eastAsia="ja-JP"/>
        </w:rPr>
      </w:pPr>
      <w:r>
        <w:rPr>
          <w:lang w:eastAsia="ja-JP"/>
        </w:rPr>
        <w:t xml:space="preserve">According to current consensus clinical practice </w:t>
      </w:r>
      <w:proofErr w:type="gramStart"/>
      <w:r>
        <w:rPr>
          <w:lang w:eastAsia="ja-JP"/>
        </w:rPr>
        <w:t>guidelines</w:t>
      </w:r>
      <w:r w:rsidR="00741A11">
        <w:rPr>
          <w:lang w:eastAsia="ja-JP"/>
        </w:rPr>
        <w:t>;</w:t>
      </w:r>
      <w:r w:rsidR="00741A11">
        <w:rPr>
          <w:rStyle w:val="FootnoteReference"/>
          <w:lang w:eastAsia="ja-JP"/>
        </w:rPr>
        <w:footnoteReference w:id="5"/>
      </w:r>
      <w:r w:rsidR="005672E3" w:rsidRPr="00114164">
        <w:rPr>
          <w:vertAlign w:val="superscript"/>
          <w:lang w:eastAsia="ja-JP"/>
        </w:rPr>
        <w:t>,</w:t>
      </w:r>
      <w:r w:rsidR="00741A11" w:rsidRPr="005672E3">
        <w:rPr>
          <w:rStyle w:val="FootnoteReference"/>
          <w:lang w:eastAsia="ja-JP"/>
        </w:rPr>
        <w:footnoteReference w:id="6"/>
      </w:r>
      <w:r w:rsidR="005672E3" w:rsidRPr="00114164">
        <w:rPr>
          <w:vertAlign w:val="superscript"/>
          <w:lang w:eastAsia="ja-JP"/>
        </w:rPr>
        <w:t>,</w:t>
      </w:r>
      <w:proofErr w:type="gramEnd"/>
      <w:r w:rsidR="003C3871">
        <w:rPr>
          <w:rStyle w:val="FootnoteReference"/>
          <w:lang w:eastAsia="ja-JP"/>
        </w:rPr>
        <w:footnoteReference w:id="7"/>
      </w:r>
      <w:r>
        <w:rPr>
          <w:lang w:eastAsia="ja-JP"/>
        </w:rPr>
        <w:t xml:space="preserve"> standard adjuvant treatment for HER2-positive breast cancer should include:</w:t>
      </w:r>
    </w:p>
    <w:p w14:paraId="13EFCDA7" w14:textId="77777777" w:rsidR="005338EC" w:rsidRPr="003C3871" w:rsidRDefault="005338EC" w:rsidP="003C3871">
      <w:pPr>
        <w:pStyle w:val="ListBullet"/>
      </w:pPr>
      <w:r w:rsidRPr="003C3871">
        <w:t>Cytotoxic chemotherapy. A number of chemotherapy regimens can be used such as:</w:t>
      </w:r>
    </w:p>
    <w:p w14:paraId="71B14C51" w14:textId="63C9027D" w:rsidR="005338EC" w:rsidRPr="003C3871" w:rsidRDefault="005672E3" w:rsidP="003C3871">
      <w:pPr>
        <w:pStyle w:val="ListBullet2"/>
      </w:pPr>
      <w:r>
        <w:t>d</w:t>
      </w:r>
      <w:r w:rsidR="005338EC" w:rsidRPr="003C3871">
        <w:t>ox</w:t>
      </w:r>
      <w:r w:rsidR="00C35835">
        <w:t xml:space="preserve">orubicin plus cyclophosphamide </w:t>
      </w:r>
      <w:r w:rsidR="005338EC" w:rsidRPr="003C3871">
        <w:t>followed by paclitaxel;</w:t>
      </w:r>
    </w:p>
    <w:p w14:paraId="39C9B8A9" w14:textId="4FED2A9F" w:rsidR="005338EC" w:rsidRPr="003C3871" w:rsidRDefault="005672E3" w:rsidP="003C3871">
      <w:pPr>
        <w:pStyle w:val="ListBullet2"/>
      </w:pPr>
      <w:r>
        <w:t>p</w:t>
      </w:r>
      <w:r w:rsidR="005338EC" w:rsidRPr="003C3871">
        <w:t>aclitaxel alone;</w:t>
      </w:r>
      <w:r>
        <w:t xml:space="preserve"> or</w:t>
      </w:r>
    </w:p>
    <w:p w14:paraId="0ABE0157" w14:textId="089737F9" w:rsidR="005338EC" w:rsidRPr="003C3871" w:rsidRDefault="005672E3" w:rsidP="003C3871">
      <w:pPr>
        <w:pStyle w:val="ListBullet2"/>
      </w:pPr>
      <w:proofErr w:type="gramStart"/>
      <w:r>
        <w:t>d</w:t>
      </w:r>
      <w:r w:rsidR="005338EC" w:rsidRPr="003C3871">
        <w:t>ocetaxel</w:t>
      </w:r>
      <w:proofErr w:type="gramEnd"/>
      <w:r w:rsidR="005338EC" w:rsidRPr="003C3871">
        <w:t xml:space="preserve"> with carboplatin.</w:t>
      </w:r>
    </w:p>
    <w:p w14:paraId="36462732" w14:textId="6E5AD5A5" w:rsidR="005338EC" w:rsidRDefault="005338EC" w:rsidP="003C3871">
      <w:pPr>
        <w:pStyle w:val="ListBullet"/>
        <w:numPr>
          <w:ilvl w:val="0"/>
          <w:numId w:val="0"/>
        </w:numPr>
        <w:ind w:left="360"/>
        <w:rPr>
          <w:lang w:eastAsia="ja-JP"/>
        </w:rPr>
      </w:pPr>
      <w:r>
        <w:rPr>
          <w:lang w:eastAsia="ja-JP"/>
        </w:rPr>
        <w:t>Cytotoxic chemother</w:t>
      </w:r>
      <w:r w:rsidR="003C3871">
        <w:rPr>
          <w:lang w:eastAsia="ja-JP"/>
        </w:rPr>
        <w:t xml:space="preserve">apy </w:t>
      </w:r>
      <w:proofErr w:type="gramStart"/>
      <w:r w:rsidR="003C3871">
        <w:rPr>
          <w:lang w:eastAsia="ja-JP"/>
        </w:rPr>
        <w:t>is usually continued</w:t>
      </w:r>
      <w:proofErr w:type="gramEnd"/>
      <w:r w:rsidR="003C3871">
        <w:rPr>
          <w:lang w:eastAsia="ja-JP"/>
        </w:rPr>
        <w:t xml:space="preserve"> for 12 to </w:t>
      </w:r>
      <w:r>
        <w:rPr>
          <w:lang w:eastAsia="ja-JP"/>
        </w:rPr>
        <w:t>24 weeks.</w:t>
      </w:r>
    </w:p>
    <w:p w14:paraId="3C5A72AB" w14:textId="2842FA46" w:rsidR="005338EC" w:rsidRDefault="005338EC" w:rsidP="000F1F83">
      <w:pPr>
        <w:pStyle w:val="ListBullet"/>
        <w:rPr>
          <w:lang w:eastAsia="ja-JP"/>
        </w:rPr>
      </w:pPr>
      <w:proofErr w:type="spellStart"/>
      <w:r>
        <w:rPr>
          <w:lang w:eastAsia="ja-JP"/>
        </w:rPr>
        <w:t>Trastuzumab</w:t>
      </w:r>
      <w:proofErr w:type="spellEnd"/>
      <w:r w:rsidR="00C41452">
        <w:rPr>
          <w:lang w:eastAsia="ja-JP"/>
        </w:rPr>
        <w:t>;</w:t>
      </w:r>
      <w:r>
        <w:rPr>
          <w:lang w:eastAsia="ja-JP"/>
        </w:rPr>
        <w:t xml:space="preserve"> </w:t>
      </w:r>
      <w:r w:rsidR="00C41452">
        <w:rPr>
          <w:lang w:eastAsia="ja-JP"/>
        </w:rPr>
        <w:t>t</w:t>
      </w:r>
      <w:r>
        <w:rPr>
          <w:lang w:eastAsia="ja-JP"/>
        </w:rPr>
        <w:t xml:space="preserve">his agent is a monoclonal antibody directed against the extracellular domain of the HER2 receptor. In the adjuvant setting it is commenced after any </w:t>
      </w:r>
      <w:proofErr w:type="spellStart"/>
      <w:r>
        <w:rPr>
          <w:lang w:eastAsia="ja-JP"/>
        </w:rPr>
        <w:t>anthracycline</w:t>
      </w:r>
      <w:proofErr w:type="spellEnd"/>
      <w:r>
        <w:rPr>
          <w:lang w:eastAsia="ja-JP"/>
        </w:rPr>
        <w:t xml:space="preserve"> chemotherapy has been completed, and concurrently with </w:t>
      </w:r>
      <w:r>
        <w:rPr>
          <w:lang w:eastAsia="ja-JP"/>
        </w:rPr>
        <w:lastRenderedPageBreak/>
        <w:t>non</w:t>
      </w:r>
      <w:r w:rsidR="007024B0">
        <w:rPr>
          <w:lang w:eastAsia="ja-JP"/>
        </w:rPr>
        <w:noBreakHyphen/>
      </w:r>
      <w:proofErr w:type="spellStart"/>
      <w:r>
        <w:rPr>
          <w:lang w:eastAsia="ja-JP"/>
        </w:rPr>
        <w:t>anthracycline</w:t>
      </w:r>
      <w:proofErr w:type="spellEnd"/>
      <w:r>
        <w:rPr>
          <w:lang w:eastAsia="ja-JP"/>
        </w:rPr>
        <w:t xml:space="preserve"> chemotherapy. The standard duration of </w:t>
      </w:r>
      <w:proofErr w:type="spellStart"/>
      <w:r>
        <w:rPr>
          <w:lang w:eastAsia="ja-JP"/>
        </w:rPr>
        <w:t>trastuzumab</w:t>
      </w:r>
      <w:proofErr w:type="spellEnd"/>
      <w:r>
        <w:rPr>
          <w:lang w:eastAsia="ja-JP"/>
        </w:rPr>
        <w:t xml:space="preserve"> therapy in the adjuvant setting is 12 months.</w:t>
      </w:r>
    </w:p>
    <w:p w14:paraId="74EDEB3A" w14:textId="75030747" w:rsidR="00940A89" w:rsidRDefault="005338EC" w:rsidP="000F1F83">
      <w:pPr>
        <w:pStyle w:val="ListBullet"/>
        <w:rPr>
          <w:lang w:eastAsia="ja-JP"/>
        </w:rPr>
      </w:pPr>
      <w:r>
        <w:rPr>
          <w:lang w:eastAsia="ja-JP"/>
        </w:rPr>
        <w:t xml:space="preserve">Endocrine therapy in those subjects who have hormone receptor positive disease (approximately </w:t>
      </w:r>
      <w:r w:rsidRPr="00E66626">
        <w:rPr>
          <w:lang w:eastAsia="ja-JP"/>
        </w:rPr>
        <w:t xml:space="preserve">50% of subjects </w:t>
      </w:r>
      <w:r>
        <w:rPr>
          <w:lang w:eastAsia="ja-JP"/>
        </w:rPr>
        <w:t>with HER2-positive disease).</w:t>
      </w:r>
      <w:r w:rsidR="003C3871">
        <w:rPr>
          <w:rStyle w:val="FootnoteReference"/>
          <w:lang w:eastAsia="ja-JP"/>
        </w:rPr>
        <w:footnoteReference w:id="8"/>
      </w:r>
      <w:r>
        <w:rPr>
          <w:lang w:eastAsia="ja-JP"/>
        </w:rPr>
        <w:t xml:space="preserve"> Agents registered in Australia for adjuvant treatment of hormone receptor-positive breast cancer include tamoxifen, </w:t>
      </w:r>
      <w:proofErr w:type="spellStart"/>
      <w:r>
        <w:rPr>
          <w:lang w:eastAsia="ja-JP"/>
        </w:rPr>
        <w:t>exemestane</w:t>
      </w:r>
      <w:proofErr w:type="spellEnd"/>
      <w:r>
        <w:rPr>
          <w:lang w:eastAsia="ja-JP"/>
        </w:rPr>
        <w:t xml:space="preserve">, </w:t>
      </w:r>
      <w:proofErr w:type="spellStart"/>
      <w:r>
        <w:rPr>
          <w:lang w:eastAsia="ja-JP"/>
        </w:rPr>
        <w:t>anastrozole</w:t>
      </w:r>
      <w:proofErr w:type="spellEnd"/>
      <w:r>
        <w:rPr>
          <w:lang w:eastAsia="ja-JP"/>
        </w:rPr>
        <w:t xml:space="preserve"> and </w:t>
      </w:r>
      <w:proofErr w:type="spellStart"/>
      <w:r>
        <w:rPr>
          <w:lang w:eastAsia="ja-JP"/>
        </w:rPr>
        <w:t>letrozole</w:t>
      </w:r>
      <w:proofErr w:type="spellEnd"/>
      <w:r>
        <w:rPr>
          <w:lang w:eastAsia="ja-JP"/>
        </w:rPr>
        <w:t>. Adjuvant endocrine treatment may continue for up to 10 years.</w:t>
      </w:r>
    </w:p>
    <w:p w14:paraId="2AB2298F" w14:textId="62BBEBC2" w:rsidR="00741A11" w:rsidRDefault="00741A11" w:rsidP="005338EC">
      <w:pPr>
        <w:rPr>
          <w:lang w:eastAsia="ja-JP"/>
        </w:rPr>
      </w:pPr>
      <w:proofErr w:type="spellStart"/>
      <w:r>
        <w:t>Neratinib</w:t>
      </w:r>
      <w:proofErr w:type="spellEnd"/>
      <w:r>
        <w:t xml:space="preserve"> is a new chemical entity that binds to the intracellular tyrosine kinase domains of HER1 (EGFR), HER2 and HER4. </w:t>
      </w:r>
      <w:r>
        <w:rPr>
          <w:lang w:eastAsia="ja-JP"/>
        </w:rPr>
        <w:t xml:space="preserve">The application </w:t>
      </w:r>
      <w:r w:rsidR="009116FB">
        <w:rPr>
          <w:lang w:eastAsia="ja-JP"/>
        </w:rPr>
        <w:t xml:space="preserve">described in this </w:t>
      </w:r>
      <w:proofErr w:type="spellStart"/>
      <w:r w:rsidR="009116FB">
        <w:rPr>
          <w:lang w:eastAsia="ja-JP"/>
        </w:rPr>
        <w:t>AusPAR</w:t>
      </w:r>
      <w:proofErr w:type="spellEnd"/>
      <w:r w:rsidR="009116FB">
        <w:rPr>
          <w:lang w:eastAsia="ja-JP"/>
        </w:rPr>
        <w:t xml:space="preserve"> sought</w:t>
      </w:r>
      <w:r>
        <w:rPr>
          <w:lang w:eastAsia="ja-JP"/>
        </w:rPr>
        <w:t xml:space="preserve"> approval of </w:t>
      </w:r>
      <w:proofErr w:type="spellStart"/>
      <w:r>
        <w:rPr>
          <w:lang w:eastAsia="ja-JP"/>
        </w:rPr>
        <w:t>neratinib</w:t>
      </w:r>
      <w:proofErr w:type="spellEnd"/>
      <w:r>
        <w:rPr>
          <w:lang w:eastAsia="ja-JP"/>
        </w:rPr>
        <w:t xml:space="preserve"> for use in the adjuvant treatment </w:t>
      </w:r>
      <w:r w:rsidR="007024B0">
        <w:rPr>
          <w:lang w:eastAsia="ja-JP"/>
        </w:rPr>
        <w:t xml:space="preserve">of </w:t>
      </w:r>
      <w:r>
        <w:rPr>
          <w:lang w:eastAsia="ja-JP"/>
        </w:rPr>
        <w:t>HER-2 positive breast cancer.</w:t>
      </w:r>
    </w:p>
    <w:p w14:paraId="6665F97E" w14:textId="4141891F" w:rsidR="005338EC" w:rsidRDefault="005338EC" w:rsidP="005338EC">
      <w:pPr>
        <w:rPr>
          <w:lang w:eastAsia="ja-JP"/>
        </w:rPr>
      </w:pPr>
      <w:r>
        <w:rPr>
          <w:lang w:eastAsia="ja-JP"/>
        </w:rPr>
        <w:t>The ind</w:t>
      </w:r>
      <w:r w:rsidR="009116FB">
        <w:rPr>
          <w:lang w:eastAsia="ja-JP"/>
        </w:rPr>
        <w:t>ication sought by the sponsor was</w:t>
      </w:r>
      <w:r>
        <w:rPr>
          <w:lang w:eastAsia="ja-JP"/>
        </w:rPr>
        <w:t xml:space="preserve"> for </w:t>
      </w:r>
      <w:r w:rsidRPr="007337DB">
        <w:rPr>
          <w:i/>
          <w:lang w:eastAsia="ja-JP"/>
        </w:rPr>
        <w:t>extended</w:t>
      </w:r>
      <w:r>
        <w:rPr>
          <w:lang w:eastAsia="ja-JP"/>
        </w:rPr>
        <w:t xml:space="preserve"> adjuvant treatment of HER2</w:t>
      </w:r>
      <w:r w:rsidR="004E74F9">
        <w:rPr>
          <w:lang w:eastAsia="ja-JP"/>
        </w:rPr>
        <w:noBreakHyphen/>
      </w:r>
      <w:r>
        <w:rPr>
          <w:lang w:eastAsia="ja-JP"/>
        </w:rPr>
        <w:t xml:space="preserve">positive breast cancer. It </w:t>
      </w:r>
      <w:proofErr w:type="gramStart"/>
      <w:r w:rsidR="009116FB">
        <w:rPr>
          <w:lang w:eastAsia="ja-JP"/>
        </w:rPr>
        <w:t>was</w:t>
      </w:r>
      <w:r>
        <w:rPr>
          <w:lang w:eastAsia="ja-JP"/>
        </w:rPr>
        <w:t xml:space="preserve"> proposed</w:t>
      </w:r>
      <w:proofErr w:type="gramEnd"/>
      <w:r>
        <w:rPr>
          <w:lang w:eastAsia="ja-JP"/>
        </w:rPr>
        <w:t xml:space="preserve"> that treatment commence after completion of </w:t>
      </w:r>
      <w:proofErr w:type="spellStart"/>
      <w:r>
        <w:rPr>
          <w:lang w:eastAsia="ja-JP"/>
        </w:rPr>
        <w:t>trastuzumab</w:t>
      </w:r>
      <w:proofErr w:type="spellEnd"/>
      <w:r>
        <w:rPr>
          <w:lang w:eastAsia="ja-JP"/>
        </w:rPr>
        <w:t xml:space="preserve"> therapy and continue for a period of 12 months. Therefore, specific anti</w:t>
      </w:r>
      <w:r w:rsidR="004E74F9">
        <w:rPr>
          <w:lang w:eastAsia="ja-JP"/>
        </w:rPr>
        <w:noBreakHyphen/>
      </w:r>
      <w:r>
        <w:rPr>
          <w:lang w:eastAsia="ja-JP"/>
        </w:rPr>
        <w:t xml:space="preserve">HER2 therapy </w:t>
      </w:r>
      <w:proofErr w:type="gramStart"/>
      <w:r>
        <w:rPr>
          <w:lang w:eastAsia="ja-JP"/>
        </w:rPr>
        <w:t>would be received</w:t>
      </w:r>
      <w:proofErr w:type="gramEnd"/>
      <w:r>
        <w:rPr>
          <w:lang w:eastAsia="ja-JP"/>
        </w:rPr>
        <w:t xml:space="preserve"> for a total of 24 months.</w:t>
      </w:r>
    </w:p>
    <w:p w14:paraId="7121467D" w14:textId="77777777" w:rsidR="005338EC" w:rsidRDefault="005338EC" w:rsidP="005338EC">
      <w:pPr>
        <w:rPr>
          <w:lang w:eastAsia="ja-JP"/>
        </w:rPr>
      </w:pPr>
      <w:r>
        <w:rPr>
          <w:lang w:eastAsia="ja-JP"/>
        </w:rPr>
        <w:t>The rationale provided by the sponsor included the following:</w:t>
      </w:r>
    </w:p>
    <w:p w14:paraId="483B695E" w14:textId="79066B61" w:rsidR="005338EC" w:rsidRDefault="005338EC" w:rsidP="000F1F83">
      <w:pPr>
        <w:pStyle w:val="ListBullet"/>
        <w:rPr>
          <w:lang w:eastAsia="ja-JP"/>
        </w:rPr>
      </w:pPr>
      <w:r w:rsidRPr="00DD3E3F">
        <w:t xml:space="preserve">Approximately 26% of subjects who receive adjuvant </w:t>
      </w:r>
      <w:proofErr w:type="spellStart"/>
      <w:r w:rsidRPr="00DD3E3F">
        <w:t>trastuzumab</w:t>
      </w:r>
      <w:proofErr w:type="spellEnd"/>
      <w:r w:rsidRPr="00DD3E3F">
        <w:t xml:space="preserve"> develop disease recurrence. One potential explanation in these subjects is the development of acq</w:t>
      </w:r>
      <w:r>
        <w:t xml:space="preserve">uired resistance to </w:t>
      </w:r>
      <w:proofErr w:type="spellStart"/>
      <w:r>
        <w:t>trastuzumab</w:t>
      </w:r>
      <w:proofErr w:type="spellEnd"/>
      <w:r>
        <w:t xml:space="preserve">, </w:t>
      </w:r>
      <w:r>
        <w:rPr>
          <w:lang w:eastAsia="ja-JP"/>
        </w:rPr>
        <w:t xml:space="preserve">which may occur when the extracellular domain HER2 receptor </w:t>
      </w:r>
      <w:proofErr w:type="gramStart"/>
      <w:r>
        <w:rPr>
          <w:lang w:eastAsia="ja-JP"/>
        </w:rPr>
        <w:t>can no longer be recognized</w:t>
      </w:r>
      <w:proofErr w:type="gramEnd"/>
      <w:r>
        <w:rPr>
          <w:lang w:eastAsia="ja-JP"/>
        </w:rPr>
        <w:t xml:space="preserve"> by </w:t>
      </w:r>
      <w:proofErr w:type="spellStart"/>
      <w:r>
        <w:rPr>
          <w:lang w:eastAsia="ja-JP"/>
        </w:rPr>
        <w:t>trastuzumab</w:t>
      </w:r>
      <w:proofErr w:type="spellEnd"/>
      <w:r>
        <w:rPr>
          <w:lang w:eastAsia="ja-JP"/>
        </w:rPr>
        <w:t xml:space="preserve"> or because of co-activation of HER1 (EGFR) signalling.</w:t>
      </w:r>
    </w:p>
    <w:p w14:paraId="06525051" w14:textId="72A286CA" w:rsidR="00741A11" w:rsidRDefault="00741A11" w:rsidP="000F1F83">
      <w:pPr>
        <w:pStyle w:val="ListBullet"/>
        <w:rPr>
          <w:lang w:eastAsia="ja-JP"/>
        </w:rPr>
      </w:pPr>
      <w:proofErr w:type="spellStart"/>
      <w:r>
        <w:t>Neratinib</w:t>
      </w:r>
      <w:proofErr w:type="spellEnd"/>
      <w:r>
        <w:t xml:space="preserve"> binds to the intracellular tyrosine kinase domains of HER1 (EGFR), HER2 </w:t>
      </w:r>
      <w:proofErr w:type="gramStart"/>
      <w:r>
        <w:t>and</w:t>
      </w:r>
      <w:proofErr w:type="gramEnd"/>
      <w:r>
        <w:t xml:space="preserve"> HER4. Its mode of action is therefore different to </w:t>
      </w:r>
      <w:proofErr w:type="spellStart"/>
      <w:r>
        <w:t>trastuzumab</w:t>
      </w:r>
      <w:proofErr w:type="spellEnd"/>
      <w:r>
        <w:t xml:space="preserve">, which targets the extracellular domain of HER2 only. </w:t>
      </w:r>
      <w:proofErr w:type="spellStart"/>
      <w:r>
        <w:t>Neratinib</w:t>
      </w:r>
      <w:proofErr w:type="spellEnd"/>
      <w:r>
        <w:t xml:space="preserve"> binding is also irreversible. These features may make </w:t>
      </w:r>
      <w:proofErr w:type="spellStart"/>
      <w:r>
        <w:t>neratinib</w:t>
      </w:r>
      <w:proofErr w:type="spellEnd"/>
      <w:r>
        <w:t xml:space="preserve"> effective even in the presence of </w:t>
      </w:r>
      <w:proofErr w:type="spellStart"/>
      <w:r>
        <w:t>trastuzumab</w:t>
      </w:r>
      <w:proofErr w:type="spellEnd"/>
      <w:r>
        <w:t xml:space="preserve"> resistance.</w:t>
      </w:r>
    </w:p>
    <w:p w14:paraId="2A46119E" w14:textId="77777777" w:rsidR="008E7846" w:rsidRPr="003F31A2" w:rsidRDefault="00386150" w:rsidP="00EA7DF1">
      <w:pPr>
        <w:pStyle w:val="Heading3"/>
      </w:pPr>
      <w:bookmarkStart w:id="16" w:name="_Toc314842485"/>
      <w:bookmarkStart w:id="17" w:name="_Toc247691504"/>
      <w:bookmarkStart w:id="18" w:name="_Toc40186901"/>
      <w:r>
        <w:t>Regulatory s</w:t>
      </w:r>
      <w:r w:rsidR="008E7846">
        <w:t>tatus</w:t>
      </w:r>
      <w:bookmarkEnd w:id="16"/>
      <w:bookmarkEnd w:id="17"/>
      <w:bookmarkEnd w:id="18"/>
    </w:p>
    <w:p w14:paraId="5D1EA566" w14:textId="77777777" w:rsidR="007A6505" w:rsidRPr="00940A89" w:rsidRDefault="005338EC" w:rsidP="005338EC">
      <w:bookmarkStart w:id="19" w:name="_Toc247691505"/>
      <w:bookmarkStart w:id="20" w:name="_Toc314842486"/>
      <w:proofErr w:type="spellStart"/>
      <w:r w:rsidRPr="005338EC">
        <w:t>Nerlynx</w:t>
      </w:r>
      <w:proofErr w:type="spellEnd"/>
      <w:r w:rsidRPr="005338EC">
        <w:t xml:space="preserve"> </w:t>
      </w:r>
      <w:r>
        <w:t>(</w:t>
      </w:r>
      <w:proofErr w:type="spellStart"/>
      <w:r>
        <w:t>neratinib</w:t>
      </w:r>
      <w:proofErr w:type="spellEnd"/>
      <w:r>
        <w:t xml:space="preserve"> </w:t>
      </w:r>
      <w:r w:rsidRPr="005338EC">
        <w:t>as maleate)</w:t>
      </w:r>
      <w:r>
        <w:t xml:space="preserve"> </w:t>
      </w:r>
      <w:proofErr w:type="gramStart"/>
      <w:r>
        <w:t>is considered</w:t>
      </w:r>
      <w:proofErr w:type="gramEnd"/>
      <w:r>
        <w:t xml:space="preserve"> a new chemical entity for Australian regulatory purposes.</w:t>
      </w:r>
    </w:p>
    <w:p w14:paraId="7BBC336F" w14:textId="77777777" w:rsidR="00940A89" w:rsidRDefault="00940A89" w:rsidP="00940A89">
      <w:r w:rsidRPr="00940A89">
        <w:t xml:space="preserve">At the time the TGA considered this application, a similar application </w:t>
      </w:r>
      <w:proofErr w:type="gramStart"/>
      <w:r w:rsidRPr="00940A89">
        <w:t>had been approved</w:t>
      </w:r>
      <w:proofErr w:type="gramEnd"/>
      <w:r w:rsidRPr="00940A89">
        <w:t xml:space="preserve"> </w:t>
      </w:r>
      <w:r w:rsidR="005338EC">
        <w:t>in the United States of America (USA) and the European Union (EU) for the following indications.</w:t>
      </w:r>
    </w:p>
    <w:p w14:paraId="7E0E336A" w14:textId="0710AFDD" w:rsidR="005338EC" w:rsidRDefault="005338EC" w:rsidP="00940A89">
      <w:r>
        <w:t xml:space="preserve">USA </w:t>
      </w:r>
      <w:r w:rsidR="004E74F9">
        <w:t xml:space="preserve">(Food and Drug Administration (FDA)) </w:t>
      </w:r>
      <w:r>
        <w:t>approved indication (approved 17 July 2017):</w:t>
      </w:r>
    </w:p>
    <w:p w14:paraId="01D760B9" w14:textId="77777777" w:rsidR="005338EC" w:rsidRPr="005338EC" w:rsidRDefault="005338EC" w:rsidP="005338EC">
      <w:pPr>
        <w:ind w:left="720"/>
        <w:rPr>
          <w:i/>
        </w:rPr>
      </w:pPr>
      <w:proofErr w:type="spellStart"/>
      <w:r w:rsidRPr="005338EC">
        <w:rPr>
          <w:i/>
        </w:rPr>
        <w:t>Nerlynx</w:t>
      </w:r>
      <w:proofErr w:type="spellEnd"/>
      <w:r w:rsidRPr="005338EC">
        <w:rPr>
          <w:i/>
        </w:rPr>
        <w:t xml:space="preserve"> </w:t>
      </w:r>
      <w:proofErr w:type="gramStart"/>
      <w:r w:rsidRPr="005338EC">
        <w:rPr>
          <w:i/>
        </w:rPr>
        <w:t>is indicated</w:t>
      </w:r>
      <w:proofErr w:type="gramEnd"/>
      <w:r w:rsidRPr="005338EC">
        <w:rPr>
          <w:i/>
        </w:rPr>
        <w:t xml:space="preserve"> for the extended adjuvant treatment of adult patients with early stage HER2-overexpressed/amplified breast cancer, to follow adjuvant </w:t>
      </w:r>
      <w:proofErr w:type="spellStart"/>
      <w:r w:rsidRPr="005338EC">
        <w:rPr>
          <w:i/>
        </w:rPr>
        <w:t>trastuzumab</w:t>
      </w:r>
      <w:proofErr w:type="spellEnd"/>
      <w:r w:rsidRPr="005338EC">
        <w:rPr>
          <w:i/>
        </w:rPr>
        <w:t xml:space="preserve"> based therapy.</w:t>
      </w:r>
    </w:p>
    <w:p w14:paraId="3EA64C62" w14:textId="2006720C" w:rsidR="005338EC" w:rsidRDefault="005338EC" w:rsidP="00940A89">
      <w:r>
        <w:t xml:space="preserve">EU </w:t>
      </w:r>
      <w:r w:rsidR="004E74F9">
        <w:t xml:space="preserve">(European Medicines Agency (EMA)) </w:t>
      </w:r>
      <w:r>
        <w:t>approved indication (approved September 2018):</w:t>
      </w:r>
    </w:p>
    <w:p w14:paraId="0CCD27C5" w14:textId="77777777" w:rsidR="005338EC" w:rsidRPr="005338EC" w:rsidRDefault="005338EC" w:rsidP="005338EC">
      <w:pPr>
        <w:ind w:left="720"/>
        <w:rPr>
          <w:i/>
        </w:rPr>
      </w:pPr>
      <w:proofErr w:type="spellStart"/>
      <w:r w:rsidRPr="005338EC">
        <w:rPr>
          <w:i/>
        </w:rPr>
        <w:t>Nerlynx</w:t>
      </w:r>
      <w:proofErr w:type="spellEnd"/>
      <w:r w:rsidRPr="005338EC">
        <w:rPr>
          <w:i/>
        </w:rPr>
        <w:t xml:space="preserve"> </w:t>
      </w:r>
      <w:proofErr w:type="gramStart"/>
      <w:r w:rsidRPr="005338EC">
        <w:rPr>
          <w:i/>
        </w:rPr>
        <w:t>is indicated</w:t>
      </w:r>
      <w:proofErr w:type="gramEnd"/>
      <w:r w:rsidRPr="005338EC">
        <w:rPr>
          <w:i/>
        </w:rPr>
        <w:t xml:space="preserve"> for the extended adjuvant treatment of adult patients with early-stage hormone receptor positive HER2-overexpressed/amplified breast cancer and who are less than one year from the completion of prior adjuvant </w:t>
      </w:r>
      <w:proofErr w:type="spellStart"/>
      <w:r w:rsidRPr="005338EC">
        <w:rPr>
          <w:i/>
        </w:rPr>
        <w:t>trastuzumab</w:t>
      </w:r>
      <w:proofErr w:type="spellEnd"/>
      <w:r w:rsidRPr="005338EC">
        <w:rPr>
          <w:i/>
        </w:rPr>
        <w:t xml:space="preserve"> based therapy.</w:t>
      </w:r>
    </w:p>
    <w:p w14:paraId="357B64B8" w14:textId="77777777" w:rsidR="008E7846" w:rsidRDefault="008E7846" w:rsidP="00940A89">
      <w:pPr>
        <w:pStyle w:val="Heading3"/>
      </w:pPr>
      <w:bookmarkStart w:id="21" w:name="_Toc40186902"/>
      <w:r>
        <w:lastRenderedPageBreak/>
        <w:t>Product Information</w:t>
      </w:r>
      <w:bookmarkEnd w:id="19"/>
      <w:bookmarkEnd w:id="20"/>
      <w:bookmarkEnd w:id="21"/>
    </w:p>
    <w:p w14:paraId="59D3AA81" w14:textId="77777777" w:rsidR="00940A89" w:rsidRDefault="006136D7" w:rsidP="00EA7DF1">
      <w:bookmarkStart w:id="22" w:name="_Toc247691506"/>
      <w:bookmarkStart w:id="23" w:name="_Toc314842487"/>
      <w:r w:rsidRPr="00940A89">
        <w:t xml:space="preserve">The Product Information (PI) </w:t>
      </w:r>
      <w:r>
        <w:t xml:space="preserve">approved with the </w:t>
      </w:r>
      <w:proofErr w:type="gramStart"/>
      <w:r>
        <w:t xml:space="preserve">submission which is described in </w:t>
      </w:r>
      <w:r w:rsidRPr="00940A89">
        <w:t xml:space="preserve">this </w:t>
      </w:r>
      <w:proofErr w:type="spellStart"/>
      <w:r w:rsidRPr="00940A89">
        <w:t>AusPAR</w:t>
      </w:r>
      <w:proofErr w:type="spellEnd"/>
      <w:proofErr w:type="gram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3" w:history="1">
        <w:r w:rsidR="00441C3F" w:rsidRPr="00441C3F">
          <w:rPr>
            <w:rStyle w:val="Hyperlink"/>
          </w:rPr>
          <w:t>https://www.tga.gov.au/product-information-pi</w:t>
        </w:r>
      </w:hyperlink>
      <w:r w:rsidR="00441C3F">
        <w:t>&gt;</w:t>
      </w:r>
      <w:r w:rsidR="00940A89" w:rsidRPr="00940A89">
        <w:t>.</w:t>
      </w:r>
    </w:p>
    <w:p w14:paraId="2840F187" w14:textId="77777777" w:rsidR="00500337" w:rsidRDefault="00967901" w:rsidP="00500337">
      <w:pPr>
        <w:pStyle w:val="Heading2"/>
      </w:pPr>
      <w:bookmarkStart w:id="24" w:name="_Toc504480011"/>
      <w:bookmarkStart w:id="25" w:name="_Toc40186903"/>
      <w:r>
        <w:t>II. Registration time</w:t>
      </w:r>
      <w:r w:rsidR="00500337">
        <w:t>line</w:t>
      </w:r>
      <w:bookmarkEnd w:id="24"/>
      <w:bookmarkEnd w:id="25"/>
    </w:p>
    <w:p w14:paraId="5E7E99A3" w14:textId="2FD69E29" w:rsidR="00500337" w:rsidRDefault="00473EC7" w:rsidP="00500337">
      <w:r>
        <w:fldChar w:fldCharType="begin"/>
      </w:r>
      <w:r>
        <w:instrText xml:space="preserve"> REF _Ref34323313 \h </w:instrText>
      </w:r>
      <w:r>
        <w:fldChar w:fldCharType="separate"/>
      </w:r>
      <w:r>
        <w:t xml:space="preserve">Table </w:t>
      </w:r>
      <w:r>
        <w:rPr>
          <w:noProof/>
        </w:rPr>
        <w:t>1</w:t>
      </w:r>
      <w:r>
        <w:fldChar w:fldCharType="end"/>
      </w:r>
      <w:r>
        <w:t xml:space="preserve"> </w:t>
      </w:r>
      <w:r w:rsidR="00500337">
        <w:t xml:space="preserve">captures the key steps and dates for this application and which </w:t>
      </w:r>
      <w:proofErr w:type="gramStart"/>
      <w:r w:rsidR="00500337">
        <w:t xml:space="preserve">are detailed and discussed in this </w:t>
      </w:r>
      <w:proofErr w:type="spellStart"/>
      <w:r w:rsidR="00500337">
        <w:t>AusPAR</w:t>
      </w:r>
      <w:proofErr w:type="spellEnd"/>
      <w:proofErr w:type="gramEnd"/>
      <w:r w:rsidR="00500337">
        <w:t>.</w:t>
      </w:r>
    </w:p>
    <w:p w14:paraId="39D8FB00" w14:textId="7011AC75" w:rsidR="00500337" w:rsidRPr="00377BD4" w:rsidRDefault="00473EC7" w:rsidP="00473EC7">
      <w:pPr>
        <w:pStyle w:val="TableTitle"/>
      </w:pPr>
      <w:bookmarkStart w:id="26" w:name="_Ref34323313"/>
      <w:r>
        <w:t xml:space="preserve">Table </w:t>
      </w:r>
      <w:r w:rsidR="003B0773">
        <w:fldChar w:fldCharType="begin"/>
      </w:r>
      <w:r w:rsidR="003B0773">
        <w:instrText xml:space="preserve"> SEQ Table \* ARABIC </w:instrText>
      </w:r>
      <w:r w:rsidR="003B0773">
        <w:fldChar w:fldCharType="separate"/>
      </w:r>
      <w:r>
        <w:rPr>
          <w:noProof/>
        </w:rPr>
        <w:t>1</w:t>
      </w:r>
      <w:r w:rsidR="003B0773">
        <w:rPr>
          <w:noProof/>
        </w:rPr>
        <w:fldChar w:fldCharType="end"/>
      </w:r>
      <w:bookmarkEnd w:id="26"/>
      <w:r>
        <w:t xml:space="preserve">: </w:t>
      </w:r>
      <w:r w:rsidR="006A58A8" w:rsidRPr="006A58A8">
        <w:t xml:space="preserve">Timeline for Submission </w:t>
      </w:r>
      <w:r w:rsidR="00967901" w:rsidRPr="00FA4AFC">
        <w:t>PM-2018-00968-1-4</w:t>
      </w:r>
    </w:p>
    <w:tbl>
      <w:tblPr>
        <w:tblStyle w:val="TableTGAblue"/>
        <w:tblW w:w="0" w:type="auto"/>
        <w:tblLook w:val="04A0" w:firstRow="1" w:lastRow="0" w:firstColumn="1" w:lastColumn="0" w:noHBand="0" w:noVBand="1"/>
      </w:tblPr>
      <w:tblGrid>
        <w:gridCol w:w="4250"/>
        <w:gridCol w:w="4234"/>
      </w:tblGrid>
      <w:tr w:rsidR="00500337" w14:paraId="3CFBDB9E" w14:textId="7777777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14:paraId="54220158" w14:textId="77777777" w:rsidR="00500337" w:rsidRDefault="00500337" w:rsidP="00500337">
            <w:pPr>
              <w:ind w:left="0" w:right="0"/>
            </w:pPr>
            <w:r>
              <w:t>Description</w:t>
            </w:r>
          </w:p>
        </w:tc>
        <w:tc>
          <w:tcPr>
            <w:tcW w:w="4360" w:type="dxa"/>
          </w:tcPr>
          <w:p w14:paraId="379A7EB6" w14:textId="77777777" w:rsidR="00500337" w:rsidRDefault="00500337" w:rsidP="00500337">
            <w:pPr>
              <w:ind w:left="0" w:right="0"/>
            </w:pPr>
            <w:r>
              <w:t>Date</w:t>
            </w:r>
          </w:p>
        </w:tc>
      </w:tr>
      <w:tr w:rsidR="00500337" w14:paraId="108BE568" w14:textId="77777777" w:rsidTr="00500337">
        <w:tc>
          <w:tcPr>
            <w:tcW w:w="4360" w:type="dxa"/>
          </w:tcPr>
          <w:p w14:paraId="25250B86" w14:textId="77777777" w:rsidR="00500337" w:rsidRDefault="00500337" w:rsidP="00500337">
            <w:pPr>
              <w:ind w:left="0" w:right="0"/>
            </w:pPr>
            <w:r>
              <w:t>Submission dossier accepted and first round evaluation commenced</w:t>
            </w:r>
          </w:p>
        </w:tc>
        <w:tc>
          <w:tcPr>
            <w:tcW w:w="4360" w:type="dxa"/>
          </w:tcPr>
          <w:p w14:paraId="1937E654" w14:textId="0DF42F51" w:rsidR="00500337" w:rsidRDefault="007337DB" w:rsidP="00500337">
            <w:pPr>
              <w:ind w:left="0" w:right="0"/>
            </w:pPr>
            <w:r>
              <w:t>30 April 2018</w:t>
            </w:r>
          </w:p>
        </w:tc>
      </w:tr>
      <w:tr w:rsidR="00500337" w14:paraId="265CF7DC" w14:textId="77777777" w:rsidTr="00500337">
        <w:tc>
          <w:tcPr>
            <w:tcW w:w="4360" w:type="dxa"/>
          </w:tcPr>
          <w:p w14:paraId="61EC85CB" w14:textId="77777777" w:rsidR="00500337" w:rsidRDefault="00500337" w:rsidP="00500337">
            <w:pPr>
              <w:ind w:left="0" w:right="0"/>
            </w:pPr>
            <w:r>
              <w:t>First round evaluation completed</w:t>
            </w:r>
          </w:p>
        </w:tc>
        <w:tc>
          <w:tcPr>
            <w:tcW w:w="4360" w:type="dxa"/>
          </w:tcPr>
          <w:p w14:paraId="49D5B3BB" w14:textId="46A263C9" w:rsidR="00500337" w:rsidRDefault="007337DB" w:rsidP="00500337">
            <w:pPr>
              <w:ind w:left="0" w:right="0"/>
            </w:pPr>
            <w:r>
              <w:t>18 October 2018</w:t>
            </w:r>
          </w:p>
        </w:tc>
      </w:tr>
      <w:tr w:rsidR="00500337" w14:paraId="1771DBB3" w14:textId="77777777" w:rsidTr="00500337">
        <w:tc>
          <w:tcPr>
            <w:tcW w:w="4360" w:type="dxa"/>
          </w:tcPr>
          <w:p w14:paraId="579D6E1D" w14:textId="77777777" w:rsidR="00500337" w:rsidRDefault="00500337" w:rsidP="00500337">
            <w:pPr>
              <w:ind w:left="0" w:right="0"/>
            </w:pPr>
            <w:r>
              <w:t>Sponsor provides responses on questions raised in first round evaluation</w:t>
            </w:r>
          </w:p>
        </w:tc>
        <w:tc>
          <w:tcPr>
            <w:tcW w:w="4360" w:type="dxa"/>
          </w:tcPr>
          <w:p w14:paraId="4D963B68" w14:textId="32836326" w:rsidR="00500337" w:rsidRDefault="007337DB" w:rsidP="00500337">
            <w:pPr>
              <w:ind w:left="0" w:right="0"/>
            </w:pPr>
            <w:r>
              <w:t>15 November 2018</w:t>
            </w:r>
          </w:p>
        </w:tc>
      </w:tr>
      <w:tr w:rsidR="00500337" w14:paraId="31BF94CD" w14:textId="77777777" w:rsidTr="00500337">
        <w:tc>
          <w:tcPr>
            <w:tcW w:w="4360" w:type="dxa"/>
          </w:tcPr>
          <w:p w14:paraId="0606307B" w14:textId="77777777" w:rsidR="00500337" w:rsidRDefault="00500337" w:rsidP="00500337">
            <w:pPr>
              <w:ind w:left="0" w:right="0"/>
            </w:pPr>
            <w:r>
              <w:t>Second round evaluation completed</w:t>
            </w:r>
          </w:p>
        </w:tc>
        <w:tc>
          <w:tcPr>
            <w:tcW w:w="4360" w:type="dxa"/>
          </w:tcPr>
          <w:p w14:paraId="367E98FB" w14:textId="36D1D1A5" w:rsidR="00500337" w:rsidRDefault="00CE38A1" w:rsidP="00500337">
            <w:pPr>
              <w:ind w:left="0" w:right="0"/>
            </w:pPr>
            <w:r>
              <w:t>12</w:t>
            </w:r>
            <w:r w:rsidR="007337DB">
              <w:t xml:space="preserve"> March 2019</w:t>
            </w:r>
          </w:p>
        </w:tc>
      </w:tr>
      <w:tr w:rsidR="00500337" w14:paraId="1744AFC0" w14:textId="77777777" w:rsidTr="00500337">
        <w:tc>
          <w:tcPr>
            <w:tcW w:w="4360" w:type="dxa"/>
          </w:tcPr>
          <w:p w14:paraId="1DBC381E" w14:textId="352DBCC9" w:rsidR="00500337" w:rsidRDefault="00500337" w:rsidP="00473EC7">
            <w:pPr>
              <w:ind w:left="0" w:right="0"/>
            </w:pPr>
            <w:r>
              <w:t xml:space="preserve">Delegate’s </w:t>
            </w:r>
            <w:r w:rsidR="00473EC7">
              <w:t>Overall benefit-risk assessment</w:t>
            </w:r>
          </w:p>
        </w:tc>
        <w:tc>
          <w:tcPr>
            <w:tcW w:w="4360" w:type="dxa"/>
          </w:tcPr>
          <w:p w14:paraId="58C1A0DA" w14:textId="0DFB0A81" w:rsidR="00500337" w:rsidRDefault="007337DB" w:rsidP="00500337">
            <w:pPr>
              <w:ind w:left="0" w:right="0"/>
            </w:pPr>
            <w:r>
              <w:t>14 February 2019</w:t>
            </w:r>
          </w:p>
        </w:tc>
      </w:tr>
      <w:tr w:rsidR="00500337" w14:paraId="357F49C6" w14:textId="77777777" w:rsidTr="00500337">
        <w:tc>
          <w:tcPr>
            <w:tcW w:w="4360" w:type="dxa"/>
          </w:tcPr>
          <w:p w14:paraId="41172973" w14:textId="77777777" w:rsidR="00500337" w:rsidRDefault="00500337" w:rsidP="00500337">
            <w:pPr>
              <w:ind w:left="0" w:right="0"/>
            </w:pPr>
            <w:r>
              <w:t>Sponsor’s pre-Advisory Committee response</w:t>
            </w:r>
          </w:p>
        </w:tc>
        <w:tc>
          <w:tcPr>
            <w:tcW w:w="4360" w:type="dxa"/>
          </w:tcPr>
          <w:p w14:paraId="309DEC4E" w14:textId="5E68296B" w:rsidR="00500337" w:rsidRDefault="00473EC7" w:rsidP="00500337">
            <w:pPr>
              <w:ind w:left="0" w:right="0"/>
            </w:pPr>
            <w:r>
              <w:t>Not applicable</w:t>
            </w:r>
          </w:p>
        </w:tc>
      </w:tr>
      <w:tr w:rsidR="00500337" w14:paraId="61E2CC49" w14:textId="77777777" w:rsidTr="00500337">
        <w:tc>
          <w:tcPr>
            <w:tcW w:w="4360" w:type="dxa"/>
          </w:tcPr>
          <w:p w14:paraId="6F3DF7CF" w14:textId="77777777" w:rsidR="00500337" w:rsidRDefault="00500337" w:rsidP="00500337">
            <w:pPr>
              <w:ind w:left="0" w:right="0"/>
            </w:pPr>
            <w:r>
              <w:t>Advisory Committee meeting</w:t>
            </w:r>
          </w:p>
        </w:tc>
        <w:tc>
          <w:tcPr>
            <w:tcW w:w="4360" w:type="dxa"/>
          </w:tcPr>
          <w:p w14:paraId="3758B9F5" w14:textId="18F17594" w:rsidR="00500337" w:rsidRDefault="00473EC7" w:rsidP="00500337">
            <w:pPr>
              <w:ind w:left="0" w:right="0"/>
            </w:pPr>
            <w:r>
              <w:t>Not applicable</w:t>
            </w:r>
          </w:p>
        </w:tc>
      </w:tr>
      <w:tr w:rsidR="00500337" w14:paraId="36D6CA42" w14:textId="77777777" w:rsidTr="00500337">
        <w:tc>
          <w:tcPr>
            <w:tcW w:w="4360" w:type="dxa"/>
          </w:tcPr>
          <w:p w14:paraId="54C3F605" w14:textId="77777777" w:rsidR="00500337" w:rsidRDefault="00500337" w:rsidP="00500337">
            <w:pPr>
              <w:ind w:left="0" w:right="0"/>
            </w:pPr>
            <w:r>
              <w:t>Registration decision (Outcome)</w:t>
            </w:r>
          </w:p>
        </w:tc>
        <w:tc>
          <w:tcPr>
            <w:tcW w:w="4360" w:type="dxa"/>
          </w:tcPr>
          <w:p w14:paraId="7CC1EE10" w14:textId="4555CE71" w:rsidR="00500337" w:rsidRDefault="00473EC7" w:rsidP="00500337">
            <w:pPr>
              <w:ind w:left="0" w:right="0"/>
            </w:pPr>
            <w:r>
              <w:t>14 March 2019</w:t>
            </w:r>
          </w:p>
        </w:tc>
      </w:tr>
      <w:tr w:rsidR="00500337" w14:paraId="1A753B68" w14:textId="77777777" w:rsidTr="00500337">
        <w:tc>
          <w:tcPr>
            <w:tcW w:w="4360" w:type="dxa"/>
          </w:tcPr>
          <w:p w14:paraId="691A15EC" w14:textId="251AC7B0" w:rsidR="00500337" w:rsidRDefault="00500337" w:rsidP="00500337">
            <w:pPr>
              <w:ind w:left="0" w:right="0"/>
            </w:pPr>
            <w:r>
              <w:t xml:space="preserve">Completion of administrative activities and registration on </w:t>
            </w:r>
            <w:r w:rsidR="004E74F9">
              <w:t xml:space="preserve">the </w:t>
            </w:r>
            <w:r>
              <w:t>ARTG</w:t>
            </w:r>
          </w:p>
        </w:tc>
        <w:tc>
          <w:tcPr>
            <w:tcW w:w="4360" w:type="dxa"/>
          </w:tcPr>
          <w:p w14:paraId="28C7F7AC" w14:textId="5242EEC0" w:rsidR="00500337" w:rsidRDefault="00473EC7" w:rsidP="00500337">
            <w:pPr>
              <w:ind w:left="0" w:right="0"/>
            </w:pPr>
            <w:r>
              <w:t>15 March 2019</w:t>
            </w:r>
          </w:p>
        </w:tc>
      </w:tr>
      <w:tr w:rsidR="00500337" w14:paraId="363C65D8" w14:textId="77777777" w:rsidTr="00500337">
        <w:tc>
          <w:tcPr>
            <w:tcW w:w="4360" w:type="dxa"/>
          </w:tcPr>
          <w:p w14:paraId="1E74C7EB" w14:textId="77777777" w:rsidR="00500337" w:rsidRDefault="00500337" w:rsidP="00500337">
            <w:pPr>
              <w:ind w:left="0" w:right="0"/>
            </w:pPr>
            <w:r>
              <w:t>Number of working days from submission dossier acceptance to registration decision*</w:t>
            </w:r>
          </w:p>
        </w:tc>
        <w:tc>
          <w:tcPr>
            <w:tcW w:w="4360" w:type="dxa"/>
          </w:tcPr>
          <w:p w14:paraId="012652A0" w14:textId="593075E3" w:rsidR="00500337" w:rsidRDefault="00473EC7" w:rsidP="00500337">
            <w:pPr>
              <w:ind w:left="0" w:right="0"/>
            </w:pPr>
            <w:r>
              <w:t>200</w:t>
            </w:r>
          </w:p>
        </w:tc>
      </w:tr>
    </w:tbl>
    <w:p w14:paraId="461BDF45" w14:textId="77777777" w:rsidR="00500337" w:rsidRDefault="00500337" w:rsidP="00967901">
      <w:pPr>
        <w:pStyle w:val="TableDescription"/>
      </w:pPr>
      <w:r>
        <w:t>*</w:t>
      </w:r>
      <w:r w:rsidR="00BF3774" w:rsidRPr="00BF3774">
        <w:t xml:space="preserve">Statutory </w:t>
      </w:r>
      <w:r>
        <w:t>timeframe for standard applications is 2</w:t>
      </w:r>
      <w:r w:rsidR="00BF3774">
        <w:t>55</w:t>
      </w:r>
      <w:r w:rsidR="00967901">
        <w:t xml:space="preserve"> working days</w:t>
      </w:r>
    </w:p>
    <w:p w14:paraId="36512A2A" w14:textId="614B92B1" w:rsidR="008E7846" w:rsidRPr="00792A32" w:rsidRDefault="00456765" w:rsidP="008E7846">
      <w:pPr>
        <w:pStyle w:val="Heading2"/>
      </w:pPr>
      <w:bookmarkStart w:id="27" w:name="_Toc196046504"/>
      <w:bookmarkStart w:id="28" w:name="_Toc247691527"/>
      <w:bookmarkStart w:id="29" w:name="_Toc314842510"/>
      <w:bookmarkStart w:id="30" w:name="_Toc40186904"/>
      <w:bookmarkStart w:id="31" w:name="_Toc163441390"/>
      <w:bookmarkEnd w:id="22"/>
      <w:bookmarkEnd w:id="23"/>
      <w:bookmarkEnd w:id="2"/>
      <w:r>
        <w:t>I</w:t>
      </w:r>
      <w:r w:rsidR="00DA64CB">
        <w:t>I</w:t>
      </w:r>
      <w:r w:rsidR="008E7846">
        <w:t xml:space="preserve">I. </w:t>
      </w:r>
      <w:r w:rsidR="00B47B68">
        <w:t>Submission overview</w:t>
      </w:r>
      <w:r w:rsidR="008E7846" w:rsidRPr="00792A32">
        <w:t xml:space="preserve"> and </w:t>
      </w:r>
      <w:r w:rsidR="008E7846">
        <w:t>r</w:t>
      </w:r>
      <w:r w:rsidR="008E7846" w:rsidRPr="00792A32">
        <w:t>isk/</w:t>
      </w:r>
      <w:r w:rsidR="008E7846">
        <w:t>b</w:t>
      </w:r>
      <w:r w:rsidR="008E7846" w:rsidRPr="00792A32">
        <w:t xml:space="preserve">enefit </w:t>
      </w:r>
      <w:r w:rsidR="008E7846">
        <w:t>a</w:t>
      </w:r>
      <w:r w:rsidR="008E7846" w:rsidRPr="00792A32">
        <w:t>ssessment</w:t>
      </w:r>
      <w:bookmarkEnd w:id="27"/>
      <w:bookmarkEnd w:id="28"/>
      <w:bookmarkEnd w:id="29"/>
      <w:bookmarkEnd w:id="30"/>
    </w:p>
    <w:p w14:paraId="62CB6DC3" w14:textId="77777777" w:rsidR="008E7846" w:rsidRDefault="008E7846" w:rsidP="008E7846">
      <w:bookmarkStart w:id="32" w:name="_Toc247691528"/>
      <w:r>
        <w:t xml:space="preserve">The submission was summarised in the following </w:t>
      </w:r>
      <w:r w:rsidRPr="00EF5C48">
        <w:t xml:space="preserve">Delegate’s </w:t>
      </w:r>
      <w:r>
        <w:t>overview</w:t>
      </w:r>
      <w:r w:rsidRPr="00EF5C48">
        <w:t xml:space="preserve"> and recommendation</w:t>
      </w:r>
      <w:r w:rsidR="00967901">
        <w:t>s.</w:t>
      </w:r>
    </w:p>
    <w:p w14:paraId="313ED03F" w14:textId="77777777" w:rsidR="008E7846" w:rsidRDefault="008E7846" w:rsidP="008E7846">
      <w:pPr>
        <w:pStyle w:val="Heading3"/>
      </w:pPr>
      <w:bookmarkStart w:id="33" w:name="_Toc314842511"/>
      <w:bookmarkStart w:id="34" w:name="_Toc40186905"/>
      <w:r>
        <w:t>Quality</w:t>
      </w:r>
      <w:bookmarkEnd w:id="32"/>
      <w:bookmarkEnd w:id="33"/>
      <w:bookmarkEnd w:id="34"/>
    </w:p>
    <w:p w14:paraId="51C7C4C5" w14:textId="77777777" w:rsidR="00072EB1" w:rsidRDefault="00072EB1" w:rsidP="00072EB1">
      <w:r>
        <w:t xml:space="preserve">The sponsor has made a submission to register a new chemical entity, </w:t>
      </w:r>
      <w:proofErr w:type="spellStart"/>
      <w:r>
        <w:t>neratinib</w:t>
      </w:r>
      <w:proofErr w:type="spellEnd"/>
      <w:r>
        <w:t xml:space="preserve"> (as maleate) 40 mg film-coated tablets in bottles containing 180 tablets (equates to 30 day </w:t>
      </w:r>
      <w:r>
        <w:lastRenderedPageBreak/>
        <w:t xml:space="preserve">supply). The tablet contains 48.31 mg of </w:t>
      </w:r>
      <w:proofErr w:type="spellStart"/>
      <w:r>
        <w:t>neratinib</w:t>
      </w:r>
      <w:proofErr w:type="spellEnd"/>
      <w:r>
        <w:t xml:space="preserve"> maleate </w:t>
      </w:r>
      <w:r w:rsidR="00B06DE1">
        <w:t>(</w:t>
      </w:r>
      <w:r w:rsidR="00B06DE1">
        <w:fldChar w:fldCharType="begin"/>
      </w:r>
      <w:r w:rsidR="00B06DE1">
        <w:instrText xml:space="preserve"> REF _Ref31792900 \h </w:instrText>
      </w:r>
      <w:r w:rsidR="00B06DE1">
        <w:fldChar w:fldCharType="separate"/>
      </w:r>
      <w:r w:rsidR="00B06DE1">
        <w:t xml:space="preserve">Figure </w:t>
      </w:r>
      <w:r w:rsidR="00B06DE1">
        <w:rPr>
          <w:noProof/>
        </w:rPr>
        <w:t>1</w:t>
      </w:r>
      <w:r w:rsidR="00B06DE1">
        <w:fldChar w:fldCharType="end"/>
      </w:r>
      <w:r w:rsidR="00B06DE1">
        <w:t xml:space="preserve">) </w:t>
      </w:r>
      <w:proofErr w:type="spellStart"/>
      <w:r>
        <w:t>stoichiometrically</w:t>
      </w:r>
      <w:proofErr w:type="spellEnd"/>
      <w:r>
        <w:t xml:space="preserve"> equivalent to 40.0 mg of </w:t>
      </w:r>
      <w:proofErr w:type="spellStart"/>
      <w:r>
        <w:t>neratinib</w:t>
      </w:r>
      <w:proofErr w:type="spellEnd"/>
      <w:r>
        <w:t xml:space="preserve"> </w:t>
      </w:r>
      <w:proofErr w:type="gramStart"/>
      <w:r>
        <w:t>free base</w:t>
      </w:r>
      <w:proofErr w:type="gramEnd"/>
      <w:r>
        <w:t>.</w:t>
      </w:r>
    </w:p>
    <w:p w14:paraId="77D4A922" w14:textId="77777777" w:rsidR="00B06DE1" w:rsidRDefault="00B06DE1" w:rsidP="00B06DE1">
      <w:pPr>
        <w:pStyle w:val="FigureTitle"/>
      </w:pPr>
      <w:bookmarkStart w:id="35" w:name="_Ref31792900"/>
      <w:r>
        <w:t xml:space="preserve">Figure </w:t>
      </w:r>
      <w:r w:rsidR="003B0773">
        <w:fldChar w:fldCharType="begin"/>
      </w:r>
      <w:r w:rsidR="003B0773">
        <w:instrText xml:space="preserve"> SEQ Figure \* ARABIC </w:instrText>
      </w:r>
      <w:r w:rsidR="003B0773">
        <w:fldChar w:fldCharType="separate"/>
      </w:r>
      <w:r>
        <w:rPr>
          <w:noProof/>
        </w:rPr>
        <w:t>1</w:t>
      </w:r>
      <w:r w:rsidR="003B0773">
        <w:rPr>
          <w:noProof/>
        </w:rPr>
        <w:fldChar w:fldCharType="end"/>
      </w:r>
      <w:bookmarkEnd w:id="35"/>
      <w:r>
        <w:t xml:space="preserve">: Structure of </w:t>
      </w:r>
      <w:proofErr w:type="spellStart"/>
      <w:r>
        <w:t>n</w:t>
      </w:r>
      <w:r w:rsidRPr="000E38B8">
        <w:t>eratinib</w:t>
      </w:r>
      <w:proofErr w:type="spellEnd"/>
      <w:r w:rsidRPr="009A6DCD">
        <w:t xml:space="preserve"> (as maleate)</w:t>
      </w:r>
    </w:p>
    <w:p w14:paraId="346968F3" w14:textId="77777777" w:rsidR="00B06DE1" w:rsidRDefault="00B06DE1" w:rsidP="00B06DE1">
      <w:r w:rsidRPr="009A6DCD">
        <w:rPr>
          <w:noProof/>
          <w:lang w:eastAsia="en-AU"/>
        </w:rPr>
        <w:drawing>
          <wp:inline distT="0" distB="0" distL="0" distR="0" wp14:anchorId="0C2989ED" wp14:editId="309CFE5F">
            <wp:extent cx="2663641" cy="1781175"/>
            <wp:effectExtent l="0" t="0" r="3810" b="0"/>
            <wp:docPr id="24" name="Picture 24" descr="Structure of neratinib (as mal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71509" cy="1786437"/>
                    </a:xfrm>
                    <a:prstGeom prst="rect">
                      <a:avLst/>
                    </a:prstGeom>
                  </pic:spPr>
                </pic:pic>
              </a:graphicData>
            </a:graphic>
          </wp:inline>
        </w:drawing>
      </w:r>
    </w:p>
    <w:p w14:paraId="05F09728" w14:textId="44BA728E" w:rsidR="00730F8A" w:rsidRDefault="00F4380A" w:rsidP="00072EB1">
      <w:proofErr w:type="spellStart"/>
      <w:r>
        <w:t>Neratinib</w:t>
      </w:r>
      <w:proofErr w:type="spellEnd"/>
      <w:r>
        <w:t xml:space="preserve"> </w:t>
      </w:r>
      <w:r w:rsidR="00072EB1">
        <w:t xml:space="preserve">is an oral, irreversible tyrosine kinase inhibitor of HER1, 2 and 4, blocking signal transduction that preferentially inhibits proliferation of cells expressing </w:t>
      </w:r>
      <w:r w:rsidR="00107007">
        <w:t xml:space="preserve">HER2 and EGFR. </w:t>
      </w:r>
      <w:r w:rsidR="00072EB1">
        <w:t>Other dual inhibitors (inhibit both HER2 and EGFR kinases</w:t>
      </w:r>
      <w:r>
        <w:t>)</w:t>
      </w:r>
      <w:r w:rsidR="00072EB1">
        <w:t xml:space="preserve"> includ</w:t>
      </w:r>
      <w:r w:rsidR="009116FB">
        <w:t xml:space="preserve">e </w:t>
      </w:r>
      <w:proofErr w:type="spellStart"/>
      <w:r w:rsidR="009116FB">
        <w:t>lapatinib</w:t>
      </w:r>
      <w:proofErr w:type="spellEnd"/>
      <w:r w:rsidR="009116FB">
        <w:t xml:space="preserve"> and </w:t>
      </w:r>
      <w:proofErr w:type="spellStart"/>
      <w:r w:rsidR="009116FB">
        <w:t>afatinib</w:t>
      </w:r>
      <w:proofErr w:type="spellEnd"/>
      <w:r w:rsidR="009116FB">
        <w:t>. It is</w:t>
      </w:r>
      <w:r w:rsidR="00072EB1">
        <w:t xml:space="preserve"> prepared synthetically and isolated as an </w:t>
      </w:r>
      <w:proofErr w:type="spellStart"/>
      <w:r w:rsidR="00072EB1">
        <w:t>anhydrate</w:t>
      </w:r>
      <w:proofErr w:type="spellEnd"/>
      <w:r w:rsidR="00072EB1">
        <w:t xml:space="preserve"> maleate salt.</w:t>
      </w:r>
    </w:p>
    <w:p w14:paraId="79E39A31" w14:textId="77777777" w:rsidR="00072EB1" w:rsidRDefault="00072EB1" w:rsidP="003A7F6C">
      <w:r w:rsidRPr="009A6DCD">
        <w:t xml:space="preserve">The application and the supporting data relating to the composition, development, manufacture, quality control and stability of the product </w:t>
      </w:r>
      <w:proofErr w:type="gramStart"/>
      <w:r w:rsidRPr="009A6DCD">
        <w:t xml:space="preserve">have been assessed and checked for compliance, as applicable, with Australian legislation and requirements for new medicines and in accordance with </w:t>
      </w:r>
      <w:proofErr w:type="spellStart"/>
      <w:r w:rsidRPr="009A6DCD">
        <w:t>pharmacopoeial</w:t>
      </w:r>
      <w:proofErr w:type="spellEnd"/>
      <w:r w:rsidRPr="009A6DCD">
        <w:t xml:space="preserve"> standards and the technical guidelines adopted by the TGA</w:t>
      </w:r>
      <w:proofErr w:type="gramEnd"/>
      <w:r w:rsidRPr="009A6DCD">
        <w:t>.</w:t>
      </w:r>
    </w:p>
    <w:p w14:paraId="2B9F40A3" w14:textId="77777777" w:rsidR="00E45619" w:rsidRDefault="00072EB1" w:rsidP="003A7F6C">
      <w:r w:rsidRPr="00072EB1">
        <w:t xml:space="preserve">Registration </w:t>
      </w:r>
      <w:proofErr w:type="gramStart"/>
      <w:r w:rsidRPr="00072EB1">
        <w:t>is recommended</w:t>
      </w:r>
      <w:proofErr w:type="gramEnd"/>
      <w:r w:rsidRPr="00072EB1">
        <w:t xml:space="preserve"> with respect to chemistry, manufacturing and </w:t>
      </w:r>
      <w:proofErr w:type="spellStart"/>
      <w:r w:rsidRPr="00072EB1">
        <w:t>biopharmaceutic</w:t>
      </w:r>
      <w:proofErr w:type="spellEnd"/>
      <w:r w:rsidRPr="00072EB1">
        <w:t xml:space="preserve"> aspects.</w:t>
      </w:r>
    </w:p>
    <w:p w14:paraId="177F8A5A" w14:textId="77777777" w:rsidR="008E7846" w:rsidRDefault="008E7846" w:rsidP="008E7846">
      <w:pPr>
        <w:pStyle w:val="Heading3"/>
      </w:pPr>
      <w:bookmarkStart w:id="36" w:name="_Toc314842512"/>
      <w:bookmarkStart w:id="37" w:name="_Toc40186906"/>
      <w:r>
        <w:t>Nonclinical</w:t>
      </w:r>
      <w:bookmarkEnd w:id="36"/>
      <w:bookmarkEnd w:id="37"/>
    </w:p>
    <w:p w14:paraId="12EB7012" w14:textId="77777777" w:rsidR="00DC1948" w:rsidRDefault="00B06DE1" w:rsidP="00DC1948">
      <w:r>
        <w:t>The following conclusions and recommendations were summarised in the nonclinical evaluation:</w:t>
      </w:r>
    </w:p>
    <w:p w14:paraId="6D37200E" w14:textId="77777777" w:rsidR="00B06DE1" w:rsidRDefault="00B06DE1" w:rsidP="00B06DE1">
      <w:pPr>
        <w:pStyle w:val="ListBullet"/>
      </w:pPr>
      <w:r w:rsidRPr="00D239C2">
        <w:t>The pharmacology studies support the proposed indication and dose.</w:t>
      </w:r>
    </w:p>
    <w:p w14:paraId="76D597CB" w14:textId="77777777" w:rsidR="00B06DE1" w:rsidRDefault="00B06DE1" w:rsidP="00B06DE1">
      <w:pPr>
        <w:pStyle w:val="ListBullet"/>
      </w:pPr>
      <w:r>
        <w:t xml:space="preserve">The secondary </w:t>
      </w:r>
      <w:proofErr w:type="spellStart"/>
      <w:r>
        <w:t>pharmacodynamic</w:t>
      </w:r>
      <w:proofErr w:type="spellEnd"/>
      <w:r>
        <w:t xml:space="preserve"> and safety pharmacology studies raise no obvious concerns.</w:t>
      </w:r>
    </w:p>
    <w:p w14:paraId="7B2D375C" w14:textId="75FFAD2A" w:rsidR="00B06DE1" w:rsidRPr="00D239C2" w:rsidRDefault="00B06DE1" w:rsidP="00B06DE1">
      <w:pPr>
        <w:pStyle w:val="ListBullet"/>
      </w:pPr>
      <w:r>
        <w:t xml:space="preserve">While </w:t>
      </w:r>
      <w:proofErr w:type="spellStart"/>
      <w:r>
        <w:t>neratinib</w:t>
      </w:r>
      <w:proofErr w:type="spellEnd"/>
      <w:r>
        <w:t xml:space="preserve"> appears to have affinity for and retention in melanin-containing tissues, this does not appear to be associated with adverse toxicological effects</w:t>
      </w:r>
      <w:r w:rsidR="007024B0">
        <w:t>.</w:t>
      </w:r>
    </w:p>
    <w:p w14:paraId="10B1C4ED" w14:textId="21315D8C" w:rsidR="00B06DE1" w:rsidRDefault="00B06DE1" w:rsidP="009116FB">
      <w:pPr>
        <w:pStyle w:val="ListBullet"/>
      </w:pPr>
      <w:r>
        <w:t xml:space="preserve">Pharmacokinetic drug interactions are possible with </w:t>
      </w:r>
      <w:r w:rsidR="009116FB">
        <w:t>c</w:t>
      </w:r>
      <w:r w:rsidR="009116FB" w:rsidRPr="009116FB">
        <w:t xml:space="preserve">ytochrome P450 3A4 </w:t>
      </w:r>
      <w:r w:rsidR="009116FB">
        <w:t>(</w:t>
      </w:r>
      <w:r>
        <w:t>CYP3A4</w:t>
      </w:r>
      <w:r w:rsidR="009116FB">
        <w:t>)</w:t>
      </w:r>
      <w:r>
        <w:t xml:space="preserve"> inhibitors/inducers and CYP3A4, </w:t>
      </w:r>
      <w:r w:rsidR="009116FB" w:rsidRPr="009116FB">
        <w:t xml:space="preserve">P-glycoprotein </w:t>
      </w:r>
      <w:r w:rsidR="009116FB">
        <w:t>(</w:t>
      </w:r>
      <w:r>
        <w:t>P-</w:t>
      </w:r>
      <w:proofErr w:type="spellStart"/>
      <w:r>
        <w:t>gp</w:t>
      </w:r>
      <w:proofErr w:type="spellEnd"/>
      <w:r w:rsidR="009116FB">
        <w:t>)</w:t>
      </w:r>
      <w:r>
        <w:t xml:space="preserve"> or </w:t>
      </w:r>
      <w:r w:rsidR="009116FB">
        <w:t>b</w:t>
      </w:r>
      <w:r w:rsidR="009116FB" w:rsidRPr="009116FB">
        <w:t xml:space="preserve">reast cancer resistance protein </w:t>
      </w:r>
      <w:r w:rsidR="009116FB">
        <w:t>(</w:t>
      </w:r>
      <w:r>
        <w:t>BCRP</w:t>
      </w:r>
      <w:r w:rsidR="009116FB">
        <w:t>) substrates.</w:t>
      </w:r>
    </w:p>
    <w:p w14:paraId="0EDC7F5C" w14:textId="718F54C5" w:rsidR="00B06DE1" w:rsidRDefault="00B06DE1" w:rsidP="00B06DE1">
      <w:pPr>
        <w:pStyle w:val="ListBullet"/>
      </w:pPr>
      <w:r>
        <w:t xml:space="preserve">Effects on the skin and </w:t>
      </w:r>
      <w:r w:rsidR="009116FB">
        <w:t>gastrointestinal (</w:t>
      </w:r>
      <w:r>
        <w:t>GI</w:t>
      </w:r>
      <w:r w:rsidR="009116FB">
        <w:t>)</w:t>
      </w:r>
      <w:r>
        <w:t xml:space="preserve"> tract </w:t>
      </w:r>
      <w:proofErr w:type="gramStart"/>
      <w:r>
        <w:t>may be seen</w:t>
      </w:r>
      <w:proofErr w:type="gramEnd"/>
      <w:r>
        <w:t xml:space="preserve"> in patients.</w:t>
      </w:r>
    </w:p>
    <w:p w14:paraId="3C0E95EF" w14:textId="376E84CB" w:rsidR="00B06DE1" w:rsidRDefault="00B06DE1" w:rsidP="00B06DE1">
      <w:pPr>
        <w:pStyle w:val="ListBullet"/>
      </w:pPr>
      <w:r>
        <w:t>The toxicity of the M11 metabolite has not been assessed (minor deficiency).</w:t>
      </w:r>
      <w:r w:rsidR="00C16E86">
        <w:rPr>
          <w:rStyle w:val="FootnoteReference"/>
        </w:rPr>
        <w:footnoteReference w:id="9"/>
      </w:r>
    </w:p>
    <w:p w14:paraId="169ABD6E" w14:textId="77777777" w:rsidR="00B06DE1" w:rsidRDefault="00B06DE1" w:rsidP="00B06DE1">
      <w:pPr>
        <w:pStyle w:val="ListBullet"/>
      </w:pPr>
      <w:r>
        <w:t xml:space="preserve">There are no genotoxic or carcinogenicity concerns with </w:t>
      </w:r>
      <w:proofErr w:type="spellStart"/>
      <w:r>
        <w:t>neratinib</w:t>
      </w:r>
      <w:proofErr w:type="spellEnd"/>
      <w:r>
        <w:t>.</w:t>
      </w:r>
    </w:p>
    <w:p w14:paraId="4961E300" w14:textId="77777777" w:rsidR="00B06DE1" w:rsidRDefault="00B06DE1" w:rsidP="00B06DE1">
      <w:pPr>
        <w:pStyle w:val="ListBullet"/>
      </w:pPr>
      <w:r>
        <w:t xml:space="preserve">Given the role of EGFR and HER2 in implantation and </w:t>
      </w:r>
      <w:proofErr w:type="spellStart"/>
      <w:r>
        <w:t>embryofetal</w:t>
      </w:r>
      <w:proofErr w:type="spellEnd"/>
      <w:r>
        <w:t xml:space="preserve"> development, </w:t>
      </w:r>
      <w:proofErr w:type="spellStart"/>
      <w:r>
        <w:t>neratinib</w:t>
      </w:r>
      <w:proofErr w:type="spellEnd"/>
      <w:r>
        <w:t xml:space="preserve"> </w:t>
      </w:r>
      <w:proofErr w:type="gramStart"/>
      <w:r>
        <w:t>should not be used</w:t>
      </w:r>
      <w:proofErr w:type="gramEnd"/>
      <w:r>
        <w:t xml:space="preserve"> during pregnancy.</w:t>
      </w:r>
    </w:p>
    <w:p w14:paraId="4B4E6020" w14:textId="4C963E2F" w:rsidR="00B06DE1" w:rsidRDefault="00B06DE1" w:rsidP="00B06DE1">
      <w:pPr>
        <w:pStyle w:val="ListBullet"/>
      </w:pPr>
      <w:r>
        <w:t>There are still outstanding concerns in regard</w:t>
      </w:r>
      <w:r w:rsidR="007024B0">
        <w:t>s</w:t>
      </w:r>
      <w:r>
        <w:t xml:space="preserve"> to </w:t>
      </w:r>
      <w:r w:rsidR="007024B0">
        <w:t>the proposed specifications for</w:t>
      </w:r>
      <w:r>
        <w:t xml:space="preserve"> impurity</w:t>
      </w:r>
      <w:r w:rsidR="00194278">
        <w:t xml:space="preserve"> 3638</w:t>
      </w:r>
      <w:r>
        <w:t xml:space="preserve"> (minor deficiency).</w:t>
      </w:r>
    </w:p>
    <w:p w14:paraId="18CA7F66" w14:textId="77777777" w:rsidR="00B06DE1" w:rsidRDefault="00B06DE1" w:rsidP="00B06DE1">
      <w:pPr>
        <w:pStyle w:val="ListBullet"/>
      </w:pPr>
      <w:r>
        <w:lastRenderedPageBreak/>
        <w:t>The following studies should be submitted to the TGA in a subsequent submission:</w:t>
      </w:r>
    </w:p>
    <w:p w14:paraId="2B862261" w14:textId="77777777" w:rsidR="00B06DE1" w:rsidRDefault="00B06DE1" w:rsidP="00B06DE1">
      <w:pPr>
        <w:pStyle w:val="ListBullet2"/>
      </w:pPr>
      <w:r>
        <w:t>The cardiovascular safety pharmacology study with M3</w:t>
      </w:r>
    </w:p>
    <w:p w14:paraId="53E1B12A" w14:textId="5BB3A8C7" w:rsidR="00B06DE1" w:rsidRPr="0002549B" w:rsidRDefault="007024B0" w:rsidP="00B06DE1">
      <w:pPr>
        <w:pStyle w:val="ListBullet2"/>
      </w:pPr>
      <w:r>
        <w:t xml:space="preserve">The 2 </w:t>
      </w:r>
      <w:r w:rsidR="00B06DE1">
        <w:t>week repeat-dose toxicity study with M11</w:t>
      </w:r>
      <w:r w:rsidR="00B06DE1" w:rsidRPr="0002549B">
        <w:t>, and</w:t>
      </w:r>
    </w:p>
    <w:p w14:paraId="14566E81" w14:textId="77777777" w:rsidR="00B06DE1" w:rsidRPr="0002549B" w:rsidRDefault="00B06DE1" w:rsidP="00B06DE1">
      <w:pPr>
        <w:pStyle w:val="ListBullet2"/>
      </w:pPr>
      <w:r w:rsidRPr="0002549B">
        <w:t xml:space="preserve">An </w:t>
      </w:r>
      <w:r w:rsidRPr="0002549B">
        <w:rPr>
          <w:i/>
        </w:rPr>
        <w:t>in vitro</w:t>
      </w:r>
      <w:r w:rsidRPr="0002549B">
        <w:t xml:space="preserve"> </w:t>
      </w:r>
      <w:proofErr w:type="spellStart"/>
      <w:r w:rsidRPr="0002549B">
        <w:t>clastogenicity</w:t>
      </w:r>
      <w:proofErr w:type="spellEnd"/>
      <w:r w:rsidRPr="0002549B">
        <w:t xml:space="preserve"> study with the impurity 3638.</w:t>
      </w:r>
    </w:p>
    <w:p w14:paraId="52DA00F6" w14:textId="0459AB60" w:rsidR="00B06DE1" w:rsidRPr="00DC1948" w:rsidRDefault="002B758B" w:rsidP="00B06DE1">
      <w:pPr>
        <w:pStyle w:val="ListBullet"/>
      </w:pPr>
      <w:r>
        <w:t>The minor deficiencies identified above should not preclude registration if there are clear benefits to the patient group.</w:t>
      </w:r>
    </w:p>
    <w:p w14:paraId="1063BCC1" w14:textId="77777777" w:rsidR="008E7846" w:rsidRDefault="008E7846" w:rsidP="008E7846">
      <w:pPr>
        <w:pStyle w:val="Heading3"/>
      </w:pPr>
      <w:bookmarkStart w:id="38" w:name="_Toc247691530"/>
      <w:bookmarkStart w:id="39" w:name="_Toc314842513"/>
      <w:bookmarkStart w:id="40" w:name="_Toc40186907"/>
      <w:r>
        <w:t>Clinical</w:t>
      </w:r>
      <w:bookmarkEnd w:id="38"/>
      <w:bookmarkEnd w:id="39"/>
      <w:bookmarkEnd w:id="40"/>
    </w:p>
    <w:p w14:paraId="5D4CF45B" w14:textId="77777777" w:rsidR="00B06DE1" w:rsidRDefault="00B06DE1" w:rsidP="00B06DE1">
      <w:r>
        <w:t>The clinical dossier consisted of the following studies:</w:t>
      </w:r>
    </w:p>
    <w:p w14:paraId="6C472265" w14:textId="77777777" w:rsidR="00B06DE1" w:rsidRDefault="00B06DE1" w:rsidP="00B06DE1">
      <w:pPr>
        <w:pStyle w:val="ListBullet"/>
      </w:pPr>
      <w:r>
        <w:t>14 clinical pharmacology studies in healthy volunteers;</w:t>
      </w:r>
    </w:p>
    <w:p w14:paraId="7FFF66A3" w14:textId="77777777" w:rsidR="00B06DE1" w:rsidRDefault="00B06DE1" w:rsidP="00B06DE1">
      <w:pPr>
        <w:pStyle w:val="ListBullet"/>
      </w:pPr>
      <w:proofErr w:type="gramStart"/>
      <w:r>
        <w:t>17</w:t>
      </w:r>
      <w:proofErr w:type="gramEnd"/>
      <w:r>
        <w:t xml:space="preserve"> Phase I/Phase II studies of </w:t>
      </w:r>
      <w:proofErr w:type="spellStart"/>
      <w:r>
        <w:t>neratinib</w:t>
      </w:r>
      <w:proofErr w:type="spellEnd"/>
      <w:r>
        <w:t xml:space="preserve"> in subjects with various malignancies. In these studies, </w:t>
      </w:r>
      <w:proofErr w:type="spellStart"/>
      <w:r>
        <w:t>neratinib</w:t>
      </w:r>
      <w:proofErr w:type="spellEnd"/>
      <w:r>
        <w:t xml:space="preserve"> </w:t>
      </w:r>
      <w:proofErr w:type="gramStart"/>
      <w:r>
        <w:t>was administered</w:t>
      </w:r>
      <w:proofErr w:type="gramEnd"/>
      <w:r>
        <w:t xml:space="preserve"> either as monotherapy or in combination with other antineoplastic agents. These studies provided data on clinical pharmacology, efficacy and safety;</w:t>
      </w:r>
    </w:p>
    <w:p w14:paraId="0411756D" w14:textId="64E8C678" w:rsidR="00B06DE1" w:rsidRDefault="004E74F9" w:rsidP="00B06DE1">
      <w:pPr>
        <w:pStyle w:val="ListBullet"/>
      </w:pPr>
      <w:proofErr w:type="gramStart"/>
      <w:r>
        <w:t>o</w:t>
      </w:r>
      <w:r w:rsidR="00C4441C">
        <w:t>ne</w:t>
      </w:r>
      <w:proofErr w:type="gramEnd"/>
      <w:r w:rsidR="00C4441C">
        <w:t xml:space="preserve"> pivotal P</w:t>
      </w:r>
      <w:r w:rsidR="009116FB">
        <w:t xml:space="preserve">hase III randomised double </w:t>
      </w:r>
      <w:r w:rsidR="00B06DE1">
        <w:t>blind trial with two parallel gro</w:t>
      </w:r>
      <w:r w:rsidR="00C4441C">
        <w:t>ups (</w:t>
      </w:r>
      <w:proofErr w:type="spellStart"/>
      <w:r w:rsidR="00C4441C">
        <w:t>pembrolizumab</w:t>
      </w:r>
      <w:proofErr w:type="spellEnd"/>
      <w:r w:rsidR="00C4441C">
        <w:t xml:space="preserve"> versus</w:t>
      </w:r>
      <w:r w:rsidR="00B06DE1">
        <w:t xml:space="preserve"> placebo) in subjects with resected early stage HER2-positive breast cancer, previously treated with </w:t>
      </w:r>
      <w:proofErr w:type="spellStart"/>
      <w:r w:rsidR="00B06DE1">
        <w:t>trastuzumab</w:t>
      </w:r>
      <w:proofErr w:type="spellEnd"/>
      <w:r w:rsidR="00B06DE1">
        <w:t>. The study provided data on</w:t>
      </w:r>
      <w:r>
        <w:t xml:space="preserve"> </w:t>
      </w:r>
      <w:r w:rsidR="00B06DE1">
        <w:t>efficacy and safety;</w:t>
      </w:r>
    </w:p>
    <w:p w14:paraId="2CD293F7" w14:textId="74C498C0" w:rsidR="00B06DE1" w:rsidRDefault="004E74F9" w:rsidP="00B06DE1">
      <w:pPr>
        <w:pStyle w:val="ListBullet"/>
      </w:pPr>
      <w:r>
        <w:t>o</w:t>
      </w:r>
      <w:r w:rsidR="00B06DE1">
        <w:t>ne study that examined safety (diarrhoea) as the sole primary endpoint;</w:t>
      </w:r>
    </w:p>
    <w:p w14:paraId="25833B81" w14:textId="2DE09EA9" w:rsidR="00B06DE1" w:rsidRDefault="004E74F9" w:rsidP="00B06DE1">
      <w:pPr>
        <w:pStyle w:val="ListBullet"/>
      </w:pPr>
      <w:r>
        <w:t>o</w:t>
      </w:r>
      <w:r w:rsidR="00B06DE1">
        <w:t xml:space="preserve">ne population pharmacokinetic </w:t>
      </w:r>
      <w:r w:rsidR="00AC74A8">
        <w:t xml:space="preserve">(pop PK) </w:t>
      </w:r>
      <w:r w:rsidR="00B06DE1">
        <w:t>analysis;</w:t>
      </w:r>
      <w:r>
        <w:t xml:space="preserve"> and</w:t>
      </w:r>
    </w:p>
    <w:p w14:paraId="368E965C" w14:textId="6A8BBCA2" w:rsidR="00B06DE1" w:rsidRDefault="004E74F9" w:rsidP="00B06DE1">
      <w:pPr>
        <w:pStyle w:val="ListBullet"/>
      </w:pPr>
      <w:proofErr w:type="gramStart"/>
      <w:r>
        <w:t>o</w:t>
      </w:r>
      <w:r w:rsidR="00B06DE1">
        <w:t>ne</w:t>
      </w:r>
      <w:proofErr w:type="gramEnd"/>
      <w:r w:rsidR="00B06DE1">
        <w:t xml:space="preserve"> physiologically based pharmacokinetic (PBPK) analysis.</w:t>
      </w:r>
    </w:p>
    <w:p w14:paraId="172B20BD" w14:textId="77777777" w:rsidR="00B06DE1" w:rsidRPr="00B06DE1" w:rsidRDefault="00B06DE1" w:rsidP="00B06DE1">
      <w:r>
        <w:t>The clinical dossier also included literature references.</w:t>
      </w:r>
    </w:p>
    <w:p w14:paraId="6C93B9EA" w14:textId="0A4F1CED" w:rsidR="007B6132" w:rsidRDefault="00B06DE1" w:rsidP="00B06DE1">
      <w:pPr>
        <w:pStyle w:val="Heading4"/>
      </w:pPr>
      <w:bookmarkStart w:id="41" w:name="_Toc314842514"/>
      <w:r w:rsidRPr="00B06DE1">
        <w:t>Pharmacology</w:t>
      </w:r>
    </w:p>
    <w:p w14:paraId="18156081" w14:textId="0F828CBA" w:rsidR="00647653" w:rsidRPr="00647653" w:rsidRDefault="00647653" w:rsidP="00647653">
      <w:r>
        <w:t xml:space="preserve">In their overview, the Delegate referenced the </w:t>
      </w:r>
      <w:r w:rsidR="008B28B7">
        <w:t>European Medicines Agency (</w:t>
      </w:r>
      <w:r>
        <w:t>EMA</w:t>
      </w:r>
      <w:r w:rsidR="008B28B7">
        <w:t>)</w:t>
      </w:r>
      <w:r>
        <w:t xml:space="preserve">-approved Summary of Product Characteristics for </w:t>
      </w:r>
      <w:proofErr w:type="spellStart"/>
      <w:r>
        <w:t>Nerlynx</w:t>
      </w:r>
      <w:proofErr w:type="spellEnd"/>
      <w:r>
        <w:t>, Section 5.2: Pharmacokinetic properties.</w:t>
      </w:r>
      <w:r w:rsidR="009116FB">
        <w:rPr>
          <w:rStyle w:val="FootnoteReference"/>
        </w:rPr>
        <w:footnoteReference w:id="10"/>
      </w:r>
    </w:p>
    <w:p w14:paraId="7A503C3E" w14:textId="77777777" w:rsidR="00B06DE1" w:rsidRDefault="00C4441C" w:rsidP="00C4441C">
      <w:pPr>
        <w:pStyle w:val="Heading5"/>
      </w:pPr>
      <w:r>
        <w:t>Pharmacokinetics</w:t>
      </w:r>
    </w:p>
    <w:p w14:paraId="732408A3" w14:textId="1C3415A4" w:rsidR="00C4441C" w:rsidRDefault="00C4441C" w:rsidP="00B06DE1">
      <w:r>
        <w:t xml:space="preserve">The clinical evaluator concluded the following in regards to the pharmacokinetic </w:t>
      </w:r>
      <w:r w:rsidR="00AC74A8">
        <w:t xml:space="preserve">(PK) </w:t>
      </w:r>
      <w:r>
        <w:t>data:</w:t>
      </w:r>
    </w:p>
    <w:p w14:paraId="486C47A1" w14:textId="7DEB7B30" w:rsidR="00C4441C" w:rsidRDefault="00C4441C" w:rsidP="00C4441C">
      <w:pPr>
        <w:pStyle w:val="ListBullet"/>
        <w:rPr>
          <w:lang w:eastAsia="ja-JP"/>
        </w:rPr>
      </w:pPr>
      <w:r>
        <w:rPr>
          <w:lang w:eastAsia="ja-JP"/>
        </w:rPr>
        <w:t xml:space="preserve">The PK of </w:t>
      </w:r>
      <w:proofErr w:type="spellStart"/>
      <w:r>
        <w:rPr>
          <w:lang w:eastAsia="ja-JP"/>
        </w:rPr>
        <w:t>neratinib</w:t>
      </w:r>
      <w:proofErr w:type="spellEnd"/>
      <w:r>
        <w:rPr>
          <w:lang w:eastAsia="ja-JP"/>
        </w:rPr>
        <w:t xml:space="preserve"> </w:t>
      </w:r>
      <w:proofErr w:type="gramStart"/>
      <w:r>
        <w:rPr>
          <w:lang w:eastAsia="ja-JP"/>
        </w:rPr>
        <w:t>have not been fully elucidated</w:t>
      </w:r>
      <w:proofErr w:type="gramEnd"/>
      <w:r>
        <w:rPr>
          <w:lang w:eastAsia="ja-JP"/>
        </w:rPr>
        <w:t xml:space="preserve"> due to the lack of PK data following </w:t>
      </w:r>
      <w:r w:rsidR="00AC74A8">
        <w:rPr>
          <w:lang w:eastAsia="ja-JP"/>
        </w:rPr>
        <w:t>intravenous (</w:t>
      </w:r>
      <w:r>
        <w:rPr>
          <w:lang w:eastAsia="ja-JP"/>
        </w:rPr>
        <w:t>IV</w:t>
      </w:r>
      <w:r w:rsidR="00AC74A8">
        <w:rPr>
          <w:lang w:eastAsia="ja-JP"/>
        </w:rPr>
        <w:t>)</w:t>
      </w:r>
      <w:r>
        <w:rPr>
          <w:lang w:eastAsia="ja-JP"/>
        </w:rPr>
        <w:t xml:space="preserve"> administration. Absolute bioavailability and actual clearance and volume of distribution have not been determined. According to the sponsor</w:t>
      </w:r>
      <w:r w:rsidR="007024B0">
        <w:rPr>
          <w:lang w:eastAsia="ja-JP"/>
        </w:rPr>
        <w:t>,</w:t>
      </w:r>
      <w:r>
        <w:rPr>
          <w:lang w:eastAsia="ja-JP"/>
        </w:rPr>
        <w:t xml:space="preserve"> an IV formulation </w:t>
      </w:r>
      <w:proofErr w:type="gramStart"/>
      <w:r>
        <w:rPr>
          <w:lang w:eastAsia="ja-JP"/>
        </w:rPr>
        <w:t>could not be produced</w:t>
      </w:r>
      <w:proofErr w:type="gramEnd"/>
      <w:r>
        <w:rPr>
          <w:lang w:eastAsia="ja-JP"/>
        </w:rPr>
        <w:t xml:space="preserve"> due to solubility issues.</w:t>
      </w:r>
    </w:p>
    <w:p w14:paraId="7D04D369" w14:textId="48AD4B96" w:rsidR="00C4441C" w:rsidRDefault="00C4441C" w:rsidP="00AC74A8">
      <w:pPr>
        <w:pStyle w:val="ListBullet"/>
        <w:rPr>
          <w:lang w:eastAsia="ja-JP"/>
        </w:rPr>
      </w:pPr>
      <w:r>
        <w:rPr>
          <w:lang w:eastAsia="ja-JP"/>
        </w:rPr>
        <w:t xml:space="preserve">Metabolite profiles in urine and faeces have also not been determined. It </w:t>
      </w:r>
      <w:proofErr w:type="gramStart"/>
      <w:r>
        <w:rPr>
          <w:lang w:eastAsia="ja-JP"/>
        </w:rPr>
        <w:t>is understood</w:t>
      </w:r>
      <w:proofErr w:type="gramEnd"/>
      <w:r>
        <w:rPr>
          <w:lang w:eastAsia="ja-JP"/>
        </w:rPr>
        <w:t xml:space="preserve"> that another </w:t>
      </w:r>
      <w:r w:rsidR="00AC74A8" w:rsidRPr="00AC74A8">
        <w:rPr>
          <w:lang w:eastAsia="ja-JP"/>
        </w:rPr>
        <w:t xml:space="preserve">absorption, distribution, metabolism, and excretion </w:t>
      </w:r>
      <w:r w:rsidR="00AC74A8">
        <w:rPr>
          <w:lang w:eastAsia="ja-JP"/>
        </w:rPr>
        <w:t>(</w:t>
      </w:r>
      <w:r>
        <w:rPr>
          <w:lang w:eastAsia="ja-JP"/>
        </w:rPr>
        <w:t>ADME</w:t>
      </w:r>
      <w:r w:rsidR="00AC74A8">
        <w:rPr>
          <w:lang w:eastAsia="ja-JP"/>
        </w:rPr>
        <w:t>)</w:t>
      </w:r>
      <w:r>
        <w:rPr>
          <w:lang w:eastAsia="ja-JP"/>
        </w:rPr>
        <w:t xml:space="preserve"> study in healthy subjects (</w:t>
      </w:r>
      <w:r w:rsidR="00AC74A8">
        <w:rPr>
          <w:lang w:eastAsia="ja-JP"/>
        </w:rPr>
        <w:t xml:space="preserve">Study </w:t>
      </w:r>
      <w:r>
        <w:rPr>
          <w:lang w:eastAsia="ja-JP"/>
        </w:rPr>
        <w:t xml:space="preserve">PUMA-NER-0102) has been conducted and this may provide further data on this subject. The sponsor </w:t>
      </w:r>
      <w:proofErr w:type="gramStart"/>
      <w:r>
        <w:rPr>
          <w:lang w:eastAsia="ja-JP"/>
        </w:rPr>
        <w:t>should be asked</w:t>
      </w:r>
      <w:proofErr w:type="gramEnd"/>
      <w:r>
        <w:rPr>
          <w:lang w:eastAsia="ja-JP"/>
        </w:rPr>
        <w:t xml:space="preserve"> when data from this study are likely to be available.</w:t>
      </w:r>
    </w:p>
    <w:p w14:paraId="3D2F60E0" w14:textId="5E959168" w:rsidR="00C4441C" w:rsidRDefault="00C4441C" w:rsidP="00C4441C">
      <w:pPr>
        <w:pStyle w:val="ListBullet"/>
        <w:rPr>
          <w:lang w:eastAsia="ja-JP"/>
        </w:rPr>
      </w:pPr>
      <w:r>
        <w:rPr>
          <w:lang w:eastAsia="ja-JP"/>
        </w:rPr>
        <w:t>Otherwise</w:t>
      </w:r>
      <w:r w:rsidR="007024B0">
        <w:rPr>
          <w:lang w:eastAsia="ja-JP"/>
        </w:rPr>
        <w:t>,</w:t>
      </w:r>
      <w:r>
        <w:rPr>
          <w:lang w:eastAsia="ja-JP"/>
        </w:rPr>
        <w:t xml:space="preserve"> the program of clinical PK studies was </w:t>
      </w:r>
      <w:proofErr w:type="gramStart"/>
      <w:r>
        <w:rPr>
          <w:lang w:eastAsia="ja-JP"/>
        </w:rPr>
        <w:t>fairly comprehensive</w:t>
      </w:r>
      <w:proofErr w:type="gramEnd"/>
      <w:r>
        <w:rPr>
          <w:lang w:eastAsia="ja-JP"/>
        </w:rPr>
        <w:t xml:space="preserve">. If the justification for not conducting an absolute bioavailability study </w:t>
      </w:r>
      <w:proofErr w:type="gramStart"/>
      <w:r>
        <w:rPr>
          <w:lang w:eastAsia="ja-JP"/>
        </w:rPr>
        <w:t>is considered</w:t>
      </w:r>
      <w:proofErr w:type="gramEnd"/>
      <w:r>
        <w:rPr>
          <w:lang w:eastAsia="ja-JP"/>
        </w:rPr>
        <w:t xml:space="preserve"> </w:t>
      </w:r>
      <w:r>
        <w:rPr>
          <w:lang w:eastAsia="ja-JP"/>
        </w:rPr>
        <w:lastRenderedPageBreak/>
        <w:t xml:space="preserve">acceptable on pharmaceutical chemistry grounds, the PK data to support registration of </w:t>
      </w:r>
      <w:proofErr w:type="spellStart"/>
      <w:r>
        <w:rPr>
          <w:lang w:eastAsia="ja-JP"/>
        </w:rPr>
        <w:t>neratinib</w:t>
      </w:r>
      <w:proofErr w:type="spellEnd"/>
      <w:r>
        <w:rPr>
          <w:lang w:eastAsia="ja-JP"/>
        </w:rPr>
        <w:t xml:space="preserve"> are considered adequate.</w:t>
      </w:r>
    </w:p>
    <w:p w14:paraId="5DA4436C" w14:textId="77777777" w:rsidR="00C4441C" w:rsidRDefault="00C4441C" w:rsidP="00C4441C">
      <w:pPr>
        <w:pStyle w:val="Heading5"/>
        <w:rPr>
          <w:lang w:eastAsia="ja-JP"/>
        </w:rPr>
      </w:pPr>
      <w:r>
        <w:rPr>
          <w:lang w:eastAsia="ja-JP"/>
        </w:rPr>
        <w:t>Pharmacodynamics</w:t>
      </w:r>
    </w:p>
    <w:p w14:paraId="01BB5C1B" w14:textId="6EEFB3F5" w:rsidR="00C4441C" w:rsidRDefault="00C4441C" w:rsidP="00C4441C">
      <w:r>
        <w:t xml:space="preserve">The clinical evaluator concluded the following in regards to the </w:t>
      </w:r>
      <w:proofErr w:type="spellStart"/>
      <w:r>
        <w:t>pharmacodynamic</w:t>
      </w:r>
      <w:proofErr w:type="spellEnd"/>
      <w:r>
        <w:t xml:space="preserve"> </w:t>
      </w:r>
      <w:r w:rsidR="00AC74A8">
        <w:t xml:space="preserve">(PD) </w:t>
      </w:r>
      <w:r>
        <w:t>data:</w:t>
      </w:r>
    </w:p>
    <w:p w14:paraId="0BC9316F" w14:textId="3022673E" w:rsidR="00C4441C" w:rsidRDefault="00C4441C" w:rsidP="00C4441C">
      <w:pPr>
        <w:pStyle w:val="ListBullet"/>
      </w:pPr>
      <w:r>
        <w:rPr>
          <w:lang w:eastAsia="ja-JP"/>
        </w:rPr>
        <w:t xml:space="preserve">Limited clinical data relating to </w:t>
      </w:r>
      <w:r w:rsidR="00AC74A8">
        <w:rPr>
          <w:lang w:eastAsia="ja-JP"/>
        </w:rPr>
        <w:t>PD</w:t>
      </w:r>
      <w:r>
        <w:rPr>
          <w:lang w:eastAsia="ja-JP"/>
        </w:rPr>
        <w:t xml:space="preserve"> </w:t>
      </w:r>
      <w:proofErr w:type="gramStart"/>
      <w:r>
        <w:rPr>
          <w:lang w:eastAsia="ja-JP"/>
        </w:rPr>
        <w:t>were submitted</w:t>
      </w:r>
      <w:proofErr w:type="gramEnd"/>
      <w:r>
        <w:rPr>
          <w:lang w:eastAsia="ja-JP"/>
        </w:rPr>
        <w:t>. The studies were acceptable.</w:t>
      </w:r>
    </w:p>
    <w:p w14:paraId="407A1697" w14:textId="77777777" w:rsidR="00B06DE1" w:rsidRDefault="00B06DE1" w:rsidP="00B06DE1">
      <w:pPr>
        <w:pStyle w:val="Heading4"/>
      </w:pPr>
      <w:r w:rsidRPr="00B06DE1">
        <w:t>Efficacy</w:t>
      </w:r>
    </w:p>
    <w:p w14:paraId="26C17038" w14:textId="54DACAC4" w:rsidR="00C4441C" w:rsidRDefault="00C4441C" w:rsidP="00C4441C">
      <w:pPr>
        <w:pStyle w:val="Heading5"/>
      </w:pPr>
      <w:r w:rsidRPr="00AA53F4">
        <w:t xml:space="preserve">Study </w:t>
      </w:r>
      <w:r>
        <w:t>3004 (</w:t>
      </w:r>
      <w:proofErr w:type="spellStart"/>
      <w:r>
        <w:t>ExteNET</w:t>
      </w:r>
      <w:proofErr w:type="spellEnd"/>
      <w:r w:rsidR="007024B0">
        <w:t xml:space="preserve"> trial</w:t>
      </w:r>
      <w:r>
        <w:t>)</w:t>
      </w:r>
    </w:p>
    <w:p w14:paraId="65FAE8F0" w14:textId="4DCF953D" w:rsidR="00C4441C" w:rsidRDefault="00C4441C" w:rsidP="00C4441C">
      <w:r>
        <w:t xml:space="preserve">Evidence to support the proposed indication for </w:t>
      </w:r>
      <w:proofErr w:type="spellStart"/>
      <w:r>
        <w:t>neratinib</w:t>
      </w:r>
      <w:proofErr w:type="spellEnd"/>
      <w:r>
        <w:t xml:space="preserve"> </w:t>
      </w:r>
      <w:proofErr w:type="gramStart"/>
      <w:r>
        <w:t>is derived</w:t>
      </w:r>
      <w:proofErr w:type="gramEnd"/>
      <w:r>
        <w:t xml:space="preserve"> primarily from the </w:t>
      </w:r>
      <w:proofErr w:type="spellStart"/>
      <w:r>
        <w:t>Ex</w:t>
      </w:r>
      <w:r w:rsidR="00AC74A8">
        <w:t>teNET</w:t>
      </w:r>
      <w:proofErr w:type="spellEnd"/>
      <w:r w:rsidR="00AC74A8">
        <w:t xml:space="preserve"> </w:t>
      </w:r>
      <w:r w:rsidR="004E74F9">
        <w:t>trial</w:t>
      </w:r>
      <w:r w:rsidR="00AC74A8">
        <w:t xml:space="preserve"> (Study </w:t>
      </w:r>
      <w:r>
        <w:t>3004).</w:t>
      </w:r>
    </w:p>
    <w:p w14:paraId="65C71BCC" w14:textId="2647D716" w:rsidR="00C4441C" w:rsidRPr="00C10DB0" w:rsidRDefault="00C4441C" w:rsidP="00C4441C">
      <w:r>
        <w:t xml:space="preserve">There were </w:t>
      </w:r>
      <w:proofErr w:type="gramStart"/>
      <w:r>
        <w:t>a total of six</w:t>
      </w:r>
      <w:proofErr w:type="gramEnd"/>
      <w:r>
        <w:t xml:space="preserve"> global protocol amendments over the course of the study under th</w:t>
      </w:r>
      <w:r w:rsidR="00AC74A8">
        <w:t>e supervision of three sponsors</w:t>
      </w:r>
      <w:r>
        <w:t>.</w:t>
      </w:r>
    </w:p>
    <w:p w14:paraId="22824E6F" w14:textId="31D4D0B1" w:rsidR="00C4441C" w:rsidRDefault="00C4441C" w:rsidP="00C4441C">
      <w:r>
        <w:t xml:space="preserve">This study was </w:t>
      </w:r>
      <w:r w:rsidR="007024B0">
        <w:t xml:space="preserve">a Phase III, randomised, double </w:t>
      </w:r>
      <w:r>
        <w:t>blind, placebo-controlled trial with two parallel groups (</w:t>
      </w:r>
      <w:proofErr w:type="spellStart"/>
      <w:r>
        <w:t>neratin</w:t>
      </w:r>
      <w:r w:rsidR="00AC74A8">
        <w:t>ib</w:t>
      </w:r>
      <w:proofErr w:type="spellEnd"/>
      <w:r w:rsidR="00AC74A8">
        <w:t xml:space="preserve"> monotherapy versus placebo).</w:t>
      </w:r>
    </w:p>
    <w:p w14:paraId="7C07AC52" w14:textId="2BAF86AB" w:rsidR="00C4441C" w:rsidRDefault="00C4441C" w:rsidP="00C4441C">
      <w:r>
        <w:t xml:space="preserve">A study schema </w:t>
      </w:r>
      <w:proofErr w:type="gramStart"/>
      <w:r>
        <w:t>is shown</w:t>
      </w:r>
      <w:proofErr w:type="gramEnd"/>
      <w:r>
        <w:t xml:space="preserve"> in </w:t>
      </w:r>
      <w:r>
        <w:fldChar w:fldCharType="begin"/>
      </w:r>
      <w:r>
        <w:instrText xml:space="preserve"> REF _Ref528821066 \h  \* MERGEFORMAT </w:instrText>
      </w:r>
      <w:r>
        <w:fldChar w:fldCharType="separate"/>
      </w:r>
      <w:r w:rsidR="00AC74A8" w:rsidRPr="00723283">
        <w:t xml:space="preserve">Figure </w:t>
      </w:r>
      <w:r w:rsidR="00AC74A8">
        <w:rPr>
          <w:noProof/>
        </w:rPr>
        <w:t>2</w:t>
      </w:r>
      <w:r>
        <w:fldChar w:fldCharType="end"/>
      </w:r>
      <w:r>
        <w:t>. The study had three parts. Part A was from randomisation to 2 years post-randomisation, Pa</w:t>
      </w:r>
      <w:r w:rsidR="009531B7">
        <w:t xml:space="preserve">rt B was from </w:t>
      </w:r>
      <w:proofErr w:type="gramStart"/>
      <w:r w:rsidR="009531B7">
        <w:t>2</w:t>
      </w:r>
      <w:proofErr w:type="gramEnd"/>
      <w:r w:rsidR="009531B7">
        <w:t xml:space="preserve"> to 5 years post</w:t>
      </w:r>
      <w:r w:rsidR="009531B7">
        <w:noBreakHyphen/>
      </w:r>
      <w:r>
        <w:t>randomisation, and Part C covered longer-term follow-up for overall survival.</w:t>
      </w:r>
    </w:p>
    <w:p w14:paraId="4D6AC83D" w14:textId="04755E6E" w:rsidR="00C4441C" w:rsidRPr="00723283" w:rsidRDefault="00C4441C" w:rsidP="00AC74A8">
      <w:pPr>
        <w:pStyle w:val="FigureTitle"/>
        <w:rPr>
          <w:noProof/>
          <w:lang w:eastAsia="en-AU"/>
        </w:rPr>
      </w:pPr>
      <w:bookmarkStart w:id="42" w:name="_Ref528821066"/>
      <w:r w:rsidRPr="00723283">
        <w:t xml:space="preserve">Figure </w:t>
      </w:r>
      <w:r w:rsidR="003B0773">
        <w:fldChar w:fldCharType="begin"/>
      </w:r>
      <w:r w:rsidR="003B0773">
        <w:instrText xml:space="preserve"> SEQ Figure \* ARABIC </w:instrText>
      </w:r>
      <w:r w:rsidR="003B0773">
        <w:fldChar w:fldCharType="separate"/>
      </w:r>
      <w:r w:rsidR="00AC74A8">
        <w:rPr>
          <w:noProof/>
        </w:rPr>
        <w:t>2</w:t>
      </w:r>
      <w:r w:rsidR="003B0773">
        <w:rPr>
          <w:noProof/>
        </w:rPr>
        <w:fldChar w:fldCharType="end"/>
      </w:r>
      <w:bookmarkEnd w:id="42"/>
      <w:r w:rsidR="00AC74A8">
        <w:t>:</w:t>
      </w:r>
      <w:r w:rsidRPr="00723283">
        <w:t xml:space="preserve"> Design of Study 3004</w:t>
      </w:r>
      <w:r w:rsidR="00C157E6">
        <w:t xml:space="preserve"> (</w:t>
      </w:r>
      <w:proofErr w:type="spellStart"/>
      <w:r w:rsidR="00C157E6">
        <w:t>ExteNET</w:t>
      </w:r>
      <w:proofErr w:type="spellEnd"/>
      <w:r w:rsidR="00C157E6">
        <w:t xml:space="preserve"> trial)</w:t>
      </w:r>
    </w:p>
    <w:p w14:paraId="1490AF25" w14:textId="7C4118DD" w:rsidR="00C4441C" w:rsidRDefault="00C4441C" w:rsidP="00C4441C">
      <w:r>
        <w:rPr>
          <w:noProof/>
          <w:lang w:eastAsia="en-AU"/>
        </w:rPr>
        <w:drawing>
          <wp:inline distT="0" distB="0" distL="0" distR="0" wp14:anchorId="4EE18756" wp14:editId="640B4FCC">
            <wp:extent cx="5400040" cy="2277709"/>
            <wp:effectExtent l="0" t="0" r="0" b="8890"/>
            <wp:docPr id="1" name="Picture 1" descr="Design of Study 3004. Criteria for inclusion were: 1) ERBB2-postive breast cancer, Stage I-IIIc (Amendment 3: Stage II-IIIc), 2) Lymph node positive or negative (Amendment 3: node-positive), 3) Prior adjuvant therapy with trastuzumab within 2 years of randmization (Amendment 3: 1 year), 4) ER and or PgR status: positive or negative. Patients were then randomised 1:1 to wither neratinib x 1 year 240 mg/day or placebo x 1 year. The study had three parts. Part A was from randomisation to 2 years post-randomisation, Part B was from 2 to 5 years post-randomisation, and Part C covered longer-term follow-up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2277709"/>
                    </a:xfrm>
                    <a:prstGeom prst="rect">
                      <a:avLst/>
                    </a:prstGeom>
                  </pic:spPr>
                </pic:pic>
              </a:graphicData>
            </a:graphic>
          </wp:inline>
        </w:drawing>
      </w:r>
    </w:p>
    <w:p w14:paraId="6863CC4C" w14:textId="379A4750" w:rsidR="009531B7" w:rsidRDefault="009531B7" w:rsidP="009531B7">
      <w:pPr>
        <w:pStyle w:val="TableDescription"/>
      </w:pPr>
      <w:r>
        <w:t xml:space="preserve">ER = oestrogen receptor, </w:t>
      </w:r>
      <w:proofErr w:type="spellStart"/>
      <w:r>
        <w:t>PgR</w:t>
      </w:r>
      <w:proofErr w:type="spellEnd"/>
      <w:r>
        <w:t xml:space="preserve"> = progesterone receptor.</w:t>
      </w:r>
    </w:p>
    <w:p w14:paraId="0D9BCFE6" w14:textId="77777777" w:rsidR="00C4441C" w:rsidRPr="000535E6" w:rsidRDefault="00C4441C" w:rsidP="00C4441C">
      <w:pPr>
        <w:pStyle w:val="Heading6"/>
      </w:pPr>
      <w:r>
        <w:t>Study p</w:t>
      </w:r>
      <w:r w:rsidRPr="000535E6">
        <w:t>opulation</w:t>
      </w:r>
    </w:p>
    <w:p w14:paraId="2D835989" w14:textId="4EF97A47" w:rsidR="00C4441C" w:rsidRDefault="00C4441C" w:rsidP="00C4441C">
      <w:r>
        <w:t xml:space="preserve">Women with </w:t>
      </w:r>
      <w:proofErr w:type="gramStart"/>
      <w:r>
        <w:t>locally-confirmed</w:t>
      </w:r>
      <w:proofErr w:type="gramEnd"/>
      <w:r>
        <w:t xml:space="preserve"> invasi</w:t>
      </w:r>
      <w:r w:rsidR="009531B7">
        <w:t>ve HER2</w:t>
      </w:r>
      <w:r w:rsidR="007024B0">
        <w:t xml:space="preserve">-positive breast cancer Stage I to </w:t>
      </w:r>
      <w:r w:rsidR="009531B7">
        <w:t>III (changed to S</w:t>
      </w:r>
      <w:r w:rsidR="007024B0">
        <w:t xml:space="preserve">tage II to </w:t>
      </w:r>
      <w:r>
        <w:t xml:space="preserve">III in Amendment 3) without evidence of recurrence were eligible. Neo/adjuvant </w:t>
      </w:r>
      <w:proofErr w:type="spellStart"/>
      <w:r>
        <w:t>trastuzumab</w:t>
      </w:r>
      <w:proofErr w:type="spellEnd"/>
      <w:r>
        <w:t xml:space="preserve"> </w:t>
      </w:r>
      <w:proofErr w:type="gramStart"/>
      <w:r>
        <w:t>was completed</w:t>
      </w:r>
      <w:proofErr w:type="gramEnd"/>
      <w:r>
        <w:t xml:space="preserve"> up to 2 years (changed to 1 year in Amendment 3) before randomisation. Normal organ and </w:t>
      </w:r>
      <w:r w:rsidR="009531B7" w:rsidRPr="009531B7">
        <w:t xml:space="preserve">left ventricular ejection fraction </w:t>
      </w:r>
      <w:r w:rsidR="009531B7">
        <w:t>(</w:t>
      </w:r>
      <w:r>
        <w:t>LVEF</w:t>
      </w:r>
      <w:r w:rsidR="009531B7">
        <w:t>)</w:t>
      </w:r>
      <w:r>
        <w:t xml:space="preserve"> function was required and concurrent adjuvant endocrine therapy for </w:t>
      </w:r>
      <w:r w:rsidR="009531B7">
        <w:t>hormone receptor (</w:t>
      </w:r>
      <w:proofErr w:type="spellStart"/>
      <w:r>
        <w:t>HRc</w:t>
      </w:r>
      <w:proofErr w:type="spellEnd"/>
      <w:r w:rsidR="009531B7">
        <w:t>)</w:t>
      </w:r>
      <w:r>
        <w:t xml:space="preserve">–positive disease was recommended. Antidiarrheal prophylaxis </w:t>
      </w:r>
      <w:proofErr w:type="gramStart"/>
      <w:r>
        <w:t>was not mandated</w:t>
      </w:r>
      <w:proofErr w:type="gramEnd"/>
      <w:r>
        <w:t xml:space="preserve"> per protocol, but treatment for diarrhoea was advised at its earliest occurrence.</w:t>
      </w:r>
    </w:p>
    <w:p w14:paraId="230EB257" w14:textId="77777777" w:rsidR="00C4441C" w:rsidRPr="000535E6" w:rsidRDefault="00C4441C" w:rsidP="00C4441C">
      <w:pPr>
        <w:pStyle w:val="Heading6"/>
      </w:pPr>
      <w:r>
        <w:t>Randomisation</w:t>
      </w:r>
    </w:p>
    <w:p w14:paraId="05DC77B8" w14:textId="6F21D132" w:rsidR="00C4441C" w:rsidRDefault="00C4441C" w:rsidP="00C4441C">
      <w:r>
        <w:t>Patients were randomly assigned (</w:t>
      </w:r>
      <w:r w:rsidR="004E74F9">
        <w:t xml:space="preserve">in a </w:t>
      </w:r>
      <w:r>
        <w:t>1:1</w:t>
      </w:r>
      <w:r w:rsidR="004E74F9">
        <w:t xml:space="preserve"> ratio</w:t>
      </w:r>
      <w:r>
        <w:t xml:space="preserve">) to receive </w:t>
      </w:r>
      <w:proofErr w:type="spellStart"/>
      <w:r>
        <w:t>neratinib</w:t>
      </w:r>
      <w:proofErr w:type="spellEnd"/>
      <w:r>
        <w:t xml:space="preserve"> or matching placebo.</w:t>
      </w:r>
    </w:p>
    <w:p w14:paraId="75E98596" w14:textId="5EC00E36" w:rsidR="00C4441C" w:rsidRDefault="00C4441C" w:rsidP="00C4441C">
      <w:r>
        <w:t xml:space="preserve">The randomisation sequence was generated with permuted blocks stratified by locally determined </w:t>
      </w:r>
      <w:proofErr w:type="spellStart"/>
      <w:r w:rsidR="009531B7">
        <w:t>HRc</w:t>
      </w:r>
      <w:proofErr w:type="spellEnd"/>
      <w:r>
        <w:t xml:space="preserve"> status (</w:t>
      </w:r>
      <w:proofErr w:type="spellStart"/>
      <w:r w:rsidR="009531B7">
        <w:t>HRc</w:t>
      </w:r>
      <w:proofErr w:type="spellEnd"/>
      <w:r w:rsidR="009531B7">
        <w:t>-positive (</w:t>
      </w:r>
      <w:r>
        <w:t>defined as either oestrogen or progest</w:t>
      </w:r>
      <w:r w:rsidR="009531B7">
        <w:t>erone receptor positive or both) versus hormone receptor-negative (</w:t>
      </w:r>
      <w:r>
        <w:t>defined as oestrogen and</w:t>
      </w:r>
      <w:r w:rsidR="009531B7">
        <w:t xml:space="preserve"> </w:t>
      </w:r>
      <w:r w:rsidR="009531B7">
        <w:lastRenderedPageBreak/>
        <w:t xml:space="preserve">progesterone receptor-negative)), nodal status (0, 1 to </w:t>
      </w:r>
      <w:r>
        <w:t>3, or ≥</w:t>
      </w:r>
      <w:r w:rsidR="009531B7">
        <w:t xml:space="preserve"> </w:t>
      </w:r>
      <w:r>
        <w:t xml:space="preserve">4), and </w:t>
      </w:r>
      <w:proofErr w:type="spellStart"/>
      <w:r>
        <w:t>trastuzumab</w:t>
      </w:r>
      <w:proofErr w:type="spellEnd"/>
      <w:r>
        <w:t xml:space="preserve"> a</w:t>
      </w:r>
      <w:r w:rsidR="009531B7">
        <w:t>djuvant regimen (sequentially versus</w:t>
      </w:r>
      <w:r>
        <w:t xml:space="preserve"> concurrently with chemotherapy).</w:t>
      </w:r>
    </w:p>
    <w:p w14:paraId="1AB6D118" w14:textId="444CF737" w:rsidR="00C4441C" w:rsidRDefault="00C4441C" w:rsidP="00C4441C">
      <w:r>
        <w:t xml:space="preserve">HER2 status was subsequently confirmed centrally (HER2 amplification defined as a ratio of HER2 to </w:t>
      </w:r>
      <w:r w:rsidR="009531B7" w:rsidRPr="009531B7">
        <w:t>chromosome enumeration probe 17</w:t>
      </w:r>
      <w:r w:rsidR="009531B7">
        <w:t xml:space="preserve"> (</w:t>
      </w:r>
      <w:r>
        <w:t>CEP17</w:t>
      </w:r>
      <w:r w:rsidR="009531B7">
        <w:t>)</w:t>
      </w:r>
      <w:r>
        <w:t xml:space="preserve"> of ≥</w:t>
      </w:r>
      <w:r w:rsidR="009531B7">
        <w:t xml:space="preserve"> </w:t>
      </w:r>
      <w:r>
        <w:t xml:space="preserve">2·2 using </w:t>
      </w:r>
      <w:proofErr w:type="spellStart"/>
      <w:r w:rsidR="009531B7">
        <w:t>PathVysion</w:t>
      </w:r>
      <w:proofErr w:type="spellEnd"/>
      <w:r w:rsidR="009531B7">
        <w:t xml:space="preserve"> HER2 DNA dual probe (</w:t>
      </w:r>
      <w:r>
        <w:t>Abbott Molec</w:t>
      </w:r>
      <w:r w:rsidR="009531B7">
        <w:t>ular, Des Plaines, IL, USA)</w:t>
      </w:r>
      <w:r>
        <w:t>).</w:t>
      </w:r>
    </w:p>
    <w:p w14:paraId="72803419" w14:textId="77777777" w:rsidR="00C4441C" w:rsidRDefault="00C4441C" w:rsidP="00C4441C">
      <w:r>
        <w:t>The primary objective was to compare invasive disease-free survival (</w:t>
      </w:r>
      <w:proofErr w:type="spellStart"/>
      <w:r>
        <w:t>iDFS</w:t>
      </w:r>
      <w:proofErr w:type="spellEnd"/>
      <w:r>
        <w:t xml:space="preserve">) in women with early-stage HER2-overexpressed/amplified breast cancer following </w:t>
      </w:r>
      <w:proofErr w:type="spellStart"/>
      <w:r>
        <w:t>trastuzumab</w:t>
      </w:r>
      <w:proofErr w:type="spellEnd"/>
      <w:r>
        <w:t xml:space="preserve"> in the adjuvant setting receiving </w:t>
      </w:r>
      <w:proofErr w:type="spellStart"/>
      <w:r>
        <w:t>neratinib</w:t>
      </w:r>
      <w:proofErr w:type="spellEnd"/>
      <w:r>
        <w:t>, compared with that of women receiving placebo.</w:t>
      </w:r>
    </w:p>
    <w:p w14:paraId="3B5B8DA1" w14:textId="36504D5F" w:rsidR="00C4441C" w:rsidRDefault="00C4441C" w:rsidP="00C4441C">
      <w:r>
        <w:t xml:space="preserve">Patient flow </w:t>
      </w:r>
      <w:proofErr w:type="gramStart"/>
      <w:r>
        <w:t>is shown</w:t>
      </w:r>
      <w:proofErr w:type="gramEnd"/>
      <w:r>
        <w:t xml:space="preserve"> in </w:t>
      </w:r>
      <w:r>
        <w:fldChar w:fldCharType="begin"/>
      </w:r>
      <w:r>
        <w:instrText xml:space="preserve"> REF _Ref528823548 \h </w:instrText>
      </w:r>
      <w:r>
        <w:fldChar w:fldCharType="separate"/>
      </w:r>
      <w:r w:rsidR="00215D18" w:rsidRPr="000C49FF">
        <w:t xml:space="preserve">Figure </w:t>
      </w:r>
      <w:r w:rsidR="00215D18">
        <w:rPr>
          <w:noProof/>
        </w:rPr>
        <w:t>3</w:t>
      </w:r>
      <w:r>
        <w:fldChar w:fldCharType="end"/>
      </w:r>
      <w:r>
        <w:t>.</w:t>
      </w:r>
    </w:p>
    <w:p w14:paraId="42553EB7" w14:textId="4BB26E40" w:rsidR="00C4441C" w:rsidRPr="000C49FF" w:rsidRDefault="00C4441C" w:rsidP="009531B7">
      <w:pPr>
        <w:pStyle w:val="FigureTitle"/>
      </w:pPr>
      <w:bookmarkStart w:id="43" w:name="_Ref528823548"/>
      <w:r w:rsidRPr="000C49FF">
        <w:t xml:space="preserve">Figure </w:t>
      </w:r>
      <w:r w:rsidR="003B0773">
        <w:fldChar w:fldCharType="begin"/>
      </w:r>
      <w:r w:rsidR="003B0773">
        <w:instrText xml:space="preserve"> SEQ Figure \* ARABIC </w:instrText>
      </w:r>
      <w:r w:rsidR="003B0773">
        <w:fldChar w:fldCharType="separate"/>
      </w:r>
      <w:r w:rsidR="009531B7">
        <w:rPr>
          <w:noProof/>
        </w:rPr>
        <w:t>3</w:t>
      </w:r>
      <w:r w:rsidR="003B0773">
        <w:rPr>
          <w:noProof/>
        </w:rPr>
        <w:fldChar w:fldCharType="end"/>
      </w:r>
      <w:bookmarkEnd w:id="43"/>
      <w:r w:rsidR="009531B7">
        <w:t>:</w:t>
      </w:r>
      <w:r w:rsidR="00215D18">
        <w:t xml:space="preserve"> Patient f</w:t>
      </w:r>
      <w:r>
        <w:t xml:space="preserve">low </w:t>
      </w:r>
      <w:r w:rsidR="00215D18">
        <w:t>in Study 3004</w:t>
      </w:r>
      <w:r w:rsidR="002D1584">
        <w:t xml:space="preserve"> (</w:t>
      </w:r>
      <w:proofErr w:type="spellStart"/>
      <w:r w:rsidR="002D1584">
        <w:t>ExteNET</w:t>
      </w:r>
      <w:proofErr w:type="spellEnd"/>
      <w:r w:rsidR="002D1584">
        <w:t xml:space="preserve"> trial)</w:t>
      </w:r>
    </w:p>
    <w:p w14:paraId="5B53DB87" w14:textId="77777777" w:rsidR="00C4441C" w:rsidRDefault="00C4441C" w:rsidP="00C4441C">
      <w:r>
        <w:rPr>
          <w:noProof/>
          <w:lang w:eastAsia="en-AU"/>
        </w:rPr>
        <w:drawing>
          <wp:inline distT="0" distB="0" distL="0" distR="0" wp14:anchorId="70AE02D9" wp14:editId="1EBEFEFD">
            <wp:extent cx="2846567" cy="5063476"/>
            <wp:effectExtent l="0" t="0" r="0" b="4445"/>
            <wp:docPr id="9" name="Picture 9" descr="Patient flow in Study 3004. 3278 patients were screened for eligibility. Of these, 2842 were randomly assigned, 2 were then excluded as they had been assigned twice. 1420 were allocated to receive neratinib (1408 received neratinib), 1420 were allocated to receive placebo (1408 recevied placebo). 1420 in each group were included in the intention to treat analysis, and 1408 each in the safet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5965" cy="5115769"/>
                    </a:xfrm>
                    <a:prstGeom prst="rect">
                      <a:avLst/>
                    </a:prstGeom>
                  </pic:spPr>
                </pic:pic>
              </a:graphicData>
            </a:graphic>
          </wp:inline>
        </w:drawing>
      </w:r>
    </w:p>
    <w:p w14:paraId="657C7B0F" w14:textId="21A78353" w:rsidR="00C4441C" w:rsidRPr="00353FAA" w:rsidRDefault="00826D5B" w:rsidP="00215D18">
      <w:pPr>
        <w:pStyle w:val="TableDescription"/>
      </w:pPr>
      <w:r>
        <w:t>F</w:t>
      </w:r>
      <w:r w:rsidR="00C4441C">
        <w:t xml:space="preserve">rom </w:t>
      </w:r>
      <w:r>
        <w:t>Chan et al. (2016</w:t>
      </w:r>
      <w:r w:rsidR="00215D18">
        <w:t>).</w:t>
      </w:r>
      <w:bookmarkStart w:id="44" w:name="_Ref34727039"/>
      <w:r w:rsidR="00215D18">
        <w:rPr>
          <w:rStyle w:val="FootnoteReference"/>
          <w:sz w:val="20"/>
        </w:rPr>
        <w:footnoteReference w:id="11"/>
      </w:r>
      <w:bookmarkEnd w:id="44"/>
    </w:p>
    <w:p w14:paraId="72280887" w14:textId="6CD0031B" w:rsidR="00C4441C" w:rsidRDefault="00C4441C" w:rsidP="00C4441C">
      <w:pPr>
        <w:rPr>
          <w:b/>
        </w:rPr>
      </w:pPr>
      <w:r w:rsidRPr="00353FAA">
        <w:t xml:space="preserve">Some baseline characteristics of patients in the </w:t>
      </w:r>
      <w:proofErr w:type="spellStart"/>
      <w:r w:rsidRPr="00353FAA">
        <w:t>ExteNET</w:t>
      </w:r>
      <w:proofErr w:type="spellEnd"/>
      <w:r w:rsidRPr="00353FAA">
        <w:t xml:space="preserve"> </w:t>
      </w:r>
      <w:r w:rsidR="002D1584">
        <w:t>trial</w:t>
      </w:r>
      <w:r w:rsidRPr="00353FAA">
        <w:t xml:space="preserve"> </w:t>
      </w:r>
      <w:proofErr w:type="gramStart"/>
      <w:r w:rsidRPr="00353FAA">
        <w:t xml:space="preserve">are </w:t>
      </w:r>
      <w:r w:rsidRPr="00826D5B">
        <w:t>shown</w:t>
      </w:r>
      <w:proofErr w:type="gramEnd"/>
      <w:r w:rsidRPr="00826D5B">
        <w:t xml:space="preserve"> in</w:t>
      </w:r>
      <w:r>
        <w:rPr>
          <w:b/>
        </w:rPr>
        <w:t xml:space="preserve"> </w:t>
      </w:r>
      <w:r>
        <w:rPr>
          <w:b/>
        </w:rPr>
        <w:fldChar w:fldCharType="begin"/>
      </w:r>
      <w:r>
        <w:rPr>
          <w:b/>
        </w:rPr>
        <w:instrText xml:space="preserve"> REF _Ref530032693 \h </w:instrText>
      </w:r>
      <w:r w:rsidR="00215D18">
        <w:rPr>
          <w:b/>
        </w:rPr>
        <w:instrText xml:space="preserve"> \* MERGEFORMAT </w:instrText>
      </w:r>
      <w:r>
        <w:rPr>
          <w:b/>
        </w:rPr>
      </w:r>
      <w:r>
        <w:rPr>
          <w:b/>
        </w:rPr>
        <w:fldChar w:fldCharType="separate"/>
      </w:r>
      <w:r w:rsidR="00826D5B" w:rsidRPr="00474BE4">
        <w:t xml:space="preserve">Table </w:t>
      </w:r>
      <w:r w:rsidR="00826D5B">
        <w:rPr>
          <w:noProof/>
        </w:rPr>
        <w:t>2</w:t>
      </w:r>
      <w:r>
        <w:rPr>
          <w:b/>
        </w:rPr>
        <w:fldChar w:fldCharType="end"/>
      </w:r>
      <w:r w:rsidR="00826D5B">
        <w:rPr>
          <w:b/>
        </w:rPr>
        <w:t>.</w:t>
      </w:r>
    </w:p>
    <w:p w14:paraId="04DC0CEC" w14:textId="2069E56E" w:rsidR="00C4441C" w:rsidRPr="00474BE4" w:rsidRDefault="00C4441C" w:rsidP="00215D18">
      <w:pPr>
        <w:pStyle w:val="TableTitle"/>
      </w:pPr>
      <w:bookmarkStart w:id="45" w:name="_Ref530032693"/>
      <w:r w:rsidRPr="00474BE4">
        <w:lastRenderedPageBreak/>
        <w:t xml:space="preserve">Table </w:t>
      </w:r>
      <w:r w:rsidR="003B0773">
        <w:fldChar w:fldCharType="begin"/>
      </w:r>
      <w:r w:rsidR="003B0773">
        <w:instrText xml:space="preserve"> SEQ Table \* ARABIC </w:instrText>
      </w:r>
      <w:r w:rsidR="003B0773">
        <w:fldChar w:fldCharType="separate"/>
      </w:r>
      <w:r w:rsidR="00215D18">
        <w:rPr>
          <w:noProof/>
        </w:rPr>
        <w:t>2</w:t>
      </w:r>
      <w:r w:rsidR="003B0773">
        <w:rPr>
          <w:noProof/>
        </w:rPr>
        <w:fldChar w:fldCharType="end"/>
      </w:r>
      <w:bookmarkEnd w:id="45"/>
      <w:r w:rsidR="00215D18">
        <w:t>: Baseline characteristics in Study 3004</w:t>
      </w:r>
      <w:r w:rsidR="002D1584">
        <w:t xml:space="preserve"> (</w:t>
      </w:r>
      <w:proofErr w:type="spellStart"/>
      <w:r w:rsidR="002D1584">
        <w:t>ExteNET</w:t>
      </w:r>
      <w:proofErr w:type="spellEnd"/>
      <w:r w:rsidR="002D1584">
        <w:t xml:space="preserve"> trial)</w:t>
      </w:r>
    </w:p>
    <w:p w14:paraId="08E8602D" w14:textId="2E3E81C8" w:rsidR="00C4441C" w:rsidRDefault="00FF6A2F" w:rsidP="00C4441C">
      <w:pPr>
        <w:rPr>
          <w:b/>
        </w:rPr>
      </w:pPr>
      <w:r>
        <w:rPr>
          <w:noProof/>
          <w:lang w:eastAsia="en-AU"/>
        </w:rPr>
        <w:drawing>
          <wp:inline distT="0" distB="0" distL="0" distR="0" wp14:anchorId="2F0593C6" wp14:editId="74A215C9">
            <wp:extent cx="5400040" cy="4056380"/>
            <wp:effectExtent l="0" t="0" r="0" b="1270"/>
            <wp:docPr id="7" name="Picture 7" descr="Baseline characteristics in Study 3004 (ExteNE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4056380"/>
                    </a:xfrm>
                    <a:prstGeom prst="rect">
                      <a:avLst/>
                    </a:prstGeom>
                  </pic:spPr>
                </pic:pic>
              </a:graphicData>
            </a:graphic>
          </wp:inline>
        </w:drawing>
      </w:r>
    </w:p>
    <w:p w14:paraId="0261314D" w14:textId="51A04FD8" w:rsidR="00C4441C" w:rsidRPr="00FF6A2F" w:rsidRDefault="00FF6A2F" w:rsidP="00FF6A2F">
      <w:pPr>
        <w:pStyle w:val="TableDescription"/>
        <w:rPr>
          <w:sz w:val="20"/>
        </w:rPr>
      </w:pPr>
      <w:r>
        <w:t xml:space="preserve">Extract from </w:t>
      </w:r>
      <w:r w:rsidR="00826D5B">
        <w:t>Chan et al. (2016</w:t>
      </w:r>
      <w:r>
        <w:t>)</w:t>
      </w:r>
      <w:r w:rsidR="00C4441C" w:rsidRPr="00A73CEC">
        <w:rPr>
          <w:sz w:val="20"/>
        </w:rPr>
        <w:t>.</w:t>
      </w:r>
      <w:r>
        <w:rPr>
          <w:sz w:val="20"/>
        </w:rPr>
        <w:fldChar w:fldCharType="begin"/>
      </w:r>
      <w:r>
        <w:rPr>
          <w:sz w:val="20"/>
        </w:rPr>
        <w:instrText xml:space="preserve"> NOTEREF _Ref34727039 \f \h  \* MERGEFORMAT </w:instrText>
      </w:r>
      <w:r>
        <w:rPr>
          <w:sz w:val="20"/>
        </w:rPr>
      </w:r>
      <w:r>
        <w:rPr>
          <w:sz w:val="20"/>
        </w:rPr>
        <w:fldChar w:fldCharType="separate"/>
      </w:r>
      <w:r w:rsidR="00C157E6" w:rsidRPr="00C157E6">
        <w:rPr>
          <w:rStyle w:val="FootnoteReference"/>
        </w:rPr>
        <w:t>11</w:t>
      </w:r>
      <w:r>
        <w:rPr>
          <w:sz w:val="20"/>
        </w:rPr>
        <w:fldChar w:fldCharType="end"/>
      </w:r>
    </w:p>
    <w:p w14:paraId="65AD0A5F" w14:textId="77777777" w:rsidR="00C4441C" w:rsidRPr="004B4F50" w:rsidRDefault="00C4441C" w:rsidP="00C4441C">
      <w:pPr>
        <w:pStyle w:val="Heading6"/>
      </w:pPr>
      <w:r w:rsidRPr="004B4F50">
        <w:t>Results</w:t>
      </w:r>
    </w:p>
    <w:p w14:paraId="3A73CF95" w14:textId="35CDB581" w:rsidR="00C4441C" w:rsidRDefault="00C4441C" w:rsidP="00C4441C">
      <w:r>
        <w:t xml:space="preserve">The primary analysis of </w:t>
      </w:r>
      <w:proofErr w:type="spellStart"/>
      <w:r w:rsidR="00FF6A2F">
        <w:t>iDFS</w:t>
      </w:r>
      <w:proofErr w:type="spellEnd"/>
      <w:r>
        <w:t xml:space="preserve"> </w:t>
      </w:r>
      <w:proofErr w:type="gramStart"/>
      <w:r>
        <w:t>was conducted</w:t>
      </w:r>
      <w:proofErr w:type="gramEnd"/>
      <w:r>
        <w:t xml:space="preserve"> on the </w:t>
      </w:r>
      <w:r w:rsidR="00FF6A2F">
        <w:t>intention to treat (</w:t>
      </w:r>
      <w:r>
        <w:t>ITT</w:t>
      </w:r>
      <w:r w:rsidR="00FF6A2F">
        <w:t>)</w:t>
      </w:r>
      <w:r>
        <w:t xml:space="preserve"> population and was based on all subjects who experienced an </w:t>
      </w:r>
      <w:proofErr w:type="spellStart"/>
      <w:r>
        <w:t>iDFS</w:t>
      </w:r>
      <w:proofErr w:type="spellEnd"/>
      <w:r>
        <w:t xml:space="preserve"> event within 2 years and 28 days after randomisation.</w:t>
      </w:r>
    </w:p>
    <w:p w14:paraId="07EF5548" w14:textId="36F06211" w:rsidR="00C4441C" w:rsidRDefault="00C4441C" w:rsidP="00C4441C">
      <w:proofErr w:type="gramStart"/>
      <w:r>
        <w:t>A total of 173</w:t>
      </w:r>
      <w:proofErr w:type="gramEnd"/>
      <w:r>
        <w:t xml:space="preserve"> subjects experienced an event. </w:t>
      </w:r>
      <w:proofErr w:type="spellStart"/>
      <w:r>
        <w:t>Neratinib</w:t>
      </w:r>
      <w:proofErr w:type="spellEnd"/>
      <w:r>
        <w:t xml:space="preserve"> treatment was associated with a statistically significant reduction in the risk of experiencing an </w:t>
      </w:r>
      <w:proofErr w:type="spellStart"/>
      <w:r>
        <w:t>iDFS</w:t>
      </w:r>
      <w:proofErr w:type="spellEnd"/>
      <w:r>
        <w:t xml:space="preserve"> event (</w:t>
      </w:r>
      <w:r w:rsidR="00FF6A2F">
        <w:t>hazard ratio (</w:t>
      </w:r>
      <w:r>
        <w:t>HR</w:t>
      </w:r>
      <w:r w:rsidR="00FF6A2F">
        <w:t>)</w:t>
      </w:r>
      <w:r>
        <w:t xml:space="preserve"> = 0.66; 95%</w:t>
      </w:r>
      <w:r w:rsidR="00FF6A2F">
        <w:t xml:space="preserve"> confidence interval (</w:t>
      </w:r>
      <w:r>
        <w:t>CI</w:t>
      </w:r>
      <w:r w:rsidR="00FF6A2F">
        <w:t>)</w:t>
      </w:r>
      <w:r>
        <w:t xml:space="preserve">: 0.49 to 0.90; </w:t>
      </w:r>
      <w:r w:rsidR="0082175D">
        <w:t xml:space="preserve">2-sided </w:t>
      </w:r>
      <w:r>
        <w:t>p</w:t>
      </w:r>
      <w:r w:rsidR="0082175D">
        <w:t xml:space="preserve"> value</w:t>
      </w:r>
      <w:r w:rsidR="00FF6A2F">
        <w:t xml:space="preserve"> </w:t>
      </w:r>
      <w:r>
        <w:t>=</w:t>
      </w:r>
      <w:r w:rsidR="00FF6A2F">
        <w:t xml:space="preserve"> </w:t>
      </w:r>
      <w:r>
        <w:t>0.00</w:t>
      </w:r>
      <w:r w:rsidR="0082175D">
        <w:t>8</w:t>
      </w:r>
      <w:r>
        <w:t>)</w:t>
      </w:r>
      <w:proofErr w:type="gramStart"/>
      <w:r w:rsidR="002D1584">
        <w:t>;</w:t>
      </w:r>
      <w:proofErr w:type="gramEnd"/>
      <w:r w:rsidR="0082175D">
        <w:rPr>
          <w:rStyle w:val="FootnoteReference"/>
        </w:rPr>
        <w:footnoteReference w:id="12"/>
      </w:r>
      <w:r>
        <w:t xml:space="preserve"> see </w:t>
      </w:r>
      <w:r>
        <w:fldChar w:fldCharType="begin"/>
      </w:r>
      <w:r>
        <w:instrText xml:space="preserve"> REF _Ref528822572 \h </w:instrText>
      </w:r>
      <w:r>
        <w:fldChar w:fldCharType="separate"/>
      </w:r>
      <w:r w:rsidR="00FF6A2F" w:rsidRPr="008640A3">
        <w:t xml:space="preserve">Figure </w:t>
      </w:r>
      <w:r w:rsidR="00FF6A2F">
        <w:rPr>
          <w:noProof/>
        </w:rPr>
        <w:t>4</w:t>
      </w:r>
      <w:r>
        <w:fldChar w:fldCharType="end"/>
      </w:r>
      <w:r>
        <w:t>.</w:t>
      </w:r>
    </w:p>
    <w:p w14:paraId="03A76FF2" w14:textId="77777777" w:rsidR="00C4441C" w:rsidRDefault="00C4441C" w:rsidP="00C4441C">
      <w:r>
        <w:t xml:space="preserve">At 24 months, the proportion of subjects who were alive and free of invasive disease </w:t>
      </w:r>
      <w:proofErr w:type="gramStart"/>
      <w:r>
        <w:t>was increased</w:t>
      </w:r>
      <w:proofErr w:type="gramEnd"/>
      <w:r>
        <w:t xml:space="preserve"> from 91.9% in the placebo arm to 94.2% in the </w:t>
      </w:r>
      <w:proofErr w:type="spellStart"/>
      <w:r>
        <w:t>neratinib</w:t>
      </w:r>
      <w:proofErr w:type="spellEnd"/>
      <w:r>
        <w:t xml:space="preserve"> arm, an absolute difference of 2.3%.</w:t>
      </w:r>
    </w:p>
    <w:p w14:paraId="497E40A6" w14:textId="77777777" w:rsidR="00C4441C" w:rsidRDefault="00C4441C" w:rsidP="00C4441C">
      <w:r>
        <w:t>The most common form of disease recurrence was distant recurrence, in both arms of the study.</w:t>
      </w:r>
    </w:p>
    <w:p w14:paraId="0B8300D1" w14:textId="5196AA5B" w:rsidR="00C4441C" w:rsidRPr="008640A3" w:rsidRDefault="00C4441C" w:rsidP="00FF6A2F">
      <w:pPr>
        <w:pStyle w:val="FigureTitle"/>
      </w:pPr>
      <w:bookmarkStart w:id="46" w:name="_Ref528822572"/>
      <w:r w:rsidRPr="008640A3">
        <w:lastRenderedPageBreak/>
        <w:t xml:space="preserve">Figure </w:t>
      </w:r>
      <w:r w:rsidR="003B0773">
        <w:fldChar w:fldCharType="begin"/>
      </w:r>
      <w:r w:rsidR="003B0773">
        <w:instrText xml:space="preserve"> SEQ Figure \* ARABIC </w:instrText>
      </w:r>
      <w:r w:rsidR="003B0773">
        <w:fldChar w:fldCharType="separate"/>
      </w:r>
      <w:r w:rsidR="00FF6A2F">
        <w:rPr>
          <w:noProof/>
        </w:rPr>
        <w:t>4</w:t>
      </w:r>
      <w:r w:rsidR="003B0773">
        <w:rPr>
          <w:noProof/>
        </w:rPr>
        <w:fldChar w:fldCharType="end"/>
      </w:r>
      <w:bookmarkEnd w:id="46"/>
      <w:r w:rsidR="00FF6A2F">
        <w:t>:</w:t>
      </w:r>
      <w:r w:rsidRPr="008640A3">
        <w:t xml:space="preserve"> Kaplan-Meier </w:t>
      </w:r>
      <w:r w:rsidR="00FF6A2F">
        <w:t xml:space="preserve">plot of disease-free survival, </w:t>
      </w:r>
      <w:r w:rsidRPr="008640A3">
        <w:t>Study 3004</w:t>
      </w:r>
      <w:r w:rsidR="002D1584">
        <w:t xml:space="preserve"> (</w:t>
      </w:r>
      <w:proofErr w:type="spellStart"/>
      <w:r w:rsidR="002D1584">
        <w:t>ExteNET</w:t>
      </w:r>
      <w:proofErr w:type="spellEnd"/>
      <w:r w:rsidR="002D1584">
        <w:t xml:space="preserve"> trial)</w:t>
      </w:r>
      <w:r w:rsidRPr="008640A3">
        <w:t xml:space="preserve">, </w:t>
      </w:r>
      <w:r w:rsidR="00FF6A2F">
        <w:t>intention to treat population</w:t>
      </w:r>
    </w:p>
    <w:p w14:paraId="3BC3039B" w14:textId="77777777" w:rsidR="00C4441C" w:rsidRDefault="00C4441C" w:rsidP="00C4441C">
      <w:r>
        <w:rPr>
          <w:noProof/>
          <w:lang w:eastAsia="en-AU"/>
        </w:rPr>
        <w:drawing>
          <wp:inline distT="0" distB="0" distL="0" distR="0" wp14:anchorId="6F2F85C0" wp14:editId="3A498A22">
            <wp:extent cx="5340096" cy="2692869"/>
            <wp:effectExtent l="0" t="0" r="0" b="0"/>
            <wp:docPr id="2" name="Picture 2" descr="Kaplan-Meier plot of disease-free survival, Study 3004, intention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2155" cy="2693907"/>
                    </a:xfrm>
                    <a:prstGeom prst="rect">
                      <a:avLst/>
                    </a:prstGeom>
                  </pic:spPr>
                </pic:pic>
              </a:graphicData>
            </a:graphic>
          </wp:inline>
        </w:drawing>
      </w:r>
    </w:p>
    <w:p w14:paraId="436E1532" w14:textId="5C35B26F" w:rsidR="00C4441C" w:rsidRDefault="00C4441C" w:rsidP="00C4441C">
      <w:r>
        <w:t xml:space="preserve">Sub-group analyses </w:t>
      </w:r>
      <w:proofErr w:type="gramStart"/>
      <w:r>
        <w:t>are shown</w:t>
      </w:r>
      <w:proofErr w:type="gramEnd"/>
      <w:r>
        <w:t xml:space="preserve"> in </w:t>
      </w:r>
      <w:r>
        <w:fldChar w:fldCharType="begin"/>
      </w:r>
      <w:r>
        <w:instrText xml:space="preserve"> REF _Ref528822711 \h </w:instrText>
      </w:r>
      <w:r>
        <w:fldChar w:fldCharType="separate"/>
      </w:r>
      <w:r w:rsidR="00FF6A2F" w:rsidRPr="00502E79">
        <w:t xml:space="preserve">Figure </w:t>
      </w:r>
      <w:r w:rsidR="00FF6A2F">
        <w:rPr>
          <w:noProof/>
        </w:rPr>
        <w:t>5</w:t>
      </w:r>
      <w:r>
        <w:fldChar w:fldCharType="end"/>
      </w:r>
      <w:r>
        <w:t>.</w:t>
      </w:r>
    </w:p>
    <w:p w14:paraId="712FE85E" w14:textId="5602837E" w:rsidR="00C4441C" w:rsidRPr="00502E79" w:rsidRDefault="00C4441C" w:rsidP="00FF6A2F">
      <w:pPr>
        <w:pStyle w:val="FigureTitle"/>
      </w:pPr>
      <w:bookmarkStart w:id="47" w:name="_Ref528822711"/>
      <w:r w:rsidRPr="00502E79">
        <w:t xml:space="preserve">Figure </w:t>
      </w:r>
      <w:r w:rsidR="003B0773">
        <w:fldChar w:fldCharType="begin"/>
      </w:r>
      <w:r w:rsidR="003B0773">
        <w:instrText xml:space="preserve"> SEQ Figure \* ARABIC </w:instrText>
      </w:r>
      <w:r w:rsidR="003B0773">
        <w:fldChar w:fldCharType="separate"/>
      </w:r>
      <w:r w:rsidR="00FF6A2F">
        <w:rPr>
          <w:noProof/>
        </w:rPr>
        <w:t>5</w:t>
      </w:r>
      <w:r w:rsidR="003B0773">
        <w:rPr>
          <w:noProof/>
        </w:rPr>
        <w:fldChar w:fldCharType="end"/>
      </w:r>
      <w:bookmarkEnd w:id="47"/>
      <w:r w:rsidR="00FF6A2F">
        <w:t>:</w:t>
      </w:r>
      <w:r w:rsidRPr="00502E79">
        <w:t xml:space="preserve"> Forest </w:t>
      </w:r>
      <w:r w:rsidR="00FF6A2F" w:rsidRPr="00502E79">
        <w:t>plot of disease</w:t>
      </w:r>
      <w:r w:rsidR="00FF6A2F">
        <w:t xml:space="preserve">-free survival in key subgroups, </w:t>
      </w:r>
      <w:r w:rsidRPr="00502E79">
        <w:t>Study 3004</w:t>
      </w:r>
      <w:r w:rsidR="002D1584">
        <w:t xml:space="preserve"> (</w:t>
      </w:r>
      <w:proofErr w:type="spellStart"/>
      <w:r w:rsidR="002D1584">
        <w:t>ExteNET</w:t>
      </w:r>
      <w:proofErr w:type="spellEnd"/>
      <w:r w:rsidR="002D1584">
        <w:t xml:space="preserve"> trial),</w:t>
      </w:r>
      <w:r w:rsidRPr="00502E79">
        <w:t xml:space="preserve"> </w:t>
      </w:r>
      <w:r w:rsidR="00FF6A2F">
        <w:t>intention to treat population</w:t>
      </w:r>
    </w:p>
    <w:p w14:paraId="55F249BF" w14:textId="77777777" w:rsidR="00C4441C" w:rsidRDefault="00C4441C" w:rsidP="00C4441C">
      <w:r>
        <w:rPr>
          <w:noProof/>
          <w:lang w:eastAsia="en-AU"/>
        </w:rPr>
        <w:drawing>
          <wp:inline distT="0" distB="0" distL="0" distR="0" wp14:anchorId="48BD84BB" wp14:editId="265B9104">
            <wp:extent cx="5400040" cy="3882721"/>
            <wp:effectExtent l="0" t="0" r="0" b="3810"/>
            <wp:docPr id="3" name="Picture 3" descr="Forest plot of disease-free survival in key subgroups, Study 3004, intention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40" cy="3882721"/>
                    </a:xfrm>
                    <a:prstGeom prst="rect">
                      <a:avLst/>
                    </a:prstGeom>
                  </pic:spPr>
                </pic:pic>
              </a:graphicData>
            </a:graphic>
          </wp:inline>
        </w:drawing>
      </w:r>
    </w:p>
    <w:p w14:paraId="4B03F7EE" w14:textId="3B3417A1" w:rsidR="00C4441C" w:rsidRDefault="00C4441C" w:rsidP="00C4441C">
      <w:r>
        <w:t xml:space="preserve">In </w:t>
      </w:r>
      <w:proofErr w:type="spellStart"/>
      <w:r>
        <w:t>HRc</w:t>
      </w:r>
      <w:proofErr w:type="spellEnd"/>
      <w:r>
        <w:t>-positive</w:t>
      </w:r>
      <w:r w:rsidR="00FF6A2F">
        <w:t xml:space="preserve"> women, </w:t>
      </w:r>
      <w:proofErr w:type="spellStart"/>
      <w:r w:rsidR="00FF6A2F">
        <w:t>neratinib</w:t>
      </w:r>
      <w:proofErr w:type="spellEnd"/>
      <w:r w:rsidR="00FF6A2F">
        <w:t xml:space="preserve"> reduced the 2 </w:t>
      </w:r>
      <w:r>
        <w:t>year risk of recurrence or death by 51% relative to</w:t>
      </w:r>
      <w:r w:rsidR="00FF6A2F">
        <w:t xml:space="preserve"> placebo (HR 0.49; 95% CI, 0.31 to 0.75; p = 0.001), whereas 2 </w:t>
      </w:r>
      <w:r>
        <w:t xml:space="preserve">year </w:t>
      </w:r>
      <w:proofErr w:type="spellStart"/>
      <w:r>
        <w:t>iDFS</w:t>
      </w:r>
      <w:proofErr w:type="spellEnd"/>
      <w:r>
        <w:t xml:space="preserve"> rates were not different in </w:t>
      </w:r>
      <w:proofErr w:type="spellStart"/>
      <w:r>
        <w:t>HRc</w:t>
      </w:r>
      <w:proofErr w:type="spellEnd"/>
      <w:r>
        <w:t>-negati</w:t>
      </w:r>
      <w:r w:rsidR="00FF6A2F">
        <w:t>ve women (HR 0.93; 95% CI, 0.60 to 1.43; p</w:t>
      </w:r>
      <w:r>
        <w:t xml:space="preserve"> = 0.73) see </w:t>
      </w:r>
      <w:r>
        <w:fldChar w:fldCharType="begin"/>
      </w:r>
      <w:r>
        <w:instrText xml:space="preserve"> REF _Ref528822764 \h  \* MERGEFORMAT </w:instrText>
      </w:r>
      <w:r>
        <w:fldChar w:fldCharType="separate"/>
      </w:r>
      <w:r w:rsidR="00FF6A2F" w:rsidRPr="006628A0">
        <w:t xml:space="preserve">Figure </w:t>
      </w:r>
      <w:r w:rsidR="00FF6A2F">
        <w:rPr>
          <w:noProof/>
        </w:rPr>
        <w:t>6</w:t>
      </w:r>
      <w:r>
        <w:fldChar w:fldCharType="end"/>
      </w:r>
      <w:r>
        <w:t xml:space="preserve"> and </w:t>
      </w:r>
      <w:r>
        <w:fldChar w:fldCharType="begin"/>
      </w:r>
      <w:r>
        <w:instrText xml:space="preserve"> REF _Ref529777302 \h  \* MERGEFORMAT </w:instrText>
      </w:r>
      <w:r>
        <w:fldChar w:fldCharType="separate"/>
      </w:r>
      <w:r w:rsidR="00FF6A2F" w:rsidRPr="00A55412">
        <w:t xml:space="preserve">Figure </w:t>
      </w:r>
      <w:r w:rsidR="00FF6A2F">
        <w:rPr>
          <w:noProof/>
        </w:rPr>
        <w:t>7</w:t>
      </w:r>
      <w:r>
        <w:fldChar w:fldCharType="end"/>
      </w:r>
      <w:r>
        <w:t>.</w:t>
      </w:r>
    </w:p>
    <w:p w14:paraId="724B539A" w14:textId="163FB3DD" w:rsidR="00C4441C" w:rsidRPr="006628A0" w:rsidRDefault="00C4441C" w:rsidP="00FF6A2F">
      <w:pPr>
        <w:pStyle w:val="FigureTitle"/>
      </w:pPr>
      <w:bookmarkStart w:id="48" w:name="_Ref528822764"/>
      <w:r w:rsidRPr="006628A0">
        <w:lastRenderedPageBreak/>
        <w:t xml:space="preserve">Figure </w:t>
      </w:r>
      <w:r w:rsidR="003B0773">
        <w:fldChar w:fldCharType="begin"/>
      </w:r>
      <w:r w:rsidR="003B0773">
        <w:instrText xml:space="preserve"> SEQ Figure \* ARABIC </w:instrText>
      </w:r>
      <w:r w:rsidR="003B0773">
        <w:fldChar w:fldCharType="separate"/>
      </w:r>
      <w:r w:rsidR="00FF6A2F">
        <w:rPr>
          <w:noProof/>
        </w:rPr>
        <w:t>6</w:t>
      </w:r>
      <w:r w:rsidR="003B0773">
        <w:rPr>
          <w:noProof/>
        </w:rPr>
        <w:fldChar w:fldCharType="end"/>
      </w:r>
      <w:bookmarkEnd w:id="48"/>
      <w:r w:rsidR="00FF6A2F">
        <w:t>:</w:t>
      </w:r>
      <w:r w:rsidRPr="006628A0">
        <w:t xml:space="preserve"> Kaplan-Meier </w:t>
      </w:r>
      <w:r w:rsidR="00FF6A2F" w:rsidRPr="006628A0">
        <w:t>plot of disease-free survival in hormone receptor-positive pati</w:t>
      </w:r>
      <w:r w:rsidR="00FF6A2F">
        <w:t xml:space="preserve">ents, </w:t>
      </w:r>
      <w:r>
        <w:t>Study 3004</w:t>
      </w:r>
      <w:r w:rsidR="002D1584">
        <w:t xml:space="preserve"> (</w:t>
      </w:r>
      <w:proofErr w:type="spellStart"/>
      <w:r w:rsidR="002D1584">
        <w:t>ExteNET</w:t>
      </w:r>
      <w:proofErr w:type="spellEnd"/>
      <w:r w:rsidR="002D1584">
        <w:t xml:space="preserve"> trial)</w:t>
      </w:r>
    </w:p>
    <w:p w14:paraId="4ED33B99" w14:textId="77777777" w:rsidR="00C4441C" w:rsidRDefault="00C4441C" w:rsidP="00C4441C">
      <w:r>
        <w:rPr>
          <w:noProof/>
          <w:lang w:eastAsia="en-AU"/>
        </w:rPr>
        <w:drawing>
          <wp:inline distT="0" distB="0" distL="0" distR="0" wp14:anchorId="0CC5CB76" wp14:editId="3DDAF592">
            <wp:extent cx="5400040" cy="3107331"/>
            <wp:effectExtent l="0" t="0" r="0" b="0"/>
            <wp:docPr id="5" name="Picture 5" descr="Kaplan-Meier plot of disease-free survival in hormone receptor-positive patients, Study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40" cy="3107331"/>
                    </a:xfrm>
                    <a:prstGeom prst="rect">
                      <a:avLst/>
                    </a:prstGeom>
                  </pic:spPr>
                </pic:pic>
              </a:graphicData>
            </a:graphic>
          </wp:inline>
        </w:drawing>
      </w:r>
    </w:p>
    <w:p w14:paraId="18A231C7" w14:textId="6DA1EBFA" w:rsidR="00C4441C" w:rsidRPr="00A55412" w:rsidRDefault="00C4441C" w:rsidP="00FF6A2F">
      <w:pPr>
        <w:pStyle w:val="FigureTitle"/>
      </w:pPr>
      <w:bookmarkStart w:id="49" w:name="_Ref529777302"/>
      <w:r w:rsidRPr="00A55412">
        <w:t xml:space="preserve">Figure </w:t>
      </w:r>
      <w:r w:rsidR="003B0773">
        <w:fldChar w:fldCharType="begin"/>
      </w:r>
      <w:r w:rsidR="003B0773">
        <w:instrText xml:space="preserve"> SEQ Figure \* ARABIC </w:instrText>
      </w:r>
      <w:r w:rsidR="003B0773">
        <w:fldChar w:fldCharType="separate"/>
      </w:r>
      <w:r w:rsidR="00FF6A2F">
        <w:rPr>
          <w:noProof/>
        </w:rPr>
        <w:t>7</w:t>
      </w:r>
      <w:r w:rsidR="003B0773">
        <w:rPr>
          <w:noProof/>
        </w:rPr>
        <w:fldChar w:fldCharType="end"/>
      </w:r>
      <w:bookmarkEnd w:id="49"/>
      <w:r w:rsidR="00FF6A2F">
        <w:t>:</w:t>
      </w:r>
      <w:r w:rsidRPr="00A55412">
        <w:t xml:space="preserve"> Kaplan-Meier </w:t>
      </w:r>
      <w:r w:rsidR="00FF6A2F">
        <w:t xml:space="preserve">plot of disease-free survival, </w:t>
      </w:r>
      <w:r w:rsidR="00FF6A2F" w:rsidRPr="00A55412">
        <w:t>hormone receptor-negative pat</w:t>
      </w:r>
      <w:r w:rsidR="00FF6A2F">
        <w:t xml:space="preserve">ients, </w:t>
      </w:r>
      <w:r>
        <w:t>Study 3004</w:t>
      </w:r>
      <w:r w:rsidR="002D1584">
        <w:t xml:space="preserve"> (</w:t>
      </w:r>
      <w:proofErr w:type="spellStart"/>
      <w:r w:rsidR="002D1584">
        <w:t>ExteNET</w:t>
      </w:r>
      <w:proofErr w:type="spellEnd"/>
      <w:r w:rsidR="002D1584">
        <w:t xml:space="preserve"> trial)</w:t>
      </w:r>
    </w:p>
    <w:p w14:paraId="215C66ED" w14:textId="77777777" w:rsidR="00C4441C" w:rsidRDefault="00C4441C" w:rsidP="00C4441C">
      <w:r>
        <w:rPr>
          <w:noProof/>
          <w:lang w:eastAsia="en-AU"/>
        </w:rPr>
        <w:drawing>
          <wp:inline distT="0" distB="0" distL="0" distR="0" wp14:anchorId="790673B8" wp14:editId="75A003FB">
            <wp:extent cx="5400040" cy="3115408"/>
            <wp:effectExtent l="0" t="0" r="0" b="8890"/>
            <wp:docPr id="4" name="Picture 4" descr="Kaplan-Meier plot of disease-free survival, hormone receptor-negative patients, Study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40" cy="3115408"/>
                    </a:xfrm>
                    <a:prstGeom prst="rect">
                      <a:avLst/>
                    </a:prstGeom>
                  </pic:spPr>
                </pic:pic>
              </a:graphicData>
            </a:graphic>
          </wp:inline>
        </w:drawing>
      </w:r>
    </w:p>
    <w:p w14:paraId="70E55E72" w14:textId="620873FA" w:rsidR="00C4441C" w:rsidRDefault="00C4441C" w:rsidP="00C4441C">
      <w:r w:rsidRPr="00374711">
        <w:t>Published data on 5 year follow-up (Martin et al, 2017)</w:t>
      </w:r>
      <w:r w:rsidR="00A912DE">
        <w:t>,</w:t>
      </w:r>
      <w:bookmarkStart w:id="50" w:name="_Ref34732727"/>
      <w:r w:rsidR="00826D5B">
        <w:rPr>
          <w:rStyle w:val="FootnoteReference"/>
          <w:sz w:val="20"/>
        </w:rPr>
        <w:footnoteReference w:id="13"/>
      </w:r>
      <w:bookmarkEnd w:id="50"/>
      <w:r w:rsidRPr="00374711">
        <w:t xml:space="preserve"> show durability of response and confirm sub-group analyses indicating greater benefit with </w:t>
      </w:r>
      <w:proofErr w:type="spellStart"/>
      <w:r w:rsidRPr="00374711">
        <w:t>neratinib</w:t>
      </w:r>
      <w:proofErr w:type="spellEnd"/>
      <w:r w:rsidRPr="00374711">
        <w:t xml:space="preserve"> in patients with hormone receptor-positive disease</w:t>
      </w:r>
      <w:r>
        <w:t xml:space="preserve"> see </w:t>
      </w:r>
      <w:r>
        <w:fldChar w:fldCharType="begin"/>
      </w:r>
      <w:r>
        <w:instrText xml:space="preserve"> REF _Ref531243408 \h  \* MERGEFORMAT </w:instrText>
      </w:r>
      <w:r>
        <w:fldChar w:fldCharType="separate"/>
      </w:r>
      <w:r w:rsidR="00A912DE" w:rsidRPr="00374711">
        <w:t xml:space="preserve">Figure </w:t>
      </w:r>
      <w:r w:rsidR="00A912DE">
        <w:rPr>
          <w:noProof/>
        </w:rPr>
        <w:t>8</w:t>
      </w:r>
      <w:r>
        <w:fldChar w:fldCharType="end"/>
      </w:r>
      <w:r>
        <w:t xml:space="preserve"> and </w:t>
      </w:r>
      <w:r>
        <w:fldChar w:fldCharType="begin"/>
      </w:r>
      <w:r>
        <w:instrText xml:space="preserve"> REF _Ref531243422 \h  \* MERGEFORMAT </w:instrText>
      </w:r>
      <w:r>
        <w:fldChar w:fldCharType="separate"/>
      </w:r>
      <w:r w:rsidR="00A912DE" w:rsidRPr="00374711">
        <w:t xml:space="preserve">Figure </w:t>
      </w:r>
      <w:r w:rsidR="00A912DE">
        <w:rPr>
          <w:noProof/>
        </w:rPr>
        <w:t>9</w:t>
      </w:r>
      <w:r>
        <w:fldChar w:fldCharType="end"/>
      </w:r>
      <w:r>
        <w:t xml:space="preserve"> below.</w:t>
      </w:r>
    </w:p>
    <w:p w14:paraId="2A653F24" w14:textId="5AE415DF" w:rsidR="00C4441C" w:rsidRPr="00374711" w:rsidRDefault="00C4441C" w:rsidP="00A912DE">
      <w:pPr>
        <w:pStyle w:val="FigureTitle"/>
      </w:pPr>
      <w:bookmarkStart w:id="51" w:name="_Ref531243408"/>
      <w:r w:rsidRPr="00374711">
        <w:lastRenderedPageBreak/>
        <w:t xml:space="preserve">Figure </w:t>
      </w:r>
      <w:r w:rsidR="003B0773">
        <w:fldChar w:fldCharType="begin"/>
      </w:r>
      <w:r w:rsidR="003B0773">
        <w:instrText xml:space="preserve"> SEQ Figure \* ARABIC </w:instrText>
      </w:r>
      <w:r w:rsidR="003B0773">
        <w:fldChar w:fldCharType="separate"/>
      </w:r>
      <w:r w:rsidR="00FF6A2F">
        <w:rPr>
          <w:noProof/>
        </w:rPr>
        <w:t>8</w:t>
      </w:r>
      <w:r w:rsidR="003B0773">
        <w:rPr>
          <w:noProof/>
        </w:rPr>
        <w:fldChar w:fldCharType="end"/>
      </w:r>
      <w:bookmarkEnd w:id="51"/>
      <w:r w:rsidR="00FF6A2F">
        <w:t>:</w:t>
      </w:r>
      <w:r w:rsidRPr="00374711">
        <w:t xml:space="preserve"> </w:t>
      </w:r>
      <w:r w:rsidR="00A912DE">
        <w:t>Invasive disease-free survival in p</w:t>
      </w:r>
      <w:r w:rsidRPr="00374711">
        <w:t>atients with hormone receptor-positive breast cancer</w:t>
      </w:r>
      <w:r w:rsidR="00FF6A2F">
        <w:t>, Study 3004</w:t>
      </w:r>
      <w:r w:rsidR="002D1584">
        <w:t xml:space="preserve"> (</w:t>
      </w:r>
      <w:proofErr w:type="spellStart"/>
      <w:r w:rsidR="002D1584">
        <w:t>ExteNET</w:t>
      </w:r>
      <w:proofErr w:type="spellEnd"/>
      <w:r w:rsidR="002D1584">
        <w:t xml:space="preserve"> trial)</w:t>
      </w:r>
    </w:p>
    <w:p w14:paraId="09340825" w14:textId="77777777" w:rsidR="00C4441C" w:rsidRDefault="00C4441C" w:rsidP="00C4441C">
      <w:r>
        <w:rPr>
          <w:noProof/>
          <w:lang w:eastAsia="en-AU"/>
        </w:rPr>
        <w:drawing>
          <wp:inline distT="0" distB="0" distL="0" distR="0" wp14:anchorId="11B2916C" wp14:editId="2EB2F5A4">
            <wp:extent cx="5400040" cy="3532244"/>
            <wp:effectExtent l="0" t="0" r="0" b="0"/>
            <wp:docPr id="6" name="Picture 6" descr="Invasive disease-free survival in patients with hormone receptor-positive breast cancer, Study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40" cy="3532244"/>
                    </a:xfrm>
                    <a:prstGeom prst="rect">
                      <a:avLst/>
                    </a:prstGeom>
                  </pic:spPr>
                </pic:pic>
              </a:graphicData>
            </a:graphic>
          </wp:inline>
        </w:drawing>
      </w:r>
    </w:p>
    <w:p w14:paraId="2C293288" w14:textId="1C9517EC" w:rsidR="00C4441C" w:rsidRPr="00374711" w:rsidRDefault="00A912DE" w:rsidP="00C4441C">
      <w:pPr>
        <w:rPr>
          <w:sz w:val="18"/>
        </w:rPr>
      </w:pPr>
      <w:r>
        <w:rPr>
          <w:sz w:val="18"/>
        </w:rPr>
        <w:t xml:space="preserve">Red = </w:t>
      </w:r>
      <w:proofErr w:type="spellStart"/>
      <w:r>
        <w:rPr>
          <w:sz w:val="18"/>
        </w:rPr>
        <w:t>ner</w:t>
      </w:r>
      <w:r w:rsidR="00C157E6">
        <w:rPr>
          <w:sz w:val="18"/>
        </w:rPr>
        <w:t>a</w:t>
      </w:r>
      <w:r>
        <w:rPr>
          <w:sz w:val="18"/>
        </w:rPr>
        <w:t>tinib</w:t>
      </w:r>
      <w:proofErr w:type="spellEnd"/>
      <w:r>
        <w:rPr>
          <w:sz w:val="18"/>
        </w:rPr>
        <w:t xml:space="preserve">, blue = placebo. </w:t>
      </w:r>
      <w:r w:rsidR="00C4441C" w:rsidRPr="00374711">
        <w:rPr>
          <w:sz w:val="18"/>
        </w:rPr>
        <w:t xml:space="preserve">From Martin et al. </w:t>
      </w:r>
      <w:r>
        <w:rPr>
          <w:sz w:val="18"/>
        </w:rPr>
        <w:t>(</w:t>
      </w:r>
      <w:r w:rsidR="00C4441C" w:rsidRPr="00374711">
        <w:rPr>
          <w:sz w:val="18"/>
        </w:rPr>
        <w:t>2017</w:t>
      </w:r>
      <w:r>
        <w:rPr>
          <w:sz w:val="18"/>
        </w:rPr>
        <w:t>).</w:t>
      </w:r>
      <w:r>
        <w:rPr>
          <w:sz w:val="18"/>
        </w:rPr>
        <w:fldChar w:fldCharType="begin"/>
      </w:r>
      <w:r>
        <w:rPr>
          <w:sz w:val="18"/>
        </w:rPr>
        <w:instrText xml:space="preserve"> NOTEREF _Ref34727039 \f \h </w:instrText>
      </w:r>
      <w:r>
        <w:rPr>
          <w:sz w:val="18"/>
        </w:rPr>
      </w:r>
      <w:r>
        <w:rPr>
          <w:sz w:val="18"/>
        </w:rPr>
        <w:fldChar w:fldCharType="separate"/>
      </w:r>
      <w:r w:rsidR="00C157E6" w:rsidRPr="00C157E6">
        <w:rPr>
          <w:rStyle w:val="FootnoteReference"/>
        </w:rPr>
        <w:t>11</w:t>
      </w:r>
      <w:r>
        <w:rPr>
          <w:sz w:val="18"/>
        </w:rPr>
        <w:fldChar w:fldCharType="end"/>
      </w:r>
    </w:p>
    <w:p w14:paraId="438462FF" w14:textId="3FAAAB19" w:rsidR="00C4441C" w:rsidRPr="00374711" w:rsidRDefault="00C4441C" w:rsidP="00A912DE">
      <w:pPr>
        <w:pStyle w:val="FigureTitle"/>
      </w:pPr>
      <w:bookmarkStart w:id="52" w:name="_Ref531243422"/>
      <w:r w:rsidRPr="00374711">
        <w:t xml:space="preserve">Figure </w:t>
      </w:r>
      <w:r w:rsidR="003B0773">
        <w:fldChar w:fldCharType="begin"/>
      </w:r>
      <w:r w:rsidR="003B0773">
        <w:instrText xml:space="preserve"> SEQ Figure \* ARABIC </w:instrText>
      </w:r>
      <w:r w:rsidR="003B0773">
        <w:fldChar w:fldCharType="separate"/>
      </w:r>
      <w:r w:rsidR="00A912DE">
        <w:rPr>
          <w:noProof/>
        </w:rPr>
        <w:t>9</w:t>
      </w:r>
      <w:r w:rsidR="003B0773">
        <w:rPr>
          <w:noProof/>
        </w:rPr>
        <w:fldChar w:fldCharType="end"/>
      </w:r>
      <w:bookmarkEnd w:id="52"/>
      <w:r w:rsidR="00A912DE">
        <w:t>:</w:t>
      </w:r>
      <w:r w:rsidRPr="00374711">
        <w:t xml:space="preserve"> </w:t>
      </w:r>
      <w:r w:rsidR="00A912DE" w:rsidRPr="00A912DE">
        <w:t xml:space="preserve">Invasive disease-free survival in </w:t>
      </w:r>
      <w:r w:rsidR="00A912DE">
        <w:t>p</w:t>
      </w:r>
      <w:r w:rsidRPr="00374711">
        <w:t>atients with hormone receptor-negative breast cancer</w:t>
      </w:r>
      <w:r w:rsidR="00A912DE">
        <w:t>, Study 3004</w:t>
      </w:r>
      <w:r w:rsidR="002D1584">
        <w:t xml:space="preserve"> (</w:t>
      </w:r>
      <w:proofErr w:type="spellStart"/>
      <w:r w:rsidR="002D1584">
        <w:t>ExteNET</w:t>
      </w:r>
      <w:proofErr w:type="spellEnd"/>
      <w:r w:rsidR="002D1584">
        <w:t xml:space="preserve"> trial)</w:t>
      </w:r>
    </w:p>
    <w:p w14:paraId="48D6B770" w14:textId="77777777" w:rsidR="00C4441C" w:rsidRDefault="00C4441C" w:rsidP="00C4441C">
      <w:r>
        <w:rPr>
          <w:noProof/>
          <w:lang w:eastAsia="en-AU"/>
        </w:rPr>
        <w:drawing>
          <wp:inline distT="0" distB="0" distL="0" distR="0" wp14:anchorId="2736AD82" wp14:editId="44F1F08A">
            <wp:extent cx="5400040" cy="3587386"/>
            <wp:effectExtent l="0" t="0" r="0" b="0"/>
            <wp:docPr id="11" name="Picture 11" descr="Invasive disease-free survival in patients with hormone receptor-negative breast cancer, Study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40" cy="3587386"/>
                    </a:xfrm>
                    <a:prstGeom prst="rect">
                      <a:avLst/>
                    </a:prstGeom>
                  </pic:spPr>
                </pic:pic>
              </a:graphicData>
            </a:graphic>
          </wp:inline>
        </w:drawing>
      </w:r>
    </w:p>
    <w:p w14:paraId="1AD807C0" w14:textId="51C7D2C0" w:rsidR="00C4441C" w:rsidRPr="00A912DE" w:rsidRDefault="00A912DE" w:rsidP="00C4441C">
      <w:pPr>
        <w:rPr>
          <w:sz w:val="18"/>
        </w:rPr>
      </w:pPr>
      <w:r>
        <w:rPr>
          <w:sz w:val="18"/>
        </w:rPr>
        <w:t xml:space="preserve">Red = </w:t>
      </w:r>
      <w:proofErr w:type="spellStart"/>
      <w:r>
        <w:rPr>
          <w:sz w:val="18"/>
        </w:rPr>
        <w:t>ner</w:t>
      </w:r>
      <w:r w:rsidR="00C157E6">
        <w:rPr>
          <w:sz w:val="18"/>
        </w:rPr>
        <w:t>a</w:t>
      </w:r>
      <w:r>
        <w:rPr>
          <w:sz w:val="18"/>
        </w:rPr>
        <w:t>tinib</w:t>
      </w:r>
      <w:proofErr w:type="spellEnd"/>
      <w:r>
        <w:rPr>
          <w:sz w:val="18"/>
        </w:rPr>
        <w:t xml:space="preserve">, blue = placebo. </w:t>
      </w:r>
      <w:r w:rsidRPr="00374711">
        <w:rPr>
          <w:sz w:val="18"/>
        </w:rPr>
        <w:t xml:space="preserve">From Martin et al. </w:t>
      </w:r>
      <w:r>
        <w:rPr>
          <w:sz w:val="18"/>
        </w:rPr>
        <w:t>(</w:t>
      </w:r>
      <w:r w:rsidRPr="00374711">
        <w:rPr>
          <w:sz w:val="18"/>
        </w:rPr>
        <w:t>2017</w:t>
      </w:r>
      <w:r>
        <w:rPr>
          <w:sz w:val="18"/>
        </w:rPr>
        <w:t>).</w:t>
      </w:r>
      <w:r>
        <w:rPr>
          <w:sz w:val="18"/>
        </w:rPr>
        <w:fldChar w:fldCharType="begin"/>
      </w:r>
      <w:r>
        <w:rPr>
          <w:sz w:val="18"/>
        </w:rPr>
        <w:instrText xml:space="preserve"> NOTEREF _Ref34727039 \f \h </w:instrText>
      </w:r>
      <w:r>
        <w:rPr>
          <w:sz w:val="18"/>
        </w:rPr>
      </w:r>
      <w:r>
        <w:rPr>
          <w:sz w:val="18"/>
        </w:rPr>
        <w:fldChar w:fldCharType="separate"/>
      </w:r>
      <w:r w:rsidR="00C157E6" w:rsidRPr="00C157E6">
        <w:rPr>
          <w:rStyle w:val="FootnoteReference"/>
        </w:rPr>
        <w:t>11</w:t>
      </w:r>
      <w:r>
        <w:rPr>
          <w:sz w:val="18"/>
        </w:rPr>
        <w:fldChar w:fldCharType="end"/>
      </w:r>
    </w:p>
    <w:p w14:paraId="6CAE1336" w14:textId="77777777" w:rsidR="00C4441C" w:rsidRDefault="00C4441C" w:rsidP="00C4441C">
      <w:pPr>
        <w:pStyle w:val="Heading5"/>
      </w:pPr>
      <w:r w:rsidRPr="00B31484">
        <w:lastRenderedPageBreak/>
        <w:t>Efficacy summary</w:t>
      </w:r>
    </w:p>
    <w:p w14:paraId="6D23DCE0" w14:textId="77777777" w:rsidR="00C4441C" w:rsidRPr="00804A95" w:rsidRDefault="00C4441C" w:rsidP="00C4441C">
      <w:r>
        <w:t>In the ITT population, a</w:t>
      </w:r>
      <w:r w:rsidRPr="00804A95">
        <w:t xml:space="preserve">t 24 months, the proportion of subjects who were alive and free of invasive disease </w:t>
      </w:r>
      <w:proofErr w:type="gramStart"/>
      <w:r w:rsidRPr="00804A95">
        <w:t>was increased</w:t>
      </w:r>
      <w:proofErr w:type="gramEnd"/>
      <w:r w:rsidRPr="00804A95">
        <w:t xml:space="preserve"> from 91.9% in the placebo arm to 94.2% in the </w:t>
      </w:r>
      <w:proofErr w:type="spellStart"/>
      <w:r w:rsidRPr="00804A95">
        <w:t>neratinib</w:t>
      </w:r>
      <w:proofErr w:type="spellEnd"/>
      <w:r w:rsidRPr="00804A95">
        <w:t xml:space="preserve"> arm, </w:t>
      </w:r>
      <w:r>
        <w:t>a relatively modest</w:t>
      </w:r>
      <w:r w:rsidRPr="00804A95">
        <w:t xml:space="preserve"> absolute difference of 2.3%.</w:t>
      </w:r>
    </w:p>
    <w:p w14:paraId="13DD6AB3" w14:textId="739CA98C" w:rsidR="00C4441C" w:rsidRDefault="00C4441C" w:rsidP="00C4441C">
      <w:r w:rsidRPr="00B31484">
        <w:t>The efficacy result</w:t>
      </w:r>
      <w:r>
        <w:t xml:space="preserve">s in the ITT population </w:t>
      </w:r>
      <w:proofErr w:type="gramStart"/>
      <w:r>
        <w:t>are</w:t>
      </w:r>
      <w:r w:rsidRPr="00B31484">
        <w:t xml:space="preserve"> mostly driven</w:t>
      </w:r>
      <w:proofErr w:type="gramEnd"/>
      <w:r w:rsidRPr="00B31484">
        <w:t xml:space="preserve"> by the efficacy in the </w:t>
      </w:r>
      <w:proofErr w:type="spellStart"/>
      <w:r w:rsidR="00A912DE">
        <w:t>HRc</w:t>
      </w:r>
      <w:proofErr w:type="spellEnd"/>
      <w:r w:rsidR="00A912DE">
        <w:noBreakHyphen/>
      </w:r>
      <w:r w:rsidRPr="00B31484">
        <w:t>positive sub-group.</w:t>
      </w:r>
    </w:p>
    <w:p w14:paraId="3053091B" w14:textId="65FDD3B9" w:rsidR="00C4441C" w:rsidRDefault="00C4441C" w:rsidP="00C4441C">
      <w:r w:rsidRPr="001262BB">
        <w:t xml:space="preserve">In </w:t>
      </w:r>
      <w:proofErr w:type="spellStart"/>
      <w:r w:rsidRPr="001262BB">
        <w:t>HRc</w:t>
      </w:r>
      <w:proofErr w:type="spellEnd"/>
      <w:r w:rsidRPr="001262BB">
        <w:t xml:space="preserve">-positive women, </w:t>
      </w:r>
      <w:proofErr w:type="spellStart"/>
      <w:r w:rsidRPr="001262BB">
        <w:t>neratini</w:t>
      </w:r>
      <w:r w:rsidR="00A912DE">
        <w:t>b</w:t>
      </w:r>
      <w:proofErr w:type="spellEnd"/>
      <w:r w:rsidR="00A912DE">
        <w:t xml:space="preserve"> reduced the 2 </w:t>
      </w:r>
      <w:r w:rsidRPr="001262BB">
        <w:t>year risk of recurrence or death by 51% relative to</w:t>
      </w:r>
      <w:r w:rsidR="00A912DE">
        <w:t xml:space="preserve"> placebo (HR 0.49; 95% CI, 0.31 to 0.75; p = 0.001), whereas 2 </w:t>
      </w:r>
      <w:r w:rsidRPr="001262BB">
        <w:t xml:space="preserve">year </w:t>
      </w:r>
      <w:proofErr w:type="spellStart"/>
      <w:r w:rsidRPr="001262BB">
        <w:t>iDFS</w:t>
      </w:r>
      <w:proofErr w:type="spellEnd"/>
      <w:r w:rsidRPr="001262BB">
        <w:t xml:space="preserve"> rates were not different in </w:t>
      </w:r>
      <w:proofErr w:type="spellStart"/>
      <w:r w:rsidRPr="001262BB">
        <w:t>HRc</w:t>
      </w:r>
      <w:proofErr w:type="spellEnd"/>
      <w:r w:rsidRPr="001262BB">
        <w:t>-negati</w:t>
      </w:r>
      <w:r w:rsidR="00A912DE">
        <w:t>ve women (HR 0.93; 95% CI, 0.60 to 1.43; p</w:t>
      </w:r>
      <w:r w:rsidRPr="001262BB">
        <w:t xml:space="preserve"> = 0.73)</w:t>
      </w:r>
      <w:r>
        <w:t>.</w:t>
      </w:r>
    </w:p>
    <w:p w14:paraId="7C910D7F" w14:textId="5396841D" w:rsidR="00C4441C" w:rsidRDefault="00C4441C" w:rsidP="00C4441C">
      <w:r>
        <w:t xml:space="preserve">From the EMA </w:t>
      </w:r>
      <w:r w:rsidR="00DC67B3">
        <w:t>European Public Assessment Report</w:t>
      </w:r>
      <w:r>
        <w:t xml:space="preserve"> (</w:t>
      </w:r>
      <w:r w:rsidR="00DC67B3">
        <w:t xml:space="preserve">EPAR; </w:t>
      </w:r>
      <w:r>
        <w:t>page 161):</w:t>
      </w:r>
      <w:bookmarkStart w:id="53" w:name="_Ref34732954"/>
      <w:r w:rsidR="00DC67B3">
        <w:rPr>
          <w:rStyle w:val="FootnoteReference"/>
        </w:rPr>
        <w:footnoteReference w:id="14"/>
      </w:r>
      <w:bookmarkEnd w:id="53"/>
    </w:p>
    <w:p w14:paraId="63BFC648" w14:textId="66844474" w:rsidR="00C4441C" w:rsidRDefault="00DC67B3" w:rsidP="00DC67B3">
      <w:pPr>
        <w:ind w:left="720"/>
      </w:pPr>
      <w:r>
        <w:t>‘</w:t>
      </w:r>
      <w:r w:rsidR="00C4441C">
        <w:t xml:space="preserve">At five years post baseline the </w:t>
      </w:r>
      <w:proofErr w:type="spellStart"/>
      <w:r w:rsidR="00C4441C">
        <w:t>iDFS</w:t>
      </w:r>
      <w:proofErr w:type="spellEnd"/>
      <w:r w:rsidR="00C4441C">
        <w:t xml:space="preserve"> estimates for </w:t>
      </w:r>
      <w:proofErr w:type="spellStart"/>
      <w:r w:rsidR="00C4441C">
        <w:t>HR</w:t>
      </w:r>
      <w:r>
        <w:t>c</w:t>
      </w:r>
      <w:proofErr w:type="spellEnd"/>
      <w:r>
        <w:t xml:space="preserve"> positive tumours were 85.7 versus</w:t>
      </w:r>
      <w:r w:rsidR="00C4441C">
        <w:t xml:space="preserve"> 90.8 %, HR 0.58, p</w:t>
      </w:r>
      <w:r>
        <w:t xml:space="preserve"> </w:t>
      </w:r>
      <w:r w:rsidR="00C4441C">
        <w:t xml:space="preserve">= 0.002; for </w:t>
      </w:r>
      <w:proofErr w:type="spellStart"/>
      <w:r w:rsidR="00C4441C">
        <w:t>HRc</w:t>
      </w:r>
      <w:proofErr w:type="spellEnd"/>
      <w:r w:rsidR="00C4441C">
        <w:t xml:space="preserve"> negative tumours: 8</w:t>
      </w:r>
      <w:r>
        <w:t>7.6 versus 88.2 %, HR 0.89, p = 0.5.’</w:t>
      </w:r>
    </w:p>
    <w:p w14:paraId="4F26AFD1" w14:textId="77777777" w:rsidR="00C4441C" w:rsidRPr="00C4441C" w:rsidRDefault="00C4441C" w:rsidP="00C4441C">
      <w:pPr>
        <w:pStyle w:val="Heading4"/>
      </w:pPr>
      <w:r w:rsidRPr="00C4441C">
        <w:t>Safety</w:t>
      </w:r>
    </w:p>
    <w:p w14:paraId="1A33C1D7" w14:textId="1493CBEB" w:rsidR="00C4441C" w:rsidRPr="00AC2C2C" w:rsidRDefault="00C4441C" w:rsidP="00C4441C">
      <w:r w:rsidRPr="00AC2C2C">
        <w:t>Treatment-emergent adverse events occurring in at least 10% of patients in the safety population</w:t>
      </w:r>
      <w:r>
        <w:t xml:space="preserve"> are summarised in </w:t>
      </w:r>
      <w:r>
        <w:fldChar w:fldCharType="begin"/>
      </w:r>
      <w:r>
        <w:instrText xml:space="preserve"> REF _Ref528824003 \h  \* MERGEFORMAT </w:instrText>
      </w:r>
      <w:r>
        <w:fldChar w:fldCharType="separate"/>
      </w:r>
      <w:r w:rsidR="00DC67B3" w:rsidRPr="00007C42">
        <w:t xml:space="preserve">Table </w:t>
      </w:r>
      <w:r w:rsidR="00DC67B3">
        <w:rPr>
          <w:noProof/>
        </w:rPr>
        <w:t>3</w:t>
      </w:r>
      <w:r>
        <w:fldChar w:fldCharType="end"/>
      </w:r>
      <w:r>
        <w:t>.</w:t>
      </w:r>
    </w:p>
    <w:p w14:paraId="4EA01192" w14:textId="77777777" w:rsidR="00C4441C" w:rsidRPr="00D021C4" w:rsidRDefault="00C4441C" w:rsidP="00C4441C">
      <w:pPr>
        <w:pStyle w:val="Heading5"/>
      </w:pPr>
      <w:r w:rsidRPr="00D021C4">
        <w:t>Diarrhoea</w:t>
      </w:r>
    </w:p>
    <w:p w14:paraId="6DCEFE47" w14:textId="6050E56F" w:rsidR="00C4441C" w:rsidRDefault="00C4441C" w:rsidP="00C4441C">
      <w:r>
        <w:t xml:space="preserve">Diarrhoea was the most common treatment-emergent adverse event in the </w:t>
      </w:r>
      <w:proofErr w:type="spellStart"/>
      <w:r>
        <w:t>neratinib</w:t>
      </w:r>
      <w:proofErr w:type="spellEnd"/>
      <w:r w:rsidR="00DC67B3">
        <w:t xml:space="preserve"> group. 458 (33%) patients had G</w:t>
      </w:r>
      <w:r>
        <w:t xml:space="preserve">rade 2 diarrhoea, 561 </w:t>
      </w:r>
      <w:r w:rsidR="00DC67B3">
        <w:t>(40%) patients had G</w:t>
      </w:r>
      <w:r>
        <w:t>rade 3 diarrhoea, and one (&lt;</w:t>
      </w:r>
      <w:r w:rsidR="00DC67B3">
        <w:t xml:space="preserve"> </w:t>
      </w:r>
      <w:proofErr w:type="gramStart"/>
      <w:r w:rsidR="00DC67B3">
        <w:t>1%</w:t>
      </w:r>
      <w:proofErr w:type="gramEnd"/>
      <w:r w:rsidR="00DC67B3">
        <w:t>) patient had G</w:t>
      </w:r>
      <w:r>
        <w:t xml:space="preserve">rade 4 diarrhoea see </w:t>
      </w:r>
      <w:r>
        <w:fldChar w:fldCharType="begin"/>
      </w:r>
      <w:r>
        <w:instrText xml:space="preserve"> REF _Ref528824003 \h  \* MERGEFORMAT </w:instrText>
      </w:r>
      <w:r>
        <w:fldChar w:fldCharType="separate"/>
      </w:r>
      <w:r w:rsidR="00DC67B3" w:rsidRPr="00007C42">
        <w:t xml:space="preserve">Table </w:t>
      </w:r>
      <w:r w:rsidR="00DC67B3">
        <w:rPr>
          <w:noProof/>
        </w:rPr>
        <w:t>3</w:t>
      </w:r>
      <w:r>
        <w:fldChar w:fldCharType="end"/>
      </w:r>
      <w:r>
        <w:t>. In the place</w:t>
      </w:r>
      <w:r w:rsidR="00DC67B3">
        <w:t>bo group, 94 (7%) patients had G</w:t>
      </w:r>
      <w:r>
        <w:t xml:space="preserve">rade </w:t>
      </w:r>
      <w:r w:rsidR="00DC67B3">
        <w:t xml:space="preserve">2 </w:t>
      </w:r>
      <w:r>
        <w:t>d</w:t>
      </w:r>
      <w:r w:rsidR="00DC67B3">
        <w:t>iarrhoea, 23 (2%) patients had Grade 3, and no patients had G</w:t>
      </w:r>
      <w:r>
        <w:t>rade 4 diarrhoea.</w:t>
      </w:r>
    </w:p>
    <w:p w14:paraId="38FDEDBE" w14:textId="6FFDB7E8" w:rsidR="00C4441C" w:rsidRDefault="00C4441C" w:rsidP="00C4441C">
      <w:r>
        <w:t xml:space="preserve">Diarrhoea led to </w:t>
      </w:r>
      <w:proofErr w:type="spellStart"/>
      <w:r>
        <w:t>neratinib</w:t>
      </w:r>
      <w:proofErr w:type="spellEnd"/>
      <w:r>
        <w:t xml:space="preserve"> dose reductions in 372 (26%) patients in the </w:t>
      </w:r>
      <w:proofErr w:type="spellStart"/>
      <w:r>
        <w:t>neratinib</w:t>
      </w:r>
      <w:proofErr w:type="spellEnd"/>
      <w:r>
        <w:t xml:space="preserve"> group and eight (1%) patients in the placebo group, hospital admission in 20 (1%) versus one (&lt;</w:t>
      </w:r>
      <w:r w:rsidR="00DC67B3">
        <w:t> </w:t>
      </w:r>
      <w:r>
        <w:t>1%) patient, and drug discontinuation in 237 (17%) patients (discontinued after a median of 20 days versus three (&lt;</w:t>
      </w:r>
      <w:r w:rsidR="00DC67B3">
        <w:t xml:space="preserve"> </w:t>
      </w:r>
      <w:r>
        <w:t>1%) patients (discontinued after 241 days).</w:t>
      </w:r>
    </w:p>
    <w:p w14:paraId="009666EC" w14:textId="7FC9DDEE" w:rsidR="00C4441C" w:rsidRDefault="00C4441C" w:rsidP="00DC67B3">
      <w:pPr>
        <w:pStyle w:val="TableTitle"/>
      </w:pPr>
      <w:bookmarkStart w:id="54" w:name="_Ref528824003"/>
      <w:r w:rsidRPr="00007C42">
        <w:lastRenderedPageBreak/>
        <w:t xml:space="preserve">Table </w:t>
      </w:r>
      <w:r w:rsidR="003B0773">
        <w:fldChar w:fldCharType="begin"/>
      </w:r>
      <w:r w:rsidR="003B0773">
        <w:instrText xml:space="preserve"> SEQ Table \* ARABIC </w:instrText>
      </w:r>
      <w:r w:rsidR="003B0773">
        <w:fldChar w:fldCharType="separate"/>
      </w:r>
      <w:r w:rsidR="00DC67B3">
        <w:rPr>
          <w:noProof/>
        </w:rPr>
        <w:t>3</w:t>
      </w:r>
      <w:r w:rsidR="003B0773">
        <w:rPr>
          <w:noProof/>
        </w:rPr>
        <w:fldChar w:fldCharType="end"/>
      </w:r>
      <w:bookmarkEnd w:id="54"/>
      <w:r w:rsidR="00DC67B3">
        <w:t>:</w:t>
      </w:r>
      <w:r w:rsidRPr="00007C42">
        <w:t xml:space="preserve"> Treatment-emergent adverse events occurring in at least 10% of patients in the safety population</w:t>
      </w:r>
      <w:r w:rsidR="00DC67B3">
        <w:t>, Study 3004</w:t>
      </w:r>
      <w:r w:rsidR="002D1584">
        <w:t xml:space="preserve"> (</w:t>
      </w:r>
      <w:proofErr w:type="spellStart"/>
      <w:r w:rsidR="002D1584">
        <w:t>ExteNET</w:t>
      </w:r>
      <w:proofErr w:type="spellEnd"/>
      <w:r w:rsidR="002D1584">
        <w:t xml:space="preserve"> trial)</w:t>
      </w:r>
      <w:r>
        <w:rPr>
          <w:noProof/>
          <w:lang w:eastAsia="en-AU"/>
        </w:rPr>
        <w:drawing>
          <wp:inline distT="0" distB="0" distL="0" distR="0" wp14:anchorId="78BAA5E5" wp14:editId="675DC1A4">
            <wp:extent cx="5400040" cy="3281673"/>
            <wp:effectExtent l="0" t="0" r="0" b="0"/>
            <wp:docPr id="10" name="Picture 10" descr="Treatment-emergent adverse events occurring in at least 10% of patients in the safety population, Study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40" cy="3281673"/>
                    </a:xfrm>
                    <a:prstGeom prst="rect">
                      <a:avLst/>
                    </a:prstGeom>
                  </pic:spPr>
                </pic:pic>
              </a:graphicData>
            </a:graphic>
          </wp:inline>
        </w:drawing>
      </w:r>
    </w:p>
    <w:p w14:paraId="24F7177F" w14:textId="18F889BA" w:rsidR="00C4441C" w:rsidRDefault="00C4441C" w:rsidP="00C4441C">
      <w:pPr>
        <w:rPr>
          <w:sz w:val="20"/>
        </w:rPr>
      </w:pPr>
      <w:r>
        <w:rPr>
          <w:sz w:val="20"/>
        </w:rPr>
        <w:t xml:space="preserve">Extract from </w:t>
      </w:r>
      <w:r w:rsidR="00DC67B3">
        <w:rPr>
          <w:sz w:val="20"/>
        </w:rPr>
        <w:t>Chan et al. (2016).</w:t>
      </w:r>
      <w:r w:rsidR="00DC67B3">
        <w:rPr>
          <w:sz w:val="20"/>
        </w:rPr>
        <w:fldChar w:fldCharType="begin"/>
      </w:r>
      <w:r w:rsidR="00DC67B3">
        <w:rPr>
          <w:sz w:val="20"/>
        </w:rPr>
        <w:instrText xml:space="preserve"> NOTEREF _Ref34727039 \f \h </w:instrText>
      </w:r>
      <w:r w:rsidR="00DC67B3">
        <w:rPr>
          <w:sz w:val="20"/>
        </w:rPr>
      </w:r>
      <w:r w:rsidR="00DC67B3">
        <w:rPr>
          <w:sz w:val="20"/>
        </w:rPr>
        <w:fldChar w:fldCharType="separate"/>
      </w:r>
      <w:r w:rsidR="00C157E6" w:rsidRPr="00C157E6">
        <w:rPr>
          <w:rStyle w:val="FootnoteReference"/>
        </w:rPr>
        <w:t>11</w:t>
      </w:r>
      <w:r w:rsidR="00DC67B3">
        <w:rPr>
          <w:sz w:val="20"/>
        </w:rPr>
        <w:fldChar w:fldCharType="end"/>
      </w:r>
    </w:p>
    <w:p w14:paraId="364D199D" w14:textId="77777777" w:rsidR="00C4441C" w:rsidRPr="00D021C4" w:rsidRDefault="00C4441C" w:rsidP="00C4441C">
      <w:pPr>
        <w:pStyle w:val="Heading5"/>
      </w:pPr>
      <w:r w:rsidRPr="00D021C4">
        <w:t>Hepatotoxicity</w:t>
      </w:r>
    </w:p>
    <w:p w14:paraId="46DC5D09" w14:textId="6399DD65" w:rsidR="00C4441C" w:rsidRDefault="00C4441C" w:rsidP="00C4441C">
      <w:r>
        <w:t>Hepatic-associated ad</w:t>
      </w:r>
      <w:r w:rsidR="00DC67B3">
        <w:t>verse reactions in the pivotal P</w:t>
      </w:r>
      <w:r>
        <w:t xml:space="preserve">hase III study, </w:t>
      </w:r>
      <w:r w:rsidR="00DC67B3">
        <w:t xml:space="preserve">Study </w:t>
      </w:r>
      <w:r>
        <w:t>3004</w:t>
      </w:r>
      <w:r w:rsidR="00DC67B3">
        <w:t xml:space="preserve"> (</w:t>
      </w:r>
      <w:proofErr w:type="spellStart"/>
      <w:r w:rsidR="00DC67B3">
        <w:t>ExteNET</w:t>
      </w:r>
      <w:proofErr w:type="spellEnd"/>
      <w:r w:rsidR="002D1584">
        <w:t xml:space="preserve"> trial</w:t>
      </w:r>
      <w:r>
        <w:t xml:space="preserve">), were reported more frequently in the </w:t>
      </w:r>
      <w:proofErr w:type="spellStart"/>
      <w:r>
        <w:t>neratinib</w:t>
      </w:r>
      <w:proofErr w:type="spellEnd"/>
      <w:r>
        <w:t xml:space="preserve"> arm compar</w:t>
      </w:r>
      <w:r w:rsidR="00DC67B3">
        <w:t>ed to the placebo arm (12.4% versus</w:t>
      </w:r>
      <w:r>
        <w:t xml:space="preserve"> 6.6%), due primarily to alanine aminotransferase (ALT) increased (8.5%</w:t>
      </w:r>
      <w:r w:rsidR="00DC67B3">
        <w:t xml:space="preserve"> versus</w:t>
      </w:r>
      <w:r>
        <w:t xml:space="preserve"> 3.2%), aspartate aminotran</w:t>
      </w:r>
      <w:r w:rsidR="00DC67B3">
        <w:t>sferase (AST) increased (7.4% versus</w:t>
      </w:r>
      <w:r>
        <w:t xml:space="preserve"> 3.3%) and blood alkaline</w:t>
      </w:r>
      <w:r w:rsidR="00DC67B3">
        <w:t xml:space="preserve"> phosphatase increased (2.1% versus 1.1%).</w:t>
      </w:r>
    </w:p>
    <w:p w14:paraId="0EE9FEE2" w14:textId="4F734D7F" w:rsidR="00C4441C" w:rsidRDefault="00C4441C" w:rsidP="00C4441C">
      <w:r>
        <w:t>Grade 3 adverse re</w:t>
      </w:r>
      <w:r w:rsidR="00DC67B3">
        <w:t>actions were reported in 1.6% versus</w:t>
      </w:r>
      <w:r>
        <w:t xml:space="preserve"> </w:t>
      </w:r>
      <w:proofErr w:type="gramStart"/>
      <w:r>
        <w:t>0.5% and Grade 4 adverse rea</w:t>
      </w:r>
      <w:r w:rsidR="00DC67B3">
        <w:t>ctions were reported in 0.2% versus</w:t>
      </w:r>
      <w:r>
        <w:t xml:space="preserve"> 0.1%, </w:t>
      </w:r>
      <w:proofErr w:type="spellStart"/>
      <w:r>
        <w:t>neratinib</w:t>
      </w:r>
      <w:proofErr w:type="spellEnd"/>
      <w:proofErr w:type="gramEnd"/>
      <w:r w:rsidR="00DC67B3">
        <w:t xml:space="preserve"> and placebo </w:t>
      </w:r>
      <w:r>
        <w:t>treated patients, respectively. Grade 3 ALT i</w:t>
      </w:r>
      <w:r w:rsidR="00DC67B3">
        <w:t xml:space="preserve">ncreases </w:t>
      </w:r>
      <w:proofErr w:type="gramStart"/>
      <w:r w:rsidR="00DC67B3">
        <w:t>were reported</w:t>
      </w:r>
      <w:proofErr w:type="gramEnd"/>
      <w:r w:rsidR="00DC67B3">
        <w:t xml:space="preserve"> in 1.1% versus 0.2% and Grade 4 ALT increases were reported in 0.2% versus 0.0% of </w:t>
      </w:r>
      <w:proofErr w:type="spellStart"/>
      <w:r w:rsidR="00DC67B3">
        <w:t>neratinib</w:t>
      </w:r>
      <w:proofErr w:type="spellEnd"/>
      <w:r w:rsidR="00DC67B3">
        <w:t xml:space="preserve"> versus</w:t>
      </w:r>
      <w:r>
        <w:t xml:space="preserve"> placebo treated</w:t>
      </w:r>
      <w:r w:rsidR="00DC67B3">
        <w:t xml:space="preserve"> patients. Grade 3 AST increases </w:t>
      </w:r>
      <w:proofErr w:type="gramStart"/>
      <w:r w:rsidR="00DC67B3">
        <w:t>were reported</w:t>
      </w:r>
      <w:proofErr w:type="gramEnd"/>
      <w:r w:rsidR="00DC67B3">
        <w:t xml:space="preserve"> in 0.5% versus</w:t>
      </w:r>
      <w:r>
        <w:t xml:space="preserve"> 0.3% and Grade </w:t>
      </w:r>
      <w:r w:rsidR="00DC67B3">
        <w:t xml:space="preserve">4 AST increases were reported in 0.2% versus 0.0%, of </w:t>
      </w:r>
      <w:proofErr w:type="spellStart"/>
      <w:r w:rsidR="00DC67B3">
        <w:t>neratinib</w:t>
      </w:r>
      <w:proofErr w:type="spellEnd"/>
      <w:r w:rsidR="00DC67B3">
        <w:t xml:space="preserve"> versus</w:t>
      </w:r>
      <w:r>
        <w:t xml:space="preserve"> placebo-treated patients. There was no Grade 3 or </w:t>
      </w:r>
      <w:proofErr w:type="gramStart"/>
      <w:r>
        <w:t>4</w:t>
      </w:r>
      <w:proofErr w:type="gramEnd"/>
      <w:r>
        <w:t xml:space="preserve"> adverse reacti</w:t>
      </w:r>
      <w:r w:rsidR="00DC67B3">
        <w:t>ons of blood bilirubin increases</w:t>
      </w:r>
      <w:r>
        <w:t>.</w:t>
      </w:r>
    </w:p>
    <w:p w14:paraId="41E3EB0F" w14:textId="77777777" w:rsidR="00C4441C" w:rsidRPr="005D1E26" w:rsidRDefault="00C4441C" w:rsidP="00C4441C">
      <w:pPr>
        <w:pStyle w:val="Heading5"/>
      </w:pPr>
      <w:r>
        <w:t>Safety s</w:t>
      </w:r>
      <w:r w:rsidRPr="00B31484">
        <w:t>ummary</w:t>
      </w:r>
    </w:p>
    <w:p w14:paraId="5FBD78D0" w14:textId="06A8475E" w:rsidR="00C4441C" w:rsidRDefault="00C4441C" w:rsidP="008B28B7">
      <w:r w:rsidRPr="005D1E26">
        <w:t>In the application made to the TGA</w:t>
      </w:r>
      <w:r w:rsidR="00C157E6">
        <w:t>,</w:t>
      </w:r>
      <w:r w:rsidRPr="005D1E26">
        <w:t xml:space="preserve"> the sponsor provided copies of multiple documents related to the FDA and EMA submissions. Arguments made by the sponsor in favour of concluding a favourable benefit-risk balance for </w:t>
      </w:r>
      <w:proofErr w:type="spellStart"/>
      <w:r w:rsidRPr="005D1E26">
        <w:t>neratinib</w:t>
      </w:r>
      <w:proofErr w:type="spellEnd"/>
      <w:r w:rsidRPr="005D1E26">
        <w:t xml:space="preserve"> included the following:</w:t>
      </w:r>
    </w:p>
    <w:p w14:paraId="02D09FA7" w14:textId="23CB7E4F" w:rsidR="00C4441C" w:rsidRDefault="00C4441C" w:rsidP="008B28B7">
      <w:pPr>
        <w:pStyle w:val="ListBullet"/>
      </w:pPr>
      <w:r w:rsidRPr="005D1E26">
        <w:t xml:space="preserve">The </w:t>
      </w:r>
      <w:r w:rsidR="008B28B7">
        <w:t>main safety concern is severe (Grade 3) diarrhoea. Episodes of G</w:t>
      </w:r>
      <w:r w:rsidRPr="005D1E26">
        <w:t xml:space="preserve">rade 3 diarrhoea generally occur early after the initiation of </w:t>
      </w:r>
      <w:proofErr w:type="gramStart"/>
      <w:r w:rsidRPr="005D1E26">
        <w:t>treatment,</w:t>
      </w:r>
      <w:proofErr w:type="gramEnd"/>
      <w:r w:rsidRPr="005D1E26">
        <w:t xml:space="preserve"> are short in </w:t>
      </w:r>
      <w:r>
        <w:t>duration and not recurrent.</w:t>
      </w:r>
    </w:p>
    <w:p w14:paraId="18898636" w14:textId="77777777" w:rsidR="00C4441C" w:rsidRDefault="00C4441C" w:rsidP="008B28B7">
      <w:pPr>
        <w:pStyle w:val="ListBullet"/>
      </w:pPr>
      <w:r w:rsidRPr="005D1E26">
        <w:t>The diarrhoea is manageable for most patients with anti-diarrhoeal prophylaxis, supportive care, dos</w:t>
      </w:r>
      <w:r>
        <w:t xml:space="preserve">e </w:t>
      </w:r>
      <w:r w:rsidRPr="005D1E26">
        <w:t>withholding, dose reduction, or discontinuation.</w:t>
      </w:r>
    </w:p>
    <w:p w14:paraId="6EEE9677" w14:textId="5FFAC310" w:rsidR="00C4441C" w:rsidRDefault="00C4441C" w:rsidP="008B28B7">
      <w:pPr>
        <w:pStyle w:val="ListBullet"/>
      </w:pPr>
      <w:r w:rsidRPr="005D1E26">
        <w:t>Patients who can manage</w:t>
      </w:r>
      <w:r w:rsidR="008B28B7">
        <w:t xml:space="preserve"> the diarrhoea in the initial 1 to </w:t>
      </w:r>
      <w:r w:rsidRPr="005D1E26">
        <w:t>2 months will experience much less diarrhoea during the remaining months of therapy</w:t>
      </w:r>
      <w:r w:rsidR="008B28B7">
        <w:t>.</w:t>
      </w:r>
    </w:p>
    <w:p w14:paraId="520F43B2" w14:textId="77777777" w:rsidR="00C4441C" w:rsidRPr="00C4441C" w:rsidRDefault="00C4441C" w:rsidP="008B28B7">
      <w:pPr>
        <w:pStyle w:val="ListBullet"/>
      </w:pPr>
      <w:r w:rsidRPr="005D1E26">
        <w:t xml:space="preserve">Adverse reactions observed with </w:t>
      </w:r>
      <w:proofErr w:type="spellStart"/>
      <w:r w:rsidRPr="005D1E26">
        <w:t>neratinib</w:t>
      </w:r>
      <w:proofErr w:type="spellEnd"/>
      <w:r w:rsidRPr="005D1E26">
        <w:t xml:space="preserve"> are acute, predictable, manageable and reversible. The toxicities associated with </w:t>
      </w:r>
      <w:proofErr w:type="spellStart"/>
      <w:r w:rsidRPr="005D1E26">
        <w:t>neratinib</w:t>
      </w:r>
      <w:proofErr w:type="spellEnd"/>
      <w:r w:rsidRPr="005D1E26">
        <w:t xml:space="preserve"> do not cause major organ damage or long-lasting morbidities.</w:t>
      </w:r>
    </w:p>
    <w:p w14:paraId="2EA4F63B" w14:textId="77777777" w:rsidR="008E7846" w:rsidRDefault="00386150" w:rsidP="007B6132">
      <w:pPr>
        <w:pStyle w:val="Heading3"/>
        <w:rPr>
          <w:lang w:eastAsia="en-AU"/>
        </w:rPr>
      </w:pPr>
      <w:bookmarkStart w:id="55" w:name="_Toc40186908"/>
      <w:r>
        <w:rPr>
          <w:lang w:eastAsia="en-AU"/>
        </w:rPr>
        <w:lastRenderedPageBreak/>
        <w:t>Risk m</w:t>
      </w:r>
      <w:r w:rsidR="008E7846">
        <w:rPr>
          <w:lang w:eastAsia="en-AU"/>
        </w:rPr>
        <w:t xml:space="preserve">anagement </w:t>
      </w:r>
      <w:r>
        <w:rPr>
          <w:lang w:eastAsia="en-AU"/>
        </w:rPr>
        <w:t>p</w:t>
      </w:r>
      <w:r w:rsidR="008E7846">
        <w:rPr>
          <w:lang w:eastAsia="en-AU"/>
        </w:rPr>
        <w:t>lan</w:t>
      </w:r>
      <w:bookmarkEnd w:id="41"/>
      <w:bookmarkEnd w:id="55"/>
    </w:p>
    <w:p w14:paraId="098704DC" w14:textId="6EC27586" w:rsidR="00887F1D" w:rsidRPr="00490BAA" w:rsidRDefault="00887F1D" w:rsidP="00887F1D">
      <w:r>
        <w:t>The sponsor</w:t>
      </w:r>
      <w:r w:rsidRPr="00490BAA">
        <w:t xml:space="preserve"> has submitted </w:t>
      </w:r>
      <w:r w:rsidR="00A30AB5">
        <w:t>European Union-risk management plan (</w:t>
      </w:r>
      <w:r w:rsidRPr="00490BAA">
        <w:t>EU-RMP</w:t>
      </w:r>
      <w:r w:rsidR="00A30AB5">
        <w:t>)</w:t>
      </w:r>
      <w:r w:rsidRPr="00490BAA">
        <w:t xml:space="preserve"> version 4.0 (dated 15 January 2018 </w:t>
      </w:r>
      <w:r w:rsidR="00A30AB5">
        <w:t>data lock point (</w:t>
      </w:r>
      <w:r w:rsidRPr="00490BAA">
        <w:t>DLP</w:t>
      </w:r>
      <w:r w:rsidR="00A30AB5">
        <w:t>)</w:t>
      </w:r>
      <w:r w:rsidRPr="00490BAA">
        <w:t xml:space="preserve"> 22 September 2015) and </w:t>
      </w:r>
      <w:r w:rsidR="00A30AB5">
        <w:t>Australian specific Annex (</w:t>
      </w:r>
      <w:r w:rsidRPr="00490BAA">
        <w:t>ASA</w:t>
      </w:r>
      <w:r w:rsidR="00A30AB5">
        <w:t>)</w:t>
      </w:r>
      <w:r w:rsidRPr="00490BAA">
        <w:t xml:space="preserve"> version 1.0 (dated March 2018) in support of</w:t>
      </w:r>
      <w:r>
        <w:t xml:space="preserve"> this application. As required by the EMA </w:t>
      </w:r>
      <w:r w:rsidR="00A30AB5" w:rsidRPr="00A30AB5">
        <w:t xml:space="preserve">Committee for Medicinal Products for Human Use </w:t>
      </w:r>
      <w:r w:rsidR="00A30AB5">
        <w:t>(</w:t>
      </w:r>
      <w:r>
        <w:t>CHMP</w:t>
      </w:r>
      <w:r w:rsidR="00A30AB5">
        <w:t>)</w:t>
      </w:r>
      <w:r>
        <w:t xml:space="preserve">, the sponsor has transferred the EU-RMP according to the </w:t>
      </w:r>
      <w:r w:rsidR="00A30AB5">
        <w:t>relevant guidance</w:t>
      </w:r>
      <w:r>
        <w:t>.</w:t>
      </w:r>
      <w:r w:rsidR="00A30AB5">
        <w:rPr>
          <w:rStyle w:val="FootnoteReference"/>
        </w:rPr>
        <w:footnoteReference w:id="15"/>
      </w:r>
      <w:r>
        <w:t xml:space="preserve"> The sponsor has submitted the new EU-RMP </w:t>
      </w:r>
      <w:r w:rsidRPr="00C5269D">
        <w:t>version 0.9; dated 3 Ju</w:t>
      </w:r>
      <w:r>
        <w:t xml:space="preserve">ly 2018; DLP 22 September 2015 with ASA </w:t>
      </w:r>
      <w:r w:rsidRPr="00C5269D">
        <w:t>version 1.1</w:t>
      </w:r>
      <w:proofErr w:type="gramStart"/>
      <w:r w:rsidRPr="00C5269D">
        <w:t>;</w:t>
      </w:r>
      <w:proofErr w:type="gramEnd"/>
      <w:r w:rsidRPr="00C5269D">
        <w:t xml:space="preserve"> dated November 2018</w:t>
      </w:r>
      <w:r w:rsidR="00D54D73">
        <w:rPr>
          <w:rStyle w:val="FootnoteReference"/>
        </w:rPr>
        <w:footnoteReference w:id="16"/>
      </w:r>
      <w:r>
        <w:t xml:space="preserve">. </w:t>
      </w:r>
      <w:r w:rsidRPr="00511DFE">
        <w:t xml:space="preserve">The sponsor has advised that the assignment of version number </w:t>
      </w:r>
      <w:r w:rsidR="00B161B1">
        <w:t xml:space="preserve">of the EU RMP </w:t>
      </w:r>
      <w:proofErr w:type="gramStart"/>
      <w:r w:rsidRPr="00511DFE">
        <w:t>is</w:t>
      </w:r>
      <w:proofErr w:type="gramEnd"/>
      <w:r w:rsidRPr="00511DFE">
        <w:t xml:space="preserve"> based on the new guidance rather than the spon</w:t>
      </w:r>
      <w:r w:rsidR="00A30AB5">
        <w:t>sor’s internal version control.</w:t>
      </w:r>
    </w:p>
    <w:p w14:paraId="1BD23415" w14:textId="3FFE6775" w:rsidR="00887F1D" w:rsidRDefault="00887F1D" w:rsidP="00887F1D">
      <w:r w:rsidRPr="00490BAA">
        <w:t xml:space="preserve">The proposed summary of safety concerns and their associated risk monitoring and mitigation strategies </w:t>
      </w:r>
      <w:proofErr w:type="gramStart"/>
      <w:r w:rsidRPr="00490BAA">
        <w:t>are summarised</w:t>
      </w:r>
      <w:proofErr w:type="gramEnd"/>
      <w:r w:rsidRPr="00490BAA">
        <w:t xml:space="preserve"> below</w:t>
      </w:r>
      <w:r w:rsidR="00A30AB5">
        <w:t xml:space="preserve"> in </w:t>
      </w:r>
      <w:r w:rsidR="00A30AB5">
        <w:fldChar w:fldCharType="begin"/>
      </w:r>
      <w:r w:rsidR="00A30AB5">
        <w:instrText xml:space="preserve"> REF _Ref34731219 \h </w:instrText>
      </w:r>
      <w:r w:rsidR="00A30AB5">
        <w:fldChar w:fldCharType="separate"/>
      </w:r>
      <w:r w:rsidR="00A30AB5">
        <w:t xml:space="preserve">Table </w:t>
      </w:r>
      <w:r w:rsidR="00A30AB5">
        <w:rPr>
          <w:noProof/>
        </w:rPr>
        <w:t>4</w:t>
      </w:r>
      <w:r w:rsidR="00A30AB5">
        <w:fldChar w:fldCharType="end"/>
      </w:r>
      <w:r w:rsidR="00A30AB5">
        <w:t>.</w:t>
      </w:r>
      <w:r>
        <w:rPr>
          <w:rStyle w:val="FootnoteReference"/>
          <w:lang w:eastAsia="en-AU"/>
        </w:rPr>
        <w:footnoteReference w:id="17"/>
      </w:r>
    </w:p>
    <w:p w14:paraId="6A24BA08" w14:textId="2C3090E6" w:rsidR="00887F1D" w:rsidRPr="00490BAA" w:rsidRDefault="00887F1D" w:rsidP="00887F1D">
      <w:pPr>
        <w:pStyle w:val="TableTitle"/>
      </w:pPr>
      <w:bookmarkStart w:id="56" w:name="_Ref34731219"/>
      <w:r>
        <w:t xml:space="preserve">Table </w:t>
      </w:r>
      <w:r w:rsidR="003B0773">
        <w:fldChar w:fldCharType="begin"/>
      </w:r>
      <w:r w:rsidR="003B0773">
        <w:instrText xml:space="preserve"> SEQ Table \* ARABIC </w:instrText>
      </w:r>
      <w:r w:rsidR="003B0773">
        <w:fldChar w:fldCharType="separate"/>
      </w:r>
      <w:r w:rsidR="005C7747">
        <w:rPr>
          <w:noProof/>
        </w:rPr>
        <w:t>4</w:t>
      </w:r>
      <w:r w:rsidR="003B0773">
        <w:rPr>
          <w:noProof/>
        </w:rPr>
        <w:fldChar w:fldCharType="end"/>
      </w:r>
      <w:bookmarkEnd w:id="56"/>
      <w:r>
        <w:t>: Summary of safety concerns</w:t>
      </w:r>
    </w:p>
    <w:tbl>
      <w:tblPr>
        <w:tblStyle w:val="TableTGAblue"/>
        <w:tblW w:w="8650" w:type="dxa"/>
        <w:tblLayout w:type="fixed"/>
        <w:tblLook w:val="04A0" w:firstRow="1" w:lastRow="0" w:firstColumn="1" w:lastColumn="0" w:noHBand="0" w:noVBand="1"/>
      </w:tblPr>
      <w:tblGrid>
        <w:gridCol w:w="1384"/>
        <w:gridCol w:w="2717"/>
        <w:gridCol w:w="992"/>
        <w:gridCol w:w="1276"/>
        <w:gridCol w:w="992"/>
        <w:gridCol w:w="1289"/>
      </w:tblGrid>
      <w:tr w:rsidR="00887F1D" w:rsidRPr="00887F1D" w14:paraId="3986109D" w14:textId="77777777" w:rsidTr="00EC6DD6">
        <w:trPr>
          <w:cnfStyle w:val="100000000000" w:firstRow="1" w:lastRow="0" w:firstColumn="0" w:lastColumn="0" w:oddVBand="0" w:evenVBand="0" w:oddHBand="0" w:evenHBand="0" w:firstRowFirstColumn="0" w:firstRowLastColumn="0" w:lastRowFirstColumn="0" w:lastRowLastColumn="0"/>
          <w:trHeight w:val="128"/>
        </w:trPr>
        <w:tc>
          <w:tcPr>
            <w:tcW w:w="4101" w:type="dxa"/>
            <w:gridSpan w:val="2"/>
            <w:vMerge w:val="restart"/>
          </w:tcPr>
          <w:p w14:paraId="1E01ABC9" w14:textId="77777777" w:rsidR="00887F1D" w:rsidRPr="00887F1D" w:rsidRDefault="00887F1D" w:rsidP="00887F1D">
            <w:pPr>
              <w:ind w:left="0" w:right="0"/>
              <w:rPr>
                <w:b w:val="0"/>
                <w:sz w:val="20"/>
                <w:szCs w:val="20"/>
              </w:rPr>
            </w:pPr>
            <w:r w:rsidRPr="00887F1D">
              <w:rPr>
                <w:sz w:val="20"/>
                <w:szCs w:val="20"/>
              </w:rPr>
              <w:t>Summary of safety concerns</w:t>
            </w:r>
          </w:p>
        </w:tc>
        <w:tc>
          <w:tcPr>
            <w:tcW w:w="2268" w:type="dxa"/>
            <w:gridSpan w:val="2"/>
            <w:tcBorders>
              <w:bottom w:val="single" w:sz="4" w:space="0" w:color="auto"/>
            </w:tcBorders>
          </w:tcPr>
          <w:p w14:paraId="4128008E" w14:textId="77777777" w:rsidR="00887F1D" w:rsidRPr="00887F1D" w:rsidRDefault="00887F1D" w:rsidP="00887F1D">
            <w:pPr>
              <w:ind w:left="0" w:right="0"/>
              <w:rPr>
                <w:b w:val="0"/>
                <w:sz w:val="20"/>
                <w:szCs w:val="20"/>
              </w:rPr>
            </w:pPr>
            <w:r w:rsidRPr="00887F1D">
              <w:rPr>
                <w:sz w:val="20"/>
                <w:szCs w:val="20"/>
              </w:rPr>
              <w:t>Pharmacovigilance</w:t>
            </w:r>
          </w:p>
        </w:tc>
        <w:tc>
          <w:tcPr>
            <w:tcW w:w="2281" w:type="dxa"/>
            <w:gridSpan w:val="2"/>
            <w:tcBorders>
              <w:bottom w:val="single" w:sz="4" w:space="0" w:color="auto"/>
            </w:tcBorders>
          </w:tcPr>
          <w:p w14:paraId="36AA2CD1" w14:textId="77777777" w:rsidR="00887F1D" w:rsidRPr="00887F1D" w:rsidRDefault="00887F1D" w:rsidP="00887F1D">
            <w:pPr>
              <w:ind w:left="0" w:right="0"/>
              <w:rPr>
                <w:b w:val="0"/>
                <w:sz w:val="20"/>
                <w:szCs w:val="20"/>
              </w:rPr>
            </w:pPr>
            <w:r w:rsidRPr="00887F1D">
              <w:rPr>
                <w:sz w:val="20"/>
                <w:szCs w:val="20"/>
              </w:rPr>
              <w:t>Risk Minimisation</w:t>
            </w:r>
          </w:p>
        </w:tc>
      </w:tr>
      <w:tr w:rsidR="00887F1D" w:rsidRPr="00887F1D" w14:paraId="014AA48E" w14:textId="77777777" w:rsidTr="00EC6DD6">
        <w:trPr>
          <w:trHeight w:val="147"/>
        </w:trPr>
        <w:tc>
          <w:tcPr>
            <w:tcW w:w="4101" w:type="dxa"/>
            <w:gridSpan w:val="2"/>
            <w:vMerge/>
            <w:tcBorders>
              <w:right w:val="single" w:sz="4" w:space="0" w:color="auto"/>
            </w:tcBorders>
          </w:tcPr>
          <w:p w14:paraId="673823D6" w14:textId="77777777" w:rsidR="00887F1D" w:rsidRPr="00887F1D" w:rsidRDefault="00887F1D" w:rsidP="00887F1D">
            <w:pPr>
              <w:ind w:left="0" w:right="0"/>
              <w:rPr>
                <w:sz w:val="20"/>
                <w:szCs w:val="20"/>
              </w:rPr>
            </w:pPr>
          </w:p>
        </w:tc>
        <w:tc>
          <w:tcPr>
            <w:tcW w:w="992" w:type="dxa"/>
            <w:tcBorders>
              <w:top w:val="single" w:sz="4" w:space="0" w:color="auto"/>
              <w:left w:val="single" w:sz="4" w:space="0" w:color="auto"/>
              <w:right w:val="single" w:sz="4" w:space="0" w:color="auto"/>
            </w:tcBorders>
            <w:shd w:val="clear" w:color="auto" w:fill="006DA7"/>
          </w:tcPr>
          <w:p w14:paraId="6FC3A98C" w14:textId="77777777" w:rsidR="00887F1D" w:rsidRPr="004E5AB9" w:rsidRDefault="00887F1D" w:rsidP="00887F1D">
            <w:pPr>
              <w:ind w:left="0" w:right="0"/>
              <w:rPr>
                <w:b/>
                <w:color w:val="FFFFFF" w:themeColor="background1"/>
                <w:sz w:val="20"/>
                <w:szCs w:val="20"/>
              </w:rPr>
            </w:pPr>
            <w:r w:rsidRPr="004E5AB9">
              <w:rPr>
                <w:b/>
                <w:color w:val="FFFFFF" w:themeColor="background1"/>
                <w:sz w:val="20"/>
                <w:szCs w:val="20"/>
              </w:rPr>
              <w:t>Routine</w:t>
            </w:r>
          </w:p>
        </w:tc>
        <w:tc>
          <w:tcPr>
            <w:tcW w:w="1276" w:type="dxa"/>
            <w:tcBorders>
              <w:top w:val="single" w:sz="4" w:space="0" w:color="auto"/>
              <w:left w:val="single" w:sz="4" w:space="0" w:color="auto"/>
              <w:right w:val="single" w:sz="4" w:space="0" w:color="auto"/>
            </w:tcBorders>
            <w:shd w:val="clear" w:color="auto" w:fill="006DA7"/>
          </w:tcPr>
          <w:p w14:paraId="404C53C6" w14:textId="77777777" w:rsidR="00887F1D" w:rsidRPr="004E5AB9" w:rsidRDefault="00887F1D" w:rsidP="00887F1D">
            <w:pPr>
              <w:ind w:left="0" w:right="0"/>
              <w:rPr>
                <w:b/>
                <w:color w:val="FFFFFF" w:themeColor="background1"/>
                <w:sz w:val="20"/>
                <w:szCs w:val="20"/>
              </w:rPr>
            </w:pPr>
            <w:r w:rsidRPr="004E5AB9">
              <w:rPr>
                <w:b/>
                <w:color w:val="FFFFFF" w:themeColor="background1"/>
                <w:sz w:val="20"/>
                <w:szCs w:val="20"/>
              </w:rPr>
              <w:t>Additional</w:t>
            </w:r>
          </w:p>
        </w:tc>
        <w:tc>
          <w:tcPr>
            <w:tcW w:w="992" w:type="dxa"/>
            <w:tcBorders>
              <w:top w:val="single" w:sz="4" w:space="0" w:color="auto"/>
              <w:left w:val="single" w:sz="4" w:space="0" w:color="auto"/>
              <w:right w:val="single" w:sz="4" w:space="0" w:color="auto"/>
            </w:tcBorders>
            <w:shd w:val="clear" w:color="auto" w:fill="006DA7"/>
          </w:tcPr>
          <w:p w14:paraId="4B36ACC5" w14:textId="77777777" w:rsidR="00887F1D" w:rsidRPr="004E5AB9" w:rsidRDefault="00887F1D" w:rsidP="00887F1D">
            <w:pPr>
              <w:ind w:left="0" w:right="0"/>
              <w:rPr>
                <w:b/>
                <w:color w:val="FFFFFF" w:themeColor="background1"/>
                <w:sz w:val="20"/>
                <w:szCs w:val="20"/>
              </w:rPr>
            </w:pPr>
            <w:r w:rsidRPr="004E5AB9">
              <w:rPr>
                <w:b/>
                <w:color w:val="FFFFFF" w:themeColor="background1"/>
                <w:sz w:val="20"/>
                <w:szCs w:val="20"/>
              </w:rPr>
              <w:t>Routine</w:t>
            </w:r>
          </w:p>
        </w:tc>
        <w:tc>
          <w:tcPr>
            <w:tcW w:w="1289" w:type="dxa"/>
            <w:tcBorders>
              <w:top w:val="single" w:sz="4" w:space="0" w:color="auto"/>
              <w:left w:val="single" w:sz="4" w:space="0" w:color="auto"/>
            </w:tcBorders>
            <w:shd w:val="clear" w:color="auto" w:fill="006DA7"/>
          </w:tcPr>
          <w:p w14:paraId="0B8ED33E" w14:textId="77777777" w:rsidR="00887F1D" w:rsidRPr="004E5AB9" w:rsidRDefault="00887F1D" w:rsidP="00887F1D">
            <w:pPr>
              <w:ind w:left="0" w:right="0"/>
              <w:rPr>
                <w:b/>
                <w:color w:val="FFFFFF" w:themeColor="background1"/>
                <w:sz w:val="20"/>
                <w:szCs w:val="20"/>
              </w:rPr>
            </w:pPr>
            <w:r w:rsidRPr="004E5AB9">
              <w:rPr>
                <w:b/>
                <w:color w:val="FFFFFF" w:themeColor="background1"/>
                <w:sz w:val="20"/>
                <w:szCs w:val="20"/>
              </w:rPr>
              <w:t>Additional</w:t>
            </w:r>
          </w:p>
        </w:tc>
      </w:tr>
      <w:tr w:rsidR="00887F1D" w:rsidRPr="00887F1D" w14:paraId="76B3F42E" w14:textId="77777777" w:rsidTr="004E5AB9">
        <w:trPr>
          <w:trHeight w:val="134"/>
        </w:trPr>
        <w:tc>
          <w:tcPr>
            <w:tcW w:w="1384" w:type="dxa"/>
            <w:vMerge w:val="restart"/>
          </w:tcPr>
          <w:p w14:paraId="27978373" w14:textId="77777777" w:rsidR="00887F1D" w:rsidRPr="00887F1D" w:rsidRDefault="00887F1D" w:rsidP="00887F1D">
            <w:pPr>
              <w:ind w:left="0" w:right="0"/>
              <w:rPr>
                <w:sz w:val="20"/>
                <w:szCs w:val="20"/>
              </w:rPr>
            </w:pPr>
            <w:r w:rsidRPr="00887F1D">
              <w:rPr>
                <w:sz w:val="20"/>
                <w:szCs w:val="20"/>
              </w:rPr>
              <w:t>Important identified risks</w:t>
            </w:r>
          </w:p>
        </w:tc>
        <w:tc>
          <w:tcPr>
            <w:tcW w:w="2717" w:type="dxa"/>
          </w:tcPr>
          <w:p w14:paraId="7A9A9E87" w14:textId="77777777" w:rsidR="00887F1D" w:rsidRPr="00887F1D" w:rsidRDefault="00887F1D" w:rsidP="00887F1D">
            <w:pPr>
              <w:ind w:left="0" w:right="0"/>
              <w:rPr>
                <w:sz w:val="20"/>
                <w:szCs w:val="20"/>
              </w:rPr>
            </w:pPr>
            <w:r w:rsidRPr="00887F1D">
              <w:rPr>
                <w:sz w:val="20"/>
                <w:szCs w:val="20"/>
              </w:rPr>
              <w:t xml:space="preserve">Gastrointestinal toxicity (diarrhoea and stomatitis </w:t>
            </w:r>
            <w:r w:rsidRPr="00887F1D">
              <w:rPr>
                <w:sz w:val="20"/>
                <w:szCs w:val="20"/>
                <w:vertAlign w:val="superscript"/>
              </w:rPr>
              <w:t>a</w:t>
            </w:r>
            <w:r w:rsidRPr="00887F1D">
              <w:rPr>
                <w:sz w:val="20"/>
                <w:szCs w:val="20"/>
              </w:rPr>
              <w:t>)</w:t>
            </w:r>
          </w:p>
        </w:tc>
        <w:tc>
          <w:tcPr>
            <w:tcW w:w="992" w:type="dxa"/>
          </w:tcPr>
          <w:p w14:paraId="18C09EE3" w14:textId="43A85631" w:rsidR="00887F1D" w:rsidRPr="00887F1D" w:rsidRDefault="00887F1D" w:rsidP="00887F1D">
            <w:pPr>
              <w:ind w:left="0" w:right="0"/>
              <w:rPr>
                <w:sz w:val="20"/>
                <w:szCs w:val="20"/>
                <w:vertAlign w:val="superscript"/>
              </w:rPr>
            </w:pPr>
            <w:r w:rsidRPr="00887F1D">
              <w:rPr>
                <w:sz w:val="20"/>
                <w:szCs w:val="20"/>
              </w:rPr>
              <w:sym w:font="Wingdings" w:char="F0FC"/>
            </w:r>
          </w:p>
        </w:tc>
        <w:tc>
          <w:tcPr>
            <w:tcW w:w="1276" w:type="dxa"/>
          </w:tcPr>
          <w:p w14:paraId="309C33AC" w14:textId="06ABF21F" w:rsidR="00887F1D" w:rsidRPr="00887F1D" w:rsidRDefault="00887F1D" w:rsidP="00887F1D">
            <w:pPr>
              <w:ind w:left="0" w:right="0"/>
              <w:rPr>
                <w:sz w:val="20"/>
                <w:szCs w:val="20"/>
                <w:vertAlign w:val="superscript"/>
              </w:rPr>
            </w:pPr>
            <w:r w:rsidRPr="00887F1D">
              <w:rPr>
                <w:sz w:val="20"/>
                <w:szCs w:val="20"/>
              </w:rPr>
              <w:sym w:font="Wingdings" w:char="F0FC"/>
            </w:r>
            <w:r w:rsidR="00F016C9">
              <w:rPr>
                <w:sz w:val="20"/>
                <w:szCs w:val="20"/>
                <w:vertAlign w:val="superscript"/>
              </w:rPr>
              <w:t>1,2</w:t>
            </w:r>
            <w:r w:rsidR="00817A5B">
              <w:rPr>
                <w:sz w:val="20"/>
                <w:szCs w:val="20"/>
                <w:vertAlign w:val="superscript"/>
              </w:rPr>
              <w:t>,3</w:t>
            </w:r>
          </w:p>
        </w:tc>
        <w:tc>
          <w:tcPr>
            <w:tcW w:w="992" w:type="dxa"/>
          </w:tcPr>
          <w:p w14:paraId="737712B7" w14:textId="77777777" w:rsidR="00887F1D" w:rsidRPr="00887F1D" w:rsidRDefault="00887F1D" w:rsidP="00887F1D">
            <w:pPr>
              <w:ind w:left="0" w:right="0"/>
              <w:rPr>
                <w:sz w:val="20"/>
                <w:szCs w:val="20"/>
              </w:rPr>
            </w:pPr>
            <w:r w:rsidRPr="00887F1D">
              <w:rPr>
                <w:sz w:val="20"/>
                <w:szCs w:val="20"/>
              </w:rPr>
              <w:sym w:font="Wingdings" w:char="F0FC"/>
            </w:r>
          </w:p>
        </w:tc>
        <w:tc>
          <w:tcPr>
            <w:tcW w:w="1289" w:type="dxa"/>
          </w:tcPr>
          <w:p w14:paraId="3A15F064" w14:textId="6B8A56E7" w:rsidR="00887F1D" w:rsidRPr="00114164" w:rsidRDefault="00887F1D" w:rsidP="00887F1D">
            <w:pPr>
              <w:ind w:left="0" w:right="0"/>
              <w:rPr>
                <w:sz w:val="20"/>
                <w:szCs w:val="20"/>
                <w:vertAlign w:val="superscript"/>
              </w:rPr>
            </w:pPr>
            <w:r w:rsidRPr="00887F1D">
              <w:rPr>
                <w:sz w:val="20"/>
                <w:szCs w:val="20"/>
              </w:rPr>
              <w:sym w:font="Wingdings" w:char="F0FC"/>
            </w:r>
            <w:r w:rsidR="00817A5B">
              <w:rPr>
                <w:sz w:val="20"/>
                <w:szCs w:val="20"/>
                <w:vertAlign w:val="superscript"/>
              </w:rPr>
              <w:t>4,5</w:t>
            </w:r>
          </w:p>
        </w:tc>
      </w:tr>
      <w:tr w:rsidR="00887F1D" w:rsidRPr="00887F1D" w14:paraId="3DEC8858" w14:textId="77777777" w:rsidTr="004E5AB9">
        <w:trPr>
          <w:trHeight w:val="92"/>
        </w:trPr>
        <w:tc>
          <w:tcPr>
            <w:tcW w:w="1384" w:type="dxa"/>
            <w:vMerge/>
          </w:tcPr>
          <w:p w14:paraId="70AB9054" w14:textId="77777777" w:rsidR="00887F1D" w:rsidRPr="00887F1D" w:rsidRDefault="00887F1D" w:rsidP="00887F1D">
            <w:pPr>
              <w:ind w:left="0" w:right="0"/>
              <w:rPr>
                <w:sz w:val="20"/>
                <w:szCs w:val="20"/>
              </w:rPr>
            </w:pPr>
          </w:p>
        </w:tc>
        <w:tc>
          <w:tcPr>
            <w:tcW w:w="2717" w:type="dxa"/>
          </w:tcPr>
          <w:p w14:paraId="00CCDE08" w14:textId="77777777" w:rsidR="00887F1D" w:rsidRPr="00887F1D" w:rsidRDefault="00887F1D" w:rsidP="00887F1D">
            <w:pPr>
              <w:ind w:left="0" w:right="0"/>
              <w:rPr>
                <w:sz w:val="20"/>
                <w:szCs w:val="20"/>
              </w:rPr>
            </w:pPr>
            <w:r w:rsidRPr="00887F1D">
              <w:rPr>
                <w:sz w:val="20"/>
                <w:szCs w:val="20"/>
              </w:rPr>
              <w:t>Hepatotoxicity</w:t>
            </w:r>
          </w:p>
        </w:tc>
        <w:tc>
          <w:tcPr>
            <w:tcW w:w="992" w:type="dxa"/>
          </w:tcPr>
          <w:p w14:paraId="4E6E8197" w14:textId="29F15C28" w:rsidR="00887F1D" w:rsidRPr="00887F1D" w:rsidRDefault="00887F1D" w:rsidP="00887F1D">
            <w:pPr>
              <w:ind w:left="0" w:right="0"/>
              <w:rPr>
                <w:sz w:val="20"/>
                <w:szCs w:val="20"/>
                <w:vertAlign w:val="superscript"/>
              </w:rPr>
            </w:pPr>
            <w:r w:rsidRPr="00887F1D">
              <w:rPr>
                <w:sz w:val="20"/>
                <w:szCs w:val="20"/>
              </w:rPr>
              <w:sym w:font="Wingdings" w:char="F0FC"/>
            </w:r>
            <w:r w:rsidR="00817A5B">
              <w:rPr>
                <w:sz w:val="20"/>
                <w:szCs w:val="20"/>
                <w:vertAlign w:val="superscript"/>
              </w:rPr>
              <w:t>6</w:t>
            </w:r>
          </w:p>
        </w:tc>
        <w:tc>
          <w:tcPr>
            <w:tcW w:w="1276" w:type="dxa"/>
          </w:tcPr>
          <w:p w14:paraId="006E6FE7" w14:textId="77777777" w:rsidR="00887F1D" w:rsidRPr="00887F1D" w:rsidRDefault="00887F1D" w:rsidP="00887F1D">
            <w:pPr>
              <w:ind w:left="0" w:right="0"/>
              <w:rPr>
                <w:sz w:val="20"/>
                <w:szCs w:val="20"/>
              </w:rPr>
            </w:pPr>
            <w:r w:rsidRPr="00887F1D">
              <w:rPr>
                <w:sz w:val="20"/>
                <w:szCs w:val="20"/>
              </w:rPr>
              <w:t>–</w:t>
            </w:r>
          </w:p>
        </w:tc>
        <w:tc>
          <w:tcPr>
            <w:tcW w:w="992" w:type="dxa"/>
          </w:tcPr>
          <w:p w14:paraId="27C79B08" w14:textId="77777777" w:rsidR="00887F1D" w:rsidRPr="00887F1D" w:rsidRDefault="00887F1D" w:rsidP="00887F1D">
            <w:pPr>
              <w:ind w:left="0" w:right="0"/>
              <w:rPr>
                <w:sz w:val="20"/>
                <w:szCs w:val="20"/>
              </w:rPr>
            </w:pPr>
            <w:r w:rsidRPr="00887F1D">
              <w:rPr>
                <w:sz w:val="20"/>
                <w:szCs w:val="20"/>
              </w:rPr>
              <w:sym w:font="Wingdings" w:char="F0FC"/>
            </w:r>
          </w:p>
        </w:tc>
        <w:tc>
          <w:tcPr>
            <w:tcW w:w="1289" w:type="dxa"/>
          </w:tcPr>
          <w:p w14:paraId="2F933888" w14:textId="77777777" w:rsidR="00887F1D" w:rsidRPr="00887F1D" w:rsidRDefault="00887F1D" w:rsidP="00887F1D">
            <w:pPr>
              <w:ind w:left="0" w:right="0"/>
              <w:rPr>
                <w:sz w:val="20"/>
                <w:szCs w:val="20"/>
              </w:rPr>
            </w:pPr>
            <w:r w:rsidRPr="00887F1D">
              <w:rPr>
                <w:sz w:val="20"/>
                <w:szCs w:val="20"/>
              </w:rPr>
              <w:t>–</w:t>
            </w:r>
          </w:p>
        </w:tc>
      </w:tr>
      <w:tr w:rsidR="00887F1D" w:rsidRPr="00887F1D" w14:paraId="61130BB7" w14:textId="77777777" w:rsidTr="004E5AB9">
        <w:trPr>
          <w:trHeight w:val="155"/>
        </w:trPr>
        <w:tc>
          <w:tcPr>
            <w:tcW w:w="1384" w:type="dxa"/>
            <w:vMerge w:val="restart"/>
          </w:tcPr>
          <w:p w14:paraId="36376C60" w14:textId="77777777" w:rsidR="00887F1D" w:rsidRPr="00887F1D" w:rsidRDefault="00887F1D" w:rsidP="00887F1D">
            <w:pPr>
              <w:ind w:left="0" w:right="0"/>
              <w:rPr>
                <w:sz w:val="20"/>
                <w:szCs w:val="20"/>
              </w:rPr>
            </w:pPr>
            <w:r w:rsidRPr="00887F1D">
              <w:rPr>
                <w:sz w:val="20"/>
                <w:szCs w:val="20"/>
              </w:rPr>
              <w:t>Important potential risks</w:t>
            </w:r>
          </w:p>
        </w:tc>
        <w:tc>
          <w:tcPr>
            <w:tcW w:w="2717" w:type="dxa"/>
          </w:tcPr>
          <w:p w14:paraId="07457D4A" w14:textId="77777777" w:rsidR="00887F1D" w:rsidRPr="00887F1D" w:rsidRDefault="00887F1D" w:rsidP="00887F1D">
            <w:pPr>
              <w:ind w:left="0" w:right="0"/>
              <w:rPr>
                <w:sz w:val="20"/>
                <w:szCs w:val="20"/>
              </w:rPr>
            </w:pPr>
            <w:r w:rsidRPr="00887F1D">
              <w:rPr>
                <w:sz w:val="20"/>
                <w:szCs w:val="20"/>
              </w:rPr>
              <w:t>Cardiotoxicity (LVEF decreased)</w:t>
            </w:r>
          </w:p>
        </w:tc>
        <w:tc>
          <w:tcPr>
            <w:tcW w:w="992" w:type="dxa"/>
          </w:tcPr>
          <w:p w14:paraId="0FE42E44" w14:textId="77777777" w:rsidR="00887F1D" w:rsidRPr="00887F1D" w:rsidRDefault="00887F1D" w:rsidP="00887F1D">
            <w:pPr>
              <w:ind w:left="0" w:right="0"/>
              <w:rPr>
                <w:sz w:val="20"/>
                <w:szCs w:val="20"/>
              </w:rPr>
            </w:pPr>
            <w:r w:rsidRPr="00887F1D">
              <w:rPr>
                <w:sz w:val="20"/>
                <w:szCs w:val="20"/>
              </w:rPr>
              <w:sym w:font="Wingdings" w:char="F0FC"/>
            </w:r>
          </w:p>
        </w:tc>
        <w:tc>
          <w:tcPr>
            <w:tcW w:w="1276" w:type="dxa"/>
          </w:tcPr>
          <w:p w14:paraId="3FCFAAE3" w14:textId="77777777" w:rsidR="00887F1D" w:rsidRPr="00887F1D" w:rsidRDefault="00887F1D" w:rsidP="00887F1D">
            <w:pPr>
              <w:ind w:left="0" w:right="0"/>
              <w:rPr>
                <w:sz w:val="20"/>
                <w:szCs w:val="20"/>
              </w:rPr>
            </w:pPr>
            <w:r w:rsidRPr="00887F1D">
              <w:rPr>
                <w:sz w:val="20"/>
                <w:szCs w:val="20"/>
              </w:rPr>
              <w:t>–</w:t>
            </w:r>
          </w:p>
        </w:tc>
        <w:tc>
          <w:tcPr>
            <w:tcW w:w="992" w:type="dxa"/>
          </w:tcPr>
          <w:p w14:paraId="1CDBAB8C" w14:textId="77777777" w:rsidR="00887F1D" w:rsidRPr="00887F1D" w:rsidRDefault="00887F1D" w:rsidP="00887F1D">
            <w:pPr>
              <w:ind w:left="0" w:right="0"/>
              <w:rPr>
                <w:sz w:val="20"/>
                <w:szCs w:val="20"/>
              </w:rPr>
            </w:pPr>
            <w:r w:rsidRPr="00887F1D">
              <w:rPr>
                <w:sz w:val="20"/>
                <w:szCs w:val="20"/>
              </w:rPr>
              <w:sym w:font="Wingdings" w:char="F0FC"/>
            </w:r>
          </w:p>
        </w:tc>
        <w:tc>
          <w:tcPr>
            <w:tcW w:w="1289" w:type="dxa"/>
          </w:tcPr>
          <w:p w14:paraId="3250CE9C" w14:textId="77777777" w:rsidR="00887F1D" w:rsidRPr="00887F1D" w:rsidRDefault="00887F1D" w:rsidP="00887F1D">
            <w:pPr>
              <w:ind w:left="0" w:right="0"/>
              <w:rPr>
                <w:sz w:val="20"/>
                <w:szCs w:val="20"/>
              </w:rPr>
            </w:pPr>
            <w:r w:rsidRPr="00887F1D">
              <w:rPr>
                <w:sz w:val="20"/>
                <w:szCs w:val="20"/>
              </w:rPr>
              <w:t>–</w:t>
            </w:r>
          </w:p>
        </w:tc>
      </w:tr>
      <w:tr w:rsidR="00887F1D" w:rsidRPr="00887F1D" w14:paraId="2B3379D1" w14:textId="77777777" w:rsidTr="004E5AB9">
        <w:trPr>
          <w:trHeight w:val="119"/>
        </w:trPr>
        <w:tc>
          <w:tcPr>
            <w:tcW w:w="1384" w:type="dxa"/>
            <w:vMerge/>
          </w:tcPr>
          <w:p w14:paraId="32B54B8A" w14:textId="77777777" w:rsidR="00887F1D" w:rsidRPr="00887F1D" w:rsidRDefault="00887F1D" w:rsidP="00887F1D">
            <w:pPr>
              <w:ind w:left="0" w:right="0"/>
              <w:rPr>
                <w:sz w:val="20"/>
                <w:szCs w:val="20"/>
              </w:rPr>
            </w:pPr>
          </w:p>
        </w:tc>
        <w:tc>
          <w:tcPr>
            <w:tcW w:w="2717" w:type="dxa"/>
          </w:tcPr>
          <w:p w14:paraId="701FC1B9" w14:textId="77777777" w:rsidR="00887F1D" w:rsidRPr="00887F1D" w:rsidRDefault="00887F1D" w:rsidP="00887F1D">
            <w:pPr>
              <w:ind w:left="0" w:right="0"/>
              <w:rPr>
                <w:color w:val="auto"/>
                <w:sz w:val="20"/>
                <w:szCs w:val="20"/>
              </w:rPr>
            </w:pPr>
            <w:r w:rsidRPr="00887F1D">
              <w:rPr>
                <w:color w:val="auto"/>
                <w:sz w:val="20"/>
                <w:szCs w:val="20"/>
              </w:rPr>
              <w:t>Pulmonary toxicity (interstitial lung disease)</w:t>
            </w:r>
          </w:p>
        </w:tc>
        <w:tc>
          <w:tcPr>
            <w:tcW w:w="992" w:type="dxa"/>
          </w:tcPr>
          <w:p w14:paraId="0D57D92F" w14:textId="77777777" w:rsidR="00887F1D" w:rsidRPr="00887F1D" w:rsidRDefault="00887F1D" w:rsidP="00887F1D">
            <w:pPr>
              <w:ind w:left="0" w:right="0"/>
              <w:rPr>
                <w:color w:val="auto"/>
                <w:sz w:val="20"/>
                <w:szCs w:val="20"/>
              </w:rPr>
            </w:pPr>
            <w:r w:rsidRPr="00887F1D">
              <w:rPr>
                <w:color w:val="auto"/>
                <w:sz w:val="20"/>
                <w:szCs w:val="20"/>
              </w:rPr>
              <w:sym w:font="Wingdings" w:char="F0FC"/>
            </w:r>
          </w:p>
        </w:tc>
        <w:tc>
          <w:tcPr>
            <w:tcW w:w="1276" w:type="dxa"/>
          </w:tcPr>
          <w:p w14:paraId="7E33A707" w14:textId="77777777" w:rsidR="00887F1D" w:rsidRPr="00887F1D" w:rsidRDefault="00887F1D" w:rsidP="00887F1D">
            <w:pPr>
              <w:ind w:left="0" w:right="0"/>
              <w:rPr>
                <w:color w:val="auto"/>
                <w:sz w:val="20"/>
                <w:szCs w:val="20"/>
              </w:rPr>
            </w:pPr>
            <w:r w:rsidRPr="00887F1D">
              <w:rPr>
                <w:color w:val="auto"/>
                <w:sz w:val="20"/>
                <w:szCs w:val="20"/>
              </w:rPr>
              <w:t>–</w:t>
            </w:r>
          </w:p>
        </w:tc>
        <w:tc>
          <w:tcPr>
            <w:tcW w:w="992" w:type="dxa"/>
          </w:tcPr>
          <w:p w14:paraId="1E9BB846" w14:textId="7FC629ED" w:rsidR="00887F1D" w:rsidRPr="00887F1D" w:rsidRDefault="00AB1276" w:rsidP="00887F1D">
            <w:pPr>
              <w:ind w:left="0" w:right="0"/>
              <w:rPr>
                <w:sz w:val="20"/>
                <w:szCs w:val="20"/>
              </w:rPr>
            </w:pPr>
            <w:r>
              <w:rPr>
                <w:sz w:val="20"/>
                <w:szCs w:val="20"/>
              </w:rPr>
              <w:t>-</w:t>
            </w:r>
          </w:p>
        </w:tc>
        <w:tc>
          <w:tcPr>
            <w:tcW w:w="1289" w:type="dxa"/>
          </w:tcPr>
          <w:p w14:paraId="56F90B4D" w14:textId="77777777" w:rsidR="00887F1D" w:rsidRPr="00887F1D" w:rsidRDefault="00887F1D" w:rsidP="00887F1D">
            <w:pPr>
              <w:ind w:left="0" w:right="0"/>
              <w:rPr>
                <w:sz w:val="20"/>
                <w:szCs w:val="20"/>
              </w:rPr>
            </w:pPr>
            <w:r w:rsidRPr="00887F1D">
              <w:rPr>
                <w:sz w:val="20"/>
                <w:szCs w:val="20"/>
              </w:rPr>
              <w:t>–</w:t>
            </w:r>
          </w:p>
        </w:tc>
      </w:tr>
      <w:tr w:rsidR="00887F1D" w:rsidRPr="00887F1D" w14:paraId="58FEABA4" w14:textId="77777777" w:rsidTr="004E5AB9">
        <w:trPr>
          <w:trHeight w:val="109"/>
        </w:trPr>
        <w:tc>
          <w:tcPr>
            <w:tcW w:w="1384" w:type="dxa"/>
            <w:vMerge/>
          </w:tcPr>
          <w:p w14:paraId="70D50F87" w14:textId="77777777" w:rsidR="00887F1D" w:rsidRPr="00887F1D" w:rsidRDefault="00887F1D" w:rsidP="00887F1D">
            <w:pPr>
              <w:ind w:left="0" w:right="0"/>
              <w:rPr>
                <w:sz w:val="20"/>
                <w:szCs w:val="20"/>
              </w:rPr>
            </w:pPr>
          </w:p>
        </w:tc>
        <w:tc>
          <w:tcPr>
            <w:tcW w:w="2717" w:type="dxa"/>
          </w:tcPr>
          <w:p w14:paraId="38C1AE9F" w14:textId="77777777" w:rsidR="00887F1D" w:rsidRPr="00887F1D" w:rsidRDefault="00887F1D" w:rsidP="00887F1D">
            <w:pPr>
              <w:ind w:left="0" w:right="0"/>
              <w:rPr>
                <w:sz w:val="20"/>
                <w:szCs w:val="20"/>
              </w:rPr>
            </w:pPr>
            <w:r w:rsidRPr="00887F1D">
              <w:rPr>
                <w:sz w:val="20"/>
                <w:szCs w:val="20"/>
              </w:rPr>
              <w:t>Reproductive and developmental toxicity</w:t>
            </w:r>
          </w:p>
        </w:tc>
        <w:tc>
          <w:tcPr>
            <w:tcW w:w="992" w:type="dxa"/>
          </w:tcPr>
          <w:p w14:paraId="7954D7E9" w14:textId="77777777" w:rsidR="00887F1D" w:rsidRPr="00887F1D" w:rsidRDefault="00887F1D" w:rsidP="00887F1D">
            <w:pPr>
              <w:ind w:left="0" w:right="0"/>
              <w:rPr>
                <w:sz w:val="20"/>
                <w:szCs w:val="20"/>
              </w:rPr>
            </w:pPr>
            <w:r w:rsidRPr="00887F1D">
              <w:rPr>
                <w:sz w:val="20"/>
                <w:szCs w:val="20"/>
              </w:rPr>
              <w:sym w:font="Wingdings" w:char="F0FC"/>
            </w:r>
          </w:p>
        </w:tc>
        <w:tc>
          <w:tcPr>
            <w:tcW w:w="1276" w:type="dxa"/>
          </w:tcPr>
          <w:p w14:paraId="46EBF0CB" w14:textId="77777777" w:rsidR="00887F1D" w:rsidRPr="00887F1D" w:rsidRDefault="00887F1D" w:rsidP="00887F1D">
            <w:pPr>
              <w:ind w:left="0" w:right="0"/>
              <w:rPr>
                <w:sz w:val="20"/>
                <w:szCs w:val="20"/>
              </w:rPr>
            </w:pPr>
            <w:r w:rsidRPr="00887F1D">
              <w:rPr>
                <w:sz w:val="20"/>
                <w:szCs w:val="20"/>
              </w:rPr>
              <w:t>–</w:t>
            </w:r>
          </w:p>
        </w:tc>
        <w:tc>
          <w:tcPr>
            <w:tcW w:w="992" w:type="dxa"/>
          </w:tcPr>
          <w:p w14:paraId="64816BFE" w14:textId="77777777" w:rsidR="00887F1D" w:rsidRPr="00887F1D" w:rsidRDefault="00887F1D" w:rsidP="00887F1D">
            <w:pPr>
              <w:ind w:left="0" w:right="0"/>
              <w:rPr>
                <w:sz w:val="20"/>
                <w:szCs w:val="20"/>
              </w:rPr>
            </w:pPr>
            <w:r w:rsidRPr="00887F1D">
              <w:rPr>
                <w:sz w:val="20"/>
                <w:szCs w:val="20"/>
              </w:rPr>
              <w:sym w:font="Wingdings" w:char="F0FC"/>
            </w:r>
          </w:p>
        </w:tc>
        <w:tc>
          <w:tcPr>
            <w:tcW w:w="1289" w:type="dxa"/>
          </w:tcPr>
          <w:p w14:paraId="5418DDB8" w14:textId="77777777" w:rsidR="00887F1D" w:rsidRPr="00887F1D" w:rsidRDefault="00887F1D" w:rsidP="00887F1D">
            <w:pPr>
              <w:ind w:left="0" w:right="0"/>
              <w:rPr>
                <w:sz w:val="20"/>
                <w:szCs w:val="20"/>
              </w:rPr>
            </w:pPr>
            <w:r w:rsidRPr="00887F1D">
              <w:rPr>
                <w:sz w:val="20"/>
                <w:szCs w:val="20"/>
              </w:rPr>
              <w:t>–</w:t>
            </w:r>
          </w:p>
        </w:tc>
      </w:tr>
      <w:tr w:rsidR="00887F1D" w:rsidRPr="00887F1D" w14:paraId="3D46DB56" w14:textId="77777777" w:rsidTr="004E5AB9">
        <w:trPr>
          <w:trHeight w:val="174"/>
        </w:trPr>
        <w:tc>
          <w:tcPr>
            <w:tcW w:w="1384" w:type="dxa"/>
          </w:tcPr>
          <w:p w14:paraId="3D0B9D94" w14:textId="77777777" w:rsidR="00887F1D" w:rsidRPr="00887F1D" w:rsidRDefault="00887F1D" w:rsidP="00887F1D">
            <w:pPr>
              <w:ind w:left="0" w:right="0"/>
              <w:rPr>
                <w:sz w:val="20"/>
                <w:szCs w:val="20"/>
              </w:rPr>
            </w:pPr>
            <w:r w:rsidRPr="00887F1D">
              <w:rPr>
                <w:sz w:val="20"/>
                <w:szCs w:val="20"/>
              </w:rPr>
              <w:t>Missing information</w:t>
            </w:r>
          </w:p>
        </w:tc>
        <w:tc>
          <w:tcPr>
            <w:tcW w:w="2717" w:type="dxa"/>
          </w:tcPr>
          <w:p w14:paraId="01A8F8EE" w14:textId="77777777" w:rsidR="00887F1D" w:rsidRPr="00887F1D" w:rsidRDefault="00887F1D" w:rsidP="00887F1D">
            <w:pPr>
              <w:ind w:left="0" w:right="0"/>
              <w:rPr>
                <w:sz w:val="20"/>
                <w:szCs w:val="20"/>
              </w:rPr>
            </w:pPr>
            <w:r w:rsidRPr="00887F1D">
              <w:rPr>
                <w:sz w:val="20"/>
                <w:szCs w:val="20"/>
              </w:rPr>
              <w:t>–</w:t>
            </w:r>
          </w:p>
        </w:tc>
        <w:tc>
          <w:tcPr>
            <w:tcW w:w="992" w:type="dxa"/>
          </w:tcPr>
          <w:p w14:paraId="4A6284D9" w14:textId="77777777" w:rsidR="00887F1D" w:rsidRPr="00887F1D" w:rsidRDefault="00887F1D" w:rsidP="00887F1D">
            <w:pPr>
              <w:ind w:left="0" w:right="0"/>
              <w:rPr>
                <w:sz w:val="20"/>
                <w:szCs w:val="20"/>
              </w:rPr>
            </w:pPr>
            <w:r w:rsidRPr="00887F1D">
              <w:rPr>
                <w:sz w:val="20"/>
                <w:szCs w:val="20"/>
              </w:rPr>
              <w:t>–</w:t>
            </w:r>
          </w:p>
        </w:tc>
        <w:tc>
          <w:tcPr>
            <w:tcW w:w="1276" w:type="dxa"/>
          </w:tcPr>
          <w:p w14:paraId="408F5020" w14:textId="77777777" w:rsidR="00887F1D" w:rsidRPr="00887F1D" w:rsidRDefault="00887F1D" w:rsidP="00887F1D">
            <w:pPr>
              <w:ind w:left="0" w:right="0"/>
              <w:rPr>
                <w:sz w:val="20"/>
                <w:szCs w:val="20"/>
              </w:rPr>
            </w:pPr>
            <w:r w:rsidRPr="00887F1D">
              <w:rPr>
                <w:sz w:val="20"/>
                <w:szCs w:val="20"/>
              </w:rPr>
              <w:t>–</w:t>
            </w:r>
          </w:p>
        </w:tc>
        <w:tc>
          <w:tcPr>
            <w:tcW w:w="992" w:type="dxa"/>
          </w:tcPr>
          <w:p w14:paraId="5501B204" w14:textId="77777777" w:rsidR="00887F1D" w:rsidRPr="00887F1D" w:rsidRDefault="00887F1D" w:rsidP="00887F1D">
            <w:pPr>
              <w:ind w:left="0" w:right="0"/>
              <w:rPr>
                <w:sz w:val="20"/>
                <w:szCs w:val="20"/>
              </w:rPr>
            </w:pPr>
            <w:r w:rsidRPr="00887F1D">
              <w:rPr>
                <w:sz w:val="20"/>
                <w:szCs w:val="20"/>
              </w:rPr>
              <w:t>–</w:t>
            </w:r>
          </w:p>
        </w:tc>
        <w:tc>
          <w:tcPr>
            <w:tcW w:w="1289" w:type="dxa"/>
          </w:tcPr>
          <w:p w14:paraId="3D172DDA" w14:textId="77777777" w:rsidR="00887F1D" w:rsidRPr="00887F1D" w:rsidRDefault="00887F1D" w:rsidP="00887F1D">
            <w:pPr>
              <w:ind w:left="0" w:right="0"/>
              <w:rPr>
                <w:sz w:val="20"/>
                <w:szCs w:val="20"/>
              </w:rPr>
            </w:pPr>
            <w:r w:rsidRPr="00887F1D">
              <w:rPr>
                <w:sz w:val="20"/>
                <w:szCs w:val="20"/>
              </w:rPr>
              <w:t>–</w:t>
            </w:r>
          </w:p>
        </w:tc>
      </w:tr>
    </w:tbl>
    <w:p w14:paraId="62595598" w14:textId="704A78AC" w:rsidR="00887F1D" w:rsidRPr="00887F1D" w:rsidRDefault="005A6621" w:rsidP="00887F1D">
      <w:pPr>
        <w:pStyle w:val="TableDescription"/>
      </w:pPr>
      <w:proofErr w:type="gramStart"/>
      <w:r>
        <w:t>a</w:t>
      </w:r>
      <w:proofErr w:type="gramEnd"/>
      <w:r>
        <w:t>:</w:t>
      </w:r>
      <w:r w:rsidR="00887F1D" w:rsidRPr="00887F1D">
        <w:t xml:space="preserve"> Includes mucosal inflammation, stomatitis, </w:t>
      </w:r>
      <w:proofErr w:type="spellStart"/>
      <w:r w:rsidR="00887F1D" w:rsidRPr="00887F1D">
        <w:t>aphthous</w:t>
      </w:r>
      <w:proofErr w:type="spellEnd"/>
      <w:r w:rsidR="00887F1D" w:rsidRPr="00887F1D">
        <w:t xml:space="preserve"> stomatitis, mouth ulceration, and oral mucosal blistering.</w:t>
      </w:r>
      <w:r w:rsidR="00817A5B" w:rsidRPr="00887F1D">
        <w:t>1</w:t>
      </w:r>
      <w:r w:rsidR="00817A5B">
        <w:t xml:space="preserve">: </w:t>
      </w:r>
      <w:r w:rsidR="00817A5B" w:rsidRPr="005A6621">
        <w:t>P</w:t>
      </w:r>
      <w:r w:rsidR="00817A5B">
        <w:t>ost-authorisation safety study (</w:t>
      </w:r>
      <w:r w:rsidR="00817A5B" w:rsidRPr="00887F1D">
        <w:t>PASS</w:t>
      </w:r>
      <w:r w:rsidR="00817A5B">
        <w:t>)</w:t>
      </w:r>
      <w:r w:rsidR="00817A5B" w:rsidRPr="00887F1D">
        <w:t xml:space="preserve">. </w:t>
      </w:r>
      <w:proofErr w:type="gramStart"/>
      <w:r w:rsidR="00817A5B" w:rsidRPr="00887F1D">
        <w:t>2</w:t>
      </w:r>
      <w:proofErr w:type="gramEnd"/>
      <w:r w:rsidR="00817A5B">
        <w:t xml:space="preserve">: </w:t>
      </w:r>
      <w:proofErr w:type="spellStart"/>
      <w:r w:rsidR="00817A5B" w:rsidRPr="00887F1D">
        <w:t>Pharmacoepidemiology</w:t>
      </w:r>
      <w:proofErr w:type="spellEnd"/>
      <w:r w:rsidR="00817A5B" w:rsidRPr="00887F1D">
        <w:t xml:space="preserve"> study. </w:t>
      </w:r>
      <w:proofErr w:type="gramStart"/>
      <w:r w:rsidR="00817A5B" w:rsidRPr="00887F1D">
        <w:t>3</w:t>
      </w:r>
      <w:proofErr w:type="gramEnd"/>
      <w:r w:rsidR="00817A5B">
        <w:t>: Healthcare professional</w:t>
      </w:r>
      <w:r w:rsidR="00817A5B" w:rsidRPr="00887F1D">
        <w:t xml:space="preserve"> </w:t>
      </w:r>
      <w:r w:rsidR="00817A5B">
        <w:t>(</w:t>
      </w:r>
      <w:r w:rsidR="00817A5B" w:rsidRPr="00887F1D">
        <w:t>HCP</w:t>
      </w:r>
      <w:r w:rsidR="00817A5B">
        <w:t>)</w:t>
      </w:r>
      <w:r w:rsidR="00817A5B" w:rsidRPr="00887F1D">
        <w:t xml:space="preserve"> and patient survey.</w:t>
      </w:r>
      <w:r w:rsidR="00817A5B">
        <w:t xml:space="preserve"> </w:t>
      </w:r>
      <w:proofErr w:type="gramStart"/>
      <w:r w:rsidR="00817A5B">
        <w:t>4</w:t>
      </w:r>
      <w:proofErr w:type="gramEnd"/>
      <w:r>
        <w:t>:</w:t>
      </w:r>
      <w:r w:rsidR="00887F1D">
        <w:t xml:space="preserve"> </w:t>
      </w:r>
      <w:r w:rsidR="00887F1D" w:rsidRPr="00887F1D">
        <w:t xml:space="preserve">Patient education. </w:t>
      </w:r>
      <w:proofErr w:type="gramStart"/>
      <w:r w:rsidR="00817A5B">
        <w:t>5</w:t>
      </w:r>
      <w:proofErr w:type="gramEnd"/>
      <w:r>
        <w:t>:</w:t>
      </w:r>
      <w:r w:rsidR="00887F1D">
        <w:t xml:space="preserve"> </w:t>
      </w:r>
      <w:r w:rsidR="00887F1D" w:rsidRPr="00887F1D">
        <w:t>HCP education</w:t>
      </w:r>
      <w:r>
        <w:t>.</w:t>
      </w:r>
      <w:r w:rsidR="00817A5B">
        <w:t>6: S</w:t>
      </w:r>
      <w:r w:rsidR="00817A5B" w:rsidRPr="00887F1D">
        <w:t>pecific adverse reaction follow-up questionnaire.</w:t>
      </w:r>
    </w:p>
    <w:p w14:paraId="1835A2E1" w14:textId="77777777" w:rsidR="00887F1D" w:rsidRDefault="00887F1D" w:rsidP="00887F1D">
      <w:r>
        <w:t xml:space="preserve">Routine pharmacovigilance including specific adverse reaction follow-up questionnaire, </w:t>
      </w:r>
      <w:proofErr w:type="gramStart"/>
      <w:r>
        <w:t>has been proposed</w:t>
      </w:r>
      <w:proofErr w:type="gramEnd"/>
      <w:r>
        <w:t xml:space="preserve"> to monitor the safety concerns. Additional pharmacovigilance studies, </w:t>
      </w:r>
      <w:r>
        <w:lastRenderedPageBreak/>
        <w:t xml:space="preserve">including a PASS, </w:t>
      </w:r>
      <w:proofErr w:type="spellStart"/>
      <w:r>
        <w:t>pharmacoepidemiology</w:t>
      </w:r>
      <w:proofErr w:type="spellEnd"/>
      <w:r>
        <w:t xml:space="preserve"> studies, </w:t>
      </w:r>
      <w:proofErr w:type="gramStart"/>
      <w:r>
        <w:t>have been required</w:t>
      </w:r>
      <w:proofErr w:type="gramEnd"/>
      <w:r>
        <w:t xml:space="preserve"> by the EMA and the US FDA. A healthcare professional and patient survey has been required to evaluate the effectiveness of the additional risk minimisation in the EU. There is no objection to the proposed and required pharmacovigilance activities.</w:t>
      </w:r>
    </w:p>
    <w:p w14:paraId="5CB6527A" w14:textId="6B10F239" w:rsidR="008E7846" w:rsidRDefault="00887F1D" w:rsidP="00887F1D">
      <w:r>
        <w:t xml:space="preserve">In its response to the </w:t>
      </w:r>
      <w:r w:rsidR="005A6621">
        <w:t>second round</w:t>
      </w:r>
      <w:r>
        <w:t xml:space="preserve"> </w:t>
      </w:r>
      <w:r w:rsidR="005A6621">
        <w:t>risk management plan (</w:t>
      </w:r>
      <w:r>
        <w:t>RMP</w:t>
      </w:r>
      <w:r w:rsidR="005A6621">
        <w:t>)</w:t>
      </w:r>
      <w:r>
        <w:t xml:space="preserve"> evaluation report, the sponsor has agreed to implement patient and healthcare profe</w:t>
      </w:r>
      <w:r w:rsidR="00114164">
        <w:t>ssional education in Australia.</w:t>
      </w:r>
      <w:r w:rsidR="00D54D73" w:rsidRPr="00D54D73">
        <w:t xml:space="preserve"> </w:t>
      </w:r>
      <w:r w:rsidR="00D54D73">
        <w:t xml:space="preserve">It </w:t>
      </w:r>
      <w:proofErr w:type="gramStart"/>
      <w:r w:rsidR="00D54D73">
        <w:t>is expected</w:t>
      </w:r>
      <w:proofErr w:type="gramEnd"/>
      <w:r w:rsidR="00D54D73">
        <w:t xml:space="preserve"> that the draft educational materials will be submitted to the TGA with an updated ASA following the Delegate’s overview.</w:t>
      </w:r>
      <w:r w:rsidR="00D54D73">
        <w:rPr>
          <w:rStyle w:val="FootnoteReference"/>
        </w:rPr>
        <w:footnoteReference w:id="18"/>
      </w:r>
    </w:p>
    <w:p w14:paraId="5986E9C3" w14:textId="77777777" w:rsidR="008E7846" w:rsidRDefault="00AA0ED0" w:rsidP="008E7846">
      <w:pPr>
        <w:pStyle w:val="Heading3"/>
      </w:pPr>
      <w:bookmarkStart w:id="57" w:name="_Toc247691531"/>
      <w:bookmarkStart w:id="58" w:name="_Toc314842515"/>
      <w:bookmarkStart w:id="59" w:name="_Toc40186909"/>
      <w:bookmarkStart w:id="60" w:name="_Toc196046505"/>
      <w:bookmarkStart w:id="61" w:name="_Toc196046949"/>
      <w:r>
        <w:t>Risk-benefit a</w:t>
      </w:r>
      <w:r w:rsidR="008E7846">
        <w:t>nalysis</w:t>
      </w:r>
      <w:bookmarkEnd w:id="57"/>
      <w:bookmarkEnd w:id="58"/>
      <w:bookmarkEnd w:id="59"/>
    </w:p>
    <w:p w14:paraId="27C2B6B5" w14:textId="07718E9D" w:rsidR="00D23139" w:rsidRDefault="00D46814" w:rsidP="00D23139">
      <w:pPr>
        <w:pStyle w:val="Heading4"/>
      </w:pPr>
      <w:r>
        <w:t>Delegate’s considerations</w:t>
      </w:r>
    </w:p>
    <w:p w14:paraId="73E80190" w14:textId="2E7C741C" w:rsidR="00887F1D" w:rsidRDefault="00887F1D" w:rsidP="00887F1D">
      <w:r>
        <w:t xml:space="preserve">The FDA approved </w:t>
      </w:r>
      <w:proofErr w:type="spellStart"/>
      <w:r>
        <w:t>neratinib</w:t>
      </w:r>
      <w:proofErr w:type="spellEnd"/>
      <w:r>
        <w:t xml:space="preserve"> with a broader indication than the EMA, which restricted the indication to patients with early-stage</w:t>
      </w:r>
      <w:r w:rsidR="005A6621">
        <w:t xml:space="preserve"> hormone receptor positive</w:t>
      </w:r>
      <w:r w:rsidR="002D1584">
        <w:t xml:space="preserve"> </w:t>
      </w:r>
      <w:r w:rsidR="005A6621">
        <w:t>/</w:t>
      </w:r>
      <w:r w:rsidR="002D1584">
        <w:t xml:space="preserve"> </w:t>
      </w:r>
      <w:r w:rsidR="005A6621">
        <w:t>HER2</w:t>
      </w:r>
      <w:r w:rsidR="005A6621">
        <w:noBreakHyphen/>
      </w:r>
      <w:r>
        <w:t>overexpressed</w:t>
      </w:r>
      <w:r w:rsidR="002D1584">
        <w:t xml:space="preserve"> </w:t>
      </w:r>
      <w:r>
        <w:t>/</w:t>
      </w:r>
      <w:r w:rsidR="002D1584">
        <w:t xml:space="preserve"> </w:t>
      </w:r>
      <w:r>
        <w:t>amplified breast cancer.</w:t>
      </w:r>
    </w:p>
    <w:p w14:paraId="2690D9EA" w14:textId="06DEB244" w:rsidR="00887F1D" w:rsidRDefault="00887F1D" w:rsidP="00887F1D">
      <w:r>
        <w:t xml:space="preserve">Evidence to support the proposed indication for </w:t>
      </w:r>
      <w:proofErr w:type="spellStart"/>
      <w:r>
        <w:t>neratinib</w:t>
      </w:r>
      <w:proofErr w:type="spellEnd"/>
      <w:r>
        <w:t xml:space="preserve"> </w:t>
      </w:r>
      <w:proofErr w:type="gramStart"/>
      <w:r>
        <w:t>was prim</w:t>
      </w:r>
      <w:r w:rsidR="005A6621">
        <w:t>arily derived</w:t>
      </w:r>
      <w:proofErr w:type="gramEnd"/>
      <w:r w:rsidR="005A6621">
        <w:t xml:space="preserve"> from the pivotal P</w:t>
      </w:r>
      <w:r>
        <w:t xml:space="preserve">hase III study, </w:t>
      </w:r>
      <w:r w:rsidR="005A6621">
        <w:t>Study</w:t>
      </w:r>
      <w:r>
        <w:t xml:space="preserve"> 3004</w:t>
      </w:r>
      <w:r w:rsidR="005A6621">
        <w:t xml:space="preserve"> (</w:t>
      </w:r>
      <w:proofErr w:type="spellStart"/>
      <w:r w:rsidR="005A6621">
        <w:t>ExteNET</w:t>
      </w:r>
      <w:proofErr w:type="spellEnd"/>
      <w:r w:rsidR="002D1584">
        <w:t xml:space="preserve"> trial</w:t>
      </w:r>
      <w:r w:rsidR="005A6621">
        <w:t>).</w:t>
      </w:r>
    </w:p>
    <w:p w14:paraId="1E04AF5D" w14:textId="64A3B66B" w:rsidR="00887F1D" w:rsidRDefault="005A6621" w:rsidP="00887F1D">
      <w:r>
        <w:t xml:space="preserve">Study 3004 </w:t>
      </w:r>
      <w:r w:rsidR="00887F1D">
        <w:t>underwent multiple amendments, initially allowing enrolment of patients who were node negative, but later limiting enrolment to high-risk p</w:t>
      </w:r>
      <w:r w:rsidR="00C157E6">
        <w:t>atients who were node</w:t>
      </w:r>
      <w:r w:rsidR="00C157E6">
        <w:noBreakHyphen/>
      </w:r>
      <w:r>
        <w:t>positive.</w:t>
      </w:r>
    </w:p>
    <w:p w14:paraId="34C855F5" w14:textId="670BDE98" w:rsidR="00887F1D" w:rsidRDefault="00887F1D" w:rsidP="00887F1D">
      <w:r>
        <w:t xml:space="preserve">Originally, patients within 2 years of </w:t>
      </w:r>
      <w:proofErr w:type="spellStart"/>
      <w:r>
        <w:t>trastuzumab</w:t>
      </w:r>
      <w:proofErr w:type="spellEnd"/>
      <w:r>
        <w:t xml:space="preserve"> therapy were eligible; later, enrolment was limited to 1 year. The planned study follow-up </w:t>
      </w:r>
      <w:proofErr w:type="gramStart"/>
      <w:r>
        <w:t>was reduced</w:t>
      </w:r>
      <w:proofErr w:type="gramEnd"/>
      <w:r>
        <w:t xml:space="preserve"> from 5 years to 2 years, changing the analysis from event-driven to time-driven. To restore the original design, the follow-up was extended to 5 years in a protocol amendment in 2014, and re-consent was obtained for 2117 (75%)</w:t>
      </w:r>
      <w:r w:rsidR="00D46814">
        <w:t xml:space="preserve"> of the 2840 original patients.</w:t>
      </w:r>
    </w:p>
    <w:p w14:paraId="04966350" w14:textId="77777777" w:rsidR="00887F1D" w:rsidRDefault="00887F1D" w:rsidP="00887F1D">
      <w:r>
        <w:t>The efficacy in the ITT population is modest.</w:t>
      </w:r>
    </w:p>
    <w:p w14:paraId="186C963C" w14:textId="2F8B99A4" w:rsidR="00887F1D" w:rsidRDefault="00887F1D" w:rsidP="00887F1D">
      <w:r>
        <w:t>Published data on 5 year follow-up (Martin et al, 2017)</w:t>
      </w:r>
      <w:r w:rsidR="002D1584">
        <w:t>;</w:t>
      </w:r>
      <w:r w:rsidR="005A6621">
        <w:fldChar w:fldCharType="begin"/>
      </w:r>
      <w:r w:rsidR="005A6621">
        <w:instrText xml:space="preserve"> NOTEREF _Ref34732727 \f \h </w:instrText>
      </w:r>
      <w:r w:rsidR="005A6621">
        <w:fldChar w:fldCharType="separate"/>
      </w:r>
      <w:r w:rsidR="00C157E6" w:rsidRPr="00C157E6">
        <w:rPr>
          <w:rStyle w:val="FootnoteReference"/>
        </w:rPr>
        <w:t>13</w:t>
      </w:r>
      <w:r w:rsidR="005A6621">
        <w:fldChar w:fldCharType="end"/>
      </w:r>
      <w:r>
        <w:t xml:space="preserve"> show durability of response and confirm sub-group analyses indicating greater benefit with </w:t>
      </w:r>
      <w:proofErr w:type="spellStart"/>
      <w:r>
        <w:t>neratinib</w:t>
      </w:r>
      <w:proofErr w:type="spellEnd"/>
      <w:r>
        <w:t xml:space="preserve"> in patients with hormone receptor-positive disease.</w:t>
      </w:r>
    </w:p>
    <w:p w14:paraId="18CC28AF" w14:textId="47D711BD" w:rsidR="00887F1D" w:rsidRDefault="00887F1D" w:rsidP="00887F1D">
      <w:r>
        <w:t>Appro</w:t>
      </w:r>
      <w:r w:rsidR="005A6621">
        <w:t xml:space="preserve">ximately 40% of patients in Study 3004 </w:t>
      </w:r>
      <w:r w:rsidR="00D46814">
        <w:t>exper</w:t>
      </w:r>
      <w:r w:rsidR="005A6621">
        <w:t>ienced G</w:t>
      </w:r>
      <w:r w:rsidR="00D46814">
        <w:t>rade 3 diarrhoea.</w:t>
      </w:r>
    </w:p>
    <w:p w14:paraId="6B416D7B" w14:textId="7464B401" w:rsidR="00887F1D" w:rsidRDefault="00887F1D" w:rsidP="00887F1D">
      <w:r>
        <w:t xml:space="preserve">Although prophylaxis with </w:t>
      </w:r>
      <w:proofErr w:type="spellStart"/>
      <w:r>
        <w:t>loperamide</w:t>
      </w:r>
      <w:proofErr w:type="spellEnd"/>
      <w:r>
        <w:t xml:space="preserve"> is now recommended and being evaluated in the PUMA-NEW-6201 trial (NCT02400476)</w:t>
      </w:r>
      <w:proofErr w:type="gramStart"/>
      <w:r w:rsidR="002D1584">
        <w:t>;</w:t>
      </w:r>
      <w:proofErr w:type="gramEnd"/>
      <w:r w:rsidR="005A6621">
        <w:rPr>
          <w:rStyle w:val="FootnoteReference"/>
        </w:rPr>
        <w:footnoteReference w:id="19"/>
      </w:r>
      <w:r>
        <w:t xml:space="preserve"> the tolerance in the general population is unknown.</w:t>
      </w:r>
    </w:p>
    <w:p w14:paraId="4811F275" w14:textId="7EAB82B8" w:rsidR="00887F1D" w:rsidRDefault="00887F1D" w:rsidP="00887F1D">
      <w:r>
        <w:t>The EMA concluded on balance of benefits and risks</w:t>
      </w:r>
      <w:r w:rsidR="000A75A1">
        <w:t xml:space="preserve"> (page 163)</w:t>
      </w:r>
      <w:r>
        <w:t>:</w:t>
      </w:r>
      <w:r w:rsidR="000A75A1">
        <w:fldChar w:fldCharType="begin"/>
      </w:r>
      <w:r w:rsidR="000A75A1">
        <w:instrText xml:space="preserve"> NOTEREF _Ref34732954 \f \h </w:instrText>
      </w:r>
      <w:r w:rsidR="000A75A1">
        <w:fldChar w:fldCharType="separate"/>
      </w:r>
      <w:r w:rsidR="00C157E6" w:rsidRPr="00C157E6">
        <w:rPr>
          <w:rStyle w:val="FootnoteReference"/>
        </w:rPr>
        <w:t>14</w:t>
      </w:r>
      <w:r w:rsidR="000A75A1">
        <w:fldChar w:fldCharType="end"/>
      </w:r>
    </w:p>
    <w:p w14:paraId="738F4632" w14:textId="590149B5" w:rsidR="00887F1D" w:rsidRDefault="005A6621" w:rsidP="000A75A1">
      <w:pPr>
        <w:ind w:left="720"/>
      </w:pPr>
      <w:r>
        <w:t>‘</w:t>
      </w:r>
      <w:r w:rsidR="00887F1D">
        <w:t xml:space="preserve">The magnitude of benefit on </w:t>
      </w:r>
      <w:proofErr w:type="spellStart"/>
      <w:r w:rsidR="00887F1D">
        <w:t>iDFS</w:t>
      </w:r>
      <w:proofErr w:type="spellEnd"/>
      <w:r w:rsidR="00887F1D">
        <w:t xml:space="preserve"> in HER2+ </w:t>
      </w:r>
      <w:proofErr w:type="spellStart"/>
      <w:r w:rsidR="00887F1D">
        <w:t>HRc</w:t>
      </w:r>
      <w:proofErr w:type="spellEnd"/>
      <w:r w:rsidR="00887F1D">
        <w:t>+ patients is statistically significant and clinically relevant and, therefore, outweighs the risks</w:t>
      </w:r>
      <w:proofErr w:type="gramStart"/>
      <w:r w:rsidR="00887F1D">
        <w:t>;</w:t>
      </w:r>
      <w:proofErr w:type="gramEnd"/>
      <w:r w:rsidR="00887F1D">
        <w:t xml:space="preserve"> primarily treatment-induced diarrhoea whose management is expected to be improved in light of the ongoing and planned</w:t>
      </w:r>
      <w:r>
        <w:t xml:space="preserve"> studies.’</w:t>
      </w:r>
    </w:p>
    <w:p w14:paraId="5A84E83E" w14:textId="77777777" w:rsidR="00887F1D" w:rsidRDefault="00887F1D" w:rsidP="003B0773">
      <w:r>
        <w:t>Some CHMP members expressed a divergent opinion.</w:t>
      </w:r>
    </w:p>
    <w:p w14:paraId="37CE8AEF" w14:textId="49E1888A" w:rsidR="00887F1D" w:rsidRDefault="000A75A1" w:rsidP="00887F1D">
      <w:r>
        <w:lastRenderedPageBreak/>
        <w:t xml:space="preserve">In the US, </w:t>
      </w:r>
      <w:r w:rsidR="002D1584">
        <w:t xml:space="preserve">the FDA’s </w:t>
      </w:r>
      <w:r w:rsidR="005C7747" w:rsidRPr="005C7747">
        <w:t xml:space="preserve">Oncologic Drugs Advisory Committee </w:t>
      </w:r>
      <w:r w:rsidR="005C7747">
        <w:t>(</w:t>
      </w:r>
      <w:r>
        <w:t>ODAC</w:t>
      </w:r>
      <w:r w:rsidR="005C7747">
        <w:t>)</w:t>
      </w:r>
      <w:r>
        <w:t xml:space="preserve"> members voted 12</w:t>
      </w:r>
      <w:r w:rsidR="002D1584">
        <w:t xml:space="preserve"> to </w:t>
      </w:r>
      <w:r w:rsidR="00887F1D">
        <w:t xml:space="preserve">4 to approve </w:t>
      </w:r>
      <w:proofErr w:type="spellStart"/>
      <w:r w:rsidR="00887F1D">
        <w:t>neratinib</w:t>
      </w:r>
      <w:proofErr w:type="spellEnd"/>
      <w:r w:rsidR="00887F1D">
        <w:t xml:space="preserve"> for a broader population</w:t>
      </w:r>
      <w:proofErr w:type="gramStart"/>
      <w:r w:rsidR="002D1584">
        <w:t>;</w:t>
      </w:r>
      <w:proofErr w:type="gramEnd"/>
      <w:r>
        <w:rPr>
          <w:rStyle w:val="FootnoteReference"/>
        </w:rPr>
        <w:footnoteReference w:id="20"/>
      </w:r>
      <w:r w:rsidR="00887F1D">
        <w:t xml:space="preserve"> which was subsequently adopted by the FDA.</w:t>
      </w:r>
    </w:p>
    <w:p w14:paraId="09B4C8B2" w14:textId="77777777" w:rsidR="00B26B1D" w:rsidRDefault="00B26B1D" w:rsidP="00B26B1D">
      <w:pPr>
        <w:pStyle w:val="Heading4"/>
      </w:pPr>
      <w:r>
        <w:t>Independent clinical advice</w:t>
      </w:r>
    </w:p>
    <w:p w14:paraId="2024D426" w14:textId="3FB0CA84" w:rsidR="00B26B1D" w:rsidRPr="00456765" w:rsidRDefault="00B26B1D" w:rsidP="00887F1D">
      <w:r>
        <w:t>The Delegate sought and received independent clinical advice from Australian experts.</w:t>
      </w:r>
    </w:p>
    <w:p w14:paraId="3FEB702D" w14:textId="77777777" w:rsidR="00D23139" w:rsidRDefault="00D23139" w:rsidP="00D23139">
      <w:pPr>
        <w:pStyle w:val="Heading4"/>
      </w:pPr>
      <w:r w:rsidRPr="00D23139">
        <w:t>Proposed action</w:t>
      </w:r>
    </w:p>
    <w:p w14:paraId="463B34EE" w14:textId="77777777" w:rsidR="00B26B1D" w:rsidRDefault="00B26B1D" w:rsidP="00B26B1D">
      <w:r>
        <w:t xml:space="preserve">Following receipt of advice from Australian independent clinical experts, it </w:t>
      </w:r>
      <w:proofErr w:type="gramStart"/>
      <w:r>
        <w:t>is recommended</w:t>
      </w:r>
      <w:proofErr w:type="gramEnd"/>
      <w:r>
        <w:t xml:space="preserve"> to align the Australian indication for </w:t>
      </w:r>
      <w:proofErr w:type="spellStart"/>
      <w:r>
        <w:t>neratinib</w:t>
      </w:r>
      <w:proofErr w:type="spellEnd"/>
      <w:r>
        <w:t xml:space="preserve"> with the FDA approved indication.</w:t>
      </w:r>
    </w:p>
    <w:p w14:paraId="686A6C58" w14:textId="438768DE" w:rsidR="00B26B1D" w:rsidRDefault="00D46814" w:rsidP="00B26B1D">
      <w:r>
        <w:t>The Delegate has</w:t>
      </w:r>
      <w:r w:rsidR="00B26B1D" w:rsidRPr="00B873EE">
        <w:t xml:space="preserve"> no reason to say, at this time, that the application for</w:t>
      </w:r>
      <w:r w:rsidR="00B26B1D">
        <w:t xml:space="preserve"> </w:t>
      </w:r>
      <w:proofErr w:type="spellStart"/>
      <w:r w:rsidR="00B26B1D">
        <w:t>Nerlynx</w:t>
      </w:r>
      <w:proofErr w:type="spellEnd"/>
      <w:r>
        <w:t xml:space="preserve"> (</w:t>
      </w:r>
      <w:proofErr w:type="spellStart"/>
      <w:r>
        <w:t>neratinib</w:t>
      </w:r>
      <w:proofErr w:type="spellEnd"/>
      <w:r>
        <w:t>)</w:t>
      </w:r>
      <w:r w:rsidR="00B26B1D">
        <w:t xml:space="preserve"> </w:t>
      </w:r>
      <w:proofErr w:type="gramStart"/>
      <w:r w:rsidR="000A75A1">
        <w:t>should not be approved</w:t>
      </w:r>
      <w:proofErr w:type="gramEnd"/>
      <w:r w:rsidR="000A75A1">
        <w:t xml:space="preserve"> </w:t>
      </w:r>
      <w:r w:rsidR="00B26B1D">
        <w:t>for the indication:</w:t>
      </w:r>
    </w:p>
    <w:p w14:paraId="75AEA06C" w14:textId="354D6665" w:rsidR="00456765" w:rsidRPr="00D46814" w:rsidRDefault="00D46814" w:rsidP="00D46814">
      <w:pPr>
        <w:ind w:left="720"/>
        <w:rPr>
          <w:i/>
        </w:rPr>
      </w:pPr>
      <w:proofErr w:type="spellStart"/>
      <w:r w:rsidRPr="00E22BEA">
        <w:rPr>
          <w:i/>
        </w:rPr>
        <w:t>Nerlynx</w:t>
      </w:r>
      <w:proofErr w:type="spellEnd"/>
      <w:r w:rsidR="00B26B1D" w:rsidRPr="00E22BEA">
        <w:rPr>
          <w:i/>
        </w:rPr>
        <w:t xml:space="preserve"> as a single agent </w:t>
      </w:r>
      <w:proofErr w:type="gramStart"/>
      <w:r w:rsidR="00B26B1D" w:rsidRPr="00E22BEA">
        <w:rPr>
          <w:i/>
        </w:rPr>
        <w:t>is indicated</w:t>
      </w:r>
      <w:proofErr w:type="gramEnd"/>
      <w:r w:rsidR="00B26B1D" w:rsidRPr="00E22BEA">
        <w:rPr>
          <w:i/>
        </w:rPr>
        <w:t xml:space="preserve"> for the extended adjuvant treatment of adult patients with early-stage HER2-overexpressed/amplified breast cancer who have received prior adju</w:t>
      </w:r>
      <w:r>
        <w:rPr>
          <w:i/>
        </w:rPr>
        <w:t xml:space="preserve">vant </w:t>
      </w:r>
      <w:proofErr w:type="spellStart"/>
      <w:r>
        <w:rPr>
          <w:i/>
        </w:rPr>
        <w:t>trastuzumab</w:t>
      </w:r>
      <w:proofErr w:type="spellEnd"/>
      <w:r>
        <w:rPr>
          <w:i/>
        </w:rPr>
        <w:t xml:space="preserve"> based therapy.</w:t>
      </w:r>
    </w:p>
    <w:p w14:paraId="474D580E" w14:textId="1C50ED38" w:rsidR="008E7846" w:rsidRDefault="00C157E6" w:rsidP="008E7846">
      <w:pPr>
        <w:pStyle w:val="Heading4"/>
      </w:pPr>
      <w:r>
        <w:t>Advisory Committee c</w:t>
      </w:r>
      <w:r w:rsidR="008E7846">
        <w:t>onsiderations</w:t>
      </w:r>
      <w:r w:rsidR="00456765">
        <w:rPr>
          <w:rStyle w:val="FootnoteReference"/>
        </w:rPr>
        <w:footnoteReference w:id="21"/>
      </w:r>
    </w:p>
    <w:p w14:paraId="7D37DEA2" w14:textId="27E32506" w:rsidR="00456765" w:rsidRPr="00A322B3" w:rsidRDefault="00456765" w:rsidP="008E7846">
      <w:r>
        <w:rPr>
          <w:bCs/>
        </w:rPr>
        <w:t>The Delegate did not refer this application to the Advisory Committee on Medicines (ACM) for advice.</w:t>
      </w:r>
    </w:p>
    <w:p w14:paraId="6364ECFA" w14:textId="77777777" w:rsidR="008E7846" w:rsidRPr="002E238E" w:rsidRDefault="008E7846" w:rsidP="008E7846">
      <w:pPr>
        <w:pStyle w:val="Heading3"/>
      </w:pPr>
      <w:bookmarkStart w:id="62" w:name="_Toc247691532"/>
      <w:bookmarkStart w:id="63" w:name="_Toc314842516"/>
      <w:bookmarkStart w:id="64" w:name="_Toc40186910"/>
      <w:bookmarkEnd w:id="31"/>
      <w:bookmarkEnd w:id="60"/>
      <w:bookmarkEnd w:id="61"/>
      <w:r>
        <w:t>Outcome</w:t>
      </w:r>
      <w:bookmarkEnd w:id="62"/>
      <w:bookmarkEnd w:id="63"/>
      <w:bookmarkEnd w:id="64"/>
    </w:p>
    <w:p w14:paraId="31E4240A" w14:textId="24F0122E" w:rsidR="00D23139" w:rsidRPr="00D23139" w:rsidRDefault="00D23139" w:rsidP="00D23139">
      <w:bookmarkStart w:id="65" w:name="_Toc247691533"/>
      <w:bookmarkStart w:id="66" w:name="_Toc314842517"/>
      <w:r w:rsidRPr="00D23139">
        <w:t xml:space="preserve">Based on a review of quality, safety and efficacy, TGA approved the registration of </w:t>
      </w:r>
      <w:proofErr w:type="spellStart"/>
      <w:r w:rsidR="00D46814" w:rsidRPr="005338EC">
        <w:t>Nerlynx</w:t>
      </w:r>
      <w:proofErr w:type="spellEnd"/>
      <w:r w:rsidR="00D46814" w:rsidRPr="005338EC">
        <w:t xml:space="preserve"> </w:t>
      </w:r>
      <w:r w:rsidR="00D46814">
        <w:t>(</w:t>
      </w:r>
      <w:proofErr w:type="spellStart"/>
      <w:r w:rsidR="00D46814">
        <w:t>neratinib</w:t>
      </w:r>
      <w:proofErr w:type="spellEnd"/>
      <w:r w:rsidR="00D46814">
        <w:t xml:space="preserve"> </w:t>
      </w:r>
      <w:r w:rsidR="00D46814" w:rsidRPr="005338EC">
        <w:t>as maleate) 40 mg film coated tablets</w:t>
      </w:r>
      <w:r w:rsidRPr="00D23139">
        <w:t xml:space="preserve">, indicated </w:t>
      </w:r>
      <w:proofErr w:type="gramStart"/>
      <w:r w:rsidRPr="00D23139">
        <w:t>for</w:t>
      </w:r>
      <w:proofErr w:type="gramEnd"/>
      <w:r w:rsidRPr="00D23139">
        <w:t>:</w:t>
      </w:r>
    </w:p>
    <w:p w14:paraId="184758B8" w14:textId="77777777" w:rsidR="00D23139" w:rsidRPr="00D23139" w:rsidRDefault="005F5089" w:rsidP="005338EC">
      <w:pPr>
        <w:ind w:left="720"/>
      </w:pPr>
      <w:proofErr w:type="spellStart"/>
      <w:r w:rsidRPr="005F5089">
        <w:rPr>
          <w:i/>
        </w:rPr>
        <w:t>Nerlynx</w:t>
      </w:r>
      <w:proofErr w:type="spellEnd"/>
      <w:r w:rsidRPr="005F5089">
        <w:rPr>
          <w:i/>
        </w:rPr>
        <w:t xml:space="preserve"> </w:t>
      </w:r>
      <w:proofErr w:type="gramStart"/>
      <w:r w:rsidRPr="005F5089">
        <w:rPr>
          <w:i/>
        </w:rPr>
        <w:t>is indicated</w:t>
      </w:r>
      <w:proofErr w:type="gramEnd"/>
      <w:r w:rsidRPr="005F5089">
        <w:rPr>
          <w:i/>
        </w:rPr>
        <w:t xml:space="preserve"> for the extended adjuvant treatment of adult patients with early-stage HER2-overexpressed/amplified breast cancer, to follow adjuvant </w:t>
      </w:r>
      <w:proofErr w:type="spellStart"/>
      <w:r w:rsidRPr="005F5089">
        <w:rPr>
          <w:i/>
        </w:rPr>
        <w:t>trastuzumab</w:t>
      </w:r>
      <w:proofErr w:type="spellEnd"/>
      <w:r w:rsidRPr="005F5089">
        <w:rPr>
          <w:i/>
        </w:rPr>
        <w:t xml:space="preserve"> based therapy.</w:t>
      </w:r>
    </w:p>
    <w:p w14:paraId="04235075" w14:textId="77777777" w:rsidR="00D23139" w:rsidRPr="00D23139" w:rsidRDefault="00D23139" w:rsidP="00D23139">
      <w:pPr>
        <w:pStyle w:val="Heading4"/>
      </w:pPr>
      <w:r w:rsidRPr="00D23139">
        <w:t>Specific conditions of registration applying to these goods</w:t>
      </w:r>
    </w:p>
    <w:p w14:paraId="59D2422A" w14:textId="763FCC02" w:rsidR="005F5089" w:rsidRDefault="005F5089" w:rsidP="005338EC">
      <w:pPr>
        <w:pStyle w:val="ListBullet"/>
      </w:pPr>
      <w:proofErr w:type="spellStart"/>
      <w:r>
        <w:t>Nerlynx</w:t>
      </w:r>
      <w:proofErr w:type="spellEnd"/>
      <w:r>
        <w:t xml:space="preserve"> (</w:t>
      </w:r>
      <w:proofErr w:type="spellStart"/>
      <w:r>
        <w:t>neratinib</w:t>
      </w:r>
      <w:proofErr w:type="spellEnd"/>
      <w:r>
        <w:t xml:space="preserve">) is to be included in the Black Triangle Scheme. The PI and </w:t>
      </w:r>
      <w:r w:rsidR="000A75A1">
        <w:t>Consumer Medicines Information (</w:t>
      </w:r>
      <w:r>
        <w:t>CMI</w:t>
      </w:r>
      <w:r w:rsidR="000A75A1">
        <w:t>)</w:t>
      </w:r>
      <w:r>
        <w:t xml:space="preserve"> for </w:t>
      </w:r>
      <w:proofErr w:type="spellStart"/>
      <w:r>
        <w:t>Nerlynx</w:t>
      </w:r>
      <w:proofErr w:type="spellEnd"/>
      <w:r>
        <w:t xml:space="preserve"> must include the black triangle symbol and mandatory accompanying text for five years, which starts from the date that the sponsor notifies the TGA of supply of the product.</w:t>
      </w:r>
    </w:p>
    <w:p w14:paraId="72411ECB" w14:textId="7448F664" w:rsidR="005F5089" w:rsidRDefault="005F5089" w:rsidP="005338EC">
      <w:pPr>
        <w:pStyle w:val="ListBullet"/>
      </w:pPr>
      <w:r>
        <w:t xml:space="preserve">Report the results of </w:t>
      </w:r>
      <w:r w:rsidR="002D1584">
        <w:t xml:space="preserve">the </w:t>
      </w:r>
      <w:r>
        <w:t>PUMA-NER-0105</w:t>
      </w:r>
      <w:r w:rsidR="002D1584">
        <w:t xml:space="preserve"> trial</w:t>
      </w:r>
      <w:r>
        <w:t xml:space="preserve"> to the TGA and any subsequent evaluations by the EMA.</w:t>
      </w:r>
    </w:p>
    <w:p w14:paraId="47475445" w14:textId="73103380" w:rsidR="009752A5" w:rsidRDefault="005F5089" w:rsidP="003B0773">
      <w:pPr>
        <w:pStyle w:val="ListBullet"/>
      </w:pPr>
      <w:r>
        <w:lastRenderedPageBreak/>
        <w:t xml:space="preserve">The </w:t>
      </w:r>
      <w:proofErr w:type="spellStart"/>
      <w:r>
        <w:t>Nerlynx</w:t>
      </w:r>
      <w:proofErr w:type="spellEnd"/>
      <w:r>
        <w:t xml:space="preserve"> EU-</w:t>
      </w:r>
      <w:r w:rsidR="000A75A1">
        <w:t>RMP</w:t>
      </w:r>
      <w:r>
        <w:t xml:space="preserve"> (version 0.9, dated 3 July 2018, </w:t>
      </w:r>
      <w:r w:rsidR="000A75A1">
        <w:t>DLP</w:t>
      </w:r>
      <w:r>
        <w:t xml:space="preserve"> 22 September 2015), with </w:t>
      </w:r>
      <w:r w:rsidR="000A75A1">
        <w:t>ASA</w:t>
      </w:r>
      <w:r>
        <w:t xml:space="preserve"> (version 1.1, dated</w:t>
      </w:r>
      <w:r w:rsidR="00612466">
        <w:t xml:space="preserve"> </w:t>
      </w:r>
      <w:r>
        <w:t>November 2018),</w:t>
      </w:r>
      <w:r w:rsidR="00612466">
        <w:rPr>
          <w:rStyle w:val="FootnoteReference"/>
        </w:rPr>
        <w:footnoteReference w:id="22"/>
      </w:r>
      <w:r>
        <w:t xml:space="preserve"> included with submission PM-2018-00968-1-4, to be revised to the satisfaction of the TGA, will be implemented in Australia.</w:t>
      </w:r>
    </w:p>
    <w:p w14:paraId="1678C518" w14:textId="77777777" w:rsidR="005F5089" w:rsidRDefault="005F5089" w:rsidP="005338EC">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322DDE05" w14:textId="1BD20960" w:rsidR="005F5089" w:rsidRDefault="005F5089" w:rsidP="005338EC">
      <w:pPr>
        <w:pStyle w:val="ListBullet"/>
        <w:numPr>
          <w:ilvl w:val="0"/>
          <w:numId w:val="0"/>
        </w:numPr>
        <w:ind w:left="360"/>
      </w:pPr>
      <w:r>
        <w:t xml:space="preserve">Reports are to </w:t>
      </w:r>
      <w:proofErr w:type="gramStart"/>
      <w:r>
        <w:t>be provided</w:t>
      </w:r>
      <w:proofErr w:type="gramEnd"/>
      <w:r w:rsidR="004F009D">
        <w:t xml:space="preserve"> to the TGA within 90 calendar days of DLP </w:t>
      </w:r>
      <w:r>
        <w:t>until the period covered by such reports is not less than three years from the date of this approval letter.</w:t>
      </w:r>
    </w:p>
    <w:p w14:paraId="24AB376A" w14:textId="77777777" w:rsidR="005F5089" w:rsidRDefault="005F5089" w:rsidP="005338EC">
      <w:pPr>
        <w:pStyle w:val="ListBullet"/>
        <w:numPr>
          <w:ilvl w:val="0"/>
          <w:numId w:val="0"/>
        </w:numPr>
        <w:ind w:left="360"/>
      </w:pPr>
      <w:r>
        <w:t xml:space="preserve">The reports are </w:t>
      </w:r>
      <w:proofErr w:type="gramStart"/>
      <w:r>
        <w:t>to at least meet</w:t>
      </w:r>
      <w:proofErr w:type="gramEnd"/>
      <w:r>
        <w:t xml:space="preserve"> the requirements for PSURs as described in the European M</w:t>
      </w:r>
      <w:r w:rsidR="005338EC">
        <w:t>edicines Agency’s Guideline on Good Pharmacovigilance P</w:t>
      </w:r>
      <w:r>
        <w:t>ractices (GVP) Module VII-periodic safety update report (Rev 1), Part VII.B Structures and processes. Note that submission of a PSUR does not constitute an application to vary the registration.</w:t>
      </w:r>
    </w:p>
    <w:p w14:paraId="5779AFEE" w14:textId="77777777" w:rsidR="008E7846" w:rsidRDefault="00A80B5B" w:rsidP="00D23139">
      <w:pPr>
        <w:pStyle w:val="Heading2"/>
      </w:pPr>
      <w:bookmarkStart w:id="67" w:name="_Toc40186911"/>
      <w:r>
        <w:t xml:space="preserve">Attachment 1. </w:t>
      </w:r>
      <w:r w:rsidR="008E7846">
        <w:t xml:space="preserve">Product </w:t>
      </w:r>
      <w:r w:rsidR="00AA0ED0">
        <w:t>I</w:t>
      </w:r>
      <w:r w:rsidR="008E7846">
        <w:t>nformation</w:t>
      </w:r>
      <w:bookmarkEnd w:id="65"/>
      <w:bookmarkEnd w:id="66"/>
      <w:bookmarkEnd w:id="67"/>
    </w:p>
    <w:p w14:paraId="6AC6B49C" w14:textId="0604383C" w:rsidR="00770CAC" w:rsidRPr="00D46814" w:rsidRDefault="006136D7" w:rsidP="00D46814">
      <w:pPr>
        <w:rPr>
          <w:color w:val="000000"/>
          <w:lang w:eastAsia="en-AU"/>
        </w:rPr>
      </w:pPr>
      <w:r w:rsidRPr="002B3624">
        <w:t xml:space="preserve">The </w:t>
      </w:r>
      <w:r>
        <w:t>PI</w:t>
      </w:r>
      <w:r w:rsidRPr="002B3624">
        <w:t xml:space="preserve"> for </w:t>
      </w:r>
      <w:proofErr w:type="spellStart"/>
      <w:r w:rsidR="005338EC">
        <w:t>Nerlynx</w:t>
      </w:r>
      <w:proofErr w:type="spellEnd"/>
      <w:r w:rsidRPr="002B3624">
        <w:t xml:space="preserve"> </w:t>
      </w:r>
      <w:r>
        <w:t xml:space="preserve">approved with the </w:t>
      </w:r>
      <w:proofErr w:type="gramStart"/>
      <w:r>
        <w:t xml:space="preserve">submission which is described in </w:t>
      </w:r>
      <w:r w:rsidRPr="002B3624">
        <w:t xml:space="preserve">this </w:t>
      </w:r>
      <w:proofErr w:type="spellStart"/>
      <w:r w:rsidRPr="002B3624">
        <w:t>AusPAR</w:t>
      </w:r>
      <w:proofErr w:type="spellEnd"/>
      <w:proofErr w:type="gram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25" w:history="1">
        <w:r w:rsidR="007C6B9B" w:rsidRPr="007C6B9B">
          <w:rPr>
            <w:rStyle w:val="Hyperlink"/>
          </w:rPr>
          <w:t>https://www.tga.gov.au/product-information-pi</w:t>
        </w:r>
      </w:hyperlink>
      <w:r w:rsidR="005338EC">
        <w:t>&gt;.</w:t>
      </w:r>
    </w:p>
    <w:p w14:paraId="640BAAA6" w14:textId="77777777" w:rsidR="00291957" w:rsidRDefault="00291957" w:rsidP="00291957">
      <w:pPr>
        <w:rPr>
          <w:lang w:eastAsia="ja-JP"/>
        </w:rPr>
      </w:pPr>
    </w:p>
    <w:p w14:paraId="2E9E8463" w14:textId="77777777" w:rsidR="00C80137" w:rsidRPr="001D043B" w:rsidRDefault="00C80137" w:rsidP="003A7F6C">
      <w:pPr>
        <w:pStyle w:val="TableTitle"/>
        <w:sectPr w:rsidR="00C80137" w:rsidRPr="001D043B" w:rsidSect="00B452CE">
          <w:headerReference w:type="even" r:id="rId26"/>
          <w:headerReference w:type="default" r:id="rId27"/>
          <w:headerReference w:type="first" r:id="rId28"/>
          <w:footerReference w:type="first" r:id="rId2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2CC7D6E6" w14:textId="77777777" w:rsidTr="00A05FA4">
        <w:trPr>
          <w:trHeight w:hRule="exact" w:val="704"/>
        </w:trPr>
        <w:tc>
          <w:tcPr>
            <w:tcW w:w="9175" w:type="dxa"/>
          </w:tcPr>
          <w:p w14:paraId="12499AE4" w14:textId="77777777" w:rsidR="001C32CD" w:rsidRPr="00487162" w:rsidRDefault="001C32CD" w:rsidP="00A05FA4">
            <w:pPr>
              <w:pStyle w:val="TGASignoff"/>
            </w:pPr>
            <w:r w:rsidRPr="00487162">
              <w:lastRenderedPageBreak/>
              <w:t>Therapeutic Goods Administration</w:t>
            </w:r>
          </w:p>
        </w:tc>
      </w:tr>
      <w:tr w:rsidR="001C32CD" w:rsidRPr="004C239D" w14:paraId="5C4EC8D9" w14:textId="77777777" w:rsidTr="00A05FA4">
        <w:trPr>
          <w:trHeight w:val="1221"/>
        </w:trPr>
        <w:tc>
          <w:tcPr>
            <w:tcW w:w="9175" w:type="dxa"/>
            <w:tcMar>
              <w:top w:w="28" w:type="dxa"/>
            </w:tcMar>
          </w:tcPr>
          <w:p w14:paraId="098C06A1" w14:textId="77777777" w:rsidR="001C32CD" w:rsidRPr="00487162" w:rsidRDefault="001C32CD" w:rsidP="00A05FA4">
            <w:pPr>
              <w:pStyle w:val="Address"/>
            </w:pPr>
            <w:r w:rsidRPr="00487162">
              <w:t>PO Box 100 Woden ACT 2606 Australia</w:t>
            </w:r>
          </w:p>
          <w:p w14:paraId="5BE7167E" w14:textId="77777777" w:rsidR="001C32CD" w:rsidRPr="00487162" w:rsidRDefault="001C32CD" w:rsidP="00A05FA4">
            <w:pPr>
              <w:pStyle w:val="Address"/>
            </w:pPr>
            <w:r w:rsidRPr="00487162">
              <w:t xml:space="preserve">Email: </w:t>
            </w:r>
            <w:hyperlink r:id="rId30" w:history="1">
              <w:r w:rsidRPr="004C239D">
                <w:rPr>
                  <w:rStyle w:val="Hyperlink"/>
                </w:rPr>
                <w:t>info@tga.gov.au</w:t>
              </w:r>
            </w:hyperlink>
            <w:r w:rsidRPr="00487162">
              <w:t xml:space="preserve">  Phone: 1800 020 653  Fax: 02 6232 8605</w:t>
            </w:r>
          </w:p>
          <w:p w14:paraId="4B56CEF7" w14:textId="77777777" w:rsidR="001C32CD" w:rsidRPr="004C239D" w:rsidRDefault="003B0773" w:rsidP="00A05FA4">
            <w:pPr>
              <w:pStyle w:val="Address"/>
              <w:spacing w:line="260" w:lineRule="atLeast"/>
              <w:rPr>
                <w:b/>
                <w:color w:val="0000FF"/>
                <w:u w:val="single"/>
              </w:rPr>
            </w:pPr>
            <w:hyperlink r:id="rId31" w:history="1">
              <w:r w:rsidR="007C6B9B" w:rsidRPr="007C6B9B">
                <w:rPr>
                  <w:rStyle w:val="Hyperlink"/>
                  <w:b/>
                </w:rPr>
                <w:t>https://www.tga.gov.au</w:t>
              </w:r>
            </w:hyperlink>
          </w:p>
        </w:tc>
      </w:tr>
    </w:tbl>
    <w:p w14:paraId="557C14FB" w14:textId="77777777" w:rsidR="00774E1D" w:rsidRPr="008A5E0B" w:rsidRDefault="00774E1D" w:rsidP="004C239D"/>
    <w:sectPr w:rsidR="00774E1D" w:rsidRPr="008A5E0B" w:rsidSect="001C32CD">
      <w:headerReference w:type="even" r:id="rId32"/>
      <w:headerReference w:type="default" r:id="rId33"/>
      <w:footerReference w:type="default" r:id="rId34"/>
      <w:headerReference w:type="first" r:id="rId35"/>
      <w:footerReference w:type="first" r:id="rId36"/>
      <w:pgSz w:w="11906" w:h="16838" w:code="9"/>
      <w:pgMar w:top="13467" w:right="1701" w:bottom="426" w:left="1701" w:header="90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99A0" w16cex:dateUtc="2020-04-22T00:23:00Z"/>
  <w16cex:commentExtensible w16cex:durableId="224A9A88" w16cex:dateUtc="2020-04-22T00:27:00Z"/>
  <w16cex:commentExtensible w16cex:durableId="224A9B15" w16cex:dateUtc="2020-04-22T00:29:00Z"/>
  <w16cex:commentExtensible w16cex:durableId="224A9B78" w16cex:dateUtc="2020-04-22T00:31:00Z"/>
  <w16cex:commentExtensible w16cex:durableId="224A9BB5" w16cex:dateUtc="2020-04-22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A2325" w16cid:durableId="2213350A"/>
  <w16cid:commentId w16cid:paraId="4B340056" w16cid:durableId="22499B43"/>
  <w16cid:commentId w16cid:paraId="63DD1C3D" w16cid:durableId="22514059"/>
  <w16cid:commentId w16cid:paraId="50515FF7" w16cid:durableId="22134AFB"/>
  <w16cid:commentId w16cid:paraId="784620F1" w16cid:durableId="22499B45"/>
  <w16cid:commentId w16cid:paraId="6AE90A78" w16cid:durableId="22134E0A"/>
  <w16cid:commentId w16cid:paraId="2FB9466C" w16cid:durableId="22499B47"/>
  <w16cid:commentId w16cid:paraId="0C789719" w16cid:durableId="22134F6D"/>
  <w16cid:commentId w16cid:paraId="4691FD1A" w16cid:durableId="22499B49"/>
  <w16cid:commentId w16cid:paraId="20479282" w16cid:durableId="221335B6"/>
  <w16cid:commentId w16cid:paraId="6B0490DF" w16cid:durableId="22499B4B"/>
  <w16cid:commentId w16cid:paraId="086D681E" w16cid:durableId="221B1B87"/>
  <w16cid:commentId w16cid:paraId="22937145" w16cid:durableId="22499B4D"/>
  <w16cid:commentId w16cid:paraId="32AD90F7" w16cid:durableId="221335E1"/>
  <w16cid:commentId w16cid:paraId="4DFC8077" w16cid:durableId="22499B4F"/>
  <w16cid:commentId w16cid:paraId="0E517D88" w16cid:durableId="224D6946"/>
  <w16cid:commentId w16cid:paraId="49BE495D" w16cid:durableId="2219E6CB"/>
  <w16cid:commentId w16cid:paraId="28FC8128" w16cid:durableId="22499B51"/>
  <w16cid:commentId w16cid:paraId="4CE87563" w16cid:durableId="221356C1"/>
  <w16cid:commentId w16cid:paraId="00BE6C87" w16cid:durableId="22499B53"/>
  <w16cid:commentId w16cid:paraId="29262E47" w16cid:durableId="224A99A0"/>
  <w16cid:commentId w16cid:paraId="71D8E800" w16cid:durableId="221492EB"/>
  <w16cid:commentId w16cid:paraId="7BC7E494" w16cid:durableId="22499B55"/>
  <w16cid:commentId w16cid:paraId="0F4B8E1F" w16cid:durableId="2214A1AE"/>
  <w16cid:commentId w16cid:paraId="131EEED2" w16cid:durableId="22499B57"/>
  <w16cid:commentId w16cid:paraId="28410C89" w16cid:durableId="224A9A88"/>
  <w16cid:commentId w16cid:paraId="39314809" w16cid:durableId="22149362"/>
  <w16cid:commentId w16cid:paraId="012ED0A4" w16cid:durableId="22499B59"/>
  <w16cid:commentId w16cid:paraId="4C482F62" w16cid:durableId="22149C58"/>
  <w16cid:commentId w16cid:paraId="22A488CA" w16cid:durableId="22499B5B"/>
  <w16cid:commentId w16cid:paraId="302C60C7" w16cid:durableId="221492F8"/>
  <w16cid:commentId w16cid:paraId="5D2F868F" w16cid:durableId="22499B5D"/>
  <w16cid:commentId w16cid:paraId="308EA4C5" w16cid:durableId="2214A243"/>
  <w16cid:commentId w16cid:paraId="13DE300C" w16cid:durableId="22499B5F"/>
  <w16cid:commentId w16cid:paraId="20BEB8FE" w16cid:durableId="224A9B15"/>
  <w16cid:commentId w16cid:paraId="68424059" w16cid:durableId="2214A349"/>
  <w16cid:commentId w16cid:paraId="2F5CD288" w16cid:durableId="22499B61"/>
  <w16cid:commentId w16cid:paraId="2F5AD085" w16cid:durableId="22135718"/>
  <w16cid:commentId w16cid:paraId="2E4BAE11" w16cid:durableId="2214A3CF"/>
  <w16cid:commentId w16cid:paraId="680E343F" w16cid:durableId="22499B64"/>
  <w16cid:commentId w16cid:paraId="62A3408A" w16cid:durableId="224A9B78"/>
  <w16cid:commentId w16cid:paraId="470EC57A" w16cid:durableId="22135772"/>
  <w16cid:commentId w16cid:paraId="0912B401" w16cid:durableId="2214A98A"/>
  <w16cid:commentId w16cid:paraId="0C4D2A2C" w16cid:durableId="22499B67"/>
  <w16cid:commentId w16cid:paraId="7B81F201" w16cid:durableId="224A9BB5"/>
  <w16cid:commentId w16cid:paraId="3907FBA4" w16cid:durableId="2214ABE4"/>
  <w16cid:commentId w16cid:paraId="48B9D21E" w16cid:durableId="22499B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AE465" w14:textId="77777777" w:rsidR="00114164" w:rsidRDefault="00114164" w:rsidP="00C40A36">
      <w:pPr>
        <w:spacing w:after="0"/>
      </w:pPr>
      <w:r>
        <w:separator/>
      </w:r>
    </w:p>
  </w:endnote>
  <w:endnote w:type="continuationSeparator" w:id="0">
    <w:p w14:paraId="2F9AD3B1" w14:textId="77777777" w:rsidR="00114164" w:rsidRDefault="0011416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14164" w:rsidRPr="00487162" w14:paraId="36C3901F" w14:textId="77777777" w:rsidTr="00DB750B">
      <w:trPr>
        <w:trHeight w:val="269"/>
      </w:trPr>
      <w:tc>
        <w:tcPr>
          <w:tcW w:w="7371" w:type="dxa"/>
          <w:tcMar>
            <w:top w:w="142" w:type="dxa"/>
            <w:bottom w:w="0" w:type="dxa"/>
          </w:tcMar>
        </w:tcPr>
        <w:p w14:paraId="13A3CC3C" w14:textId="4DB5E2B2" w:rsidR="00114164" w:rsidRPr="00487162" w:rsidRDefault="00114164" w:rsidP="00FA4AFC">
          <w:pPr>
            <w:pStyle w:val="Footer"/>
          </w:pPr>
          <w:proofErr w:type="spellStart"/>
          <w:r w:rsidRPr="00487162">
            <w:t>AusPA</w:t>
          </w:r>
          <w:r>
            <w:t>R</w:t>
          </w:r>
          <w:proofErr w:type="spellEnd"/>
          <w:r>
            <w:t xml:space="preserve"> - </w:t>
          </w:r>
          <w:r w:rsidRPr="00FA4AFC">
            <w:t xml:space="preserve">NERLYNX - </w:t>
          </w:r>
          <w:proofErr w:type="spellStart"/>
          <w:r w:rsidRPr="00FA4AFC">
            <w:t>neratinib</w:t>
          </w:r>
          <w:proofErr w:type="spellEnd"/>
          <w:r w:rsidRPr="00FA4AFC">
            <w:t xml:space="preserve"> maleate - Specialised Therapeutics PM Pty Ltd - PM-2018-00968-1-4</w:t>
          </w:r>
          <w:r>
            <w:br/>
            <w:t>FINAL 12 May 2020</w:t>
          </w:r>
        </w:p>
      </w:tc>
      <w:tc>
        <w:tcPr>
          <w:tcW w:w="1490" w:type="dxa"/>
          <w:tcMar>
            <w:top w:w="142" w:type="dxa"/>
            <w:bottom w:w="0" w:type="dxa"/>
          </w:tcMar>
        </w:tcPr>
        <w:p w14:paraId="0DDEC8A1" w14:textId="5D36FAC8" w:rsidR="00114164" w:rsidRPr="00487162" w:rsidRDefault="00114164" w:rsidP="00DB750B">
          <w:pPr>
            <w:pStyle w:val="Footer"/>
            <w:jc w:val="right"/>
          </w:pPr>
          <w:r w:rsidRPr="00487162">
            <w:t xml:space="preserve">Page </w:t>
          </w:r>
          <w:r>
            <w:fldChar w:fldCharType="begin"/>
          </w:r>
          <w:r>
            <w:instrText xml:space="preserve"> PAGE  \* Arabic </w:instrText>
          </w:r>
          <w:r>
            <w:fldChar w:fldCharType="separate"/>
          </w:r>
          <w:r w:rsidR="003B0773">
            <w:rPr>
              <w:noProof/>
            </w:rPr>
            <w:t>21</w:t>
          </w:r>
          <w:r>
            <w:fldChar w:fldCharType="end"/>
          </w:r>
          <w:r w:rsidRPr="00487162">
            <w:t xml:space="preserve"> of </w:t>
          </w:r>
          <w:r w:rsidR="003B0773">
            <w:fldChar w:fldCharType="begin"/>
          </w:r>
          <w:r w:rsidR="003B0773">
            <w:instrText xml:space="preserve"> NUMPAGES  \* Arabic </w:instrText>
          </w:r>
          <w:r w:rsidR="003B0773">
            <w:fldChar w:fldCharType="separate"/>
          </w:r>
          <w:r w:rsidR="003B0773">
            <w:rPr>
              <w:noProof/>
            </w:rPr>
            <w:t>24</w:t>
          </w:r>
          <w:r w:rsidR="003B0773">
            <w:rPr>
              <w:noProof/>
            </w:rPr>
            <w:fldChar w:fldCharType="end"/>
          </w:r>
        </w:p>
      </w:tc>
    </w:tr>
  </w:tbl>
  <w:p w14:paraId="077CC19E" w14:textId="77777777" w:rsidR="00114164" w:rsidRDefault="00114164"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14164" w:rsidRPr="00487162" w14:paraId="5A4CC855" w14:textId="77777777" w:rsidTr="00E45619">
      <w:trPr>
        <w:trHeight w:val="269"/>
      </w:trPr>
      <w:tc>
        <w:tcPr>
          <w:tcW w:w="4519" w:type="dxa"/>
          <w:tcBorders>
            <w:top w:val="single" w:sz="4" w:space="0" w:color="auto"/>
          </w:tcBorders>
          <w:tcMar>
            <w:top w:w="142" w:type="dxa"/>
            <w:bottom w:w="0" w:type="dxa"/>
          </w:tcMar>
        </w:tcPr>
        <w:p w14:paraId="09852CC4" w14:textId="77777777" w:rsidR="00114164" w:rsidRPr="00487162" w:rsidRDefault="00114164" w:rsidP="00FE1DEE">
          <w:pPr>
            <w:pStyle w:val="Footer"/>
          </w:pPr>
          <w:r w:rsidRPr="00487162">
            <w:t>Document title, Part #, Section # - Section title</w:t>
          </w:r>
        </w:p>
        <w:p w14:paraId="55130CBB" w14:textId="77777777" w:rsidR="00114164" w:rsidRPr="00487162" w:rsidRDefault="00114164" w:rsidP="00FE1DEE">
          <w:pPr>
            <w:pStyle w:val="Footer"/>
          </w:pPr>
          <w:r w:rsidRPr="00487162">
            <w:t>V1.0 October 2010</w:t>
          </w:r>
        </w:p>
      </w:tc>
      <w:tc>
        <w:tcPr>
          <w:tcW w:w="4342" w:type="dxa"/>
          <w:tcBorders>
            <w:top w:val="single" w:sz="4" w:space="0" w:color="auto"/>
          </w:tcBorders>
          <w:tcMar>
            <w:top w:w="142" w:type="dxa"/>
            <w:bottom w:w="0" w:type="dxa"/>
          </w:tcMar>
        </w:tcPr>
        <w:p w14:paraId="56DC3E3F" w14:textId="77777777" w:rsidR="00114164" w:rsidRPr="00487162" w:rsidRDefault="0011416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3B0773">
            <w:fldChar w:fldCharType="begin"/>
          </w:r>
          <w:r w:rsidR="003B0773">
            <w:instrText xml:space="preserve"> NUMPAGES  </w:instrText>
          </w:r>
          <w:r w:rsidR="003B0773">
            <w:fldChar w:fldCharType="separate"/>
          </w:r>
          <w:r>
            <w:rPr>
              <w:noProof/>
            </w:rPr>
            <w:t>3</w:t>
          </w:r>
          <w:r w:rsidR="003B0773">
            <w:rPr>
              <w:noProof/>
            </w:rPr>
            <w:fldChar w:fldCharType="end"/>
          </w:r>
        </w:p>
      </w:tc>
    </w:tr>
  </w:tbl>
  <w:p w14:paraId="4EAE4FBA" w14:textId="77777777" w:rsidR="00114164" w:rsidRDefault="0011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752B" w14:textId="77777777" w:rsidR="00114164" w:rsidRPr="001C32CD" w:rsidRDefault="00114164"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14164" w14:paraId="48AB3FA9" w14:textId="77777777" w:rsidTr="0010601F">
      <w:trPr>
        <w:trHeight w:val="108"/>
      </w:trPr>
      <w:tc>
        <w:tcPr>
          <w:tcW w:w="8875" w:type="dxa"/>
          <w:gridSpan w:val="2"/>
          <w:tcBorders>
            <w:bottom w:val="single" w:sz="4" w:space="0" w:color="auto"/>
          </w:tcBorders>
          <w:tcMar>
            <w:right w:w="284" w:type="dxa"/>
          </w:tcMar>
        </w:tcPr>
        <w:p w14:paraId="6723FDC7" w14:textId="77777777" w:rsidR="00114164" w:rsidRDefault="00114164" w:rsidP="006E08B3">
          <w:pPr>
            <w:pStyle w:val="Heading3"/>
          </w:pPr>
          <w:r>
            <w:t>Copyright</w:t>
          </w:r>
        </w:p>
        <w:p w14:paraId="6ACB9CB3" w14:textId="77777777" w:rsidR="00114164" w:rsidRDefault="00114164" w:rsidP="006E08B3">
          <w:r>
            <w:rPr>
              <w:rFonts w:cs="Arial"/>
            </w:rPr>
            <w:t>©</w:t>
          </w:r>
          <w:r>
            <w:t xml:space="preserve"> Commonwealth of Australia [add year]</w:t>
          </w:r>
        </w:p>
        <w:p w14:paraId="20475DF7" w14:textId="77777777" w:rsidR="00114164" w:rsidRDefault="00114164" w:rsidP="006E08B3"/>
        <w:p w14:paraId="6CEC8599" w14:textId="77777777" w:rsidR="00114164" w:rsidRDefault="0011416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48CE399D" w14:textId="77777777" w:rsidR="00114164" w:rsidRDefault="00114164" w:rsidP="006E08B3"/>
        <w:p w14:paraId="2A851FC4" w14:textId="77777777" w:rsidR="00114164" w:rsidRDefault="00114164" w:rsidP="006E08B3">
          <w:pPr>
            <w:pStyle w:val="Heading3"/>
          </w:pPr>
          <w:r>
            <w:t>Confidentiality</w:t>
          </w:r>
        </w:p>
        <w:p w14:paraId="502072FA" w14:textId="77777777" w:rsidR="00114164" w:rsidRDefault="00114164" w:rsidP="006E08B3">
          <w:r>
            <w:t xml:space="preserve">All submissions received </w:t>
          </w:r>
          <w:proofErr w:type="gramStart"/>
          <w:r>
            <w:t>will be placed</w:t>
          </w:r>
          <w:proofErr w:type="gramEnd"/>
          <w:r>
            <w:t xml:space="preserve"> on the TGA’s Internet site, unless marked confidential. Any confidential material contained within your submission </w:t>
          </w:r>
          <w:proofErr w:type="gramStart"/>
          <w:r>
            <w:t>should be provided</w:t>
          </w:r>
          <w:proofErr w:type="gramEnd"/>
          <w:r>
            <w:t xml:space="preserve"> under a separate cover and clearly marked “IN CONFIDENCE”. Reasons for a claim to confidentiality must be included in the space provided on the TGA submission coversheet.</w:t>
          </w:r>
        </w:p>
        <w:p w14:paraId="07E7B352" w14:textId="77777777" w:rsidR="00114164" w:rsidRDefault="00114164" w:rsidP="006E08B3"/>
        <w:p w14:paraId="5ED703BD" w14:textId="77777777" w:rsidR="00114164" w:rsidRDefault="00114164" w:rsidP="006E08B3">
          <w:r>
            <w:t xml:space="preserve">For submission made by individuals, all personal details, other than your name, </w:t>
          </w:r>
          <w:proofErr w:type="gramStart"/>
          <w:r>
            <w:t>will be removed</w:t>
          </w:r>
          <w:proofErr w:type="gramEnd"/>
          <w:r>
            <w:t xml:space="preserve"> from your submission before it is published on the TGA’s Internet site.</w:t>
          </w:r>
        </w:p>
        <w:p w14:paraId="79B75747" w14:textId="77777777" w:rsidR="00114164" w:rsidRDefault="00114164" w:rsidP="006E08B3"/>
        <w:p w14:paraId="099C3509" w14:textId="77777777" w:rsidR="00114164" w:rsidRDefault="00114164" w:rsidP="006E08B3">
          <w:r>
            <w:t xml:space="preserve">In addition, a list of parties making submissions </w:t>
          </w:r>
          <w:proofErr w:type="gramStart"/>
          <w:r>
            <w:t>will be published</w:t>
          </w:r>
          <w:proofErr w:type="gramEnd"/>
          <w:r>
            <w:t xml:space="preserve">. If you do not wish to be identified with your </w:t>
          </w:r>
          <w:proofErr w:type="gramStart"/>
          <w:r>
            <w:t>submission</w:t>
          </w:r>
          <w:proofErr w:type="gramEnd"/>
          <w:r>
            <w:t xml:space="preserve"> you must specifically request this in the space provided </w:t>
          </w:r>
          <w:proofErr w:type="spellStart"/>
          <w:r>
            <w:t>ib</w:t>
          </w:r>
          <w:proofErr w:type="spellEnd"/>
          <w:r>
            <w:t xml:space="preserve"> the submission coversheet.</w:t>
          </w:r>
        </w:p>
      </w:tc>
    </w:tr>
    <w:tr w:rsidR="00114164" w14:paraId="01BB5723" w14:textId="77777777" w:rsidTr="0010601F">
      <w:trPr>
        <w:trHeight w:val="417"/>
      </w:trPr>
      <w:tc>
        <w:tcPr>
          <w:tcW w:w="4519" w:type="dxa"/>
          <w:tcBorders>
            <w:top w:val="single" w:sz="4" w:space="0" w:color="auto"/>
          </w:tcBorders>
          <w:tcMar>
            <w:top w:w="142" w:type="dxa"/>
            <w:bottom w:w="0" w:type="dxa"/>
          </w:tcMar>
        </w:tcPr>
        <w:p w14:paraId="6CB6025F" w14:textId="77777777" w:rsidR="00114164" w:rsidRDefault="00114164" w:rsidP="006E08B3">
          <w:r>
            <w:t>Document title, Part #, Section # - Section title</w:t>
          </w:r>
        </w:p>
        <w:p w14:paraId="1D85D765" w14:textId="77777777" w:rsidR="00114164" w:rsidRDefault="00114164" w:rsidP="006E08B3">
          <w:r>
            <w:t>V1.0 October 2010</w:t>
          </w:r>
        </w:p>
      </w:tc>
      <w:tc>
        <w:tcPr>
          <w:tcW w:w="4356" w:type="dxa"/>
          <w:tcBorders>
            <w:top w:val="single" w:sz="4" w:space="0" w:color="auto"/>
          </w:tcBorders>
          <w:tcMar>
            <w:top w:w="142" w:type="dxa"/>
            <w:bottom w:w="0" w:type="dxa"/>
          </w:tcMar>
        </w:tcPr>
        <w:p w14:paraId="32A51249" w14:textId="77777777" w:rsidR="00114164" w:rsidRDefault="0011416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3B0773">
            <w:fldChar w:fldCharType="begin"/>
          </w:r>
          <w:r w:rsidR="003B0773">
            <w:instrText xml:space="preserve"> NUMPAGES  \* Arabic </w:instrText>
          </w:r>
          <w:r w:rsidR="003B0773">
            <w:fldChar w:fldCharType="separate"/>
          </w:r>
          <w:r>
            <w:rPr>
              <w:noProof/>
            </w:rPr>
            <w:t>3</w:t>
          </w:r>
          <w:r w:rsidR="003B0773">
            <w:rPr>
              <w:noProof/>
            </w:rPr>
            <w:fldChar w:fldCharType="end"/>
          </w:r>
          <w:r>
            <w:t xml:space="preserve">  </w:t>
          </w:r>
        </w:p>
      </w:tc>
    </w:tr>
  </w:tbl>
  <w:p w14:paraId="0B0A7A50" w14:textId="77777777" w:rsidR="00114164" w:rsidRDefault="001141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3AF83" w14:textId="77777777" w:rsidR="00114164" w:rsidRDefault="00114164" w:rsidP="00C40A36">
      <w:pPr>
        <w:spacing w:after="0"/>
      </w:pPr>
      <w:r>
        <w:separator/>
      </w:r>
    </w:p>
  </w:footnote>
  <w:footnote w:type="continuationSeparator" w:id="0">
    <w:p w14:paraId="6BC9808B" w14:textId="77777777" w:rsidR="00114164" w:rsidRDefault="00114164" w:rsidP="00C40A36">
      <w:pPr>
        <w:spacing w:after="0"/>
      </w:pPr>
      <w:r>
        <w:continuationSeparator/>
      </w:r>
    </w:p>
  </w:footnote>
  <w:footnote w:id="1">
    <w:p w14:paraId="3A36FCC0" w14:textId="144F6674" w:rsidR="00114164" w:rsidRDefault="00114164">
      <w:pPr>
        <w:pStyle w:val="FootnoteText"/>
      </w:pPr>
      <w:r>
        <w:rPr>
          <w:rStyle w:val="FootnoteReference"/>
        </w:rPr>
        <w:footnoteRef/>
      </w:r>
      <w:r>
        <w:t xml:space="preserve"> </w:t>
      </w:r>
      <w:r w:rsidRPr="00BD52C3">
        <w:t>Cancer Council Australia. About cancer. Breast cancer. 3 January 2018. Available from: https://www.cancer.org.au/about-cancer/types-of-cancer/breast-cancer/</w:t>
      </w:r>
    </w:p>
  </w:footnote>
  <w:footnote w:id="2">
    <w:p w14:paraId="58C4A246" w14:textId="353C31EE" w:rsidR="00114164" w:rsidRDefault="00114164">
      <w:pPr>
        <w:pStyle w:val="FootnoteText"/>
      </w:pPr>
      <w:r>
        <w:rPr>
          <w:rStyle w:val="FootnoteReference"/>
        </w:rPr>
        <w:footnoteRef/>
      </w:r>
      <w:r>
        <w:t xml:space="preserve"> </w:t>
      </w:r>
      <w:proofErr w:type="spellStart"/>
      <w:r w:rsidRPr="00741A11">
        <w:t>Yarden</w:t>
      </w:r>
      <w:proofErr w:type="spellEnd"/>
      <w:r>
        <w:t>,</w:t>
      </w:r>
      <w:r w:rsidRPr="00741A11">
        <w:t xml:space="preserve"> Y</w:t>
      </w:r>
      <w:r>
        <w:t>.</w:t>
      </w:r>
      <w:r w:rsidRPr="00741A11">
        <w:t xml:space="preserve"> and </w:t>
      </w:r>
      <w:proofErr w:type="spellStart"/>
      <w:r w:rsidRPr="00741A11">
        <w:t>Sliwkowski</w:t>
      </w:r>
      <w:proofErr w:type="spellEnd"/>
      <w:r>
        <w:t xml:space="preserve">, M. </w:t>
      </w:r>
      <w:r w:rsidRPr="00741A11">
        <w:t xml:space="preserve">Untangling the </w:t>
      </w:r>
      <w:proofErr w:type="spellStart"/>
      <w:r w:rsidRPr="00741A11">
        <w:t>ErbB</w:t>
      </w:r>
      <w:proofErr w:type="spellEnd"/>
      <w:r w:rsidRPr="00741A11">
        <w:t xml:space="preserve"> signalling network. </w:t>
      </w:r>
      <w:r w:rsidRPr="00741A11">
        <w:rPr>
          <w:i/>
        </w:rPr>
        <w:t xml:space="preserve">Nat Rev </w:t>
      </w:r>
      <w:proofErr w:type="spellStart"/>
      <w:r w:rsidRPr="00741A11">
        <w:rPr>
          <w:i/>
        </w:rPr>
        <w:t>Mol</w:t>
      </w:r>
      <w:proofErr w:type="spellEnd"/>
      <w:r w:rsidRPr="00741A11">
        <w:rPr>
          <w:i/>
        </w:rPr>
        <w:t xml:space="preserve"> Cell Biol</w:t>
      </w:r>
      <w:r w:rsidRPr="00741A11">
        <w:t>. 2001; 2: 127-</w:t>
      </w:r>
      <w:r>
        <w:t>1</w:t>
      </w:r>
      <w:r w:rsidRPr="00741A11">
        <w:t>37.</w:t>
      </w:r>
    </w:p>
  </w:footnote>
  <w:footnote w:id="3">
    <w:p w14:paraId="03C6B40B" w14:textId="5221795D" w:rsidR="00114164" w:rsidRDefault="00114164" w:rsidP="00741A11">
      <w:pPr>
        <w:pStyle w:val="FootnoteText"/>
      </w:pPr>
      <w:r>
        <w:rPr>
          <w:rStyle w:val="FootnoteReference"/>
        </w:rPr>
        <w:footnoteRef/>
      </w:r>
      <w:r>
        <w:t xml:space="preserve"> </w:t>
      </w:r>
      <w:r w:rsidRPr="00741A11">
        <w:t>Burstein</w:t>
      </w:r>
      <w:r>
        <w:t>,</w:t>
      </w:r>
      <w:r w:rsidRPr="00741A11">
        <w:t xml:space="preserve"> H</w:t>
      </w:r>
      <w:r>
        <w:t xml:space="preserve">.J. </w:t>
      </w:r>
      <w:r w:rsidRPr="00741A11">
        <w:t>The Distinctive Nature of HER2-Positive Breast Cance</w:t>
      </w:r>
      <w:r>
        <w:t xml:space="preserve">rs. </w:t>
      </w:r>
      <w:r w:rsidRPr="00741A11">
        <w:rPr>
          <w:i/>
        </w:rPr>
        <w:t xml:space="preserve">N </w:t>
      </w:r>
      <w:proofErr w:type="spellStart"/>
      <w:r w:rsidRPr="00741A11">
        <w:rPr>
          <w:i/>
        </w:rPr>
        <w:t>Engl</w:t>
      </w:r>
      <w:proofErr w:type="spellEnd"/>
      <w:r w:rsidRPr="00741A11">
        <w:rPr>
          <w:i/>
        </w:rPr>
        <w:t xml:space="preserve"> J Med</w:t>
      </w:r>
      <w:r>
        <w:t>. 2005; 353</w:t>
      </w:r>
      <w:r w:rsidRPr="00741A11">
        <w:t>: 1652-</w:t>
      </w:r>
      <w:r>
        <w:t>165</w:t>
      </w:r>
      <w:r w:rsidRPr="00741A11">
        <w:t>4.</w:t>
      </w:r>
    </w:p>
  </w:footnote>
  <w:footnote w:id="4">
    <w:p w14:paraId="3BD6DBBA" w14:textId="1327D2B4" w:rsidR="00114164" w:rsidRDefault="00114164">
      <w:pPr>
        <w:pStyle w:val="FootnoteText"/>
      </w:pPr>
      <w:r>
        <w:rPr>
          <w:rStyle w:val="FootnoteReference"/>
        </w:rPr>
        <w:footnoteRef/>
      </w:r>
      <w:r>
        <w:t xml:space="preserve"> </w:t>
      </w:r>
      <w:proofErr w:type="spellStart"/>
      <w:r>
        <w:t>Slamon</w:t>
      </w:r>
      <w:proofErr w:type="spellEnd"/>
      <w:r>
        <w:t xml:space="preserve">, D.J. </w:t>
      </w:r>
      <w:r w:rsidRPr="00741A11">
        <w:t>et al. Human breast cancer: correlation of relapse and survival with amplification of the HER-2/</w:t>
      </w:r>
      <w:proofErr w:type="spellStart"/>
      <w:r w:rsidRPr="00741A11">
        <w:t>neu</w:t>
      </w:r>
      <w:proofErr w:type="spellEnd"/>
      <w:r w:rsidRPr="00741A11">
        <w:t xml:space="preserve"> oncogene. </w:t>
      </w:r>
      <w:r w:rsidRPr="00741A11">
        <w:rPr>
          <w:i/>
        </w:rPr>
        <w:t>Science</w:t>
      </w:r>
      <w:r w:rsidRPr="00741A11">
        <w:t>. 1987; 235: 177–</w:t>
      </w:r>
      <w:r>
        <w:t>1</w:t>
      </w:r>
      <w:r w:rsidRPr="00741A11">
        <w:t>82</w:t>
      </w:r>
      <w:r>
        <w:t>.</w:t>
      </w:r>
    </w:p>
  </w:footnote>
  <w:footnote w:id="5">
    <w:p w14:paraId="6BF752DE" w14:textId="3203B57F" w:rsidR="00114164" w:rsidRDefault="00114164">
      <w:pPr>
        <w:pStyle w:val="FootnoteText"/>
      </w:pPr>
      <w:r>
        <w:rPr>
          <w:rStyle w:val="FootnoteReference"/>
        </w:rPr>
        <w:footnoteRef/>
      </w:r>
      <w:r>
        <w:t xml:space="preserve"> </w:t>
      </w:r>
      <w:r w:rsidRPr="00741A11">
        <w:t>National Comprehensive Cancer Network (NCCN). NCCN Clinical Practice Guidelines in Oncology – Breast Cancer. Version I.2018. 20 March 2018.</w:t>
      </w:r>
    </w:p>
  </w:footnote>
  <w:footnote w:id="6">
    <w:p w14:paraId="29712F18" w14:textId="5F1655F1" w:rsidR="00114164" w:rsidRDefault="00114164">
      <w:pPr>
        <w:pStyle w:val="FootnoteText"/>
      </w:pPr>
      <w:r>
        <w:rPr>
          <w:rStyle w:val="FootnoteReference"/>
        </w:rPr>
        <w:footnoteRef/>
      </w:r>
      <w:r>
        <w:t xml:space="preserve"> </w:t>
      </w:r>
      <w:proofErr w:type="spellStart"/>
      <w:r w:rsidRPr="00741A11">
        <w:t>Senkus</w:t>
      </w:r>
      <w:proofErr w:type="spellEnd"/>
      <w:r>
        <w:t>, E.</w:t>
      </w:r>
      <w:r w:rsidRPr="00741A11">
        <w:t xml:space="preserve"> et al. Primary breast cancer: ESMO Clinical Practice Guidelines for diagnosis, treatment and follow-up. </w:t>
      </w:r>
      <w:r w:rsidRPr="003C3871">
        <w:rPr>
          <w:i/>
        </w:rPr>
        <w:t xml:space="preserve">Ann </w:t>
      </w:r>
      <w:proofErr w:type="spellStart"/>
      <w:r w:rsidRPr="003C3871">
        <w:rPr>
          <w:i/>
        </w:rPr>
        <w:t>Oncol</w:t>
      </w:r>
      <w:proofErr w:type="spellEnd"/>
      <w:r w:rsidRPr="00741A11">
        <w:t xml:space="preserve">. 2015; 26 </w:t>
      </w:r>
      <w:proofErr w:type="spellStart"/>
      <w:r w:rsidRPr="00741A11">
        <w:t>Suppl</w:t>
      </w:r>
      <w:proofErr w:type="spellEnd"/>
      <w:r w:rsidRPr="00741A11">
        <w:t xml:space="preserve"> 5: v8-30.</w:t>
      </w:r>
    </w:p>
  </w:footnote>
  <w:footnote w:id="7">
    <w:p w14:paraId="1103A2F4" w14:textId="06261B5C" w:rsidR="00114164" w:rsidRDefault="00114164">
      <w:pPr>
        <w:pStyle w:val="FootnoteText"/>
      </w:pPr>
      <w:r>
        <w:rPr>
          <w:rStyle w:val="FootnoteReference"/>
        </w:rPr>
        <w:footnoteRef/>
      </w:r>
      <w:r>
        <w:t xml:space="preserve"> </w:t>
      </w:r>
      <w:proofErr w:type="spellStart"/>
      <w:r>
        <w:t>Denduluri</w:t>
      </w:r>
      <w:proofErr w:type="spellEnd"/>
      <w:r>
        <w:t xml:space="preserve">, N. </w:t>
      </w:r>
      <w:r w:rsidRPr="003C3871">
        <w:t>et al. Selection of Optimal Adjuvant Chemotherapy Regimens for Human Epidermal Growth Factor Receptor 2 (HER2) -Negative and Adjuvant Targeted Therapy for HER2-Positive Breast Cancers: An American Society of Clinical Oncology Guideline Adaptation of the Cancer Care Ontario Clinical Practice Guideline</w:t>
      </w:r>
      <w:r w:rsidRPr="003C3871">
        <w:rPr>
          <w:i/>
        </w:rPr>
        <w:t xml:space="preserve">. J </w:t>
      </w:r>
      <w:proofErr w:type="spellStart"/>
      <w:r w:rsidRPr="003C3871">
        <w:rPr>
          <w:i/>
        </w:rPr>
        <w:t>Clin</w:t>
      </w:r>
      <w:proofErr w:type="spellEnd"/>
      <w:r w:rsidRPr="003C3871">
        <w:rPr>
          <w:i/>
        </w:rPr>
        <w:t xml:space="preserve"> </w:t>
      </w:r>
      <w:proofErr w:type="spellStart"/>
      <w:r w:rsidRPr="003C3871">
        <w:rPr>
          <w:i/>
        </w:rPr>
        <w:t>Oncol</w:t>
      </w:r>
      <w:proofErr w:type="spellEnd"/>
      <w:r w:rsidRPr="003C3871">
        <w:t>. 2016</w:t>
      </w:r>
      <w:proofErr w:type="gramStart"/>
      <w:r w:rsidRPr="003C3871">
        <w:t>;</w:t>
      </w:r>
      <w:proofErr w:type="gramEnd"/>
      <w:r w:rsidRPr="003C3871">
        <w:t xml:space="preserve"> 34 (20): 2416-</w:t>
      </w:r>
      <w:r>
        <w:t>24</w:t>
      </w:r>
      <w:r w:rsidRPr="003C3871">
        <w:t>27.</w:t>
      </w:r>
    </w:p>
  </w:footnote>
  <w:footnote w:id="8">
    <w:p w14:paraId="2910D35A" w14:textId="697A8FE8" w:rsidR="00114164" w:rsidRDefault="00114164">
      <w:pPr>
        <w:pStyle w:val="FootnoteText"/>
      </w:pPr>
      <w:r>
        <w:rPr>
          <w:rStyle w:val="FootnoteReference"/>
        </w:rPr>
        <w:footnoteRef/>
      </w:r>
      <w:r>
        <w:t xml:space="preserve"> </w:t>
      </w:r>
      <w:proofErr w:type="spellStart"/>
      <w:r w:rsidRPr="003C3871">
        <w:t>Schettini</w:t>
      </w:r>
      <w:proofErr w:type="spellEnd"/>
      <w:r>
        <w:t>, F.</w:t>
      </w:r>
      <w:r w:rsidRPr="003C3871">
        <w:t xml:space="preserve"> et al. Hormone Receptor/Human Epidermal Growth Factor Receptor 2-positive breast cancer: Where we are now and where we are going. </w:t>
      </w:r>
      <w:r w:rsidRPr="003C3871">
        <w:rPr>
          <w:i/>
        </w:rPr>
        <w:t>Cancer Treat Rev</w:t>
      </w:r>
      <w:r w:rsidRPr="003C3871">
        <w:t>. 2016; 46: 20-</w:t>
      </w:r>
      <w:r>
        <w:t>2</w:t>
      </w:r>
      <w:r w:rsidRPr="003C3871">
        <w:t>6</w:t>
      </w:r>
      <w:r>
        <w:t>.</w:t>
      </w:r>
    </w:p>
  </w:footnote>
  <w:footnote w:id="9">
    <w:p w14:paraId="25E93936" w14:textId="21741DD0" w:rsidR="00114164" w:rsidRDefault="00114164">
      <w:pPr>
        <w:pStyle w:val="FootnoteText"/>
      </w:pPr>
      <w:r>
        <w:rPr>
          <w:rStyle w:val="FootnoteReference"/>
        </w:rPr>
        <w:footnoteRef/>
      </w:r>
      <w:r>
        <w:t xml:space="preserve"> </w:t>
      </w:r>
      <w:r w:rsidR="009B75E0">
        <w:t>Sponsor clarification: t</w:t>
      </w:r>
      <w:r>
        <w:t xml:space="preserve">o </w:t>
      </w:r>
      <w:proofErr w:type="gramStart"/>
      <w:r>
        <w:t>be addressed</w:t>
      </w:r>
      <w:proofErr w:type="gramEnd"/>
      <w:r>
        <w:t xml:space="preserve"> in a subsequent submission.</w:t>
      </w:r>
    </w:p>
  </w:footnote>
  <w:footnote w:id="10">
    <w:p w14:paraId="2A605C62" w14:textId="4F566116" w:rsidR="00114164" w:rsidRDefault="00114164">
      <w:pPr>
        <w:pStyle w:val="FootnoteText"/>
      </w:pPr>
      <w:r>
        <w:rPr>
          <w:rStyle w:val="FootnoteReference"/>
        </w:rPr>
        <w:footnoteRef/>
      </w:r>
      <w:r>
        <w:t xml:space="preserve"> European Medicines Agency, Summary of Product Characteristics, </w:t>
      </w:r>
      <w:proofErr w:type="spellStart"/>
      <w:r>
        <w:t>Nerlynx</w:t>
      </w:r>
      <w:proofErr w:type="spellEnd"/>
      <w:r>
        <w:t xml:space="preserve"> (</w:t>
      </w:r>
      <w:proofErr w:type="spellStart"/>
      <w:r w:rsidRPr="00AC74A8">
        <w:t>neratinib</w:t>
      </w:r>
      <w:proofErr w:type="spellEnd"/>
      <w:r w:rsidRPr="00AC74A8">
        <w:t xml:space="preserve"> maleate</w:t>
      </w:r>
      <w:r>
        <w:t xml:space="preserve">) 40 mg film-coated tablets. </w:t>
      </w:r>
      <w:r w:rsidRPr="00AC74A8">
        <w:t>Da</w:t>
      </w:r>
      <w:r>
        <w:t xml:space="preserve">te of first authorisation: 31 </w:t>
      </w:r>
      <w:r w:rsidRPr="00AC74A8">
        <w:t>August 2018</w:t>
      </w:r>
      <w:r>
        <w:t>.</w:t>
      </w:r>
    </w:p>
  </w:footnote>
  <w:footnote w:id="11">
    <w:p w14:paraId="6FACAF65" w14:textId="4BCC31BB" w:rsidR="00114164" w:rsidRDefault="00114164" w:rsidP="00826D5B">
      <w:pPr>
        <w:pStyle w:val="FootnoteText"/>
      </w:pPr>
      <w:r>
        <w:rPr>
          <w:rStyle w:val="FootnoteReference"/>
        </w:rPr>
        <w:footnoteRef/>
      </w:r>
      <w:r>
        <w:t xml:space="preserve"> Chan et al. (2016). </w:t>
      </w:r>
      <w:proofErr w:type="spellStart"/>
      <w:r>
        <w:t>Neratinib</w:t>
      </w:r>
      <w:proofErr w:type="spellEnd"/>
      <w:r>
        <w:t xml:space="preserve"> after </w:t>
      </w:r>
      <w:proofErr w:type="spellStart"/>
      <w:r>
        <w:t>trastuzumab</w:t>
      </w:r>
      <w:proofErr w:type="spellEnd"/>
      <w:r>
        <w:t>-based adjuvant therapy in patients with HER2-positive breast cancer (</w:t>
      </w:r>
      <w:proofErr w:type="spellStart"/>
      <w:r>
        <w:t>ExteNET</w:t>
      </w:r>
      <w:proofErr w:type="spellEnd"/>
      <w:r>
        <w:t xml:space="preserve">): a multicentre, randomised, </w:t>
      </w:r>
      <w:proofErr w:type="gramStart"/>
      <w:r>
        <w:t>double-blind</w:t>
      </w:r>
      <w:proofErr w:type="gramEnd"/>
      <w:r>
        <w:t>, placebo-controlled, phase 3 trial.</w:t>
      </w:r>
      <w:r w:rsidRPr="00826D5B">
        <w:t xml:space="preserve"> </w:t>
      </w:r>
      <w:r w:rsidRPr="00826D5B">
        <w:rPr>
          <w:i/>
        </w:rPr>
        <w:t xml:space="preserve">Lancet </w:t>
      </w:r>
      <w:proofErr w:type="spellStart"/>
      <w:r w:rsidRPr="00826D5B">
        <w:rPr>
          <w:i/>
        </w:rPr>
        <w:t>Oncol</w:t>
      </w:r>
      <w:proofErr w:type="spellEnd"/>
      <w:r>
        <w:t>,</w:t>
      </w:r>
      <w:r w:rsidRPr="00826D5B">
        <w:t xml:space="preserve"> 2016; 17: 367–</w:t>
      </w:r>
      <w:r>
        <w:t>3</w:t>
      </w:r>
      <w:r w:rsidRPr="00826D5B">
        <w:t>77</w:t>
      </w:r>
      <w:r>
        <w:t>.</w:t>
      </w:r>
    </w:p>
  </w:footnote>
  <w:footnote w:id="12">
    <w:p w14:paraId="3C8F96FD" w14:textId="05AE1EC6" w:rsidR="00114164" w:rsidRDefault="00114164">
      <w:pPr>
        <w:pStyle w:val="FootnoteText"/>
      </w:pPr>
      <w:r>
        <w:rPr>
          <w:rStyle w:val="FootnoteReference"/>
        </w:rPr>
        <w:footnoteRef/>
      </w:r>
      <w:r>
        <w:t xml:space="preserve"> 1-sided p value = 0.004.</w:t>
      </w:r>
    </w:p>
  </w:footnote>
  <w:footnote w:id="13">
    <w:p w14:paraId="433F5E70" w14:textId="570310D3" w:rsidR="00114164" w:rsidRDefault="00114164" w:rsidP="00826D5B">
      <w:pPr>
        <w:pStyle w:val="FootnoteText"/>
      </w:pPr>
      <w:r>
        <w:rPr>
          <w:rStyle w:val="FootnoteReference"/>
        </w:rPr>
        <w:footnoteRef/>
      </w:r>
      <w:r>
        <w:t xml:space="preserve"> Martin, M. et al (2017). </w:t>
      </w:r>
      <w:proofErr w:type="spellStart"/>
      <w:r>
        <w:t>Neratinib</w:t>
      </w:r>
      <w:proofErr w:type="spellEnd"/>
      <w:r>
        <w:t xml:space="preserve"> after </w:t>
      </w:r>
      <w:proofErr w:type="spellStart"/>
      <w:r>
        <w:t>trastuzumab</w:t>
      </w:r>
      <w:proofErr w:type="spellEnd"/>
      <w:r>
        <w:t>-based adjuvant therapy in HER2-positive breast cancer (</w:t>
      </w:r>
      <w:proofErr w:type="spellStart"/>
      <w:r>
        <w:t>ExteNET</w:t>
      </w:r>
      <w:proofErr w:type="spellEnd"/>
      <w:r>
        <w:t xml:space="preserve">): 5-year analysis of a randomised, </w:t>
      </w:r>
      <w:proofErr w:type="gramStart"/>
      <w:r>
        <w:t>double-blind</w:t>
      </w:r>
      <w:proofErr w:type="gramEnd"/>
      <w:r>
        <w:t xml:space="preserve">, placebo-controlled, phase 3 trial, </w:t>
      </w:r>
      <w:r w:rsidRPr="00826D5B">
        <w:rPr>
          <w:i/>
        </w:rPr>
        <w:t xml:space="preserve">Lancet </w:t>
      </w:r>
      <w:proofErr w:type="spellStart"/>
      <w:r w:rsidRPr="00826D5B">
        <w:rPr>
          <w:i/>
        </w:rPr>
        <w:t>Oncol</w:t>
      </w:r>
      <w:proofErr w:type="spellEnd"/>
      <w:r>
        <w:t>, 2017</w:t>
      </w:r>
      <w:r w:rsidRPr="00215D18">
        <w:t>;</w:t>
      </w:r>
      <w:r>
        <w:t xml:space="preserve"> </w:t>
      </w:r>
      <w:r w:rsidRPr="00215D18">
        <w:t>18(12):</w:t>
      </w:r>
      <w:r>
        <w:t xml:space="preserve"> </w:t>
      </w:r>
      <w:r w:rsidRPr="00215D18">
        <w:t>1688-1700</w:t>
      </w:r>
      <w:r>
        <w:t>.</w:t>
      </w:r>
    </w:p>
  </w:footnote>
  <w:footnote w:id="14">
    <w:p w14:paraId="04C5CC15" w14:textId="6A3884CF" w:rsidR="00114164" w:rsidRDefault="00114164">
      <w:pPr>
        <w:pStyle w:val="FootnoteText"/>
      </w:pPr>
      <w:r>
        <w:rPr>
          <w:rStyle w:val="FootnoteReference"/>
        </w:rPr>
        <w:footnoteRef/>
      </w:r>
      <w:r>
        <w:t xml:space="preserve"> European Medicines Agency, European Public Assessment Report (EPAR), Assessment report: </w:t>
      </w:r>
      <w:proofErr w:type="spellStart"/>
      <w:r>
        <w:t>Nerlynx</w:t>
      </w:r>
      <w:proofErr w:type="spellEnd"/>
      <w:r>
        <w:t>, 13 July 2018. Accessed from the EMA website.</w:t>
      </w:r>
    </w:p>
  </w:footnote>
  <w:footnote w:id="15">
    <w:p w14:paraId="5EB13992" w14:textId="2E06F398" w:rsidR="00114164" w:rsidRDefault="00114164">
      <w:pPr>
        <w:pStyle w:val="FootnoteText"/>
      </w:pPr>
      <w:r>
        <w:rPr>
          <w:rStyle w:val="FootnoteReference"/>
        </w:rPr>
        <w:footnoteRef/>
      </w:r>
      <w:r>
        <w:t xml:space="preserve"> EMA, Guidance on the format of the risk management plan (RMP) in the EU – in integrated format, EMA/PRAC/613102/2015 Rev.2 accompanying GVP Module V Rev.2, 30 March 2017.</w:t>
      </w:r>
    </w:p>
  </w:footnote>
  <w:footnote w:id="16">
    <w:p w14:paraId="3523846D" w14:textId="6ABBC24A" w:rsidR="00114164" w:rsidRDefault="00114164">
      <w:pPr>
        <w:pStyle w:val="FootnoteText"/>
      </w:pPr>
      <w:r>
        <w:rPr>
          <w:rStyle w:val="FootnoteReference"/>
        </w:rPr>
        <w:footnoteRef/>
      </w:r>
      <w:r>
        <w:t xml:space="preserve"> </w:t>
      </w:r>
      <w:r w:rsidRPr="0082175D">
        <w:t>ASA, V1.2, April 2019</w:t>
      </w:r>
      <w:r>
        <w:t xml:space="preserve"> was submitted by the sponsor post-approval</w:t>
      </w:r>
      <w:r w:rsidRPr="00114164">
        <w:t xml:space="preserve">, as agreed between sponsor and the TGA as part of evaluation </w:t>
      </w:r>
      <w:proofErr w:type="gramStart"/>
      <w:r w:rsidRPr="00114164">
        <w:t>close-out</w:t>
      </w:r>
      <w:proofErr w:type="gramEnd"/>
      <w:r w:rsidRPr="00114164">
        <w:t xml:space="preserve"> sequence</w:t>
      </w:r>
      <w:r>
        <w:t>.</w:t>
      </w:r>
    </w:p>
  </w:footnote>
  <w:footnote w:id="17">
    <w:p w14:paraId="52FE6C95" w14:textId="77777777" w:rsidR="00114164" w:rsidRDefault="00114164" w:rsidP="00887F1D">
      <w:pPr>
        <w:pStyle w:val="FootnoteText"/>
      </w:pPr>
      <w:r>
        <w:rPr>
          <w:rStyle w:val="FootnoteReference"/>
        </w:rPr>
        <w:footnoteRef/>
      </w:r>
      <w:r>
        <w:t xml:space="preserve"> </w:t>
      </w:r>
      <w:r w:rsidRPr="00F12492">
        <w:rPr>
          <w:i/>
        </w:rPr>
        <w:t>Routine risk minimisation</w:t>
      </w:r>
      <w:r>
        <w:t xml:space="preserve"> activities may be limited to ensuring that suitable warnings are included in the product information or by careful use of labelling and packaging.</w:t>
      </w:r>
    </w:p>
    <w:p w14:paraId="05987B0E" w14:textId="77777777" w:rsidR="00114164" w:rsidRDefault="00114164" w:rsidP="00887F1D">
      <w:pPr>
        <w:pStyle w:val="FootnoteText"/>
      </w:pPr>
      <w:r w:rsidRPr="00F12492">
        <w:rPr>
          <w:i/>
        </w:rPr>
        <w:t>Routine pharmacovigilance</w:t>
      </w:r>
      <w:r>
        <w:t xml:space="preserve"> practices involve the following activities:</w:t>
      </w:r>
    </w:p>
    <w:p w14:paraId="45B58347" w14:textId="77777777" w:rsidR="00114164" w:rsidRDefault="00114164" w:rsidP="00887F1D">
      <w:pPr>
        <w:pStyle w:val="FootnoteText"/>
        <w:numPr>
          <w:ilvl w:val="0"/>
          <w:numId w:val="28"/>
        </w:numPr>
      </w:pPr>
      <w:r>
        <w:t>All suspected adverse reactions that are reported to the personnel of the company are collected and collated in an accessible manner;</w:t>
      </w:r>
    </w:p>
    <w:p w14:paraId="5F7A27AA" w14:textId="77777777" w:rsidR="00114164" w:rsidRDefault="00114164" w:rsidP="00887F1D">
      <w:pPr>
        <w:pStyle w:val="FootnoteText"/>
        <w:numPr>
          <w:ilvl w:val="0"/>
          <w:numId w:val="28"/>
        </w:numPr>
      </w:pPr>
      <w:r>
        <w:t>Reporting to regulatory authorities;</w:t>
      </w:r>
    </w:p>
    <w:p w14:paraId="6C507BAC" w14:textId="77777777" w:rsidR="00114164" w:rsidRDefault="00114164" w:rsidP="00887F1D">
      <w:pPr>
        <w:pStyle w:val="FootnoteText"/>
        <w:numPr>
          <w:ilvl w:val="0"/>
          <w:numId w:val="28"/>
        </w:numPr>
      </w:pPr>
      <w:r>
        <w:t>Continuous monitoring of the safety profiles of approved products including signal detection and updating of labelling;</w:t>
      </w:r>
    </w:p>
    <w:p w14:paraId="66A56A4C" w14:textId="77777777" w:rsidR="00114164" w:rsidRDefault="00114164" w:rsidP="00887F1D">
      <w:pPr>
        <w:pStyle w:val="FootnoteText"/>
        <w:numPr>
          <w:ilvl w:val="0"/>
          <w:numId w:val="28"/>
        </w:numPr>
      </w:pPr>
      <w:r>
        <w:t>Submission of PSURs;</w:t>
      </w:r>
    </w:p>
    <w:p w14:paraId="72EBC657" w14:textId="77777777" w:rsidR="00114164" w:rsidRPr="00F12492" w:rsidRDefault="00114164" w:rsidP="00887F1D">
      <w:pPr>
        <w:pStyle w:val="FootnoteText"/>
        <w:numPr>
          <w:ilvl w:val="0"/>
          <w:numId w:val="28"/>
        </w:numPr>
        <w:rPr>
          <w:lang w:val="en-US"/>
        </w:rPr>
      </w:pPr>
      <w:r>
        <w:t>Meeting other local regulatory agency requirements.</w:t>
      </w:r>
    </w:p>
  </w:footnote>
  <w:footnote w:id="18">
    <w:p w14:paraId="38ADA9EF" w14:textId="42799B0D" w:rsidR="00114164" w:rsidRDefault="00114164">
      <w:pPr>
        <w:pStyle w:val="FootnoteText"/>
      </w:pPr>
      <w:r>
        <w:rPr>
          <w:rStyle w:val="FootnoteReference"/>
        </w:rPr>
        <w:footnoteRef/>
      </w:r>
      <w:r>
        <w:t xml:space="preserve"> The draft HCP and patient materials </w:t>
      </w:r>
      <w:proofErr w:type="gramStart"/>
      <w:r>
        <w:t>were subsequently submitted to the TGA and considered acceptable from an RMP perspective</w:t>
      </w:r>
      <w:proofErr w:type="gramEnd"/>
      <w:r>
        <w:t>.</w:t>
      </w:r>
    </w:p>
  </w:footnote>
  <w:footnote w:id="19">
    <w:p w14:paraId="70D98556" w14:textId="531F29C9" w:rsidR="00114164" w:rsidRDefault="00114164">
      <w:pPr>
        <w:pStyle w:val="FootnoteText"/>
      </w:pPr>
      <w:r>
        <w:rPr>
          <w:rStyle w:val="FootnoteReference"/>
        </w:rPr>
        <w:footnoteRef/>
      </w:r>
      <w:r>
        <w:t xml:space="preserve"> </w:t>
      </w:r>
      <w:r w:rsidRPr="005A6621">
        <w:t>ClinicalTrials.gov Identifier: NCT02400476</w:t>
      </w:r>
      <w:r>
        <w:t xml:space="preserve">. </w:t>
      </w:r>
      <w:r w:rsidRPr="005A6621">
        <w:t xml:space="preserve">An Open-Label Study to Characterize the Incidence and Severity of </w:t>
      </w:r>
      <w:proofErr w:type="spellStart"/>
      <w:r w:rsidRPr="005A6621">
        <w:t>Diarrhea</w:t>
      </w:r>
      <w:proofErr w:type="spellEnd"/>
      <w:r w:rsidRPr="005A6621">
        <w:t xml:space="preserve"> in Patients With Early-Stage HER2+ Breast Cancer Treated With </w:t>
      </w:r>
      <w:proofErr w:type="spellStart"/>
      <w:r w:rsidRPr="005A6621">
        <w:t>Neratinib</w:t>
      </w:r>
      <w:proofErr w:type="spellEnd"/>
      <w:r w:rsidRPr="005A6621">
        <w:t xml:space="preserve"> and </w:t>
      </w:r>
      <w:proofErr w:type="spellStart"/>
      <w:r w:rsidRPr="005A6621">
        <w:t>Loperamide</w:t>
      </w:r>
      <w:proofErr w:type="spellEnd"/>
      <w:r>
        <w:t>. Accessed from the ClinicalTrials.gov website.</w:t>
      </w:r>
    </w:p>
  </w:footnote>
  <w:footnote w:id="20">
    <w:p w14:paraId="39949F50" w14:textId="3C5BB1EE" w:rsidR="00114164" w:rsidRDefault="00114164" w:rsidP="000A75A1">
      <w:pPr>
        <w:pStyle w:val="FootnoteText"/>
      </w:pPr>
      <w:r>
        <w:rPr>
          <w:rStyle w:val="FootnoteReference"/>
        </w:rPr>
        <w:footnoteRef/>
      </w:r>
      <w:r>
        <w:t xml:space="preserve"> FDA, </w:t>
      </w:r>
      <w:proofErr w:type="spellStart"/>
      <w:r>
        <w:t>Center</w:t>
      </w:r>
      <w:proofErr w:type="spellEnd"/>
      <w:r>
        <w:t xml:space="preserve"> for Drug Evaluation and Research, Multi-Discipline Review/Summary, Clinical, Non-Clinical, application number: 208051Orig1s000, </w:t>
      </w:r>
      <w:proofErr w:type="spellStart"/>
      <w:r>
        <w:t>Nelynx</w:t>
      </w:r>
      <w:proofErr w:type="spellEnd"/>
      <w:r>
        <w:t xml:space="preserve"> (</w:t>
      </w:r>
      <w:proofErr w:type="spellStart"/>
      <w:r>
        <w:t>neratinib</w:t>
      </w:r>
      <w:proofErr w:type="spellEnd"/>
      <w:r>
        <w:t xml:space="preserve"> maleate). Available from the FDA website.</w:t>
      </w:r>
    </w:p>
  </w:footnote>
  <w:footnote w:id="21">
    <w:p w14:paraId="5A24E48D" w14:textId="77777777" w:rsidR="00114164" w:rsidRDefault="00114164"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5460D342" w14:textId="77777777" w:rsidR="00114164" w:rsidRPr="00456765" w:rsidRDefault="00114164" w:rsidP="00456765">
      <w:pPr>
        <w:pStyle w:val="FootnoteText"/>
        <w:rPr>
          <w:lang w:val="en-US"/>
        </w:rPr>
      </w:pPr>
      <w:r>
        <w:t xml:space="preserve">The Committee </w:t>
      </w:r>
      <w:proofErr w:type="gramStart"/>
      <w:r>
        <w:t>is established</w:t>
      </w:r>
      <w:proofErr w:type="gramEnd"/>
      <w:r>
        <w:t xml:space="preserve"> under Regulation 35 of the Therapeutic Goods Regulations 1990. </w:t>
      </w:r>
      <w:proofErr w:type="gramStart"/>
      <w:r>
        <w:t>Members are appointed by the Minister</w:t>
      </w:r>
      <w:proofErr w:type="gramEnd"/>
      <w:r>
        <w:t xml:space="preserve">. The ACM was established in January 2017 replacing </w:t>
      </w:r>
      <w:r w:rsidRPr="009E0C19">
        <w:t>Advisory Committee on Prescription Medicines (ACPM</w:t>
      </w:r>
      <w:proofErr w:type="gramStart"/>
      <w:r w:rsidRPr="009E0C19">
        <w:t xml:space="preserve">) </w:t>
      </w:r>
      <w:r>
        <w:t>which</w:t>
      </w:r>
      <w:proofErr w:type="gramEnd"/>
      <w:r>
        <w:t xml:space="preserve">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 w:id="22">
    <w:p w14:paraId="43CEF05F" w14:textId="1996AFB6" w:rsidR="00114164" w:rsidRDefault="00114164" w:rsidP="00612466">
      <w:pPr>
        <w:pStyle w:val="FootnoteText"/>
      </w:pPr>
      <w:r>
        <w:rPr>
          <w:rStyle w:val="FootnoteReference"/>
        </w:rPr>
        <w:footnoteRef/>
      </w:r>
      <w:r>
        <w:t xml:space="preserve"> </w:t>
      </w:r>
      <w:r w:rsidRPr="0082175D">
        <w:t>ASA, V1.2, April 2019</w:t>
      </w:r>
      <w:r>
        <w:t xml:space="preserve"> was submitted by the sponsor post-approval, </w:t>
      </w:r>
      <w:r w:rsidRPr="00114164">
        <w:t xml:space="preserve">as agreed between sponsor and the TGA as part of evaluation </w:t>
      </w:r>
      <w:proofErr w:type="gramStart"/>
      <w:r w:rsidRPr="00114164">
        <w:t>close-out</w:t>
      </w:r>
      <w:proofErr w:type="gramEnd"/>
      <w:r w:rsidRPr="00114164">
        <w:t xml:space="preserve"> sequence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39F7" w14:textId="77777777" w:rsidR="00114164" w:rsidRDefault="00114164"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E5F8" w14:textId="77777777" w:rsidR="00114164" w:rsidRDefault="00114164">
    <w:pPr>
      <w:rPr>
        <w:noProof/>
        <w:lang w:eastAsia="en-AU"/>
      </w:rPr>
    </w:pPr>
    <w:r w:rsidRPr="00347824">
      <w:rPr>
        <w:noProof/>
        <w:lang w:eastAsia="en-AU"/>
      </w:rPr>
      <w:drawing>
        <wp:anchor distT="0" distB="0" distL="114300" distR="114300" simplePos="0" relativeHeight="251659264" behindDoc="1" locked="0" layoutInCell="1" allowOverlap="1" wp14:anchorId="3B666EC8" wp14:editId="63B4D4E5">
          <wp:simplePos x="0" y="0"/>
          <wp:positionH relativeFrom="column">
            <wp:posOffset>-1089660</wp:posOffset>
          </wp:positionH>
          <wp:positionV relativeFrom="paragraph">
            <wp:posOffset>-585470</wp:posOffset>
          </wp:positionV>
          <wp:extent cx="7572375" cy="10706100"/>
          <wp:effectExtent l="19050" t="0" r="0" b="0"/>
          <wp:wrapNone/>
          <wp:docPr id="1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162F329D" w14:textId="79C8B910" w:rsidR="00114164" w:rsidRDefault="00114164"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BCEA" w14:textId="77777777" w:rsidR="00114164" w:rsidRDefault="001141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9A61" w14:textId="77777777" w:rsidR="00114164" w:rsidRDefault="00114164">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1EDF" w14:textId="77777777" w:rsidR="00114164" w:rsidRDefault="00114164">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8885" w14:textId="77777777" w:rsidR="00114164" w:rsidRDefault="001141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83C1" w14:textId="77777777" w:rsidR="00114164" w:rsidRDefault="00114164"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119F" w14:textId="77777777" w:rsidR="00114164" w:rsidRDefault="00114164" w:rsidP="006E08B3">
    <w:r>
      <w:t>Therapeutic Goods Administration</w:t>
    </w:r>
  </w:p>
  <w:p w14:paraId="56A4C76B" w14:textId="77777777" w:rsidR="00114164" w:rsidRDefault="00114164"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1E8DE7A"/>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D834F41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AFD43EC"/>
    <w:multiLevelType w:val="hybridMultilevel"/>
    <w:tmpl w:val="EA9E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8F13E9"/>
    <w:multiLevelType w:val="multilevel"/>
    <w:tmpl w:val="79EE4204"/>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A2F5700"/>
    <w:multiLevelType w:val="hybridMultilevel"/>
    <w:tmpl w:val="871A8600"/>
    <w:lvl w:ilvl="0" w:tplc="86DACC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640EE4"/>
    <w:multiLevelType w:val="hybridMultilevel"/>
    <w:tmpl w:val="F20683FA"/>
    <w:lvl w:ilvl="0" w:tplc="55948326">
      <w:start w:val="1"/>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6"/>
  </w:num>
  <w:num w:numId="17">
    <w:abstractNumId w:val="6"/>
  </w:num>
  <w:num w:numId="18">
    <w:abstractNumId w:val="6"/>
  </w:num>
  <w:num w:numId="19">
    <w:abstractNumId w:val="7"/>
  </w:num>
  <w:num w:numId="20">
    <w:abstractNumId w:val="7"/>
  </w:num>
  <w:num w:numId="21">
    <w:abstractNumId w:val="7"/>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0"/>
  </w:num>
  <w:num w:numId="28">
    <w:abstractNumId w:val="12"/>
  </w:num>
  <w:num w:numId="29">
    <w:abstractNumId w:val="7"/>
    <w:lvlOverride w:ilvl="0">
      <w:lvl w:ilvl="0">
        <w:start w:val="1"/>
        <w:numFmt w:val="bullet"/>
        <w:pStyle w:val="ListBullet"/>
        <w:lvlText w:val=""/>
        <w:lvlJc w:val="left"/>
        <w:pPr>
          <w:ind w:left="360" w:hanging="360"/>
        </w:pPr>
        <w:rPr>
          <w:rFonts w:ascii="Symbol" w:hAnsi="Symbol" w:hint="default"/>
          <w:color w:val="auto"/>
        </w:rPr>
      </w:lvl>
    </w:lvlOverride>
  </w:num>
  <w:num w:numId="30">
    <w:abstractNumId w:val="9"/>
  </w:num>
  <w:num w:numId="31">
    <w:abstractNumId w:val="4"/>
  </w:num>
  <w:num w:numId="32">
    <w:abstractNumId w:val="5"/>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C"/>
    <w:rsid w:val="00002031"/>
    <w:rsid w:val="00004734"/>
    <w:rsid w:val="00006B22"/>
    <w:rsid w:val="00007AAC"/>
    <w:rsid w:val="0001276A"/>
    <w:rsid w:val="000246AE"/>
    <w:rsid w:val="00025C67"/>
    <w:rsid w:val="000446A4"/>
    <w:rsid w:val="00044772"/>
    <w:rsid w:val="0004541C"/>
    <w:rsid w:val="0005559E"/>
    <w:rsid w:val="000604D6"/>
    <w:rsid w:val="00067E62"/>
    <w:rsid w:val="00072EB1"/>
    <w:rsid w:val="000734D8"/>
    <w:rsid w:val="00077775"/>
    <w:rsid w:val="00077FFC"/>
    <w:rsid w:val="00090471"/>
    <w:rsid w:val="000946BE"/>
    <w:rsid w:val="00096AA7"/>
    <w:rsid w:val="000A3AED"/>
    <w:rsid w:val="000A75A1"/>
    <w:rsid w:val="000B3532"/>
    <w:rsid w:val="000B3A75"/>
    <w:rsid w:val="000C00C2"/>
    <w:rsid w:val="000C4276"/>
    <w:rsid w:val="000C690F"/>
    <w:rsid w:val="000D1295"/>
    <w:rsid w:val="000D391B"/>
    <w:rsid w:val="000D3D6D"/>
    <w:rsid w:val="000D4FC7"/>
    <w:rsid w:val="000E6196"/>
    <w:rsid w:val="000F1F83"/>
    <w:rsid w:val="000F4869"/>
    <w:rsid w:val="000F5B42"/>
    <w:rsid w:val="000F661D"/>
    <w:rsid w:val="000F6E6F"/>
    <w:rsid w:val="0010601F"/>
    <w:rsid w:val="00107007"/>
    <w:rsid w:val="0010788A"/>
    <w:rsid w:val="00107A31"/>
    <w:rsid w:val="00110EA5"/>
    <w:rsid w:val="00112F56"/>
    <w:rsid w:val="00114164"/>
    <w:rsid w:val="00120CA2"/>
    <w:rsid w:val="00124ACD"/>
    <w:rsid w:val="00125318"/>
    <w:rsid w:val="001305A2"/>
    <w:rsid w:val="00133238"/>
    <w:rsid w:val="00133A1B"/>
    <w:rsid w:val="0014197B"/>
    <w:rsid w:val="001447CD"/>
    <w:rsid w:val="001516B1"/>
    <w:rsid w:val="00154EBB"/>
    <w:rsid w:val="00156316"/>
    <w:rsid w:val="00161181"/>
    <w:rsid w:val="00161A38"/>
    <w:rsid w:val="00162D14"/>
    <w:rsid w:val="00163780"/>
    <w:rsid w:val="00165389"/>
    <w:rsid w:val="0017693F"/>
    <w:rsid w:val="0018110E"/>
    <w:rsid w:val="00181684"/>
    <w:rsid w:val="001843C6"/>
    <w:rsid w:val="001849C1"/>
    <w:rsid w:val="001850E0"/>
    <w:rsid w:val="00193F71"/>
    <w:rsid w:val="00194278"/>
    <w:rsid w:val="001A03AF"/>
    <w:rsid w:val="001A2158"/>
    <w:rsid w:val="001A3C4B"/>
    <w:rsid w:val="001A421B"/>
    <w:rsid w:val="001A525F"/>
    <w:rsid w:val="001B09F9"/>
    <w:rsid w:val="001B55FF"/>
    <w:rsid w:val="001B5C90"/>
    <w:rsid w:val="001B6448"/>
    <w:rsid w:val="001C32CD"/>
    <w:rsid w:val="001D2984"/>
    <w:rsid w:val="001E07CF"/>
    <w:rsid w:val="001E59F1"/>
    <w:rsid w:val="001F2CEE"/>
    <w:rsid w:val="001F49EB"/>
    <w:rsid w:val="001F6CBA"/>
    <w:rsid w:val="00201D4E"/>
    <w:rsid w:val="002076C9"/>
    <w:rsid w:val="002117C5"/>
    <w:rsid w:val="00215D18"/>
    <w:rsid w:val="00220B8A"/>
    <w:rsid w:val="002257F3"/>
    <w:rsid w:val="00233456"/>
    <w:rsid w:val="002339A5"/>
    <w:rsid w:val="00242AF9"/>
    <w:rsid w:val="00257848"/>
    <w:rsid w:val="002578E8"/>
    <w:rsid w:val="0027084A"/>
    <w:rsid w:val="00280265"/>
    <w:rsid w:val="00286434"/>
    <w:rsid w:val="00286C59"/>
    <w:rsid w:val="00291957"/>
    <w:rsid w:val="00293CCA"/>
    <w:rsid w:val="002942D1"/>
    <w:rsid w:val="0029501A"/>
    <w:rsid w:val="002A3721"/>
    <w:rsid w:val="002A6665"/>
    <w:rsid w:val="002B1638"/>
    <w:rsid w:val="002B3624"/>
    <w:rsid w:val="002B758B"/>
    <w:rsid w:val="002C1A84"/>
    <w:rsid w:val="002D0952"/>
    <w:rsid w:val="002D1584"/>
    <w:rsid w:val="002E40B3"/>
    <w:rsid w:val="002E4C9A"/>
    <w:rsid w:val="002F11F8"/>
    <w:rsid w:val="002F3F56"/>
    <w:rsid w:val="002F44B5"/>
    <w:rsid w:val="002F5122"/>
    <w:rsid w:val="00311AC0"/>
    <w:rsid w:val="003176FC"/>
    <w:rsid w:val="0032583B"/>
    <w:rsid w:val="00327883"/>
    <w:rsid w:val="00335504"/>
    <w:rsid w:val="00340C18"/>
    <w:rsid w:val="003442FD"/>
    <w:rsid w:val="00347824"/>
    <w:rsid w:val="00350567"/>
    <w:rsid w:val="003521E8"/>
    <w:rsid w:val="0036164A"/>
    <w:rsid w:val="00370CE3"/>
    <w:rsid w:val="003728F3"/>
    <w:rsid w:val="00372BBA"/>
    <w:rsid w:val="003735BC"/>
    <w:rsid w:val="0037496E"/>
    <w:rsid w:val="00383221"/>
    <w:rsid w:val="00386150"/>
    <w:rsid w:val="003874CE"/>
    <w:rsid w:val="00390900"/>
    <w:rsid w:val="003959EA"/>
    <w:rsid w:val="003A62AA"/>
    <w:rsid w:val="003A7F6C"/>
    <w:rsid w:val="003B0773"/>
    <w:rsid w:val="003B4D60"/>
    <w:rsid w:val="003B7E39"/>
    <w:rsid w:val="003C3871"/>
    <w:rsid w:val="003C58DC"/>
    <w:rsid w:val="003D1E62"/>
    <w:rsid w:val="003E0B99"/>
    <w:rsid w:val="003E2486"/>
    <w:rsid w:val="003E3208"/>
    <w:rsid w:val="003F0B04"/>
    <w:rsid w:val="0040134E"/>
    <w:rsid w:val="00420BD1"/>
    <w:rsid w:val="004334C7"/>
    <w:rsid w:val="00434603"/>
    <w:rsid w:val="00440A2D"/>
    <w:rsid w:val="00441C3F"/>
    <w:rsid w:val="00444D1A"/>
    <w:rsid w:val="0045186A"/>
    <w:rsid w:val="004564A7"/>
    <w:rsid w:val="00456765"/>
    <w:rsid w:val="004617BF"/>
    <w:rsid w:val="00463658"/>
    <w:rsid w:val="004637A0"/>
    <w:rsid w:val="004722CC"/>
    <w:rsid w:val="00473EC7"/>
    <w:rsid w:val="00490483"/>
    <w:rsid w:val="004936E4"/>
    <w:rsid w:val="00494E60"/>
    <w:rsid w:val="00497487"/>
    <w:rsid w:val="004A2771"/>
    <w:rsid w:val="004A6189"/>
    <w:rsid w:val="004A7390"/>
    <w:rsid w:val="004B7B76"/>
    <w:rsid w:val="004C239D"/>
    <w:rsid w:val="004C2DCA"/>
    <w:rsid w:val="004C61D2"/>
    <w:rsid w:val="004E5AB9"/>
    <w:rsid w:val="004E74F9"/>
    <w:rsid w:val="004F009D"/>
    <w:rsid w:val="004F0C4A"/>
    <w:rsid w:val="004F0F38"/>
    <w:rsid w:val="004F47D6"/>
    <w:rsid w:val="00500337"/>
    <w:rsid w:val="00501921"/>
    <w:rsid w:val="00530354"/>
    <w:rsid w:val="005338EC"/>
    <w:rsid w:val="0053625B"/>
    <w:rsid w:val="005434C6"/>
    <w:rsid w:val="00543B39"/>
    <w:rsid w:val="00546154"/>
    <w:rsid w:val="00550096"/>
    <w:rsid w:val="00555280"/>
    <w:rsid w:val="00557FF9"/>
    <w:rsid w:val="00562327"/>
    <w:rsid w:val="00566E38"/>
    <w:rsid w:val="005672E3"/>
    <w:rsid w:val="005711D5"/>
    <w:rsid w:val="00576378"/>
    <w:rsid w:val="00577130"/>
    <w:rsid w:val="00577945"/>
    <w:rsid w:val="00577E38"/>
    <w:rsid w:val="00585322"/>
    <w:rsid w:val="005857C6"/>
    <w:rsid w:val="00592F6E"/>
    <w:rsid w:val="00593AD1"/>
    <w:rsid w:val="00595041"/>
    <w:rsid w:val="005A6621"/>
    <w:rsid w:val="005A68B6"/>
    <w:rsid w:val="005C5570"/>
    <w:rsid w:val="005C7747"/>
    <w:rsid w:val="005C79A4"/>
    <w:rsid w:val="005D344F"/>
    <w:rsid w:val="005D5442"/>
    <w:rsid w:val="005F5089"/>
    <w:rsid w:val="005F52A1"/>
    <w:rsid w:val="00603F32"/>
    <w:rsid w:val="00605AD4"/>
    <w:rsid w:val="00612466"/>
    <w:rsid w:val="006136D7"/>
    <w:rsid w:val="00621216"/>
    <w:rsid w:val="00625A6E"/>
    <w:rsid w:val="00632398"/>
    <w:rsid w:val="00640FC3"/>
    <w:rsid w:val="00642020"/>
    <w:rsid w:val="006430EE"/>
    <w:rsid w:val="006459D7"/>
    <w:rsid w:val="00647653"/>
    <w:rsid w:val="0065337B"/>
    <w:rsid w:val="0065419D"/>
    <w:rsid w:val="006603BC"/>
    <w:rsid w:val="006604D8"/>
    <w:rsid w:val="00664A5B"/>
    <w:rsid w:val="0066735C"/>
    <w:rsid w:val="006702E3"/>
    <w:rsid w:val="006763D2"/>
    <w:rsid w:val="00680C08"/>
    <w:rsid w:val="006916A0"/>
    <w:rsid w:val="006931B1"/>
    <w:rsid w:val="006A15C0"/>
    <w:rsid w:val="006A58A8"/>
    <w:rsid w:val="006C227E"/>
    <w:rsid w:val="006C3E2A"/>
    <w:rsid w:val="006C642F"/>
    <w:rsid w:val="006D03E5"/>
    <w:rsid w:val="006D5D3E"/>
    <w:rsid w:val="006E08B3"/>
    <w:rsid w:val="006F17AC"/>
    <w:rsid w:val="006F25B8"/>
    <w:rsid w:val="006F45A9"/>
    <w:rsid w:val="006F572E"/>
    <w:rsid w:val="007024B0"/>
    <w:rsid w:val="007046D6"/>
    <w:rsid w:val="00705DB0"/>
    <w:rsid w:val="00722B57"/>
    <w:rsid w:val="00730F8A"/>
    <w:rsid w:val="0073131A"/>
    <w:rsid w:val="00732757"/>
    <w:rsid w:val="007337DB"/>
    <w:rsid w:val="00735A8C"/>
    <w:rsid w:val="00741A11"/>
    <w:rsid w:val="0074253D"/>
    <w:rsid w:val="0074429B"/>
    <w:rsid w:val="00750E6B"/>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46F5"/>
    <w:rsid w:val="007A6505"/>
    <w:rsid w:val="007B4B08"/>
    <w:rsid w:val="007B6132"/>
    <w:rsid w:val="007B6E9F"/>
    <w:rsid w:val="007C1216"/>
    <w:rsid w:val="007C1AF7"/>
    <w:rsid w:val="007C6B9B"/>
    <w:rsid w:val="00805D27"/>
    <w:rsid w:val="00806DCB"/>
    <w:rsid w:val="00810EA6"/>
    <w:rsid w:val="00817A5B"/>
    <w:rsid w:val="0082175D"/>
    <w:rsid w:val="00821776"/>
    <w:rsid w:val="00826D5B"/>
    <w:rsid w:val="008321F5"/>
    <w:rsid w:val="00832369"/>
    <w:rsid w:val="00834660"/>
    <w:rsid w:val="00835355"/>
    <w:rsid w:val="00836BC2"/>
    <w:rsid w:val="0085156D"/>
    <w:rsid w:val="00852B28"/>
    <w:rsid w:val="0085641B"/>
    <w:rsid w:val="00857136"/>
    <w:rsid w:val="0086169D"/>
    <w:rsid w:val="0086201D"/>
    <w:rsid w:val="00862350"/>
    <w:rsid w:val="008640B3"/>
    <w:rsid w:val="00875A6B"/>
    <w:rsid w:val="00885B11"/>
    <w:rsid w:val="00886A05"/>
    <w:rsid w:val="00886D15"/>
    <w:rsid w:val="00887DD8"/>
    <w:rsid w:val="00887F1D"/>
    <w:rsid w:val="00891BA9"/>
    <w:rsid w:val="00896018"/>
    <w:rsid w:val="008960DD"/>
    <w:rsid w:val="0089635C"/>
    <w:rsid w:val="008A2B9D"/>
    <w:rsid w:val="008A3D9F"/>
    <w:rsid w:val="008A5E0B"/>
    <w:rsid w:val="008A6D59"/>
    <w:rsid w:val="008B28B7"/>
    <w:rsid w:val="008B4B03"/>
    <w:rsid w:val="008B596F"/>
    <w:rsid w:val="008C159F"/>
    <w:rsid w:val="008C1623"/>
    <w:rsid w:val="008C1850"/>
    <w:rsid w:val="008C51A9"/>
    <w:rsid w:val="008E7846"/>
    <w:rsid w:val="008F02E5"/>
    <w:rsid w:val="008F1CCC"/>
    <w:rsid w:val="008F2967"/>
    <w:rsid w:val="008F6943"/>
    <w:rsid w:val="00902A21"/>
    <w:rsid w:val="009116FB"/>
    <w:rsid w:val="0091523F"/>
    <w:rsid w:val="00920330"/>
    <w:rsid w:val="009219D7"/>
    <w:rsid w:val="00922D53"/>
    <w:rsid w:val="00923B70"/>
    <w:rsid w:val="00924482"/>
    <w:rsid w:val="00930237"/>
    <w:rsid w:val="00937C17"/>
    <w:rsid w:val="00940A89"/>
    <w:rsid w:val="00941F77"/>
    <w:rsid w:val="00946EA5"/>
    <w:rsid w:val="009531B7"/>
    <w:rsid w:val="00960520"/>
    <w:rsid w:val="00963C08"/>
    <w:rsid w:val="00967901"/>
    <w:rsid w:val="009752A5"/>
    <w:rsid w:val="0098585A"/>
    <w:rsid w:val="009A4CED"/>
    <w:rsid w:val="009A690D"/>
    <w:rsid w:val="009B1D12"/>
    <w:rsid w:val="009B416B"/>
    <w:rsid w:val="009B75E0"/>
    <w:rsid w:val="009C01BF"/>
    <w:rsid w:val="009C4BD5"/>
    <w:rsid w:val="009D7B77"/>
    <w:rsid w:val="009E0BB0"/>
    <w:rsid w:val="009E3FBB"/>
    <w:rsid w:val="009E6B4F"/>
    <w:rsid w:val="009F111C"/>
    <w:rsid w:val="009F7353"/>
    <w:rsid w:val="00A04F85"/>
    <w:rsid w:val="00A05FA4"/>
    <w:rsid w:val="00A102E4"/>
    <w:rsid w:val="00A1219C"/>
    <w:rsid w:val="00A12C42"/>
    <w:rsid w:val="00A14DF7"/>
    <w:rsid w:val="00A22D57"/>
    <w:rsid w:val="00A30AB5"/>
    <w:rsid w:val="00A3246D"/>
    <w:rsid w:val="00A36FA7"/>
    <w:rsid w:val="00A44DDB"/>
    <w:rsid w:val="00A475B7"/>
    <w:rsid w:val="00A47AF7"/>
    <w:rsid w:val="00A47C3E"/>
    <w:rsid w:val="00A50226"/>
    <w:rsid w:val="00A60BAD"/>
    <w:rsid w:val="00A77F87"/>
    <w:rsid w:val="00A80B5B"/>
    <w:rsid w:val="00A84E36"/>
    <w:rsid w:val="00A912DE"/>
    <w:rsid w:val="00A964D1"/>
    <w:rsid w:val="00AA0ED0"/>
    <w:rsid w:val="00AB1276"/>
    <w:rsid w:val="00AC216D"/>
    <w:rsid w:val="00AC2B40"/>
    <w:rsid w:val="00AC2BB2"/>
    <w:rsid w:val="00AC2C3C"/>
    <w:rsid w:val="00AC3736"/>
    <w:rsid w:val="00AC512D"/>
    <w:rsid w:val="00AC74A8"/>
    <w:rsid w:val="00AD0083"/>
    <w:rsid w:val="00AD3935"/>
    <w:rsid w:val="00AE65EB"/>
    <w:rsid w:val="00AE67A7"/>
    <w:rsid w:val="00AF1D94"/>
    <w:rsid w:val="00AF60C5"/>
    <w:rsid w:val="00B009C6"/>
    <w:rsid w:val="00B01548"/>
    <w:rsid w:val="00B06894"/>
    <w:rsid w:val="00B06DE1"/>
    <w:rsid w:val="00B130C5"/>
    <w:rsid w:val="00B13EBD"/>
    <w:rsid w:val="00B161B1"/>
    <w:rsid w:val="00B21D29"/>
    <w:rsid w:val="00B25034"/>
    <w:rsid w:val="00B26B1D"/>
    <w:rsid w:val="00B33588"/>
    <w:rsid w:val="00B33863"/>
    <w:rsid w:val="00B37D17"/>
    <w:rsid w:val="00B4175E"/>
    <w:rsid w:val="00B41C85"/>
    <w:rsid w:val="00B452CE"/>
    <w:rsid w:val="00B47B68"/>
    <w:rsid w:val="00B54C25"/>
    <w:rsid w:val="00B76B91"/>
    <w:rsid w:val="00B77EB1"/>
    <w:rsid w:val="00B811C6"/>
    <w:rsid w:val="00B855B0"/>
    <w:rsid w:val="00B92E08"/>
    <w:rsid w:val="00BC622A"/>
    <w:rsid w:val="00BD52C3"/>
    <w:rsid w:val="00BE0A78"/>
    <w:rsid w:val="00BE2CB7"/>
    <w:rsid w:val="00BE79F0"/>
    <w:rsid w:val="00BF046D"/>
    <w:rsid w:val="00BF1190"/>
    <w:rsid w:val="00BF3774"/>
    <w:rsid w:val="00BF5D04"/>
    <w:rsid w:val="00C009AA"/>
    <w:rsid w:val="00C00D90"/>
    <w:rsid w:val="00C1164D"/>
    <w:rsid w:val="00C157E6"/>
    <w:rsid w:val="00C16861"/>
    <w:rsid w:val="00C16E86"/>
    <w:rsid w:val="00C346AB"/>
    <w:rsid w:val="00C35835"/>
    <w:rsid w:val="00C37AD6"/>
    <w:rsid w:val="00C404A6"/>
    <w:rsid w:val="00C40A36"/>
    <w:rsid w:val="00C41452"/>
    <w:rsid w:val="00C44419"/>
    <w:rsid w:val="00C4441C"/>
    <w:rsid w:val="00C45E7B"/>
    <w:rsid w:val="00C471B1"/>
    <w:rsid w:val="00C52E24"/>
    <w:rsid w:val="00C6316B"/>
    <w:rsid w:val="00C634A9"/>
    <w:rsid w:val="00C64586"/>
    <w:rsid w:val="00C665E8"/>
    <w:rsid w:val="00C70D53"/>
    <w:rsid w:val="00C73D0B"/>
    <w:rsid w:val="00C74F5C"/>
    <w:rsid w:val="00C772FF"/>
    <w:rsid w:val="00C80137"/>
    <w:rsid w:val="00C801AF"/>
    <w:rsid w:val="00C80256"/>
    <w:rsid w:val="00C921B3"/>
    <w:rsid w:val="00C94CD4"/>
    <w:rsid w:val="00C9747E"/>
    <w:rsid w:val="00CB6BC0"/>
    <w:rsid w:val="00CC1B7C"/>
    <w:rsid w:val="00CC727F"/>
    <w:rsid w:val="00CE38A1"/>
    <w:rsid w:val="00CE6330"/>
    <w:rsid w:val="00CF15C3"/>
    <w:rsid w:val="00CF2B6F"/>
    <w:rsid w:val="00CF2F3E"/>
    <w:rsid w:val="00CF58B6"/>
    <w:rsid w:val="00CF6D71"/>
    <w:rsid w:val="00D0062D"/>
    <w:rsid w:val="00D017ED"/>
    <w:rsid w:val="00D040D3"/>
    <w:rsid w:val="00D04C65"/>
    <w:rsid w:val="00D153D8"/>
    <w:rsid w:val="00D201D2"/>
    <w:rsid w:val="00D224FE"/>
    <w:rsid w:val="00D23139"/>
    <w:rsid w:val="00D425BB"/>
    <w:rsid w:val="00D453FA"/>
    <w:rsid w:val="00D46814"/>
    <w:rsid w:val="00D54D73"/>
    <w:rsid w:val="00D57588"/>
    <w:rsid w:val="00D6493E"/>
    <w:rsid w:val="00D7195D"/>
    <w:rsid w:val="00D71FC3"/>
    <w:rsid w:val="00D7301E"/>
    <w:rsid w:val="00D8038D"/>
    <w:rsid w:val="00D83AE1"/>
    <w:rsid w:val="00D855D4"/>
    <w:rsid w:val="00D902C9"/>
    <w:rsid w:val="00D93466"/>
    <w:rsid w:val="00DA1124"/>
    <w:rsid w:val="00DA64CB"/>
    <w:rsid w:val="00DB06B8"/>
    <w:rsid w:val="00DB4458"/>
    <w:rsid w:val="00DB6124"/>
    <w:rsid w:val="00DB750B"/>
    <w:rsid w:val="00DB75B7"/>
    <w:rsid w:val="00DC0A2F"/>
    <w:rsid w:val="00DC1948"/>
    <w:rsid w:val="00DC67B3"/>
    <w:rsid w:val="00DC6E02"/>
    <w:rsid w:val="00DD28CD"/>
    <w:rsid w:val="00DE02AE"/>
    <w:rsid w:val="00DE10C8"/>
    <w:rsid w:val="00DE39D1"/>
    <w:rsid w:val="00DF1D7F"/>
    <w:rsid w:val="00DF4BE4"/>
    <w:rsid w:val="00E02382"/>
    <w:rsid w:val="00E02FB4"/>
    <w:rsid w:val="00E10EAA"/>
    <w:rsid w:val="00E13FC7"/>
    <w:rsid w:val="00E20571"/>
    <w:rsid w:val="00E235F7"/>
    <w:rsid w:val="00E23659"/>
    <w:rsid w:val="00E239D4"/>
    <w:rsid w:val="00E26130"/>
    <w:rsid w:val="00E40B22"/>
    <w:rsid w:val="00E44ED1"/>
    <w:rsid w:val="00E45619"/>
    <w:rsid w:val="00E4588F"/>
    <w:rsid w:val="00E46DA3"/>
    <w:rsid w:val="00E51BB1"/>
    <w:rsid w:val="00E55CB0"/>
    <w:rsid w:val="00E624A5"/>
    <w:rsid w:val="00E64BA4"/>
    <w:rsid w:val="00E7344E"/>
    <w:rsid w:val="00E82665"/>
    <w:rsid w:val="00EA7DF1"/>
    <w:rsid w:val="00EB0798"/>
    <w:rsid w:val="00EB40AD"/>
    <w:rsid w:val="00EB586E"/>
    <w:rsid w:val="00EB5FC8"/>
    <w:rsid w:val="00EC042B"/>
    <w:rsid w:val="00EC463D"/>
    <w:rsid w:val="00EC6DD6"/>
    <w:rsid w:val="00EC7A85"/>
    <w:rsid w:val="00ED2922"/>
    <w:rsid w:val="00ED3CAD"/>
    <w:rsid w:val="00ED5A41"/>
    <w:rsid w:val="00EE1DE8"/>
    <w:rsid w:val="00EE27C2"/>
    <w:rsid w:val="00EE51A7"/>
    <w:rsid w:val="00EF4BAD"/>
    <w:rsid w:val="00EF59DC"/>
    <w:rsid w:val="00EF5FB0"/>
    <w:rsid w:val="00F016C9"/>
    <w:rsid w:val="00F033EC"/>
    <w:rsid w:val="00F04F68"/>
    <w:rsid w:val="00F12670"/>
    <w:rsid w:val="00F14B27"/>
    <w:rsid w:val="00F259DB"/>
    <w:rsid w:val="00F3148D"/>
    <w:rsid w:val="00F325C5"/>
    <w:rsid w:val="00F32FE0"/>
    <w:rsid w:val="00F35298"/>
    <w:rsid w:val="00F4380A"/>
    <w:rsid w:val="00F47333"/>
    <w:rsid w:val="00F47E37"/>
    <w:rsid w:val="00F53C07"/>
    <w:rsid w:val="00F54B65"/>
    <w:rsid w:val="00F640B6"/>
    <w:rsid w:val="00F66DF2"/>
    <w:rsid w:val="00F80E40"/>
    <w:rsid w:val="00F80F64"/>
    <w:rsid w:val="00F844DA"/>
    <w:rsid w:val="00F848D9"/>
    <w:rsid w:val="00FA0062"/>
    <w:rsid w:val="00FA0E77"/>
    <w:rsid w:val="00FA4AFC"/>
    <w:rsid w:val="00FA5069"/>
    <w:rsid w:val="00FA5B82"/>
    <w:rsid w:val="00FA639E"/>
    <w:rsid w:val="00FC1FCA"/>
    <w:rsid w:val="00FC25E4"/>
    <w:rsid w:val="00FC4EF7"/>
    <w:rsid w:val="00FD0824"/>
    <w:rsid w:val="00FD119B"/>
    <w:rsid w:val="00FD1EDC"/>
    <w:rsid w:val="00FE0903"/>
    <w:rsid w:val="00FE1DEE"/>
    <w:rsid w:val="00FF2126"/>
    <w:rsid w:val="00FF5755"/>
    <w:rsid w:val="00FF69BE"/>
    <w:rsid w:val="00FF6A2F"/>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88F00"/>
  <w15:docId w15:val="{136D512D-ACDE-47F6-8918-5033C1F9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D8038D"/>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D8038D"/>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D8038D"/>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D8038D"/>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D8038D"/>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Bulletpoint">
    <w:name w:val="Bullet point"/>
    <w:basedOn w:val="Normal"/>
    <w:rsid w:val="00B06DE1"/>
    <w:pPr>
      <w:numPr>
        <w:numId w:val="30"/>
      </w:numPr>
      <w:tabs>
        <w:tab w:val="clear" w:pos="369"/>
        <w:tab w:val="left" w:pos="397"/>
        <w:tab w:val="num" w:pos="511"/>
      </w:tabs>
      <w:spacing w:before="0" w:after="180" w:line="252" w:lineRule="auto"/>
    </w:pPr>
    <w:rPr>
      <w:rFonts w:eastAsia="Times New Roman"/>
      <w:snapToGrid w:val="0"/>
      <w:kern w:val="16"/>
      <w:szCs w:val="24"/>
    </w:rPr>
  </w:style>
  <w:style w:type="paragraph" w:styleId="ListParagraph">
    <w:name w:val="List Paragraph"/>
    <w:basedOn w:val="Normal"/>
    <w:uiPriority w:val="34"/>
    <w:rsid w:val="00C4441C"/>
    <w:pPr>
      <w:adjustRightInd w:val="0"/>
      <w:snapToGrid w:val="0"/>
      <w:spacing w:before="180" w:after="180"/>
      <w:ind w:left="720"/>
      <w:contextualSpacing/>
    </w:pPr>
    <w:rPr>
      <w:rFonts w:eastAsia="MS Mincho"/>
      <w:szCs w:val="20"/>
      <w:lang w:eastAsia="ja-JP"/>
    </w:rPr>
  </w:style>
  <w:style w:type="paragraph" w:customStyle="1" w:styleId="Standard">
    <w:name w:val="Standard"/>
    <w:basedOn w:val="Normal"/>
    <w:link w:val="StandardChar"/>
    <w:qFormat/>
    <w:rsid w:val="00887F1D"/>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887F1D"/>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887F1D"/>
    <w:pPr>
      <w:numPr>
        <w:numId w:val="32"/>
      </w:numPr>
      <w:spacing w:after="180"/>
      <w:ind w:left="426" w:hanging="284"/>
    </w:pPr>
    <w:rPr>
      <w:kern w:val="2"/>
    </w:rPr>
  </w:style>
  <w:style w:type="character" w:customStyle="1" w:styleId="TabletextChar">
    <w:name w:val="Table text Char"/>
    <w:basedOn w:val="StandardChar"/>
    <w:link w:val="Tabletext"/>
    <w:rsid w:val="00887F1D"/>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887F1D"/>
    <w:rPr>
      <w:rFonts w:ascii="Cambria" w:eastAsia="Times New Roman" w:hAnsi="Cambria" w:cs="Times New Roman"/>
      <w:snapToGrid w:val="0"/>
      <w:kern w:val="2"/>
      <w:sz w:val="23"/>
      <w:szCs w:val="24"/>
    </w:rPr>
  </w:style>
  <w:style w:type="paragraph" w:customStyle="1" w:styleId="Summaryofsafetyconcerns">
    <w:name w:val="Summary of safety concerns"/>
    <w:basedOn w:val="Tabletext"/>
    <w:link w:val="SummaryofsafetyconcernsChar"/>
    <w:qFormat/>
    <w:rsid w:val="00887F1D"/>
    <w:pPr>
      <w:spacing w:before="20" w:after="20" w:line="252" w:lineRule="auto"/>
    </w:pPr>
    <w:rPr>
      <w:rFonts w:eastAsia="Times New Roman"/>
      <w:b/>
      <w:snapToGrid w:val="0"/>
      <w:kern w:val="16"/>
      <w:sz w:val="20"/>
      <w:szCs w:val="24"/>
    </w:rPr>
  </w:style>
  <w:style w:type="character" w:customStyle="1" w:styleId="SummaryofsafetyconcernsChar">
    <w:name w:val="Summary of safety concerns Char"/>
    <w:basedOn w:val="TabletextChar"/>
    <w:link w:val="Summaryofsafetyconcerns"/>
    <w:rsid w:val="00887F1D"/>
    <w:rPr>
      <w:rFonts w:ascii="Cambria" w:eastAsia="Times New Roman" w:hAnsi="Cambria" w:cs="Times New Roman"/>
      <w:b/>
      <w:snapToGrid w:val="0"/>
      <w:kern w:val="16"/>
      <w:sz w:val="20"/>
      <w:szCs w:val="24"/>
    </w:rPr>
  </w:style>
  <w:style w:type="paragraph" w:customStyle="1" w:styleId="Default">
    <w:name w:val="Default"/>
    <w:rsid w:val="000C427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3.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tga.gov.au/product-information-pi"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hyperlink" Target="mailto:info@tga.gov.au" TargetMode="External"/><Relationship Id="rId35" Type="http://schemas.openxmlformats.org/officeDocument/2006/relationships/header" Target="header8.xml"/><Relationship Id="rId43"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l\AppData\Local\Hewlett-Packard\HP%20TRIM\TEMP\HPTRIM.14696\t0Q7BBQT.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9131-CC35-4615-9C1D-3A991AE3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t0Q7BBQT.DOTX</Template>
  <TotalTime>79</TotalTime>
  <Pages>24</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Neratinib (as maleate)</dc:title>
  <dc:subject>prescription medicine regulation</dc:subject>
  <dc:creator>Therapeutic Goods Administration</dc:creator>
  <cp:keywords>AusPARs</cp:keywords>
  <cp:lastPrinted>2019-08-14T04:30:00Z</cp:lastPrinted>
  <dcterms:created xsi:type="dcterms:W3CDTF">2020-05-05T12:31:00Z</dcterms:created>
  <dcterms:modified xsi:type="dcterms:W3CDTF">2020-05-14T06:27:00Z</dcterms:modified>
  <cp:category/>
</cp:coreProperties>
</file>