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B788D" w:rsidP="00096AA7">
            <w:pPr>
              <w:rPr>
                <w:rFonts w:ascii="Arial" w:hAnsi="Arial" w:cs="Arial"/>
                <w:b/>
                <w:color w:val="002C47"/>
                <w:sz w:val="36"/>
                <w:szCs w:val="36"/>
              </w:rPr>
            </w:pPr>
            <w:r>
              <w:rPr>
                <w:rFonts w:ascii="Arial" w:hAnsi="Arial" w:cs="Arial"/>
                <w:b/>
                <w:color w:val="002C47"/>
                <w:sz w:val="36"/>
                <w:szCs w:val="36"/>
              </w:rPr>
              <w:t>October 2016</w:t>
            </w:r>
          </w:p>
        </w:tc>
      </w:tr>
    </w:tbl>
    <w:p w:rsidR="004C0905" w:rsidRPr="004C0905" w:rsidRDefault="004C0905" w:rsidP="004C0905">
      <w:pPr>
        <w:spacing w:before="0" w:after="0"/>
        <w:rPr>
          <w:rFonts w:ascii="Arial" w:hAnsi="Arial"/>
          <w:b/>
          <w:vanish/>
          <w:sz w:val="48"/>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4C0905" w:rsidRDefault="0032583B" w:rsidP="00A964D1">
            <w:pPr>
              <w:pStyle w:val="Title"/>
              <w:rPr>
                <w:color w:val="FFFFFF"/>
              </w:rPr>
            </w:pPr>
            <w:r w:rsidRPr="004C0905">
              <w:rPr>
                <w:color w:val="FFFFFF"/>
              </w:rPr>
              <w:t>Australian Pu</w:t>
            </w:r>
            <w:r w:rsidR="00B342FE" w:rsidRPr="004C0905">
              <w:rPr>
                <w:color w:val="FFFFFF"/>
              </w:rPr>
              <w:t>blic Assessment Report for Ne</w:t>
            </w:r>
            <w:r w:rsidR="00D844D2" w:rsidRPr="004C0905">
              <w:rPr>
                <w:color w:val="FFFFFF"/>
              </w:rPr>
              <w:t>tupitant</w:t>
            </w:r>
            <w:r w:rsidR="00AA120C">
              <w:rPr>
                <w:color w:val="FFFFFF"/>
              </w:rPr>
              <w:t xml:space="preserve"> </w:t>
            </w:r>
            <w:r w:rsidR="00D844D2" w:rsidRPr="004C0905">
              <w:rPr>
                <w:color w:val="FFFFFF"/>
              </w:rPr>
              <w:t>/</w:t>
            </w:r>
            <w:r w:rsidR="00AA120C">
              <w:rPr>
                <w:color w:val="FFFFFF"/>
              </w:rPr>
              <w:t xml:space="preserve"> </w:t>
            </w:r>
            <w:r w:rsidR="00814AF2" w:rsidRPr="004C0905">
              <w:rPr>
                <w:color w:val="FFFFFF"/>
              </w:rPr>
              <w:t>p</w:t>
            </w:r>
            <w:r w:rsidR="00B342FE" w:rsidRPr="004C0905">
              <w:rPr>
                <w:color w:val="FFFFFF"/>
              </w:rPr>
              <w:t>alonosetron</w:t>
            </w:r>
            <w:r w:rsidR="00F80565" w:rsidRPr="004C0905">
              <w:rPr>
                <w:color w:val="FFFFFF"/>
              </w:rPr>
              <w:t xml:space="preserve"> (as hydrochloride)</w:t>
            </w:r>
          </w:p>
        </w:tc>
      </w:tr>
      <w:tr w:rsidR="0032583B" w:rsidRPr="00B64760" w:rsidTr="0032583B">
        <w:tc>
          <w:tcPr>
            <w:tcW w:w="9079" w:type="dxa"/>
          </w:tcPr>
          <w:p w:rsidR="0032583B" w:rsidRPr="004C0905" w:rsidRDefault="00B342FE" w:rsidP="0032583B">
            <w:pPr>
              <w:pStyle w:val="Subtitle"/>
              <w:rPr>
                <w:color w:val="FFFFFF"/>
              </w:rPr>
            </w:pPr>
            <w:r w:rsidRPr="004C0905">
              <w:rPr>
                <w:color w:val="FFFFFF"/>
              </w:rPr>
              <w:t xml:space="preserve">Proprietary Product Name: </w:t>
            </w:r>
            <w:r w:rsidR="00E96281" w:rsidRPr="004C0905">
              <w:rPr>
                <w:color w:val="FFFFFF"/>
              </w:rPr>
              <w:t>Akynzeo</w:t>
            </w:r>
          </w:p>
        </w:tc>
      </w:tr>
      <w:tr w:rsidR="0032583B" w:rsidRPr="00B64760" w:rsidTr="0032583B">
        <w:trPr>
          <w:trHeight w:val="486"/>
        </w:trPr>
        <w:tc>
          <w:tcPr>
            <w:tcW w:w="9079" w:type="dxa"/>
          </w:tcPr>
          <w:p w:rsidR="0032583B" w:rsidRPr="004C0905" w:rsidRDefault="00D27FC0" w:rsidP="0032583B">
            <w:pPr>
              <w:pStyle w:val="Subtitle"/>
              <w:rPr>
                <w:color w:val="FFFFFF"/>
              </w:rPr>
            </w:pPr>
            <w:r w:rsidRPr="004C0905">
              <w:rPr>
                <w:color w:val="FFFFFF"/>
              </w:rPr>
              <w:t>S</w:t>
            </w:r>
            <w:r w:rsidR="00791AE3" w:rsidRPr="004C0905">
              <w:rPr>
                <w:color w:val="FFFFFF"/>
              </w:rPr>
              <w:t>ponsor</w:t>
            </w:r>
            <w:r w:rsidR="00B342FE" w:rsidRPr="004C0905">
              <w:rPr>
                <w:color w:val="FFFFFF"/>
              </w:rPr>
              <w:t xml:space="preserve">: Specialised Therapeutics Australia </w:t>
            </w:r>
            <w:r w:rsidR="00F80565" w:rsidRPr="004C0905">
              <w:rPr>
                <w:color w:val="FFFFFF"/>
              </w:rPr>
              <w:t>Pty Ltd</w:t>
            </w:r>
            <w:r w:rsidR="00742B5D" w:rsidRPr="004C0905">
              <w:rPr>
                <w:rStyle w:val="FootnoteReference"/>
                <w:color w:val="FFFFFF"/>
              </w:rPr>
              <w:footnoteReference w:id="1"/>
            </w:r>
          </w:p>
        </w:tc>
      </w:tr>
    </w:tbl>
    <w:p w:rsidR="008E7846" w:rsidRPr="001F6CBA" w:rsidRDefault="008E7846" w:rsidP="00580991">
      <w:pPr>
        <w:pStyle w:val="NonTOCHeading2"/>
      </w:pPr>
      <w:r w:rsidRPr="0085156D">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66986512"/>
      <w:r>
        <w:t xml:space="preserve">About </w:t>
      </w:r>
      <w:proofErr w:type="spellStart"/>
      <w:r>
        <w:t>AusPARs</w:t>
      </w:r>
      <w:bookmarkEnd w:id="0"/>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680A60">
      <w:pPr>
        <w:pStyle w:val="LegalSubheading"/>
        <w:spacing w:before="27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w:t>
      </w:r>
      <w:r w:rsidR="000B5CEE">
        <w:rPr>
          <w:rFonts w:cs="Arial"/>
          <w:lang w:val="en-GB"/>
        </w:rPr>
        <w:t>16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247691501"/>
      <w:bookmarkStart w:id="2" w:name="_Toc196046425"/>
      <w:r w:rsidRPr="0010788A">
        <w:lastRenderedPageBreak/>
        <w:t>Contents</w:t>
      </w:r>
    </w:p>
    <w:p w:rsidR="00EA0905" w:rsidRDefault="008F1AE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6986512" w:history="1">
        <w:r w:rsidR="00EA0905" w:rsidRPr="0053570A">
          <w:rPr>
            <w:rStyle w:val="Hyperlink"/>
            <w:noProof/>
          </w:rPr>
          <w:t>About AusPARs</w:t>
        </w:r>
        <w:r w:rsidR="00EA0905">
          <w:rPr>
            <w:noProof/>
            <w:webHidden/>
          </w:rPr>
          <w:tab/>
        </w:r>
        <w:r w:rsidR="00EA0905">
          <w:rPr>
            <w:noProof/>
            <w:webHidden/>
          </w:rPr>
          <w:fldChar w:fldCharType="begin"/>
        </w:r>
        <w:r w:rsidR="00EA0905">
          <w:rPr>
            <w:noProof/>
            <w:webHidden/>
          </w:rPr>
          <w:instrText xml:space="preserve"> PAGEREF _Toc466986512 \h </w:instrText>
        </w:r>
        <w:r w:rsidR="00EA0905">
          <w:rPr>
            <w:noProof/>
            <w:webHidden/>
          </w:rPr>
        </w:r>
        <w:r w:rsidR="00EA0905">
          <w:rPr>
            <w:noProof/>
            <w:webHidden/>
          </w:rPr>
          <w:fldChar w:fldCharType="separate"/>
        </w:r>
        <w:r w:rsidR="00EA0905">
          <w:rPr>
            <w:noProof/>
            <w:webHidden/>
          </w:rPr>
          <w:t>ii</w:t>
        </w:r>
        <w:r w:rsidR="00EA0905">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13" w:history="1">
        <w:r w:rsidRPr="0053570A">
          <w:rPr>
            <w:rStyle w:val="Hyperlink"/>
            <w:noProof/>
          </w:rPr>
          <w:t>Common abbreviations</w:t>
        </w:r>
        <w:r>
          <w:rPr>
            <w:noProof/>
            <w:webHidden/>
          </w:rPr>
          <w:tab/>
        </w:r>
        <w:r>
          <w:rPr>
            <w:noProof/>
            <w:webHidden/>
          </w:rPr>
          <w:fldChar w:fldCharType="begin"/>
        </w:r>
        <w:r>
          <w:rPr>
            <w:noProof/>
            <w:webHidden/>
          </w:rPr>
          <w:instrText xml:space="preserve"> PAGEREF _Toc466986513 \h </w:instrText>
        </w:r>
        <w:r>
          <w:rPr>
            <w:noProof/>
            <w:webHidden/>
          </w:rPr>
        </w:r>
        <w:r>
          <w:rPr>
            <w:noProof/>
            <w:webHidden/>
          </w:rPr>
          <w:fldChar w:fldCharType="separate"/>
        </w:r>
        <w:r>
          <w:rPr>
            <w:noProof/>
            <w:webHidden/>
          </w:rPr>
          <w:t>5</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14" w:history="1">
        <w:r w:rsidRPr="0053570A">
          <w:rPr>
            <w:rStyle w:val="Hyperlink"/>
            <w:noProof/>
          </w:rPr>
          <w:t>I. Introduction to product submission</w:t>
        </w:r>
        <w:r>
          <w:rPr>
            <w:noProof/>
            <w:webHidden/>
          </w:rPr>
          <w:tab/>
        </w:r>
        <w:r>
          <w:rPr>
            <w:noProof/>
            <w:webHidden/>
          </w:rPr>
          <w:fldChar w:fldCharType="begin"/>
        </w:r>
        <w:r>
          <w:rPr>
            <w:noProof/>
            <w:webHidden/>
          </w:rPr>
          <w:instrText xml:space="preserve"> PAGEREF _Toc466986514 \h </w:instrText>
        </w:r>
        <w:r>
          <w:rPr>
            <w:noProof/>
            <w:webHidden/>
          </w:rPr>
        </w:r>
        <w:r>
          <w:rPr>
            <w:noProof/>
            <w:webHidden/>
          </w:rPr>
          <w:fldChar w:fldCharType="separate"/>
        </w:r>
        <w:r>
          <w:rPr>
            <w:noProof/>
            <w:webHidden/>
          </w:rPr>
          <w:t>9</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15" w:history="1">
        <w:r w:rsidRPr="0053570A">
          <w:rPr>
            <w:rStyle w:val="Hyperlink"/>
            <w:noProof/>
            <w:lang w:eastAsia="en-AU"/>
          </w:rPr>
          <w:t>Submission details</w:t>
        </w:r>
        <w:r>
          <w:rPr>
            <w:noProof/>
            <w:webHidden/>
          </w:rPr>
          <w:tab/>
        </w:r>
        <w:r>
          <w:rPr>
            <w:noProof/>
            <w:webHidden/>
          </w:rPr>
          <w:fldChar w:fldCharType="begin"/>
        </w:r>
        <w:r>
          <w:rPr>
            <w:noProof/>
            <w:webHidden/>
          </w:rPr>
          <w:instrText xml:space="preserve"> PAGEREF _Toc466986515 \h </w:instrText>
        </w:r>
        <w:r>
          <w:rPr>
            <w:noProof/>
            <w:webHidden/>
          </w:rPr>
        </w:r>
        <w:r>
          <w:rPr>
            <w:noProof/>
            <w:webHidden/>
          </w:rPr>
          <w:fldChar w:fldCharType="separate"/>
        </w:r>
        <w:r>
          <w:rPr>
            <w:noProof/>
            <w:webHidden/>
          </w:rPr>
          <w:t>9</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16" w:history="1">
        <w:r w:rsidRPr="0053570A">
          <w:rPr>
            <w:rStyle w:val="Hyperlink"/>
            <w:noProof/>
          </w:rPr>
          <w:t>Product background</w:t>
        </w:r>
        <w:r>
          <w:rPr>
            <w:noProof/>
            <w:webHidden/>
          </w:rPr>
          <w:tab/>
        </w:r>
        <w:r>
          <w:rPr>
            <w:noProof/>
            <w:webHidden/>
          </w:rPr>
          <w:fldChar w:fldCharType="begin"/>
        </w:r>
        <w:r>
          <w:rPr>
            <w:noProof/>
            <w:webHidden/>
          </w:rPr>
          <w:instrText xml:space="preserve"> PAGEREF _Toc466986516 \h </w:instrText>
        </w:r>
        <w:r>
          <w:rPr>
            <w:noProof/>
            <w:webHidden/>
          </w:rPr>
        </w:r>
        <w:r>
          <w:rPr>
            <w:noProof/>
            <w:webHidden/>
          </w:rPr>
          <w:fldChar w:fldCharType="separate"/>
        </w:r>
        <w:r>
          <w:rPr>
            <w:noProof/>
            <w:webHidden/>
          </w:rPr>
          <w:t>10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17" w:history="1">
        <w:r w:rsidRPr="0053570A">
          <w:rPr>
            <w:rStyle w:val="Hyperlink"/>
            <w:noProof/>
          </w:rPr>
          <w:t>Regulatory status</w:t>
        </w:r>
        <w:r>
          <w:rPr>
            <w:noProof/>
            <w:webHidden/>
          </w:rPr>
          <w:tab/>
        </w:r>
        <w:r>
          <w:rPr>
            <w:noProof/>
            <w:webHidden/>
          </w:rPr>
          <w:fldChar w:fldCharType="begin"/>
        </w:r>
        <w:r>
          <w:rPr>
            <w:noProof/>
            <w:webHidden/>
          </w:rPr>
          <w:instrText xml:space="preserve"> PAGEREF _Toc466986517 \h </w:instrText>
        </w:r>
        <w:r>
          <w:rPr>
            <w:noProof/>
            <w:webHidden/>
          </w:rPr>
        </w:r>
        <w:r>
          <w:rPr>
            <w:noProof/>
            <w:webHidden/>
          </w:rPr>
          <w:fldChar w:fldCharType="separate"/>
        </w:r>
        <w:r>
          <w:rPr>
            <w:noProof/>
            <w:webHidden/>
          </w:rPr>
          <w:t>10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18" w:history="1">
        <w:r w:rsidRPr="0053570A">
          <w:rPr>
            <w:rStyle w:val="Hyperlink"/>
            <w:noProof/>
          </w:rPr>
          <w:t>Product Information</w:t>
        </w:r>
        <w:r>
          <w:rPr>
            <w:noProof/>
            <w:webHidden/>
          </w:rPr>
          <w:tab/>
        </w:r>
        <w:r>
          <w:rPr>
            <w:noProof/>
            <w:webHidden/>
          </w:rPr>
          <w:fldChar w:fldCharType="begin"/>
        </w:r>
        <w:r>
          <w:rPr>
            <w:noProof/>
            <w:webHidden/>
          </w:rPr>
          <w:instrText xml:space="preserve"> PAGEREF _Toc466986518 \h </w:instrText>
        </w:r>
        <w:r>
          <w:rPr>
            <w:noProof/>
            <w:webHidden/>
          </w:rPr>
        </w:r>
        <w:r>
          <w:rPr>
            <w:noProof/>
            <w:webHidden/>
          </w:rPr>
          <w:fldChar w:fldCharType="separate"/>
        </w:r>
        <w:r>
          <w:rPr>
            <w:noProof/>
            <w:webHidden/>
          </w:rPr>
          <w:t>12</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19" w:history="1">
        <w:r w:rsidRPr="0053570A">
          <w:rPr>
            <w:rStyle w:val="Hyperlink"/>
            <w:noProof/>
          </w:rPr>
          <w:t>II. Quality findings</w:t>
        </w:r>
        <w:r>
          <w:rPr>
            <w:noProof/>
            <w:webHidden/>
          </w:rPr>
          <w:tab/>
        </w:r>
        <w:r>
          <w:rPr>
            <w:noProof/>
            <w:webHidden/>
          </w:rPr>
          <w:fldChar w:fldCharType="begin"/>
        </w:r>
        <w:r>
          <w:rPr>
            <w:noProof/>
            <w:webHidden/>
          </w:rPr>
          <w:instrText xml:space="preserve"> PAGEREF _Toc466986519 \h </w:instrText>
        </w:r>
        <w:r>
          <w:rPr>
            <w:noProof/>
            <w:webHidden/>
          </w:rPr>
        </w:r>
        <w:r>
          <w:rPr>
            <w:noProof/>
            <w:webHidden/>
          </w:rPr>
          <w:fldChar w:fldCharType="separate"/>
        </w:r>
        <w:r>
          <w:rPr>
            <w:noProof/>
            <w:webHidden/>
          </w:rPr>
          <w:t>12</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0" w:history="1">
        <w:r w:rsidRPr="0053570A">
          <w:rPr>
            <w:rStyle w:val="Hyperlink"/>
            <w:noProof/>
          </w:rPr>
          <w:t>Introduction</w:t>
        </w:r>
        <w:r>
          <w:rPr>
            <w:noProof/>
            <w:webHidden/>
          </w:rPr>
          <w:tab/>
        </w:r>
        <w:r>
          <w:rPr>
            <w:noProof/>
            <w:webHidden/>
          </w:rPr>
          <w:fldChar w:fldCharType="begin"/>
        </w:r>
        <w:r>
          <w:rPr>
            <w:noProof/>
            <w:webHidden/>
          </w:rPr>
          <w:instrText xml:space="preserve"> PAGEREF _Toc466986520 \h </w:instrText>
        </w:r>
        <w:r>
          <w:rPr>
            <w:noProof/>
            <w:webHidden/>
          </w:rPr>
        </w:r>
        <w:r>
          <w:rPr>
            <w:noProof/>
            <w:webHidden/>
          </w:rPr>
          <w:fldChar w:fldCharType="separate"/>
        </w:r>
        <w:r>
          <w:rPr>
            <w:noProof/>
            <w:webHidden/>
          </w:rPr>
          <w:t>12</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1" w:history="1">
        <w:r w:rsidRPr="0053570A">
          <w:rPr>
            <w:rStyle w:val="Hyperlink"/>
            <w:noProof/>
          </w:rPr>
          <w:t>Drug substance (active ingredient)</w:t>
        </w:r>
        <w:r>
          <w:rPr>
            <w:noProof/>
            <w:webHidden/>
          </w:rPr>
          <w:tab/>
        </w:r>
        <w:r>
          <w:rPr>
            <w:noProof/>
            <w:webHidden/>
          </w:rPr>
          <w:fldChar w:fldCharType="begin"/>
        </w:r>
        <w:r>
          <w:rPr>
            <w:noProof/>
            <w:webHidden/>
          </w:rPr>
          <w:instrText xml:space="preserve"> PAGEREF _Toc466986521 \h </w:instrText>
        </w:r>
        <w:r>
          <w:rPr>
            <w:noProof/>
            <w:webHidden/>
          </w:rPr>
        </w:r>
        <w:r>
          <w:rPr>
            <w:noProof/>
            <w:webHidden/>
          </w:rPr>
          <w:fldChar w:fldCharType="separate"/>
        </w:r>
        <w:r>
          <w:rPr>
            <w:noProof/>
            <w:webHidden/>
          </w:rPr>
          <w:t>12</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2" w:history="1">
        <w:r w:rsidRPr="0053570A">
          <w:rPr>
            <w:rStyle w:val="Hyperlink"/>
            <w:noProof/>
          </w:rPr>
          <w:t>Drug product</w:t>
        </w:r>
        <w:r>
          <w:rPr>
            <w:noProof/>
            <w:webHidden/>
          </w:rPr>
          <w:tab/>
        </w:r>
        <w:r>
          <w:rPr>
            <w:noProof/>
            <w:webHidden/>
          </w:rPr>
          <w:fldChar w:fldCharType="begin"/>
        </w:r>
        <w:r>
          <w:rPr>
            <w:noProof/>
            <w:webHidden/>
          </w:rPr>
          <w:instrText xml:space="preserve"> PAGEREF _Toc466986522 \h </w:instrText>
        </w:r>
        <w:r>
          <w:rPr>
            <w:noProof/>
            <w:webHidden/>
          </w:rPr>
        </w:r>
        <w:r>
          <w:rPr>
            <w:noProof/>
            <w:webHidden/>
          </w:rPr>
          <w:fldChar w:fldCharType="separate"/>
        </w:r>
        <w:r>
          <w:rPr>
            <w:noProof/>
            <w:webHidden/>
          </w:rPr>
          <w:t>12</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3" w:history="1">
        <w:r w:rsidRPr="0053570A">
          <w:rPr>
            <w:rStyle w:val="Hyperlink"/>
            <w:noProof/>
          </w:rPr>
          <w:t>Biopharmaceutics</w:t>
        </w:r>
        <w:r>
          <w:rPr>
            <w:noProof/>
            <w:webHidden/>
          </w:rPr>
          <w:tab/>
        </w:r>
        <w:r>
          <w:rPr>
            <w:noProof/>
            <w:webHidden/>
          </w:rPr>
          <w:fldChar w:fldCharType="begin"/>
        </w:r>
        <w:r>
          <w:rPr>
            <w:noProof/>
            <w:webHidden/>
          </w:rPr>
          <w:instrText xml:space="preserve"> PAGEREF _Toc466986523 \h </w:instrText>
        </w:r>
        <w:r>
          <w:rPr>
            <w:noProof/>
            <w:webHidden/>
          </w:rPr>
        </w:r>
        <w:r>
          <w:rPr>
            <w:noProof/>
            <w:webHidden/>
          </w:rPr>
          <w:fldChar w:fldCharType="separate"/>
        </w:r>
        <w:r>
          <w:rPr>
            <w:noProof/>
            <w:webHidden/>
          </w:rPr>
          <w:t>13</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4" w:history="1">
        <w:r w:rsidRPr="0053570A">
          <w:rPr>
            <w:rStyle w:val="Hyperlink"/>
            <w:noProof/>
          </w:rPr>
          <w:t>Advisory committee considerations</w:t>
        </w:r>
        <w:r>
          <w:rPr>
            <w:noProof/>
            <w:webHidden/>
          </w:rPr>
          <w:tab/>
        </w:r>
        <w:r>
          <w:rPr>
            <w:noProof/>
            <w:webHidden/>
          </w:rPr>
          <w:fldChar w:fldCharType="begin"/>
        </w:r>
        <w:r>
          <w:rPr>
            <w:noProof/>
            <w:webHidden/>
          </w:rPr>
          <w:instrText xml:space="preserve"> PAGEREF _Toc466986524 \h </w:instrText>
        </w:r>
        <w:r>
          <w:rPr>
            <w:noProof/>
            <w:webHidden/>
          </w:rPr>
        </w:r>
        <w:r>
          <w:rPr>
            <w:noProof/>
            <w:webHidden/>
          </w:rPr>
          <w:fldChar w:fldCharType="separate"/>
        </w:r>
        <w:r>
          <w:rPr>
            <w:noProof/>
            <w:webHidden/>
          </w:rPr>
          <w:t>13</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5" w:history="1">
        <w:r w:rsidRPr="0053570A">
          <w:rPr>
            <w:rStyle w:val="Hyperlink"/>
            <w:noProof/>
          </w:rPr>
          <w:t>Quality summary and conclusions</w:t>
        </w:r>
        <w:r>
          <w:rPr>
            <w:noProof/>
            <w:webHidden/>
          </w:rPr>
          <w:tab/>
        </w:r>
        <w:r>
          <w:rPr>
            <w:noProof/>
            <w:webHidden/>
          </w:rPr>
          <w:fldChar w:fldCharType="begin"/>
        </w:r>
        <w:r>
          <w:rPr>
            <w:noProof/>
            <w:webHidden/>
          </w:rPr>
          <w:instrText xml:space="preserve"> PAGEREF _Toc466986525 \h </w:instrText>
        </w:r>
        <w:r>
          <w:rPr>
            <w:noProof/>
            <w:webHidden/>
          </w:rPr>
        </w:r>
        <w:r>
          <w:rPr>
            <w:noProof/>
            <w:webHidden/>
          </w:rPr>
          <w:fldChar w:fldCharType="separate"/>
        </w:r>
        <w:r>
          <w:rPr>
            <w:noProof/>
            <w:webHidden/>
          </w:rPr>
          <w:t>14</w:t>
        </w:r>
        <w:r>
          <w:rPr>
            <w:noProof/>
            <w:webHidden/>
          </w:rPr>
          <w:fldChar w:fldCharType="end"/>
        </w:r>
      </w:hyperlink>
      <w:bookmarkStart w:id="3" w:name="_GoBack"/>
      <w:bookmarkEnd w:id="3"/>
    </w:p>
    <w:p w:rsidR="00EA0905" w:rsidRDefault="00EA0905">
      <w:pPr>
        <w:pStyle w:val="TOC2"/>
        <w:rPr>
          <w:rFonts w:asciiTheme="minorHAnsi" w:eastAsiaTheme="minorEastAsia" w:hAnsiTheme="minorHAnsi" w:cstheme="minorBidi"/>
          <w:b w:val="0"/>
          <w:noProof/>
          <w:sz w:val="22"/>
          <w:lang w:eastAsia="en-AU"/>
        </w:rPr>
      </w:pPr>
      <w:hyperlink w:anchor="_Toc466986526" w:history="1">
        <w:r w:rsidRPr="0053570A">
          <w:rPr>
            <w:rStyle w:val="Hyperlink"/>
            <w:noProof/>
          </w:rPr>
          <w:t>III. Nonclinical findings</w:t>
        </w:r>
        <w:r>
          <w:rPr>
            <w:noProof/>
            <w:webHidden/>
          </w:rPr>
          <w:tab/>
        </w:r>
        <w:r>
          <w:rPr>
            <w:noProof/>
            <w:webHidden/>
          </w:rPr>
          <w:fldChar w:fldCharType="begin"/>
        </w:r>
        <w:r>
          <w:rPr>
            <w:noProof/>
            <w:webHidden/>
          </w:rPr>
          <w:instrText xml:space="preserve"> PAGEREF _Toc466986526 \h </w:instrText>
        </w:r>
        <w:r>
          <w:rPr>
            <w:noProof/>
            <w:webHidden/>
          </w:rPr>
        </w:r>
        <w:r>
          <w:rPr>
            <w:noProof/>
            <w:webHidden/>
          </w:rPr>
          <w:fldChar w:fldCharType="separate"/>
        </w:r>
        <w:r>
          <w:rPr>
            <w:noProof/>
            <w:webHidden/>
          </w:rPr>
          <w:t>14</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7" w:history="1">
        <w:r w:rsidRPr="0053570A">
          <w:rPr>
            <w:rStyle w:val="Hyperlink"/>
            <w:noProof/>
          </w:rPr>
          <w:t>Introduction</w:t>
        </w:r>
        <w:r>
          <w:rPr>
            <w:noProof/>
            <w:webHidden/>
          </w:rPr>
          <w:tab/>
        </w:r>
        <w:r>
          <w:rPr>
            <w:noProof/>
            <w:webHidden/>
          </w:rPr>
          <w:fldChar w:fldCharType="begin"/>
        </w:r>
        <w:r>
          <w:rPr>
            <w:noProof/>
            <w:webHidden/>
          </w:rPr>
          <w:instrText xml:space="preserve"> PAGEREF _Toc466986527 \h </w:instrText>
        </w:r>
        <w:r>
          <w:rPr>
            <w:noProof/>
            <w:webHidden/>
          </w:rPr>
        </w:r>
        <w:r>
          <w:rPr>
            <w:noProof/>
            <w:webHidden/>
          </w:rPr>
          <w:fldChar w:fldCharType="separate"/>
        </w:r>
        <w:r>
          <w:rPr>
            <w:noProof/>
            <w:webHidden/>
          </w:rPr>
          <w:t>14</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8" w:history="1">
        <w:r w:rsidRPr="0053570A">
          <w:rPr>
            <w:rStyle w:val="Hyperlink"/>
            <w:noProof/>
          </w:rPr>
          <w:t>Pharmacology</w:t>
        </w:r>
        <w:r>
          <w:rPr>
            <w:noProof/>
            <w:webHidden/>
          </w:rPr>
          <w:tab/>
        </w:r>
        <w:r>
          <w:rPr>
            <w:noProof/>
            <w:webHidden/>
          </w:rPr>
          <w:fldChar w:fldCharType="begin"/>
        </w:r>
        <w:r>
          <w:rPr>
            <w:noProof/>
            <w:webHidden/>
          </w:rPr>
          <w:instrText xml:space="preserve"> PAGEREF _Toc466986528 \h </w:instrText>
        </w:r>
        <w:r>
          <w:rPr>
            <w:noProof/>
            <w:webHidden/>
          </w:rPr>
        </w:r>
        <w:r>
          <w:rPr>
            <w:noProof/>
            <w:webHidden/>
          </w:rPr>
          <w:fldChar w:fldCharType="separate"/>
        </w:r>
        <w:r>
          <w:rPr>
            <w:noProof/>
            <w:webHidden/>
          </w:rPr>
          <w:t>14</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29" w:history="1">
        <w:r w:rsidRPr="0053570A">
          <w:rPr>
            <w:rStyle w:val="Hyperlink"/>
            <w:noProof/>
          </w:rPr>
          <w:t>Pharmacokinetics</w:t>
        </w:r>
        <w:r>
          <w:rPr>
            <w:noProof/>
            <w:webHidden/>
          </w:rPr>
          <w:tab/>
        </w:r>
        <w:r>
          <w:rPr>
            <w:noProof/>
            <w:webHidden/>
          </w:rPr>
          <w:fldChar w:fldCharType="begin"/>
        </w:r>
        <w:r>
          <w:rPr>
            <w:noProof/>
            <w:webHidden/>
          </w:rPr>
          <w:instrText xml:space="preserve"> PAGEREF _Toc466986529 \h </w:instrText>
        </w:r>
        <w:r>
          <w:rPr>
            <w:noProof/>
            <w:webHidden/>
          </w:rPr>
        </w:r>
        <w:r>
          <w:rPr>
            <w:noProof/>
            <w:webHidden/>
          </w:rPr>
          <w:fldChar w:fldCharType="separate"/>
        </w:r>
        <w:r>
          <w:rPr>
            <w:noProof/>
            <w:webHidden/>
          </w:rPr>
          <w:t>19</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0" w:history="1">
        <w:r w:rsidRPr="0053570A">
          <w:rPr>
            <w:rStyle w:val="Hyperlink"/>
            <w:noProof/>
          </w:rPr>
          <w:t>Pharmacokinetic drug interactions</w:t>
        </w:r>
        <w:r>
          <w:rPr>
            <w:noProof/>
            <w:webHidden/>
          </w:rPr>
          <w:tab/>
        </w:r>
        <w:r>
          <w:rPr>
            <w:noProof/>
            <w:webHidden/>
          </w:rPr>
          <w:fldChar w:fldCharType="begin"/>
        </w:r>
        <w:r>
          <w:rPr>
            <w:noProof/>
            <w:webHidden/>
          </w:rPr>
          <w:instrText xml:space="preserve"> PAGEREF _Toc466986530 \h </w:instrText>
        </w:r>
        <w:r>
          <w:rPr>
            <w:noProof/>
            <w:webHidden/>
          </w:rPr>
        </w:r>
        <w:r>
          <w:rPr>
            <w:noProof/>
            <w:webHidden/>
          </w:rPr>
          <w:fldChar w:fldCharType="separate"/>
        </w:r>
        <w:r>
          <w:rPr>
            <w:noProof/>
            <w:webHidden/>
          </w:rPr>
          <w:t>19</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1" w:history="1">
        <w:r w:rsidRPr="0053570A">
          <w:rPr>
            <w:rStyle w:val="Hyperlink"/>
            <w:noProof/>
          </w:rPr>
          <w:t>Toxicology</w:t>
        </w:r>
        <w:r>
          <w:rPr>
            <w:noProof/>
            <w:webHidden/>
          </w:rPr>
          <w:tab/>
        </w:r>
        <w:r>
          <w:rPr>
            <w:noProof/>
            <w:webHidden/>
          </w:rPr>
          <w:fldChar w:fldCharType="begin"/>
        </w:r>
        <w:r>
          <w:rPr>
            <w:noProof/>
            <w:webHidden/>
          </w:rPr>
          <w:instrText xml:space="preserve"> PAGEREF _Toc466986531 \h </w:instrText>
        </w:r>
        <w:r>
          <w:rPr>
            <w:noProof/>
            <w:webHidden/>
          </w:rPr>
        </w:r>
        <w:r>
          <w:rPr>
            <w:noProof/>
            <w:webHidden/>
          </w:rPr>
          <w:fldChar w:fldCharType="separate"/>
        </w:r>
        <w:r>
          <w:rPr>
            <w:noProof/>
            <w:webHidden/>
          </w:rPr>
          <w:t>20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2" w:history="1">
        <w:r w:rsidRPr="0053570A">
          <w:rPr>
            <w:rStyle w:val="Hyperlink"/>
            <w:noProof/>
          </w:rPr>
          <w:t>Genotoxicity</w:t>
        </w:r>
        <w:r>
          <w:rPr>
            <w:noProof/>
            <w:webHidden/>
          </w:rPr>
          <w:tab/>
        </w:r>
        <w:r>
          <w:rPr>
            <w:noProof/>
            <w:webHidden/>
          </w:rPr>
          <w:fldChar w:fldCharType="begin"/>
        </w:r>
        <w:r>
          <w:rPr>
            <w:noProof/>
            <w:webHidden/>
          </w:rPr>
          <w:instrText xml:space="preserve"> PAGEREF _Toc466986532 \h </w:instrText>
        </w:r>
        <w:r>
          <w:rPr>
            <w:noProof/>
            <w:webHidden/>
          </w:rPr>
        </w:r>
        <w:r>
          <w:rPr>
            <w:noProof/>
            <w:webHidden/>
          </w:rPr>
          <w:fldChar w:fldCharType="separate"/>
        </w:r>
        <w:r>
          <w:rPr>
            <w:noProof/>
            <w:webHidden/>
          </w:rPr>
          <w:t>25</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3" w:history="1">
        <w:r w:rsidRPr="0053570A">
          <w:rPr>
            <w:rStyle w:val="Hyperlink"/>
            <w:noProof/>
          </w:rPr>
          <w:t>Paediatric use</w:t>
        </w:r>
        <w:r>
          <w:rPr>
            <w:noProof/>
            <w:webHidden/>
          </w:rPr>
          <w:tab/>
        </w:r>
        <w:r>
          <w:rPr>
            <w:noProof/>
            <w:webHidden/>
          </w:rPr>
          <w:fldChar w:fldCharType="begin"/>
        </w:r>
        <w:r>
          <w:rPr>
            <w:noProof/>
            <w:webHidden/>
          </w:rPr>
          <w:instrText xml:space="preserve"> PAGEREF _Toc466986533 \h </w:instrText>
        </w:r>
        <w:r>
          <w:rPr>
            <w:noProof/>
            <w:webHidden/>
          </w:rPr>
        </w:r>
        <w:r>
          <w:rPr>
            <w:noProof/>
            <w:webHidden/>
          </w:rPr>
          <w:fldChar w:fldCharType="separate"/>
        </w:r>
        <w:r>
          <w:rPr>
            <w:noProof/>
            <w:webHidden/>
          </w:rPr>
          <w:t>28</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4" w:history="1">
        <w:r w:rsidRPr="0053570A">
          <w:rPr>
            <w:rStyle w:val="Hyperlink"/>
            <w:noProof/>
          </w:rPr>
          <w:t>Nonclinical summary</w:t>
        </w:r>
        <w:r>
          <w:rPr>
            <w:noProof/>
            <w:webHidden/>
          </w:rPr>
          <w:tab/>
        </w:r>
        <w:r>
          <w:rPr>
            <w:noProof/>
            <w:webHidden/>
          </w:rPr>
          <w:fldChar w:fldCharType="begin"/>
        </w:r>
        <w:r>
          <w:rPr>
            <w:noProof/>
            <w:webHidden/>
          </w:rPr>
          <w:instrText xml:space="preserve"> PAGEREF _Toc466986534 \h </w:instrText>
        </w:r>
        <w:r>
          <w:rPr>
            <w:noProof/>
            <w:webHidden/>
          </w:rPr>
        </w:r>
        <w:r>
          <w:rPr>
            <w:noProof/>
            <w:webHidden/>
          </w:rPr>
          <w:fldChar w:fldCharType="separate"/>
        </w:r>
        <w:r>
          <w:rPr>
            <w:noProof/>
            <w:webHidden/>
          </w:rPr>
          <w:t>28</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35" w:history="1">
        <w:r w:rsidRPr="0053570A">
          <w:rPr>
            <w:rStyle w:val="Hyperlink"/>
            <w:noProof/>
          </w:rPr>
          <w:t>IV. Clinical findings</w:t>
        </w:r>
        <w:r>
          <w:rPr>
            <w:noProof/>
            <w:webHidden/>
          </w:rPr>
          <w:tab/>
        </w:r>
        <w:r>
          <w:rPr>
            <w:noProof/>
            <w:webHidden/>
          </w:rPr>
          <w:fldChar w:fldCharType="begin"/>
        </w:r>
        <w:r>
          <w:rPr>
            <w:noProof/>
            <w:webHidden/>
          </w:rPr>
          <w:instrText xml:space="preserve"> PAGEREF _Toc466986535 \h </w:instrText>
        </w:r>
        <w:r>
          <w:rPr>
            <w:noProof/>
            <w:webHidden/>
          </w:rPr>
        </w:r>
        <w:r>
          <w:rPr>
            <w:noProof/>
            <w:webHidden/>
          </w:rPr>
          <w:fldChar w:fldCharType="separate"/>
        </w:r>
        <w:r>
          <w:rPr>
            <w:noProof/>
            <w:webHidden/>
          </w:rPr>
          <w:t>30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6" w:history="1">
        <w:r w:rsidRPr="0053570A">
          <w:rPr>
            <w:rStyle w:val="Hyperlink"/>
            <w:noProof/>
          </w:rPr>
          <w:t>Clinical rationale</w:t>
        </w:r>
        <w:r>
          <w:rPr>
            <w:noProof/>
            <w:webHidden/>
          </w:rPr>
          <w:tab/>
        </w:r>
        <w:r>
          <w:rPr>
            <w:noProof/>
            <w:webHidden/>
          </w:rPr>
          <w:fldChar w:fldCharType="begin"/>
        </w:r>
        <w:r>
          <w:rPr>
            <w:noProof/>
            <w:webHidden/>
          </w:rPr>
          <w:instrText xml:space="preserve"> PAGEREF _Toc466986536 \h </w:instrText>
        </w:r>
        <w:r>
          <w:rPr>
            <w:noProof/>
            <w:webHidden/>
          </w:rPr>
        </w:r>
        <w:r>
          <w:rPr>
            <w:noProof/>
            <w:webHidden/>
          </w:rPr>
          <w:fldChar w:fldCharType="separate"/>
        </w:r>
        <w:r>
          <w:rPr>
            <w:noProof/>
            <w:webHidden/>
          </w:rPr>
          <w:t>30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7" w:history="1">
        <w:r w:rsidRPr="0053570A">
          <w:rPr>
            <w:rStyle w:val="Hyperlink"/>
            <w:noProof/>
          </w:rPr>
          <w:t>Pharmacokinetics</w:t>
        </w:r>
        <w:r>
          <w:rPr>
            <w:noProof/>
            <w:webHidden/>
          </w:rPr>
          <w:tab/>
        </w:r>
        <w:r>
          <w:rPr>
            <w:noProof/>
            <w:webHidden/>
          </w:rPr>
          <w:fldChar w:fldCharType="begin"/>
        </w:r>
        <w:r>
          <w:rPr>
            <w:noProof/>
            <w:webHidden/>
          </w:rPr>
          <w:instrText xml:space="preserve"> PAGEREF _Toc466986537 \h </w:instrText>
        </w:r>
        <w:r>
          <w:rPr>
            <w:noProof/>
            <w:webHidden/>
          </w:rPr>
        </w:r>
        <w:r>
          <w:rPr>
            <w:noProof/>
            <w:webHidden/>
          </w:rPr>
          <w:fldChar w:fldCharType="separate"/>
        </w:r>
        <w:r>
          <w:rPr>
            <w:noProof/>
            <w:webHidden/>
          </w:rPr>
          <w:t>31</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8" w:history="1">
        <w:r w:rsidRPr="0053570A">
          <w:rPr>
            <w:rStyle w:val="Hyperlink"/>
            <w:noProof/>
          </w:rPr>
          <w:t>Population pharmacokinetics</w:t>
        </w:r>
        <w:r>
          <w:rPr>
            <w:noProof/>
            <w:webHidden/>
          </w:rPr>
          <w:tab/>
        </w:r>
        <w:r>
          <w:rPr>
            <w:noProof/>
            <w:webHidden/>
          </w:rPr>
          <w:fldChar w:fldCharType="begin"/>
        </w:r>
        <w:r>
          <w:rPr>
            <w:noProof/>
            <w:webHidden/>
          </w:rPr>
          <w:instrText xml:space="preserve"> PAGEREF _Toc466986538 \h </w:instrText>
        </w:r>
        <w:r>
          <w:rPr>
            <w:noProof/>
            <w:webHidden/>
          </w:rPr>
        </w:r>
        <w:r>
          <w:rPr>
            <w:noProof/>
            <w:webHidden/>
          </w:rPr>
          <w:fldChar w:fldCharType="separate"/>
        </w:r>
        <w:r>
          <w:rPr>
            <w:noProof/>
            <w:webHidden/>
          </w:rPr>
          <w:t>37</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39" w:history="1">
        <w:r w:rsidRPr="0053570A">
          <w:rPr>
            <w:rStyle w:val="Hyperlink"/>
            <w:noProof/>
          </w:rPr>
          <w:t>Efficacy</w:t>
        </w:r>
        <w:r>
          <w:rPr>
            <w:noProof/>
            <w:webHidden/>
          </w:rPr>
          <w:tab/>
        </w:r>
        <w:r>
          <w:rPr>
            <w:noProof/>
            <w:webHidden/>
          </w:rPr>
          <w:fldChar w:fldCharType="begin"/>
        </w:r>
        <w:r>
          <w:rPr>
            <w:noProof/>
            <w:webHidden/>
          </w:rPr>
          <w:instrText xml:space="preserve"> PAGEREF _Toc466986539 \h </w:instrText>
        </w:r>
        <w:r>
          <w:rPr>
            <w:noProof/>
            <w:webHidden/>
          </w:rPr>
        </w:r>
        <w:r>
          <w:rPr>
            <w:noProof/>
            <w:webHidden/>
          </w:rPr>
          <w:fldChar w:fldCharType="separate"/>
        </w:r>
        <w:r>
          <w:rPr>
            <w:noProof/>
            <w:webHidden/>
          </w:rPr>
          <w:t>42</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0" w:history="1">
        <w:r w:rsidRPr="0053570A">
          <w:rPr>
            <w:rStyle w:val="Hyperlink"/>
            <w:noProof/>
          </w:rPr>
          <w:t>Safety</w:t>
        </w:r>
        <w:r>
          <w:rPr>
            <w:noProof/>
            <w:webHidden/>
          </w:rPr>
          <w:tab/>
        </w:r>
        <w:r>
          <w:rPr>
            <w:noProof/>
            <w:webHidden/>
          </w:rPr>
          <w:fldChar w:fldCharType="begin"/>
        </w:r>
        <w:r>
          <w:rPr>
            <w:noProof/>
            <w:webHidden/>
          </w:rPr>
          <w:instrText xml:space="preserve"> PAGEREF _Toc466986540 \h </w:instrText>
        </w:r>
        <w:r>
          <w:rPr>
            <w:noProof/>
            <w:webHidden/>
          </w:rPr>
        </w:r>
        <w:r>
          <w:rPr>
            <w:noProof/>
            <w:webHidden/>
          </w:rPr>
          <w:fldChar w:fldCharType="separate"/>
        </w:r>
        <w:r>
          <w:rPr>
            <w:noProof/>
            <w:webHidden/>
          </w:rPr>
          <w:t>44</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1" w:history="1">
        <w:r w:rsidRPr="0053570A">
          <w:rPr>
            <w:rStyle w:val="Hyperlink"/>
            <w:noProof/>
          </w:rPr>
          <w:t>First round benefit-risk assessment</w:t>
        </w:r>
        <w:r>
          <w:rPr>
            <w:noProof/>
            <w:webHidden/>
          </w:rPr>
          <w:tab/>
        </w:r>
        <w:r>
          <w:rPr>
            <w:noProof/>
            <w:webHidden/>
          </w:rPr>
          <w:fldChar w:fldCharType="begin"/>
        </w:r>
        <w:r>
          <w:rPr>
            <w:noProof/>
            <w:webHidden/>
          </w:rPr>
          <w:instrText xml:space="preserve"> PAGEREF _Toc466986541 \h </w:instrText>
        </w:r>
        <w:r>
          <w:rPr>
            <w:noProof/>
            <w:webHidden/>
          </w:rPr>
        </w:r>
        <w:r>
          <w:rPr>
            <w:noProof/>
            <w:webHidden/>
          </w:rPr>
          <w:fldChar w:fldCharType="separate"/>
        </w:r>
        <w:r>
          <w:rPr>
            <w:noProof/>
            <w:webHidden/>
          </w:rPr>
          <w:t>47</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2" w:history="1">
        <w:r w:rsidRPr="0053570A">
          <w:rPr>
            <w:rStyle w:val="Hyperlink"/>
            <w:noProof/>
          </w:rPr>
          <w:t>First round recommendation regarding authorisation</w:t>
        </w:r>
        <w:r>
          <w:rPr>
            <w:noProof/>
            <w:webHidden/>
          </w:rPr>
          <w:tab/>
        </w:r>
        <w:r>
          <w:rPr>
            <w:noProof/>
            <w:webHidden/>
          </w:rPr>
          <w:fldChar w:fldCharType="begin"/>
        </w:r>
        <w:r>
          <w:rPr>
            <w:noProof/>
            <w:webHidden/>
          </w:rPr>
          <w:instrText xml:space="preserve"> PAGEREF _Toc466986542 \h </w:instrText>
        </w:r>
        <w:r>
          <w:rPr>
            <w:noProof/>
            <w:webHidden/>
          </w:rPr>
        </w:r>
        <w:r>
          <w:rPr>
            <w:noProof/>
            <w:webHidden/>
          </w:rPr>
          <w:fldChar w:fldCharType="separate"/>
        </w:r>
        <w:r>
          <w:rPr>
            <w:noProof/>
            <w:webHidden/>
          </w:rPr>
          <w:t>50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3" w:history="1">
        <w:r w:rsidRPr="0053570A">
          <w:rPr>
            <w:rStyle w:val="Hyperlink"/>
            <w:noProof/>
          </w:rPr>
          <w:t>Clinical questions</w:t>
        </w:r>
        <w:r>
          <w:rPr>
            <w:noProof/>
            <w:webHidden/>
          </w:rPr>
          <w:tab/>
        </w:r>
        <w:r>
          <w:rPr>
            <w:noProof/>
            <w:webHidden/>
          </w:rPr>
          <w:fldChar w:fldCharType="begin"/>
        </w:r>
        <w:r>
          <w:rPr>
            <w:noProof/>
            <w:webHidden/>
          </w:rPr>
          <w:instrText xml:space="preserve"> PAGEREF _Toc466986543 \h </w:instrText>
        </w:r>
        <w:r>
          <w:rPr>
            <w:noProof/>
            <w:webHidden/>
          </w:rPr>
        </w:r>
        <w:r>
          <w:rPr>
            <w:noProof/>
            <w:webHidden/>
          </w:rPr>
          <w:fldChar w:fldCharType="separate"/>
        </w:r>
        <w:r>
          <w:rPr>
            <w:noProof/>
            <w:webHidden/>
          </w:rPr>
          <w:t>50</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4" w:history="1">
        <w:r w:rsidRPr="0053570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_Toc466986544 \h </w:instrText>
        </w:r>
        <w:r>
          <w:rPr>
            <w:noProof/>
            <w:webHidden/>
          </w:rPr>
        </w:r>
        <w:r>
          <w:rPr>
            <w:noProof/>
            <w:webHidden/>
          </w:rPr>
          <w:fldChar w:fldCharType="separate"/>
        </w:r>
        <w:r>
          <w:rPr>
            <w:noProof/>
            <w:webHidden/>
          </w:rPr>
          <w:t>51</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5" w:history="1">
        <w:r w:rsidRPr="0053570A">
          <w:rPr>
            <w:rStyle w:val="Hyperlink"/>
            <w:noProof/>
          </w:rPr>
          <w:t>Second round benefit-risk assessment</w:t>
        </w:r>
        <w:r>
          <w:rPr>
            <w:noProof/>
            <w:webHidden/>
          </w:rPr>
          <w:tab/>
        </w:r>
        <w:r>
          <w:rPr>
            <w:noProof/>
            <w:webHidden/>
          </w:rPr>
          <w:fldChar w:fldCharType="begin"/>
        </w:r>
        <w:r>
          <w:rPr>
            <w:noProof/>
            <w:webHidden/>
          </w:rPr>
          <w:instrText xml:space="preserve"> PAGEREF _Toc466986545 \h </w:instrText>
        </w:r>
        <w:r>
          <w:rPr>
            <w:noProof/>
            <w:webHidden/>
          </w:rPr>
        </w:r>
        <w:r>
          <w:rPr>
            <w:noProof/>
            <w:webHidden/>
          </w:rPr>
          <w:fldChar w:fldCharType="separate"/>
        </w:r>
        <w:r>
          <w:rPr>
            <w:noProof/>
            <w:webHidden/>
          </w:rPr>
          <w:t>51</w:t>
        </w:r>
        <w:r>
          <w:rPr>
            <w:noProof/>
            <w:webHidden/>
          </w:rPr>
          <w:fldChar w:fldCharType="end"/>
        </w:r>
      </w:hyperlink>
      <w:r>
        <w:rPr>
          <w:rStyle w:val="Hyperlink"/>
          <w:noProof/>
        </w:rPr>
        <w:br/>
      </w:r>
    </w:p>
    <w:p w:rsidR="00EA0905" w:rsidRDefault="00EA0905">
      <w:pPr>
        <w:pStyle w:val="TOC2"/>
        <w:rPr>
          <w:rFonts w:asciiTheme="minorHAnsi" w:eastAsiaTheme="minorEastAsia" w:hAnsiTheme="minorHAnsi" w:cstheme="minorBidi"/>
          <w:b w:val="0"/>
          <w:noProof/>
          <w:sz w:val="22"/>
          <w:lang w:eastAsia="en-AU"/>
        </w:rPr>
      </w:pPr>
      <w:hyperlink w:anchor="_Toc466986546" w:history="1">
        <w:r w:rsidRPr="0053570A">
          <w:rPr>
            <w:rStyle w:val="Hyperlink"/>
            <w:noProof/>
          </w:rPr>
          <w:t>V. Pharmacovigilance findings</w:t>
        </w:r>
        <w:r>
          <w:rPr>
            <w:noProof/>
            <w:webHidden/>
          </w:rPr>
          <w:tab/>
        </w:r>
        <w:r>
          <w:rPr>
            <w:noProof/>
            <w:webHidden/>
          </w:rPr>
          <w:fldChar w:fldCharType="begin"/>
        </w:r>
        <w:r>
          <w:rPr>
            <w:noProof/>
            <w:webHidden/>
          </w:rPr>
          <w:instrText xml:space="preserve"> PAGEREF _Toc466986546 \h </w:instrText>
        </w:r>
        <w:r>
          <w:rPr>
            <w:noProof/>
            <w:webHidden/>
          </w:rPr>
        </w:r>
        <w:r>
          <w:rPr>
            <w:noProof/>
            <w:webHidden/>
          </w:rPr>
          <w:fldChar w:fldCharType="separate"/>
        </w:r>
        <w:r>
          <w:rPr>
            <w:noProof/>
            <w:webHidden/>
          </w:rPr>
          <w:t>51</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7" w:history="1">
        <w:r w:rsidRPr="0053570A">
          <w:rPr>
            <w:rStyle w:val="Hyperlink"/>
            <w:noProof/>
          </w:rPr>
          <w:t>Risk management plan</w:t>
        </w:r>
        <w:r>
          <w:rPr>
            <w:noProof/>
            <w:webHidden/>
          </w:rPr>
          <w:tab/>
        </w:r>
        <w:r>
          <w:rPr>
            <w:noProof/>
            <w:webHidden/>
          </w:rPr>
          <w:fldChar w:fldCharType="begin"/>
        </w:r>
        <w:r>
          <w:rPr>
            <w:noProof/>
            <w:webHidden/>
          </w:rPr>
          <w:instrText xml:space="preserve"> PAGEREF _Toc466986547 \h </w:instrText>
        </w:r>
        <w:r>
          <w:rPr>
            <w:noProof/>
            <w:webHidden/>
          </w:rPr>
        </w:r>
        <w:r>
          <w:rPr>
            <w:noProof/>
            <w:webHidden/>
          </w:rPr>
          <w:fldChar w:fldCharType="separate"/>
        </w:r>
        <w:r>
          <w:rPr>
            <w:noProof/>
            <w:webHidden/>
          </w:rPr>
          <w:t>51</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48" w:history="1">
        <w:r w:rsidRPr="0053570A">
          <w:rPr>
            <w:rStyle w:val="Hyperlink"/>
            <w:noProof/>
            <w:lang w:eastAsia="en-AU"/>
          </w:rPr>
          <w:t>Summary of recommendations</w:t>
        </w:r>
        <w:r>
          <w:rPr>
            <w:noProof/>
            <w:webHidden/>
          </w:rPr>
          <w:tab/>
        </w:r>
        <w:r>
          <w:rPr>
            <w:noProof/>
            <w:webHidden/>
          </w:rPr>
          <w:fldChar w:fldCharType="begin"/>
        </w:r>
        <w:r>
          <w:rPr>
            <w:noProof/>
            <w:webHidden/>
          </w:rPr>
          <w:instrText xml:space="preserve"> PAGEREF _Toc466986548 \h </w:instrText>
        </w:r>
        <w:r>
          <w:rPr>
            <w:noProof/>
            <w:webHidden/>
          </w:rPr>
        </w:r>
        <w:r>
          <w:rPr>
            <w:noProof/>
            <w:webHidden/>
          </w:rPr>
          <w:fldChar w:fldCharType="separate"/>
        </w:r>
        <w:r>
          <w:rPr>
            <w:noProof/>
            <w:webHidden/>
          </w:rPr>
          <w:t>65</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49" w:history="1">
        <w:r w:rsidRPr="0053570A">
          <w:rPr>
            <w:rStyle w:val="Hyperlink"/>
            <w:noProof/>
          </w:rPr>
          <w:t>VI. Overall conclusion and risk/benefit assessment</w:t>
        </w:r>
        <w:r>
          <w:rPr>
            <w:noProof/>
            <w:webHidden/>
          </w:rPr>
          <w:tab/>
        </w:r>
        <w:r>
          <w:rPr>
            <w:noProof/>
            <w:webHidden/>
          </w:rPr>
          <w:fldChar w:fldCharType="begin"/>
        </w:r>
        <w:r>
          <w:rPr>
            <w:noProof/>
            <w:webHidden/>
          </w:rPr>
          <w:instrText xml:space="preserve"> PAGEREF _Toc466986549 \h </w:instrText>
        </w:r>
        <w:r>
          <w:rPr>
            <w:noProof/>
            <w:webHidden/>
          </w:rPr>
        </w:r>
        <w:r>
          <w:rPr>
            <w:noProof/>
            <w:webHidden/>
          </w:rPr>
          <w:fldChar w:fldCharType="separate"/>
        </w:r>
        <w:r>
          <w:rPr>
            <w:noProof/>
            <w:webHidden/>
          </w:rPr>
          <w:t>65</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50" w:history="1">
        <w:r w:rsidRPr="0053570A">
          <w:rPr>
            <w:rStyle w:val="Hyperlink"/>
            <w:noProof/>
          </w:rPr>
          <w:t>Quality</w:t>
        </w:r>
        <w:r>
          <w:rPr>
            <w:noProof/>
            <w:webHidden/>
          </w:rPr>
          <w:tab/>
        </w:r>
        <w:r>
          <w:rPr>
            <w:noProof/>
            <w:webHidden/>
          </w:rPr>
          <w:fldChar w:fldCharType="begin"/>
        </w:r>
        <w:r>
          <w:rPr>
            <w:noProof/>
            <w:webHidden/>
          </w:rPr>
          <w:instrText xml:space="preserve"> PAGEREF _Toc466986550 \h </w:instrText>
        </w:r>
        <w:r>
          <w:rPr>
            <w:noProof/>
            <w:webHidden/>
          </w:rPr>
        </w:r>
        <w:r>
          <w:rPr>
            <w:noProof/>
            <w:webHidden/>
          </w:rPr>
          <w:fldChar w:fldCharType="separate"/>
        </w:r>
        <w:r>
          <w:rPr>
            <w:noProof/>
            <w:webHidden/>
          </w:rPr>
          <w:t>65</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51" w:history="1">
        <w:r w:rsidRPr="0053570A">
          <w:rPr>
            <w:rStyle w:val="Hyperlink"/>
            <w:noProof/>
          </w:rPr>
          <w:t>Nonclinical</w:t>
        </w:r>
        <w:r>
          <w:rPr>
            <w:noProof/>
            <w:webHidden/>
          </w:rPr>
          <w:tab/>
        </w:r>
        <w:r>
          <w:rPr>
            <w:noProof/>
            <w:webHidden/>
          </w:rPr>
          <w:fldChar w:fldCharType="begin"/>
        </w:r>
        <w:r>
          <w:rPr>
            <w:noProof/>
            <w:webHidden/>
          </w:rPr>
          <w:instrText xml:space="preserve"> PAGEREF _Toc466986551 \h </w:instrText>
        </w:r>
        <w:r>
          <w:rPr>
            <w:noProof/>
            <w:webHidden/>
          </w:rPr>
        </w:r>
        <w:r>
          <w:rPr>
            <w:noProof/>
            <w:webHidden/>
          </w:rPr>
          <w:fldChar w:fldCharType="separate"/>
        </w:r>
        <w:r>
          <w:rPr>
            <w:noProof/>
            <w:webHidden/>
          </w:rPr>
          <w:t>66</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52" w:history="1">
        <w:r w:rsidRPr="0053570A">
          <w:rPr>
            <w:rStyle w:val="Hyperlink"/>
            <w:noProof/>
          </w:rPr>
          <w:t>Clinical</w:t>
        </w:r>
        <w:r>
          <w:rPr>
            <w:noProof/>
            <w:webHidden/>
          </w:rPr>
          <w:tab/>
        </w:r>
        <w:r>
          <w:rPr>
            <w:noProof/>
            <w:webHidden/>
          </w:rPr>
          <w:fldChar w:fldCharType="begin"/>
        </w:r>
        <w:r>
          <w:rPr>
            <w:noProof/>
            <w:webHidden/>
          </w:rPr>
          <w:instrText xml:space="preserve"> PAGEREF _Toc466986552 \h </w:instrText>
        </w:r>
        <w:r>
          <w:rPr>
            <w:noProof/>
            <w:webHidden/>
          </w:rPr>
        </w:r>
        <w:r>
          <w:rPr>
            <w:noProof/>
            <w:webHidden/>
          </w:rPr>
          <w:fldChar w:fldCharType="separate"/>
        </w:r>
        <w:r>
          <w:rPr>
            <w:noProof/>
            <w:webHidden/>
          </w:rPr>
          <w:t>66</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53" w:history="1">
        <w:r w:rsidRPr="0053570A">
          <w:rPr>
            <w:rStyle w:val="Hyperlink"/>
            <w:noProof/>
          </w:rPr>
          <w:t>Risk management plan</w:t>
        </w:r>
        <w:r>
          <w:rPr>
            <w:noProof/>
            <w:webHidden/>
          </w:rPr>
          <w:tab/>
        </w:r>
        <w:r>
          <w:rPr>
            <w:noProof/>
            <w:webHidden/>
          </w:rPr>
          <w:fldChar w:fldCharType="begin"/>
        </w:r>
        <w:r>
          <w:rPr>
            <w:noProof/>
            <w:webHidden/>
          </w:rPr>
          <w:instrText xml:space="preserve"> PAGEREF _Toc466986553 \h </w:instrText>
        </w:r>
        <w:r>
          <w:rPr>
            <w:noProof/>
            <w:webHidden/>
          </w:rPr>
        </w:r>
        <w:r>
          <w:rPr>
            <w:noProof/>
            <w:webHidden/>
          </w:rPr>
          <w:fldChar w:fldCharType="separate"/>
        </w:r>
        <w:r>
          <w:rPr>
            <w:noProof/>
            <w:webHidden/>
          </w:rPr>
          <w:t>76</w:t>
        </w:r>
        <w:r>
          <w:rPr>
            <w:noProof/>
            <w:webHidden/>
          </w:rPr>
          <w:fldChar w:fldCharType="end"/>
        </w:r>
      </w:hyperlink>
    </w:p>
    <w:p w:rsidR="00EA0905" w:rsidRDefault="00EA0905">
      <w:pPr>
        <w:pStyle w:val="TOC3"/>
        <w:rPr>
          <w:rFonts w:asciiTheme="minorHAnsi" w:eastAsiaTheme="minorEastAsia" w:hAnsiTheme="minorHAnsi" w:cstheme="minorBidi"/>
          <w:noProof/>
          <w:lang w:eastAsia="en-AU"/>
        </w:rPr>
      </w:pPr>
      <w:hyperlink w:anchor="_Toc466986554" w:history="1">
        <w:r w:rsidRPr="0053570A">
          <w:rPr>
            <w:rStyle w:val="Hyperlink"/>
            <w:noProof/>
          </w:rPr>
          <w:t>Risk-benefit analysis</w:t>
        </w:r>
        <w:r>
          <w:rPr>
            <w:noProof/>
            <w:webHidden/>
          </w:rPr>
          <w:tab/>
        </w:r>
        <w:r>
          <w:rPr>
            <w:noProof/>
            <w:webHidden/>
          </w:rPr>
          <w:fldChar w:fldCharType="begin"/>
        </w:r>
        <w:r>
          <w:rPr>
            <w:noProof/>
            <w:webHidden/>
          </w:rPr>
          <w:instrText xml:space="preserve"> PAGEREF _Toc466986554 \h </w:instrText>
        </w:r>
        <w:r>
          <w:rPr>
            <w:noProof/>
            <w:webHidden/>
          </w:rPr>
        </w:r>
        <w:r>
          <w:rPr>
            <w:noProof/>
            <w:webHidden/>
          </w:rPr>
          <w:fldChar w:fldCharType="separate"/>
        </w:r>
        <w:r>
          <w:rPr>
            <w:noProof/>
            <w:webHidden/>
          </w:rPr>
          <w:t>76</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55" w:history="1">
        <w:r w:rsidRPr="0053570A">
          <w:rPr>
            <w:rStyle w:val="Hyperlink"/>
            <w:noProof/>
          </w:rPr>
          <w:t>Attachment 1. Product Information</w:t>
        </w:r>
        <w:r>
          <w:rPr>
            <w:noProof/>
            <w:webHidden/>
          </w:rPr>
          <w:tab/>
        </w:r>
        <w:r>
          <w:rPr>
            <w:noProof/>
            <w:webHidden/>
          </w:rPr>
          <w:fldChar w:fldCharType="begin"/>
        </w:r>
        <w:r>
          <w:rPr>
            <w:noProof/>
            <w:webHidden/>
          </w:rPr>
          <w:instrText xml:space="preserve"> PAGEREF _Toc466986555 \h </w:instrText>
        </w:r>
        <w:r>
          <w:rPr>
            <w:noProof/>
            <w:webHidden/>
          </w:rPr>
        </w:r>
        <w:r>
          <w:rPr>
            <w:noProof/>
            <w:webHidden/>
          </w:rPr>
          <w:fldChar w:fldCharType="separate"/>
        </w:r>
        <w:r>
          <w:rPr>
            <w:noProof/>
            <w:webHidden/>
          </w:rPr>
          <w:t>87</w:t>
        </w:r>
        <w:r>
          <w:rPr>
            <w:noProof/>
            <w:webHidden/>
          </w:rPr>
          <w:fldChar w:fldCharType="end"/>
        </w:r>
      </w:hyperlink>
    </w:p>
    <w:p w:rsidR="00EA0905" w:rsidRDefault="00EA0905">
      <w:pPr>
        <w:pStyle w:val="TOC2"/>
        <w:rPr>
          <w:rFonts w:asciiTheme="minorHAnsi" w:eastAsiaTheme="minorEastAsia" w:hAnsiTheme="minorHAnsi" w:cstheme="minorBidi"/>
          <w:b w:val="0"/>
          <w:noProof/>
          <w:sz w:val="22"/>
          <w:lang w:eastAsia="en-AU"/>
        </w:rPr>
      </w:pPr>
      <w:hyperlink w:anchor="_Toc466986556" w:history="1">
        <w:r w:rsidRPr="0053570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_Toc466986556 \h </w:instrText>
        </w:r>
        <w:r>
          <w:rPr>
            <w:noProof/>
            <w:webHidden/>
          </w:rPr>
        </w:r>
        <w:r>
          <w:rPr>
            <w:noProof/>
            <w:webHidden/>
          </w:rPr>
          <w:fldChar w:fldCharType="separate"/>
        </w:r>
        <w:r>
          <w:rPr>
            <w:noProof/>
            <w:webHidden/>
          </w:rPr>
          <w:t>87</w:t>
        </w:r>
        <w:r>
          <w:rPr>
            <w:noProof/>
            <w:webHidden/>
          </w:rPr>
          <w:fldChar w:fldCharType="end"/>
        </w:r>
      </w:hyperlink>
    </w:p>
    <w:p w:rsidR="003A7F6C" w:rsidRPr="00B811C6" w:rsidRDefault="008F1AE9" w:rsidP="00B811C6">
      <w:pPr>
        <w:pStyle w:val="TOC2"/>
      </w:pPr>
      <w:r>
        <w:fldChar w:fldCharType="end"/>
      </w:r>
      <w:bookmarkStart w:id="4" w:name="_Toc314842482"/>
    </w:p>
    <w:p w:rsidR="00FD119B" w:rsidRDefault="00FD119B">
      <w:pPr>
        <w:spacing w:before="0" w:after="200" w:line="0" w:lineRule="auto"/>
      </w:pPr>
      <w:r>
        <w:br w:type="page"/>
      </w:r>
    </w:p>
    <w:p w:rsidR="00FD119B" w:rsidRPr="00FD119B" w:rsidRDefault="00441C3F" w:rsidP="004F0C4A">
      <w:pPr>
        <w:pStyle w:val="Heading2"/>
      </w:pPr>
      <w:bookmarkStart w:id="5" w:name="_Toc351716269"/>
      <w:bookmarkStart w:id="6" w:name="_Toc351718881"/>
      <w:bookmarkStart w:id="7" w:name="_Toc355338616"/>
      <w:bookmarkStart w:id="8" w:name="_Toc356306144"/>
      <w:bookmarkStart w:id="9" w:name="_Toc466986513"/>
      <w:r>
        <w:t>Common</w:t>
      </w:r>
      <w:r w:rsidR="00FD119B" w:rsidRPr="00FD119B">
        <w:t xml:space="preserve"> abbreviations</w:t>
      </w:r>
      <w:bookmarkEnd w:id="5"/>
      <w:bookmarkEnd w:id="6"/>
      <w:bookmarkEnd w:id="7"/>
      <w:bookmarkEnd w:id="8"/>
      <w:bookmarkEnd w:id="9"/>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9"/>
        <w:gridCol w:w="6911"/>
      </w:tblGrid>
      <w:tr w:rsidR="00424B91" w:rsidRPr="003802E6" w:rsidTr="004C0905">
        <w:trPr>
          <w:tblHeader/>
        </w:trPr>
        <w:tc>
          <w:tcPr>
            <w:tcW w:w="1809" w:type="dxa"/>
            <w:tcBorders>
              <w:top w:val="single" w:sz="8" w:space="0" w:color="000000"/>
              <w:left w:val="single" w:sz="8" w:space="0" w:color="000000"/>
              <w:bottom w:val="single" w:sz="8" w:space="0" w:color="000000"/>
              <w:right w:val="nil"/>
              <w:tl2br w:val="nil"/>
              <w:tr2bl w:val="nil"/>
            </w:tcBorders>
            <w:shd w:val="clear" w:color="auto" w:fill="006DA7"/>
          </w:tcPr>
          <w:p w:rsidR="00FD119B" w:rsidRPr="004C0905" w:rsidRDefault="00FD119B" w:rsidP="00FD119B">
            <w:pPr>
              <w:rPr>
                <w:b/>
                <w:color w:val="FFFFFF"/>
              </w:rPr>
            </w:pPr>
            <w:r w:rsidRPr="004C0905">
              <w:rPr>
                <w:b/>
                <w:color w:val="FFFFFF"/>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FD119B" w:rsidRPr="004C0905" w:rsidRDefault="00FD119B" w:rsidP="00FD119B">
            <w:pPr>
              <w:rPr>
                <w:b/>
                <w:color w:val="FFFFFF"/>
              </w:rPr>
            </w:pPr>
            <w:r w:rsidRPr="004C0905">
              <w:rPr>
                <w:b/>
                <w:color w:val="FFFFFF"/>
              </w:rPr>
              <w:t>Meaning</w:t>
            </w:r>
          </w:p>
        </w:tc>
      </w:tr>
      <w:tr w:rsidR="009D2751" w:rsidRPr="003802E6" w:rsidTr="004C0905">
        <w:tc>
          <w:tcPr>
            <w:tcW w:w="1809" w:type="dxa"/>
            <w:shd w:val="clear" w:color="auto" w:fill="auto"/>
          </w:tcPr>
          <w:p w:rsidR="009D2751" w:rsidRPr="004C0905" w:rsidRDefault="000C31A3" w:rsidP="004C0905">
            <w:pPr>
              <w:ind w:left="170" w:right="170"/>
              <w:rPr>
                <w:color w:val="000000"/>
                <w:lang w:eastAsia="en-AU"/>
              </w:rPr>
            </w:pPr>
            <w:r w:rsidRPr="004C0905">
              <w:rPr>
                <w:color w:val="000000"/>
                <w:lang w:eastAsia="en-AU"/>
              </w:rPr>
              <w:t>5-HT</w:t>
            </w:r>
            <w:r w:rsidRPr="000C31A3">
              <w:rPr>
                <w:color w:val="000000"/>
                <w:vertAlign w:val="subscript"/>
                <w:lang w:eastAsia="en-AU"/>
              </w:rPr>
              <w:t>3</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Serotonin</w:t>
            </w:r>
          </w:p>
        </w:tc>
      </w:tr>
      <w:tr w:rsidR="003802E6" w:rsidRPr="003802E6" w:rsidTr="004C0905">
        <w:tc>
          <w:tcPr>
            <w:tcW w:w="1809" w:type="dxa"/>
            <w:shd w:val="clear" w:color="auto" w:fill="auto"/>
          </w:tcPr>
          <w:p w:rsidR="003802E6" w:rsidRPr="004C0905" w:rsidRDefault="000C31A3" w:rsidP="004C0905">
            <w:pPr>
              <w:ind w:left="170" w:right="170"/>
              <w:rPr>
                <w:color w:val="000000"/>
                <w:lang w:eastAsia="en-AU"/>
              </w:rPr>
            </w:pPr>
            <w:r w:rsidRPr="004C0905">
              <w:rPr>
                <w:color w:val="000000"/>
                <w:lang w:eastAsia="en-AU"/>
              </w:rPr>
              <w:t>5-HT</w:t>
            </w:r>
            <w:r w:rsidRPr="000C31A3">
              <w:rPr>
                <w:color w:val="000000"/>
                <w:vertAlign w:val="subscript"/>
                <w:lang w:eastAsia="en-AU"/>
              </w:rPr>
              <w:t>3</w:t>
            </w:r>
            <w:r w:rsidR="003802E6" w:rsidRPr="004C0905">
              <w:rPr>
                <w:color w:val="000000"/>
                <w:lang w:eastAsia="en-AU"/>
              </w:rPr>
              <w:t xml:space="preserve"> RA</w:t>
            </w:r>
          </w:p>
        </w:tc>
        <w:tc>
          <w:tcPr>
            <w:tcW w:w="6911" w:type="dxa"/>
            <w:shd w:val="clear" w:color="auto" w:fill="auto"/>
          </w:tcPr>
          <w:p w:rsidR="003802E6" w:rsidRPr="004C0905" w:rsidRDefault="000C31A3" w:rsidP="004C0905">
            <w:pPr>
              <w:ind w:left="170" w:right="170"/>
              <w:rPr>
                <w:color w:val="000000"/>
                <w:lang w:eastAsia="en-AU"/>
              </w:rPr>
            </w:pPr>
            <w:r w:rsidRPr="004C0905">
              <w:rPr>
                <w:color w:val="000000"/>
                <w:lang w:eastAsia="en-AU"/>
              </w:rPr>
              <w:t>5-HT</w:t>
            </w:r>
            <w:r w:rsidRPr="000C31A3">
              <w:rPr>
                <w:color w:val="000000"/>
                <w:vertAlign w:val="subscript"/>
                <w:lang w:eastAsia="en-AU"/>
              </w:rPr>
              <w:t>3</w:t>
            </w:r>
            <w:r w:rsidR="003802E6" w:rsidRPr="004C0905">
              <w:rPr>
                <w:color w:val="000000"/>
                <w:lang w:eastAsia="en-AU"/>
              </w:rPr>
              <w:t xml:space="preserve"> receptor antagonist</w:t>
            </w:r>
          </w:p>
        </w:tc>
      </w:tr>
      <w:tr w:rsidR="00DA1171" w:rsidRPr="003802E6" w:rsidTr="004C0905">
        <w:tc>
          <w:tcPr>
            <w:tcW w:w="1809" w:type="dxa"/>
            <w:shd w:val="clear" w:color="auto" w:fill="auto"/>
          </w:tcPr>
          <w:p w:rsidR="00DA1171" w:rsidRPr="004C0905" w:rsidRDefault="00DA1171" w:rsidP="004C0905">
            <w:pPr>
              <w:ind w:left="170" w:right="170"/>
              <w:rPr>
                <w:color w:val="000000"/>
                <w:lang w:eastAsia="en-AU"/>
              </w:rPr>
            </w:pPr>
            <w:r w:rsidRPr="004C0905">
              <w:rPr>
                <w:color w:val="000000"/>
                <w:lang w:eastAsia="en-AU"/>
              </w:rPr>
              <w:t>AC</w:t>
            </w:r>
          </w:p>
        </w:tc>
        <w:tc>
          <w:tcPr>
            <w:tcW w:w="6911" w:type="dxa"/>
            <w:shd w:val="clear" w:color="auto" w:fill="auto"/>
          </w:tcPr>
          <w:p w:rsidR="00DA1171" w:rsidRPr="004C0905" w:rsidRDefault="00DA1171" w:rsidP="004C0905">
            <w:pPr>
              <w:ind w:left="170" w:right="170"/>
              <w:rPr>
                <w:color w:val="000000"/>
                <w:lang w:eastAsia="en-AU"/>
              </w:rPr>
            </w:pPr>
            <w:r w:rsidRPr="004C0905">
              <w:rPr>
                <w:color w:val="000000"/>
                <w:lang w:eastAsia="en-AU"/>
              </w:rPr>
              <w:t>anthracycline-cyclophosphamide</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ADR</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adverse drug reaction</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AE</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adverse event</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ALT</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 xml:space="preserve">Alanine </w:t>
            </w:r>
            <w:r w:rsidR="003802E6" w:rsidRPr="004C0905">
              <w:rPr>
                <w:color w:val="000000"/>
                <w:lang w:eastAsia="en-AU"/>
              </w:rPr>
              <w:t>amino</w:t>
            </w:r>
            <w:r w:rsidRPr="004C0905">
              <w:rPr>
                <w:color w:val="000000"/>
                <w:lang w:eastAsia="en-AU"/>
              </w:rPr>
              <w:t>trans</w:t>
            </w:r>
            <w:r w:rsidR="003802E6" w:rsidRPr="004C0905">
              <w:rPr>
                <w:color w:val="000000"/>
                <w:lang w:eastAsia="en-AU"/>
              </w:rPr>
              <w:t>ferase</w:t>
            </w:r>
          </w:p>
        </w:tc>
      </w:tr>
      <w:tr w:rsidR="00FC5751" w:rsidRPr="003802E6" w:rsidTr="004C0905">
        <w:tc>
          <w:tcPr>
            <w:tcW w:w="1809" w:type="dxa"/>
            <w:shd w:val="clear" w:color="auto" w:fill="auto"/>
          </w:tcPr>
          <w:p w:rsidR="00FC5751" w:rsidRPr="004C0905" w:rsidRDefault="00FC5751" w:rsidP="004C0905">
            <w:pPr>
              <w:ind w:left="170" w:right="170"/>
              <w:rPr>
                <w:color w:val="000000"/>
                <w:lang w:eastAsia="en-AU"/>
              </w:rPr>
            </w:pPr>
            <w:r w:rsidRPr="004C0905">
              <w:rPr>
                <w:color w:val="000000"/>
                <w:lang w:eastAsia="en-AU"/>
              </w:rPr>
              <w:t>APD</w:t>
            </w:r>
          </w:p>
        </w:tc>
        <w:tc>
          <w:tcPr>
            <w:tcW w:w="6911" w:type="dxa"/>
            <w:shd w:val="clear" w:color="auto" w:fill="auto"/>
          </w:tcPr>
          <w:p w:rsidR="00FC5751" w:rsidRPr="004C0905" w:rsidRDefault="00FC5751" w:rsidP="004C0905">
            <w:pPr>
              <w:ind w:left="170" w:right="170"/>
              <w:rPr>
                <w:color w:val="000000"/>
                <w:lang w:eastAsia="en-AU"/>
              </w:rPr>
            </w:pPr>
            <w:r w:rsidRPr="004C0905">
              <w:rPr>
                <w:color w:val="000000"/>
                <w:lang w:eastAsia="en-AU"/>
              </w:rPr>
              <w:t>action potential duration</w:t>
            </w:r>
          </w:p>
        </w:tc>
      </w:tr>
      <w:tr w:rsidR="00F51E23" w:rsidRPr="003802E6" w:rsidTr="004C0905">
        <w:tc>
          <w:tcPr>
            <w:tcW w:w="1809" w:type="dxa"/>
            <w:shd w:val="clear" w:color="auto" w:fill="auto"/>
          </w:tcPr>
          <w:p w:rsidR="00F51E23" w:rsidRPr="004C0905" w:rsidRDefault="00F51E23" w:rsidP="004C0905">
            <w:pPr>
              <w:ind w:left="170" w:right="170"/>
              <w:rPr>
                <w:color w:val="000000"/>
                <w:lang w:eastAsia="en-AU"/>
              </w:rPr>
            </w:pPr>
            <w:r w:rsidRPr="004C0905">
              <w:rPr>
                <w:color w:val="000000"/>
                <w:lang w:eastAsia="en-AU"/>
              </w:rPr>
              <w:t>ASCO</w:t>
            </w:r>
          </w:p>
        </w:tc>
        <w:tc>
          <w:tcPr>
            <w:tcW w:w="6911" w:type="dxa"/>
            <w:shd w:val="clear" w:color="auto" w:fill="auto"/>
          </w:tcPr>
          <w:p w:rsidR="00F51E23" w:rsidRPr="004C0905" w:rsidRDefault="00F51E23" w:rsidP="004C0905">
            <w:pPr>
              <w:ind w:left="170" w:right="170"/>
              <w:rPr>
                <w:color w:val="000000"/>
                <w:lang w:eastAsia="en-AU"/>
              </w:rPr>
            </w:pPr>
            <w:r w:rsidRPr="004C0905">
              <w:rPr>
                <w:color w:val="000000"/>
                <w:lang w:eastAsia="en-AU"/>
              </w:rPr>
              <w:t>American Society of Clinical Oncology</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AST</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 xml:space="preserve">Aspartate </w:t>
            </w:r>
            <w:r w:rsidR="003802E6" w:rsidRPr="004C0905">
              <w:rPr>
                <w:color w:val="000000"/>
                <w:lang w:eastAsia="en-AU"/>
              </w:rPr>
              <w:t>aminotransferase</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r w:rsidRPr="004C0905">
              <w:rPr>
                <w:color w:val="000000"/>
                <w:lang w:eastAsia="en-AU"/>
              </w:rPr>
              <w:t>AUC</w:t>
            </w:r>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area under the concentration time curve</w:t>
            </w:r>
          </w:p>
        </w:tc>
      </w:tr>
      <w:tr w:rsidR="009F43A2" w:rsidRPr="003802E6" w:rsidTr="004C0905">
        <w:tc>
          <w:tcPr>
            <w:tcW w:w="1809" w:type="dxa"/>
            <w:shd w:val="clear" w:color="auto" w:fill="auto"/>
          </w:tcPr>
          <w:p w:rsidR="009F43A2" w:rsidRPr="004C0905" w:rsidRDefault="009F43A2" w:rsidP="004C0905">
            <w:pPr>
              <w:ind w:left="170" w:right="170"/>
              <w:rPr>
                <w:color w:val="000000"/>
                <w:szCs w:val="21"/>
                <w:lang w:eastAsia="en-AU"/>
              </w:rPr>
            </w:pPr>
            <w:proofErr w:type="spellStart"/>
            <w:r w:rsidRPr="004C0905">
              <w:rPr>
                <w:color w:val="000000"/>
                <w:lang w:eastAsia="en-AU"/>
              </w:rPr>
              <w:t>AUC</w:t>
            </w:r>
            <w:r w:rsidRPr="004C0905">
              <w:rPr>
                <w:color w:val="000000"/>
                <w:vertAlign w:val="subscript"/>
                <w:lang w:eastAsia="en-AU"/>
              </w:rPr>
              <w:t>inf</w:t>
            </w:r>
            <w:proofErr w:type="spellEnd"/>
          </w:p>
        </w:tc>
        <w:tc>
          <w:tcPr>
            <w:tcW w:w="6911" w:type="dxa"/>
            <w:shd w:val="clear" w:color="auto" w:fill="auto"/>
          </w:tcPr>
          <w:p w:rsidR="009F43A2" w:rsidRPr="004C0905" w:rsidRDefault="009F43A2" w:rsidP="004C0905">
            <w:pPr>
              <w:ind w:left="170" w:right="170"/>
              <w:rPr>
                <w:color w:val="000000"/>
                <w:szCs w:val="21"/>
                <w:lang w:eastAsia="en-AU"/>
              </w:rPr>
            </w:pPr>
            <w:r w:rsidRPr="004C0905">
              <w:rPr>
                <w:color w:val="000000"/>
                <w:lang w:eastAsia="en-AU"/>
              </w:rPr>
              <w:t>area under the concentration versus time curve up to infinity</w:t>
            </w:r>
          </w:p>
        </w:tc>
      </w:tr>
      <w:tr w:rsidR="009D2751" w:rsidRPr="003802E6" w:rsidTr="004C0905">
        <w:tc>
          <w:tcPr>
            <w:tcW w:w="1809" w:type="dxa"/>
            <w:shd w:val="clear" w:color="auto" w:fill="auto"/>
          </w:tcPr>
          <w:p w:rsidR="009D2751" w:rsidRPr="004C0905" w:rsidRDefault="000403F6" w:rsidP="004C0905">
            <w:pPr>
              <w:ind w:left="170" w:right="170"/>
              <w:rPr>
                <w:color w:val="000000"/>
                <w:lang w:eastAsia="en-AU"/>
              </w:rPr>
            </w:pPr>
            <w:r w:rsidRPr="004C0905">
              <w:rPr>
                <w:color w:val="000000"/>
                <w:lang w:eastAsia="en-AU"/>
              </w:rPr>
              <w:t>AUC</w:t>
            </w:r>
            <w:r w:rsidRPr="004C0905">
              <w:rPr>
                <w:color w:val="000000"/>
                <w:vertAlign w:val="subscript"/>
                <w:lang w:eastAsia="en-AU"/>
              </w:rPr>
              <w:t>0-∞</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area under the concentration versus time curve up to infinity</w:t>
            </w:r>
          </w:p>
        </w:tc>
      </w:tr>
      <w:tr w:rsidR="009D2751" w:rsidRPr="003802E6" w:rsidTr="004C0905">
        <w:tc>
          <w:tcPr>
            <w:tcW w:w="1809" w:type="dxa"/>
            <w:shd w:val="clear" w:color="auto" w:fill="auto"/>
          </w:tcPr>
          <w:p w:rsidR="009D2751" w:rsidRPr="004C0905" w:rsidRDefault="00B765DE" w:rsidP="004C0905">
            <w:pPr>
              <w:ind w:left="170" w:right="170"/>
              <w:rPr>
                <w:color w:val="000000"/>
                <w:lang w:eastAsia="en-AU"/>
              </w:rPr>
            </w:pPr>
            <w:r w:rsidRPr="004C0905">
              <w:rPr>
                <w:color w:val="000000"/>
                <w:lang w:eastAsia="en-AU"/>
              </w:rPr>
              <w:t>AUC</w:t>
            </w:r>
            <w:r w:rsidRPr="004C0905">
              <w:rPr>
                <w:color w:val="000000"/>
                <w:vertAlign w:val="subscript"/>
                <w:lang w:eastAsia="en-AU"/>
              </w:rPr>
              <w:t>0-t</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area under the concentration-time curve from time zero to time t</w:t>
            </w:r>
          </w:p>
        </w:tc>
      </w:tr>
      <w:tr w:rsidR="009D2751" w:rsidRPr="003802E6" w:rsidTr="004C0905">
        <w:tc>
          <w:tcPr>
            <w:tcW w:w="1809" w:type="dxa"/>
            <w:shd w:val="clear" w:color="auto" w:fill="auto"/>
          </w:tcPr>
          <w:p w:rsidR="009D2751" w:rsidRPr="004C0905" w:rsidRDefault="00B765DE" w:rsidP="004C0905">
            <w:pPr>
              <w:ind w:left="170" w:right="170"/>
              <w:rPr>
                <w:color w:val="000000"/>
                <w:lang w:eastAsia="en-AU"/>
              </w:rPr>
            </w:pPr>
            <w:r w:rsidRPr="004C0905">
              <w:rPr>
                <w:color w:val="000000"/>
                <w:lang w:eastAsia="en-AU"/>
              </w:rPr>
              <w:t>AUC</w:t>
            </w:r>
            <w:r w:rsidRPr="004C0905">
              <w:rPr>
                <w:color w:val="000000"/>
                <w:vertAlign w:val="subscript"/>
                <w:lang w:eastAsia="en-AU"/>
              </w:rPr>
              <w:t>0-t</w:t>
            </w:r>
            <w:r w:rsidR="009D2751" w:rsidRPr="004C0905">
              <w:rPr>
                <w:color w:val="000000"/>
                <w:vertAlign w:val="subscript"/>
                <w:lang w:eastAsia="en-AU"/>
              </w:rPr>
              <w:t>z</w:t>
            </w:r>
          </w:p>
        </w:tc>
        <w:tc>
          <w:tcPr>
            <w:tcW w:w="6911" w:type="dxa"/>
            <w:shd w:val="clear" w:color="auto" w:fill="auto"/>
          </w:tcPr>
          <w:p w:rsidR="009D2751" w:rsidRPr="004C0905" w:rsidRDefault="009D2751" w:rsidP="004C0905">
            <w:pPr>
              <w:ind w:left="170" w:right="170"/>
              <w:rPr>
                <w:color w:val="000000"/>
                <w:lang w:eastAsia="en-AU"/>
              </w:rPr>
            </w:pPr>
            <w:proofErr w:type="gramStart"/>
            <w:r w:rsidRPr="004C0905">
              <w:rPr>
                <w:color w:val="000000"/>
                <w:lang w:eastAsia="en-AU"/>
              </w:rPr>
              <w:t>area</w:t>
            </w:r>
            <w:proofErr w:type="gramEnd"/>
            <w:r w:rsidRPr="004C0905">
              <w:rPr>
                <w:color w:val="000000"/>
                <w:lang w:eastAsia="en-AU"/>
              </w:rPr>
              <w:t xml:space="preserve"> under the concentration-time data profile from administration until the last sampling point (</w:t>
            </w:r>
            <w:proofErr w:type="spellStart"/>
            <w:r w:rsidRPr="004C0905">
              <w:rPr>
                <w:color w:val="000000"/>
                <w:lang w:eastAsia="en-AU"/>
              </w:rPr>
              <w:t>tz</w:t>
            </w:r>
            <w:proofErr w:type="spellEnd"/>
            <w:r w:rsidRPr="004C0905">
              <w:rPr>
                <w:color w:val="000000"/>
                <w:lang w:eastAsia="en-AU"/>
              </w:rPr>
              <w:t>) equal or above LLOQ.</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BA</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bioavailability</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r w:rsidRPr="004C0905">
              <w:rPr>
                <w:color w:val="000000"/>
                <w:lang w:eastAsia="en-AU"/>
              </w:rPr>
              <w:t>BCRP</w:t>
            </w:r>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breast cancer resistance protein</w:t>
            </w:r>
          </w:p>
        </w:tc>
      </w:tr>
      <w:tr w:rsidR="00123301" w:rsidRPr="003802E6" w:rsidTr="004C0905">
        <w:tc>
          <w:tcPr>
            <w:tcW w:w="1809" w:type="dxa"/>
            <w:shd w:val="clear" w:color="auto" w:fill="auto"/>
          </w:tcPr>
          <w:p w:rsidR="00123301" w:rsidRPr="004C0905" w:rsidRDefault="00123301" w:rsidP="004C0905">
            <w:pPr>
              <w:ind w:left="170" w:right="170"/>
              <w:rPr>
                <w:color w:val="000000"/>
                <w:lang w:eastAsia="en-AU"/>
              </w:rPr>
            </w:pPr>
            <w:r w:rsidRPr="004C0905">
              <w:rPr>
                <w:color w:val="000000"/>
                <w:lang w:eastAsia="en-AU"/>
              </w:rPr>
              <w:t>BD</w:t>
            </w:r>
          </w:p>
        </w:tc>
        <w:tc>
          <w:tcPr>
            <w:tcW w:w="6911" w:type="dxa"/>
            <w:shd w:val="clear" w:color="auto" w:fill="auto"/>
          </w:tcPr>
          <w:p w:rsidR="00123301" w:rsidRPr="004C0905" w:rsidRDefault="00123301" w:rsidP="004C0905">
            <w:pPr>
              <w:ind w:left="170" w:right="170"/>
              <w:rPr>
                <w:color w:val="000000"/>
                <w:lang w:eastAsia="en-AU"/>
              </w:rPr>
            </w:pPr>
            <w:r w:rsidRPr="004C0905">
              <w:rPr>
                <w:color w:val="000000"/>
                <w:lang w:eastAsia="en-AU"/>
              </w:rPr>
              <w:t>twice daily</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BE</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bioequivalence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BP</w:t>
            </w:r>
          </w:p>
        </w:tc>
        <w:tc>
          <w:tcPr>
            <w:tcW w:w="6911" w:type="dxa"/>
            <w:shd w:val="clear" w:color="auto" w:fill="auto"/>
          </w:tcPr>
          <w:p w:rsidR="009D2751" w:rsidRPr="004C0905" w:rsidRDefault="003802E6" w:rsidP="004C0905">
            <w:pPr>
              <w:ind w:left="170" w:right="170"/>
              <w:rPr>
                <w:color w:val="000000"/>
                <w:lang w:eastAsia="en-AU"/>
              </w:rPr>
            </w:pPr>
            <w:r w:rsidRPr="004C0905">
              <w:rPr>
                <w:color w:val="000000"/>
                <w:lang w:eastAsia="en-AU"/>
              </w:rPr>
              <w:t xml:space="preserve">British </w:t>
            </w:r>
            <w:proofErr w:type="spellStart"/>
            <w:r w:rsidRPr="004C0905">
              <w:rPr>
                <w:color w:val="000000"/>
                <w:lang w:eastAsia="en-AU"/>
              </w:rPr>
              <w:t>Pharmocopeia</w:t>
            </w:r>
            <w:proofErr w:type="spellEnd"/>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bpm</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beats per minute</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CHMP</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Committee for Medicinal Products for Human Use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CI</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Confidence interval</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CINV</w:t>
            </w:r>
          </w:p>
        </w:tc>
        <w:tc>
          <w:tcPr>
            <w:tcW w:w="6911" w:type="dxa"/>
            <w:shd w:val="clear" w:color="auto" w:fill="auto"/>
          </w:tcPr>
          <w:p w:rsidR="009D2751" w:rsidRPr="004C0905" w:rsidRDefault="000403F6" w:rsidP="004C0905">
            <w:pPr>
              <w:ind w:left="170" w:right="170"/>
              <w:rPr>
                <w:color w:val="000000"/>
                <w:lang w:eastAsia="en-AU"/>
              </w:rPr>
            </w:pPr>
            <w:r w:rsidRPr="004C0905">
              <w:rPr>
                <w:color w:val="000000"/>
                <w:lang w:eastAsia="en-AU"/>
              </w:rPr>
              <w:t>Chemotherapy induced</w:t>
            </w:r>
            <w:r w:rsidR="009D2751" w:rsidRPr="004C0905">
              <w:rPr>
                <w:color w:val="000000"/>
                <w:lang w:eastAsia="en-AU"/>
              </w:rPr>
              <w:t xml:space="preserve"> nausea and vomiting</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lastRenderedPageBreak/>
              <w:t>CL/F</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apparent clearance</w:t>
            </w:r>
          </w:p>
        </w:tc>
      </w:tr>
      <w:tr w:rsidR="005F4AC5" w:rsidRPr="003802E6" w:rsidTr="004C0905">
        <w:tc>
          <w:tcPr>
            <w:tcW w:w="1809" w:type="dxa"/>
            <w:shd w:val="clear" w:color="auto" w:fill="auto"/>
          </w:tcPr>
          <w:p w:rsidR="005F4AC5" w:rsidRPr="004C0905" w:rsidRDefault="005F4AC5" w:rsidP="004C0905">
            <w:pPr>
              <w:ind w:left="170" w:right="170"/>
              <w:rPr>
                <w:color w:val="000000"/>
                <w:lang w:eastAsia="en-AU"/>
              </w:rPr>
            </w:pPr>
            <w:r w:rsidRPr="004C0905">
              <w:rPr>
                <w:color w:val="000000"/>
                <w:lang w:eastAsia="en-AU"/>
              </w:rPr>
              <w:t>CLCR</w:t>
            </w:r>
          </w:p>
        </w:tc>
        <w:tc>
          <w:tcPr>
            <w:tcW w:w="6911" w:type="dxa"/>
            <w:shd w:val="clear" w:color="auto" w:fill="auto"/>
          </w:tcPr>
          <w:p w:rsidR="005F4AC5" w:rsidRPr="004C0905" w:rsidRDefault="005F4AC5" w:rsidP="004C0905">
            <w:pPr>
              <w:ind w:left="170" w:right="170"/>
              <w:rPr>
                <w:color w:val="000000"/>
                <w:lang w:eastAsia="en-AU"/>
              </w:rPr>
            </w:pPr>
            <w:r w:rsidRPr="004C0905">
              <w:rPr>
                <w:color w:val="000000"/>
                <w:lang w:eastAsia="en-AU"/>
              </w:rPr>
              <w:t>Creatinine clearance</w:t>
            </w:r>
          </w:p>
        </w:tc>
      </w:tr>
      <w:tr w:rsidR="009D2751" w:rsidRPr="003802E6" w:rsidTr="004C0905">
        <w:tc>
          <w:tcPr>
            <w:tcW w:w="1809" w:type="dxa"/>
            <w:shd w:val="clear" w:color="auto" w:fill="auto"/>
          </w:tcPr>
          <w:p w:rsidR="009D2751" w:rsidRPr="004C0905" w:rsidRDefault="0018634D" w:rsidP="004C0905">
            <w:pPr>
              <w:ind w:left="170" w:right="170"/>
              <w:rPr>
                <w:color w:val="000000"/>
                <w:lang w:eastAsia="en-AU"/>
              </w:rPr>
            </w:pPr>
            <w:proofErr w:type="spellStart"/>
            <w:r w:rsidRPr="004C0905">
              <w:rPr>
                <w:color w:val="000000"/>
                <w:lang w:eastAsia="en-AU"/>
              </w:rPr>
              <w:t>C</w:t>
            </w:r>
            <w:r w:rsidRPr="004C0905">
              <w:rPr>
                <w:color w:val="000000"/>
                <w:vertAlign w:val="subscript"/>
                <w:lang w:eastAsia="en-AU"/>
              </w:rPr>
              <w:t>max</w:t>
            </w:r>
            <w:proofErr w:type="spellEnd"/>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peak drug concentration</w:t>
            </w:r>
          </w:p>
        </w:tc>
      </w:tr>
      <w:tr w:rsidR="0018634D" w:rsidRPr="003802E6" w:rsidTr="004C0905">
        <w:tc>
          <w:tcPr>
            <w:tcW w:w="1809" w:type="dxa"/>
            <w:shd w:val="clear" w:color="auto" w:fill="auto"/>
          </w:tcPr>
          <w:p w:rsidR="0018634D" w:rsidRPr="004C0905" w:rsidRDefault="0018634D" w:rsidP="004C0905">
            <w:pPr>
              <w:ind w:left="170" w:right="170"/>
              <w:rPr>
                <w:color w:val="000000"/>
                <w:lang w:eastAsia="en-AU"/>
              </w:rPr>
            </w:pPr>
            <w:r w:rsidRPr="004C0905">
              <w:rPr>
                <w:color w:val="000000"/>
                <w:lang w:eastAsia="en-AU"/>
              </w:rPr>
              <w:t>CNS</w:t>
            </w:r>
          </w:p>
        </w:tc>
        <w:tc>
          <w:tcPr>
            <w:tcW w:w="6911" w:type="dxa"/>
            <w:shd w:val="clear" w:color="auto" w:fill="auto"/>
          </w:tcPr>
          <w:p w:rsidR="0018634D" w:rsidRPr="004C0905" w:rsidRDefault="0018634D" w:rsidP="004C0905">
            <w:pPr>
              <w:ind w:left="170" w:right="170"/>
              <w:rPr>
                <w:color w:val="000000"/>
                <w:lang w:eastAsia="en-AU"/>
              </w:rPr>
            </w:pPr>
            <w:r w:rsidRPr="004C0905">
              <w:rPr>
                <w:color w:val="000000"/>
                <w:lang w:eastAsia="en-AU"/>
              </w:rPr>
              <w:t>central nervous system</w:t>
            </w:r>
          </w:p>
        </w:tc>
      </w:tr>
      <w:tr w:rsidR="000403F6" w:rsidRPr="003802E6" w:rsidTr="004C0905">
        <w:tc>
          <w:tcPr>
            <w:tcW w:w="1809" w:type="dxa"/>
            <w:shd w:val="clear" w:color="auto" w:fill="auto"/>
          </w:tcPr>
          <w:p w:rsidR="000403F6" w:rsidRPr="004C0905" w:rsidRDefault="000403F6" w:rsidP="004C0905">
            <w:pPr>
              <w:ind w:left="170" w:right="170"/>
              <w:rPr>
                <w:color w:val="000000"/>
                <w:lang w:eastAsia="en-AU"/>
              </w:rPr>
            </w:pPr>
            <w:r w:rsidRPr="004C0905">
              <w:rPr>
                <w:color w:val="000000"/>
                <w:lang w:eastAsia="en-AU"/>
              </w:rPr>
              <w:t>CTZ</w:t>
            </w:r>
          </w:p>
        </w:tc>
        <w:tc>
          <w:tcPr>
            <w:tcW w:w="6911" w:type="dxa"/>
            <w:shd w:val="clear" w:color="auto" w:fill="auto"/>
          </w:tcPr>
          <w:p w:rsidR="000403F6" w:rsidRPr="004C0905" w:rsidRDefault="000403F6" w:rsidP="004C0905">
            <w:pPr>
              <w:ind w:left="170" w:right="170"/>
              <w:rPr>
                <w:color w:val="000000"/>
                <w:lang w:eastAsia="en-AU"/>
              </w:rPr>
            </w:pPr>
            <w:r w:rsidRPr="004C0905">
              <w:rPr>
                <w:color w:val="000000"/>
                <w:lang w:eastAsia="en-AU"/>
              </w:rPr>
              <w:t>chemoreceptor trigger zone</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r w:rsidRPr="004C0905">
              <w:rPr>
                <w:color w:val="000000"/>
                <w:lang w:eastAsia="en-AU"/>
              </w:rPr>
              <w:t>CYP</w:t>
            </w:r>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Cytochrome P450</w:t>
            </w:r>
          </w:p>
        </w:tc>
      </w:tr>
      <w:tr w:rsidR="00C952C9" w:rsidRPr="003802E6" w:rsidTr="004C0905">
        <w:tc>
          <w:tcPr>
            <w:tcW w:w="1809" w:type="dxa"/>
            <w:shd w:val="clear" w:color="auto" w:fill="auto"/>
          </w:tcPr>
          <w:p w:rsidR="00C952C9" w:rsidRPr="004C0905" w:rsidRDefault="00C952C9" w:rsidP="004C0905">
            <w:pPr>
              <w:ind w:left="170" w:right="170"/>
              <w:rPr>
                <w:color w:val="000000"/>
                <w:szCs w:val="21"/>
                <w:lang w:eastAsia="en-AU"/>
              </w:rPr>
            </w:pPr>
            <w:r w:rsidRPr="004C0905">
              <w:rPr>
                <w:color w:val="000000"/>
                <w:szCs w:val="21"/>
                <w:lang w:eastAsia="en-AU"/>
              </w:rPr>
              <w:t>CYP3A4</w:t>
            </w:r>
          </w:p>
        </w:tc>
        <w:tc>
          <w:tcPr>
            <w:tcW w:w="6911" w:type="dxa"/>
            <w:shd w:val="clear" w:color="auto" w:fill="auto"/>
          </w:tcPr>
          <w:p w:rsidR="00C952C9" w:rsidRPr="004C0905" w:rsidRDefault="00C952C9" w:rsidP="004C0905">
            <w:pPr>
              <w:ind w:left="170" w:right="170"/>
              <w:rPr>
                <w:color w:val="000000"/>
                <w:szCs w:val="21"/>
                <w:lang w:eastAsia="en-AU"/>
              </w:rPr>
            </w:pPr>
            <w:r w:rsidRPr="004C0905">
              <w:rPr>
                <w:color w:val="000000"/>
                <w:lang w:eastAsia="en-AU"/>
              </w:rPr>
              <w:t>Cytochrome P450 isoenzyme 3A4</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ECG</w:t>
            </w:r>
          </w:p>
        </w:tc>
        <w:tc>
          <w:tcPr>
            <w:tcW w:w="6911" w:type="dxa"/>
            <w:shd w:val="clear" w:color="auto" w:fill="auto"/>
          </w:tcPr>
          <w:p w:rsidR="009D2751" w:rsidRPr="004C0905" w:rsidRDefault="00F62028" w:rsidP="004C0905">
            <w:pPr>
              <w:ind w:left="170" w:right="170"/>
              <w:rPr>
                <w:color w:val="000000"/>
                <w:lang w:eastAsia="en-AU"/>
              </w:rPr>
            </w:pPr>
            <w:r w:rsidRPr="004C0905">
              <w:rPr>
                <w:rStyle w:val="st"/>
                <w:color w:val="000000"/>
                <w:lang w:eastAsia="en-AU"/>
              </w:rPr>
              <w:t>E</w:t>
            </w:r>
            <w:r w:rsidR="009D2751" w:rsidRPr="004C0905">
              <w:rPr>
                <w:rStyle w:val="st"/>
                <w:color w:val="000000"/>
                <w:lang w:eastAsia="en-AU"/>
              </w:rPr>
              <w:t>lectrocardiogram</w:t>
            </w:r>
          </w:p>
        </w:tc>
      </w:tr>
      <w:tr w:rsidR="0018634D" w:rsidRPr="003802E6" w:rsidTr="004C0905">
        <w:tc>
          <w:tcPr>
            <w:tcW w:w="1809" w:type="dxa"/>
            <w:shd w:val="clear" w:color="auto" w:fill="auto"/>
          </w:tcPr>
          <w:p w:rsidR="0018634D" w:rsidRPr="004C0905" w:rsidRDefault="0018634D" w:rsidP="004C0905">
            <w:pPr>
              <w:ind w:left="170" w:right="170"/>
              <w:rPr>
                <w:color w:val="000000"/>
                <w:lang w:eastAsia="en-AU"/>
              </w:rPr>
            </w:pPr>
            <w:r w:rsidRPr="004C0905">
              <w:rPr>
                <w:color w:val="000000"/>
                <w:lang w:eastAsia="en-AU"/>
              </w:rPr>
              <w:t>ED50</w:t>
            </w:r>
          </w:p>
        </w:tc>
        <w:tc>
          <w:tcPr>
            <w:tcW w:w="6911" w:type="dxa"/>
            <w:shd w:val="clear" w:color="auto" w:fill="auto"/>
          </w:tcPr>
          <w:p w:rsidR="0018634D" w:rsidRPr="004C0905" w:rsidRDefault="0018634D" w:rsidP="004C0905">
            <w:pPr>
              <w:ind w:left="170" w:right="170"/>
              <w:rPr>
                <w:color w:val="000000"/>
                <w:lang w:eastAsia="en-AU"/>
              </w:rPr>
            </w:pPr>
            <w:r w:rsidRPr="004C0905">
              <w:rPr>
                <w:color w:val="000000"/>
                <w:lang w:eastAsia="en-AU"/>
              </w:rPr>
              <w:t>Median</w:t>
            </w:r>
            <w:r w:rsidR="00C952C9" w:rsidRPr="004C0905">
              <w:rPr>
                <w:color w:val="000000"/>
                <w:lang w:eastAsia="en-AU"/>
              </w:rPr>
              <w:t xml:space="preserve"> (50%)</w:t>
            </w:r>
            <w:r w:rsidRPr="004C0905">
              <w:rPr>
                <w:color w:val="000000"/>
                <w:lang w:eastAsia="en-AU"/>
              </w:rPr>
              <w:t xml:space="preserve"> effective dose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EMA</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European Medicines Agency</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EPAR</w:t>
            </w:r>
          </w:p>
        </w:tc>
        <w:tc>
          <w:tcPr>
            <w:tcW w:w="6911" w:type="dxa"/>
            <w:shd w:val="clear" w:color="auto" w:fill="auto"/>
          </w:tcPr>
          <w:p w:rsidR="009D2751" w:rsidRPr="004C0905" w:rsidRDefault="009D2751" w:rsidP="004C0905">
            <w:pPr>
              <w:ind w:left="170" w:right="170"/>
              <w:rPr>
                <w:color w:val="000000"/>
                <w:lang w:eastAsia="en-AU"/>
              </w:rPr>
            </w:pPr>
            <w:r w:rsidRPr="004C0905">
              <w:rPr>
                <w:iCs/>
                <w:color w:val="000000"/>
                <w:lang w:eastAsia="en-AU"/>
              </w:rPr>
              <w:t>European public assessment reports</w:t>
            </w:r>
          </w:p>
        </w:tc>
      </w:tr>
      <w:tr w:rsidR="00F51E23" w:rsidRPr="003802E6" w:rsidTr="004C0905">
        <w:tc>
          <w:tcPr>
            <w:tcW w:w="1809" w:type="dxa"/>
            <w:shd w:val="clear" w:color="auto" w:fill="auto"/>
          </w:tcPr>
          <w:p w:rsidR="00F51E23" w:rsidRPr="004C0905" w:rsidRDefault="00F51E23" w:rsidP="004C0905">
            <w:pPr>
              <w:ind w:left="170" w:right="170"/>
              <w:rPr>
                <w:color w:val="000000"/>
                <w:lang w:eastAsia="en-AU"/>
              </w:rPr>
            </w:pPr>
            <w:proofErr w:type="spellStart"/>
            <w:r w:rsidRPr="004C0905">
              <w:rPr>
                <w:color w:val="000000"/>
                <w:lang w:eastAsia="en-AU"/>
              </w:rPr>
              <w:t>EviQ</w:t>
            </w:r>
            <w:proofErr w:type="spellEnd"/>
          </w:p>
        </w:tc>
        <w:tc>
          <w:tcPr>
            <w:tcW w:w="6911" w:type="dxa"/>
            <w:shd w:val="clear" w:color="auto" w:fill="auto"/>
          </w:tcPr>
          <w:p w:rsidR="00F51E23" w:rsidRPr="004C0905" w:rsidRDefault="00C952C9" w:rsidP="004C0905">
            <w:pPr>
              <w:ind w:left="170" w:right="170"/>
              <w:rPr>
                <w:iCs/>
                <w:color w:val="000000"/>
                <w:lang w:eastAsia="en-AU"/>
              </w:rPr>
            </w:pPr>
            <w:r w:rsidRPr="004C0905">
              <w:rPr>
                <w:iCs/>
                <w:color w:val="000000"/>
                <w:lang w:eastAsia="en-AU"/>
              </w:rPr>
              <w:t>Evidence based cancer treatme</w:t>
            </w:r>
            <w:r w:rsidR="00D75AC9" w:rsidRPr="004C0905">
              <w:rPr>
                <w:iCs/>
                <w:color w:val="000000"/>
                <w:lang w:eastAsia="en-AU"/>
              </w:rPr>
              <w:t>n</w:t>
            </w:r>
            <w:r w:rsidRPr="004C0905">
              <w:rPr>
                <w:iCs/>
                <w:color w:val="000000"/>
                <w:lang w:eastAsia="en-AU"/>
              </w:rPr>
              <w:t>t</w:t>
            </w:r>
            <w:r w:rsidR="00D75AC9" w:rsidRPr="004C0905">
              <w:rPr>
                <w:iCs/>
                <w:color w:val="000000"/>
                <w:lang w:eastAsia="en-AU"/>
              </w:rPr>
              <w:t>s (online)</w:t>
            </w:r>
          </w:p>
        </w:tc>
      </w:tr>
      <w:tr w:rsidR="00DA1171" w:rsidRPr="003802E6" w:rsidTr="004C0905">
        <w:tc>
          <w:tcPr>
            <w:tcW w:w="1809" w:type="dxa"/>
            <w:shd w:val="clear" w:color="auto" w:fill="auto"/>
          </w:tcPr>
          <w:p w:rsidR="00DA1171" w:rsidRPr="004C0905" w:rsidRDefault="00DA1171" w:rsidP="004C0905">
            <w:pPr>
              <w:ind w:left="170" w:right="170"/>
              <w:rPr>
                <w:color w:val="000000"/>
                <w:lang w:eastAsia="en-AU"/>
              </w:rPr>
            </w:pPr>
            <w:r w:rsidRPr="004C0905">
              <w:rPr>
                <w:color w:val="000000"/>
                <w:lang w:eastAsia="en-AU"/>
              </w:rPr>
              <w:t>ESMO</w:t>
            </w:r>
          </w:p>
        </w:tc>
        <w:tc>
          <w:tcPr>
            <w:tcW w:w="6911" w:type="dxa"/>
            <w:shd w:val="clear" w:color="auto" w:fill="auto"/>
          </w:tcPr>
          <w:p w:rsidR="00DA1171" w:rsidRPr="004C0905" w:rsidRDefault="00DA1171" w:rsidP="004C0905">
            <w:pPr>
              <w:ind w:left="170" w:right="170"/>
              <w:rPr>
                <w:iCs/>
                <w:color w:val="000000"/>
                <w:lang w:eastAsia="en-AU"/>
              </w:rPr>
            </w:pPr>
            <w:r w:rsidRPr="004C0905">
              <w:rPr>
                <w:color w:val="000000"/>
                <w:lang w:eastAsia="en-AU"/>
              </w:rPr>
              <w:t>European Society for Medical Oncology</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EU</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European Union</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FAS</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Full Analysis Set</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FDA</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Food and Drug Administration</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FDC</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fixed dose combination</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G-CSF</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granulocyte colony-stimulating factor</w:t>
            </w:r>
          </w:p>
        </w:tc>
      </w:tr>
      <w:tr w:rsidR="0036331C" w:rsidRPr="003802E6" w:rsidTr="004C0905">
        <w:tc>
          <w:tcPr>
            <w:tcW w:w="1809" w:type="dxa"/>
            <w:shd w:val="clear" w:color="auto" w:fill="auto"/>
          </w:tcPr>
          <w:p w:rsidR="0036331C" w:rsidRPr="004C0905" w:rsidRDefault="0036331C" w:rsidP="004C0905">
            <w:pPr>
              <w:ind w:left="170" w:right="170"/>
              <w:rPr>
                <w:color w:val="000000"/>
                <w:lang w:eastAsia="en-AU"/>
              </w:rPr>
            </w:pPr>
            <w:r w:rsidRPr="004C0905">
              <w:rPr>
                <w:color w:val="000000"/>
                <w:lang w:eastAsia="en-AU"/>
              </w:rPr>
              <w:t>GD</w:t>
            </w:r>
          </w:p>
        </w:tc>
        <w:tc>
          <w:tcPr>
            <w:tcW w:w="6911" w:type="dxa"/>
            <w:shd w:val="clear" w:color="auto" w:fill="auto"/>
          </w:tcPr>
          <w:p w:rsidR="0036331C" w:rsidRPr="004C0905" w:rsidRDefault="0036331C" w:rsidP="004C0905">
            <w:pPr>
              <w:ind w:left="170" w:right="170"/>
              <w:rPr>
                <w:color w:val="000000"/>
                <w:lang w:eastAsia="en-AU"/>
              </w:rPr>
            </w:pPr>
            <w:r w:rsidRPr="004C0905">
              <w:rPr>
                <w:color w:val="000000"/>
                <w:lang w:eastAsia="en-AU"/>
              </w:rPr>
              <w:t>gestation day</w:t>
            </w:r>
          </w:p>
        </w:tc>
      </w:tr>
      <w:tr w:rsidR="0096573F" w:rsidRPr="003802E6" w:rsidTr="004C0905">
        <w:tc>
          <w:tcPr>
            <w:tcW w:w="1809" w:type="dxa"/>
            <w:shd w:val="clear" w:color="auto" w:fill="auto"/>
          </w:tcPr>
          <w:p w:rsidR="0096573F" w:rsidRPr="004C0905" w:rsidRDefault="0096573F" w:rsidP="004C0905">
            <w:pPr>
              <w:ind w:left="170" w:right="170"/>
              <w:rPr>
                <w:color w:val="000000"/>
                <w:szCs w:val="21"/>
                <w:lang w:eastAsia="en-AU"/>
              </w:rPr>
            </w:pPr>
            <w:r w:rsidRPr="004C0905">
              <w:rPr>
                <w:color w:val="000000"/>
                <w:szCs w:val="21"/>
                <w:lang w:eastAsia="en-AU"/>
              </w:rPr>
              <w:t>GDH</w:t>
            </w:r>
          </w:p>
        </w:tc>
        <w:tc>
          <w:tcPr>
            <w:tcW w:w="6911" w:type="dxa"/>
            <w:shd w:val="clear" w:color="auto" w:fill="auto"/>
          </w:tcPr>
          <w:p w:rsidR="0096573F" w:rsidRPr="004C0905" w:rsidRDefault="0096573F" w:rsidP="004C0905">
            <w:pPr>
              <w:ind w:left="170" w:right="170"/>
              <w:rPr>
                <w:color w:val="000000"/>
                <w:szCs w:val="21"/>
                <w:lang w:eastAsia="en-AU"/>
              </w:rPr>
            </w:pPr>
            <w:r w:rsidRPr="004C0905">
              <w:rPr>
                <w:color w:val="000000"/>
                <w:szCs w:val="21"/>
                <w:lang w:eastAsia="en-AU"/>
              </w:rPr>
              <w:t>glutamate dehydrogenase</w:t>
            </w:r>
          </w:p>
        </w:tc>
      </w:tr>
      <w:tr w:rsidR="00E53F32" w:rsidRPr="003802E6" w:rsidTr="004C0905">
        <w:tc>
          <w:tcPr>
            <w:tcW w:w="1809" w:type="dxa"/>
            <w:shd w:val="clear" w:color="auto" w:fill="auto"/>
          </w:tcPr>
          <w:p w:rsidR="00E53F32" w:rsidRPr="004C0905" w:rsidRDefault="00E53F32" w:rsidP="004C0905">
            <w:pPr>
              <w:ind w:left="170" w:right="170"/>
              <w:rPr>
                <w:color w:val="000000"/>
                <w:lang w:eastAsia="en-AU"/>
              </w:rPr>
            </w:pPr>
            <w:r w:rsidRPr="004C0905">
              <w:rPr>
                <w:color w:val="000000"/>
                <w:lang w:eastAsia="en-AU"/>
              </w:rPr>
              <w:t>GGT</w:t>
            </w:r>
          </w:p>
        </w:tc>
        <w:tc>
          <w:tcPr>
            <w:tcW w:w="6911" w:type="dxa"/>
            <w:shd w:val="clear" w:color="auto" w:fill="auto"/>
          </w:tcPr>
          <w:p w:rsidR="00E53F32" w:rsidRPr="004C0905" w:rsidRDefault="00E53F32" w:rsidP="004C0905">
            <w:pPr>
              <w:ind w:left="170" w:right="170"/>
              <w:rPr>
                <w:color w:val="000000"/>
                <w:lang w:eastAsia="en-AU"/>
              </w:rPr>
            </w:pPr>
            <w:r w:rsidRPr="004C0905">
              <w:rPr>
                <w:color w:val="000000"/>
                <w:lang w:eastAsia="en-AU"/>
              </w:rPr>
              <w:t>gamma-</w:t>
            </w:r>
            <w:proofErr w:type="spellStart"/>
            <w:r w:rsidRPr="004C0905">
              <w:rPr>
                <w:color w:val="000000"/>
                <w:lang w:eastAsia="en-AU"/>
              </w:rPr>
              <w:t>glutamyl</w:t>
            </w:r>
            <w:proofErr w:type="spellEnd"/>
            <w:r w:rsidRPr="004C0905">
              <w:rPr>
                <w:color w:val="000000"/>
                <w:lang w:eastAsia="en-AU"/>
              </w:rPr>
              <w:t xml:space="preserve"> </w:t>
            </w:r>
            <w:proofErr w:type="spellStart"/>
            <w:r w:rsidRPr="004C0905">
              <w:rPr>
                <w:color w:val="000000"/>
                <w:lang w:eastAsia="en-AU"/>
              </w:rPr>
              <w:t>transpeptidase</w:t>
            </w:r>
            <w:proofErr w:type="spellEnd"/>
          </w:p>
        </w:tc>
      </w:tr>
      <w:tr w:rsidR="0018634D" w:rsidRPr="003802E6" w:rsidTr="004C0905">
        <w:tc>
          <w:tcPr>
            <w:tcW w:w="1809" w:type="dxa"/>
            <w:shd w:val="clear" w:color="auto" w:fill="auto"/>
          </w:tcPr>
          <w:p w:rsidR="0018634D" w:rsidRPr="004C0905" w:rsidRDefault="0018634D" w:rsidP="004C0905">
            <w:pPr>
              <w:ind w:left="170" w:right="170"/>
              <w:rPr>
                <w:color w:val="000000"/>
                <w:lang w:eastAsia="en-AU"/>
              </w:rPr>
            </w:pPr>
            <w:r w:rsidRPr="004C0905">
              <w:rPr>
                <w:color w:val="000000"/>
                <w:lang w:eastAsia="en-AU"/>
              </w:rPr>
              <w:t>GLP</w:t>
            </w:r>
          </w:p>
        </w:tc>
        <w:tc>
          <w:tcPr>
            <w:tcW w:w="6911" w:type="dxa"/>
            <w:shd w:val="clear" w:color="auto" w:fill="auto"/>
          </w:tcPr>
          <w:p w:rsidR="0018634D" w:rsidRPr="004C0905" w:rsidRDefault="0018634D" w:rsidP="004C0905">
            <w:pPr>
              <w:ind w:left="170" w:right="170"/>
              <w:rPr>
                <w:color w:val="000000"/>
                <w:lang w:eastAsia="en-AU"/>
              </w:rPr>
            </w:pPr>
            <w:r w:rsidRPr="004C0905">
              <w:rPr>
                <w:color w:val="000000"/>
                <w:lang w:eastAsia="en-AU"/>
              </w:rPr>
              <w:t>Good Laboratory Practice</w:t>
            </w:r>
          </w:p>
        </w:tc>
      </w:tr>
      <w:tr w:rsidR="00401656" w:rsidRPr="003802E6" w:rsidTr="004C0905">
        <w:tc>
          <w:tcPr>
            <w:tcW w:w="1809" w:type="dxa"/>
            <w:shd w:val="clear" w:color="auto" w:fill="auto"/>
          </w:tcPr>
          <w:p w:rsidR="00401656" w:rsidRPr="004C0905" w:rsidRDefault="00401656" w:rsidP="004C0905">
            <w:pPr>
              <w:ind w:left="170" w:right="170"/>
              <w:rPr>
                <w:color w:val="000000"/>
                <w:lang w:eastAsia="en-AU"/>
              </w:rPr>
            </w:pPr>
            <w:r w:rsidRPr="004C0905">
              <w:rPr>
                <w:color w:val="000000"/>
                <w:lang w:eastAsia="en-AU"/>
              </w:rPr>
              <w:t>GM-CSF</w:t>
            </w:r>
          </w:p>
        </w:tc>
        <w:tc>
          <w:tcPr>
            <w:tcW w:w="6911" w:type="dxa"/>
            <w:shd w:val="clear" w:color="auto" w:fill="auto"/>
          </w:tcPr>
          <w:p w:rsidR="00401656" w:rsidRPr="004C0905" w:rsidRDefault="00401656" w:rsidP="004C0905">
            <w:pPr>
              <w:ind w:left="170" w:right="170"/>
              <w:rPr>
                <w:color w:val="000000"/>
                <w:lang w:eastAsia="en-AU"/>
              </w:rPr>
            </w:pPr>
            <w:r w:rsidRPr="004C0905">
              <w:rPr>
                <w:color w:val="000000"/>
                <w:lang w:eastAsia="en-AU"/>
              </w:rPr>
              <w:t>granulocyte macrophage colony-stimulating factor</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h</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hour/s</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proofErr w:type="spellStart"/>
            <w:r w:rsidRPr="004C0905">
              <w:rPr>
                <w:color w:val="000000"/>
                <w:lang w:eastAsia="en-AU"/>
              </w:rPr>
              <w:t>Hb</w:t>
            </w:r>
            <w:proofErr w:type="spellEnd"/>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haemoglobin</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HEC</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highly emetogenic chemotherapy</w:t>
            </w:r>
          </w:p>
        </w:tc>
      </w:tr>
      <w:tr w:rsidR="0018634D" w:rsidRPr="003802E6" w:rsidTr="004C0905">
        <w:tc>
          <w:tcPr>
            <w:tcW w:w="1809" w:type="dxa"/>
            <w:shd w:val="clear" w:color="auto" w:fill="auto"/>
          </w:tcPr>
          <w:p w:rsidR="0018634D" w:rsidRPr="004C0905" w:rsidRDefault="0018634D" w:rsidP="004C0905">
            <w:pPr>
              <w:ind w:left="170" w:right="170"/>
              <w:rPr>
                <w:color w:val="000000"/>
                <w:lang w:eastAsia="en-AU"/>
              </w:rPr>
            </w:pPr>
            <w:proofErr w:type="spellStart"/>
            <w:r w:rsidRPr="004C0905">
              <w:rPr>
                <w:color w:val="000000"/>
                <w:lang w:eastAsia="en-AU"/>
              </w:rPr>
              <w:lastRenderedPageBreak/>
              <w:t>hERG</w:t>
            </w:r>
            <w:proofErr w:type="spellEnd"/>
          </w:p>
        </w:tc>
        <w:tc>
          <w:tcPr>
            <w:tcW w:w="6911" w:type="dxa"/>
            <w:shd w:val="clear" w:color="auto" w:fill="auto"/>
          </w:tcPr>
          <w:p w:rsidR="0018634D" w:rsidRPr="004C0905" w:rsidRDefault="00F543DA" w:rsidP="004C0905">
            <w:pPr>
              <w:ind w:left="170" w:right="170"/>
              <w:rPr>
                <w:color w:val="000000"/>
                <w:lang w:eastAsia="en-AU"/>
              </w:rPr>
            </w:pPr>
            <w:r w:rsidRPr="004C0905">
              <w:rPr>
                <w:color w:val="000000"/>
                <w:lang w:eastAsia="en-AU"/>
              </w:rPr>
              <w:t>human Ether-à-go-go Related Gene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IV</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Intravenous</w:t>
            </w:r>
          </w:p>
        </w:tc>
      </w:tr>
      <w:tr w:rsidR="00DA1171" w:rsidRPr="003802E6" w:rsidTr="004C0905">
        <w:tc>
          <w:tcPr>
            <w:tcW w:w="1809" w:type="dxa"/>
            <w:shd w:val="clear" w:color="auto" w:fill="auto"/>
          </w:tcPr>
          <w:p w:rsidR="00DA1171" w:rsidRPr="004C0905" w:rsidRDefault="00DA1171" w:rsidP="004C0905">
            <w:pPr>
              <w:ind w:left="170" w:right="170"/>
              <w:rPr>
                <w:color w:val="000000"/>
                <w:lang w:eastAsia="en-AU"/>
              </w:rPr>
            </w:pPr>
            <w:r w:rsidRPr="004C0905">
              <w:rPr>
                <w:color w:val="000000"/>
                <w:lang w:eastAsia="en-AU"/>
              </w:rPr>
              <w:t>MASCC</w:t>
            </w:r>
          </w:p>
        </w:tc>
        <w:tc>
          <w:tcPr>
            <w:tcW w:w="6911" w:type="dxa"/>
            <w:shd w:val="clear" w:color="auto" w:fill="auto"/>
          </w:tcPr>
          <w:p w:rsidR="00DA1171" w:rsidRPr="004C0905" w:rsidRDefault="00DA1171" w:rsidP="004C0905">
            <w:pPr>
              <w:ind w:left="170" w:right="170"/>
              <w:rPr>
                <w:color w:val="000000"/>
                <w:lang w:eastAsia="en-AU"/>
              </w:rPr>
            </w:pPr>
            <w:r w:rsidRPr="004C0905">
              <w:rPr>
                <w:color w:val="000000"/>
                <w:lang w:eastAsia="en-AU"/>
              </w:rPr>
              <w:t>Multinational Association of Supportive Care in Cancer</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r w:rsidRPr="004C0905">
              <w:rPr>
                <w:color w:val="000000"/>
                <w:lang w:eastAsia="en-AU"/>
              </w:rPr>
              <w:t>MCH</w:t>
            </w:r>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mean corpuscular haemoglobin</w:t>
            </w:r>
          </w:p>
        </w:tc>
      </w:tr>
      <w:tr w:rsidR="005670BA" w:rsidRPr="003802E6" w:rsidTr="004C0905">
        <w:tc>
          <w:tcPr>
            <w:tcW w:w="1809" w:type="dxa"/>
            <w:shd w:val="clear" w:color="auto" w:fill="auto"/>
          </w:tcPr>
          <w:p w:rsidR="005670BA" w:rsidRPr="004C0905" w:rsidRDefault="005670BA" w:rsidP="004C0905">
            <w:pPr>
              <w:ind w:left="170" w:right="170"/>
              <w:rPr>
                <w:color w:val="000000"/>
                <w:lang w:eastAsia="en-AU"/>
              </w:rPr>
            </w:pPr>
            <w:r w:rsidRPr="004C0905">
              <w:rPr>
                <w:color w:val="000000"/>
                <w:lang w:eastAsia="en-AU"/>
              </w:rPr>
              <w:t>MCV</w:t>
            </w:r>
          </w:p>
        </w:tc>
        <w:tc>
          <w:tcPr>
            <w:tcW w:w="6911" w:type="dxa"/>
            <w:shd w:val="clear" w:color="auto" w:fill="auto"/>
          </w:tcPr>
          <w:p w:rsidR="005670BA" w:rsidRPr="004C0905" w:rsidRDefault="005670BA" w:rsidP="004C0905">
            <w:pPr>
              <w:ind w:left="170" w:right="170"/>
              <w:rPr>
                <w:color w:val="000000"/>
                <w:lang w:eastAsia="en-AU"/>
              </w:rPr>
            </w:pPr>
            <w:r w:rsidRPr="004C0905">
              <w:rPr>
                <w:color w:val="000000"/>
                <w:lang w:eastAsia="en-AU"/>
              </w:rPr>
              <w:t>mean corpuscular volume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MEC</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moderately emetogenic chemotherapy</w:t>
            </w:r>
          </w:p>
        </w:tc>
      </w:tr>
      <w:tr w:rsidR="002D3239" w:rsidRPr="003802E6" w:rsidTr="004C0905">
        <w:tc>
          <w:tcPr>
            <w:tcW w:w="1809" w:type="dxa"/>
            <w:shd w:val="clear" w:color="auto" w:fill="auto"/>
          </w:tcPr>
          <w:p w:rsidR="002D3239" w:rsidRPr="004C0905" w:rsidRDefault="002D3239" w:rsidP="004C0905">
            <w:pPr>
              <w:ind w:left="170" w:right="170"/>
              <w:rPr>
                <w:color w:val="000000"/>
                <w:lang w:eastAsia="en-AU"/>
              </w:rPr>
            </w:pPr>
            <w:proofErr w:type="spellStart"/>
            <w:r w:rsidRPr="004C0905">
              <w:rPr>
                <w:color w:val="000000"/>
                <w:lang w:eastAsia="en-AU"/>
              </w:rPr>
              <w:t>MedDRA</w:t>
            </w:r>
            <w:proofErr w:type="spellEnd"/>
          </w:p>
        </w:tc>
        <w:tc>
          <w:tcPr>
            <w:tcW w:w="6911" w:type="dxa"/>
            <w:shd w:val="clear" w:color="auto" w:fill="auto"/>
          </w:tcPr>
          <w:p w:rsidR="002D3239" w:rsidRPr="004C0905" w:rsidRDefault="00BD6934" w:rsidP="004C0905">
            <w:pPr>
              <w:ind w:left="170" w:right="170"/>
              <w:rPr>
                <w:color w:val="000000"/>
                <w:szCs w:val="21"/>
                <w:lang w:eastAsia="en-AU"/>
              </w:rPr>
            </w:pPr>
            <w:r w:rsidRPr="004C0905">
              <w:rPr>
                <w:color w:val="000000"/>
                <w:szCs w:val="21"/>
                <w:lang w:eastAsia="en-AU"/>
              </w:rPr>
              <w:t>The Medical Dictionary for Regulatory Activities</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mL</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Millilitre</w:t>
            </w:r>
          </w:p>
        </w:tc>
      </w:tr>
      <w:tr w:rsidR="009D2751" w:rsidRPr="003802E6" w:rsidTr="004C0905">
        <w:tc>
          <w:tcPr>
            <w:tcW w:w="1809" w:type="dxa"/>
            <w:shd w:val="clear" w:color="auto" w:fill="auto"/>
          </w:tcPr>
          <w:p w:rsidR="009D2751" w:rsidRPr="004C0905" w:rsidRDefault="00BD6934" w:rsidP="004C0905">
            <w:pPr>
              <w:ind w:left="170" w:right="170"/>
              <w:rPr>
                <w:color w:val="000000"/>
                <w:lang w:eastAsia="en-AU"/>
              </w:rPr>
            </w:pPr>
            <w:proofErr w:type="spellStart"/>
            <w:r w:rsidRPr="004C0905">
              <w:rPr>
                <w:color w:val="000000"/>
                <w:lang w:eastAsia="en-AU"/>
              </w:rPr>
              <w:t>m</w:t>
            </w:r>
            <w:r w:rsidR="009D2751" w:rsidRPr="004C0905">
              <w:rPr>
                <w:color w:val="000000"/>
                <w:lang w:eastAsia="en-AU"/>
              </w:rPr>
              <w:t>s</w:t>
            </w:r>
            <w:proofErr w:type="spellEnd"/>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Millisecond</w:t>
            </w:r>
          </w:p>
        </w:tc>
      </w:tr>
      <w:tr w:rsidR="00D75AC9" w:rsidRPr="003802E6" w:rsidTr="004C0905">
        <w:tc>
          <w:tcPr>
            <w:tcW w:w="1809" w:type="dxa"/>
            <w:shd w:val="clear" w:color="auto" w:fill="auto"/>
          </w:tcPr>
          <w:p w:rsidR="00D75AC9" w:rsidRPr="004C0905" w:rsidRDefault="00D75AC9" w:rsidP="004C0905">
            <w:pPr>
              <w:ind w:left="170" w:right="170"/>
              <w:rPr>
                <w:color w:val="000000"/>
                <w:lang w:eastAsia="en-AU"/>
              </w:rPr>
            </w:pPr>
            <w:proofErr w:type="spellStart"/>
            <w:r w:rsidRPr="004C0905">
              <w:rPr>
                <w:color w:val="000000"/>
                <w:lang w:eastAsia="en-AU"/>
              </w:rPr>
              <w:t>NaCl</w:t>
            </w:r>
            <w:proofErr w:type="spellEnd"/>
          </w:p>
        </w:tc>
        <w:tc>
          <w:tcPr>
            <w:tcW w:w="6911" w:type="dxa"/>
            <w:shd w:val="clear" w:color="auto" w:fill="auto"/>
          </w:tcPr>
          <w:p w:rsidR="00D75AC9" w:rsidRPr="004C0905" w:rsidRDefault="00D75AC9" w:rsidP="004C0905">
            <w:pPr>
              <w:ind w:left="170" w:right="170"/>
              <w:rPr>
                <w:color w:val="000000"/>
                <w:lang w:eastAsia="en-AU"/>
              </w:rPr>
            </w:pPr>
            <w:r w:rsidRPr="004C0905">
              <w:rPr>
                <w:color w:val="000000"/>
                <w:lang w:eastAsia="en-AU"/>
              </w:rPr>
              <w:t>sodium chloride</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NK1</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Neurokinin 1</w:t>
            </w:r>
          </w:p>
        </w:tc>
      </w:tr>
      <w:tr w:rsidR="00BD6934" w:rsidRPr="003802E6" w:rsidTr="004C0905">
        <w:tc>
          <w:tcPr>
            <w:tcW w:w="1809" w:type="dxa"/>
            <w:shd w:val="clear" w:color="auto" w:fill="auto"/>
          </w:tcPr>
          <w:p w:rsidR="00BD6934" w:rsidRPr="004C0905" w:rsidRDefault="00BD6934" w:rsidP="004C0905">
            <w:pPr>
              <w:ind w:left="170" w:right="170"/>
              <w:rPr>
                <w:color w:val="000000"/>
                <w:szCs w:val="21"/>
                <w:lang w:eastAsia="en-AU"/>
              </w:rPr>
            </w:pPr>
            <w:r w:rsidRPr="004C0905">
              <w:rPr>
                <w:color w:val="000000"/>
                <w:szCs w:val="21"/>
                <w:lang w:eastAsia="en-AU"/>
              </w:rPr>
              <w:t>NK1 R</w:t>
            </w:r>
          </w:p>
        </w:tc>
        <w:tc>
          <w:tcPr>
            <w:tcW w:w="6911" w:type="dxa"/>
            <w:shd w:val="clear" w:color="auto" w:fill="auto"/>
          </w:tcPr>
          <w:p w:rsidR="00BD6934" w:rsidRPr="004C0905" w:rsidRDefault="00BD6934" w:rsidP="004C0905">
            <w:pPr>
              <w:ind w:left="170" w:right="170"/>
              <w:rPr>
                <w:color w:val="000000"/>
                <w:szCs w:val="21"/>
                <w:lang w:eastAsia="en-AU"/>
              </w:rPr>
            </w:pPr>
            <w:r w:rsidRPr="004C0905">
              <w:rPr>
                <w:color w:val="000000"/>
                <w:szCs w:val="21"/>
                <w:lang w:eastAsia="en-AU"/>
              </w:rPr>
              <w:t>NK1 receptor</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OR</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Odds ratio</w:t>
            </w:r>
          </w:p>
        </w:tc>
      </w:tr>
      <w:tr w:rsidR="00717EB6" w:rsidRPr="003802E6" w:rsidTr="004C0905">
        <w:tc>
          <w:tcPr>
            <w:tcW w:w="1809" w:type="dxa"/>
            <w:shd w:val="clear" w:color="auto" w:fill="auto"/>
          </w:tcPr>
          <w:p w:rsidR="00717EB6" w:rsidRPr="004C0905" w:rsidRDefault="00717EB6" w:rsidP="004C0905">
            <w:pPr>
              <w:ind w:left="170" w:right="170"/>
              <w:rPr>
                <w:color w:val="000000"/>
                <w:lang w:eastAsia="en-AU"/>
              </w:rPr>
            </w:pPr>
            <w:r w:rsidRPr="004C0905">
              <w:rPr>
                <w:color w:val="000000"/>
                <w:lang w:eastAsia="en-AU"/>
              </w:rPr>
              <w:t>PBAC</w:t>
            </w:r>
          </w:p>
        </w:tc>
        <w:tc>
          <w:tcPr>
            <w:tcW w:w="6911" w:type="dxa"/>
            <w:shd w:val="clear" w:color="auto" w:fill="auto"/>
          </w:tcPr>
          <w:p w:rsidR="00717EB6" w:rsidRPr="004C0905" w:rsidRDefault="00717EB6" w:rsidP="004C0905">
            <w:pPr>
              <w:ind w:left="170" w:right="170"/>
              <w:rPr>
                <w:color w:val="000000"/>
                <w:lang w:eastAsia="en-AU"/>
              </w:rPr>
            </w:pPr>
            <w:r w:rsidRPr="004C0905">
              <w:rPr>
                <w:color w:val="000000"/>
                <w:lang w:eastAsia="en-AU"/>
              </w:rPr>
              <w:t>Pharmaceutical Benefits Advisory Committee</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PBRER</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Periodic Benefit-Risk Evaluation Report</w:t>
            </w:r>
          </w:p>
        </w:tc>
      </w:tr>
      <w:tr w:rsidR="00717EB6" w:rsidRPr="003802E6" w:rsidTr="004C0905">
        <w:tc>
          <w:tcPr>
            <w:tcW w:w="1809" w:type="dxa"/>
            <w:shd w:val="clear" w:color="auto" w:fill="auto"/>
          </w:tcPr>
          <w:p w:rsidR="00717EB6" w:rsidRPr="004C0905" w:rsidRDefault="00717EB6" w:rsidP="004C0905">
            <w:pPr>
              <w:ind w:left="170" w:right="170"/>
              <w:rPr>
                <w:color w:val="000000"/>
                <w:lang w:eastAsia="en-AU"/>
              </w:rPr>
            </w:pPr>
            <w:r w:rsidRPr="004C0905">
              <w:rPr>
                <w:color w:val="000000"/>
                <w:lang w:eastAsia="en-AU"/>
              </w:rPr>
              <w:t>PBS</w:t>
            </w:r>
          </w:p>
        </w:tc>
        <w:tc>
          <w:tcPr>
            <w:tcW w:w="6911" w:type="dxa"/>
            <w:shd w:val="clear" w:color="auto" w:fill="auto"/>
          </w:tcPr>
          <w:p w:rsidR="00717EB6" w:rsidRPr="004C0905" w:rsidRDefault="00717EB6" w:rsidP="004C0905">
            <w:pPr>
              <w:ind w:left="170" w:right="170"/>
              <w:rPr>
                <w:color w:val="000000"/>
                <w:lang w:eastAsia="en-AU"/>
              </w:rPr>
            </w:pPr>
            <w:r w:rsidRPr="004C0905">
              <w:rPr>
                <w:color w:val="000000"/>
                <w:lang w:eastAsia="en-AU"/>
              </w:rPr>
              <w:t>Pharmaceutical Benefits Scheme</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PD</w:t>
            </w:r>
          </w:p>
        </w:tc>
        <w:tc>
          <w:tcPr>
            <w:tcW w:w="6911" w:type="dxa"/>
            <w:shd w:val="clear" w:color="auto" w:fill="auto"/>
          </w:tcPr>
          <w:p w:rsidR="009D2751" w:rsidRPr="004C0905" w:rsidRDefault="00F62028" w:rsidP="004C0905">
            <w:pPr>
              <w:ind w:left="170" w:right="170"/>
              <w:rPr>
                <w:color w:val="000000"/>
                <w:lang w:eastAsia="en-AU"/>
              </w:rPr>
            </w:pPr>
            <w:r w:rsidRPr="004C0905">
              <w:rPr>
                <w:color w:val="000000"/>
                <w:lang w:eastAsia="en-AU"/>
              </w:rPr>
              <w:t>P</w:t>
            </w:r>
            <w:r w:rsidR="009D2751" w:rsidRPr="004C0905">
              <w:rPr>
                <w:color w:val="000000"/>
                <w:lang w:eastAsia="en-AU"/>
              </w:rPr>
              <w:t>harmacodynamics</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PET</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positron emission tomography</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PI</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Product Information</w:t>
            </w:r>
          </w:p>
        </w:tc>
      </w:tr>
      <w:tr w:rsidR="009D2751" w:rsidRPr="003802E6" w:rsidTr="004C0905">
        <w:tc>
          <w:tcPr>
            <w:tcW w:w="1809" w:type="dxa"/>
            <w:shd w:val="clear" w:color="auto" w:fill="auto"/>
          </w:tcPr>
          <w:p w:rsidR="009D2751" w:rsidRPr="004C0905" w:rsidRDefault="0036331C" w:rsidP="004C0905">
            <w:pPr>
              <w:ind w:left="170" w:right="170"/>
              <w:rPr>
                <w:color w:val="000000"/>
                <w:lang w:eastAsia="en-AU"/>
              </w:rPr>
            </w:pPr>
            <w:r w:rsidRPr="004C0905">
              <w:rPr>
                <w:color w:val="000000"/>
                <w:lang w:eastAsia="en-AU"/>
              </w:rPr>
              <w:t>PK</w:t>
            </w:r>
          </w:p>
        </w:tc>
        <w:tc>
          <w:tcPr>
            <w:tcW w:w="6911" w:type="dxa"/>
            <w:shd w:val="clear" w:color="auto" w:fill="auto"/>
          </w:tcPr>
          <w:p w:rsidR="009D2751" w:rsidRPr="004C0905" w:rsidRDefault="00F62028" w:rsidP="004C0905">
            <w:pPr>
              <w:ind w:left="170" w:right="170"/>
              <w:rPr>
                <w:color w:val="000000"/>
                <w:lang w:eastAsia="en-AU"/>
              </w:rPr>
            </w:pPr>
            <w:r w:rsidRPr="004C0905">
              <w:rPr>
                <w:color w:val="000000"/>
                <w:lang w:eastAsia="en-AU"/>
              </w:rPr>
              <w:t>P</w:t>
            </w:r>
            <w:r w:rsidR="009D2751" w:rsidRPr="004C0905">
              <w:rPr>
                <w:color w:val="000000"/>
                <w:lang w:eastAsia="en-AU"/>
              </w:rPr>
              <w:t>harmacokinetics</w:t>
            </w:r>
          </w:p>
        </w:tc>
      </w:tr>
      <w:tr w:rsidR="0036331C" w:rsidRPr="003802E6" w:rsidTr="004C0905">
        <w:tc>
          <w:tcPr>
            <w:tcW w:w="1809" w:type="dxa"/>
            <w:shd w:val="clear" w:color="auto" w:fill="auto"/>
          </w:tcPr>
          <w:p w:rsidR="0036331C" w:rsidRPr="004C0905" w:rsidRDefault="0036331C" w:rsidP="004C0905">
            <w:pPr>
              <w:ind w:left="170" w:right="170"/>
              <w:rPr>
                <w:color w:val="000000"/>
                <w:lang w:eastAsia="en-AU"/>
              </w:rPr>
            </w:pPr>
            <w:r w:rsidRPr="004C0905">
              <w:rPr>
                <w:color w:val="000000"/>
                <w:lang w:eastAsia="en-AU"/>
              </w:rPr>
              <w:t>PND</w:t>
            </w:r>
          </w:p>
        </w:tc>
        <w:tc>
          <w:tcPr>
            <w:tcW w:w="6911" w:type="dxa"/>
            <w:shd w:val="clear" w:color="auto" w:fill="auto"/>
          </w:tcPr>
          <w:p w:rsidR="0036331C" w:rsidRPr="004C0905" w:rsidRDefault="0036331C" w:rsidP="004C0905">
            <w:pPr>
              <w:ind w:left="170" w:right="170"/>
              <w:rPr>
                <w:color w:val="000000"/>
                <w:lang w:eastAsia="en-AU"/>
              </w:rPr>
            </w:pPr>
            <w:r w:rsidRPr="004C0905">
              <w:rPr>
                <w:color w:val="000000"/>
                <w:lang w:eastAsia="en-AU"/>
              </w:rPr>
              <w:t>postnatal day</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proofErr w:type="spellStart"/>
            <w:r w:rsidRPr="004C0905">
              <w:rPr>
                <w:color w:val="000000"/>
                <w:lang w:eastAsia="en-AU"/>
              </w:rPr>
              <w:t>P</w:t>
            </w:r>
            <w:r w:rsidR="00CE0692" w:rsidRPr="004C0905">
              <w:rPr>
                <w:color w:val="000000"/>
                <w:lang w:eastAsia="en-AU"/>
              </w:rPr>
              <w:t>op</w:t>
            </w:r>
            <w:r w:rsidRPr="004C0905">
              <w:rPr>
                <w:color w:val="000000"/>
                <w:lang w:eastAsia="en-AU"/>
              </w:rPr>
              <w:t>PK</w:t>
            </w:r>
            <w:proofErr w:type="spellEnd"/>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population PK</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PRAC</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EMA Pharmacovigilance Risk Assessment Committee</w:t>
            </w:r>
          </w:p>
        </w:tc>
      </w:tr>
      <w:tr w:rsidR="009A17E5" w:rsidRPr="003802E6" w:rsidTr="004C0905">
        <w:tc>
          <w:tcPr>
            <w:tcW w:w="1809" w:type="dxa"/>
            <w:shd w:val="clear" w:color="auto" w:fill="auto"/>
          </w:tcPr>
          <w:p w:rsidR="009A17E5" w:rsidRPr="004C0905" w:rsidRDefault="009A17E5" w:rsidP="004C0905">
            <w:pPr>
              <w:ind w:left="170" w:right="170"/>
              <w:rPr>
                <w:color w:val="000000"/>
                <w:lang w:eastAsia="en-AU"/>
              </w:rPr>
            </w:pPr>
            <w:r w:rsidRPr="004C0905">
              <w:rPr>
                <w:color w:val="000000"/>
                <w:lang w:eastAsia="en-AU"/>
              </w:rPr>
              <w:t>PSUR</w:t>
            </w:r>
          </w:p>
        </w:tc>
        <w:tc>
          <w:tcPr>
            <w:tcW w:w="6911" w:type="dxa"/>
            <w:shd w:val="clear" w:color="auto" w:fill="auto"/>
          </w:tcPr>
          <w:p w:rsidR="009A17E5" w:rsidRPr="004C0905" w:rsidRDefault="009A17E5" w:rsidP="004C0905">
            <w:pPr>
              <w:ind w:left="170" w:right="170"/>
              <w:rPr>
                <w:color w:val="000000"/>
                <w:lang w:eastAsia="en-AU"/>
              </w:rPr>
            </w:pPr>
            <w:r w:rsidRPr="004C0905">
              <w:rPr>
                <w:color w:val="000000"/>
                <w:lang w:eastAsia="en-AU"/>
              </w:rPr>
              <w:t>Periodic Safety Update Report</w:t>
            </w:r>
          </w:p>
        </w:tc>
      </w:tr>
      <w:tr w:rsidR="00DA1171" w:rsidRPr="003802E6" w:rsidTr="004C0905">
        <w:tc>
          <w:tcPr>
            <w:tcW w:w="1809" w:type="dxa"/>
            <w:shd w:val="clear" w:color="auto" w:fill="auto"/>
          </w:tcPr>
          <w:p w:rsidR="00DA1171" w:rsidRPr="004C0905" w:rsidRDefault="00DA1171" w:rsidP="004C0905">
            <w:pPr>
              <w:ind w:left="170" w:right="170"/>
              <w:rPr>
                <w:color w:val="000000"/>
                <w:lang w:eastAsia="en-AU"/>
              </w:rPr>
            </w:pPr>
            <w:r w:rsidRPr="004C0905">
              <w:rPr>
                <w:color w:val="000000"/>
                <w:lang w:eastAsia="en-AU"/>
              </w:rPr>
              <w:t>PT</w:t>
            </w:r>
          </w:p>
        </w:tc>
        <w:tc>
          <w:tcPr>
            <w:tcW w:w="6911" w:type="dxa"/>
            <w:shd w:val="clear" w:color="auto" w:fill="auto"/>
          </w:tcPr>
          <w:p w:rsidR="00DA1171" w:rsidRPr="004C0905" w:rsidRDefault="00DA1171" w:rsidP="004C0905">
            <w:pPr>
              <w:ind w:left="170" w:right="170"/>
              <w:rPr>
                <w:color w:val="000000"/>
                <w:lang w:eastAsia="en-AU"/>
              </w:rPr>
            </w:pPr>
            <w:r w:rsidRPr="004C0905">
              <w:rPr>
                <w:color w:val="000000"/>
                <w:lang w:eastAsia="en-AU"/>
              </w:rPr>
              <w:t>preferred term</w:t>
            </w:r>
          </w:p>
        </w:tc>
      </w:tr>
      <w:tr w:rsidR="00F543DA" w:rsidRPr="003802E6" w:rsidTr="004C0905">
        <w:tc>
          <w:tcPr>
            <w:tcW w:w="1809" w:type="dxa"/>
            <w:shd w:val="clear" w:color="auto" w:fill="auto"/>
          </w:tcPr>
          <w:p w:rsidR="00F543DA" w:rsidRPr="004C0905" w:rsidRDefault="00F543DA" w:rsidP="004C0905">
            <w:pPr>
              <w:ind w:left="170" w:right="170"/>
              <w:rPr>
                <w:color w:val="000000"/>
                <w:lang w:eastAsia="en-AU"/>
              </w:rPr>
            </w:pPr>
            <w:proofErr w:type="spellStart"/>
            <w:r w:rsidRPr="004C0905">
              <w:rPr>
                <w:color w:val="000000"/>
                <w:lang w:eastAsia="en-AU"/>
              </w:rPr>
              <w:t>QTcF</w:t>
            </w:r>
            <w:proofErr w:type="spellEnd"/>
          </w:p>
        </w:tc>
        <w:tc>
          <w:tcPr>
            <w:tcW w:w="6911" w:type="dxa"/>
            <w:shd w:val="clear" w:color="auto" w:fill="auto"/>
          </w:tcPr>
          <w:p w:rsidR="00F543DA" w:rsidRPr="004C0905" w:rsidRDefault="00F543DA" w:rsidP="004C0905">
            <w:pPr>
              <w:ind w:left="170" w:right="170"/>
              <w:rPr>
                <w:color w:val="000000"/>
                <w:lang w:eastAsia="en-AU"/>
              </w:rPr>
            </w:pPr>
            <w:proofErr w:type="spellStart"/>
            <w:r w:rsidRPr="004C0905">
              <w:rPr>
                <w:color w:val="000000"/>
                <w:lang w:eastAsia="en-AU"/>
              </w:rPr>
              <w:t>Fridericia</w:t>
            </w:r>
            <w:proofErr w:type="spellEnd"/>
            <w:r w:rsidRPr="004C0905">
              <w:rPr>
                <w:color w:val="000000"/>
                <w:lang w:eastAsia="en-AU"/>
              </w:rPr>
              <w:t>-corrected QT interval</w:t>
            </w:r>
          </w:p>
        </w:tc>
      </w:tr>
      <w:tr w:rsidR="00B10A0D" w:rsidRPr="003802E6" w:rsidTr="004C0905">
        <w:tc>
          <w:tcPr>
            <w:tcW w:w="1809" w:type="dxa"/>
            <w:shd w:val="clear" w:color="auto" w:fill="auto"/>
          </w:tcPr>
          <w:p w:rsidR="00B10A0D" w:rsidRPr="004C0905" w:rsidRDefault="00B10A0D" w:rsidP="004C0905">
            <w:pPr>
              <w:ind w:left="170" w:right="170"/>
              <w:rPr>
                <w:color w:val="000000"/>
                <w:lang w:eastAsia="en-AU"/>
              </w:rPr>
            </w:pPr>
            <w:proofErr w:type="spellStart"/>
            <w:r w:rsidRPr="004C0905">
              <w:rPr>
                <w:color w:val="000000"/>
                <w:lang w:eastAsia="en-AU"/>
              </w:rPr>
              <w:lastRenderedPageBreak/>
              <w:t>QTcV</w:t>
            </w:r>
            <w:proofErr w:type="spellEnd"/>
          </w:p>
        </w:tc>
        <w:tc>
          <w:tcPr>
            <w:tcW w:w="6911" w:type="dxa"/>
            <w:shd w:val="clear" w:color="auto" w:fill="auto"/>
          </w:tcPr>
          <w:p w:rsidR="00B10A0D" w:rsidRPr="004C0905" w:rsidRDefault="00B10A0D" w:rsidP="004C0905">
            <w:pPr>
              <w:ind w:left="170" w:right="170"/>
              <w:rPr>
                <w:color w:val="000000"/>
                <w:lang w:eastAsia="en-AU"/>
              </w:rPr>
            </w:pPr>
            <w:r w:rsidRPr="004C0905">
              <w:rPr>
                <w:color w:val="000000"/>
                <w:lang w:eastAsia="en-AU"/>
              </w:rPr>
              <w:t>Van de Water corrected QT interval</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SAE</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serious adverse event</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SD</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Standard Deviation</w:t>
            </w:r>
          </w:p>
        </w:tc>
      </w:tr>
      <w:tr w:rsidR="00E53F32" w:rsidRPr="003802E6" w:rsidTr="004C0905">
        <w:tc>
          <w:tcPr>
            <w:tcW w:w="1809" w:type="dxa"/>
            <w:shd w:val="clear" w:color="auto" w:fill="auto"/>
          </w:tcPr>
          <w:p w:rsidR="00E53F32" w:rsidRPr="004C0905" w:rsidRDefault="00E53F32" w:rsidP="004C0905">
            <w:pPr>
              <w:ind w:left="170" w:right="170"/>
              <w:rPr>
                <w:color w:val="000000"/>
                <w:lang w:eastAsia="en-AU"/>
              </w:rPr>
            </w:pPr>
            <w:r w:rsidRPr="004C0905">
              <w:rPr>
                <w:color w:val="000000"/>
                <w:lang w:eastAsia="en-AU"/>
              </w:rPr>
              <w:t>SDH</w:t>
            </w:r>
          </w:p>
        </w:tc>
        <w:tc>
          <w:tcPr>
            <w:tcW w:w="6911" w:type="dxa"/>
            <w:shd w:val="clear" w:color="auto" w:fill="auto"/>
          </w:tcPr>
          <w:p w:rsidR="00E53F32" w:rsidRPr="004C0905" w:rsidRDefault="00E53F32" w:rsidP="004C0905">
            <w:pPr>
              <w:ind w:left="170" w:right="170"/>
              <w:rPr>
                <w:color w:val="000000"/>
                <w:lang w:eastAsia="en-AU"/>
              </w:rPr>
            </w:pPr>
            <w:r w:rsidRPr="004C0905">
              <w:rPr>
                <w:color w:val="000000"/>
                <w:lang w:eastAsia="en-AU"/>
              </w:rPr>
              <w:t>sorbitol dehydrogenase</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SDS</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 xml:space="preserve">surfactant sodium </w:t>
            </w:r>
            <w:proofErr w:type="spellStart"/>
            <w:r w:rsidRPr="004C0905">
              <w:rPr>
                <w:color w:val="000000"/>
                <w:lang w:eastAsia="en-AU"/>
              </w:rPr>
              <w:t>dodecylsulfate</w:t>
            </w:r>
            <w:proofErr w:type="spellEnd"/>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SE</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 xml:space="preserve">sucrose </w:t>
            </w:r>
            <w:proofErr w:type="spellStart"/>
            <w:r w:rsidRPr="004C0905">
              <w:rPr>
                <w:color w:val="000000"/>
                <w:lang w:eastAsia="en-AU"/>
              </w:rPr>
              <w:t>lauric</w:t>
            </w:r>
            <w:proofErr w:type="spellEnd"/>
            <w:r w:rsidRPr="004C0905">
              <w:rPr>
                <w:color w:val="000000"/>
                <w:lang w:eastAsia="en-AU"/>
              </w:rPr>
              <w:t xml:space="preserve"> ester</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SOC</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System Organ Class</w:t>
            </w:r>
          </w:p>
        </w:tc>
      </w:tr>
      <w:tr w:rsidR="002D3239" w:rsidRPr="003802E6" w:rsidTr="004C0905">
        <w:tc>
          <w:tcPr>
            <w:tcW w:w="1809" w:type="dxa"/>
            <w:shd w:val="clear" w:color="auto" w:fill="auto"/>
          </w:tcPr>
          <w:p w:rsidR="002D3239" w:rsidRPr="004C0905" w:rsidRDefault="002D3239" w:rsidP="004C0905">
            <w:pPr>
              <w:ind w:left="170" w:right="170"/>
              <w:rPr>
                <w:color w:val="000000"/>
                <w:lang w:eastAsia="en-AU"/>
              </w:rPr>
            </w:pPr>
            <w:r w:rsidRPr="004C0905">
              <w:rPr>
                <w:color w:val="000000"/>
                <w:lang w:eastAsia="en-AU"/>
              </w:rPr>
              <w:t>SMQs</w:t>
            </w:r>
          </w:p>
        </w:tc>
        <w:tc>
          <w:tcPr>
            <w:tcW w:w="6911" w:type="dxa"/>
            <w:shd w:val="clear" w:color="auto" w:fill="auto"/>
          </w:tcPr>
          <w:p w:rsidR="002D3239" w:rsidRPr="004C0905" w:rsidRDefault="00CE0692" w:rsidP="004C0905">
            <w:pPr>
              <w:ind w:left="170" w:right="170"/>
              <w:rPr>
                <w:color w:val="000000"/>
                <w:lang w:eastAsia="en-AU"/>
              </w:rPr>
            </w:pPr>
            <w:r w:rsidRPr="004C0905">
              <w:rPr>
                <w:color w:val="000000"/>
                <w:lang w:eastAsia="en-AU"/>
              </w:rPr>
              <w:t xml:space="preserve">Standardised </w:t>
            </w:r>
            <w:proofErr w:type="spellStart"/>
            <w:r w:rsidRPr="004C0905">
              <w:rPr>
                <w:color w:val="000000"/>
                <w:lang w:eastAsia="en-AU"/>
              </w:rPr>
              <w:t>MeDRA</w:t>
            </w:r>
            <w:proofErr w:type="spellEnd"/>
            <w:r w:rsidRPr="004C0905">
              <w:rPr>
                <w:color w:val="000000"/>
                <w:lang w:eastAsia="en-AU"/>
              </w:rPr>
              <w:t xml:space="preserve"> queries</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t½</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half-life</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t½</w:t>
            </w:r>
            <w:r w:rsidR="00B67F7F" w:rsidRPr="004C0905">
              <w:rPr>
                <w:color w:val="000000"/>
                <w:lang w:eastAsia="en-AU"/>
              </w:rPr>
              <w:t>z</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apparent terminal elimination half-life</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color w:val="000000"/>
                <w:lang w:eastAsia="en-AU"/>
              </w:rPr>
              <w:t>TEAE</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treatment emergent adverse events</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TGA</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Therapeutic Goods Administration</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r w:rsidRPr="004C0905">
              <w:rPr>
                <w:color w:val="000000"/>
                <w:lang w:eastAsia="en-AU"/>
              </w:rPr>
              <w:t>US</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 xml:space="preserve">United States </w:t>
            </w:r>
          </w:p>
        </w:tc>
      </w:tr>
      <w:tr w:rsidR="003818B7" w:rsidRPr="003802E6" w:rsidTr="004C0905">
        <w:tc>
          <w:tcPr>
            <w:tcW w:w="1809" w:type="dxa"/>
            <w:shd w:val="clear" w:color="auto" w:fill="auto"/>
          </w:tcPr>
          <w:p w:rsidR="003818B7" w:rsidRPr="004C0905" w:rsidRDefault="003818B7" w:rsidP="004C0905">
            <w:pPr>
              <w:ind w:left="170" w:right="170"/>
              <w:rPr>
                <w:color w:val="000000"/>
                <w:lang w:eastAsia="en-AU"/>
              </w:rPr>
            </w:pPr>
            <w:r w:rsidRPr="004C0905">
              <w:rPr>
                <w:color w:val="000000"/>
                <w:lang w:eastAsia="en-AU"/>
              </w:rPr>
              <w:t>V/F</w:t>
            </w:r>
          </w:p>
        </w:tc>
        <w:tc>
          <w:tcPr>
            <w:tcW w:w="6911" w:type="dxa"/>
            <w:shd w:val="clear" w:color="auto" w:fill="auto"/>
          </w:tcPr>
          <w:p w:rsidR="003818B7" w:rsidRPr="004C0905" w:rsidRDefault="00B67F7F" w:rsidP="004C0905">
            <w:pPr>
              <w:ind w:left="170" w:right="170"/>
              <w:rPr>
                <w:color w:val="000000"/>
                <w:lang w:eastAsia="en-AU"/>
              </w:rPr>
            </w:pPr>
            <w:r w:rsidRPr="004C0905">
              <w:rPr>
                <w:color w:val="000000"/>
                <w:lang w:eastAsia="en-AU"/>
              </w:rPr>
              <w:t>Absolute volume of distribution</w:t>
            </w:r>
          </w:p>
        </w:tc>
      </w:tr>
      <w:tr w:rsidR="009D2751" w:rsidRPr="003802E6" w:rsidTr="004C0905">
        <w:tc>
          <w:tcPr>
            <w:tcW w:w="1809" w:type="dxa"/>
            <w:shd w:val="clear" w:color="auto" w:fill="auto"/>
          </w:tcPr>
          <w:p w:rsidR="009D2751" w:rsidRPr="004C0905" w:rsidRDefault="009D2751" w:rsidP="004C0905">
            <w:pPr>
              <w:ind w:left="170" w:right="170"/>
              <w:rPr>
                <w:color w:val="000000"/>
                <w:lang w:eastAsia="en-AU"/>
              </w:rPr>
            </w:pPr>
            <w:proofErr w:type="spellStart"/>
            <w:r w:rsidRPr="004C0905">
              <w:rPr>
                <w:color w:val="000000"/>
                <w:lang w:eastAsia="en-AU"/>
              </w:rPr>
              <w:t>V</w:t>
            </w:r>
            <w:r w:rsidRPr="004C0905">
              <w:rPr>
                <w:color w:val="000000"/>
                <w:vertAlign w:val="subscript"/>
                <w:lang w:eastAsia="en-AU"/>
              </w:rPr>
              <w:t>z</w:t>
            </w:r>
            <w:proofErr w:type="spellEnd"/>
            <w:r w:rsidR="003818B7" w:rsidRPr="004C0905">
              <w:rPr>
                <w:color w:val="000000"/>
                <w:lang w:eastAsia="en-AU"/>
              </w:rPr>
              <w:t>/F</w:t>
            </w:r>
          </w:p>
        </w:tc>
        <w:tc>
          <w:tcPr>
            <w:tcW w:w="6911" w:type="dxa"/>
            <w:shd w:val="clear" w:color="auto" w:fill="auto"/>
          </w:tcPr>
          <w:p w:rsidR="009D2751" w:rsidRPr="004C0905" w:rsidRDefault="009D2751" w:rsidP="004C0905">
            <w:pPr>
              <w:ind w:left="170" w:right="170"/>
              <w:rPr>
                <w:color w:val="000000"/>
                <w:lang w:eastAsia="en-AU"/>
              </w:rPr>
            </w:pPr>
            <w:r w:rsidRPr="004C0905">
              <w:rPr>
                <w:rFonts w:eastAsia="TimesNewRoman" w:cs="TimesNewRoman"/>
                <w:color w:val="000000"/>
                <w:lang w:eastAsia="en-AU"/>
              </w:rPr>
              <w:t>volume of distribution</w:t>
            </w:r>
          </w:p>
        </w:tc>
      </w:tr>
      <w:tr w:rsidR="009D2751" w:rsidRPr="003802E6" w:rsidTr="004C0905">
        <w:tc>
          <w:tcPr>
            <w:tcW w:w="1809" w:type="dxa"/>
            <w:shd w:val="clear" w:color="auto" w:fill="auto"/>
          </w:tcPr>
          <w:p w:rsidR="009D2751" w:rsidRPr="004C0905" w:rsidRDefault="003818B7" w:rsidP="004C0905">
            <w:pPr>
              <w:ind w:left="170" w:right="170"/>
              <w:rPr>
                <w:color w:val="000000"/>
                <w:lang w:eastAsia="en-AU"/>
              </w:rPr>
            </w:pPr>
            <w:r w:rsidRPr="004C0905">
              <w:rPr>
                <w:rFonts w:eastAsia="TimesNewRoman" w:cs="Symbol"/>
                <w:color w:val="000000"/>
                <w:lang w:eastAsia="en-AU"/>
              </w:rPr>
              <w:t>λ</w:t>
            </w:r>
          </w:p>
        </w:tc>
        <w:tc>
          <w:tcPr>
            <w:tcW w:w="6911" w:type="dxa"/>
            <w:shd w:val="clear" w:color="auto" w:fill="auto"/>
          </w:tcPr>
          <w:p w:rsidR="009D2751" w:rsidRPr="004C0905" w:rsidRDefault="009D2751" w:rsidP="004C0905">
            <w:pPr>
              <w:ind w:left="170" w:right="170"/>
              <w:rPr>
                <w:color w:val="000000"/>
                <w:lang w:eastAsia="en-AU"/>
              </w:rPr>
            </w:pPr>
            <w:r w:rsidRPr="004C0905">
              <w:rPr>
                <w:rFonts w:eastAsia="TimesNewRoman" w:cs="TimesNewRoman"/>
                <w:color w:val="000000"/>
                <w:lang w:eastAsia="en-AU"/>
              </w:rPr>
              <w:t>blood/plasma concentration ratio</w:t>
            </w:r>
          </w:p>
        </w:tc>
      </w:tr>
      <w:tr w:rsidR="009D2751" w:rsidRPr="003802E6" w:rsidTr="004C0905">
        <w:tc>
          <w:tcPr>
            <w:tcW w:w="1809" w:type="dxa"/>
            <w:shd w:val="clear" w:color="auto" w:fill="auto"/>
          </w:tcPr>
          <w:p w:rsidR="009D2751" w:rsidRPr="004C0905" w:rsidRDefault="00BF76E4" w:rsidP="004C0905">
            <w:pPr>
              <w:ind w:left="170" w:right="170"/>
              <w:rPr>
                <w:color w:val="000000"/>
                <w:lang w:eastAsia="en-AU"/>
              </w:rPr>
            </w:pPr>
            <w:r w:rsidRPr="004C0905">
              <w:rPr>
                <w:color w:val="000000"/>
                <w:lang w:eastAsia="en-AU"/>
              </w:rPr>
              <w:t>µ</w:t>
            </w:r>
            <w:r w:rsidR="009D2751" w:rsidRPr="004C0905">
              <w:rPr>
                <w:color w:val="000000"/>
                <w:lang w:eastAsia="en-AU"/>
              </w:rPr>
              <w:t>g</w:t>
            </w:r>
          </w:p>
        </w:tc>
        <w:tc>
          <w:tcPr>
            <w:tcW w:w="6911" w:type="dxa"/>
            <w:shd w:val="clear" w:color="auto" w:fill="auto"/>
          </w:tcPr>
          <w:p w:rsidR="009D2751" w:rsidRPr="004C0905" w:rsidRDefault="009D2751" w:rsidP="004C0905">
            <w:pPr>
              <w:ind w:left="170" w:right="170"/>
              <w:rPr>
                <w:color w:val="000000"/>
                <w:lang w:eastAsia="en-AU"/>
              </w:rPr>
            </w:pPr>
            <w:r w:rsidRPr="004C0905">
              <w:rPr>
                <w:color w:val="000000"/>
                <w:lang w:eastAsia="en-AU"/>
              </w:rPr>
              <w:t>Microgram</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466986514"/>
      <w:r>
        <w:t>I.</w:t>
      </w:r>
      <w:r w:rsidR="008E7846">
        <w:t xml:space="preserve"> Introduction to product submission</w:t>
      </w:r>
      <w:bookmarkEnd w:id="1"/>
      <w:bookmarkEnd w:id="4"/>
      <w:bookmarkEnd w:id="10"/>
    </w:p>
    <w:p w:rsidR="008E7846" w:rsidRDefault="008E7846" w:rsidP="008E7846">
      <w:pPr>
        <w:pStyle w:val="Heading3"/>
        <w:rPr>
          <w:lang w:eastAsia="en-AU"/>
        </w:rPr>
      </w:pPr>
      <w:bookmarkStart w:id="11" w:name="_Toc247691502"/>
      <w:bookmarkStart w:id="12" w:name="_Toc314842483"/>
      <w:bookmarkStart w:id="13" w:name="_Toc466986515"/>
      <w:r>
        <w:rPr>
          <w:lang w:eastAsia="en-AU"/>
        </w:rPr>
        <w:t>Submission details</w:t>
      </w:r>
      <w:bookmarkEnd w:id="11"/>
      <w:bookmarkEnd w:id="12"/>
      <w:bookmarkEnd w:id="13"/>
    </w:p>
    <w:tbl>
      <w:tblPr>
        <w:tblW w:w="9497" w:type="dxa"/>
        <w:tblInd w:w="108" w:type="dxa"/>
        <w:tblLook w:val="01E0" w:firstRow="1" w:lastRow="1" w:firstColumn="1" w:lastColumn="1" w:noHBand="0" w:noVBand="0"/>
      </w:tblPr>
      <w:tblGrid>
        <w:gridCol w:w="2907"/>
        <w:gridCol w:w="6307"/>
        <w:gridCol w:w="283"/>
      </w:tblGrid>
      <w:tr w:rsidR="008E7846" w:rsidRPr="003D1E62" w:rsidTr="0038764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14AF2" w:rsidRDefault="008E7846" w:rsidP="00814AF2">
            <w:r w:rsidRPr="003D1E62">
              <w:t xml:space="preserve">New </w:t>
            </w:r>
            <w:r w:rsidR="001B5C90">
              <w:t>c</w:t>
            </w:r>
            <w:r w:rsidRPr="003D1E62">
              <w:t xml:space="preserve">hemical </w:t>
            </w:r>
            <w:r w:rsidR="001B5C90">
              <w:t>e</w:t>
            </w:r>
            <w:r w:rsidR="00814AF2">
              <w:t>ntity (ne</w:t>
            </w:r>
            <w:r w:rsidR="00814AF2" w:rsidRPr="009D2751">
              <w:t>tup</w:t>
            </w:r>
            <w:r w:rsidR="009D2751" w:rsidRPr="009D2751">
              <w:t>itant)/</w:t>
            </w:r>
            <w:r w:rsidR="00814AF2" w:rsidRPr="009D2751">
              <w:t xml:space="preserve">new fixed </w:t>
            </w:r>
            <w:r w:rsidR="00431926">
              <w:t xml:space="preserve">dose </w:t>
            </w:r>
            <w:r w:rsidR="00814AF2" w:rsidRPr="009D2751">
              <w:t>combination</w:t>
            </w:r>
          </w:p>
          <w:p w:rsidR="00814AF2" w:rsidRDefault="00814AF2" w:rsidP="00814AF2"/>
          <w:p w:rsidR="008E7846" w:rsidRPr="003D1E62" w:rsidRDefault="00814AF2" w:rsidP="00814AF2">
            <w:r w:rsidRPr="00814AF2">
              <w:t>(new fixed combination)</w:t>
            </w:r>
          </w:p>
        </w:tc>
      </w:tr>
      <w:tr w:rsidR="008E7846" w:rsidRPr="003D1E62" w:rsidTr="0038764D">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B23CCE" w:rsidP="009D1973">
            <w:r>
              <w:t>Approved</w:t>
            </w:r>
          </w:p>
        </w:tc>
      </w:tr>
      <w:tr w:rsidR="008E7846" w:rsidRPr="003D1E62" w:rsidTr="0038764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F80565" w:rsidP="001B5C90">
            <w:r>
              <w:t>4 May 2015</w:t>
            </w:r>
          </w:p>
        </w:tc>
      </w:tr>
      <w:tr w:rsidR="00ED2922" w:rsidRPr="003D1E62" w:rsidTr="0038764D">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F80565" w:rsidP="00EC463D">
            <w:pPr>
              <w:rPr>
                <w:i/>
              </w:rPr>
            </w:pPr>
            <w:r>
              <w:t>6 May 2015</w:t>
            </w:r>
          </w:p>
        </w:tc>
      </w:tr>
      <w:tr w:rsidR="008E7846" w:rsidRPr="00487162" w:rsidTr="0038764D">
        <w:trPr>
          <w:gridAfter w:val="1"/>
          <w:wAfter w:w="283" w:type="dxa"/>
        </w:trPr>
        <w:tc>
          <w:tcPr>
            <w:tcW w:w="2907" w:type="dxa"/>
          </w:tcPr>
          <w:p w:rsidR="008E7846" w:rsidRPr="00487162" w:rsidRDefault="00DB788D" w:rsidP="00E45619">
            <w:pPr>
              <w:rPr>
                <w:i/>
              </w:rPr>
            </w:pPr>
            <w:r>
              <w:rPr>
                <w:i/>
              </w:rPr>
              <w:t>Active ingredient</w:t>
            </w:r>
            <w:r w:rsidR="00EA5F9B">
              <w:rPr>
                <w:i/>
              </w:rPr>
              <w:t>s</w:t>
            </w:r>
            <w:r w:rsidR="001B5C90">
              <w:rPr>
                <w:i/>
              </w:rPr>
              <w:t>:</w:t>
            </w:r>
          </w:p>
        </w:tc>
        <w:tc>
          <w:tcPr>
            <w:tcW w:w="6307" w:type="dxa"/>
          </w:tcPr>
          <w:p w:rsidR="008E7846" w:rsidRPr="00487162" w:rsidRDefault="00DB788D" w:rsidP="00E45619">
            <w:r>
              <w:t>Netupitant</w:t>
            </w:r>
            <w:r w:rsidR="00EA5F9B">
              <w:t xml:space="preserve"> and</w:t>
            </w:r>
            <w:r>
              <w:t xml:space="preserve"> </w:t>
            </w:r>
            <w:r w:rsidR="00B14A9D">
              <w:t>palon</w:t>
            </w:r>
            <w:r w:rsidR="00AD05DE">
              <w:t>o</w:t>
            </w:r>
            <w:r w:rsidR="00B14A9D">
              <w:t>setron (as hydrochloride)</w:t>
            </w:r>
          </w:p>
        </w:tc>
      </w:tr>
      <w:tr w:rsidR="008E7846" w:rsidRPr="00487162" w:rsidTr="0038764D">
        <w:trPr>
          <w:gridAfter w:val="1"/>
          <w:wAfter w:w="283" w:type="dxa"/>
        </w:trPr>
        <w:tc>
          <w:tcPr>
            <w:tcW w:w="2907" w:type="dxa"/>
          </w:tcPr>
          <w:p w:rsidR="008E7846" w:rsidRPr="00487162" w:rsidRDefault="008E7846" w:rsidP="001B5C90">
            <w:pPr>
              <w:rPr>
                <w:i/>
              </w:rPr>
            </w:pPr>
            <w:r w:rsidRPr="00487162">
              <w:rPr>
                <w:i/>
              </w:rPr>
              <w:t>Product</w:t>
            </w:r>
            <w:r w:rsidR="00DB788D">
              <w:rPr>
                <w:i/>
              </w:rPr>
              <w:t xml:space="preserve"> name</w:t>
            </w:r>
            <w:r w:rsidR="001B5C90">
              <w:rPr>
                <w:i/>
              </w:rPr>
              <w:t>:</w:t>
            </w:r>
          </w:p>
        </w:tc>
        <w:tc>
          <w:tcPr>
            <w:tcW w:w="6307" w:type="dxa"/>
          </w:tcPr>
          <w:p w:rsidR="008E7846" w:rsidRPr="00487162" w:rsidRDefault="00E96281" w:rsidP="00E45619">
            <w:r>
              <w:t>Akynzeo</w:t>
            </w:r>
          </w:p>
        </w:tc>
      </w:tr>
      <w:tr w:rsidR="008E7846" w:rsidRPr="00487162" w:rsidTr="0038764D">
        <w:trPr>
          <w:gridAfter w:val="1"/>
          <w:wAfter w:w="283" w:type="dxa"/>
        </w:trPr>
        <w:tc>
          <w:tcPr>
            <w:tcW w:w="2907" w:type="dxa"/>
          </w:tcPr>
          <w:p w:rsidR="008E7846" w:rsidRPr="00487162" w:rsidRDefault="00791AE3" w:rsidP="001B5C90">
            <w:pPr>
              <w:rPr>
                <w:i/>
              </w:rPr>
            </w:pPr>
            <w:r>
              <w:rPr>
                <w:i/>
              </w:rPr>
              <w:t>sponsor’s</w:t>
            </w:r>
            <w:r w:rsidR="008E7846" w:rsidRPr="00487162">
              <w:rPr>
                <w:i/>
              </w:rPr>
              <w:t xml:space="preserve"> </w:t>
            </w:r>
            <w:r w:rsidR="001B5C90">
              <w:rPr>
                <w:i/>
              </w:rPr>
              <w:t>n</w:t>
            </w:r>
            <w:r w:rsidR="008E7846" w:rsidRPr="00487162">
              <w:rPr>
                <w:i/>
              </w:rPr>
              <w:t xml:space="preserve">ame and </w:t>
            </w:r>
            <w:r w:rsidR="001B5C90">
              <w:rPr>
                <w:i/>
              </w:rPr>
              <w:t>a</w:t>
            </w:r>
            <w:r w:rsidR="008E7846" w:rsidRPr="00487162">
              <w:rPr>
                <w:i/>
              </w:rPr>
              <w:t>ddress:</w:t>
            </w:r>
          </w:p>
        </w:tc>
        <w:tc>
          <w:tcPr>
            <w:tcW w:w="6307" w:type="dxa"/>
          </w:tcPr>
          <w:p w:rsidR="008E7846" w:rsidRDefault="00B14A9D" w:rsidP="00E45619">
            <w:r>
              <w:t>Specialised Therapeutics Australia Pty Ltd</w:t>
            </w:r>
            <w:r w:rsidR="002C3187">
              <w:rPr>
                <w:rStyle w:val="FootnoteReference"/>
              </w:rPr>
              <w:footnoteReference w:id="2"/>
            </w:r>
          </w:p>
          <w:p w:rsidR="00B14A9D" w:rsidRDefault="00B14A9D" w:rsidP="00E45619">
            <w:r>
              <w:t>PO Box 250</w:t>
            </w:r>
            <w:r w:rsidR="009D2751">
              <w:t>,</w:t>
            </w:r>
          </w:p>
          <w:p w:rsidR="00B14A9D" w:rsidRPr="00487162" w:rsidRDefault="009D2751" w:rsidP="00E45619">
            <w:r>
              <w:t xml:space="preserve">Kew East </w:t>
            </w:r>
            <w:r w:rsidR="00B14A9D">
              <w:t>VIC 3102</w:t>
            </w:r>
          </w:p>
        </w:tc>
      </w:tr>
      <w:tr w:rsidR="008E7846" w:rsidRPr="00487162" w:rsidTr="0038764D">
        <w:trPr>
          <w:gridAfter w:val="1"/>
          <w:wAfter w:w="283" w:type="dxa"/>
        </w:trPr>
        <w:tc>
          <w:tcPr>
            <w:tcW w:w="2907" w:type="dxa"/>
          </w:tcPr>
          <w:p w:rsidR="008E7846" w:rsidRPr="00487162" w:rsidRDefault="00DB788D" w:rsidP="00E45619">
            <w:pPr>
              <w:rPr>
                <w:i/>
              </w:rPr>
            </w:pPr>
            <w:r>
              <w:rPr>
                <w:i/>
              </w:rPr>
              <w:t>Dose form</w:t>
            </w:r>
            <w:r w:rsidR="001B5C90">
              <w:rPr>
                <w:i/>
              </w:rPr>
              <w:t>:</w:t>
            </w:r>
          </w:p>
        </w:tc>
        <w:tc>
          <w:tcPr>
            <w:tcW w:w="6307" w:type="dxa"/>
          </w:tcPr>
          <w:p w:rsidR="008E7846" w:rsidRPr="00487162" w:rsidRDefault="00DB788D" w:rsidP="00B14A9D">
            <w:r>
              <w:t>Capsule</w:t>
            </w:r>
          </w:p>
        </w:tc>
      </w:tr>
      <w:tr w:rsidR="008E7846" w:rsidRPr="00487162" w:rsidTr="0038764D">
        <w:trPr>
          <w:gridAfter w:val="1"/>
          <w:wAfter w:w="283" w:type="dxa"/>
        </w:trPr>
        <w:tc>
          <w:tcPr>
            <w:tcW w:w="2907" w:type="dxa"/>
          </w:tcPr>
          <w:p w:rsidR="008E7846" w:rsidRPr="00487162" w:rsidRDefault="00DB788D" w:rsidP="00E45619">
            <w:pPr>
              <w:rPr>
                <w:i/>
              </w:rPr>
            </w:pPr>
            <w:r>
              <w:rPr>
                <w:i/>
              </w:rPr>
              <w:t>Strength</w:t>
            </w:r>
            <w:r w:rsidR="008E7846" w:rsidRPr="00487162">
              <w:rPr>
                <w:i/>
              </w:rPr>
              <w:t xml:space="preserve">: </w:t>
            </w:r>
          </w:p>
        </w:tc>
        <w:tc>
          <w:tcPr>
            <w:tcW w:w="6307" w:type="dxa"/>
          </w:tcPr>
          <w:p w:rsidR="00B14A9D" w:rsidRDefault="00B14A9D" w:rsidP="00E45619">
            <w:r>
              <w:t>Netupitant/palon</w:t>
            </w:r>
            <w:r w:rsidR="00AD05DE">
              <w:t>o</w:t>
            </w:r>
            <w:r>
              <w:t>setron</w:t>
            </w:r>
          </w:p>
          <w:p w:rsidR="008E7846" w:rsidRPr="00487162" w:rsidRDefault="00BF76E4" w:rsidP="00E45619">
            <w:r>
              <w:t>300 mg and 0.5 mg</w:t>
            </w:r>
          </w:p>
        </w:tc>
      </w:tr>
      <w:tr w:rsidR="008E7846" w:rsidRPr="00487162" w:rsidTr="0038764D">
        <w:trPr>
          <w:gridAfter w:val="1"/>
          <w:wAfter w:w="283" w:type="dxa"/>
        </w:trPr>
        <w:tc>
          <w:tcPr>
            <w:tcW w:w="2907" w:type="dxa"/>
          </w:tcPr>
          <w:p w:rsidR="008E7846" w:rsidRPr="00487162" w:rsidRDefault="00DB788D" w:rsidP="00E45619">
            <w:pPr>
              <w:rPr>
                <w:i/>
              </w:rPr>
            </w:pPr>
            <w:r>
              <w:rPr>
                <w:i/>
              </w:rPr>
              <w:t>Container</w:t>
            </w:r>
            <w:r w:rsidR="008E7846" w:rsidRPr="00487162">
              <w:rPr>
                <w:i/>
              </w:rPr>
              <w:t>:</w:t>
            </w:r>
          </w:p>
        </w:tc>
        <w:tc>
          <w:tcPr>
            <w:tcW w:w="6307" w:type="dxa"/>
          </w:tcPr>
          <w:p w:rsidR="008E7846" w:rsidRPr="00487162" w:rsidRDefault="00B14A9D" w:rsidP="00E45619">
            <w:r>
              <w:t>Blister pack AI/AI</w:t>
            </w:r>
          </w:p>
        </w:tc>
      </w:tr>
      <w:tr w:rsidR="008E7846" w:rsidRPr="00487162" w:rsidTr="0038764D">
        <w:trPr>
          <w:gridAfter w:val="1"/>
          <w:wAfter w:w="283" w:type="dxa"/>
        </w:trPr>
        <w:tc>
          <w:tcPr>
            <w:tcW w:w="2907" w:type="dxa"/>
          </w:tcPr>
          <w:p w:rsidR="008E7846" w:rsidRPr="00487162" w:rsidRDefault="00DB788D" w:rsidP="00E45619">
            <w:pPr>
              <w:rPr>
                <w:i/>
              </w:rPr>
            </w:pPr>
            <w:r>
              <w:rPr>
                <w:i/>
              </w:rPr>
              <w:t>Pack size</w:t>
            </w:r>
            <w:r w:rsidR="008E7846" w:rsidRPr="00487162">
              <w:rPr>
                <w:i/>
              </w:rPr>
              <w:t>:</w:t>
            </w:r>
          </w:p>
        </w:tc>
        <w:tc>
          <w:tcPr>
            <w:tcW w:w="6307" w:type="dxa"/>
          </w:tcPr>
          <w:p w:rsidR="008E7846" w:rsidRPr="00487162" w:rsidRDefault="00B14A9D" w:rsidP="00E45619">
            <w:r>
              <w:t>Blister pack containing 1 capsule</w:t>
            </w:r>
          </w:p>
        </w:tc>
      </w:tr>
      <w:tr w:rsidR="008E7846" w:rsidRPr="00487162" w:rsidTr="0038764D">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14A9D" w:rsidRPr="00477427" w:rsidRDefault="00E96281" w:rsidP="00B14A9D">
            <w:pPr>
              <w:rPr>
                <w:rFonts w:eastAsia="MS Mincho"/>
                <w:i/>
                <w:lang w:eastAsia="ja-JP"/>
              </w:rPr>
            </w:pPr>
            <w:r>
              <w:rPr>
                <w:i/>
              </w:rPr>
              <w:t>Akynzeo</w:t>
            </w:r>
            <w:r w:rsidR="00B14A9D" w:rsidRPr="00F62028">
              <w:rPr>
                <w:rFonts w:eastAsia="MS Mincho"/>
                <w:i/>
                <w:lang w:eastAsia="ja-JP"/>
              </w:rPr>
              <w:t xml:space="preserve"> i</w:t>
            </w:r>
            <w:r w:rsidR="00B14A9D" w:rsidRPr="00477427">
              <w:rPr>
                <w:rFonts w:eastAsia="MS Mincho"/>
                <w:i/>
                <w:lang w:eastAsia="ja-JP"/>
              </w:rPr>
              <w:t>s indicated in adult patients for:</w:t>
            </w:r>
          </w:p>
          <w:p w:rsidR="00B14A9D" w:rsidRPr="00477427" w:rsidRDefault="00B14A9D" w:rsidP="00B14A9D">
            <w:pPr>
              <w:rPr>
                <w:rFonts w:eastAsia="MS Mincho"/>
                <w:i/>
                <w:lang w:eastAsia="ja-JP"/>
              </w:rPr>
            </w:pPr>
            <w:r w:rsidRPr="00477427">
              <w:rPr>
                <w:rFonts w:eastAsia="MS Mincho"/>
                <w:i/>
                <w:lang w:eastAsia="ja-JP"/>
              </w:rPr>
              <w:t>Prevention of acute and delayed nausea and vomiting associated with initial and repeat courses of highly emetogenic cancer chemotherapy.</w:t>
            </w:r>
          </w:p>
          <w:p w:rsidR="008E7846" w:rsidRPr="00487162" w:rsidRDefault="00B14A9D" w:rsidP="00B14A9D">
            <w:pPr>
              <w:rPr>
                <w:rFonts w:eastAsia="MS Mincho"/>
                <w:lang w:eastAsia="ja-JP"/>
              </w:rPr>
            </w:pPr>
            <w:r w:rsidRPr="00477427">
              <w:rPr>
                <w:rFonts w:eastAsia="MS Mincho"/>
                <w:i/>
                <w:lang w:eastAsia="ja-JP"/>
              </w:rPr>
              <w:t>Prevention of acute and delayed nausea and vomiting associated with initial and repeat courses of moderately emetogenic cancer chemotherapy.</w:t>
            </w:r>
          </w:p>
        </w:tc>
      </w:tr>
      <w:tr w:rsidR="008E7846" w:rsidRPr="00487162" w:rsidTr="0038764D">
        <w:trPr>
          <w:gridAfter w:val="1"/>
          <w:wAfter w:w="283" w:type="dxa"/>
        </w:trPr>
        <w:tc>
          <w:tcPr>
            <w:tcW w:w="2907" w:type="dxa"/>
          </w:tcPr>
          <w:p w:rsidR="008E7846" w:rsidRPr="00487162" w:rsidRDefault="00DB788D" w:rsidP="00E45619">
            <w:pPr>
              <w:rPr>
                <w:i/>
              </w:rPr>
            </w:pPr>
            <w:r>
              <w:rPr>
                <w:i/>
              </w:rPr>
              <w:t>Route</w:t>
            </w:r>
            <w:r w:rsidR="008E7846" w:rsidRPr="00487162">
              <w:rPr>
                <w:i/>
              </w:rPr>
              <w:t xml:space="preserve"> of administration:</w:t>
            </w:r>
          </w:p>
        </w:tc>
        <w:tc>
          <w:tcPr>
            <w:tcW w:w="6307" w:type="dxa"/>
          </w:tcPr>
          <w:p w:rsidR="008E7846" w:rsidRPr="00487162" w:rsidRDefault="00DE277D" w:rsidP="00E45619">
            <w:r>
              <w:t>Oral</w:t>
            </w:r>
            <w:r w:rsidR="00F62028">
              <w:t xml:space="preserve"> (PO)</w:t>
            </w:r>
          </w:p>
        </w:tc>
      </w:tr>
      <w:tr w:rsidR="008E7846" w:rsidRPr="00487162" w:rsidTr="0038764D">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DE277D" w:rsidRDefault="00DE277D" w:rsidP="00DE277D">
            <w:pPr>
              <w:spacing w:before="0" w:after="0" w:line="240" w:lineRule="auto"/>
            </w:pPr>
            <w:r>
              <w:t>The recommended dose is one capsule approximately one hour prior to the start of each chemotherapy cycle.</w:t>
            </w:r>
          </w:p>
          <w:p w:rsidR="008E7846" w:rsidRPr="00487162" w:rsidRDefault="00DE277D" w:rsidP="00DE277D">
            <w:pPr>
              <w:spacing w:before="0" w:after="0" w:line="240" w:lineRule="auto"/>
            </w:pPr>
            <w:r>
              <w:t>The concomitant use of dexamethasone is recommended.</w:t>
            </w:r>
          </w:p>
        </w:tc>
      </w:tr>
      <w:tr w:rsidR="008E7846" w:rsidRPr="00487162" w:rsidTr="0038764D">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DB788D">
              <w:rPr>
                <w:i/>
              </w:rPr>
              <w:t>umber</w:t>
            </w:r>
            <w:r w:rsidR="001B5C90">
              <w:rPr>
                <w:i/>
              </w:rPr>
              <w:t>:</w:t>
            </w:r>
          </w:p>
        </w:tc>
        <w:tc>
          <w:tcPr>
            <w:tcW w:w="6307" w:type="dxa"/>
          </w:tcPr>
          <w:p w:rsidR="008E7846" w:rsidRPr="00487162" w:rsidRDefault="00DE277D" w:rsidP="00E45619">
            <w:r>
              <w:t>222237</w:t>
            </w:r>
          </w:p>
        </w:tc>
      </w:tr>
    </w:tbl>
    <w:p w:rsidR="008E7846" w:rsidRDefault="008E7846" w:rsidP="00B67F7F">
      <w:pPr>
        <w:pStyle w:val="Heading3"/>
        <w:pageBreakBefore/>
      </w:pPr>
      <w:bookmarkStart w:id="14" w:name="_Toc247691503"/>
      <w:bookmarkStart w:id="15" w:name="_Toc314842484"/>
      <w:bookmarkStart w:id="16" w:name="_Toc466986516"/>
      <w:r>
        <w:lastRenderedPageBreak/>
        <w:t>Product background</w:t>
      </w:r>
      <w:bookmarkEnd w:id="14"/>
      <w:bookmarkEnd w:id="15"/>
      <w:bookmarkEnd w:id="16"/>
    </w:p>
    <w:p w:rsidR="009A5EC8" w:rsidRPr="005B2EAC" w:rsidRDefault="00940A89" w:rsidP="005B2EAC">
      <w:r w:rsidRPr="005B2EAC">
        <w:t xml:space="preserve">This AusPAR describes the application by the </w:t>
      </w:r>
      <w:r w:rsidR="00791AE3" w:rsidRPr="005B2EAC">
        <w:t>sponsor</w:t>
      </w:r>
      <w:r w:rsidR="00C23E8F" w:rsidRPr="005B2EAC">
        <w:t>, Special</w:t>
      </w:r>
      <w:r w:rsidR="00AA120C">
        <w:t>ise</w:t>
      </w:r>
      <w:r w:rsidR="00C23E8F" w:rsidRPr="005B2EAC">
        <w:t>d Therapeutics Australia Pty Ltd, to register a new chemical entity, netupitant, in the fixed-dose combination (FDC) of netupitant 300 mg and palonosetron 0.5 mg for the following indication</w:t>
      </w:r>
      <w:bookmarkStart w:id="17" w:name="_Toc314842485"/>
      <w:bookmarkStart w:id="18" w:name="_Toc247691504"/>
      <w:r w:rsidR="005B2EAC">
        <w:t>:</w:t>
      </w:r>
    </w:p>
    <w:p w:rsidR="009A5EC8" w:rsidRPr="00DD5690" w:rsidRDefault="009A5EC8" w:rsidP="00DD5690">
      <w:pPr>
        <w:ind w:left="360"/>
        <w:rPr>
          <w:i/>
        </w:rPr>
      </w:pPr>
      <w:r w:rsidRPr="00DD5690">
        <w:rPr>
          <w:i/>
        </w:rPr>
        <w:t>Prevention of acute and delayed nausea and vomiting associated with initial and repeat courses of highly emetogenic cancer chemotherapy.</w:t>
      </w:r>
    </w:p>
    <w:p w:rsidR="009A5EC8" w:rsidRPr="00DD5690" w:rsidRDefault="009A5EC8" w:rsidP="00DD5690">
      <w:pPr>
        <w:ind w:left="360"/>
        <w:rPr>
          <w:i/>
        </w:rPr>
      </w:pPr>
      <w:r w:rsidRPr="00DD5690">
        <w:rPr>
          <w:i/>
        </w:rPr>
        <w:t>Prevention of acute and delayed nausea and vomiting associated with initial and repeat courses of moderately emetogenic cancer chemotherapy.</w:t>
      </w:r>
    </w:p>
    <w:p w:rsidR="00BE4661" w:rsidRPr="005B2EAC" w:rsidRDefault="00BE4661" w:rsidP="005B2EAC">
      <w:r w:rsidRPr="005B2EAC">
        <w:t>The proposed dosing regimen is 300 mg netupitant and 0.5 mg palonosetron one hour prior to the start of each chemotherapy cycle.</w:t>
      </w:r>
    </w:p>
    <w:p w:rsidR="000567CB" w:rsidRPr="005B2EAC" w:rsidRDefault="00B67F7F" w:rsidP="005B2EAC">
      <w:r w:rsidRPr="005B2EAC">
        <w:t>Palonosetron is a 5-HT</w:t>
      </w:r>
      <w:r w:rsidRPr="00680A60">
        <w:rPr>
          <w:vertAlign w:val="subscript"/>
        </w:rPr>
        <w:t>3</w:t>
      </w:r>
      <w:r w:rsidRPr="005B2EAC">
        <w:t xml:space="preserve"> receptor antagonist with a strong binding affinity for this receptor and little or no affinity for other receptors.</w:t>
      </w:r>
      <w:r>
        <w:t xml:space="preserve"> </w:t>
      </w:r>
      <w:r w:rsidR="000567CB" w:rsidRPr="005B2EAC">
        <w:t xml:space="preserve">Palonosetron is already registered as a single agent for the same indication </w:t>
      </w:r>
      <w:r w:rsidR="00DB788D">
        <w:t>as</w:t>
      </w:r>
      <w:r w:rsidR="009B02FF">
        <w:t xml:space="preserve"> a solution for injection.</w:t>
      </w:r>
      <w:r>
        <w:t xml:space="preserve"> In this application a new dose form and route of administration is proposed for </w:t>
      </w:r>
      <w:proofErr w:type="spellStart"/>
      <w:r>
        <w:t>palonostro</w:t>
      </w:r>
      <w:r w:rsidR="00AD05DE">
        <w:t>n</w:t>
      </w:r>
      <w:proofErr w:type="spellEnd"/>
      <w:r>
        <w:t xml:space="preserve"> in the FDC with netupitant.</w:t>
      </w:r>
    </w:p>
    <w:p w:rsidR="009A5EC8" w:rsidRPr="005B2EAC" w:rsidRDefault="000567CB" w:rsidP="005B2EAC">
      <w:r w:rsidRPr="005B2EAC">
        <w:t>N</w:t>
      </w:r>
      <w:r w:rsidR="009A5EC8" w:rsidRPr="005B2EAC">
        <w:t xml:space="preserve">etupitant is a selective high-affinity </w:t>
      </w:r>
      <w:r w:rsidR="009B02FF">
        <w:t xml:space="preserve">antagonist of human substance P, </w:t>
      </w:r>
      <w:r w:rsidR="009A5EC8" w:rsidRPr="005B2EAC">
        <w:t>neurokinin 1 (NK1) receptors, with little or no affinity for serotonin (5-HT</w:t>
      </w:r>
      <w:r w:rsidR="009A5EC8" w:rsidRPr="00680A60">
        <w:rPr>
          <w:vertAlign w:val="subscript"/>
        </w:rPr>
        <w:t>3</w:t>
      </w:r>
      <w:r w:rsidR="009A5EC8" w:rsidRPr="005B2EAC">
        <w:t>), dopamine</w:t>
      </w:r>
      <w:r w:rsidR="00B67F7F">
        <w:t>, and corticosteroid receptors.</w:t>
      </w:r>
    </w:p>
    <w:p w:rsidR="009A5EC8" w:rsidRPr="005B2EAC" w:rsidRDefault="009B02FF" w:rsidP="005B2EAC">
      <w:r>
        <w:t xml:space="preserve">Chemotherapy </w:t>
      </w:r>
      <w:r w:rsidR="009A5EC8" w:rsidRPr="005B2EAC">
        <w:t>induced nausea and vomiting (CINV) can lead to metabolic problems such as fluid and electrolyte balance disturbances and nutritional status deficiencies, psychological problems, decision by physician to reduce chemotherapy dose intensity, or decision by the patient to stop potentially beneficial cancer treatment.</w:t>
      </w:r>
    </w:p>
    <w:p w:rsidR="00B67F7F" w:rsidRDefault="009A5EC8" w:rsidP="005B2EAC">
      <w:r w:rsidRPr="005B2EAC">
        <w:t>CINV is classified as either acute (occ</w:t>
      </w:r>
      <w:r w:rsidR="00DB1BF1" w:rsidRPr="005B2EAC">
        <w:t xml:space="preserve">urring within the first 24 </w:t>
      </w:r>
      <w:r w:rsidR="009B02FF">
        <w:t>hours</w:t>
      </w:r>
      <w:r w:rsidRPr="005B2EAC">
        <w:t xml:space="preserve"> after chemotherapy) or delayed (oc</w:t>
      </w:r>
      <w:r w:rsidR="00DB1BF1" w:rsidRPr="005B2EAC">
        <w:t xml:space="preserve">curring after the first 24 </w:t>
      </w:r>
      <w:r w:rsidR="009B02FF">
        <w:t>hours</w:t>
      </w:r>
      <w:r w:rsidRPr="005B2EAC">
        <w:t xml:space="preserve">, extending until the fifth day). The development of acute emesis is known to largely depend on </w:t>
      </w:r>
      <w:r w:rsidRPr="003802E6">
        <w:t>serotonin</w:t>
      </w:r>
      <w:r w:rsidR="003802E6" w:rsidRPr="003802E6">
        <w:t xml:space="preserve"> (5-HT</w:t>
      </w:r>
      <w:r w:rsidR="003802E6" w:rsidRPr="00680A60">
        <w:rPr>
          <w:vertAlign w:val="subscript"/>
        </w:rPr>
        <w:t>3</w:t>
      </w:r>
      <w:r w:rsidR="003802E6" w:rsidRPr="003802E6">
        <w:t>)</w:t>
      </w:r>
      <w:r w:rsidRPr="003802E6">
        <w:t>. CINV</w:t>
      </w:r>
      <w:r w:rsidRPr="005B2EAC">
        <w:t xml:space="preserve"> is mainly due to input from the chemoreceptor trigger zone (CTZ). The neurotransmitters serotonin and dopamine stimulate the vomiting centre indirectly via stimulation of the CTZ. The 5-HT</w:t>
      </w:r>
      <w:r w:rsidRPr="00680A60">
        <w:rPr>
          <w:vertAlign w:val="subscript"/>
        </w:rPr>
        <w:t>3</w:t>
      </w:r>
      <w:r w:rsidRPr="005B2EAC">
        <w:t xml:space="preserve"> receptor has been shown to selectively participate in the emetic response, thus providing a physiological explanation for the clinical anti-emetic effects</w:t>
      </w:r>
      <w:r w:rsidR="00B67F7F">
        <w:t xml:space="preserve"> of 5-HT</w:t>
      </w:r>
      <w:r w:rsidR="00B67F7F" w:rsidRPr="00680A60">
        <w:rPr>
          <w:vertAlign w:val="subscript"/>
        </w:rPr>
        <w:t xml:space="preserve">3 </w:t>
      </w:r>
      <w:r w:rsidR="00B67F7F">
        <w:t>receptor antagonists.</w:t>
      </w:r>
    </w:p>
    <w:p w:rsidR="00B67F7F" w:rsidRPr="004C0905" w:rsidRDefault="00B67F7F" w:rsidP="005B2EAC">
      <w:pPr>
        <w:rPr>
          <w:color w:val="000000"/>
        </w:rPr>
      </w:pPr>
      <w:r w:rsidRPr="004C0905">
        <w:rPr>
          <w:color w:val="000000"/>
        </w:rPr>
        <w:t>Delayed emesis during chemotherapy treatment has been largely associated with the activation of tachykinin family neurokinin 1 (NK1) receptors by substance P. Netupitant and palonosetron can contribute to the inhibition of substance P mediated response. Palonosetron can enhance the prevention of delayed emesis provided by netupitant.</w:t>
      </w:r>
    </w:p>
    <w:p w:rsidR="009B02FF" w:rsidRPr="005B2EAC" w:rsidRDefault="009B02FF" w:rsidP="005B2EAC">
      <w:r>
        <w:t xml:space="preserve">The clinical anti </w:t>
      </w:r>
      <w:r w:rsidR="009A5EC8" w:rsidRPr="005B2EAC">
        <w:t>emetic efficacy of 5-HT</w:t>
      </w:r>
      <w:r w:rsidR="009A5EC8" w:rsidRPr="00680A60">
        <w:rPr>
          <w:vertAlign w:val="subscript"/>
        </w:rPr>
        <w:t>3</w:t>
      </w:r>
      <w:r w:rsidR="009A5EC8" w:rsidRPr="005B2EAC">
        <w:t xml:space="preserve"> receptor antagonists and </w:t>
      </w:r>
      <w:r w:rsidR="00BD6934">
        <w:t>NK1 R</w:t>
      </w:r>
      <w:r w:rsidR="009A5EC8" w:rsidRPr="005B2EAC">
        <w:t xml:space="preserve"> antagonists is considered to be complementary: the major effect of 5-HT</w:t>
      </w:r>
      <w:r w:rsidR="009A5EC8" w:rsidRPr="00680A60">
        <w:rPr>
          <w:vertAlign w:val="subscript"/>
        </w:rPr>
        <w:t>3</w:t>
      </w:r>
      <w:r w:rsidR="009A5EC8" w:rsidRPr="005B2EAC">
        <w:t xml:space="preserve"> receptor antagonists is in the control of the acute phase of CINV, while the additional benefit of </w:t>
      </w:r>
      <w:r w:rsidR="00BD6934">
        <w:t>NK1 R</w:t>
      </w:r>
      <w:r w:rsidR="009A5EC8" w:rsidRPr="005B2EAC">
        <w:t xml:space="preserve"> antagonists is mostly seen in the control of the delayed phase of CINV.</w:t>
      </w:r>
    </w:p>
    <w:p w:rsidR="008E7846" w:rsidRPr="003F31A2" w:rsidRDefault="00386150" w:rsidP="008E7846">
      <w:pPr>
        <w:pStyle w:val="Heading3"/>
      </w:pPr>
      <w:bookmarkStart w:id="19" w:name="_Toc466986517"/>
      <w:r>
        <w:t>Regulatory s</w:t>
      </w:r>
      <w:r w:rsidR="008E7846">
        <w:t>tatus</w:t>
      </w:r>
      <w:bookmarkEnd w:id="17"/>
      <w:bookmarkEnd w:id="18"/>
      <w:bookmarkEnd w:id="19"/>
    </w:p>
    <w:p w:rsidR="005E5186" w:rsidRPr="00940A89" w:rsidRDefault="005E5186" w:rsidP="005E5186">
      <w:bookmarkStart w:id="20" w:name="_Toc247691505"/>
      <w:bookmarkStart w:id="21" w:name="_Toc314842486"/>
      <w:r w:rsidRPr="00940A89">
        <w:t>The product received initial registration on the Australian Register of Therapeutic Goods (ARTG) on</w:t>
      </w:r>
      <w:r w:rsidR="004C6FE0">
        <w:t xml:space="preserve"> 6 May 2015.</w:t>
      </w:r>
    </w:p>
    <w:p w:rsidR="009C3A49" w:rsidRPr="005B2EAC" w:rsidRDefault="00B07F9C" w:rsidP="005B2EAC">
      <w:r w:rsidRPr="005B2EAC">
        <w:t xml:space="preserve">Palonosetron 250 </w:t>
      </w:r>
      <w:r w:rsidR="00BF76E4" w:rsidRPr="005B2EAC">
        <w:t>µg</w:t>
      </w:r>
      <w:r w:rsidR="00DB58EC" w:rsidRPr="005B2EAC">
        <w:t>/</w:t>
      </w:r>
      <w:r w:rsidRPr="005B2EAC">
        <w:t xml:space="preserve">5 mL solution for </w:t>
      </w:r>
      <w:r w:rsidR="00DB58EC" w:rsidRPr="005B2EAC">
        <w:t xml:space="preserve">intravenous (IV) </w:t>
      </w:r>
      <w:r w:rsidRPr="005B2EAC">
        <w:t>injection received registration on</w:t>
      </w:r>
      <w:r w:rsidR="009C3A49" w:rsidRPr="005B2EAC">
        <w:t xml:space="preserve"> the Australian Register of Therapeutic Goods (ARTG)</w:t>
      </w:r>
      <w:r w:rsidRPr="005B2EAC">
        <w:t xml:space="preserve"> </w:t>
      </w:r>
      <w:r w:rsidR="00E4432D">
        <w:t>26 June 2006</w:t>
      </w:r>
      <w:r w:rsidRPr="005B2EAC">
        <w:t>and</w:t>
      </w:r>
      <w:r w:rsidR="009C3A49" w:rsidRPr="005B2EAC">
        <w:t xml:space="preserve"> is indicated </w:t>
      </w:r>
      <w:r w:rsidR="00DB58EC" w:rsidRPr="005B2EAC">
        <w:rPr>
          <w:i/>
        </w:rPr>
        <w:t>‘</w:t>
      </w:r>
      <w:r w:rsidR="009C3A49" w:rsidRPr="005B2EAC">
        <w:rPr>
          <w:i/>
        </w:rPr>
        <w:t>for prevention of nausea and vomiting in</w:t>
      </w:r>
      <w:r w:rsidR="00DB58EC" w:rsidRPr="005B2EAC">
        <w:rPr>
          <w:i/>
        </w:rPr>
        <w:t>duced by cytotoxic chemotherapy’</w:t>
      </w:r>
      <w:r w:rsidR="009C3A49" w:rsidRPr="005B2EAC">
        <w:t>.</w:t>
      </w:r>
    </w:p>
    <w:p w:rsidR="00B07F9C" w:rsidRDefault="009C3A49" w:rsidP="005B2EAC">
      <w:r w:rsidRPr="005B2EAC">
        <w:lastRenderedPageBreak/>
        <w:t xml:space="preserve">Oral palonosetron is not registered in Australia but is approved in the </w:t>
      </w:r>
      <w:r w:rsidR="00DB58EC" w:rsidRPr="005B2EAC">
        <w:t>United States (</w:t>
      </w:r>
      <w:r w:rsidRPr="005B2EAC">
        <w:t>US</w:t>
      </w:r>
      <w:r w:rsidR="00DB58EC" w:rsidRPr="005B2EAC">
        <w:t>)</w:t>
      </w:r>
      <w:r w:rsidRPr="005B2EAC">
        <w:t xml:space="preserve"> and</w:t>
      </w:r>
      <w:r w:rsidR="00BF76E4" w:rsidRPr="005B2EAC">
        <w:t xml:space="preserve"> European Union (</w:t>
      </w:r>
      <w:r w:rsidRPr="005B2EAC">
        <w:t>EU</w:t>
      </w:r>
      <w:r w:rsidR="00BF76E4" w:rsidRPr="005B2EAC">
        <w:t>)</w:t>
      </w:r>
      <w:r w:rsidRPr="005B2EAC">
        <w:t xml:space="preserve"> as a 0.5 mg dose, for prevention of nausea and vomiting associated with moderately emetogenic cancer chemotherapy.</w:t>
      </w:r>
    </w:p>
    <w:p w:rsidR="005E5186" w:rsidRDefault="005E5186" w:rsidP="008D4079">
      <w:r w:rsidRPr="00940A89">
        <w:t xml:space="preserve">At the time the TGA considered this </w:t>
      </w:r>
      <w:r w:rsidR="004C6FE0" w:rsidRPr="00940A89">
        <w:t>application;</w:t>
      </w:r>
      <w:r w:rsidRPr="00940A89">
        <w:t xml:space="preserve"> a similar application had been</w:t>
      </w:r>
      <w:r w:rsidR="00F5364C">
        <w:t xml:space="preserve"> approved</w:t>
      </w:r>
      <w:r w:rsidRPr="00940A89">
        <w:t xml:space="preserve"> in </w:t>
      </w:r>
      <w:r w:rsidR="00F5364C">
        <w:t xml:space="preserve">or </w:t>
      </w:r>
      <w:r w:rsidRPr="00940A89">
        <w:t>was under co</w:t>
      </w:r>
      <w:r>
        <w:t xml:space="preserve">nsideration </w:t>
      </w:r>
      <w:r w:rsidR="00F5364C">
        <w:t>in the countries as shown in Table 1.</w:t>
      </w:r>
    </w:p>
    <w:p w:rsidR="00F5364C" w:rsidRDefault="00F5364C" w:rsidP="00E4432D">
      <w:pPr>
        <w:pStyle w:val="TableTitle"/>
      </w:pPr>
      <w:r>
        <w:t>Table 1 Overseas regulatory status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906"/>
        <w:gridCol w:w="2907"/>
        <w:gridCol w:w="2907"/>
      </w:tblGrid>
      <w:tr w:rsidR="00424B91" w:rsidRPr="00C35723" w:rsidTr="004C0905">
        <w:trPr>
          <w:tblHeader/>
        </w:trPr>
        <w:tc>
          <w:tcPr>
            <w:tcW w:w="2906" w:type="dxa"/>
            <w:tcBorders>
              <w:top w:val="single" w:sz="8" w:space="0" w:color="000000"/>
              <w:left w:val="single" w:sz="8" w:space="0" w:color="000000"/>
              <w:bottom w:val="single" w:sz="8" w:space="0" w:color="000000"/>
              <w:right w:val="nil"/>
              <w:tl2br w:val="nil"/>
              <w:tr2bl w:val="nil"/>
            </w:tcBorders>
            <w:shd w:val="clear" w:color="auto" w:fill="006DA7"/>
          </w:tcPr>
          <w:p w:rsidR="005E5186" w:rsidRPr="00C35723" w:rsidRDefault="005E5186" w:rsidP="00E4432D">
            <w:pPr>
              <w:keepNext/>
              <w:spacing w:line="240" w:lineRule="auto"/>
              <w:rPr>
                <w:b/>
                <w:color w:val="FFFFFF"/>
                <w:lang w:eastAsia="en-AU"/>
              </w:rPr>
            </w:pPr>
            <w:r w:rsidRPr="00C35723">
              <w:rPr>
                <w:b/>
                <w:color w:val="FFFFFF"/>
                <w:lang w:eastAsia="en-AU"/>
              </w:rPr>
              <w:t>Country</w:t>
            </w:r>
          </w:p>
        </w:tc>
        <w:tc>
          <w:tcPr>
            <w:tcW w:w="2907" w:type="dxa"/>
            <w:tcBorders>
              <w:top w:val="single" w:sz="8" w:space="0" w:color="000000"/>
              <w:left w:val="nil"/>
              <w:bottom w:val="single" w:sz="8" w:space="0" w:color="000000"/>
              <w:right w:val="nil"/>
              <w:tl2br w:val="nil"/>
              <w:tr2bl w:val="nil"/>
            </w:tcBorders>
            <w:shd w:val="clear" w:color="auto" w:fill="006DA7"/>
          </w:tcPr>
          <w:p w:rsidR="005E5186" w:rsidRPr="00C35723" w:rsidRDefault="005E5186" w:rsidP="00E4432D">
            <w:pPr>
              <w:keepNext/>
              <w:spacing w:line="240" w:lineRule="auto"/>
              <w:rPr>
                <w:b/>
                <w:color w:val="FFFFFF"/>
                <w:lang w:eastAsia="en-AU"/>
              </w:rPr>
            </w:pPr>
            <w:proofErr w:type="spellStart"/>
            <w:r w:rsidRPr="00C35723">
              <w:rPr>
                <w:b/>
                <w:color w:val="FFFFFF"/>
                <w:lang w:eastAsia="en-AU"/>
              </w:rPr>
              <w:t>Submisiion</w:t>
            </w:r>
            <w:proofErr w:type="spellEnd"/>
            <w:r w:rsidRPr="00C35723">
              <w:rPr>
                <w:b/>
                <w:color w:val="FFFFFF"/>
                <w:lang w:eastAsia="en-AU"/>
              </w:rPr>
              <w:t>/ approval date</w:t>
            </w:r>
          </w:p>
        </w:tc>
        <w:tc>
          <w:tcPr>
            <w:tcW w:w="2907" w:type="dxa"/>
            <w:tcBorders>
              <w:top w:val="single" w:sz="8" w:space="0" w:color="000000"/>
              <w:left w:val="nil"/>
              <w:bottom w:val="single" w:sz="8" w:space="0" w:color="000000"/>
              <w:right w:val="single" w:sz="8" w:space="0" w:color="000000"/>
              <w:tl2br w:val="nil"/>
              <w:tr2bl w:val="nil"/>
            </w:tcBorders>
            <w:shd w:val="clear" w:color="auto" w:fill="006DA7"/>
          </w:tcPr>
          <w:p w:rsidR="005E5186" w:rsidRPr="00C35723" w:rsidRDefault="005E5186" w:rsidP="00E4432D">
            <w:pPr>
              <w:keepNext/>
              <w:spacing w:line="240" w:lineRule="auto"/>
              <w:rPr>
                <w:b/>
                <w:color w:val="FFFFFF"/>
                <w:lang w:eastAsia="en-AU"/>
              </w:rPr>
            </w:pPr>
            <w:r w:rsidRPr="00C35723">
              <w:rPr>
                <w:b/>
                <w:color w:val="FFFFFF"/>
                <w:lang w:eastAsia="en-AU"/>
              </w:rPr>
              <w:t>Indication</w:t>
            </w: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United States</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10 October 2014</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Akynzeo is indicated for the prevention of acute and delayed nausea and vomiting associated with initial and repeat courses of cancer chemotherapy, including, but not limited to, highly emetogenic chemotherapy. Akynzeo is an oral fixed combination of palonosetron and netupitant: palonosetron prevents nausea and vomiting during the acute phase and netupitant prevents nausea and vomiting during both the acute and delayed phase after cancer chemotherapy.</w:t>
            </w: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Europe</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CHMP Final Opinion expected on 26 March 2015</w:t>
            </w:r>
          </w:p>
        </w:tc>
        <w:tc>
          <w:tcPr>
            <w:tcW w:w="2907" w:type="dxa"/>
            <w:shd w:val="clear" w:color="auto" w:fill="auto"/>
          </w:tcPr>
          <w:p w:rsidR="005E5186" w:rsidRPr="00C35723" w:rsidRDefault="005E5186" w:rsidP="00E4432D">
            <w:pPr>
              <w:spacing w:line="240" w:lineRule="auto"/>
              <w:rPr>
                <w:color w:val="000000"/>
                <w:lang w:eastAsia="en-AU"/>
              </w:rPr>
            </w:pP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Switzerland</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Application made on 4 July 2014</w:t>
            </w:r>
          </w:p>
        </w:tc>
        <w:tc>
          <w:tcPr>
            <w:tcW w:w="2907" w:type="dxa"/>
            <w:shd w:val="clear" w:color="auto" w:fill="auto"/>
          </w:tcPr>
          <w:p w:rsidR="005E5186" w:rsidRPr="00C35723" w:rsidRDefault="005E5186" w:rsidP="00E4432D">
            <w:pPr>
              <w:spacing w:line="240" w:lineRule="auto"/>
              <w:rPr>
                <w:color w:val="000000"/>
                <w:lang w:eastAsia="en-AU"/>
              </w:rPr>
            </w:pP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Israel</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Application made on 23 October 2014</w:t>
            </w:r>
          </w:p>
        </w:tc>
        <w:tc>
          <w:tcPr>
            <w:tcW w:w="2907" w:type="dxa"/>
            <w:shd w:val="clear" w:color="auto" w:fill="auto"/>
          </w:tcPr>
          <w:p w:rsidR="005E5186" w:rsidRPr="00C35723" w:rsidRDefault="005E5186" w:rsidP="00E4432D">
            <w:pPr>
              <w:spacing w:line="240" w:lineRule="auto"/>
              <w:rPr>
                <w:color w:val="000000"/>
                <w:lang w:eastAsia="en-AU"/>
              </w:rPr>
            </w:pP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Singapore</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Application made on 22 December 2014</w:t>
            </w:r>
          </w:p>
        </w:tc>
        <w:tc>
          <w:tcPr>
            <w:tcW w:w="2907" w:type="dxa"/>
            <w:shd w:val="clear" w:color="auto" w:fill="auto"/>
          </w:tcPr>
          <w:p w:rsidR="005E5186" w:rsidRPr="00C35723" w:rsidRDefault="005E5186" w:rsidP="00E4432D">
            <w:pPr>
              <w:spacing w:line="240" w:lineRule="auto"/>
              <w:rPr>
                <w:color w:val="000000"/>
                <w:lang w:eastAsia="en-AU"/>
              </w:rPr>
            </w:pP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Philippines</w:t>
            </w:r>
          </w:p>
        </w:tc>
        <w:tc>
          <w:tcPr>
            <w:tcW w:w="2907" w:type="dxa"/>
            <w:shd w:val="clear" w:color="auto" w:fill="auto"/>
          </w:tcPr>
          <w:p w:rsidR="005E5186" w:rsidRPr="00C35723" w:rsidRDefault="00F5364C" w:rsidP="00E4432D">
            <w:pPr>
              <w:spacing w:line="240" w:lineRule="auto"/>
              <w:rPr>
                <w:color w:val="000000"/>
                <w:lang w:eastAsia="en-AU"/>
              </w:rPr>
            </w:pPr>
            <w:r w:rsidRPr="00C35723">
              <w:rPr>
                <w:color w:val="000000"/>
                <w:lang w:eastAsia="en-AU"/>
              </w:rPr>
              <w:t>Application made on 23 </w:t>
            </w:r>
            <w:r w:rsidR="005E5186" w:rsidRPr="00C35723">
              <w:rPr>
                <w:color w:val="000000"/>
                <w:lang w:eastAsia="en-AU"/>
              </w:rPr>
              <w:t>December, 2014</w:t>
            </w:r>
          </w:p>
        </w:tc>
        <w:tc>
          <w:tcPr>
            <w:tcW w:w="2907" w:type="dxa"/>
            <w:shd w:val="clear" w:color="auto" w:fill="auto"/>
          </w:tcPr>
          <w:p w:rsidR="005E5186" w:rsidRPr="00C35723" w:rsidRDefault="005E5186" w:rsidP="00E4432D">
            <w:pPr>
              <w:spacing w:line="240" w:lineRule="auto"/>
              <w:rPr>
                <w:color w:val="000000"/>
                <w:lang w:eastAsia="en-AU"/>
              </w:rPr>
            </w:pPr>
          </w:p>
        </w:tc>
      </w:tr>
      <w:tr w:rsidR="005E5186" w:rsidRPr="00C35723" w:rsidTr="004C0905">
        <w:tc>
          <w:tcPr>
            <w:tcW w:w="2906"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Malaysia</w:t>
            </w:r>
          </w:p>
        </w:tc>
        <w:tc>
          <w:tcPr>
            <w:tcW w:w="2907" w:type="dxa"/>
            <w:shd w:val="clear" w:color="auto" w:fill="auto"/>
          </w:tcPr>
          <w:p w:rsidR="005E5186" w:rsidRPr="00C35723" w:rsidRDefault="005E5186" w:rsidP="00E4432D">
            <w:pPr>
              <w:spacing w:line="240" w:lineRule="auto"/>
              <w:rPr>
                <w:color w:val="000000"/>
                <w:lang w:eastAsia="en-AU"/>
              </w:rPr>
            </w:pPr>
            <w:r w:rsidRPr="00C35723">
              <w:rPr>
                <w:color w:val="000000"/>
                <w:lang w:eastAsia="en-AU"/>
              </w:rPr>
              <w:t>Application</w:t>
            </w:r>
            <w:r w:rsidR="00F5364C" w:rsidRPr="00C35723">
              <w:rPr>
                <w:color w:val="000000"/>
                <w:lang w:eastAsia="en-AU"/>
              </w:rPr>
              <w:t xml:space="preserve"> made on 24 </w:t>
            </w:r>
            <w:r w:rsidRPr="00C35723">
              <w:rPr>
                <w:color w:val="000000"/>
                <w:lang w:eastAsia="en-AU"/>
              </w:rPr>
              <w:t>December, 2014</w:t>
            </w:r>
          </w:p>
        </w:tc>
        <w:tc>
          <w:tcPr>
            <w:tcW w:w="2907" w:type="dxa"/>
            <w:shd w:val="clear" w:color="auto" w:fill="auto"/>
          </w:tcPr>
          <w:p w:rsidR="005E5186" w:rsidRPr="00C35723" w:rsidRDefault="005E5186" w:rsidP="00E4432D">
            <w:pPr>
              <w:spacing w:line="240" w:lineRule="auto"/>
              <w:rPr>
                <w:color w:val="000000"/>
                <w:lang w:eastAsia="en-AU"/>
              </w:rPr>
            </w:pPr>
          </w:p>
        </w:tc>
      </w:tr>
    </w:tbl>
    <w:p w:rsidR="005E5186" w:rsidRPr="005B2EAC" w:rsidRDefault="005E5186" w:rsidP="005B2EAC"/>
    <w:p w:rsidR="008E7846" w:rsidRDefault="008E7846" w:rsidP="00940A89">
      <w:pPr>
        <w:pStyle w:val="Heading3"/>
      </w:pPr>
      <w:bookmarkStart w:id="22" w:name="_Toc466986518"/>
      <w:r>
        <w:t>Product Information</w:t>
      </w:r>
      <w:bookmarkEnd w:id="20"/>
      <w:bookmarkEnd w:id="21"/>
      <w:bookmarkEnd w:id="22"/>
    </w:p>
    <w:p w:rsidR="009B02FF" w:rsidRDefault="009B02FF" w:rsidP="009B02FF">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8E7846" w:rsidRPr="003602A9" w:rsidRDefault="008E7846" w:rsidP="008E7846">
      <w:pPr>
        <w:pStyle w:val="Heading2"/>
        <w:ind w:left="-11"/>
      </w:pPr>
      <w:bookmarkStart w:id="25" w:name="_Toc466986519"/>
      <w:r>
        <w:lastRenderedPageBreak/>
        <w:t>II. Quality</w:t>
      </w:r>
      <w:bookmarkEnd w:id="2"/>
      <w:r>
        <w:t xml:space="preserve"> findings</w:t>
      </w:r>
      <w:bookmarkEnd w:id="23"/>
      <w:bookmarkEnd w:id="24"/>
      <w:bookmarkEnd w:id="25"/>
    </w:p>
    <w:p w:rsidR="00940A89" w:rsidRDefault="00940A89" w:rsidP="00940A89">
      <w:pPr>
        <w:pStyle w:val="Heading3"/>
      </w:pPr>
      <w:bookmarkStart w:id="26" w:name="_Toc247691507"/>
      <w:bookmarkStart w:id="27" w:name="_Toc314842488"/>
      <w:bookmarkStart w:id="28" w:name="_Toc466986520"/>
      <w:r w:rsidRPr="00940A89">
        <w:t>Introduction</w:t>
      </w:r>
      <w:bookmarkEnd w:id="28"/>
    </w:p>
    <w:p w:rsidR="003677A1" w:rsidRPr="005B2EAC" w:rsidRDefault="009B02FF" w:rsidP="005B2EAC">
      <w:r>
        <w:t>The sponsor</w:t>
      </w:r>
      <w:r w:rsidR="003677A1" w:rsidRPr="005B2EAC">
        <w:t xml:space="preserve"> has appl</w:t>
      </w:r>
      <w:r>
        <w:t xml:space="preserve">ied to register </w:t>
      </w:r>
      <w:r w:rsidR="00E96281" w:rsidRPr="005B2EAC">
        <w:t>Akynzeo</w:t>
      </w:r>
      <w:r w:rsidR="003677A1" w:rsidRPr="005B2EAC">
        <w:t xml:space="preserve"> fixed dose combination hard </w:t>
      </w:r>
      <w:proofErr w:type="spellStart"/>
      <w:r w:rsidR="003677A1" w:rsidRPr="005B2EAC">
        <w:t>gela</w:t>
      </w:r>
      <w:r w:rsidR="00DB58EC" w:rsidRPr="005B2EAC">
        <w:t>tin</w:t>
      </w:r>
      <w:proofErr w:type="spellEnd"/>
      <w:r w:rsidR="00DB58EC" w:rsidRPr="005B2EAC">
        <w:t xml:space="preserve"> capsules containing 300 mg netupitant and 0.5 mg p</w:t>
      </w:r>
      <w:r w:rsidR="003677A1" w:rsidRPr="005B2EAC">
        <w:t>alonosetron (as hydrochloride). The comb</w:t>
      </w:r>
      <w:r w:rsidR="00DB58EC" w:rsidRPr="005B2EAC">
        <w:t>ination capsule contains three n</w:t>
      </w:r>
      <w:r w:rsidR="003677A1" w:rsidRPr="005B2EAC">
        <w:t>etupitant tablet</w:t>
      </w:r>
      <w:r w:rsidR="00DB58EC" w:rsidRPr="005B2EAC">
        <w:t xml:space="preserve">s 100 mg and one </w:t>
      </w:r>
      <w:proofErr w:type="spellStart"/>
      <w:r w:rsidR="00DB58EC" w:rsidRPr="005B2EAC">
        <w:t>p</w:t>
      </w:r>
      <w:r w:rsidR="003677A1" w:rsidRPr="005B2EAC">
        <w:t>alon</w:t>
      </w:r>
      <w:r>
        <w:t>osetron</w:t>
      </w:r>
      <w:proofErr w:type="spellEnd"/>
      <w:r>
        <w:t xml:space="preserve"> </w:t>
      </w:r>
      <w:proofErr w:type="spellStart"/>
      <w:r>
        <w:t>softgel</w:t>
      </w:r>
      <w:proofErr w:type="spellEnd"/>
      <w:r>
        <w:t xml:space="preserve"> capsule 0.5 mg.</w:t>
      </w:r>
    </w:p>
    <w:p w:rsidR="003677A1" w:rsidRPr="005B2EAC" w:rsidRDefault="003677A1" w:rsidP="005B2EAC">
      <w:r w:rsidRPr="005B2EAC">
        <w:t>The proposed shelf life for the</w:t>
      </w:r>
      <w:r w:rsidR="00DB58EC" w:rsidRPr="005B2EAC">
        <w:t xml:space="preserve"> unopened product is 24 months ‘Store below 30°C’</w:t>
      </w:r>
      <w:r w:rsidRPr="005B2EAC">
        <w:t xml:space="preserve"> in the original container and protected from light</w:t>
      </w:r>
      <w:r w:rsidR="004A0EAA">
        <w:t>.</w:t>
      </w:r>
      <w:r w:rsidR="004A0EAA" w:rsidRPr="005B2EAC" w:rsidDel="004A0EAA">
        <w:t xml:space="preserve"> </w:t>
      </w:r>
      <w:r w:rsidRPr="005B2EAC">
        <w:t>, however this is not supported by the stability studies conducted.</w:t>
      </w:r>
      <w:r w:rsidR="004C6FE0">
        <w:rPr>
          <w:rStyle w:val="FootnoteReference"/>
        </w:rPr>
        <w:footnoteReference w:id="3"/>
      </w:r>
      <w:r w:rsidR="00DB58EC" w:rsidRPr="005B2EAC">
        <w:t>Netupitant and p</w:t>
      </w:r>
      <w:r w:rsidRPr="005B2EAC">
        <w:t xml:space="preserve">alonosetron hydrochloride are not subject to </w:t>
      </w:r>
      <w:r w:rsidR="00CC400D" w:rsidRPr="005B2EAC">
        <w:t>British Pharmacopeia (</w:t>
      </w:r>
      <w:r w:rsidRPr="005B2EAC">
        <w:t>BP</w:t>
      </w:r>
      <w:r w:rsidR="00CC400D" w:rsidRPr="005B2EAC">
        <w:t>)</w:t>
      </w:r>
      <w:r w:rsidRPr="005B2EAC">
        <w:t>/</w:t>
      </w:r>
      <w:r w:rsidR="00CC400D" w:rsidRPr="005B2EAC">
        <w:t>European Pharmacopeia (</w:t>
      </w:r>
      <w:proofErr w:type="spellStart"/>
      <w:r w:rsidRPr="005B2EAC">
        <w:t>Ph.Eur</w:t>
      </w:r>
      <w:proofErr w:type="spellEnd"/>
      <w:r w:rsidRPr="005B2EAC">
        <w:t>.</w:t>
      </w:r>
      <w:r w:rsidR="00CC400D" w:rsidRPr="005B2EAC">
        <w:t>)</w:t>
      </w:r>
      <w:r w:rsidRPr="005B2EAC">
        <w:t xml:space="preserve"> or </w:t>
      </w:r>
      <w:r w:rsidR="00CC400D" w:rsidRPr="005B2EAC">
        <w:t>US Pharmacopoeia (</w:t>
      </w:r>
      <w:r w:rsidRPr="005B2EAC">
        <w:t>USP</w:t>
      </w:r>
      <w:r w:rsidR="00CC400D" w:rsidRPr="005B2EAC">
        <w:t>)</w:t>
      </w:r>
      <w:r w:rsidR="00DB58EC" w:rsidRPr="005B2EAC">
        <w:t xml:space="preserve"> monographs.</w:t>
      </w:r>
    </w:p>
    <w:p w:rsidR="008E7846" w:rsidRDefault="008E7846" w:rsidP="00940A89">
      <w:pPr>
        <w:pStyle w:val="Heading3"/>
      </w:pPr>
      <w:bookmarkStart w:id="29" w:name="_Toc466986521"/>
      <w:r w:rsidRPr="008751DC">
        <w:t xml:space="preserve">Drug </w:t>
      </w:r>
      <w:r>
        <w:t>s</w:t>
      </w:r>
      <w:r w:rsidRPr="008751DC">
        <w:t>ubstance</w:t>
      </w:r>
      <w:r>
        <w:t xml:space="preserve"> (active ingredient)</w:t>
      </w:r>
      <w:bookmarkEnd w:id="26"/>
      <w:bookmarkEnd w:id="27"/>
      <w:bookmarkEnd w:id="29"/>
    </w:p>
    <w:p w:rsidR="00DE0B33" w:rsidRPr="005B2EAC" w:rsidRDefault="00DE0B33" w:rsidP="005B2EAC">
      <w:r w:rsidRPr="005B2EAC">
        <w:t>The drug substance, netupitan</w:t>
      </w:r>
      <w:r w:rsidR="009B02FF">
        <w:t>t, has the following structure as shown in Figure 1.</w:t>
      </w:r>
    </w:p>
    <w:p w:rsidR="00DE0B33" w:rsidRPr="008B089E" w:rsidRDefault="009B02FF" w:rsidP="00FA1B25">
      <w:pPr>
        <w:pStyle w:val="FigureTitle"/>
      </w:pPr>
      <w:proofErr w:type="gramStart"/>
      <w:r>
        <w:t>Figure 1.</w:t>
      </w:r>
      <w:proofErr w:type="gramEnd"/>
      <w:r>
        <w:t xml:space="preserve"> Chemical structure of n</w:t>
      </w:r>
      <w:r w:rsidR="00FA1B25">
        <w:t>etupitant</w:t>
      </w:r>
    </w:p>
    <w:p w:rsidR="00DE0B33" w:rsidRPr="008B089E" w:rsidRDefault="00DE0B33" w:rsidP="00DE0B33">
      <w:pPr>
        <w:jc w:val="center"/>
        <w:rPr>
          <w:noProof/>
        </w:rPr>
      </w:pPr>
      <w:r w:rsidRPr="008B089E">
        <w:rPr>
          <w:noProof/>
        </w:rPr>
        <w:t xml:space="preserve"> </w:t>
      </w:r>
      <w:r w:rsidR="00E77382">
        <w:rPr>
          <w:noProof/>
          <w:lang w:eastAsia="en-AU"/>
        </w:rPr>
        <w:drawing>
          <wp:inline distT="0" distB="0" distL="0" distR="0">
            <wp:extent cx="2386965" cy="1377315"/>
            <wp:effectExtent l="0" t="0" r="0" b="0"/>
            <wp:docPr id="2" name="Picture 13" descr="Figure 1: Chemical structure of netup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 Chemical structure of netupit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1377315"/>
                    </a:xfrm>
                    <a:prstGeom prst="rect">
                      <a:avLst/>
                    </a:prstGeom>
                    <a:noFill/>
                    <a:ln>
                      <a:noFill/>
                    </a:ln>
                  </pic:spPr>
                </pic:pic>
              </a:graphicData>
            </a:graphic>
          </wp:inline>
        </w:drawing>
      </w:r>
    </w:p>
    <w:p w:rsidR="00DE0B33" w:rsidRPr="005B2EAC" w:rsidRDefault="00DE0B33" w:rsidP="005B2EAC">
      <w:r w:rsidRPr="005B2EAC">
        <w:t xml:space="preserve">The drug substance, palonosetron hydrochloride, has the </w:t>
      </w:r>
      <w:r w:rsidR="009B02FF">
        <w:t>structure show in Figure 2.</w:t>
      </w:r>
    </w:p>
    <w:p w:rsidR="00FA1B25" w:rsidRPr="008B089E" w:rsidRDefault="003818B7" w:rsidP="00FA1B25">
      <w:pPr>
        <w:pStyle w:val="FigureTitle"/>
      </w:pPr>
      <w:proofErr w:type="gramStart"/>
      <w:r>
        <w:t>Figure 2.</w:t>
      </w:r>
      <w:proofErr w:type="gramEnd"/>
      <w:r w:rsidR="00FA1B25">
        <w:t xml:space="preserve"> Chemical structure of </w:t>
      </w:r>
      <w:r w:rsidR="009B02FF">
        <w:t>p</w:t>
      </w:r>
      <w:r w:rsidR="00FA1B25">
        <w:t>alonosetron hydrochloride</w:t>
      </w:r>
    </w:p>
    <w:p w:rsidR="008E7846" w:rsidRDefault="00E77382" w:rsidP="009A2E11">
      <w:pPr>
        <w:jc w:val="center"/>
      </w:pPr>
      <w:r>
        <w:rPr>
          <w:noProof/>
          <w:lang w:eastAsia="en-AU"/>
        </w:rPr>
        <w:drawing>
          <wp:inline distT="0" distB="0" distL="0" distR="0">
            <wp:extent cx="1531620" cy="1294130"/>
            <wp:effectExtent l="0" t="0" r="0" b="1270"/>
            <wp:docPr id="3" name="Picture 15" descr="Figure 2: Chemical structure of palonosetro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 Chemical structure of palonosetron hydrochlor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620" cy="1294130"/>
                    </a:xfrm>
                    <a:prstGeom prst="rect">
                      <a:avLst/>
                    </a:prstGeom>
                    <a:noFill/>
                    <a:ln>
                      <a:noFill/>
                    </a:ln>
                  </pic:spPr>
                </pic:pic>
              </a:graphicData>
            </a:graphic>
          </wp:inline>
        </w:drawing>
      </w:r>
    </w:p>
    <w:p w:rsidR="008E7846" w:rsidRDefault="008E7846" w:rsidP="008E7846">
      <w:pPr>
        <w:pStyle w:val="Heading3"/>
      </w:pPr>
      <w:bookmarkStart w:id="30" w:name="_Toc247691508"/>
      <w:bookmarkStart w:id="31" w:name="_Toc314842490"/>
      <w:bookmarkStart w:id="32" w:name="_Toc466986522"/>
      <w:r w:rsidRPr="008751DC">
        <w:t xml:space="preserve">Drug </w:t>
      </w:r>
      <w:r>
        <w:t>p</w:t>
      </w:r>
      <w:r w:rsidRPr="008751DC">
        <w:t>roduct</w:t>
      </w:r>
      <w:bookmarkEnd w:id="30"/>
      <w:bookmarkEnd w:id="31"/>
      <w:bookmarkEnd w:id="32"/>
    </w:p>
    <w:p w:rsidR="00940A89" w:rsidRPr="005B2EAC" w:rsidRDefault="00622EAC" w:rsidP="005B2EAC">
      <w:r w:rsidRPr="005B2EAC">
        <w:t xml:space="preserve">The </w:t>
      </w:r>
      <w:r w:rsidR="00EB5B18" w:rsidRPr="005B2EAC">
        <w:t xml:space="preserve">proposed </w:t>
      </w:r>
      <w:r w:rsidRPr="005B2EAC">
        <w:t>product is a single combination capsule.</w:t>
      </w:r>
    </w:p>
    <w:p w:rsidR="001D05DD" w:rsidRPr="001D05DD" w:rsidRDefault="001D05DD" w:rsidP="001D05DD">
      <w:pPr>
        <w:pStyle w:val="Heading4"/>
      </w:pPr>
      <w:r w:rsidRPr="001D05DD">
        <w:t>Netupitant</w:t>
      </w:r>
    </w:p>
    <w:p w:rsidR="001D05DD" w:rsidRPr="005B2EAC" w:rsidRDefault="001D05DD" w:rsidP="005B2EAC">
      <w:r w:rsidRPr="005B2EAC">
        <w:t xml:space="preserve">Netupitant </w:t>
      </w:r>
      <w:r w:rsidR="000D1F34" w:rsidRPr="005B2EAC">
        <w:t>tablets are</w:t>
      </w:r>
      <w:r w:rsidRPr="005B2EAC">
        <w:t xml:space="preserve"> a conventional immediate release formulation</w:t>
      </w:r>
      <w:r w:rsidR="000366DF" w:rsidRPr="005B2EAC">
        <w:t>.</w:t>
      </w:r>
      <w:r w:rsidRPr="005B2EAC">
        <w:t xml:space="preserve"> </w:t>
      </w:r>
      <w:r w:rsidR="000366DF" w:rsidRPr="005B2EAC">
        <w:t>The tablets are manufactured by conventional processes, by mixing, wet granulation, drying, milling, screening, blending and compression.</w:t>
      </w:r>
    </w:p>
    <w:p w:rsidR="001D05DD" w:rsidRPr="005B2EAC" w:rsidRDefault="000D1F34" w:rsidP="005B2EAC">
      <w:r w:rsidRPr="005B2EAC">
        <w:lastRenderedPageBreak/>
        <w:t xml:space="preserve">Netupitant </w:t>
      </w:r>
      <w:r w:rsidR="001D05DD" w:rsidRPr="005B2EAC">
        <w:t xml:space="preserve">was shown to be </w:t>
      </w:r>
      <w:r w:rsidR="00E4432D" w:rsidRPr="005B2EAC">
        <w:t>suitabl</w:t>
      </w:r>
      <w:r w:rsidR="00E4432D">
        <w:t>y</w:t>
      </w:r>
      <w:r w:rsidR="00E4432D" w:rsidRPr="005B2EAC">
        <w:t xml:space="preserve"> </w:t>
      </w:r>
      <w:r w:rsidR="001D05DD" w:rsidRPr="005B2EAC">
        <w:t>stable under stressed, accelerated and</w:t>
      </w:r>
      <w:r w:rsidRPr="005B2EAC">
        <w:t xml:space="preserve"> long term conditions in the Drug Master File (DMF)</w:t>
      </w:r>
      <w:r w:rsidR="001D05DD" w:rsidRPr="005B2EAC">
        <w:t>.</w:t>
      </w:r>
    </w:p>
    <w:p w:rsidR="000366DF" w:rsidRDefault="000366DF" w:rsidP="000366DF">
      <w:pPr>
        <w:pStyle w:val="Heading4"/>
      </w:pPr>
      <w:r>
        <w:t>Palonosetron</w:t>
      </w:r>
    </w:p>
    <w:p w:rsidR="000366DF" w:rsidRPr="005B2EAC" w:rsidRDefault="000366DF" w:rsidP="005B2EAC">
      <w:proofErr w:type="spellStart"/>
      <w:r w:rsidRPr="005B2EAC">
        <w:t>Palonosetron</w:t>
      </w:r>
      <w:proofErr w:type="spellEnd"/>
      <w:r w:rsidRPr="005B2EAC">
        <w:t xml:space="preserve"> </w:t>
      </w:r>
      <w:proofErr w:type="spellStart"/>
      <w:r w:rsidRPr="005B2EAC">
        <w:t>softgel</w:t>
      </w:r>
      <w:proofErr w:type="spellEnd"/>
      <w:r w:rsidRPr="005B2EAC">
        <w:t xml:space="preserve"> capsules </w:t>
      </w:r>
      <w:proofErr w:type="spellStart"/>
      <w:r w:rsidRPr="005B2EAC">
        <w:t>areplain</w:t>
      </w:r>
      <w:proofErr w:type="spellEnd"/>
      <w:r w:rsidRPr="005B2EAC">
        <w:t xml:space="preserve">, round to oval, opaque, light beige, liquid filled, soft </w:t>
      </w:r>
      <w:proofErr w:type="spellStart"/>
      <w:r w:rsidRPr="005B2EAC">
        <w:t>gelat</w:t>
      </w:r>
      <w:r w:rsidR="00DB58EC" w:rsidRPr="005B2EAC">
        <w:t>in</w:t>
      </w:r>
      <w:proofErr w:type="spellEnd"/>
      <w:r w:rsidR="00DB58EC" w:rsidRPr="005B2EAC">
        <w:t xml:space="preserve"> capsules, comprising 0.5 mg</w:t>
      </w:r>
      <w:r w:rsidRPr="005B2EAC">
        <w:t xml:space="preserve"> palonosetron fill solution encapsulated in </w:t>
      </w:r>
      <w:r w:rsidR="007766C0">
        <w:t>Size 1.5 </w:t>
      </w:r>
      <w:r w:rsidRPr="005B2EAC">
        <w:t xml:space="preserve">oval </w:t>
      </w:r>
      <w:proofErr w:type="spellStart"/>
      <w:r w:rsidRPr="005B2EAC">
        <w:t>softgel</w:t>
      </w:r>
      <w:proofErr w:type="spellEnd"/>
      <w:r w:rsidRPr="005B2EAC">
        <w:t xml:space="preserve"> capsule shells.</w:t>
      </w:r>
      <w:r w:rsidR="00F7502A" w:rsidRPr="005B2EAC">
        <w:t xml:space="preserve"> The </w:t>
      </w:r>
      <w:proofErr w:type="spellStart"/>
      <w:r w:rsidR="00F7502A" w:rsidRPr="005B2EAC">
        <w:t>softgel</w:t>
      </w:r>
      <w:proofErr w:type="spellEnd"/>
      <w:r w:rsidR="00F7502A" w:rsidRPr="005B2EAC">
        <w:t xml:space="preserve"> capsules are manufactured by conventional processes, by compounding, mixing and encapsulation.</w:t>
      </w:r>
    </w:p>
    <w:p w:rsidR="003A2531" w:rsidRDefault="00580991" w:rsidP="003A2531">
      <w:pPr>
        <w:pStyle w:val="Heading4"/>
      </w:pPr>
      <w:proofErr w:type="spellStart"/>
      <w:r>
        <w:t>Netupitant-p</w:t>
      </w:r>
      <w:r w:rsidR="00AA04DA" w:rsidRPr="00AA04DA">
        <w:t>a</w:t>
      </w:r>
      <w:r>
        <w:t>lonosetron</w:t>
      </w:r>
      <w:proofErr w:type="spellEnd"/>
      <w:r>
        <w:t xml:space="preserve"> combination c</w:t>
      </w:r>
      <w:r w:rsidR="005B2EAC">
        <w:t>apsules</w:t>
      </w:r>
    </w:p>
    <w:p w:rsidR="003A2531" w:rsidRPr="005B2EAC" w:rsidRDefault="003A2531" w:rsidP="005B2EAC">
      <w:r w:rsidRPr="005B2EAC">
        <w:t xml:space="preserve">The combination capsule </w:t>
      </w:r>
      <w:r w:rsidR="00943FC6">
        <w:t>is</w:t>
      </w:r>
      <w:r w:rsidR="00943FC6" w:rsidRPr="005B2EAC">
        <w:t xml:space="preserve"> </w:t>
      </w:r>
      <w:r w:rsidR="00AA04DA" w:rsidRPr="005B2EAC">
        <w:t xml:space="preserve">composed of one Size 0 hard </w:t>
      </w:r>
      <w:proofErr w:type="spellStart"/>
      <w:r w:rsidR="00AA04DA" w:rsidRPr="005B2EAC">
        <w:t>gelatin</w:t>
      </w:r>
      <w:proofErr w:type="spellEnd"/>
      <w:r w:rsidR="00AA04DA" w:rsidRPr="005B2EAC">
        <w:t xml:space="preserve"> capsule. </w:t>
      </w:r>
      <w:r w:rsidRPr="005B2EAC">
        <w:t>Each capsule contains three intermediate n</w:t>
      </w:r>
      <w:r w:rsidR="006A4FB8" w:rsidRPr="005B2EAC">
        <w:t>etupitant t</w:t>
      </w:r>
      <w:r w:rsidRPr="005B2EAC">
        <w:t xml:space="preserve">ablets and one intermediate </w:t>
      </w:r>
      <w:proofErr w:type="spellStart"/>
      <w:r w:rsidRPr="005B2EAC">
        <w:t>palonosetron</w:t>
      </w:r>
      <w:proofErr w:type="spellEnd"/>
      <w:r w:rsidRPr="005B2EAC">
        <w:t xml:space="preserve"> </w:t>
      </w:r>
      <w:proofErr w:type="spellStart"/>
      <w:r w:rsidRPr="005B2EAC">
        <w:t>softgel</w:t>
      </w:r>
      <w:proofErr w:type="spellEnd"/>
      <w:r w:rsidRPr="005B2EAC">
        <w:t xml:space="preserve"> capsule. </w:t>
      </w:r>
      <w:r w:rsidR="006A4FB8" w:rsidRPr="005B2EAC">
        <w:t xml:space="preserve">For the encapsulation process, the hard </w:t>
      </w:r>
      <w:proofErr w:type="spellStart"/>
      <w:r w:rsidR="006A4FB8" w:rsidRPr="005B2EAC">
        <w:t>gelatin</w:t>
      </w:r>
      <w:proofErr w:type="spellEnd"/>
      <w:r w:rsidR="006A4FB8" w:rsidRPr="005B2EAC">
        <w:t xml:space="preserve"> capsule is opened, three intermediate netupitant tablets followed by one intermediate </w:t>
      </w:r>
      <w:proofErr w:type="spellStart"/>
      <w:r w:rsidR="006A4FB8" w:rsidRPr="005B2EAC">
        <w:t>palonosetron</w:t>
      </w:r>
      <w:proofErr w:type="spellEnd"/>
      <w:r w:rsidR="006A4FB8" w:rsidRPr="005B2EAC">
        <w:t xml:space="preserve"> </w:t>
      </w:r>
      <w:proofErr w:type="spellStart"/>
      <w:r w:rsidR="006A4FB8" w:rsidRPr="005B2EAC">
        <w:t>softgel</w:t>
      </w:r>
      <w:proofErr w:type="spellEnd"/>
      <w:r w:rsidR="006A4FB8" w:rsidRPr="005B2EAC">
        <w:t xml:space="preserve"> capsule are filled into the hard </w:t>
      </w:r>
      <w:proofErr w:type="spellStart"/>
      <w:r w:rsidR="006A4FB8" w:rsidRPr="005B2EAC">
        <w:t>gelatin</w:t>
      </w:r>
      <w:proofErr w:type="spellEnd"/>
      <w:r w:rsidR="006A4FB8" w:rsidRPr="005B2EAC">
        <w:t xml:space="preserve"> capsule body, and then the hard </w:t>
      </w:r>
      <w:proofErr w:type="spellStart"/>
      <w:r w:rsidR="006A4FB8" w:rsidRPr="005B2EAC">
        <w:t>gelatin</w:t>
      </w:r>
      <w:proofErr w:type="spellEnd"/>
      <w:r w:rsidR="006A4FB8" w:rsidRPr="005B2EAC">
        <w:t xml:space="preserve"> cap is placed on the body and the capsule is closed.</w:t>
      </w:r>
    </w:p>
    <w:p w:rsidR="00F7502A" w:rsidRPr="005B2EAC" w:rsidRDefault="003A2531" w:rsidP="005B2EAC">
      <w:r w:rsidRPr="005B2EAC">
        <w:t>Ba</w:t>
      </w:r>
      <w:r w:rsidR="00EE2313" w:rsidRPr="005B2EAC">
        <w:t>sed on the stability presented for both the primary and supportive stability s</w:t>
      </w:r>
      <w:r w:rsidR="00DB58EC" w:rsidRPr="005B2EAC">
        <w:t>tudies, a storage condition of ‘Store below 25°C’</w:t>
      </w:r>
      <w:r w:rsidR="00EE2313" w:rsidRPr="005B2EAC">
        <w:t xml:space="preserve"> is supported by the d</w:t>
      </w:r>
      <w:r w:rsidR="00BF26D1" w:rsidRPr="005B2EAC">
        <w:t>ata.</w:t>
      </w:r>
    </w:p>
    <w:p w:rsidR="00262C56" w:rsidRDefault="008E7846" w:rsidP="00262C56">
      <w:pPr>
        <w:pStyle w:val="Heading3"/>
      </w:pPr>
      <w:bookmarkStart w:id="33" w:name="_Toc314842491"/>
      <w:bookmarkStart w:id="34" w:name="_Toc466986523"/>
      <w:r>
        <w:t>Biopharmaceutics</w:t>
      </w:r>
      <w:bookmarkEnd w:id="33"/>
      <w:bookmarkEnd w:id="34"/>
    </w:p>
    <w:p w:rsidR="009A08DC" w:rsidRPr="005B2EAC" w:rsidRDefault="009A08DC" w:rsidP="005B2EAC">
      <w:r w:rsidRPr="005B2EAC">
        <w:t>Seven Biopharmaceutic/Bioavailability/Bioequivalence studies were presented.</w:t>
      </w:r>
    </w:p>
    <w:p w:rsidR="00262C56" w:rsidRPr="00262C56" w:rsidRDefault="00262C56" w:rsidP="00262C56">
      <w:pPr>
        <w:pStyle w:val="Heading4"/>
      </w:pPr>
      <w:r>
        <w:t>Netupitant</w:t>
      </w:r>
    </w:p>
    <w:p w:rsidR="00262C56" w:rsidRPr="005B2EAC" w:rsidRDefault="00262C56" w:rsidP="005B2EAC">
      <w:r w:rsidRPr="005B2EAC">
        <w:t xml:space="preserve">Absolute netupitant bioavailability data are not available in humans. However, based on the results of two studies, which examined the safety, tolerability and </w:t>
      </w:r>
      <w:r w:rsidR="00DB58EC" w:rsidRPr="005B2EAC">
        <w:t>pharmacokinetics (</w:t>
      </w:r>
      <w:r w:rsidRPr="005B2EAC">
        <w:t>PK</w:t>
      </w:r>
      <w:r w:rsidR="00DB58EC" w:rsidRPr="005B2EAC">
        <w:t>)</w:t>
      </w:r>
      <w:r w:rsidRPr="005B2EAC">
        <w:t xml:space="preserve"> of ascending doses of I.V. netupitant in healthy volunteers (Studies BP17085 and NETU-11-01), the bioavailability of netupitant in man is thought to be greater than 60</w:t>
      </w:r>
      <w:r w:rsidR="000403F6">
        <w:t>%</w:t>
      </w:r>
      <w:r w:rsidRPr="005B2EAC">
        <w:t>.</w:t>
      </w:r>
    </w:p>
    <w:p w:rsidR="00262C56" w:rsidRDefault="00262C56" w:rsidP="00262C56">
      <w:pPr>
        <w:pStyle w:val="Heading4"/>
      </w:pPr>
      <w:r>
        <w:t>Palonosetron</w:t>
      </w:r>
    </w:p>
    <w:p w:rsidR="00262C56" w:rsidRPr="005B2EAC" w:rsidRDefault="00262C56" w:rsidP="005B2EAC">
      <w:r w:rsidRPr="005B2EAC">
        <w:t xml:space="preserve">Absolute bioavailability of palonosetron had not been determined in the present submission. However, The European Public Assessment Reports (EPAR) </w:t>
      </w:r>
      <w:r w:rsidR="00C952C9">
        <w:t>PI</w:t>
      </w:r>
      <w:r w:rsidRPr="005B2EAC">
        <w:t xml:space="preserve"> for </w:t>
      </w:r>
      <w:proofErr w:type="spellStart"/>
      <w:r w:rsidR="00E31465" w:rsidRPr="005B2EAC">
        <w:t>Aloxi</w:t>
      </w:r>
      <w:proofErr w:type="spellEnd"/>
      <w:r w:rsidR="007766C0">
        <w:t xml:space="preserve"> (</w:t>
      </w:r>
      <w:proofErr w:type="spellStart"/>
      <w:r w:rsidR="007766C0">
        <w:t>palonosetron</w:t>
      </w:r>
      <w:proofErr w:type="spellEnd"/>
      <w:r w:rsidR="007766C0">
        <w:t>)</w:t>
      </w:r>
      <w:r w:rsidR="00DB58EC" w:rsidRPr="005B2EAC">
        <w:t xml:space="preserve"> 0.5 mg </w:t>
      </w:r>
      <w:r w:rsidRPr="005B2EAC">
        <w:t>soft capsules indicates that palonosetron is well absorbed with an absolute bioavailability reaching 97</w:t>
      </w:r>
      <w:r w:rsidR="000403F6">
        <w:t>%</w:t>
      </w:r>
      <w:r w:rsidRPr="005B2EAC">
        <w:t>.</w:t>
      </w:r>
    </w:p>
    <w:p w:rsidR="008E7846" w:rsidRPr="00E31465" w:rsidRDefault="008E7846" w:rsidP="008E7846">
      <w:pPr>
        <w:pStyle w:val="Heading3"/>
      </w:pPr>
      <w:bookmarkStart w:id="35" w:name="_Toc314842492"/>
      <w:bookmarkStart w:id="36" w:name="_Toc466986524"/>
      <w:r w:rsidRPr="00E31465">
        <w:t>Advisory committee considerations</w:t>
      </w:r>
      <w:bookmarkEnd w:id="35"/>
      <w:bookmarkEnd w:id="36"/>
    </w:p>
    <w:p w:rsidR="00EB044F" w:rsidRPr="005B2EAC" w:rsidRDefault="00EB044F" w:rsidP="005B2EAC">
      <w:r w:rsidRPr="005B2EAC">
        <w:t xml:space="preserve">The PSC considered the application </w:t>
      </w:r>
      <w:r w:rsidR="00782699" w:rsidRPr="005B2EAC">
        <w:t xml:space="preserve">to register </w:t>
      </w:r>
      <w:r w:rsidR="00E96281" w:rsidRPr="005B2EAC">
        <w:t>Akynzeo</w:t>
      </w:r>
      <w:r w:rsidR="007766C0">
        <w:t xml:space="preserve"> </w:t>
      </w:r>
      <w:r w:rsidRPr="005B2EAC">
        <w:t>capsule containing netupitant 300 mg and palonosetron hydrochloride 0.5 mg as a new combination.</w:t>
      </w:r>
    </w:p>
    <w:p w:rsidR="00EB044F" w:rsidRPr="005B2EAC" w:rsidRDefault="00EB044F" w:rsidP="005B2EAC">
      <w:r w:rsidRPr="005B2EAC">
        <w:t xml:space="preserve">The PSC advised that it had no further questions for the </w:t>
      </w:r>
      <w:r w:rsidR="00791AE3" w:rsidRPr="005B2EAC">
        <w:t>sponsor</w:t>
      </w:r>
      <w:r w:rsidRPr="005B2EAC">
        <w:t>. The PI and CMI should be amended to reflect the recommendations of the PSC.</w:t>
      </w:r>
    </w:p>
    <w:p w:rsidR="008E7846" w:rsidRPr="008751DC" w:rsidRDefault="008E7846" w:rsidP="008E7846">
      <w:pPr>
        <w:pStyle w:val="Heading3"/>
      </w:pPr>
      <w:bookmarkStart w:id="37" w:name="_Toc247691509"/>
      <w:bookmarkStart w:id="38" w:name="_Toc314842493"/>
      <w:bookmarkStart w:id="39" w:name="_Toc466986525"/>
      <w:r>
        <w:t>Quality s</w:t>
      </w:r>
      <w:r w:rsidRPr="008751DC">
        <w:t>ummary</w:t>
      </w:r>
      <w:r>
        <w:t xml:space="preserve"> and conclusions</w:t>
      </w:r>
      <w:bookmarkEnd w:id="37"/>
      <w:bookmarkEnd w:id="38"/>
      <w:bookmarkEnd w:id="39"/>
    </w:p>
    <w:p w:rsidR="00BE4661" w:rsidRPr="005B2EAC" w:rsidRDefault="006C1D53" w:rsidP="005B2EAC">
      <w:r w:rsidRPr="005B2EAC">
        <w:t>Netupitant 300 mg and p</w:t>
      </w:r>
      <w:r w:rsidR="00BE4661" w:rsidRPr="005B2EAC">
        <w:t xml:space="preserve">alonosetron (as </w:t>
      </w:r>
      <w:r w:rsidR="00632137" w:rsidRPr="005B2EAC">
        <w:t xml:space="preserve">hydrochloride) 0.5 mg </w:t>
      </w:r>
      <w:r w:rsidR="00BE4661" w:rsidRPr="005B2EAC">
        <w:t>capsules in blister packs are recommended for approval subject to resolution of the following:</w:t>
      </w:r>
    </w:p>
    <w:p w:rsidR="00BE4661" w:rsidRPr="005B2EAC" w:rsidRDefault="00BE4661" w:rsidP="005B2EAC">
      <w:pPr>
        <w:pStyle w:val="ListBullet"/>
      </w:pPr>
      <w:r w:rsidRPr="005B2EAC">
        <w:t xml:space="preserve">Clarification of the statement ‘Each </w:t>
      </w:r>
      <w:r w:rsidR="00E96281" w:rsidRPr="005B2EAC">
        <w:t>Akynzeo</w:t>
      </w:r>
      <w:r w:rsidR="006C1D53" w:rsidRPr="005B2EAC">
        <w:t xml:space="preserve"> hard capsule shell contains 7 </w:t>
      </w:r>
      <w:r w:rsidRPr="005B2EAC">
        <w:t xml:space="preserve">milligrams of sorbitol.’ in the </w:t>
      </w:r>
      <w:r w:rsidR="007766C0">
        <w:t>PI</w:t>
      </w:r>
      <w:r w:rsidRPr="005B2EAC">
        <w:t>.</w:t>
      </w:r>
    </w:p>
    <w:p w:rsidR="00BE4661" w:rsidRPr="005B2EAC" w:rsidRDefault="00BE4661" w:rsidP="005B2EAC">
      <w:pPr>
        <w:pStyle w:val="ListBullet"/>
      </w:pPr>
      <w:r w:rsidRPr="005B2EAC">
        <w:lastRenderedPageBreak/>
        <w:t xml:space="preserve">Confirmation that the text height on the blister labels will meet the requirements of </w:t>
      </w:r>
      <w:r w:rsidR="00632137" w:rsidRPr="005B2EAC">
        <w:t>Therapeutics Goods Order (</w:t>
      </w:r>
      <w:r w:rsidRPr="005B2EAC">
        <w:t>TGO 69</w:t>
      </w:r>
      <w:r w:rsidR="00632137" w:rsidRPr="005B2EAC">
        <w:t>)</w:t>
      </w:r>
      <w:r w:rsidRPr="005B2EAC">
        <w:t>.</w:t>
      </w:r>
    </w:p>
    <w:p w:rsidR="00BE4661" w:rsidRPr="005B2EAC" w:rsidRDefault="00BE4661" w:rsidP="005B2EAC">
      <w:pPr>
        <w:pStyle w:val="ListBullet"/>
      </w:pPr>
      <w:r w:rsidRPr="005B2EAC">
        <w:t xml:space="preserve">Confirmation that a test for Uniformity of Dosage Units by 2.9.40 will be included in the </w:t>
      </w:r>
      <w:r w:rsidR="00632137" w:rsidRPr="005B2EAC">
        <w:t>Certified Product details (</w:t>
      </w:r>
      <w:r w:rsidRPr="005B2EAC">
        <w:t>CPD</w:t>
      </w:r>
      <w:r w:rsidR="00632137" w:rsidRPr="005B2EAC">
        <w:t>)</w:t>
      </w:r>
      <w:r w:rsidRPr="005B2EAC">
        <w:t xml:space="preserve"> submitted to the TGA.</w:t>
      </w:r>
    </w:p>
    <w:p w:rsidR="008E7846" w:rsidRDefault="008E7846" w:rsidP="008E7846">
      <w:pPr>
        <w:pStyle w:val="Heading2"/>
      </w:pPr>
      <w:bookmarkStart w:id="40" w:name="_Toc196046439"/>
      <w:bookmarkStart w:id="41" w:name="_Toc247691510"/>
      <w:bookmarkStart w:id="42" w:name="_Toc314842494"/>
      <w:bookmarkStart w:id="43" w:name="_Toc466986526"/>
      <w:r>
        <w:t>III. Nonclinical</w:t>
      </w:r>
      <w:bookmarkEnd w:id="40"/>
      <w:r>
        <w:t xml:space="preserve"> findings</w:t>
      </w:r>
      <w:bookmarkEnd w:id="41"/>
      <w:bookmarkEnd w:id="42"/>
      <w:bookmarkEnd w:id="43"/>
    </w:p>
    <w:p w:rsidR="008E7846" w:rsidRDefault="008E7846" w:rsidP="00940A89">
      <w:pPr>
        <w:pStyle w:val="Heading3"/>
      </w:pPr>
      <w:bookmarkStart w:id="44" w:name="_Toc247691511"/>
      <w:bookmarkStart w:id="45" w:name="_Toc314842495"/>
      <w:bookmarkStart w:id="46" w:name="_Toc466986527"/>
      <w:r>
        <w:t>Introduction</w:t>
      </w:r>
      <w:bookmarkEnd w:id="44"/>
      <w:bookmarkEnd w:id="45"/>
      <w:bookmarkEnd w:id="46"/>
    </w:p>
    <w:p w:rsidR="00BE4661" w:rsidRPr="005B2EAC" w:rsidRDefault="00BE4661" w:rsidP="005B2EAC">
      <w:pPr>
        <w:pStyle w:val="Heading4"/>
      </w:pPr>
      <w:bookmarkStart w:id="47" w:name="_Toc406598696"/>
      <w:bookmarkStart w:id="48" w:name="_Toc295290864"/>
      <w:bookmarkStart w:id="49" w:name="_Toc294861722"/>
      <w:r w:rsidRPr="005B2EAC">
        <w:t>General comments</w:t>
      </w:r>
      <w:bookmarkEnd w:id="47"/>
      <w:bookmarkEnd w:id="48"/>
      <w:bookmarkEnd w:id="49"/>
    </w:p>
    <w:p w:rsidR="00BE4661" w:rsidRPr="005B2EAC" w:rsidRDefault="00BE4661" w:rsidP="005B2EAC">
      <w:r w:rsidRPr="005B2EAC">
        <w:t xml:space="preserve">The overall quality of the non-clinical dossier was good with all pivotal studies conducted according to </w:t>
      </w:r>
      <w:r w:rsidR="00F025E8" w:rsidRPr="005B2EAC">
        <w:t>Good Laboratory Practice (</w:t>
      </w:r>
      <w:r w:rsidRPr="005B2EAC">
        <w:t>GLP</w:t>
      </w:r>
      <w:r w:rsidR="00F025E8" w:rsidRPr="005B2EAC">
        <w:t>).</w:t>
      </w:r>
    </w:p>
    <w:p w:rsidR="008E7846" w:rsidRPr="005B2EAC" w:rsidRDefault="008E7846" w:rsidP="005B2EAC">
      <w:pPr>
        <w:pStyle w:val="Heading3"/>
      </w:pPr>
      <w:bookmarkStart w:id="50" w:name="_Toc247691512"/>
      <w:bookmarkStart w:id="51" w:name="_Toc314842496"/>
      <w:bookmarkStart w:id="52" w:name="_Toc466986528"/>
      <w:r w:rsidRPr="005B2EAC">
        <w:t>Pharmacology</w:t>
      </w:r>
      <w:bookmarkEnd w:id="50"/>
      <w:bookmarkEnd w:id="51"/>
      <w:bookmarkEnd w:id="52"/>
    </w:p>
    <w:p w:rsidR="00BE4661" w:rsidRPr="005B2EAC" w:rsidRDefault="00BE4661" w:rsidP="005B2EAC">
      <w:pPr>
        <w:pStyle w:val="Heading4"/>
      </w:pPr>
      <w:r w:rsidRPr="005B2EAC">
        <w:t>Primary pharmacology</w:t>
      </w:r>
    </w:p>
    <w:p w:rsidR="00BE4661" w:rsidRPr="005B2EAC" w:rsidRDefault="00BE4661" w:rsidP="005B2EAC">
      <w:r w:rsidRPr="005B2EAC">
        <w:t xml:space="preserve">Without prophylactic therapy most cancer patients experience </w:t>
      </w:r>
      <w:r w:rsidR="000403F6">
        <w:t>Chemotherapy induced</w:t>
      </w:r>
      <w:r w:rsidRPr="005B2EAC">
        <w:t xml:space="preserve"> nausea and vomiting (CINV). The neural circuits involved in emesis are complex and not fully elucidated and involve inputs from the abdominal </w:t>
      </w:r>
      <w:proofErr w:type="spellStart"/>
      <w:r w:rsidRPr="005B2EAC">
        <w:t>vagus</w:t>
      </w:r>
      <w:proofErr w:type="spellEnd"/>
      <w:r w:rsidRPr="005B2EAC">
        <w:t xml:space="preserve"> via the nucleus </w:t>
      </w:r>
      <w:proofErr w:type="spellStart"/>
      <w:r w:rsidRPr="005B2EAC">
        <w:t>tractus</w:t>
      </w:r>
      <w:proofErr w:type="spellEnd"/>
      <w:r w:rsidRPr="005B2EAC">
        <w:t xml:space="preserve"> </w:t>
      </w:r>
      <w:proofErr w:type="spellStart"/>
      <w:r w:rsidRPr="005B2EAC">
        <w:t>solitarius</w:t>
      </w:r>
      <w:proofErr w:type="spellEnd"/>
      <w:r w:rsidRPr="005B2EAC">
        <w:t xml:space="preserve"> and from the chemoreceptive trig</w:t>
      </w:r>
      <w:r w:rsidR="0050351C" w:rsidRPr="005B2EAC">
        <w:t xml:space="preserve">ger zone in the area </w:t>
      </w:r>
      <w:proofErr w:type="spellStart"/>
      <w:r w:rsidR="0050351C" w:rsidRPr="005B2EAC">
        <w:t>postrema</w:t>
      </w:r>
      <w:proofErr w:type="spellEnd"/>
      <w:r w:rsidR="0050351C" w:rsidRPr="005B2EAC">
        <w:t xml:space="preserve">. </w:t>
      </w:r>
      <w:r w:rsidRPr="005B2EAC">
        <w:t>These inputs are integrated in a central pattern generator to st</w:t>
      </w:r>
      <w:r w:rsidR="0050351C" w:rsidRPr="005B2EAC">
        <w:t xml:space="preserve">imulate the vomiting response. </w:t>
      </w:r>
      <w:r w:rsidRPr="005B2EAC">
        <w:t xml:space="preserve">Neurotransmitter receptor systems involved in the mediation of signals leading to nausea and </w:t>
      </w:r>
      <w:r w:rsidR="002C1E2E" w:rsidRPr="005B2EAC">
        <w:t>vomiting include dopaminergic (D2</w:t>
      </w:r>
      <w:r w:rsidRPr="005B2EAC">
        <w:t>), cholinergi</w:t>
      </w:r>
      <w:r w:rsidR="002C1E2E" w:rsidRPr="005B2EAC">
        <w:t>c (muscarinic), histaminergic (H1</w:t>
      </w:r>
      <w:r w:rsidRPr="005B2EAC">
        <w:t xml:space="preserve">), </w:t>
      </w:r>
      <w:r w:rsidR="00DB58EC" w:rsidRPr="005B2EAC">
        <w:t>serotonergic (5-HT</w:t>
      </w:r>
      <w:r w:rsidR="00DB58EC" w:rsidRPr="00680A60">
        <w:rPr>
          <w:vertAlign w:val="subscript"/>
        </w:rPr>
        <w:t>3</w:t>
      </w:r>
      <w:r w:rsidRPr="005B2EAC">
        <w:t xml:space="preserve">), and neurokinin NK1 systems. The corresponding receptors are potential targets for antiemetic drugs. The FDC </w:t>
      </w:r>
      <w:r w:rsidR="00E96281" w:rsidRPr="005B2EAC">
        <w:t>Akynzeo</w:t>
      </w:r>
      <w:r w:rsidR="0050351C" w:rsidRPr="005B2EAC">
        <w:t xml:space="preserve"> </w:t>
      </w:r>
      <w:r w:rsidRPr="005B2EAC">
        <w:t>combines antagon</w:t>
      </w:r>
      <w:r w:rsidR="0018634D">
        <w:t>ists at two of these receptors;</w:t>
      </w:r>
      <w:r w:rsidR="0050351C" w:rsidRPr="005B2EAC">
        <w:t xml:space="preserve"> </w:t>
      </w:r>
      <w:r w:rsidRPr="005B2EAC">
        <w:t xml:space="preserve">palonosetron, an antagonist at serotonin </w:t>
      </w:r>
      <w:r w:rsidRPr="003802E6">
        <w:t>receptors</w:t>
      </w:r>
      <w:r w:rsidR="003802E6" w:rsidRPr="003802E6">
        <w:t xml:space="preserve"> (5-HT</w:t>
      </w:r>
      <w:r w:rsidR="003802E6" w:rsidRPr="00680A60">
        <w:rPr>
          <w:vertAlign w:val="subscript"/>
        </w:rPr>
        <w:t>3</w:t>
      </w:r>
      <w:r w:rsidR="003802E6" w:rsidRPr="003802E6">
        <w:t xml:space="preserve"> R)</w:t>
      </w:r>
      <w:r w:rsidRPr="005B2EAC">
        <w:t xml:space="preserve"> and netupitant, an antagonist at </w:t>
      </w:r>
      <w:r w:rsidR="00BD6934">
        <w:t xml:space="preserve">NK1 </w:t>
      </w:r>
      <w:proofErr w:type="spellStart"/>
      <w:r w:rsidR="00BD6934">
        <w:t>R</w:t>
      </w:r>
      <w:r w:rsidRPr="005B2EAC">
        <w:t>s</w:t>
      </w:r>
      <w:proofErr w:type="spellEnd"/>
      <w:r w:rsidRPr="005B2EAC">
        <w:t>.</w:t>
      </w:r>
    </w:p>
    <w:p w:rsidR="00BE4661" w:rsidRPr="005B2EAC" w:rsidRDefault="00BE4661" w:rsidP="005B2EAC">
      <w:r w:rsidRPr="005B2EAC">
        <w:t>Primary pharmacodynamic studies with netupitant established affinity and selectivity for recombinant huma</w:t>
      </w:r>
      <w:r w:rsidR="00CD5B32" w:rsidRPr="005B2EAC">
        <w:t xml:space="preserve">n </w:t>
      </w:r>
      <w:r w:rsidR="00BD6934">
        <w:t xml:space="preserve">NK1 </w:t>
      </w:r>
      <w:proofErr w:type="spellStart"/>
      <w:r w:rsidR="00BD6934">
        <w:t>R</w:t>
      </w:r>
      <w:r w:rsidR="00CD5B32" w:rsidRPr="005B2EAC">
        <w:t>s</w:t>
      </w:r>
      <w:proofErr w:type="spellEnd"/>
      <w:r w:rsidR="00CD5B32" w:rsidRPr="005B2EAC">
        <w:t xml:space="preserve"> with </w:t>
      </w:r>
      <w:r w:rsidR="00E96281" w:rsidRPr="005B2EAC">
        <w:t>the isoelectric point (</w:t>
      </w:r>
      <w:proofErr w:type="spellStart"/>
      <w:r w:rsidR="00CD5B32" w:rsidRPr="005B2EAC">
        <w:t>pKi</w:t>
      </w:r>
      <w:proofErr w:type="spellEnd"/>
      <w:r w:rsidR="00E96281" w:rsidRPr="005B2EAC">
        <w:t>)</w:t>
      </w:r>
      <w:r w:rsidR="00CD5B32" w:rsidRPr="005B2EAC">
        <w:t xml:space="preserve"> 9.0. </w:t>
      </w:r>
      <w:proofErr w:type="spellStart"/>
      <w:proofErr w:type="gramStart"/>
      <w:r w:rsidRPr="005B2EAC">
        <w:t>pKi</w:t>
      </w:r>
      <w:proofErr w:type="spellEnd"/>
      <w:proofErr w:type="gramEnd"/>
      <w:r w:rsidRPr="005B2EAC">
        <w:t xml:space="preserve"> values for other NK receptors were human NK2 5.8, human NK3 7.49, rodent NK1 8.1, canine NK1 8.6, and guinea-pig NK3 5.8. </w:t>
      </w:r>
      <w:proofErr w:type="spellStart"/>
      <w:proofErr w:type="gramStart"/>
      <w:r w:rsidRPr="005B2EAC">
        <w:t>pKi</w:t>
      </w:r>
      <w:proofErr w:type="spellEnd"/>
      <w:proofErr w:type="gramEnd"/>
      <w:r w:rsidRPr="005B2EAC">
        <w:t xml:space="preserve"> values for major human metabolites M1, M2 and M3 at h</w:t>
      </w:r>
      <w:r w:rsidR="00BD6934">
        <w:t xml:space="preserve">NK1 </w:t>
      </w:r>
      <w:proofErr w:type="spellStart"/>
      <w:r w:rsidR="00BD6934">
        <w:t>R</w:t>
      </w:r>
      <w:r w:rsidRPr="005B2EAC">
        <w:t>s</w:t>
      </w:r>
      <w:proofErr w:type="spellEnd"/>
      <w:r w:rsidRPr="005B2EAC">
        <w:t xml:space="preserve"> were 9.0, 9.0 and 9.1 respectively, suggesting these metabolites are also active. M4, a minor metabolite in humans, also bound to h</w:t>
      </w:r>
      <w:r w:rsidR="00BD6934">
        <w:t xml:space="preserve">NK1 </w:t>
      </w:r>
      <w:proofErr w:type="spellStart"/>
      <w:r w:rsidR="00BD6934">
        <w:t>R</w:t>
      </w:r>
      <w:r w:rsidRPr="005B2EAC">
        <w:t>s</w:t>
      </w:r>
      <w:proofErr w:type="spellEnd"/>
      <w:r w:rsidRPr="005B2EAC">
        <w:t xml:space="preserve"> (</w:t>
      </w:r>
      <w:proofErr w:type="spellStart"/>
      <w:r w:rsidRPr="005B2EAC">
        <w:t>pKi</w:t>
      </w:r>
      <w:proofErr w:type="spellEnd"/>
      <w:r w:rsidRPr="005B2EAC">
        <w:t xml:space="preserve"> 8.8) and human NK3 receptors (</w:t>
      </w:r>
      <w:proofErr w:type="spellStart"/>
      <w:r w:rsidRPr="005B2EAC">
        <w:t>pKi</w:t>
      </w:r>
      <w:proofErr w:type="spellEnd"/>
      <w:r w:rsidRPr="005B2EAC">
        <w:t xml:space="preserve"> 5.57). An in vitro functional assay using</w:t>
      </w:r>
      <w:r w:rsidR="00C51742" w:rsidRPr="005B2EAC">
        <w:t xml:space="preserve"> Chinese Hamster Ovary (</w:t>
      </w:r>
      <w:r w:rsidRPr="005B2EAC">
        <w:t>CHO</w:t>
      </w:r>
      <w:r w:rsidR="00C51742" w:rsidRPr="005B2EAC">
        <w:t>)</w:t>
      </w:r>
      <w:r w:rsidRPr="005B2EAC">
        <w:t xml:space="preserve"> cells expressing hNK1 showed that netupitant behav</w:t>
      </w:r>
      <w:r w:rsidR="00CD5B32" w:rsidRPr="005B2EAC">
        <w:t>es as a competitive antagonist.</w:t>
      </w:r>
    </w:p>
    <w:p w:rsidR="00BE4661" w:rsidRPr="005B2EAC" w:rsidRDefault="00BE4661" w:rsidP="005B2EAC">
      <w:r w:rsidRPr="005B2EAC">
        <w:t xml:space="preserve">Netupitant </w:t>
      </w:r>
      <w:r w:rsidR="00C51742" w:rsidRPr="005B2EAC">
        <w:t>antagonised</w:t>
      </w:r>
      <w:r w:rsidRPr="005B2EAC">
        <w:t xml:space="preserve"> emesis in ferrets induced by various </w:t>
      </w:r>
      <w:proofErr w:type="spellStart"/>
      <w:r w:rsidRPr="005B2EAC">
        <w:t>emetogens</w:t>
      </w:r>
      <w:proofErr w:type="spellEnd"/>
      <w:r w:rsidRPr="005B2EAC">
        <w:t xml:space="preserve"> and </w:t>
      </w:r>
      <w:r w:rsidR="00C51742" w:rsidRPr="005B2EAC">
        <w:t>antagonised</w:t>
      </w:r>
      <w:r w:rsidRPr="005B2EAC">
        <w:t xml:space="preserve"> acute and delayed emesis induced</w:t>
      </w:r>
      <w:r w:rsidR="0033623E" w:rsidRPr="005B2EAC">
        <w:t xml:space="preserve"> by cisplatin for up to 72</w:t>
      </w:r>
      <w:r w:rsidR="009B02FF">
        <w:t xml:space="preserve"> hours </w:t>
      </w:r>
      <w:r w:rsidR="005E59C8" w:rsidRPr="005B2EAC">
        <w:t>(</w:t>
      </w:r>
      <w:r w:rsidR="0033623E" w:rsidRPr="005B2EAC">
        <w:t xml:space="preserve">50% effective dose </w:t>
      </w:r>
      <w:r w:rsidR="005E59C8" w:rsidRPr="005B2EAC">
        <w:t>(</w:t>
      </w:r>
      <w:r w:rsidRPr="005B2EAC">
        <w:t>ED50</w:t>
      </w:r>
      <w:r w:rsidR="005E59C8" w:rsidRPr="005B2EAC">
        <w:t xml:space="preserve">) </w:t>
      </w:r>
      <w:r w:rsidR="0033623E" w:rsidRPr="005B2EAC">
        <w:t>approximately</w:t>
      </w:r>
      <w:r w:rsidRPr="005B2EAC">
        <w:t xml:space="preserve"> 0.2 mg/kg </w:t>
      </w:r>
      <w:r w:rsidR="005E59C8" w:rsidRPr="005B2EAC">
        <w:t>orally (</w:t>
      </w:r>
      <w:r w:rsidRPr="005B2EAC">
        <w:t>PO</w:t>
      </w:r>
      <w:r w:rsidR="005E59C8" w:rsidRPr="005B2EAC">
        <w:t>)</w:t>
      </w:r>
      <w:r w:rsidRPr="005B2EAC">
        <w:t>).</w:t>
      </w:r>
      <w:r w:rsidR="005F7FE0" w:rsidRPr="005B2EAC">
        <w:t xml:space="preserve"> </w:t>
      </w:r>
      <w:r w:rsidRPr="005B2EAC">
        <w:t xml:space="preserve">Plasma levels </w:t>
      </w:r>
      <w:r w:rsidR="0033623E" w:rsidRPr="005B2EAC">
        <w:t xml:space="preserve">of netupitant which produced 90 to </w:t>
      </w:r>
      <w:r w:rsidRPr="005B2EAC">
        <w:t>95</w:t>
      </w:r>
      <w:r w:rsidR="000403F6">
        <w:t>%</w:t>
      </w:r>
      <w:r w:rsidRPr="005B2EAC">
        <w:t xml:space="preserve"> inhibition of cisp</w:t>
      </w:r>
      <w:r w:rsidR="009B02FF">
        <w:t xml:space="preserve">latin </w:t>
      </w:r>
      <w:r w:rsidR="0033623E" w:rsidRPr="005B2EAC">
        <w:t xml:space="preserve">induced emesis between 40 to </w:t>
      </w:r>
      <w:r w:rsidRPr="005B2EAC">
        <w:t>72</w:t>
      </w:r>
      <w:r w:rsidR="009B02FF">
        <w:t xml:space="preserve"> hours </w:t>
      </w:r>
      <w:r w:rsidRPr="005B2EAC">
        <w:t>p</w:t>
      </w:r>
      <w:r w:rsidR="0033623E" w:rsidRPr="005B2EAC">
        <w:t xml:space="preserve">ost dosing were in the range 40 to </w:t>
      </w:r>
      <w:r w:rsidRPr="005B2EAC">
        <w:t>60</w:t>
      </w:r>
      <w:r w:rsidR="00D613EF" w:rsidRPr="005B2EAC">
        <w:t xml:space="preserve"> </w:t>
      </w:r>
      <w:r w:rsidRPr="005B2EAC">
        <w:t xml:space="preserve">ng/mL, significantly below the anticipated clinical </w:t>
      </w:r>
      <w:r w:rsidR="00D37B27" w:rsidRPr="005B2EAC">
        <w:t>peak plasma concentration (</w:t>
      </w:r>
      <w:proofErr w:type="spellStart"/>
      <w:r w:rsidR="0018634D" w:rsidRPr="005B2EAC">
        <w:t>C</w:t>
      </w:r>
      <w:r w:rsidR="0018634D" w:rsidRPr="0018634D">
        <w:rPr>
          <w:vertAlign w:val="subscript"/>
        </w:rPr>
        <w:t>max</w:t>
      </w:r>
      <w:proofErr w:type="spellEnd"/>
      <w:r w:rsidR="00D37B27" w:rsidRPr="005B2EAC">
        <w:t>)</w:t>
      </w:r>
      <w:r w:rsidRPr="005B2EAC">
        <w:t xml:space="preserve">(567 ng/mL). </w:t>
      </w:r>
      <w:r w:rsidR="0018634D">
        <w:t>Motion induced</w:t>
      </w:r>
      <w:r w:rsidRPr="005B2EAC">
        <w:t xml:space="preserve"> emesis was blocked by netupitant in the shrew (ED50</w:t>
      </w:r>
      <w:r w:rsidR="0033623E" w:rsidRPr="005B2EAC">
        <w:t xml:space="preserve"> approximately</w:t>
      </w:r>
      <w:r w:rsidRPr="005B2EAC">
        <w:t xml:space="preserve"> 0.1 mg/kg PO). N</w:t>
      </w:r>
      <w:r w:rsidR="0018634D">
        <w:t xml:space="preserve">etupitant inhibited NK1 agonist </w:t>
      </w:r>
      <w:r w:rsidRPr="005B2EAC">
        <w:t xml:space="preserve">induced foot tapping in Mongolian gerbils (ED50 0.5 mg/kg PO, 1.5 mg/kg </w:t>
      </w:r>
      <w:r w:rsidR="0033623E" w:rsidRPr="005B2EAC">
        <w:t>intraperitoneally (</w:t>
      </w:r>
      <w:r w:rsidRPr="005B2EAC">
        <w:t>I</w:t>
      </w:r>
      <w:r w:rsidR="0018634D">
        <w:t xml:space="preserve">P). Complete inhibition of foot </w:t>
      </w:r>
      <w:r w:rsidRPr="005B2EAC">
        <w:t>tapping was achieved at a plasma concentration of 40 ng/mL in 75</w:t>
      </w:r>
      <w:r w:rsidR="000403F6">
        <w:t>%</w:t>
      </w:r>
      <w:r w:rsidRPr="005B2EAC">
        <w:t xml:space="preserve"> of gerbils, consisten</w:t>
      </w:r>
      <w:r w:rsidR="00D613EF" w:rsidRPr="005B2EAC">
        <w:t>t with the findings in ferrets.</w:t>
      </w:r>
      <w:r w:rsidRPr="005B2EAC">
        <w:t xml:space="preserve"> In the gerbil model, metabolites M1 (ED50 5.4 mg/kg IP, 2.4 mg/kg PO) and M3 (ED50 1.2 mg/kg IP) we</w:t>
      </w:r>
      <w:r w:rsidR="00D613EF" w:rsidRPr="005B2EAC">
        <w:t xml:space="preserve">re also active in this screen. </w:t>
      </w:r>
      <w:r w:rsidRPr="005B2EAC">
        <w:t xml:space="preserve">Metabolite M2 was not active by the IP route (ED50 </w:t>
      </w:r>
      <w:r w:rsidR="0018634D">
        <w:t>&gt; 1</w:t>
      </w:r>
      <w:r w:rsidRPr="005B2EAC">
        <w:t xml:space="preserve">0 mg/kg IP), but </w:t>
      </w:r>
      <w:r w:rsidRPr="005B2EAC">
        <w:lastRenderedPageBreak/>
        <w:t>resulted in 70</w:t>
      </w:r>
      <w:r w:rsidR="000403F6">
        <w:t>%</w:t>
      </w:r>
      <w:r w:rsidRPr="005B2EAC">
        <w:t xml:space="preserve"> inhibition at 10 mg/kg PO. The reason for the lower effective dose by the PO route than the IP dose for netupita</w:t>
      </w:r>
      <w:r w:rsidR="006C1D53" w:rsidRPr="005B2EAC">
        <w:t>nt and metabolites is unclear.</w:t>
      </w:r>
    </w:p>
    <w:p w:rsidR="00BE4661" w:rsidRPr="005B2EAC" w:rsidRDefault="00BE4661" w:rsidP="005B2EAC">
      <w:r w:rsidRPr="005B2EAC">
        <w:t>Netupitant combined with dexamethasone and palonosetron combined with dexamethasone were effective in preventing emesis induced by cisplatin in castrated male ferrets during the first 24</w:t>
      </w:r>
      <w:r w:rsidR="009B02FF">
        <w:t xml:space="preserve"> hours </w:t>
      </w:r>
      <w:r w:rsidR="00D613EF" w:rsidRPr="005B2EAC">
        <w:t xml:space="preserve">following cisplatin dosing. </w:t>
      </w:r>
      <w:r w:rsidRPr="005B2EAC">
        <w:t>The combination of netupitant (0.3 or 1 mg/kg) and palonosetron (0.1 mg/kg) plus dexamethasone was also effective in prevent</w:t>
      </w:r>
      <w:r w:rsidR="00D613EF" w:rsidRPr="005B2EAC">
        <w:t xml:space="preserve">ing emesis during this period. </w:t>
      </w:r>
      <w:r w:rsidRPr="005B2EAC">
        <w:t>None of the treatment regimens (either drug alone or combination) was effective in reducing retching and vomiting during the following 24</w:t>
      </w:r>
      <w:r w:rsidR="00D613EF" w:rsidRPr="005B2EAC">
        <w:t xml:space="preserve"> </w:t>
      </w:r>
      <w:r w:rsidR="005E59C8" w:rsidRPr="005B2EAC">
        <w:t xml:space="preserve">to </w:t>
      </w:r>
      <w:r w:rsidRPr="005B2EAC">
        <w:t xml:space="preserve">48 </w:t>
      </w:r>
      <w:r w:rsidR="004B70D8" w:rsidRPr="005B2EAC">
        <w:t>h</w:t>
      </w:r>
      <w:r w:rsidR="0018634D">
        <w:t>ours</w:t>
      </w:r>
      <w:r w:rsidR="00D613EF" w:rsidRPr="005B2EAC">
        <w:t xml:space="preserve">. </w:t>
      </w:r>
      <w:r w:rsidR="00F543DA">
        <w:t xml:space="preserve">Cisplatin </w:t>
      </w:r>
      <w:r w:rsidRPr="005B2EAC">
        <w:t>induced decreases in food consumption and water consumption and increases in kaolin consumption were not affected significantly by regimens of netupitant or palonosetron alone, combined together, or by aprepitant/ondansetron.</w:t>
      </w:r>
    </w:p>
    <w:p w:rsidR="00BE4661" w:rsidRPr="005B2EAC" w:rsidRDefault="00BE4661" w:rsidP="005B2EAC">
      <w:r w:rsidRPr="005B2EAC">
        <w:t xml:space="preserve">Overall, nonclinical in vitro and in vivo data support the proposed clinical indication. Netupitant in combination with palonosetron was more effective than either drug </w:t>
      </w:r>
      <w:r w:rsidR="00D613EF" w:rsidRPr="005B2EAC">
        <w:t>alone.</w:t>
      </w:r>
    </w:p>
    <w:p w:rsidR="00BE4661" w:rsidRPr="005B2EAC" w:rsidRDefault="00BE4661" w:rsidP="005B2EAC">
      <w:pPr>
        <w:pStyle w:val="Heading4"/>
      </w:pPr>
      <w:r w:rsidRPr="005B2EAC">
        <w:t>Secondary pharmacodynamics and safety pharmacology</w:t>
      </w:r>
    </w:p>
    <w:p w:rsidR="00BE4661" w:rsidRPr="005B2EAC" w:rsidRDefault="00BE4661" w:rsidP="005B2EAC">
      <w:r w:rsidRPr="005B2EAC">
        <w:t>In in vitro screening assays of receptors and ion channels, netupitant showed some interaction with histamine H2 and adenosine A3 receptors, and dopamine and 5-HT re-uptake sites (respective inhibition: 95</w:t>
      </w:r>
      <w:r w:rsidR="000403F6">
        <w:t>%</w:t>
      </w:r>
      <w:r w:rsidRPr="005B2EAC">
        <w:t>, 78</w:t>
      </w:r>
      <w:r w:rsidR="000403F6">
        <w:t>%</w:t>
      </w:r>
      <w:r w:rsidRPr="005B2EAC">
        <w:t>, 67</w:t>
      </w:r>
      <w:r w:rsidR="000403F6">
        <w:t>%</w:t>
      </w:r>
      <w:r w:rsidRPr="005B2EAC">
        <w:t xml:space="preserve"> and 53</w:t>
      </w:r>
      <w:r w:rsidR="000403F6">
        <w:t>%</w:t>
      </w:r>
      <w:r w:rsidRPr="005B2EAC">
        <w:t xml:space="preserve"> at 10</w:t>
      </w:r>
      <w:r w:rsidR="00D613EF" w:rsidRPr="005B2EAC">
        <w:t xml:space="preserve"> </w:t>
      </w:r>
      <w:r w:rsidRPr="005B2EAC">
        <w:t>µM; no binding at 0.1</w:t>
      </w:r>
      <w:r w:rsidR="00D613EF" w:rsidRPr="005B2EAC">
        <w:t> </w:t>
      </w:r>
      <w:proofErr w:type="spellStart"/>
      <w:r w:rsidRPr="005B2EAC">
        <w:t>μM</w:t>
      </w:r>
      <w:proofErr w:type="spellEnd"/>
      <w:r w:rsidRPr="005B2EAC">
        <w:t>), with only weak binding t</w:t>
      </w:r>
      <w:r w:rsidR="00D613EF" w:rsidRPr="005B2EAC">
        <w:t xml:space="preserve">o H2 at 1 </w:t>
      </w:r>
      <w:proofErr w:type="spellStart"/>
      <w:r w:rsidR="00D613EF" w:rsidRPr="005B2EAC">
        <w:t>μM</w:t>
      </w:r>
      <w:proofErr w:type="spellEnd"/>
      <w:r w:rsidR="00D613EF" w:rsidRPr="005B2EAC">
        <w:t xml:space="preserve"> (38</w:t>
      </w:r>
      <w:r w:rsidR="000403F6">
        <w:t>%</w:t>
      </w:r>
      <w:r w:rsidR="00D613EF" w:rsidRPr="005B2EAC">
        <w:t xml:space="preserve"> inhibition). </w:t>
      </w:r>
      <w:r w:rsidRPr="005B2EAC">
        <w:t>Netupitant also showed significant binding to the L-type</w:t>
      </w:r>
      <w:r w:rsidR="00B57A66" w:rsidRPr="005B2EAC">
        <w:t xml:space="preserve"> calcium (</w:t>
      </w:r>
      <w:r w:rsidRPr="005B2EAC">
        <w:t>Ca</w:t>
      </w:r>
      <w:r w:rsidRPr="0018634D">
        <w:rPr>
          <w:vertAlign w:val="superscript"/>
        </w:rPr>
        <w:t>2+</w:t>
      </w:r>
      <w:r w:rsidR="00B57A66" w:rsidRPr="005B2EAC">
        <w:t xml:space="preserve">) </w:t>
      </w:r>
      <w:r w:rsidRPr="005B2EAC">
        <w:t xml:space="preserve">channel (diltiazem) binding site (Ki 1.2 </w:t>
      </w:r>
      <w:proofErr w:type="spellStart"/>
      <w:r w:rsidRPr="005B2EAC">
        <w:t>μM</w:t>
      </w:r>
      <w:proofErr w:type="spellEnd"/>
      <w:r w:rsidRPr="005B2EAC">
        <w:t xml:space="preserve">). Binding assays with metabolites M1, M2, M3 and M4 showed inhibition of noradrenaline uptake </w:t>
      </w:r>
      <w:r w:rsidR="00B57A66" w:rsidRPr="005B2EAC">
        <w:t xml:space="preserve">50% inhibitory concentration </w:t>
      </w:r>
      <w:r w:rsidRPr="005B2EAC">
        <w:t>(</w:t>
      </w:r>
      <w:r w:rsidR="00F543DA" w:rsidRPr="005B2EAC">
        <w:t>IC</w:t>
      </w:r>
      <w:r w:rsidR="00F543DA" w:rsidRPr="00F543DA">
        <w:rPr>
          <w:vertAlign w:val="subscript"/>
        </w:rPr>
        <w:t>50</w:t>
      </w:r>
      <w:r w:rsidR="00B57A66" w:rsidRPr="005B2EAC">
        <w:t>) (</w:t>
      </w:r>
      <w:r w:rsidRPr="005B2EAC">
        <w:t xml:space="preserve">1.3 </w:t>
      </w:r>
      <w:proofErr w:type="spellStart"/>
      <w:r w:rsidRPr="005B2EAC">
        <w:t>μM</w:t>
      </w:r>
      <w:proofErr w:type="spellEnd"/>
      <w:r w:rsidRPr="005B2EAC">
        <w:t>) and dopamine uptake (</w:t>
      </w:r>
      <w:r w:rsidR="00F543DA" w:rsidRPr="005B2EAC">
        <w:t>IC</w:t>
      </w:r>
      <w:r w:rsidR="00F543DA" w:rsidRPr="00F543DA">
        <w:rPr>
          <w:vertAlign w:val="subscript"/>
        </w:rPr>
        <w:t>50</w:t>
      </w:r>
      <w:r w:rsidRPr="005B2EAC">
        <w:t xml:space="preserve"> 0.48 </w:t>
      </w:r>
      <w:proofErr w:type="spellStart"/>
      <w:r w:rsidRPr="005B2EAC">
        <w:t>μM</w:t>
      </w:r>
      <w:proofErr w:type="spellEnd"/>
      <w:r w:rsidRPr="005B2EAC">
        <w:t>) by M1, and inhibition of noradrenaline uptake (58</w:t>
      </w:r>
      <w:r w:rsidR="000403F6">
        <w:t>%</w:t>
      </w:r>
      <w:r w:rsidRPr="005B2EAC">
        <w:t>) and dopamine upt</w:t>
      </w:r>
      <w:r w:rsidR="003A1738" w:rsidRPr="005B2EAC">
        <w:t>ake (81</w:t>
      </w:r>
      <w:r w:rsidR="000403F6">
        <w:t>%</w:t>
      </w:r>
      <w:r w:rsidR="003A1738" w:rsidRPr="005B2EAC">
        <w:t xml:space="preserve">) by M3 only at 10 </w:t>
      </w:r>
      <w:proofErr w:type="spellStart"/>
      <w:r w:rsidR="003A1738" w:rsidRPr="005B2EAC">
        <w:t>μM</w:t>
      </w:r>
      <w:proofErr w:type="spellEnd"/>
      <w:r w:rsidR="003A1738" w:rsidRPr="005B2EAC">
        <w:t xml:space="preserve">. </w:t>
      </w:r>
      <w:r w:rsidRPr="005B2EAC">
        <w:t>Similar to netupitant, M1, M2 and M3 showed binding to the L-type Ca</w:t>
      </w:r>
      <w:r w:rsidR="006547E0" w:rsidRPr="0018634D">
        <w:rPr>
          <w:vertAlign w:val="superscript"/>
        </w:rPr>
        <w:t>2+</w:t>
      </w:r>
      <w:r w:rsidRPr="005B2EAC">
        <w:t xml:space="preserve"> channel (Ki 0.5, </w:t>
      </w:r>
      <w:r w:rsidR="003A1738" w:rsidRPr="005B2EAC">
        <w:t xml:space="preserve">7.9 and 1.6 </w:t>
      </w:r>
      <w:proofErr w:type="spellStart"/>
      <w:r w:rsidR="003A1738" w:rsidRPr="005B2EAC">
        <w:t>μM</w:t>
      </w:r>
      <w:proofErr w:type="spellEnd"/>
      <w:r w:rsidR="003A1738" w:rsidRPr="005B2EAC">
        <w:t xml:space="preserve">, respectively). </w:t>
      </w:r>
      <w:r w:rsidRPr="005B2EAC">
        <w:t>Binding to L-type calcium channels might play a role in the cardiac effects observed in some studies (discussed below). The effective concentrations in vitro were &gt;</w:t>
      </w:r>
      <w:r w:rsidR="003A1738" w:rsidRPr="005B2EAC">
        <w:t xml:space="preserve"> </w:t>
      </w:r>
      <w:r w:rsidRPr="005B2EAC">
        <w:t xml:space="preserve">100 fold higher than the anticipated free fraction of netupitant or metabolites at the clinical </w:t>
      </w:r>
      <w:proofErr w:type="spellStart"/>
      <w:r w:rsidR="0018634D" w:rsidRPr="005B2EAC">
        <w:t>C</w:t>
      </w:r>
      <w:r w:rsidR="0018634D" w:rsidRPr="0018634D">
        <w:rPr>
          <w:vertAlign w:val="subscript"/>
        </w:rPr>
        <w:t>max</w:t>
      </w:r>
      <w:proofErr w:type="spellEnd"/>
      <w:r w:rsidR="0018634D">
        <w:t xml:space="preserve"> (</w:t>
      </w:r>
      <w:proofErr w:type="spellStart"/>
      <w:r w:rsidR="0018634D">
        <w:t>netupitant</w:t>
      </w:r>
      <w:proofErr w:type="spellEnd"/>
      <w:r w:rsidR="0018634D">
        <w:t xml:space="preserve"> 9.8 </w:t>
      </w:r>
      <w:proofErr w:type="spellStart"/>
      <w:r w:rsidR="0018634D">
        <w:t>nM</w:t>
      </w:r>
      <w:proofErr w:type="spellEnd"/>
      <w:r w:rsidR="0018634D">
        <w:t>, M1 0.71 </w:t>
      </w:r>
      <w:proofErr w:type="spellStart"/>
      <w:r w:rsidRPr="005B2EAC">
        <w:t>nM</w:t>
      </w:r>
      <w:proofErr w:type="spellEnd"/>
      <w:r w:rsidRPr="005B2EAC">
        <w:t xml:space="preserve">, M2 8.9 </w:t>
      </w:r>
      <w:proofErr w:type="spellStart"/>
      <w:r w:rsidRPr="005B2EAC">
        <w:t>nM</w:t>
      </w:r>
      <w:proofErr w:type="spellEnd"/>
      <w:r w:rsidRPr="005B2EAC">
        <w:t xml:space="preserve"> and M3 1.16 </w:t>
      </w:r>
      <w:proofErr w:type="spellStart"/>
      <w:r w:rsidRPr="005B2EAC">
        <w:t>nM</w:t>
      </w:r>
      <w:proofErr w:type="spellEnd"/>
      <w:r w:rsidRPr="005B2EAC">
        <w:t xml:space="preserve"> based on free factions of 0.01, 0.01, 0.02 and 0.01, respectively). If the </w:t>
      </w:r>
      <w:r w:rsidR="00F543DA" w:rsidRPr="005B2EAC">
        <w:t>IC</w:t>
      </w:r>
      <w:r w:rsidR="00F543DA" w:rsidRPr="00F543DA">
        <w:rPr>
          <w:vertAlign w:val="subscript"/>
        </w:rPr>
        <w:t>50</w:t>
      </w:r>
      <w:r w:rsidRPr="005B2EAC">
        <w:t xml:space="preserve">/Ki values are compared with the combined clinical free fraction </w:t>
      </w:r>
      <w:proofErr w:type="spellStart"/>
      <w:r w:rsidR="0018634D" w:rsidRPr="005B2EAC">
        <w:t>C</w:t>
      </w:r>
      <w:r w:rsidR="0018634D" w:rsidRPr="0018634D">
        <w:rPr>
          <w:vertAlign w:val="subscript"/>
        </w:rPr>
        <w:t>max</w:t>
      </w:r>
      <w:proofErr w:type="spellEnd"/>
      <w:r w:rsidR="006547E0" w:rsidRPr="005B2EAC">
        <w:t xml:space="preserve"> (approximately </w:t>
      </w:r>
      <w:r w:rsidRPr="005B2EAC">
        <w:t xml:space="preserve">20 </w:t>
      </w:r>
      <w:proofErr w:type="spellStart"/>
      <w:r w:rsidRPr="005B2EAC">
        <w:t>nM</w:t>
      </w:r>
      <w:proofErr w:type="spellEnd"/>
      <w:r w:rsidRPr="005B2EAC">
        <w:t>) of netupitant and the 3 metabolites</w:t>
      </w:r>
      <w:r w:rsidR="003A1738" w:rsidRPr="005B2EAC">
        <w:t>, the exposure margins are low.</w:t>
      </w:r>
    </w:p>
    <w:p w:rsidR="00BE4661" w:rsidRPr="005B2EAC" w:rsidRDefault="00BE4661" w:rsidP="005B2EAC">
      <w:r w:rsidRPr="005B2EAC">
        <w:t>Specialised safety pharmacology studies covered the cardiovascular, respiratory, renal, gastrointestinal system</w:t>
      </w:r>
      <w:r w:rsidR="003A1738" w:rsidRPr="005B2EAC">
        <w:t xml:space="preserve">s and some aspects of the </w:t>
      </w:r>
      <w:r w:rsidR="006547E0" w:rsidRPr="005B2EAC">
        <w:t>central nervous system (</w:t>
      </w:r>
      <w:r w:rsidR="003A1738" w:rsidRPr="005B2EAC">
        <w:t>CNS</w:t>
      </w:r>
      <w:r w:rsidR="006547E0" w:rsidRPr="005B2EAC">
        <w:t>)</w:t>
      </w:r>
      <w:r w:rsidR="003A1738" w:rsidRPr="005B2EAC">
        <w:t xml:space="preserve">. </w:t>
      </w:r>
      <w:r w:rsidRPr="005B2EAC">
        <w:t>There was no evidence of effects on the function of respiratory (</w:t>
      </w:r>
      <w:r w:rsidR="0018634D">
        <w:t>dog, 50 mg/kg), renal (rat, 100 </w:t>
      </w:r>
      <w:r w:rsidRPr="005B2EAC">
        <w:t xml:space="preserve">mg/kg) and gastrointestinal (rat, 100 mg/kg) systems at plasma </w:t>
      </w:r>
      <w:proofErr w:type="spellStart"/>
      <w:r w:rsidR="0018634D" w:rsidRPr="005B2EAC">
        <w:t>C</w:t>
      </w:r>
      <w:r w:rsidR="0018634D" w:rsidRPr="0018634D">
        <w:rPr>
          <w:vertAlign w:val="subscript"/>
        </w:rPr>
        <w:t>max</w:t>
      </w:r>
      <w:proofErr w:type="spellEnd"/>
      <w:r w:rsidRPr="005B2EAC">
        <w:t xml:space="preserve"> of 1</w:t>
      </w:r>
      <w:r w:rsidR="0018634D">
        <w:t>,</w:t>
      </w:r>
      <w:r w:rsidRPr="005B2EAC">
        <w:t xml:space="preserve">140 (dog) and 3860 (rat) ng/mL, </w:t>
      </w:r>
      <w:r w:rsidR="003A1738" w:rsidRPr="005B2EAC">
        <w:t xml:space="preserve">compared with </w:t>
      </w:r>
      <w:r w:rsidR="006547E0" w:rsidRPr="005B2EAC">
        <w:t xml:space="preserve">compared with </w:t>
      </w:r>
      <w:r w:rsidRPr="005B2EAC">
        <w:t xml:space="preserve">the anticipated </w:t>
      </w:r>
      <w:proofErr w:type="spellStart"/>
      <w:r w:rsidR="0018634D" w:rsidRPr="005B2EAC">
        <w:t>C</w:t>
      </w:r>
      <w:r w:rsidR="0018634D" w:rsidRPr="0018634D">
        <w:rPr>
          <w:vertAlign w:val="subscript"/>
        </w:rPr>
        <w:t>max</w:t>
      </w:r>
      <w:proofErr w:type="spellEnd"/>
      <w:r w:rsidR="003A1738" w:rsidRPr="005B2EAC">
        <w:t xml:space="preserve"> of 567 ng/mL in patients.</w:t>
      </w:r>
    </w:p>
    <w:p w:rsidR="00BE4661" w:rsidRPr="005B2EAC" w:rsidRDefault="00BE4661" w:rsidP="005B2EAC">
      <w:r w:rsidRPr="005B2EAC">
        <w:t>Extensive in vitro cardiovascular safety studies were conducted with netupitant a</w:t>
      </w:r>
      <w:r w:rsidR="003A1738" w:rsidRPr="005B2EAC">
        <w:t xml:space="preserve">nd metabolites M1, M2, and M3. </w:t>
      </w:r>
      <w:r w:rsidRPr="005B2EAC">
        <w:t xml:space="preserve">In isolated dog myocytes, </w:t>
      </w:r>
      <w:proofErr w:type="spellStart"/>
      <w:r w:rsidRPr="005B2EAC">
        <w:t>netupitant</w:t>
      </w:r>
      <w:proofErr w:type="spellEnd"/>
      <w:r w:rsidRPr="005B2EAC">
        <w:t xml:space="preserve">, M1 and M3 (not M2) caused detectable inhibition of the rapid component of delayed rectifier potassium </w:t>
      </w:r>
      <w:r w:rsidR="006A0D8A" w:rsidRPr="005B2EAC">
        <w:t>(K</w:t>
      </w:r>
      <w:r w:rsidR="006A0D8A" w:rsidRPr="0018634D">
        <w:rPr>
          <w:vertAlign w:val="superscript"/>
        </w:rPr>
        <w:t>+</w:t>
      </w:r>
      <w:r w:rsidR="006A0D8A" w:rsidRPr="005B2EAC">
        <w:t xml:space="preserve">) </w:t>
      </w:r>
      <w:r w:rsidRPr="005B2EAC">
        <w:t xml:space="preserve">current (which is conducted by </w:t>
      </w:r>
      <w:r w:rsidR="006A0D8A" w:rsidRPr="005B2EAC">
        <w:t xml:space="preserve">the </w:t>
      </w:r>
      <w:r w:rsidR="00F543DA">
        <w:t>human Ether-à-go-go Related Gene (</w:t>
      </w:r>
      <w:proofErr w:type="spellStart"/>
      <w:r w:rsidRPr="005B2EAC">
        <w:t>hERG</w:t>
      </w:r>
      <w:proofErr w:type="spellEnd"/>
      <w:r w:rsidR="00F543DA">
        <w:t>)</w:t>
      </w:r>
      <w:r w:rsidRPr="005B2EAC">
        <w:t xml:space="preserve"> channel) at concentr</w:t>
      </w:r>
      <w:r w:rsidR="003A1738" w:rsidRPr="005B2EAC">
        <w:t xml:space="preserve">ations </w:t>
      </w:r>
      <w:r w:rsidR="0018634D">
        <w:t>≥ 3</w:t>
      </w:r>
      <w:r w:rsidR="003A1738" w:rsidRPr="005B2EAC">
        <w:t xml:space="preserve"> µM (14</w:t>
      </w:r>
      <w:r w:rsidR="0018634D">
        <w:t xml:space="preserve"> to </w:t>
      </w:r>
      <w:r w:rsidR="003A1738" w:rsidRPr="005B2EAC">
        <w:t>25</w:t>
      </w:r>
      <w:r w:rsidR="000403F6">
        <w:t>%</w:t>
      </w:r>
      <w:r w:rsidR="003A1738" w:rsidRPr="005B2EAC">
        <w:t xml:space="preserve"> at 3 </w:t>
      </w:r>
      <w:proofErr w:type="spellStart"/>
      <w:r w:rsidR="003A1738" w:rsidRPr="005B2EAC">
        <w:t>μM</w:t>
      </w:r>
      <w:proofErr w:type="spellEnd"/>
      <w:r w:rsidR="003A1738" w:rsidRPr="005B2EAC">
        <w:t xml:space="preserve">). </w:t>
      </w:r>
      <w:r w:rsidR="0018634D">
        <w:t xml:space="preserve">A single non </w:t>
      </w:r>
      <w:r w:rsidRPr="005B2EAC">
        <w:t xml:space="preserve">GLP study examined the effects of netupitant and the metabolites on inhibition of </w:t>
      </w:r>
      <w:proofErr w:type="spellStart"/>
      <w:r w:rsidRPr="005B2EAC">
        <w:t>hERG</w:t>
      </w:r>
      <w:proofErr w:type="spellEnd"/>
      <w:r w:rsidRPr="005B2EAC">
        <w:t xml:space="preserve"> K</w:t>
      </w:r>
      <w:r w:rsidRPr="0018634D">
        <w:rPr>
          <w:vertAlign w:val="superscript"/>
        </w:rPr>
        <w:t>+</w:t>
      </w:r>
      <w:r w:rsidRPr="005B2EAC">
        <w:t xml:space="preserve"> cu</w:t>
      </w:r>
      <w:r w:rsidR="003A1738" w:rsidRPr="005B2EAC">
        <w:t xml:space="preserve">rrents expressed in CHO cells. </w:t>
      </w:r>
      <w:r w:rsidR="00F543DA" w:rsidRPr="005B2EAC">
        <w:t>IC</w:t>
      </w:r>
      <w:r w:rsidR="00F543DA" w:rsidRPr="00F543DA">
        <w:rPr>
          <w:vertAlign w:val="subscript"/>
        </w:rPr>
        <w:t>50</w:t>
      </w:r>
      <w:r w:rsidRPr="005B2EAC">
        <w:t xml:space="preserve"> or Ki values (µM) for this inhibition were netupitant 0.76, M1 0.84, M2 43 and M3 4.4, which are &gt;</w:t>
      </w:r>
      <w:r w:rsidR="003A1738" w:rsidRPr="005B2EAC">
        <w:t xml:space="preserve"> </w:t>
      </w:r>
      <w:r w:rsidRPr="005B2EAC">
        <w:t xml:space="preserve">50 fold higher than the clinical free fraction </w:t>
      </w:r>
      <w:proofErr w:type="spellStart"/>
      <w:r w:rsidR="0018634D" w:rsidRPr="005B2EAC">
        <w:t>C</w:t>
      </w:r>
      <w:r w:rsidR="0018634D" w:rsidRPr="0018634D">
        <w:rPr>
          <w:vertAlign w:val="subscript"/>
        </w:rPr>
        <w:t>max</w:t>
      </w:r>
      <w:proofErr w:type="spellEnd"/>
      <w:r w:rsidRPr="005B2EAC">
        <w:t xml:space="preserve"> for the parent and metabolites (see Table</w:t>
      </w:r>
      <w:r w:rsidR="00F5364C">
        <w:t xml:space="preserve"> 2</w:t>
      </w:r>
      <w:r w:rsidR="00F543DA">
        <w:t xml:space="preserve"> below).</w:t>
      </w:r>
    </w:p>
    <w:p w:rsidR="00BE4661" w:rsidRDefault="00F5364C" w:rsidP="003A1738">
      <w:pPr>
        <w:pStyle w:val="FigureTitle"/>
      </w:pPr>
      <w:proofErr w:type="gramStart"/>
      <w:r>
        <w:lastRenderedPageBreak/>
        <w:t>Table 2</w:t>
      </w:r>
      <w:r w:rsidR="003818B7">
        <w:t>.</w:t>
      </w:r>
      <w:proofErr w:type="gramEnd"/>
      <w:r w:rsidR="006A0D8A">
        <w:t xml:space="preserve"> </w:t>
      </w:r>
      <w:r w:rsidR="00BE4661">
        <w:t>Effects of netupitant and active metabolites on cardiac conduction</w:t>
      </w:r>
      <w:r w:rsidR="00BE4661" w:rsidRPr="006A0D8A">
        <w:t xml:space="preserve"> in vitro</w:t>
      </w:r>
    </w:p>
    <w:tbl>
      <w:tblPr>
        <w:tblW w:w="8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604"/>
        <w:gridCol w:w="1367"/>
        <w:gridCol w:w="1211"/>
        <w:gridCol w:w="1124"/>
        <w:gridCol w:w="1792"/>
        <w:gridCol w:w="1249"/>
      </w:tblGrid>
      <w:tr w:rsidR="00424B91" w:rsidRPr="00C35723" w:rsidTr="00680A60">
        <w:trPr>
          <w:trHeight w:val="196"/>
          <w:tblHeader/>
        </w:trPr>
        <w:tc>
          <w:tcPr>
            <w:tcW w:w="0" w:type="auto"/>
            <w:tcBorders>
              <w:top w:val="single" w:sz="8" w:space="0" w:color="000000"/>
              <w:left w:val="single" w:sz="8" w:space="0" w:color="000000"/>
              <w:bottom w:val="single" w:sz="8" w:space="0" w:color="000000"/>
              <w:right w:val="nil"/>
              <w:tl2br w:val="nil"/>
              <w:tr2bl w:val="nil"/>
            </w:tcBorders>
            <w:shd w:val="clear" w:color="auto" w:fill="006DA7"/>
            <w:hideMark/>
          </w:tcPr>
          <w:p w:rsidR="00BE4661" w:rsidRPr="00C35723" w:rsidRDefault="00BE4661" w:rsidP="004C0905">
            <w:pPr>
              <w:keepNext/>
              <w:spacing w:line="240" w:lineRule="auto"/>
              <w:rPr>
                <w:b/>
                <w:color w:val="FFFFFF"/>
                <w:lang w:eastAsia="en-AU"/>
              </w:rPr>
            </w:pPr>
            <w:r w:rsidRPr="00C35723">
              <w:rPr>
                <w:b/>
                <w:color w:val="FFFFFF"/>
                <w:lang w:eastAsia="en-AU"/>
              </w:rPr>
              <w:t>In vitro assay</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C35723" w:rsidRDefault="00BE4661" w:rsidP="004C0905">
            <w:pPr>
              <w:keepNext/>
              <w:spacing w:line="240" w:lineRule="auto"/>
              <w:rPr>
                <w:b/>
                <w:color w:val="FFFFFF"/>
                <w:lang w:eastAsia="en-AU"/>
              </w:rPr>
            </w:pPr>
            <w:r w:rsidRPr="00C35723">
              <w:rPr>
                <w:b/>
                <w:color w:val="FFFFFF"/>
                <w:lang w:eastAsia="en-AU"/>
              </w:rPr>
              <w:t>Netupitant</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C35723" w:rsidRDefault="00BE4661" w:rsidP="004C0905">
            <w:pPr>
              <w:keepNext/>
              <w:spacing w:line="240" w:lineRule="auto"/>
              <w:rPr>
                <w:b/>
                <w:color w:val="FFFFFF"/>
                <w:lang w:eastAsia="en-AU"/>
              </w:rPr>
            </w:pPr>
            <w:r w:rsidRPr="00C35723">
              <w:rPr>
                <w:b/>
                <w:color w:val="FFFFFF"/>
                <w:lang w:eastAsia="en-AU"/>
              </w:rPr>
              <w:t>M1</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C35723" w:rsidRDefault="00BE4661" w:rsidP="004C0905">
            <w:pPr>
              <w:keepNext/>
              <w:spacing w:line="240" w:lineRule="auto"/>
              <w:rPr>
                <w:b/>
                <w:color w:val="FFFFFF"/>
                <w:lang w:eastAsia="en-AU"/>
              </w:rPr>
            </w:pPr>
            <w:r w:rsidRPr="00C35723">
              <w:rPr>
                <w:b/>
                <w:color w:val="FFFFFF"/>
                <w:lang w:eastAsia="en-AU"/>
              </w:rPr>
              <w:t>M2</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C35723" w:rsidRDefault="00BE4661" w:rsidP="004C0905">
            <w:pPr>
              <w:keepNext/>
              <w:spacing w:line="240" w:lineRule="auto"/>
              <w:rPr>
                <w:b/>
                <w:color w:val="FFFFFF"/>
                <w:lang w:eastAsia="en-AU"/>
              </w:rPr>
            </w:pPr>
            <w:r w:rsidRPr="00C35723">
              <w:rPr>
                <w:b/>
                <w:color w:val="FFFFFF"/>
                <w:lang w:eastAsia="en-AU"/>
              </w:rPr>
              <w:t>M3</w:t>
            </w:r>
          </w:p>
        </w:tc>
        <w:tc>
          <w:tcPr>
            <w:tcW w:w="0" w:type="auto"/>
            <w:tcBorders>
              <w:top w:val="single" w:sz="8" w:space="0" w:color="000000"/>
              <w:left w:val="nil"/>
              <w:bottom w:val="single" w:sz="8" w:space="0" w:color="000000"/>
              <w:right w:val="single" w:sz="8" w:space="0" w:color="000000"/>
              <w:tl2br w:val="nil"/>
              <w:tr2bl w:val="nil"/>
            </w:tcBorders>
            <w:shd w:val="clear" w:color="auto" w:fill="006DA7"/>
            <w:hideMark/>
          </w:tcPr>
          <w:p w:rsidR="00BE4661" w:rsidRPr="00C35723" w:rsidRDefault="00F543DA" w:rsidP="004C0905">
            <w:pPr>
              <w:keepNext/>
              <w:spacing w:line="240" w:lineRule="auto"/>
              <w:rPr>
                <w:b/>
                <w:color w:val="FFFFFF"/>
                <w:lang w:eastAsia="en-AU"/>
              </w:rPr>
            </w:pPr>
            <w:r w:rsidRPr="00C35723">
              <w:rPr>
                <w:b/>
                <w:color w:val="FFFFFF"/>
                <w:lang w:eastAsia="en-AU"/>
              </w:rPr>
              <w:t>IC50</w:t>
            </w:r>
            <w:r w:rsidR="00BE4661" w:rsidRPr="00C35723">
              <w:rPr>
                <w:b/>
                <w:color w:val="FFFFFF"/>
                <w:lang w:eastAsia="en-AU"/>
              </w:rPr>
              <w:t>/</w:t>
            </w:r>
            <w:proofErr w:type="spellStart"/>
            <w:r w:rsidR="0018634D" w:rsidRPr="00C35723">
              <w:rPr>
                <w:b/>
                <w:color w:val="FFFFFF"/>
                <w:lang w:eastAsia="en-AU"/>
              </w:rPr>
              <w:t>C</w:t>
            </w:r>
            <w:r w:rsidR="0018634D" w:rsidRPr="00C35723">
              <w:rPr>
                <w:b/>
                <w:color w:val="FFFFFF"/>
                <w:vertAlign w:val="subscript"/>
                <w:lang w:eastAsia="en-AU"/>
              </w:rPr>
              <w:t>max</w:t>
            </w:r>
            <w:proofErr w:type="spellEnd"/>
            <w:r w:rsidR="00BE4661" w:rsidRPr="00C35723">
              <w:rPr>
                <w:b/>
                <w:color w:val="FFFFFF"/>
                <w:lang w:eastAsia="en-AU"/>
              </w:rPr>
              <w:t xml:space="preserve"> ratio†</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L-type Ca2+ channel (diltiazem) binding,</w:t>
            </w:r>
            <w:r w:rsidR="005F7FE0" w:rsidRPr="00C35723">
              <w:rPr>
                <w:color w:val="000000"/>
                <w:lang w:eastAsia="en-AU"/>
              </w:rPr>
              <w:t xml:space="preserve"> </w:t>
            </w:r>
            <w:r w:rsidRPr="00C35723">
              <w:rPr>
                <w:color w:val="000000"/>
                <w:lang w:eastAsia="en-AU"/>
              </w:rPr>
              <w:t>Ki (</w:t>
            </w:r>
            <w:proofErr w:type="spellStart"/>
            <w:r w:rsidRPr="00C35723">
              <w:rPr>
                <w:color w:val="000000"/>
                <w:lang w:eastAsia="en-AU"/>
              </w:rPr>
              <w:t>μM</w:t>
            </w:r>
            <w:proofErr w:type="spellEnd"/>
            <w:r w:rsidRPr="00C35723">
              <w:rPr>
                <w:color w:val="000000"/>
                <w:lang w:eastAsia="en-AU"/>
              </w:rPr>
              <w:t>)</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1.2</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0.5</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7.9</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1.6</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122, 699, 888, 1379</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CHO cells - </w:t>
            </w:r>
            <w:proofErr w:type="spellStart"/>
            <w:r w:rsidRPr="00C35723">
              <w:rPr>
                <w:color w:val="000000"/>
                <w:lang w:eastAsia="en-AU"/>
              </w:rPr>
              <w:t>hERG</w:t>
            </w:r>
            <w:proofErr w:type="spellEnd"/>
            <w:r w:rsidRPr="00C35723">
              <w:rPr>
                <w:color w:val="000000"/>
                <w:lang w:eastAsia="en-AU"/>
              </w:rPr>
              <w:t xml:space="preserve"> K+ currents, </w:t>
            </w:r>
            <w:r w:rsidR="00F543DA" w:rsidRPr="00C35723">
              <w:rPr>
                <w:color w:val="000000"/>
                <w:lang w:eastAsia="en-AU"/>
              </w:rPr>
              <w:t>IC50</w:t>
            </w:r>
            <w:r w:rsidRPr="00C35723">
              <w:rPr>
                <w:color w:val="000000"/>
                <w:lang w:eastAsia="en-AU"/>
              </w:rPr>
              <w:t xml:space="preserve"> (</w:t>
            </w:r>
            <w:proofErr w:type="spellStart"/>
            <w:r w:rsidRPr="00C35723">
              <w:rPr>
                <w:color w:val="000000"/>
                <w:lang w:eastAsia="en-AU"/>
              </w:rPr>
              <w:t>μM</w:t>
            </w:r>
            <w:proofErr w:type="spellEnd"/>
            <w:r w:rsidRPr="00C35723">
              <w:rPr>
                <w:color w:val="000000"/>
                <w:lang w:eastAsia="en-AU"/>
              </w:rPr>
              <w:t>)</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0.76</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0.84</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43</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4.4</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78, 1175, 4831, 3793</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Dog myocytes - rapid component of delayed rectifier potassium current</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21</w:t>
            </w:r>
            <w:r w:rsidR="000403F6" w:rsidRPr="00C35723">
              <w:rPr>
                <w:color w:val="000000"/>
                <w:lang w:eastAsia="en-AU"/>
              </w:rPr>
              <w:t>%</w:t>
            </w:r>
            <w:r w:rsidRPr="00C35723">
              <w:rPr>
                <w:color w:val="000000"/>
                <w:lang w:eastAsia="en-AU"/>
              </w:rPr>
              <w:t xml:space="preserve"> inhibition at 3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25</w:t>
            </w:r>
            <w:r w:rsidR="000403F6" w:rsidRPr="00C35723">
              <w:rPr>
                <w:color w:val="000000"/>
                <w:lang w:eastAsia="en-AU"/>
              </w:rPr>
              <w:t>%</w:t>
            </w:r>
            <w:r w:rsidRPr="00C35723">
              <w:rPr>
                <w:color w:val="000000"/>
                <w:lang w:eastAsia="en-AU"/>
              </w:rPr>
              <w:t xml:space="preserve"> inhibition at 3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No effect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14</w:t>
            </w:r>
            <w:r w:rsidR="000403F6" w:rsidRPr="00C35723">
              <w:rPr>
                <w:color w:val="000000"/>
                <w:lang w:eastAsia="en-AU"/>
              </w:rPr>
              <w:t>%</w:t>
            </w:r>
            <w:r w:rsidR="00F543DA" w:rsidRPr="00C35723">
              <w:rPr>
                <w:color w:val="000000"/>
                <w:lang w:eastAsia="en-AU"/>
              </w:rPr>
              <w:t xml:space="preserve"> inhibition at 3 </w:t>
            </w:r>
            <w:proofErr w:type="spellStart"/>
            <w:r w:rsidRPr="00C35723">
              <w:rPr>
                <w:color w:val="000000"/>
                <w:lang w:eastAsia="en-AU"/>
              </w:rPr>
              <w:t>μM</w:t>
            </w:r>
            <w:proofErr w:type="spellEnd"/>
            <w:r w:rsidRPr="00C35723">
              <w:rPr>
                <w:color w:val="000000"/>
                <w:lang w:eastAsia="en-AU"/>
              </w:rPr>
              <w:t xml:space="preserve"> and 57</w:t>
            </w:r>
            <w:r w:rsidR="000403F6" w:rsidRPr="00C35723">
              <w:rPr>
                <w:color w:val="000000"/>
                <w:lang w:eastAsia="en-AU"/>
              </w:rPr>
              <w:t>%</w:t>
            </w:r>
            <w:r w:rsidRPr="00C35723">
              <w:rPr>
                <w:color w:val="000000"/>
                <w:lang w:eastAsia="en-AU"/>
              </w:rPr>
              <w:t xml:space="preserve">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Dog Purkinje fibres – action potential duration</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Decrease at 3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Decrease at 3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Decrease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Decrease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Dog papillary muscles - action potential duration</w:t>
            </w:r>
            <w:r w:rsidR="003802E6" w:rsidRPr="00C35723">
              <w:rPr>
                <w:color w:val="000000"/>
                <w:lang w:eastAsia="en-AU"/>
              </w:rPr>
              <w:t xml:space="preserve"> (APD)</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No effect at 3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No effect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No effect at 30 </w:t>
            </w:r>
            <w:proofErr w:type="spellStart"/>
            <w:r w:rsidRPr="00C35723">
              <w:rPr>
                <w:color w:val="000000"/>
                <w:lang w:eastAsia="en-AU"/>
              </w:rPr>
              <w:t>μM</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Prolonged APD50,70,90 at &gt; 3 </w:t>
            </w:r>
            <w:proofErr w:type="spellStart"/>
            <w:r w:rsidRPr="00C35723">
              <w:rPr>
                <w:color w:val="000000"/>
                <w:lang w:eastAsia="en-AU"/>
              </w:rPr>
              <w:t>μM</w:t>
            </w:r>
            <w:proofErr w:type="spellEnd"/>
            <w:r w:rsidRPr="00C35723">
              <w:rPr>
                <w:color w:val="000000"/>
                <w:lang w:eastAsia="en-AU"/>
              </w:rPr>
              <w:t xml:space="preserve"> and APD70 at </w:t>
            </w:r>
            <w:r w:rsidR="00F543DA" w:rsidRPr="00C35723">
              <w:rPr>
                <w:color w:val="000000"/>
                <w:lang w:eastAsia="en-AU"/>
              </w:rPr>
              <w:t>≥ </w:t>
            </w:r>
            <w:r w:rsidRPr="00C35723">
              <w:rPr>
                <w:color w:val="000000"/>
                <w:lang w:eastAsia="en-AU"/>
              </w:rPr>
              <w:t xml:space="preserve">0.3 </w:t>
            </w:r>
            <w:proofErr w:type="spellStart"/>
            <w:r w:rsidRPr="00C35723">
              <w:rPr>
                <w:color w:val="000000"/>
                <w:lang w:eastAsia="en-AU"/>
              </w:rPr>
              <w:t>μM</w:t>
            </w:r>
            <w:proofErr w:type="spellEnd"/>
            <w:r w:rsidRPr="00C35723">
              <w:rPr>
                <w:color w:val="000000"/>
                <w:lang w:eastAsia="en-AU"/>
              </w:rPr>
              <w:t xml:space="preserve"> at 1 Hz by 14-18 </w:t>
            </w:r>
            <w:proofErr w:type="spellStart"/>
            <w:r w:rsidRPr="00C35723">
              <w:rPr>
                <w:color w:val="000000"/>
                <w:lang w:eastAsia="en-AU"/>
              </w:rPr>
              <w:t>ms</w:t>
            </w:r>
            <w:proofErr w:type="spellEnd"/>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w:t>
            </w:r>
          </w:p>
        </w:tc>
      </w:tr>
      <w:tr w:rsidR="00424B91" w:rsidRPr="00C35723" w:rsidTr="00680A60">
        <w:trPr>
          <w:trHeight w:val="226"/>
        </w:trPr>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 xml:space="preserve">Clinical free fraction </w:t>
            </w:r>
            <w:proofErr w:type="spellStart"/>
            <w:r w:rsidR="0018634D" w:rsidRPr="00C35723">
              <w:rPr>
                <w:color w:val="000000"/>
                <w:lang w:eastAsia="en-AU"/>
              </w:rPr>
              <w:t>C</w:t>
            </w:r>
            <w:r w:rsidR="0018634D" w:rsidRPr="00C35723">
              <w:rPr>
                <w:color w:val="000000"/>
                <w:vertAlign w:val="subscript"/>
                <w:lang w:eastAsia="en-AU"/>
              </w:rPr>
              <w:t>max</w:t>
            </w:r>
            <w:proofErr w:type="spellEnd"/>
            <w:r w:rsidRPr="00C35723">
              <w:rPr>
                <w:color w:val="000000"/>
                <w:lang w:eastAsia="en-AU"/>
              </w:rPr>
              <w:t xml:space="preserve"> (</w:t>
            </w:r>
            <w:proofErr w:type="spellStart"/>
            <w:r w:rsidRPr="00C35723">
              <w:rPr>
                <w:color w:val="000000"/>
                <w:lang w:eastAsia="en-AU"/>
              </w:rPr>
              <w:t>nM</w:t>
            </w:r>
            <w:proofErr w:type="spellEnd"/>
            <w:r w:rsidRPr="00C35723">
              <w:rPr>
                <w:color w:val="000000"/>
                <w:lang w:eastAsia="en-AU"/>
              </w:rPr>
              <w:t>)*</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9.8</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0.715</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8.9</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1.16</w:t>
            </w:r>
          </w:p>
        </w:tc>
        <w:tc>
          <w:tcPr>
            <w:tcW w:w="0" w:type="auto"/>
            <w:shd w:val="clear" w:color="auto" w:fill="auto"/>
            <w:hideMark/>
          </w:tcPr>
          <w:p w:rsidR="00BE4661" w:rsidRPr="00C35723" w:rsidRDefault="00BE4661" w:rsidP="004C0905">
            <w:pPr>
              <w:spacing w:line="240" w:lineRule="auto"/>
              <w:rPr>
                <w:color w:val="000000"/>
                <w:lang w:eastAsia="en-AU"/>
              </w:rPr>
            </w:pPr>
            <w:r w:rsidRPr="00C35723">
              <w:rPr>
                <w:color w:val="000000"/>
                <w:lang w:eastAsia="en-AU"/>
              </w:rPr>
              <w:t>-</w:t>
            </w:r>
          </w:p>
        </w:tc>
      </w:tr>
    </w:tbl>
    <w:p w:rsidR="00BE4661" w:rsidRPr="00500236" w:rsidRDefault="00BE4661" w:rsidP="00F02C1E">
      <w:pPr>
        <w:pStyle w:val="TableDescription"/>
        <w:rPr>
          <w:kern w:val="2"/>
        </w:rPr>
      </w:pPr>
      <w:r w:rsidRPr="00500236">
        <w:t xml:space="preserve">†Ratio of </w:t>
      </w:r>
      <w:r w:rsidR="00F543DA" w:rsidRPr="005B2EAC">
        <w:t>IC</w:t>
      </w:r>
      <w:r w:rsidR="00F543DA" w:rsidRPr="00F543DA">
        <w:rPr>
          <w:vertAlign w:val="subscript"/>
        </w:rPr>
        <w:t>50</w:t>
      </w:r>
      <w:r w:rsidRPr="00500236">
        <w:t xml:space="preserve"> or Ki to clinical free fraction </w:t>
      </w:r>
      <w:proofErr w:type="spellStart"/>
      <w:r w:rsidR="0018634D" w:rsidRPr="005B2EAC">
        <w:t>C</w:t>
      </w:r>
      <w:r w:rsidR="0018634D" w:rsidRPr="0018634D">
        <w:rPr>
          <w:vertAlign w:val="subscript"/>
        </w:rPr>
        <w:t>max</w:t>
      </w:r>
      <w:proofErr w:type="spellEnd"/>
      <w:r w:rsidRPr="00500236">
        <w:t xml:space="preserve"> for </w:t>
      </w:r>
      <w:proofErr w:type="spellStart"/>
      <w:r w:rsidRPr="00500236">
        <w:t>netupitant</w:t>
      </w:r>
      <w:proofErr w:type="spellEnd"/>
      <w:r w:rsidRPr="00500236">
        <w:t xml:space="preserve">, M1, M2, M3; * Based on </w:t>
      </w:r>
      <w:proofErr w:type="spellStart"/>
      <w:r w:rsidR="0018634D" w:rsidRPr="005B2EAC">
        <w:t>C</w:t>
      </w:r>
      <w:r w:rsidR="0018634D" w:rsidRPr="0018634D">
        <w:rPr>
          <w:vertAlign w:val="subscript"/>
        </w:rPr>
        <w:t>max</w:t>
      </w:r>
      <w:proofErr w:type="spellEnd"/>
      <w:r w:rsidRPr="00500236">
        <w:t xml:space="preserve"> of 980, 71.5, 445.7 and 116.0 </w:t>
      </w:r>
      <w:proofErr w:type="spellStart"/>
      <w:r w:rsidRPr="00500236">
        <w:t>nM</w:t>
      </w:r>
      <w:proofErr w:type="spellEnd"/>
      <w:r w:rsidRPr="00500236">
        <w:t xml:space="preserve"> and free fraction of 0.01, 0.01, 0.02 and 0.01 for netupitant, M1, M2 and M3, </w:t>
      </w:r>
      <w:proofErr w:type="gramStart"/>
      <w:r w:rsidRPr="00500236">
        <w:t>respectively</w:t>
      </w:r>
      <w:proofErr w:type="gramEnd"/>
      <w:r w:rsidRPr="00500236">
        <w:t>.</w:t>
      </w:r>
      <w:r w:rsidR="00BD6934">
        <w:t xml:space="preserve"> </w:t>
      </w:r>
      <w:proofErr w:type="spellStart"/>
      <w:proofErr w:type="gramStart"/>
      <w:r w:rsidR="00BD6934">
        <w:t>ms</w:t>
      </w:r>
      <w:proofErr w:type="spellEnd"/>
      <w:proofErr w:type="gramEnd"/>
      <w:r w:rsidR="00BD6934">
        <w:t xml:space="preserve"> = milliseconds</w:t>
      </w:r>
    </w:p>
    <w:p w:rsidR="00BE4661" w:rsidRPr="005B2EAC" w:rsidRDefault="00BE4661" w:rsidP="005B2EAC">
      <w:r w:rsidRPr="005B2EAC">
        <w:t>In isolated dog Purkinje fibres netupitant and M1 reduced action potential duration</w:t>
      </w:r>
      <w:r w:rsidR="00FC5751">
        <w:t>(APD)</w:t>
      </w:r>
      <w:r w:rsidRPr="005B2EAC">
        <w:t xml:space="preserve"> </w:t>
      </w:r>
      <w:r w:rsidR="00043C72" w:rsidRPr="005B2EAC">
        <w:t>at 50, 70 and 90</w:t>
      </w:r>
      <w:r w:rsidR="000403F6">
        <w:t>%</w:t>
      </w:r>
      <w:r w:rsidR="00043C72" w:rsidRPr="005B2EAC">
        <w:t xml:space="preserve"> </w:t>
      </w:r>
      <w:r w:rsidRPr="005B2EAC">
        <w:t>(APD50, APD70 and APD90) at 3 µM, and M2 and M3 had similar effects at 30</w:t>
      </w:r>
      <w:r w:rsidR="00F543DA">
        <w:t> </w:t>
      </w:r>
      <w:r w:rsidRPr="005B2EAC">
        <w:t xml:space="preserve">µM (no effects at 3 </w:t>
      </w:r>
      <w:proofErr w:type="spellStart"/>
      <w:r w:rsidRPr="005B2EAC">
        <w:t>μM</w:t>
      </w:r>
      <w:proofErr w:type="spellEnd"/>
      <w:r w:rsidRPr="005B2EAC">
        <w:t>). Netupitant at concentrations up to 3 µM (maximum concentration tested) and metabolites M1 and M2 at concentrations up to 30 µM had no effects on action potential parameters in dog papillary muscles in vitro</w:t>
      </w:r>
      <w:r w:rsidR="003A1738" w:rsidRPr="005B2EAC">
        <w:t xml:space="preserve">. </w:t>
      </w:r>
      <w:r w:rsidRPr="005B2EAC">
        <w:t>Metabolite M3 did increase the duration of action potentials (APD50,</w:t>
      </w:r>
      <w:r w:rsidR="00F543DA">
        <w:t xml:space="preserve"> </w:t>
      </w:r>
      <w:r w:rsidRPr="005B2EAC">
        <w:t>70,</w:t>
      </w:r>
      <w:r w:rsidR="00F543DA">
        <w:t xml:space="preserve"> </w:t>
      </w:r>
      <w:r w:rsidRPr="005B2EAC">
        <w:t>90) at concen</w:t>
      </w:r>
      <w:r w:rsidR="00043C72" w:rsidRPr="005B2EAC">
        <w:t xml:space="preserve">trations 0.3 to </w:t>
      </w:r>
      <w:r w:rsidR="00F543DA">
        <w:t xml:space="preserve">30 µM by 14 to </w:t>
      </w:r>
      <w:r w:rsidR="003A1738" w:rsidRPr="005B2EAC">
        <w:t xml:space="preserve">18 </w:t>
      </w:r>
      <w:proofErr w:type="spellStart"/>
      <w:r w:rsidR="003A1738" w:rsidRPr="005B2EAC">
        <w:t>ms</w:t>
      </w:r>
      <w:proofErr w:type="spellEnd"/>
      <w:r w:rsidR="003A1738" w:rsidRPr="005B2EAC">
        <w:t>.</w:t>
      </w:r>
    </w:p>
    <w:p w:rsidR="00BE4661" w:rsidRPr="005B2EAC" w:rsidRDefault="00BE4661" w:rsidP="005B2EAC">
      <w:r w:rsidRPr="005B2EAC">
        <w:t>In vivo cardiovascular safety studies were conducted in three species with netupitant, metabolites M1, M2 and M3 and palonosetron/netupitant</w:t>
      </w:r>
      <w:r w:rsidR="00581720" w:rsidRPr="005B2EAC">
        <w:t xml:space="preserve"> combinations by IV injection. </w:t>
      </w:r>
      <w:r w:rsidRPr="005B2EAC">
        <w:t xml:space="preserve">There were some small increases in </w:t>
      </w:r>
      <w:r w:rsidR="003802E6">
        <w:t>APD</w:t>
      </w:r>
      <w:r w:rsidR="003802E6" w:rsidRPr="005B2EAC">
        <w:t xml:space="preserve"> </w:t>
      </w:r>
      <w:r w:rsidRPr="005B2EAC">
        <w:t>recorded from anaesthetised g</w:t>
      </w:r>
      <w:r w:rsidR="001A10C2" w:rsidRPr="005B2EAC">
        <w:t xml:space="preserve">uinea </w:t>
      </w:r>
      <w:r w:rsidR="00940171" w:rsidRPr="005B2EAC">
        <w:t xml:space="preserve">pigs dosed with M3 at 0.3 to </w:t>
      </w:r>
      <w:r w:rsidR="00F543DA">
        <w:t xml:space="preserve">3 mg/kg (APD70 and APD90: 10 to </w:t>
      </w:r>
      <w:r w:rsidRPr="005B2EAC">
        <w:t>16</w:t>
      </w:r>
      <w:r w:rsidR="000403F6">
        <w:t>%</w:t>
      </w:r>
      <w:r w:rsidR="00940171" w:rsidRPr="005B2EAC">
        <w:t xml:space="preserve"> at 0.3 to </w:t>
      </w:r>
      <w:r w:rsidR="00F543DA">
        <w:t>3 </w:t>
      </w:r>
      <w:r w:rsidRPr="005B2EAC">
        <w:t>mg/kg); sinus period was also increased, indicating b</w:t>
      </w:r>
      <w:r w:rsidR="00581720" w:rsidRPr="005B2EAC">
        <w:t xml:space="preserve">radycardia. </w:t>
      </w:r>
      <w:r w:rsidRPr="005B2EAC">
        <w:t>The combination of palonose</w:t>
      </w:r>
      <w:r w:rsidR="00F543DA">
        <w:t xml:space="preserve">tron and netupitant caused dose </w:t>
      </w:r>
      <w:r w:rsidRPr="005B2EAC">
        <w:t xml:space="preserve">dependent, significant increases in </w:t>
      </w:r>
      <w:r w:rsidR="003802E6">
        <w:t>APD</w:t>
      </w:r>
      <w:r w:rsidR="00940171" w:rsidRPr="005B2EAC">
        <w:t xml:space="preserve"> (by 19 to </w:t>
      </w:r>
      <w:r w:rsidRPr="005B2EAC">
        <w:t>38</w:t>
      </w:r>
      <w:r w:rsidR="000403F6">
        <w:t>%</w:t>
      </w:r>
      <w:r w:rsidRPr="005B2EAC">
        <w:t xml:space="preserve"> in APD70 and APD90) at doses ≥ 0.3 palonosetron/0.03 netupitant mg/kg IV in the </w:t>
      </w:r>
      <w:proofErr w:type="spellStart"/>
      <w:r w:rsidRPr="005B2EAC">
        <w:t>unpaced</w:t>
      </w:r>
      <w:proofErr w:type="spellEnd"/>
      <w:r w:rsidRPr="005B2EAC">
        <w:t xml:space="preserve"> heart. No signific</w:t>
      </w:r>
      <w:r w:rsidR="001A10C2" w:rsidRPr="005B2EAC">
        <w:t>ant effects in the paged heart.</w:t>
      </w:r>
    </w:p>
    <w:p w:rsidR="00BE4661" w:rsidRPr="005B2EAC" w:rsidRDefault="00BE4661" w:rsidP="005B2EAC">
      <w:r w:rsidRPr="005B2EAC">
        <w:t>In rabbits netupitant (30 mg/kg) or metabolite M2 (30 mg/kg) had no effects on arteri</w:t>
      </w:r>
      <w:r w:rsidR="00764D2D" w:rsidRPr="005B2EAC">
        <w:t xml:space="preserve">al pressure or </w:t>
      </w:r>
      <w:r w:rsidR="003A581C" w:rsidRPr="005B2EAC">
        <w:t>electrocardiogram (</w:t>
      </w:r>
      <w:r w:rsidR="00764D2D" w:rsidRPr="005B2EAC">
        <w:t>ECG</w:t>
      </w:r>
      <w:r w:rsidR="003A581C" w:rsidRPr="005B2EAC">
        <w:t>)</w:t>
      </w:r>
      <w:r w:rsidR="00764D2D" w:rsidRPr="005B2EAC">
        <w:t xml:space="preserve"> parameters. </w:t>
      </w:r>
      <w:r w:rsidRPr="005B2EAC">
        <w:t>Metabolite M1 (1 mg/kg) caused increases in diastolic pressure (+2</w:t>
      </w:r>
      <w:r w:rsidR="000403F6">
        <w:t>%</w:t>
      </w:r>
      <w:r w:rsidRPr="005B2EAC">
        <w:t>), and RR (+51</w:t>
      </w:r>
      <w:r w:rsidR="000403F6">
        <w:t>%</w:t>
      </w:r>
      <w:r w:rsidRPr="005B2EAC">
        <w:t>) and QT (+16</w:t>
      </w:r>
      <w:r w:rsidR="000403F6">
        <w:t>%</w:t>
      </w:r>
      <w:r w:rsidRPr="005B2EAC">
        <w:t xml:space="preserve">) intervals (no effects </w:t>
      </w:r>
      <w:r w:rsidRPr="00CE0692">
        <w:t xml:space="preserve">on </w:t>
      </w:r>
      <w:proofErr w:type="spellStart"/>
      <w:r w:rsidR="00F543DA" w:rsidRPr="00CE0692">
        <w:t>Fridericia</w:t>
      </w:r>
      <w:proofErr w:type="spellEnd"/>
      <w:r w:rsidR="00F543DA" w:rsidRPr="00CE0692">
        <w:t>-corrected QT interval</w:t>
      </w:r>
      <w:r w:rsidRPr="00CE0692">
        <w:t xml:space="preserve"> </w:t>
      </w:r>
      <w:r w:rsidR="00CE0692">
        <w:t>(</w:t>
      </w:r>
      <w:proofErr w:type="spellStart"/>
      <w:r w:rsidRPr="00CE0692">
        <w:t>QTcF</w:t>
      </w:r>
      <w:proofErr w:type="spellEnd"/>
      <w:r w:rsidRPr="005B2EAC">
        <w:t>)</w:t>
      </w:r>
      <w:r w:rsidR="005F7FE0" w:rsidRPr="005B2EAC">
        <w:t xml:space="preserve"> </w:t>
      </w:r>
      <w:r w:rsidR="003A581C" w:rsidRPr="005B2EAC">
        <w:t xml:space="preserve">in the heart’s electrical cycle </w:t>
      </w:r>
      <w:r w:rsidRPr="005B2EAC">
        <w:t>at 15 min</w:t>
      </w:r>
      <w:r w:rsidR="00F543DA">
        <w:t xml:space="preserve">utes post </w:t>
      </w:r>
      <w:r w:rsidR="00764D2D" w:rsidRPr="005B2EAC">
        <w:t xml:space="preserve">dose. </w:t>
      </w:r>
      <w:r w:rsidRPr="005B2EAC">
        <w:t xml:space="preserve">Metabolite M3 (1 mg/kg) caused a transient </w:t>
      </w:r>
      <w:r w:rsidR="00F543DA">
        <w:t xml:space="preserve">fall in arterial pressure, long </w:t>
      </w:r>
      <w:r w:rsidRPr="005B2EAC">
        <w:t xml:space="preserve">lasting bradycardia, and prolonged QT interval (corrected </w:t>
      </w:r>
      <w:proofErr w:type="spellStart"/>
      <w:r w:rsidRPr="005B2EAC">
        <w:t>QTcF</w:t>
      </w:r>
      <w:proofErr w:type="spellEnd"/>
      <w:r w:rsidRPr="005B2EAC">
        <w:t xml:space="preserve"> not significantly increased). Two animals had premature ectopic beats, pairs, runs, ventricul</w:t>
      </w:r>
      <w:r w:rsidR="00764D2D" w:rsidRPr="005B2EAC">
        <w:t xml:space="preserve">ar </w:t>
      </w:r>
      <w:proofErr w:type="spellStart"/>
      <w:r w:rsidR="00764D2D" w:rsidRPr="005B2EAC">
        <w:t>bigeminist</w:t>
      </w:r>
      <w:proofErr w:type="spellEnd"/>
      <w:r w:rsidR="00764D2D" w:rsidRPr="005B2EAC">
        <w:t xml:space="preserve"> and tachycardia. </w:t>
      </w:r>
      <w:r w:rsidRPr="005B2EAC">
        <w:t>The combination of netupitant and palonosetron (30/3 mg/kg) caused significant hypotensi</w:t>
      </w:r>
      <w:r w:rsidR="00F543DA">
        <w:t xml:space="preserve">on (systolic arterial pressure </w:t>
      </w:r>
      <w:r w:rsidR="00F543DA">
        <w:noBreakHyphen/>
      </w:r>
      <w:r w:rsidRPr="005B2EAC">
        <w:t>23</w:t>
      </w:r>
      <w:r w:rsidR="000403F6">
        <w:t>%</w:t>
      </w:r>
      <w:r w:rsidR="00F543DA">
        <w:t xml:space="preserve">, diastolic arterial pressure </w:t>
      </w:r>
      <w:r w:rsidR="00F543DA">
        <w:noBreakHyphen/>
      </w:r>
      <w:r w:rsidRPr="005B2EAC">
        <w:t>33</w:t>
      </w:r>
      <w:r w:rsidR="000403F6">
        <w:t>%</w:t>
      </w:r>
      <w:r w:rsidRPr="005B2EAC">
        <w:t xml:space="preserve">) and </w:t>
      </w:r>
      <w:r w:rsidRPr="005B2EAC">
        <w:lastRenderedPageBreak/>
        <w:t>bradycardia (RR +31</w:t>
      </w:r>
      <w:r w:rsidR="000403F6">
        <w:t>%</w:t>
      </w:r>
      <w:r w:rsidRPr="005B2EAC">
        <w:t>) at 15 min, and significantly increased QT interval (QT +41</w:t>
      </w:r>
      <w:r w:rsidR="000403F6">
        <w:t>%</w:t>
      </w:r>
      <w:r w:rsidRPr="005B2EAC">
        <w:t>) at 10 min</w:t>
      </w:r>
      <w:r w:rsidR="00BD6934">
        <w:t>utes</w:t>
      </w:r>
      <w:r w:rsidRPr="005B2EAC">
        <w:t xml:space="preserve"> (</w:t>
      </w:r>
      <w:proofErr w:type="spellStart"/>
      <w:r w:rsidRPr="005B2EAC">
        <w:t>QTcF</w:t>
      </w:r>
      <w:proofErr w:type="spellEnd"/>
      <w:r w:rsidRPr="005B2EAC">
        <w:t xml:space="preserve"> +34</w:t>
      </w:r>
      <w:r w:rsidR="000403F6">
        <w:t>%</w:t>
      </w:r>
      <w:r w:rsidR="00764D2D" w:rsidRPr="005B2EAC">
        <w:t>, non-significant).</w:t>
      </w:r>
    </w:p>
    <w:p w:rsidR="00BE4661" w:rsidRPr="005B2EAC" w:rsidRDefault="00BE4661" w:rsidP="005B2EAC">
      <w:r w:rsidRPr="005B2EAC">
        <w:t xml:space="preserve">QT interval (corrected and uncorrected) prolongation </w:t>
      </w:r>
      <w:r w:rsidR="00F543DA">
        <w:t>was observed after 8 days at 50 </w:t>
      </w:r>
      <w:r w:rsidRPr="005B2EAC">
        <w:t>mg/kg/day in dogs (Day 14: QT +11</w:t>
      </w:r>
      <w:r w:rsidR="000403F6">
        <w:t>%</w:t>
      </w:r>
      <w:r w:rsidRPr="005B2EAC">
        <w:t xml:space="preserve">, </w:t>
      </w:r>
      <w:proofErr w:type="spellStart"/>
      <w:r w:rsidRPr="005B2EAC">
        <w:t>QTcF</w:t>
      </w:r>
      <w:proofErr w:type="spellEnd"/>
      <w:r w:rsidRPr="005B2EAC">
        <w:t xml:space="preserve"> +8</w:t>
      </w:r>
      <w:r w:rsidR="000403F6">
        <w:t>%</w:t>
      </w:r>
      <w:r w:rsidRPr="00B10A0D">
        <w:t xml:space="preserve">, </w:t>
      </w:r>
      <w:r w:rsidR="00B10A0D" w:rsidRPr="00B10A0D">
        <w:t>Van de Water corrected QT interval</w:t>
      </w:r>
      <w:r w:rsidR="00B10A0D" w:rsidRPr="005B2EAC">
        <w:t xml:space="preserve"> </w:t>
      </w:r>
      <w:r w:rsidR="00CE0692">
        <w:t>(</w:t>
      </w:r>
      <w:proofErr w:type="spellStart"/>
      <w:r w:rsidRPr="005B2EAC">
        <w:t>QTcV</w:t>
      </w:r>
      <w:proofErr w:type="spellEnd"/>
      <w:r w:rsidR="00CE0692">
        <w:t>)</w:t>
      </w:r>
      <w:r w:rsidRPr="005B2EAC">
        <w:t xml:space="preserve"> +9</w:t>
      </w:r>
      <w:r w:rsidR="000403F6">
        <w:t>%</w:t>
      </w:r>
      <w:r w:rsidRPr="005B2EAC">
        <w:t xml:space="preserve">), with plasma </w:t>
      </w:r>
      <w:proofErr w:type="spellStart"/>
      <w:r w:rsidRPr="005B2EAC">
        <w:t>netupitant</w:t>
      </w:r>
      <w:proofErr w:type="spellEnd"/>
      <w:r w:rsidRPr="005B2EAC">
        <w:t xml:space="preserve"> </w:t>
      </w:r>
      <w:proofErr w:type="spellStart"/>
      <w:r w:rsidR="0018634D" w:rsidRPr="005B2EAC">
        <w:t>C</w:t>
      </w:r>
      <w:r w:rsidR="0018634D" w:rsidRPr="0018634D">
        <w:rPr>
          <w:vertAlign w:val="subscript"/>
        </w:rPr>
        <w:t>max</w:t>
      </w:r>
      <w:proofErr w:type="spellEnd"/>
      <w:r w:rsidR="003A581C" w:rsidRPr="005B2EAC">
        <w:t xml:space="preserve"> of approximately </w:t>
      </w:r>
      <w:r w:rsidRPr="005B2EAC">
        <w:t>4</w:t>
      </w:r>
      <w:r w:rsidR="00F543DA">
        <w:t>,</w:t>
      </w:r>
      <w:r w:rsidRPr="005B2EAC">
        <w:t xml:space="preserve">000 ng/mL and M1 </w:t>
      </w:r>
      <w:proofErr w:type="spellStart"/>
      <w:r w:rsidR="0018634D" w:rsidRPr="005B2EAC">
        <w:t>C</w:t>
      </w:r>
      <w:r w:rsidR="0018634D" w:rsidRPr="0018634D">
        <w:rPr>
          <w:vertAlign w:val="subscript"/>
        </w:rPr>
        <w:t>max</w:t>
      </w:r>
      <w:proofErr w:type="spellEnd"/>
      <w:r w:rsidRPr="005B2EAC">
        <w:t xml:space="preserve"> </w:t>
      </w:r>
      <w:r w:rsidR="003A581C" w:rsidRPr="005B2EAC">
        <w:t>approximately</w:t>
      </w:r>
      <w:r w:rsidR="008D5592">
        <w:t xml:space="preserve"> </w:t>
      </w:r>
      <w:r w:rsidRPr="005B2EAC">
        <w:t>3</w:t>
      </w:r>
      <w:r w:rsidR="00F543DA">
        <w:t>,</w:t>
      </w:r>
      <w:r w:rsidRPr="005B2EAC">
        <w:t>500 ng</w:t>
      </w:r>
      <w:r w:rsidR="00764D2D" w:rsidRPr="005B2EAC">
        <w:t xml:space="preserve"> </w:t>
      </w:r>
      <w:r w:rsidRPr="005B2EAC">
        <w:t>/</w:t>
      </w:r>
      <w:r w:rsidR="00764D2D" w:rsidRPr="005B2EAC">
        <w:t xml:space="preserve"> </w:t>
      </w:r>
      <w:r w:rsidRPr="005B2EAC">
        <w:t xml:space="preserve">mL (other metabolites not measured), although in another study no effect on QT intervals was observed </w:t>
      </w:r>
      <w:r w:rsidR="00764D2D" w:rsidRPr="005B2EAC">
        <w:t xml:space="preserve">after 5 days at the same dose. </w:t>
      </w:r>
      <w:r w:rsidRPr="005B2EAC">
        <w:t>Conversely, in one single high dose study in dogs (100 mg</w:t>
      </w:r>
      <w:r w:rsidR="00764D2D" w:rsidRPr="005B2EAC">
        <w:t xml:space="preserve"> </w:t>
      </w:r>
      <w:r w:rsidRPr="005B2EAC">
        <w:t>/</w:t>
      </w:r>
      <w:r w:rsidR="00764D2D" w:rsidRPr="005B2EAC">
        <w:t xml:space="preserve"> </w:t>
      </w:r>
      <w:r w:rsidR="00F543DA">
        <w:t xml:space="preserve">kg) QT shortening (QT </w:t>
      </w:r>
      <w:r w:rsidR="00F543DA">
        <w:noBreakHyphen/>
      </w:r>
      <w:r w:rsidRPr="005B2EAC">
        <w:t>23</w:t>
      </w:r>
      <w:r w:rsidR="000403F6">
        <w:t>%</w:t>
      </w:r>
      <w:r w:rsidR="00F543DA">
        <w:t xml:space="preserve">, </w:t>
      </w:r>
      <w:proofErr w:type="spellStart"/>
      <w:r w:rsidR="00F543DA">
        <w:t>QTcV</w:t>
      </w:r>
      <w:proofErr w:type="spellEnd"/>
      <w:r w:rsidR="00F543DA">
        <w:t xml:space="preserve"> </w:t>
      </w:r>
      <w:r w:rsidR="00F543DA">
        <w:noBreakHyphen/>
      </w:r>
      <w:r w:rsidRPr="005B2EAC">
        <w:t>12</w:t>
      </w:r>
      <w:r w:rsidR="000403F6">
        <w:t>%</w:t>
      </w:r>
      <w:r w:rsidR="00F543DA">
        <w:t xml:space="preserve">, </w:t>
      </w:r>
      <w:proofErr w:type="spellStart"/>
      <w:r w:rsidR="00F543DA">
        <w:t>QTcQ</w:t>
      </w:r>
      <w:proofErr w:type="spellEnd"/>
      <w:r w:rsidR="00F543DA">
        <w:t xml:space="preserve"> </w:t>
      </w:r>
      <w:r w:rsidR="00F543DA">
        <w:noBreakHyphen/>
      </w:r>
      <w:r w:rsidRPr="005B2EAC">
        <w:t>13</w:t>
      </w:r>
      <w:r w:rsidR="000403F6">
        <w:t>%</w:t>
      </w:r>
      <w:r w:rsidRPr="005B2EAC">
        <w:t xml:space="preserve"> between 5 and 8 h; </w:t>
      </w:r>
      <w:proofErr w:type="spellStart"/>
      <w:r w:rsidRPr="005B2EAC">
        <w:t>QTcF</w:t>
      </w:r>
      <w:proofErr w:type="spellEnd"/>
      <w:r w:rsidRPr="005B2EAC">
        <w:t xml:space="preserve"> unaffected) was observed, associated with tachycardia (+</w:t>
      </w:r>
      <w:r w:rsidR="00F543DA">
        <w:t xml:space="preserve"> </w:t>
      </w:r>
      <w:r w:rsidRPr="005B2EAC">
        <w:t xml:space="preserve">36 </w:t>
      </w:r>
      <w:r w:rsidR="00A53EA0" w:rsidRPr="005B2EAC">
        <w:t>beat</w:t>
      </w:r>
      <w:r w:rsidR="003802E6">
        <w:t>s</w:t>
      </w:r>
      <w:r w:rsidR="00A53EA0" w:rsidRPr="005B2EAC">
        <w:t xml:space="preserve"> per minute (</w:t>
      </w:r>
      <w:r w:rsidRPr="005B2EAC">
        <w:t>bpm</w:t>
      </w:r>
      <w:r w:rsidR="00A53EA0" w:rsidRPr="005B2EAC">
        <w:t>)</w:t>
      </w:r>
      <w:r w:rsidRPr="005B2EAC">
        <w:t>) and hypertension (mea</w:t>
      </w:r>
      <w:r w:rsidR="0036657B" w:rsidRPr="005B2EAC">
        <w:t>n arterial pressure +</w:t>
      </w:r>
      <w:r w:rsidR="00F543DA">
        <w:t xml:space="preserve"> </w:t>
      </w:r>
      <w:r w:rsidR="0036657B" w:rsidRPr="005B2EAC">
        <w:t xml:space="preserve">14 mmHg). </w:t>
      </w:r>
      <w:r w:rsidRPr="005B2EAC">
        <w:t>QT prolongation (QT +</w:t>
      </w:r>
      <w:r w:rsidR="00F543DA">
        <w:t xml:space="preserve"> </w:t>
      </w:r>
      <w:r w:rsidRPr="005B2EAC">
        <w:t>26</w:t>
      </w:r>
      <w:r w:rsidR="000403F6">
        <w:t>%</w:t>
      </w:r>
      <w:r w:rsidRPr="005B2EAC">
        <w:t xml:space="preserve">, </w:t>
      </w:r>
      <w:proofErr w:type="spellStart"/>
      <w:r w:rsidRPr="005B2EAC">
        <w:t>QTcF</w:t>
      </w:r>
      <w:proofErr w:type="spellEnd"/>
      <w:r w:rsidRPr="005B2EAC">
        <w:t xml:space="preserve"> +</w:t>
      </w:r>
      <w:r w:rsidR="00F543DA">
        <w:t> </w:t>
      </w:r>
      <w:r w:rsidRPr="005B2EAC">
        <w:t>12</w:t>
      </w:r>
      <w:r w:rsidR="000403F6">
        <w:t>%</w:t>
      </w:r>
      <w:r w:rsidRPr="005B2EAC">
        <w:t xml:space="preserve">, </w:t>
      </w:r>
      <w:proofErr w:type="spellStart"/>
      <w:r w:rsidRPr="005B2EAC">
        <w:t>QTcV</w:t>
      </w:r>
      <w:proofErr w:type="spellEnd"/>
      <w:r w:rsidRPr="005B2EAC">
        <w:t xml:space="preserve"> +</w:t>
      </w:r>
      <w:r w:rsidR="00F543DA">
        <w:t xml:space="preserve"> </w:t>
      </w:r>
      <w:r w:rsidRPr="005B2EAC">
        <w:t>14</w:t>
      </w:r>
      <w:r w:rsidR="000403F6">
        <w:t>%</w:t>
      </w:r>
      <w:r w:rsidR="00F543DA">
        <w:t xml:space="preserve"> on D</w:t>
      </w:r>
      <w:r w:rsidRPr="005B2EAC">
        <w:t>ay 12) was also seen after 5 days at 30 mg/kg/day (</w:t>
      </w:r>
      <w:proofErr w:type="spellStart"/>
      <w:r w:rsidR="0018634D" w:rsidRPr="005B2EAC">
        <w:t>C</w:t>
      </w:r>
      <w:r w:rsidR="0018634D" w:rsidRPr="0018634D">
        <w:rPr>
          <w:vertAlign w:val="subscript"/>
        </w:rPr>
        <w:t>max</w:t>
      </w:r>
      <w:proofErr w:type="spellEnd"/>
      <w:r w:rsidRPr="005B2EAC">
        <w:t xml:space="preserve"> 4</w:t>
      </w:r>
      <w:r w:rsidR="00B10A0D">
        <w:t xml:space="preserve">,000 to </w:t>
      </w:r>
      <w:r w:rsidRPr="005B2EAC">
        <w:t>9</w:t>
      </w:r>
      <w:r w:rsidR="00C952C9">
        <w:t>,</w:t>
      </w:r>
      <w:r w:rsidRPr="005B2EAC">
        <w:t xml:space="preserve">000 ng/mL) with metabolite M1 (no effects at 5 mg/kg/day, plasma M1 </w:t>
      </w:r>
      <w:proofErr w:type="spellStart"/>
      <w:r w:rsidR="0018634D" w:rsidRPr="005B2EAC">
        <w:t>C</w:t>
      </w:r>
      <w:r w:rsidR="0018634D" w:rsidRPr="0018634D">
        <w:rPr>
          <w:vertAlign w:val="subscript"/>
        </w:rPr>
        <w:t>max</w:t>
      </w:r>
      <w:proofErr w:type="spellEnd"/>
      <w:r w:rsidR="003A581C" w:rsidRPr="005B2EAC">
        <w:t xml:space="preserve"> approximately </w:t>
      </w:r>
      <w:r w:rsidRPr="005B2EAC">
        <w:t>1500 ng/mL), associated with bradycardia (RR +43</w:t>
      </w:r>
      <w:r w:rsidR="000403F6">
        <w:t>%</w:t>
      </w:r>
      <w:r w:rsidRPr="005B2EAC">
        <w:t>). No studies with other metabolites were conducted in dogs. In repeat dose toxic</w:t>
      </w:r>
      <w:r w:rsidR="003A581C" w:rsidRPr="005B2EAC">
        <w:t xml:space="preserve">ity studies, there were small (approximately </w:t>
      </w:r>
      <w:r w:rsidRPr="005B2EAC">
        <w:t>10</w:t>
      </w:r>
      <w:r w:rsidR="000403F6">
        <w:t>%</w:t>
      </w:r>
      <w:r w:rsidR="00002D8D" w:rsidRPr="005B2EAC">
        <w:t xml:space="preserve"> or 10 to </w:t>
      </w:r>
      <w:r w:rsidRPr="005B2EAC">
        <w:t xml:space="preserve">20 </w:t>
      </w:r>
      <w:proofErr w:type="spellStart"/>
      <w:r w:rsidRPr="005B2EAC">
        <w:t>ms</w:t>
      </w:r>
      <w:proofErr w:type="spellEnd"/>
      <w:r w:rsidRPr="005B2EAC">
        <w:t xml:space="preserve">), but significant, increases in QT and </w:t>
      </w:r>
      <w:proofErr w:type="spellStart"/>
      <w:r w:rsidRPr="005B2EAC">
        <w:t>QTc</w:t>
      </w:r>
      <w:proofErr w:type="spellEnd"/>
      <w:r w:rsidRPr="005B2EAC">
        <w:t xml:space="preserve"> (</w:t>
      </w:r>
      <w:proofErr w:type="spellStart"/>
      <w:r w:rsidRPr="005B2EAC">
        <w:t>QTcF</w:t>
      </w:r>
      <w:proofErr w:type="spellEnd"/>
      <w:r w:rsidRPr="005B2EAC">
        <w:t xml:space="preserve"> and </w:t>
      </w:r>
      <w:proofErr w:type="spellStart"/>
      <w:r w:rsidRPr="005B2EAC">
        <w:t>QTcV</w:t>
      </w:r>
      <w:proofErr w:type="spellEnd"/>
      <w:r w:rsidRPr="005B2EAC">
        <w:t>) at the highest dose (10 mg/kg/day),</w:t>
      </w:r>
      <w:r w:rsidR="00002D8D" w:rsidRPr="005B2EAC">
        <w:t xml:space="preserve"> particularly in males in the 9 </w:t>
      </w:r>
      <w:r w:rsidRPr="005B2EAC">
        <w:t>mont</w:t>
      </w:r>
      <w:r w:rsidR="00002D8D" w:rsidRPr="005B2EAC">
        <w:t xml:space="preserve">h study and in females in the 3 </w:t>
      </w:r>
      <w:r w:rsidRPr="005B2EAC">
        <w:t xml:space="preserve">month combination study. Uncorrected QT prolongation was also observed after 23 days at </w:t>
      </w:r>
      <w:r w:rsidR="00B10A0D">
        <w:t>≥ 1</w:t>
      </w:r>
      <w:r w:rsidRPr="005B2EAC">
        <w:t>5 mg/kg/day, associated with bradycardia.</w:t>
      </w:r>
      <w:r w:rsidR="005F7FE0" w:rsidRPr="005B2EAC">
        <w:t xml:space="preserve"> </w:t>
      </w:r>
      <w:r w:rsidRPr="005B2EAC">
        <w:t xml:space="preserve">In a safety pharmacology study following combined doses of palonosetron and netupitant (10/10 and 10/50 mg/kg) for 7 days, there was a dose-dependent decrease in </w:t>
      </w:r>
      <w:proofErr w:type="spellStart"/>
      <w:r w:rsidRPr="005B2EAC">
        <w:t>atrio</w:t>
      </w:r>
      <w:proofErr w:type="spellEnd"/>
      <w:r w:rsidRPr="005B2EAC">
        <w:t>-ventricular conduct</w:t>
      </w:r>
      <w:r w:rsidR="00A53EA0" w:rsidRPr="005B2EAC">
        <w:t>ion and in ventricular depolaris</w:t>
      </w:r>
      <w:r w:rsidRPr="005B2EAC">
        <w:t>ation rate associated with a slight prolo</w:t>
      </w:r>
      <w:r w:rsidR="00A53EA0" w:rsidRPr="005B2EAC">
        <w:t>ngation of ventricular repolaris</w:t>
      </w:r>
      <w:r w:rsidRPr="005B2EAC">
        <w:t xml:space="preserve">ation. Plasma </w:t>
      </w:r>
      <w:proofErr w:type="spellStart"/>
      <w:r w:rsidR="0018634D" w:rsidRPr="005B2EAC">
        <w:t>C</w:t>
      </w:r>
      <w:r w:rsidR="0018634D" w:rsidRPr="0018634D">
        <w:rPr>
          <w:vertAlign w:val="subscript"/>
        </w:rPr>
        <w:t>max</w:t>
      </w:r>
      <w:proofErr w:type="spellEnd"/>
      <w:r w:rsidRPr="005B2EAC">
        <w:t xml:space="preserve"> values in the dog studies are compared with the clinical </w:t>
      </w:r>
      <w:proofErr w:type="spellStart"/>
      <w:r w:rsidR="0018634D" w:rsidRPr="005B2EAC">
        <w:t>C</w:t>
      </w:r>
      <w:r w:rsidR="0018634D" w:rsidRPr="0018634D">
        <w:rPr>
          <w:vertAlign w:val="subscript"/>
        </w:rPr>
        <w:t>max</w:t>
      </w:r>
      <w:proofErr w:type="spellEnd"/>
      <w:r w:rsidRPr="005B2EAC">
        <w:t xml:space="preserve"> in the following table.</w:t>
      </w:r>
    </w:p>
    <w:p w:rsidR="00BE4661" w:rsidRDefault="003818B7" w:rsidP="00A53EA0">
      <w:pPr>
        <w:pStyle w:val="TableTitle"/>
      </w:pPr>
      <w:proofErr w:type="gramStart"/>
      <w:r>
        <w:t xml:space="preserve">Table </w:t>
      </w:r>
      <w:r w:rsidR="00F5364C">
        <w:t>3</w:t>
      </w:r>
      <w:r>
        <w:t>.</w:t>
      </w:r>
      <w:proofErr w:type="gramEnd"/>
      <w:r w:rsidR="00A53EA0">
        <w:t xml:space="preserve"> </w:t>
      </w:r>
      <w:r w:rsidR="00BE4661">
        <w:t xml:space="preserve">Comparison of plasma </w:t>
      </w:r>
      <w:proofErr w:type="spellStart"/>
      <w:r w:rsidR="0018634D" w:rsidRPr="005B2EAC">
        <w:t>C</w:t>
      </w:r>
      <w:r w:rsidR="0018634D" w:rsidRPr="0018634D">
        <w:rPr>
          <w:vertAlign w:val="subscript"/>
        </w:rPr>
        <w:t>max</w:t>
      </w:r>
      <w:proofErr w:type="spellEnd"/>
      <w:r w:rsidR="00BE4661">
        <w:t xml:space="preserve"> in dogs with clinical </w:t>
      </w:r>
      <w:proofErr w:type="spellStart"/>
      <w:r w:rsidR="0018634D" w:rsidRPr="005B2EAC">
        <w:t>C</w:t>
      </w:r>
      <w:r w:rsidR="0018634D" w:rsidRPr="0018634D">
        <w:rPr>
          <w:vertAlign w:val="subscript"/>
        </w:rPr>
        <w:t>max</w:t>
      </w:r>
      <w:proofErr w:type="spellEnd"/>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9"/>
        <w:gridCol w:w="1701"/>
        <w:gridCol w:w="850"/>
        <w:gridCol w:w="851"/>
        <w:gridCol w:w="750"/>
        <w:gridCol w:w="1857"/>
      </w:tblGrid>
      <w:tr w:rsidR="00424B91" w:rsidRPr="00B10A0D" w:rsidTr="004C0905">
        <w:trPr>
          <w:trHeight w:val="197"/>
          <w:tblHeader/>
        </w:trPr>
        <w:tc>
          <w:tcPr>
            <w:tcW w:w="2609" w:type="dxa"/>
            <w:tcBorders>
              <w:top w:val="single" w:sz="8" w:space="0" w:color="000000"/>
              <w:left w:val="single" w:sz="8" w:space="0" w:color="000000"/>
              <w:bottom w:val="single" w:sz="8" w:space="0" w:color="000000"/>
              <w:right w:val="nil"/>
              <w:tl2br w:val="nil"/>
              <w:tr2bl w:val="nil"/>
            </w:tcBorders>
            <w:shd w:val="clear" w:color="auto" w:fill="006DA7"/>
          </w:tcPr>
          <w:p w:rsidR="00BE4661" w:rsidRPr="00F93A87" w:rsidRDefault="00BE4661" w:rsidP="004C0905">
            <w:pPr>
              <w:keepNext/>
              <w:spacing w:line="240" w:lineRule="auto"/>
              <w:rPr>
                <w:b/>
                <w:color w:val="FFFFFF"/>
                <w:lang w:eastAsia="en-AU"/>
              </w:rPr>
            </w:pPr>
          </w:p>
        </w:tc>
        <w:tc>
          <w:tcPr>
            <w:tcW w:w="1701" w:type="dxa"/>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proofErr w:type="spellStart"/>
            <w:r w:rsidRPr="00F93A87">
              <w:rPr>
                <w:b/>
                <w:color w:val="FFFFFF"/>
                <w:lang w:eastAsia="en-AU"/>
              </w:rPr>
              <w:t>Netupitant</w:t>
            </w:r>
            <w:proofErr w:type="spellEnd"/>
          </w:p>
        </w:tc>
        <w:tc>
          <w:tcPr>
            <w:tcW w:w="850" w:type="dxa"/>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M1</w:t>
            </w:r>
          </w:p>
        </w:tc>
        <w:tc>
          <w:tcPr>
            <w:tcW w:w="851" w:type="dxa"/>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M2</w:t>
            </w:r>
          </w:p>
        </w:tc>
        <w:tc>
          <w:tcPr>
            <w:tcW w:w="750" w:type="dxa"/>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M3</w:t>
            </w:r>
          </w:p>
        </w:tc>
        <w:tc>
          <w:tcPr>
            <w:tcW w:w="1857" w:type="dxa"/>
            <w:tcBorders>
              <w:top w:val="single" w:sz="8" w:space="0" w:color="000000"/>
              <w:left w:val="nil"/>
              <w:bottom w:val="single" w:sz="8" w:space="0" w:color="000000"/>
              <w:right w:val="single" w:sz="8" w:space="0" w:color="000000"/>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Animal/human ratio†</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Repeat dose 9 month study at 10 mg/kg/day</w:t>
            </w:r>
          </w:p>
        </w:tc>
        <w:tc>
          <w:tcPr>
            <w:tcW w:w="1701" w:type="dxa"/>
            <w:shd w:val="clear" w:color="auto" w:fill="auto"/>
            <w:hideMark/>
          </w:tcPr>
          <w:p w:rsidR="00BE4661" w:rsidRPr="004C0905" w:rsidRDefault="00BE4661" w:rsidP="00F93A87">
            <w:pPr>
              <w:rPr>
                <w:lang w:eastAsia="en-AU"/>
              </w:rPr>
            </w:pPr>
            <w:r w:rsidRPr="004C0905">
              <w:rPr>
                <w:lang w:eastAsia="en-AU"/>
              </w:rPr>
              <w:t>1</w:t>
            </w:r>
            <w:r w:rsidR="00B10A0D" w:rsidRPr="004C0905">
              <w:rPr>
                <w:lang w:eastAsia="en-AU"/>
              </w:rPr>
              <w:t>,</w:t>
            </w:r>
            <w:r w:rsidRPr="004C0905">
              <w:rPr>
                <w:lang w:eastAsia="en-AU"/>
              </w:rPr>
              <w:t>024</w:t>
            </w:r>
          </w:p>
        </w:tc>
        <w:tc>
          <w:tcPr>
            <w:tcW w:w="850" w:type="dxa"/>
            <w:shd w:val="clear" w:color="auto" w:fill="auto"/>
            <w:hideMark/>
          </w:tcPr>
          <w:p w:rsidR="00BE4661" w:rsidRPr="004C0905" w:rsidRDefault="00BE4661" w:rsidP="00F93A87">
            <w:pPr>
              <w:rPr>
                <w:lang w:eastAsia="en-AU"/>
              </w:rPr>
            </w:pPr>
            <w:r w:rsidRPr="004C0905">
              <w:rPr>
                <w:lang w:eastAsia="en-AU"/>
              </w:rPr>
              <w:t>1</w:t>
            </w:r>
            <w:r w:rsidR="00B10A0D" w:rsidRPr="004C0905">
              <w:rPr>
                <w:lang w:eastAsia="en-AU"/>
              </w:rPr>
              <w:t>,</w:t>
            </w:r>
            <w:r w:rsidRPr="004C0905">
              <w:rPr>
                <w:lang w:eastAsia="en-AU"/>
              </w:rPr>
              <w:t>595</w:t>
            </w:r>
          </w:p>
        </w:tc>
        <w:tc>
          <w:tcPr>
            <w:tcW w:w="851" w:type="dxa"/>
            <w:shd w:val="clear" w:color="auto" w:fill="auto"/>
            <w:hideMark/>
          </w:tcPr>
          <w:p w:rsidR="00BE4661" w:rsidRPr="004C0905" w:rsidRDefault="00BE4661" w:rsidP="00F93A87">
            <w:pPr>
              <w:rPr>
                <w:lang w:eastAsia="en-AU"/>
              </w:rPr>
            </w:pPr>
            <w:r w:rsidRPr="004C0905">
              <w:rPr>
                <w:lang w:eastAsia="en-AU"/>
              </w:rPr>
              <w:t>439</w:t>
            </w:r>
          </w:p>
        </w:tc>
        <w:tc>
          <w:tcPr>
            <w:tcW w:w="750" w:type="dxa"/>
            <w:shd w:val="clear" w:color="auto" w:fill="auto"/>
            <w:hideMark/>
          </w:tcPr>
          <w:p w:rsidR="00BE4661" w:rsidRPr="004C0905" w:rsidRDefault="00BE4661" w:rsidP="00F93A87">
            <w:pPr>
              <w:rPr>
                <w:lang w:eastAsia="en-AU"/>
              </w:rPr>
            </w:pPr>
            <w:r w:rsidRPr="004C0905">
              <w:rPr>
                <w:lang w:eastAsia="en-AU"/>
              </w:rPr>
              <w:t>97</w:t>
            </w:r>
          </w:p>
        </w:tc>
        <w:tc>
          <w:tcPr>
            <w:tcW w:w="1857" w:type="dxa"/>
            <w:shd w:val="clear" w:color="auto" w:fill="auto"/>
            <w:hideMark/>
          </w:tcPr>
          <w:p w:rsidR="00BE4661" w:rsidRPr="004C0905" w:rsidRDefault="00BE4661" w:rsidP="00F93A87">
            <w:pPr>
              <w:rPr>
                <w:lang w:eastAsia="en-AU"/>
              </w:rPr>
            </w:pPr>
            <w:r w:rsidRPr="004C0905">
              <w:rPr>
                <w:lang w:eastAsia="en-AU"/>
              </w:rPr>
              <w:t>1.8, 41, 1.7, 1.4</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Safety pharmacology 2 week</w:t>
            </w:r>
            <w:r w:rsidR="005F7FE0" w:rsidRPr="004C0905">
              <w:rPr>
                <w:lang w:eastAsia="en-AU"/>
              </w:rPr>
              <w:t xml:space="preserve"> </w:t>
            </w:r>
            <w:r w:rsidRPr="004C0905">
              <w:rPr>
                <w:lang w:eastAsia="en-AU"/>
              </w:rPr>
              <w:t xml:space="preserve">study at 50 mg/kg/day </w:t>
            </w:r>
          </w:p>
        </w:tc>
        <w:tc>
          <w:tcPr>
            <w:tcW w:w="1701" w:type="dxa"/>
            <w:shd w:val="clear" w:color="auto" w:fill="auto"/>
            <w:hideMark/>
          </w:tcPr>
          <w:p w:rsidR="00BE4661" w:rsidRPr="004C0905" w:rsidRDefault="00BE4661" w:rsidP="00F93A87">
            <w:pPr>
              <w:rPr>
                <w:lang w:eastAsia="en-AU"/>
              </w:rPr>
            </w:pPr>
            <w:r w:rsidRPr="004C0905">
              <w:rPr>
                <w:lang w:eastAsia="en-AU"/>
              </w:rPr>
              <w:t>4</w:t>
            </w:r>
            <w:r w:rsidR="00B10A0D" w:rsidRPr="004C0905">
              <w:rPr>
                <w:lang w:eastAsia="en-AU"/>
              </w:rPr>
              <w:t>,</w:t>
            </w:r>
            <w:r w:rsidRPr="004C0905">
              <w:rPr>
                <w:lang w:eastAsia="en-AU"/>
              </w:rPr>
              <w:t>240</w:t>
            </w:r>
          </w:p>
        </w:tc>
        <w:tc>
          <w:tcPr>
            <w:tcW w:w="850" w:type="dxa"/>
            <w:shd w:val="clear" w:color="auto" w:fill="auto"/>
            <w:hideMark/>
          </w:tcPr>
          <w:p w:rsidR="00BE4661" w:rsidRPr="004C0905" w:rsidRDefault="00BE4661" w:rsidP="00F93A87">
            <w:pPr>
              <w:rPr>
                <w:lang w:eastAsia="en-AU"/>
              </w:rPr>
            </w:pPr>
            <w:r w:rsidRPr="004C0905">
              <w:rPr>
                <w:lang w:eastAsia="en-AU"/>
              </w:rPr>
              <w:t>3</w:t>
            </w:r>
            <w:r w:rsidR="00B10A0D" w:rsidRPr="004C0905">
              <w:rPr>
                <w:lang w:eastAsia="en-AU"/>
              </w:rPr>
              <w:t>,</w:t>
            </w:r>
            <w:r w:rsidRPr="004C0905">
              <w:rPr>
                <w:lang w:eastAsia="en-AU"/>
              </w:rPr>
              <w:t>980</w:t>
            </w:r>
          </w:p>
        </w:tc>
        <w:tc>
          <w:tcPr>
            <w:tcW w:w="851" w:type="dxa"/>
            <w:shd w:val="clear" w:color="auto" w:fill="auto"/>
            <w:hideMark/>
          </w:tcPr>
          <w:p w:rsidR="00BE4661" w:rsidRPr="004C0905" w:rsidRDefault="00BE4661" w:rsidP="00F93A87">
            <w:pPr>
              <w:rPr>
                <w:lang w:eastAsia="en-AU"/>
              </w:rPr>
            </w:pPr>
            <w:r w:rsidRPr="004C0905">
              <w:rPr>
                <w:lang w:eastAsia="en-AU"/>
              </w:rPr>
              <w:t>ND</w:t>
            </w:r>
          </w:p>
        </w:tc>
        <w:tc>
          <w:tcPr>
            <w:tcW w:w="750" w:type="dxa"/>
            <w:shd w:val="clear" w:color="auto" w:fill="auto"/>
            <w:hideMark/>
          </w:tcPr>
          <w:p w:rsidR="00BE4661" w:rsidRPr="004C0905" w:rsidRDefault="00BE4661" w:rsidP="00F93A87">
            <w:pPr>
              <w:rPr>
                <w:lang w:eastAsia="en-AU"/>
              </w:rPr>
            </w:pPr>
            <w:r w:rsidRPr="004C0905">
              <w:rPr>
                <w:lang w:eastAsia="en-AU"/>
              </w:rPr>
              <w:t>ND</w:t>
            </w:r>
          </w:p>
        </w:tc>
        <w:tc>
          <w:tcPr>
            <w:tcW w:w="1857" w:type="dxa"/>
            <w:shd w:val="clear" w:color="auto" w:fill="auto"/>
            <w:hideMark/>
          </w:tcPr>
          <w:p w:rsidR="00BE4661" w:rsidRPr="004C0905" w:rsidRDefault="00BE4661" w:rsidP="00F93A87">
            <w:pPr>
              <w:rPr>
                <w:lang w:eastAsia="en-AU"/>
              </w:rPr>
            </w:pPr>
            <w:r w:rsidRPr="004C0905">
              <w:rPr>
                <w:lang w:eastAsia="en-AU"/>
              </w:rPr>
              <w:t>7.5, 102, -, -</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 xml:space="preserve">Safety pharmacology 2 week study with M1 30 mg/kg/day </w:t>
            </w:r>
          </w:p>
        </w:tc>
        <w:tc>
          <w:tcPr>
            <w:tcW w:w="1701" w:type="dxa"/>
            <w:shd w:val="clear" w:color="auto" w:fill="auto"/>
            <w:hideMark/>
          </w:tcPr>
          <w:p w:rsidR="00BE4661" w:rsidRPr="004C0905" w:rsidRDefault="00BE4661" w:rsidP="00F93A87">
            <w:pPr>
              <w:rPr>
                <w:lang w:eastAsia="en-AU"/>
              </w:rPr>
            </w:pPr>
            <w:r w:rsidRPr="004C0905">
              <w:rPr>
                <w:lang w:eastAsia="en-AU"/>
              </w:rPr>
              <w:t>-</w:t>
            </w:r>
          </w:p>
        </w:tc>
        <w:tc>
          <w:tcPr>
            <w:tcW w:w="850" w:type="dxa"/>
            <w:shd w:val="clear" w:color="auto" w:fill="auto"/>
            <w:hideMark/>
          </w:tcPr>
          <w:p w:rsidR="00BE4661" w:rsidRPr="004C0905" w:rsidRDefault="00BE4661" w:rsidP="00F93A87">
            <w:pPr>
              <w:rPr>
                <w:lang w:eastAsia="en-AU"/>
              </w:rPr>
            </w:pPr>
            <w:r w:rsidRPr="004C0905">
              <w:rPr>
                <w:lang w:eastAsia="en-AU"/>
              </w:rPr>
              <w:t>9</w:t>
            </w:r>
            <w:r w:rsidR="00B10A0D" w:rsidRPr="004C0905">
              <w:rPr>
                <w:lang w:eastAsia="en-AU"/>
              </w:rPr>
              <w:t>,</w:t>
            </w:r>
            <w:r w:rsidRPr="004C0905">
              <w:rPr>
                <w:lang w:eastAsia="en-AU"/>
              </w:rPr>
              <w:t>060</w:t>
            </w:r>
          </w:p>
        </w:tc>
        <w:tc>
          <w:tcPr>
            <w:tcW w:w="851" w:type="dxa"/>
            <w:shd w:val="clear" w:color="auto" w:fill="auto"/>
            <w:hideMark/>
          </w:tcPr>
          <w:p w:rsidR="00BE4661" w:rsidRPr="004C0905" w:rsidRDefault="00BE4661" w:rsidP="00F93A87">
            <w:pPr>
              <w:rPr>
                <w:lang w:eastAsia="en-AU"/>
              </w:rPr>
            </w:pPr>
            <w:r w:rsidRPr="004C0905">
              <w:rPr>
                <w:lang w:eastAsia="en-AU"/>
              </w:rPr>
              <w:t>-</w:t>
            </w:r>
          </w:p>
        </w:tc>
        <w:tc>
          <w:tcPr>
            <w:tcW w:w="750" w:type="dxa"/>
            <w:shd w:val="clear" w:color="auto" w:fill="auto"/>
            <w:hideMark/>
          </w:tcPr>
          <w:p w:rsidR="00BE4661" w:rsidRPr="004C0905" w:rsidRDefault="00BE4661" w:rsidP="00F93A87">
            <w:pPr>
              <w:rPr>
                <w:lang w:eastAsia="en-AU"/>
              </w:rPr>
            </w:pPr>
            <w:r w:rsidRPr="004C0905">
              <w:rPr>
                <w:lang w:eastAsia="en-AU"/>
              </w:rPr>
              <w:t>-</w:t>
            </w:r>
          </w:p>
        </w:tc>
        <w:tc>
          <w:tcPr>
            <w:tcW w:w="1857" w:type="dxa"/>
            <w:shd w:val="clear" w:color="auto" w:fill="auto"/>
            <w:hideMark/>
          </w:tcPr>
          <w:p w:rsidR="00BE4661" w:rsidRPr="004C0905" w:rsidRDefault="00BE4661" w:rsidP="00F93A87">
            <w:pPr>
              <w:rPr>
                <w:lang w:eastAsia="en-AU"/>
              </w:rPr>
            </w:pPr>
            <w:r w:rsidRPr="004C0905">
              <w:rPr>
                <w:lang w:eastAsia="en-AU"/>
              </w:rPr>
              <w:t>-, 232, -, -</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Safety pharmacology 2 week study with M1 5 mg/kg/day</w:t>
            </w:r>
          </w:p>
        </w:tc>
        <w:tc>
          <w:tcPr>
            <w:tcW w:w="1701" w:type="dxa"/>
            <w:shd w:val="clear" w:color="auto" w:fill="auto"/>
            <w:hideMark/>
          </w:tcPr>
          <w:p w:rsidR="00BE4661" w:rsidRPr="004C0905" w:rsidRDefault="00BE4661" w:rsidP="00F93A87">
            <w:pPr>
              <w:rPr>
                <w:lang w:eastAsia="en-AU"/>
              </w:rPr>
            </w:pPr>
            <w:r w:rsidRPr="004C0905">
              <w:rPr>
                <w:lang w:eastAsia="en-AU"/>
              </w:rPr>
              <w:t>-</w:t>
            </w:r>
          </w:p>
        </w:tc>
        <w:tc>
          <w:tcPr>
            <w:tcW w:w="850" w:type="dxa"/>
            <w:shd w:val="clear" w:color="auto" w:fill="auto"/>
            <w:hideMark/>
          </w:tcPr>
          <w:p w:rsidR="00BE4661" w:rsidRPr="004C0905" w:rsidRDefault="00BE4661" w:rsidP="00F93A87">
            <w:pPr>
              <w:rPr>
                <w:lang w:eastAsia="en-AU"/>
              </w:rPr>
            </w:pPr>
            <w:r w:rsidRPr="004C0905">
              <w:rPr>
                <w:lang w:eastAsia="en-AU"/>
              </w:rPr>
              <w:t>1</w:t>
            </w:r>
            <w:r w:rsidR="00B10A0D" w:rsidRPr="004C0905">
              <w:rPr>
                <w:lang w:eastAsia="en-AU"/>
              </w:rPr>
              <w:t>,</w:t>
            </w:r>
            <w:r w:rsidRPr="004C0905">
              <w:rPr>
                <w:lang w:eastAsia="en-AU"/>
              </w:rPr>
              <w:t>510</w:t>
            </w:r>
          </w:p>
        </w:tc>
        <w:tc>
          <w:tcPr>
            <w:tcW w:w="851" w:type="dxa"/>
            <w:shd w:val="clear" w:color="auto" w:fill="auto"/>
            <w:hideMark/>
          </w:tcPr>
          <w:p w:rsidR="00BE4661" w:rsidRPr="004C0905" w:rsidRDefault="00BE4661" w:rsidP="00F93A87">
            <w:pPr>
              <w:rPr>
                <w:lang w:eastAsia="en-AU"/>
              </w:rPr>
            </w:pPr>
            <w:r w:rsidRPr="004C0905">
              <w:rPr>
                <w:lang w:eastAsia="en-AU"/>
              </w:rPr>
              <w:t>-</w:t>
            </w:r>
          </w:p>
        </w:tc>
        <w:tc>
          <w:tcPr>
            <w:tcW w:w="750" w:type="dxa"/>
            <w:shd w:val="clear" w:color="auto" w:fill="auto"/>
            <w:hideMark/>
          </w:tcPr>
          <w:p w:rsidR="00BE4661" w:rsidRPr="004C0905" w:rsidRDefault="00BE4661" w:rsidP="00F93A87">
            <w:pPr>
              <w:rPr>
                <w:lang w:eastAsia="en-AU"/>
              </w:rPr>
            </w:pPr>
            <w:r w:rsidRPr="004C0905">
              <w:rPr>
                <w:lang w:eastAsia="en-AU"/>
              </w:rPr>
              <w:t>-</w:t>
            </w:r>
          </w:p>
        </w:tc>
        <w:tc>
          <w:tcPr>
            <w:tcW w:w="1857" w:type="dxa"/>
            <w:shd w:val="clear" w:color="auto" w:fill="auto"/>
            <w:hideMark/>
          </w:tcPr>
          <w:p w:rsidR="00BE4661" w:rsidRPr="004C0905" w:rsidRDefault="00BE4661" w:rsidP="00F93A87">
            <w:pPr>
              <w:rPr>
                <w:lang w:eastAsia="en-AU"/>
              </w:rPr>
            </w:pPr>
            <w:r w:rsidRPr="004C0905">
              <w:rPr>
                <w:lang w:eastAsia="en-AU"/>
              </w:rPr>
              <w:t>-, 39, -, -</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Repeat dose combination 3 month study at 10/10 mg/kg/day</w:t>
            </w:r>
            <w:r w:rsidR="005F7FE0" w:rsidRPr="004C0905">
              <w:rPr>
                <w:lang w:eastAsia="en-AU"/>
              </w:rPr>
              <w:t xml:space="preserve"> </w:t>
            </w:r>
          </w:p>
        </w:tc>
        <w:tc>
          <w:tcPr>
            <w:tcW w:w="1701" w:type="dxa"/>
            <w:shd w:val="clear" w:color="auto" w:fill="auto"/>
            <w:hideMark/>
          </w:tcPr>
          <w:p w:rsidR="00BE4661" w:rsidRPr="004C0905" w:rsidRDefault="00BE4661" w:rsidP="00F93A87">
            <w:pPr>
              <w:rPr>
                <w:lang w:eastAsia="en-AU"/>
              </w:rPr>
            </w:pPr>
            <w:r w:rsidRPr="004C0905">
              <w:rPr>
                <w:lang w:eastAsia="en-AU"/>
              </w:rPr>
              <w:t>839</w:t>
            </w:r>
          </w:p>
        </w:tc>
        <w:tc>
          <w:tcPr>
            <w:tcW w:w="850" w:type="dxa"/>
            <w:shd w:val="clear" w:color="auto" w:fill="auto"/>
            <w:hideMark/>
          </w:tcPr>
          <w:p w:rsidR="00BE4661" w:rsidRPr="004C0905" w:rsidRDefault="00BE4661" w:rsidP="00F93A87">
            <w:pPr>
              <w:rPr>
                <w:lang w:eastAsia="en-AU"/>
              </w:rPr>
            </w:pPr>
            <w:r w:rsidRPr="004C0905">
              <w:rPr>
                <w:lang w:eastAsia="en-AU"/>
              </w:rPr>
              <w:t>1</w:t>
            </w:r>
            <w:r w:rsidR="00B10A0D" w:rsidRPr="004C0905">
              <w:rPr>
                <w:lang w:eastAsia="en-AU"/>
              </w:rPr>
              <w:t>,</w:t>
            </w:r>
            <w:r w:rsidRPr="004C0905">
              <w:rPr>
                <w:lang w:eastAsia="en-AU"/>
              </w:rPr>
              <w:t>345</w:t>
            </w:r>
          </w:p>
        </w:tc>
        <w:tc>
          <w:tcPr>
            <w:tcW w:w="851" w:type="dxa"/>
            <w:shd w:val="clear" w:color="auto" w:fill="auto"/>
            <w:hideMark/>
          </w:tcPr>
          <w:p w:rsidR="00BE4661" w:rsidRPr="004C0905" w:rsidRDefault="00BE4661" w:rsidP="00F93A87">
            <w:pPr>
              <w:rPr>
                <w:lang w:eastAsia="en-AU"/>
              </w:rPr>
            </w:pPr>
            <w:r w:rsidRPr="004C0905">
              <w:rPr>
                <w:lang w:eastAsia="en-AU"/>
              </w:rPr>
              <w:t>407</w:t>
            </w:r>
          </w:p>
        </w:tc>
        <w:tc>
          <w:tcPr>
            <w:tcW w:w="750" w:type="dxa"/>
            <w:shd w:val="clear" w:color="auto" w:fill="auto"/>
            <w:hideMark/>
          </w:tcPr>
          <w:p w:rsidR="00BE4661" w:rsidRPr="004C0905" w:rsidRDefault="00BE4661" w:rsidP="00F93A87">
            <w:pPr>
              <w:rPr>
                <w:lang w:eastAsia="en-AU"/>
              </w:rPr>
            </w:pPr>
            <w:r w:rsidRPr="004C0905">
              <w:rPr>
                <w:lang w:eastAsia="en-AU"/>
              </w:rPr>
              <w:t>77</w:t>
            </w:r>
          </w:p>
        </w:tc>
        <w:tc>
          <w:tcPr>
            <w:tcW w:w="1857" w:type="dxa"/>
            <w:shd w:val="clear" w:color="auto" w:fill="auto"/>
            <w:hideMark/>
          </w:tcPr>
          <w:p w:rsidR="00BE4661" w:rsidRPr="004C0905" w:rsidRDefault="00BE4661" w:rsidP="00F93A87">
            <w:pPr>
              <w:rPr>
                <w:lang w:eastAsia="en-AU"/>
              </w:rPr>
            </w:pPr>
            <w:r w:rsidRPr="004C0905">
              <w:rPr>
                <w:lang w:eastAsia="en-AU"/>
              </w:rPr>
              <w:t>1.5, 34, 1.5, 1.1</w:t>
            </w:r>
          </w:p>
        </w:tc>
      </w:tr>
      <w:tr w:rsidR="00424B91" w:rsidRPr="00B10A0D" w:rsidTr="004C0905">
        <w:trPr>
          <w:trHeight w:val="227"/>
        </w:trPr>
        <w:tc>
          <w:tcPr>
            <w:tcW w:w="2609" w:type="dxa"/>
            <w:shd w:val="clear" w:color="auto" w:fill="auto"/>
            <w:hideMark/>
          </w:tcPr>
          <w:p w:rsidR="00BE4661" w:rsidRPr="004C0905" w:rsidRDefault="00BE4661" w:rsidP="00F93A87">
            <w:pPr>
              <w:rPr>
                <w:lang w:eastAsia="en-AU"/>
              </w:rPr>
            </w:pPr>
            <w:r w:rsidRPr="004C0905">
              <w:rPr>
                <w:lang w:eastAsia="en-AU"/>
              </w:rPr>
              <w:t xml:space="preserve">Clinical </w:t>
            </w:r>
            <w:proofErr w:type="spellStart"/>
            <w:r w:rsidR="0018634D" w:rsidRPr="004C0905">
              <w:rPr>
                <w:lang w:eastAsia="en-AU"/>
              </w:rPr>
              <w:t>C</w:t>
            </w:r>
            <w:r w:rsidR="0018634D" w:rsidRPr="004C0905">
              <w:rPr>
                <w:vertAlign w:val="subscript"/>
                <w:lang w:eastAsia="en-AU"/>
              </w:rPr>
              <w:t>max</w:t>
            </w:r>
            <w:proofErr w:type="spellEnd"/>
            <w:r w:rsidRPr="004C0905">
              <w:rPr>
                <w:lang w:eastAsia="en-AU"/>
              </w:rPr>
              <w:t>*</w:t>
            </w:r>
          </w:p>
        </w:tc>
        <w:tc>
          <w:tcPr>
            <w:tcW w:w="1701" w:type="dxa"/>
            <w:shd w:val="clear" w:color="auto" w:fill="auto"/>
            <w:hideMark/>
          </w:tcPr>
          <w:p w:rsidR="00BE4661" w:rsidRPr="004C0905" w:rsidRDefault="00BE4661" w:rsidP="00F93A87">
            <w:pPr>
              <w:rPr>
                <w:lang w:eastAsia="en-AU"/>
              </w:rPr>
            </w:pPr>
            <w:r w:rsidRPr="004C0905">
              <w:rPr>
                <w:lang w:eastAsia="en-AU"/>
              </w:rPr>
              <w:t>567</w:t>
            </w:r>
          </w:p>
        </w:tc>
        <w:tc>
          <w:tcPr>
            <w:tcW w:w="850" w:type="dxa"/>
            <w:shd w:val="clear" w:color="auto" w:fill="auto"/>
            <w:hideMark/>
          </w:tcPr>
          <w:p w:rsidR="00BE4661" w:rsidRPr="004C0905" w:rsidRDefault="00BE4661" w:rsidP="00F93A87">
            <w:pPr>
              <w:rPr>
                <w:lang w:eastAsia="en-AU"/>
              </w:rPr>
            </w:pPr>
            <w:r w:rsidRPr="004C0905">
              <w:rPr>
                <w:lang w:eastAsia="en-AU"/>
              </w:rPr>
              <w:t>39</w:t>
            </w:r>
          </w:p>
        </w:tc>
        <w:tc>
          <w:tcPr>
            <w:tcW w:w="851" w:type="dxa"/>
            <w:shd w:val="clear" w:color="auto" w:fill="auto"/>
            <w:hideMark/>
          </w:tcPr>
          <w:p w:rsidR="00BE4661" w:rsidRPr="004C0905" w:rsidRDefault="00BE4661" w:rsidP="00F93A87">
            <w:pPr>
              <w:rPr>
                <w:lang w:eastAsia="en-AU"/>
              </w:rPr>
            </w:pPr>
            <w:r w:rsidRPr="004C0905">
              <w:rPr>
                <w:lang w:eastAsia="en-AU"/>
              </w:rPr>
              <w:t>265</w:t>
            </w:r>
          </w:p>
        </w:tc>
        <w:tc>
          <w:tcPr>
            <w:tcW w:w="750" w:type="dxa"/>
            <w:shd w:val="clear" w:color="auto" w:fill="auto"/>
            <w:hideMark/>
          </w:tcPr>
          <w:p w:rsidR="00BE4661" w:rsidRPr="004C0905" w:rsidRDefault="00BE4661" w:rsidP="00F93A87">
            <w:pPr>
              <w:rPr>
                <w:lang w:eastAsia="en-AU"/>
              </w:rPr>
            </w:pPr>
            <w:r w:rsidRPr="004C0905">
              <w:rPr>
                <w:lang w:eastAsia="en-AU"/>
              </w:rPr>
              <w:t>69</w:t>
            </w:r>
          </w:p>
        </w:tc>
        <w:tc>
          <w:tcPr>
            <w:tcW w:w="1857" w:type="dxa"/>
            <w:shd w:val="clear" w:color="auto" w:fill="auto"/>
            <w:hideMark/>
          </w:tcPr>
          <w:p w:rsidR="00BE4661" w:rsidRPr="004C0905" w:rsidRDefault="00BE4661" w:rsidP="00F93A87">
            <w:pPr>
              <w:rPr>
                <w:lang w:eastAsia="en-AU"/>
              </w:rPr>
            </w:pPr>
            <w:r w:rsidRPr="004C0905">
              <w:rPr>
                <w:lang w:eastAsia="en-AU"/>
              </w:rPr>
              <w:t>-</w:t>
            </w:r>
          </w:p>
        </w:tc>
      </w:tr>
    </w:tbl>
    <w:p w:rsidR="00BE4661" w:rsidRPr="00002D8D" w:rsidRDefault="00BE4661" w:rsidP="00F02C1E">
      <w:pPr>
        <w:pStyle w:val="TableDescription"/>
        <w:rPr>
          <w:lang w:eastAsia="zh-CN"/>
        </w:rPr>
      </w:pPr>
      <w:r w:rsidRPr="00002D8D">
        <w:rPr>
          <w:lang w:eastAsia="zh-CN"/>
        </w:rPr>
        <w:t>* F</w:t>
      </w:r>
      <w:r w:rsidR="003149C0" w:rsidRPr="00002D8D">
        <w:rPr>
          <w:lang w:eastAsia="zh-CN"/>
        </w:rPr>
        <w:t xml:space="preserve">rom population pharmacokinetic </w:t>
      </w:r>
      <w:r w:rsidR="00F73FE3" w:rsidRPr="00002D8D">
        <w:rPr>
          <w:lang w:eastAsia="zh-CN"/>
        </w:rPr>
        <w:t>Study NETU</w:t>
      </w:r>
      <w:r w:rsidRPr="00002D8D">
        <w:rPr>
          <w:lang w:eastAsia="zh-CN"/>
        </w:rPr>
        <w:t>-10-</w:t>
      </w:r>
      <w:r w:rsidR="003149C0" w:rsidRPr="00002D8D">
        <w:rPr>
          <w:lang w:eastAsia="zh-CN"/>
        </w:rPr>
        <w:t xml:space="preserve">02 for netupitant and clinical </w:t>
      </w:r>
      <w:r w:rsidR="00F73FE3" w:rsidRPr="00002D8D">
        <w:rPr>
          <w:lang w:eastAsia="zh-CN"/>
        </w:rPr>
        <w:t>Study NETU</w:t>
      </w:r>
      <w:r w:rsidRPr="00002D8D">
        <w:rPr>
          <w:lang w:eastAsia="zh-CN"/>
        </w:rPr>
        <w:t xml:space="preserve">-10-09 for metabolites; </w:t>
      </w:r>
      <w:r w:rsidRPr="00002D8D">
        <w:rPr>
          <w:b/>
          <w:kern w:val="2"/>
          <w:vertAlign w:val="superscript"/>
        </w:rPr>
        <w:t>†</w:t>
      </w:r>
      <w:r w:rsidRPr="00002D8D">
        <w:rPr>
          <w:lang w:eastAsia="zh-CN"/>
        </w:rPr>
        <w:t xml:space="preserve"> </w:t>
      </w:r>
      <w:proofErr w:type="gramStart"/>
      <w:r w:rsidRPr="00002D8D">
        <w:rPr>
          <w:lang w:eastAsia="zh-CN"/>
        </w:rPr>
        <w:t>For</w:t>
      </w:r>
      <w:proofErr w:type="gramEnd"/>
      <w:r w:rsidRPr="00002D8D">
        <w:rPr>
          <w:lang w:eastAsia="zh-CN"/>
        </w:rPr>
        <w:t xml:space="preserve"> netupitant, M1, M2 and M3, respectively; ND, no data.</w:t>
      </w:r>
    </w:p>
    <w:p w:rsidR="00BE4661" w:rsidRPr="005B2EAC" w:rsidRDefault="00BE4661" w:rsidP="005B2EAC">
      <w:r w:rsidRPr="005B2EAC">
        <w:t>High levels of netupitant and M1 in heart tissues were detected in dogs after repeated dosing. The mean concentrations at 50 mg/kg/day for 5 days were 16</w:t>
      </w:r>
      <w:r w:rsidR="00B10A0D">
        <w:t>,</w:t>
      </w:r>
      <w:r w:rsidRPr="005B2EAC">
        <w:t xml:space="preserve">600 ng/g for </w:t>
      </w:r>
      <w:proofErr w:type="spellStart"/>
      <w:r w:rsidRPr="005B2EAC">
        <w:lastRenderedPageBreak/>
        <w:t>netupitant</w:t>
      </w:r>
      <w:proofErr w:type="spellEnd"/>
      <w:r w:rsidRPr="005B2EAC">
        <w:t>, 94</w:t>
      </w:r>
      <w:r w:rsidR="00B10A0D">
        <w:t>,</w:t>
      </w:r>
      <w:r w:rsidRPr="005B2EAC">
        <w:t>100 ng/g for M1,</w:t>
      </w:r>
      <w:r w:rsidR="005F7FE0" w:rsidRPr="005B2EAC">
        <w:t xml:space="preserve"> </w:t>
      </w:r>
      <w:r w:rsidRPr="005B2EAC">
        <w:t xml:space="preserve">below </w:t>
      </w:r>
      <w:r w:rsidR="003149C0" w:rsidRPr="005B2EAC">
        <w:t>the limit of quantification (</w:t>
      </w:r>
      <w:r w:rsidRPr="005B2EAC">
        <w:t>LOQ</w:t>
      </w:r>
      <w:r w:rsidR="003149C0" w:rsidRPr="005B2EAC">
        <w:t>)</w:t>
      </w:r>
      <w:r w:rsidRPr="005B2EAC">
        <w:t xml:space="preserve"> for M2, and 1</w:t>
      </w:r>
      <w:r w:rsidR="00B10A0D">
        <w:t>,430 </w:t>
      </w:r>
      <w:r w:rsidRPr="005B2EAC">
        <w:t>ng/g for M3, and higher levels were detected after 4 weeks (40</w:t>
      </w:r>
      <w:r w:rsidR="00B10A0D">
        <w:t>,</w:t>
      </w:r>
      <w:r w:rsidRPr="005B2EAC">
        <w:t>400, 128</w:t>
      </w:r>
      <w:r w:rsidR="00B10A0D">
        <w:t>,</w:t>
      </w:r>
      <w:r w:rsidRPr="005B2EAC">
        <w:t>000 and 5</w:t>
      </w:r>
      <w:r w:rsidR="00B10A0D">
        <w:t>,</w:t>
      </w:r>
      <w:r w:rsidRPr="005B2EAC">
        <w:t xml:space="preserve">060 ng/mL for </w:t>
      </w:r>
      <w:proofErr w:type="spellStart"/>
      <w:r w:rsidRPr="005B2EAC">
        <w:t>netupitant</w:t>
      </w:r>
      <w:proofErr w:type="spellEnd"/>
      <w:r w:rsidRPr="005B2EAC">
        <w:t>, M1 and M3, respectively).</w:t>
      </w:r>
      <w:r w:rsidR="005F7FE0" w:rsidRPr="005B2EAC">
        <w:t xml:space="preserve"> </w:t>
      </w:r>
      <w:r w:rsidRPr="005B2EAC">
        <w:t xml:space="preserve">The heart concentrations of netupitant and metabolites M1 and M3 were around 10, 20 and 8 fold higher than the plasma </w:t>
      </w:r>
      <w:proofErr w:type="spellStart"/>
      <w:r w:rsidR="0018634D" w:rsidRPr="005B2EAC">
        <w:t>C</w:t>
      </w:r>
      <w:r w:rsidR="0018634D" w:rsidRPr="0018634D">
        <w:rPr>
          <w:vertAlign w:val="subscript"/>
        </w:rPr>
        <w:t>max</w:t>
      </w:r>
      <w:proofErr w:type="spellEnd"/>
      <w:r w:rsidRPr="005B2EAC">
        <w:t>, respectively.</w:t>
      </w:r>
      <w:r w:rsidR="005F7FE0" w:rsidRPr="005B2EAC">
        <w:t xml:space="preserve"> </w:t>
      </w:r>
      <w:r w:rsidRPr="005B2EAC">
        <w:t>It appears netupitant, M1 and M3 accumulates in the heart tissue. Relatively high levels of netupitant-related materials (measured as radioactivity after dosing with radiolabelled netupitant) were also detected in rats in the tissue distribution studies (myocardium/plasma ratio 6</w:t>
      </w:r>
      <w:r w:rsidR="008E5259" w:rsidRPr="005B2EAC">
        <w:t xml:space="preserve"> </w:t>
      </w:r>
      <w:r w:rsidR="00886B33" w:rsidRPr="005B2EAC">
        <w:t>to</w:t>
      </w:r>
      <w:r w:rsidR="008E5259" w:rsidRPr="005B2EAC">
        <w:t xml:space="preserve"> </w:t>
      </w:r>
      <w:r w:rsidRPr="005B2EAC">
        <w:t>14 at most time points after a single dos</w:t>
      </w:r>
      <w:r w:rsidR="00CF5BF9" w:rsidRPr="005B2EAC">
        <w:t>e).</w:t>
      </w:r>
    </w:p>
    <w:p w:rsidR="00BE4661" w:rsidRPr="005B2EAC" w:rsidRDefault="00BE4661" w:rsidP="005B2EAC">
      <w:r w:rsidRPr="005B2EAC">
        <w:t xml:space="preserve">Histological lesion of </w:t>
      </w:r>
      <w:proofErr w:type="spellStart"/>
      <w:r w:rsidRPr="005B2EAC">
        <w:t>myodegeneration</w:t>
      </w:r>
      <w:proofErr w:type="spellEnd"/>
      <w:r w:rsidRPr="005B2EAC">
        <w:t xml:space="preserve"> was only reported </w:t>
      </w:r>
      <w:r w:rsidR="00886B33" w:rsidRPr="005B2EAC">
        <w:t>in rats at very high doses (100 </w:t>
      </w:r>
      <w:r w:rsidRPr="005B2EAC">
        <w:t xml:space="preserve">mg/kg/day for 4 weeks, netupitant </w:t>
      </w:r>
      <w:r w:rsidR="003802E6">
        <w:t xml:space="preserve">area under the concentration time curve (AUC) </w:t>
      </w:r>
      <w:r w:rsidR="00FC5751" w:rsidRPr="005B2EAC">
        <w:t>AUC</w:t>
      </w:r>
      <w:r w:rsidR="00FC5751" w:rsidRPr="00FC5751">
        <w:rPr>
          <w:vertAlign w:val="subscript"/>
        </w:rPr>
        <w:t>0-24h</w:t>
      </w:r>
      <w:r w:rsidR="00FC5751">
        <w:rPr>
          <w:vertAlign w:val="subscript"/>
        </w:rPr>
        <w:t xml:space="preserve"> </w:t>
      </w:r>
      <w:r w:rsidR="003A581C" w:rsidRPr="005B2EAC">
        <w:t xml:space="preserve">approximately </w:t>
      </w:r>
      <w:r w:rsidRPr="005B2EAC">
        <w:t>300</w:t>
      </w:r>
      <w:r w:rsidR="00FC5751">
        <w:t xml:space="preserve"> times</w:t>
      </w:r>
      <w:r w:rsidRPr="005B2EAC">
        <w:t xml:space="preserve"> clinical AUC</w:t>
      </w:r>
      <w:r w:rsidRPr="00FC5751">
        <w:rPr>
          <w:vertAlign w:val="subscript"/>
        </w:rPr>
        <w:t>0-∞</w:t>
      </w:r>
      <w:r w:rsidRPr="005B2EAC">
        <w:t>. No myocar</w:t>
      </w:r>
      <w:r w:rsidR="00CF5BF9" w:rsidRPr="005B2EAC">
        <w:t>dial lesions were seen in dogs.</w:t>
      </w:r>
    </w:p>
    <w:p w:rsidR="00BE4661" w:rsidRPr="005B2EAC" w:rsidRDefault="00BE4661" w:rsidP="005B2EAC">
      <w:r w:rsidRPr="005B2EAC">
        <w:t xml:space="preserve">The </w:t>
      </w:r>
      <w:r w:rsidR="00791AE3" w:rsidRPr="005B2EAC">
        <w:t>sponsor</w:t>
      </w:r>
      <w:r w:rsidRPr="005B2EAC">
        <w:t xml:space="preserve"> suggested that the cardiac effects were mainly attributable to M1 because of high M1 levels detected in dog plasma and heart tissues and similar cardiovascular findings in dogs dosed with M1 or netupitant. However, studies with M2 and M3 also indicated that these metabolites in addition to netupitant and M1 may contribute to</w:t>
      </w:r>
      <w:r w:rsidR="00F8351B" w:rsidRPr="005B2EAC">
        <w:t xml:space="preserve"> the cardiovascular effects, for example, </w:t>
      </w:r>
      <w:r w:rsidRPr="005B2EAC">
        <w:t xml:space="preserve">M3 caused </w:t>
      </w:r>
      <w:r w:rsidRPr="00FC5751">
        <w:t>APD</w:t>
      </w:r>
      <w:r w:rsidRPr="005B2EAC">
        <w:t xml:space="preserve"> prolongation in dog papillary muscles while M1, M2 and netupitant had no effects. Based on L-type Ca</w:t>
      </w:r>
      <w:r w:rsidR="00BF11AF" w:rsidRPr="00FC5751">
        <w:rPr>
          <w:vertAlign w:val="superscript"/>
        </w:rPr>
        <w:t>2+</w:t>
      </w:r>
      <w:r w:rsidRPr="005B2EAC">
        <w:t xml:space="preserve"> channel binding and </w:t>
      </w:r>
      <w:proofErr w:type="spellStart"/>
      <w:r w:rsidRPr="005B2EAC">
        <w:t>hERG</w:t>
      </w:r>
      <w:proofErr w:type="spellEnd"/>
      <w:r w:rsidRPr="005B2EAC">
        <w:t xml:space="preserve"> inhibition, M2 is the least potent while netupitant and M1 are most potent i</w:t>
      </w:r>
      <w:r w:rsidR="00CF5BF9" w:rsidRPr="005B2EAC">
        <w:t>n affecting cardiac conduction.</w:t>
      </w:r>
    </w:p>
    <w:p w:rsidR="00BE4661" w:rsidRPr="005B2EAC" w:rsidRDefault="00BE4661" w:rsidP="005B2EAC">
      <w:r w:rsidRPr="005B2EAC">
        <w:t>The above in vitro and in vivo study findings indicate that netupitant affects cardiac conduction probably by binding to the L-type Ca</w:t>
      </w:r>
      <w:r w:rsidR="00886B33" w:rsidRPr="00FC5751">
        <w:rPr>
          <w:vertAlign w:val="superscript"/>
        </w:rPr>
        <w:t>2+</w:t>
      </w:r>
      <w:r w:rsidRPr="005B2EAC">
        <w:t xml:space="preserve"> channel and inhibiting the </w:t>
      </w:r>
      <w:proofErr w:type="spellStart"/>
      <w:r w:rsidRPr="005B2EAC">
        <w:t>hERG</w:t>
      </w:r>
      <w:proofErr w:type="spellEnd"/>
      <w:r w:rsidRPr="005B2EAC">
        <w:t xml:space="preserve"> channel and causes bradycardia and prolongation of APD. Netupitant and palonosetron may have additive effects on cardiac conduction. Some potential for cardiovascular effects in patients taking the netupitant/palonosetron combination exists based on the observati</w:t>
      </w:r>
      <w:r w:rsidR="00245279" w:rsidRPr="005B2EAC">
        <w:t>ons in the nonclinical studies.</w:t>
      </w:r>
    </w:p>
    <w:p w:rsidR="004334C7" w:rsidRPr="005B2EAC" w:rsidRDefault="00BE4661" w:rsidP="005B2EAC">
      <w:r w:rsidRPr="005B2EAC">
        <w:t>No evidence of CNS effects was observed in any of the repeat dose toxicity studies, although distribution of netupitant and/or metabolites to brain was evident in rats.</w:t>
      </w:r>
      <w:r w:rsidR="005F7FE0" w:rsidRPr="005B2EAC">
        <w:t xml:space="preserve"> </w:t>
      </w:r>
      <w:r w:rsidRPr="005B2EAC">
        <w:t>Netupitant alone had no pro</w:t>
      </w:r>
      <w:r w:rsidR="00245279" w:rsidRPr="005B2EAC">
        <w:t xml:space="preserve"> </w:t>
      </w:r>
      <w:proofErr w:type="spellStart"/>
      <w:r w:rsidRPr="005B2EAC">
        <w:t>convulsant</w:t>
      </w:r>
      <w:proofErr w:type="spellEnd"/>
      <w:r w:rsidRPr="005B2EAC">
        <w:t xml:space="preserve"> activity in</w:t>
      </w:r>
      <w:r w:rsidR="0036657B" w:rsidRPr="005B2EAC">
        <w:t xml:space="preserve"> rats (100 mg/kg single dose). </w:t>
      </w:r>
      <w:r w:rsidRPr="005B2EAC">
        <w:t>No neurological effects were detected in an Irwin batter</w:t>
      </w:r>
      <w:r w:rsidR="0036657B" w:rsidRPr="005B2EAC">
        <w:t>y in a non</w:t>
      </w:r>
      <w:r w:rsidR="00245279" w:rsidRPr="005B2EAC">
        <w:t xml:space="preserve"> </w:t>
      </w:r>
      <w:r w:rsidR="0036657B" w:rsidRPr="005B2EAC">
        <w:t xml:space="preserve">GLP study in rats. </w:t>
      </w:r>
      <w:r w:rsidRPr="005B2EAC">
        <w:t>A non</w:t>
      </w:r>
      <w:r w:rsidR="00FC5751">
        <w:t> </w:t>
      </w:r>
      <w:r w:rsidRPr="005B2EAC">
        <w:t>GLP study on the abuse potential of the combination of palonosetron and netupi</w:t>
      </w:r>
      <w:r w:rsidR="004B70D8" w:rsidRPr="005B2EAC">
        <w:t xml:space="preserve">tant was conducted in baboons. </w:t>
      </w:r>
      <w:r w:rsidRPr="005B2EAC">
        <w:t>Oral doses of the combination at up to 10/0.02 mg/kg/day (netupitant/palonosetron) for one month did not result in withdrawal or dependence symptoms.</w:t>
      </w:r>
    </w:p>
    <w:p w:rsidR="008E7846" w:rsidRDefault="008E7846" w:rsidP="008E7846">
      <w:pPr>
        <w:pStyle w:val="Heading3"/>
      </w:pPr>
      <w:bookmarkStart w:id="53" w:name="_Toc247691513"/>
      <w:bookmarkStart w:id="54" w:name="_Toc314842497"/>
      <w:bookmarkStart w:id="55" w:name="_Toc466986529"/>
      <w:r>
        <w:t>Pharmacokinetics</w:t>
      </w:r>
      <w:bookmarkEnd w:id="53"/>
      <w:bookmarkEnd w:id="54"/>
      <w:bookmarkEnd w:id="55"/>
    </w:p>
    <w:p w:rsidR="005B2EAC" w:rsidRPr="005B2EAC" w:rsidRDefault="005B2EAC" w:rsidP="005B2EAC">
      <w:pPr>
        <w:pStyle w:val="Heading4"/>
        <w:rPr>
          <w:rStyle w:val="Heading4Char"/>
          <w:b/>
          <w:bCs/>
        </w:rPr>
      </w:pPr>
      <w:bookmarkStart w:id="56" w:name="_Toc247691514"/>
      <w:bookmarkStart w:id="57" w:name="_Toc314842498"/>
      <w:r w:rsidRPr="005B2EAC">
        <w:rPr>
          <w:rStyle w:val="Heading4Char"/>
          <w:b/>
          <w:bCs/>
        </w:rPr>
        <w:t>Absorption</w:t>
      </w:r>
    </w:p>
    <w:p w:rsidR="00BE4661" w:rsidRPr="005B2EAC" w:rsidRDefault="00BE4661" w:rsidP="005B2EAC">
      <w:r w:rsidRPr="005B2EAC">
        <w:t xml:space="preserve">In rats and dogs </w:t>
      </w:r>
      <w:r w:rsidR="004B70D8" w:rsidRPr="005B2EAC">
        <w:t xml:space="preserve">time of </w:t>
      </w:r>
      <w:proofErr w:type="spellStart"/>
      <w:r w:rsidR="0018634D" w:rsidRPr="005B2EAC">
        <w:t>C</w:t>
      </w:r>
      <w:r w:rsidR="0018634D" w:rsidRPr="0018634D">
        <w:rPr>
          <w:vertAlign w:val="subscript"/>
        </w:rPr>
        <w:t>max</w:t>
      </w:r>
      <w:proofErr w:type="spellEnd"/>
      <w:r w:rsidR="00886B33" w:rsidRPr="005B2EAC">
        <w:t xml:space="preserve"> </w:t>
      </w:r>
      <w:r w:rsidRPr="005B2EAC">
        <w:t>values were mostly between 2 to 8</w:t>
      </w:r>
      <w:r w:rsidR="009B02FF">
        <w:t xml:space="preserve"> hours </w:t>
      </w:r>
      <w:r w:rsidRPr="005B2EAC">
        <w:t>with some exceptions and these were comparable to the human values repo</w:t>
      </w:r>
      <w:r w:rsidR="004B70D8" w:rsidRPr="005B2EAC">
        <w:t>rted to be between 4 and 5 h</w:t>
      </w:r>
      <w:r w:rsidR="00FC5751">
        <w:t>ours</w:t>
      </w:r>
      <w:r w:rsidRPr="005B2EAC">
        <w:t>. In animals (rat, dog and monkey) oral bioavailability ranged from 34 to 100</w:t>
      </w:r>
      <w:r w:rsidR="000403F6">
        <w:t>%</w:t>
      </w:r>
      <w:r w:rsidR="00FC5751">
        <w:t xml:space="preserve">. Sub dose </w:t>
      </w:r>
      <w:r w:rsidRPr="005B2EAC">
        <w:t xml:space="preserve">proportional increases in exposure to netupitant and metabolites were seen with increasing dose in rats and dogs. In rats both netupitant and M1 showed accumulation with </w:t>
      </w:r>
      <w:r w:rsidR="004B70D8" w:rsidRPr="005B2EAC">
        <w:t>rates ranging from 1.3 to 5 times</w:t>
      </w:r>
      <w:r w:rsidRPr="005B2EAC">
        <w:t xml:space="preserve"> </w:t>
      </w:r>
      <w:r w:rsidR="004B70D8" w:rsidRPr="005B2EAC">
        <w:t>for netupitant and up to 10 times</w:t>
      </w:r>
      <w:r w:rsidRPr="005B2EAC">
        <w:t xml:space="preserve"> for M1 while in dogs accumulation of netupitant was slight to moderate and accumulation of M1 was</w:t>
      </w:r>
      <w:r w:rsidR="004B70D8" w:rsidRPr="005B2EAC">
        <w:t xml:space="preserve"> moderate to high (up to 11 times</w:t>
      </w:r>
      <w:r w:rsidRPr="005B2EAC">
        <w:t>). In rats and dogs the apparent half-life for netupitant was around 10</w:t>
      </w:r>
      <w:r w:rsidR="009B02FF">
        <w:t xml:space="preserve"> hours </w:t>
      </w:r>
      <w:r w:rsidRPr="005B2EAC">
        <w:t xml:space="preserve">but was much longer during the recovery phase (up to 38.4 </w:t>
      </w:r>
      <w:r w:rsidR="004B70D8" w:rsidRPr="005B2EAC">
        <w:t>h</w:t>
      </w:r>
      <w:r w:rsidR="00FC5751">
        <w:t>ours</w:t>
      </w:r>
      <w:r w:rsidRPr="005B2EAC">
        <w:t>).</w:t>
      </w:r>
    </w:p>
    <w:p w:rsidR="005B2EAC" w:rsidRPr="005B2EAC" w:rsidRDefault="005B2EAC" w:rsidP="005B2EAC">
      <w:pPr>
        <w:pStyle w:val="Heading4"/>
        <w:rPr>
          <w:rStyle w:val="Heading4Char"/>
          <w:b/>
          <w:bCs/>
        </w:rPr>
      </w:pPr>
      <w:r w:rsidRPr="005B2EAC">
        <w:rPr>
          <w:rStyle w:val="Heading4Char"/>
          <w:b/>
          <w:bCs/>
        </w:rPr>
        <w:lastRenderedPageBreak/>
        <w:t>Distribution</w:t>
      </w:r>
    </w:p>
    <w:p w:rsidR="00BE4661" w:rsidRPr="005B2EAC" w:rsidRDefault="00BE4661" w:rsidP="005B2EAC">
      <w:r w:rsidRPr="005B2EAC">
        <w:t>Plasma protein binding by netupitant and major metabolites was high in humans (&gt;</w:t>
      </w:r>
      <w:r w:rsidR="007A7951" w:rsidRPr="005B2EAC">
        <w:t xml:space="preserve"> </w:t>
      </w:r>
      <w:r w:rsidRPr="005B2EAC">
        <w:t>99</w:t>
      </w:r>
      <w:r w:rsidR="000403F6">
        <w:t>%</w:t>
      </w:r>
      <w:r w:rsidRPr="005B2EAC">
        <w:t xml:space="preserve"> for netupitant, M1 and M3, 98</w:t>
      </w:r>
      <w:r w:rsidR="000403F6">
        <w:t>%</w:t>
      </w:r>
      <w:r w:rsidRPr="005B2EAC">
        <w:t xml:space="preserve"> for M2) and laboratory animal species. The volume of distribution was high in laboratory animal species, around 11.5 L/kg in rats, 13.8 L/kg in dogs and 10 L/kg in monkeys. Netupitant was rapidly distributed to most organs in rat whole body autoradiography studies and penetration to brain and testes was demonstrated. Drug associated radioactivity was generally eliminated from the tissues in parallel with plasma.</w:t>
      </w:r>
    </w:p>
    <w:p w:rsidR="005B2EAC" w:rsidRPr="005B2EAC" w:rsidRDefault="00BE4661" w:rsidP="005B2EAC">
      <w:pPr>
        <w:pStyle w:val="Heading4"/>
      </w:pPr>
      <w:r w:rsidRPr="005B2EAC">
        <w:rPr>
          <w:rStyle w:val="Heading4Char"/>
          <w:b/>
          <w:bCs/>
        </w:rPr>
        <w:t>Metabolism</w:t>
      </w:r>
    </w:p>
    <w:p w:rsidR="00BE4661" w:rsidRPr="00F02C1E" w:rsidRDefault="00BE4661" w:rsidP="00F02C1E">
      <w:r w:rsidRPr="00F02C1E">
        <w:t xml:space="preserve">Metabolites were formed by N-demethylation (M1), oxidation (M2, and subsequently M6, M8), methyl hydroxylation (M3), hydroxylation (M5), and glucuronidation (M6-G and M8-G). </w:t>
      </w:r>
      <w:r w:rsidR="005670BA">
        <w:t xml:space="preserve">Cytochrome P450 (CYP) </w:t>
      </w:r>
      <w:r w:rsidRPr="00F02C1E">
        <w:t>CYP3A4 catalysed the formation of two metabolites M1 and M2. The human metabolites M1, M2, M3, and M4 (minor metabolite &lt;</w:t>
      </w:r>
      <w:r w:rsidR="007A7951" w:rsidRPr="00F02C1E">
        <w:t xml:space="preserve"> </w:t>
      </w:r>
      <w:r w:rsidRPr="00F02C1E">
        <w:t>10</w:t>
      </w:r>
      <w:r w:rsidR="000403F6">
        <w:t>%</w:t>
      </w:r>
      <w:r w:rsidRPr="00F02C1E">
        <w:t xml:space="preserve"> parent in humans) were all detected in dog plasma and bile, and M1, M2 and M3 in rat plasma and bile. The oxidative metabolite M4 was detected in humans late in the development of the drug. It was detected and described in dog plasma in an in v</w:t>
      </w:r>
      <w:r w:rsidR="005670BA">
        <w:t xml:space="preserve">ivo metabolism study. In repeat </w:t>
      </w:r>
      <w:r w:rsidRPr="00F02C1E">
        <w:t>dose toxicity studies the metabolic profile of netupitant in dogs and rats was similar with M1 shown to be the predominant metabolite in both species. Production of M3 was higher in rat bile than in dog in vivo metabolism studies. In humans M3 accounted for a greater proportion of drug related</w:t>
      </w:r>
      <w:r w:rsidR="007A7951" w:rsidRPr="00F02C1E">
        <w:t xml:space="preserve"> material than in rats or dogs.</w:t>
      </w:r>
    </w:p>
    <w:p w:rsidR="00F02C1E" w:rsidRPr="00F02C1E" w:rsidRDefault="00F02C1E" w:rsidP="00F02C1E">
      <w:pPr>
        <w:pStyle w:val="Heading4"/>
        <w:rPr>
          <w:rStyle w:val="Heading4Char"/>
          <w:b/>
          <w:bCs/>
        </w:rPr>
      </w:pPr>
      <w:r w:rsidRPr="00F02C1E">
        <w:rPr>
          <w:rStyle w:val="Heading4Char"/>
          <w:b/>
          <w:bCs/>
        </w:rPr>
        <w:t>Excretion</w:t>
      </w:r>
    </w:p>
    <w:p w:rsidR="00BE4661" w:rsidRPr="00F02C1E" w:rsidRDefault="00BE4661" w:rsidP="00F02C1E">
      <w:r w:rsidRPr="00F02C1E">
        <w:t>Netupitant is cleared by metabolism and biliary excretion. Excretion of netupitant and/or its metabolites was almost exclusively via the faeces in rats and dogs. Urinary excretion was also not a significant excretory route in humans.</w:t>
      </w:r>
    </w:p>
    <w:p w:rsidR="00F02C1E" w:rsidRPr="00F02C1E" w:rsidRDefault="00F02C1E" w:rsidP="00F02C1E">
      <w:pPr>
        <w:pStyle w:val="Heading4"/>
        <w:rPr>
          <w:rStyle w:val="Heading4Char"/>
          <w:b/>
          <w:bCs/>
        </w:rPr>
      </w:pPr>
      <w:r w:rsidRPr="00F02C1E">
        <w:rPr>
          <w:rStyle w:val="Heading4Char"/>
          <w:b/>
          <w:bCs/>
        </w:rPr>
        <w:t>Conclusion</w:t>
      </w:r>
    </w:p>
    <w:p w:rsidR="00BE4661" w:rsidRPr="00F02C1E" w:rsidRDefault="00BE4661" w:rsidP="00F02C1E">
      <w:r w:rsidRPr="00F02C1E">
        <w:t xml:space="preserve">The pharmacokinetic profiles in the laboratory animal species (particularly those used in the pivotal </w:t>
      </w:r>
      <w:r w:rsidR="005670BA">
        <w:t>repeat dose</w:t>
      </w:r>
      <w:r w:rsidRPr="00F02C1E">
        <w:t xml:space="preserve"> toxicity studies) were sufficiently similar to allow them to serve as appropriate models for the assessment of drug toxicity in humans. Significant accumulation of netupitant and M1 wa</w:t>
      </w:r>
      <w:r w:rsidR="007A7951" w:rsidRPr="00F02C1E">
        <w:t xml:space="preserve">s noted in </w:t>
      </w:r>
      <w:r w:rsidR="005670BA">
        <w:t>repeat dose</w:t>
      </w:r>
      <w:r w:rsidR="007A7951" w:rsidRPr="00F02C1E">
        <w:t xml:space="preserve"> studies.</w:t>
      </w:r>
    </w:p>
    <w:p w:rsidR="00BE4661" w:rsidRDefault="00BE4661" w:rsidP="00F02C1E">
      <w:pPr>
        <w:pStyle w:val="Heading3"/>
      </w:pPr>
      <w:bookmarkStart w:id="58" w:name="_Toc294861725"/>
      <w:bookmarkStart w:id="59" w:name="_Toc466986530"/>
      <w:r w:rsidRPr="006109AF">
        <w:t>Pharmacokinetic drug interactions</w:t>
      </w:r>
      <w:bookmarkEnd w:id="58"/>
      <w:bookmarkEnd w:id="59"/>
    </w:p>
    <w:p w:rsidR="00BE4661" w:rsidRPr="00F02C1E" w:rsidRDefault="00BE4661" w:rsidP="00F02C1E">
      <w:r w:rsidRPr="00F02C1E">
        <w:t xml:space="preserve">Since netupitant is predominantly metabolised by </w:t>
      </w:r>
      <w:r w:rsidR="004B70D8" w:rsidRPr="00F02C1E">
        <w:t>cytochrome P450 isozyme 3A4 (</w:t>
      </w:r>
      <w:r w:rsidRPr="00F02C1E">
        <w:t>CYP3A4</w:t>
      </w:r>
      <w:r w:rsidR="004B70D8" w:rsidRPr="00F02C1E">
        <w:t>)</w:t>
      </w:r>
      <w:r w:rsidRPr="00F02C1E">
        <w:t xml:space="preserve"> to M1 and M2, CYP3A inhibitors or inducers may alter the plasma concentrations of netupitant and metabolites. However, as all 3 major metabolites are pharmacologically active, the net effects on efficacy and safety might not be significantly affected. There are no data on the</w:t>
      </w:r>
      <w:r w:rsidR="007A7951" w:rsidRPr="00F02C1E">
        <w:t xml:space="preserve"> clearance of the metabolites.</w:t>
      </w:r>
    </w:p>
    <w:p w:rsidR="00BE4661" w:rsidRPr="00F02C1E" w:rsidRDefault="00BE4661" w:rsidP="00F02C1E">
      <w:r w:rsidRPr="00F02C1E">
        <w:t xml:space="preserve">Netupitant is a competitive inhibitor of CYP3A4 </w:t>
      </w:r>
      <w:r w:rsidR="004B70D8" w:rsidRPr="00F02C1E">
        <w:t xml:space="preserve">inhibition constant </w:t>
      </w:r>
      <w:r w:rsidRPr="00F02C1E">
        <w:t>(Ki</w:t>
      </w:r>
      <w:r w:rsidR="004B70D8" w:rsidRPr="00F02C1E">
        <w:t>)</w:t>
      </w:r>
      <w:r w:rsidR="00345E00" w:rsidRPr="00F02C1E">
        <w:t xml:space="preserve"> </w:t>
      </w:r>
      <w:r w:rsidRPr="00F02C1E">
        <w:t xml:space="preserve">1.1 </w:t>
      </w:r>
      <w:proofErr w:type="spellStart"/>
      <w:r w:rsidRPr="00F02C1E">
        <w:t>μM</w:t>
      </w:r>
      <w:proofErr w:type="spellEnd"/>
      <w:r w:rsidRPr="00F02C1E">
        <w:t xml:space="preserve">, </w:t>
      </w:r>
      <w:r w:rsidR="00F543DA" w:rsidRPr="005B2EAC">
        <w:t>IC</w:t>
      </w:r>
      <w:r w:rsidR="00F543DA" w:rsidRPr="00F543DA">
        <w:rPr>
          <w:vertAlign w:val="subscript"/>
        </w:rPr>
        <w:t>50</w:t>
      </w:r>
      <w:r w:rsidR="005670BA">
        <w:t xml:space="preserve"> 1.7 </w:t>
      </w:r>
      <w:proofErr w:type="spellStart"/>
      <w:r w:rsidR="007A7951" w:rsidRPr="00F02C1E">
        <w:t>μM</w:t>
      </w:r>
      <w:proofErr w:type="spellEnd"/>
      <w:r w:rsidR="007A7951" w:rsidRPr="00F02C1E">
        <w:t xml:space="preserve">). </w:t>
      </w:r>
      <w:r w:rsidRPr="00F02C1E">
        <w:t xml:space="preserve">M1 and M2 are also inhibitors of CYP3A4 with </w:t>
      </w:r>
      <w:r w:rsidR="00F543DA" w:rsidRPr="005B2EAC">
        <w:t>IC</w:t>
      </w:r>
      <w:r w:rsidR="00F543DA" w:rsidRPr="00F543DA">
        <w:rPr>
          <w:vertAlign w:val="subscript"/>
        </w:rPr>
        <w:t>50</w:t>
      </w:r>
      <w:r w:rsidRPr="00F02C1E">
        <w:t xml:space="preserve"> values similar to those for netupitant. The Ki or </w:t>
      </w:r>
      <w:r w:rsidR="00F543DA" w:rsidRPr="005B2EAC">
        <w:t>IC</w:t>
      </w:r>
      <w:r w:rsidR="00F543DA" w:rsidRPr="00F543DA">
        <w:rPr>
          <w:vertAlign w:val="subscript"/>
        </w:rPr>
        <w:t>50</w:t>
      </w:r>
      <w:r w:rsidRPr="00F02C1E">
        <w:t xml:space="preserve"> values were </w:t>
      </w:r>
      <w:r w:rsidR="003A581C" w:rsidRPr="00F02C1E">
        <w:t>approximately</w:t>
      </w:r>
      <w:r w:rsidR="006109AF" w:rsidRPr="00F02C1E">
        <w:t xml:space="preserve"> </w:t>
      </w:r>
      <w:r w:rsidRPr="00F02C1E">
        <w:t xml:space="preserve">50 times the combined free fraction </w:t>
      </w:r>
      <w:proofErr w:type="spellStart"/>
      <w:r w:rsidR="0018634D" w:rsidRPr="005B2EAC">
        <w:t>C</w:t>
      </w:r>
      <w:r w:rsidR="0018634D" w:rsidRPr="0018634D">
        <w:rPr>
          <w:vertAlign w:val="subscript"/>
        </w:rPr>
        <w:t>max</w:t>
      </w:r>
      <w:proofErr w:type="spellEnd"/>
      <w:r w:rsidRPr="00F02C1E">
        <w:t xml:space="preserve"> of </w:t>
      </w:r>
      <w:proofErr w:type="spellStart"/>
      <w:r w:rsidRPr="00F02C1E">
        <w:t>netupitant</w:t>
      </w:r>
      <w:proofErr w:type="spellEnd"/>
      <w:r w:rsidRPr="00F02C1E">
        <w:t xml:space="preserve"> and met</w:t>
      </w:r>
      <w:r w:rsidR="007A7951" w:rsidRPr="00F02C1E">
        <w:t>abolites (</w:t>
      </w:r>
      <w:r w:rsidR="003A581C" w:rsidRPr="00F02C1E">
        <w:t>approximately</w:t>
      </w:r>
      <w:r w:rsidR="008D5592">
        <w:t xml:space="preserve"> </w:t>
      </w:r>
      <w:r w:rsidR="007A7951" w:rsidRPr="00F02C1E">
        <w:t xml:space="preserve">20 </w:t>
      </w:r>
      <w:proofErr w:type="spellStart"/>
      <w:r w:rsidR="007A7951" w:rsidRPr="00F02C1E">
        <w:t>nM</w:t>
      </w:r>
      <w:proofErr w:type="spellEnd"/>
      <w:r w:rsidR="007A7951" w:rsidRPr="00F02C1E">
        <w:t xml:space="preserve">) in patients. </w:t>
      </w:r>
      <w:r w:rsidRPr="00F02C1E">
        <w:t>The potential for drug</w:t>
      </w:r>
      <w:r w:rsidR="005670BA">
        <w:t xml:space="preserve"> </w:t>
      </w:r>
      <w:r w:rsidRPr="00F02C1E">
        <w:t>-</w:t>
      </w:r>
      <w:r w:rsidR="005670BA">
        <w:t xml:space="preserve"> </w:t>
      </w:r>
      <w:r w:rsidRPr="00F02C1E">
        <w:t>drug interactions</w:t>
      </w:r>
      <w:r w:rsidR="007A7951" w:rsidRPr="00F02C1E">
        <w:t xml:space="preserve"> via CYP3A4 inhibition is low. </w:t>
      </w:r>
      <w:r w:rsidRPr="00F02C1E">
        <w:t>Netupitant inhibited CYP2C9 only at high concentrations (</w:t>
      </w:r>
      <w:r w:rsidR="00F543DA" w:rsidRPr="005B2EAC">
        <w:t>IC</w:t>
      </w:r>
      <w:r w:rsidR="00F543DA" w:rsidRPr="00F543DA">
        <w:rPr>
          <w:vertAlign w:val="subscript"/>
        </w:rPr>
        <w:t>50</w:t>
      </w:r>
      <w:r w:rsidRPr="00F02C1E">
        <w:t xml:space="preserve"> </w:t>
      </w:r>
      <w:r w:rsidR="003A581C" w:rsidRPr="00F02C1E">
        <w:t>approximately</w:t>
      </w:r>
      <w:r w:rsidR="008D5592">
        <w:t xml:space="preserve"> </w:t>
      </w:r>
      <w:r w:rsidRPr="00F02C1E">
        <w:t xml:space="preserve">20 </w:t>
      </w:r>
      <w:proofErr w:type="spellStart"/>
      <w:r w:rsidRPr="00F02C1E">
        <w:t>μM</w:t>
      </w:r>
      <w:proofErr w:type="spellEnd"/>
      <w:r w:rsidRPr="00F02C1E">
        <w:t>; Ki</w:t>
      </w:r>
      <w:r w:rsidR="007A7951" w:rsidRPr="00F02C1E">
        <w:t xml:space="preserve"> 25 </w:t>
      </w:r>
      <w:proofErr w:type="spellStart"/>
      <w:r w:rsidR="007A7951" w:rsidRPr="00F02C1E">
        <w:t>μM</w:t>
      </w:r>
      <w:proofErr w:type="spellEnd"/>
      <w:r w:rsidR="007A7951" w:rsidRPr="00F02C1E">
        <w:t xml:space="preserve">). </w:t>
      </w:r>
      <w:r w:rsidRPr="00F02C1E">
        <w:t>Netupitant and its metabolites, M1 and M2 were not inhibitors of CYP1A2, 2C19, or 2D6. Significant metabolic drug</w:t>
      </w:r>
      <w:r w:rsidR="00886B33" w:rsidRPr="00F02C1E">
        <w:t xml:space="preserve"> </w:t>
      </w:r>
      <w:r w:rsidRPr="00F02C1E">
        <w:t>-</w:t>
      </w:r>
      <w:r w:rsidR="00886B33" w:rsidRPr="00F02C1E">
        <w:t xml:space="preserve"> </w:t>
      </w:r>
      <w:r w:rsidRPr="00F02C1E">
        <w:t>drug interactions in man are not anticipated for compounds metabol</w:t>
      </w:r>
      <w:r w:rsidR="00AA120C">
        <w:t>ise</w:t>
      </w:r>
      <w:r w:rsidRPr="00F02C1E">
        <w:t>d main</w:t>
      </w:r>
      <w:r w:rsidR="007A7951" w:rsidRPr="00F02C1E">
        <w:t>ly by CYP1A2, 2C9, 2C19 or 2D6.</w:t>
      </w:r>
    </w:p>
    <w:p w:rsidR="00BE4661" w:rsidRPr="00F02C1E" w:rsidRDefault="00BE4661" w:rsidP="00F02C1E">
      <w:r w:rsidRPr="00F02C1E">
        <w:lastRenderedPageBreak/>
        <w:t>No induction of CYP1A2, CYP2C9, CYP2C19 and CYP3A4 was seen with netupitant and major metabolites. Studies in human liver microsomes suggest that drug</w:t>
      </w:r>
      <w:r w:rsidR="005670BA">
        <w:t xml:space="preserve"> </w:t>
      </w:r>
      <w:r w:rsidRPr="00F02C1E">
        <w:t>-</w:t>
      </w:r>
      <w:r w:rsidR="005670BA">
        <w:t xml:space="preserve"> </w:t>
      </w:r>
      <w:r w:rsidRPr="00F02C1E">
        <w:t xml:space="preserve">drug interactions are unlikely with cyclophosphamide and vincristine but may be possible with docetaxel. In human liver microsomes, netupitant inhibited hydroxylation of docetaxel with an </w:t>
      </w:r>
      <w:r w:rsidR="00F543DA" w:rsidRPr="005B2EAC">
        <w:t>IC</w:t>
      </w:r>
      <w:r w:rsidR="00F543DA" w:rsidRPr="00F543DA">
        <w:rPr>
          <w:vertAlign w:val="subscript"/>
        </w:rPr>
        <w:t>50</w:t>
      </w:r>
      <w:r w:rsidR="007A7951" w:rsidRPr="00F02C1E">
        <w:t xml:space="preserve"> of 3.7 µM.</w:t>
      </w:r>
    </w:p>
    <w:p w:rsidR="00BE4661" w:rsidRPr="00F02C1E" w:rsidRDefault="00BE4661" w:rsidP="00F02C1E">
      <w:r w:rsidRPr="00F02C1E">
        <w:t xml:space="preserve">In vitro studies investigated the potential for the interaction of netupitant and metabolites M1, M2 and M3 with the human ABC (efflux) transporters </w:t>
      </w:r>
      <w:r w:rsidR="006109AF" w:rsidRPr="00F02C1E">
        <w:t>breast cancer resistance protein (</w:t>
      </w:r>
      <w:r w:rsidRPr="00F02C1E">
        <w:t>BCRP</w:t>
      </w:r>
      <w:r w:rsidR="006109AF" w:rsidRPr="00F02C1E">
        <w:t>)</w:t>
      </w:r>
      <w:r w:rsidRPr="00F02C1E">
        <w:t xml:space="preserve"> (ABCG2/MXR), BSEP (ABCB11/</w:t>
      </w:r>
      <w:proofErr w:type="spellStart"/>
      <w:r w:rsidRPr="00F02C1E">
        <w:t>sPgp</w:t>
      </w:r>
      <w:proofErr w:type="spellEnd"/>
      <w:r w:rsidRPr="00F02C1E">
        <w:t>), MRP2 (ABCC2) and MDR1 (ABCB1/P-</w:t>
      </w:r>
      <w:proofErr w:type="spellStart"/>
      <w:r w:rsidRPr="00F02C1E">
        <w:t>gp</w:t>
      </w:r>
      <w:proofErr w:type="spellEnd"/>
      <w:r w:rsidRPr="00F02C1E">
        <w:t>) and the human uptake transporters OATP1B1 (OATP2, OATP-C), OATP1B3 (OATP8), OAT1, OAT3, OCT1 and OCT2. Netupitant and/or its metabolites inhibited BCRP (</w:t>
      </w:r>
      <w:r w:rsidR="00F543DA" w:rsidRPr="005B2EAC">
        <w:t>IC</w:t>
      </w:r>
      <w:r w:rsidR="00F543DA" w:rsidRPr="00F543DA">
        <w:rPr>
          <w:vertAlign w:val="subscript"/>
        </w:rPr>
        <w:t>50</w:t>
      </w:r>
      <w:r w:rsidRPr="00F02C1E">
        <w:t xml:space="preserve"> 6.0, 8.6, 22.6 and 10.6 </w:t>
      </w:r>
      <w:proofErr w:type="spellStart"/>
      <w:r w:rsidRPr="00F02C1E">
        <w:t>μM</w:t>
      </w:r>
      <w:proofErr w:type="spellEnd"/>
      <w:r w:rsidRPr="00F02C1E">
        <w:t xml:space="preserve"> for </w:t>
      </w:r>
      <w:proofErr w:type="spellStart"/>
      <w:r w:rsidRPr="00F02C1E">
        <w:t>netupitant</w:t>
      </w:r>
      <w:proofErr w:type="spellEnd"/>
      <w:r w:rsidRPr="00F02C1E">
        <w:t>, M1, M2 and M3, respectively), OCT1 (</w:t>
      </w:r>
      <w:r w:rsidR="00F543DA" w:rsidRPr="005B2EAC">
        <w:t>IC</w:t>
      </w:r>
      <w:r w:rsidR="00F543DA" w:rsidRPr="00F543DA">
        <w:rPr>
          <w:vertAlign w:val="subscript"/>
        </w:rPr>
        <w:t>50</w:t>
      </w:r>
      <w:r w:rsidRPr="00F02C1E">
        <w:t xml:space="preserve"> 8.1, 19.0, 7.4 and 4.4 </w:t>
      </w:r>
      <w:proofErr w:type="spellStart"/>
      <w:r w:rsidRPr="00F02C1E">
        <w:t>μM</w:t>
      </w:r>
      <w:proofErr w:type="spellEnd"/>
      <w:r w:rsidRPr="00F02C1E">
        <w:t xml:space="preserve"> for </w:t>
      </w:r>
      <w:proofErr w:type="spellStart"/>
      <w:r w:rsidRPr="00F02C1E">
        <w:t>netupitant</w:t>
      </w:r>
      <w:proofErr w:type="spellEnd"/>
      <w:r w:rsidRPr="00F02C1E">
        <w:t>, M1, M2 and M3, respectively), MDR1 (</w:t>
      </w:r>
      <w:r w:rsidR="00F543DA" w:rsidRPr="005B2EAC">
        <w:t>IC</w:t>
      </w:r>
      <w:r w:rsidR="00F543DA" w:rsidRPr="00F543DA">
        <w:rPr>
          <w:vertAlign w:val="subscript"/>
        </w:rPr>
        <w:t>50</w:t>
      </w:r>
      <w:r w:rsidR="005670BA">
        <w:t xml:space="preserve"> 4.95, 8.0 and 5.35 </w:t>
      </w:r>
      <w:proofErr w:type="spellStart"/>
      <w:r w:rsidRPr="00F02C1E">
        <w:t>μM</w:t>
      </w:r>
      <w:proofErr w:type="spellEnd"/>
      <w:r w:rsidRPr="00F02C1E">
        <w:t xml:space="preserve"> for M1, M2 and M3, respectively), OATP1B3 (</w:t>
      </w:r>
      <w:r w:rsidR="00F543DA" w:rsidRPr="005B2EAC">
        <w:t>IC</w:t>
      </w:r>
      <w:r w:rsidR="00F543DA" w:rsidRPr="00F543DA">
        <w:rPr>
          <w:vertAlign w:val="subscript"/>
        </w:rPr>
        <w:t>50</w:t>
      </w:r>
      <w:r w:rsidRPr="00F02C1E">
        <w:t xml:space="preserve"> 4.3 and 9.6 </w:t>
      </w:r>
      <w:proofErr w:type="spellStart"/>
      <w:r w:rsidRPr="00F02C1E">
        <w:t>μM</w:t>
      </w:r>
      <w:proofErr w:type="spellEnd"/>
      <w:r w:rsidRPr="00F02C1E">
        <w:t xml:space="preserve"> for M2 and M3, respectively). Results of inhibition studies with </w:t>
      </w:r>
      <w:proofErr w:type="spellStart"/>
      <w:r w:rsidRPr="00F02C1E">
        <w:t>Caco</w:t>
      </w:r>
      <w:proofErr w:type="spellEnd"/>
      <w:r w:rsidR="00886B33" w:rsidRPr="00F02C1E">
        <w:t xml:space="preserve"> </w:t>
      </w:r>
      <w:r w:rsidRPr="00F02C1E">
        <w:t>-</w:t>
      </w:r>
      <w:r w:rsidR="00886B33" w:rsidRPr="00F02C1E">
        <w:t xml:space="preserve"> </w:t>
      </w:r>
      <w:r w:rsidRPr="00F02C1E">
        <w:t xml:space="preserve">2 cell monolayers showed </w:t>
      </w:r>
      <w:r w:rsidR="006109AF" w:rsidRPr="00F02C1E">
        <w:t>permeability glycoprotein (</w:t>
      </w:r>
      <w:r w:rsidRPr="00F02C1E">
        <w:t>P-</w:t>
      </w:r>
      <w:proofErr w:type="spellStart"/>
      <w:r w:rsidRPr="00F02C1E">
        <w:t>gp</w:t>
      </w:r>
      <w:proofErr w:type="spellEnd"/>
      <w:r w:rsidR="006109AF" w:rsidRPr="00F02C1E">
        <w:t>)</w:t>
      </w:r>
      <w:r w:rsidRPr="00F02C1E">
        <w:t xml:space="preserve"> inhibition (by 55</w:t>
      </w:r>
      <w:r w:rsidR="000403F6">
        <w:t>%</w:t>
      </w:r>
      <w:r w:rsidRPr="00F02C1E">
        <w:t xml:space="preserve">) at 5 </w:t>
      </w:r>
      <w:proofErr w:type="spellStart"/>
      <w:r w:rsidRPr="00F02C1E">
        <w:t>μM</w:t>
      </w:r>
      <w:proofErr w:type="spellEnd"/>
      <w:r w:rsidRPr="00F02C1E">
        <w:t xml:space="preserve"> (no effects at 1 </w:t>
      </w:r>
      <w:proofErr w:type="spellStart"/>
      <w:r w:rsidRPr="00F02C1E">
        <w:t>μM</w:t>
      </w:r>
      <w:proofErr w:type="spellEnd"/>
      <w:r w:rsidRPr="00F02C1E">
        <w:t xml:space="preserve">). The </w:t>
      </w:r>
      <w:r w:rsidR="00F543DA" w:rsidRPr="005B2EAC">
        <w:t>IC</w:t>
      </w:r>
      <w:r w:rsidR="00F543DA" w:rsidRPr="00F543DA">
        <w:rPr>
          <w:vertAlign w:val="subscript"/>
        </w:rPr>
        <w:t>50</w:t>
      </w:r>
      <w:r w:rsidRPr="00F02C1E">
        <w:t xml:space="preserve"> values were &gt;</w:t>
      </w:r>
      <w:r w:rsidR="007A7951" w:rsidRPr="00F02C1E">
        <w:t xml:space="preserve"> </w:t>
      </w:r>
      <w:r w:rsidRPr="00F02C1E">
        <w:t xml:space="preserve">200 fold higher than the combined clinical free fraction </w:t>
      </w:r>
      <w:proofErr w:type="spellStart"/>
      <w:r w:rsidR="0018634D" w:rsidRPr="005B2EAC">
        <w:t>C</w:t>
      </w:r>
      <w:r w:rsidR="0018634D" w:rsidRPr="0018634D">
        <w:rPr>
          <w:vertAlign w:val="subscript"/>
        </w:rPr>
        <w:t>max</w:t>
      </w:r>
      <w:proofErr w:type="spellEnd"/>
      <w:r w:rsidRPr="00F02C1E">
        <w:t xml:space="preserve"> of </w:t>
      </w:r>
      <w:proofErr w:type="spellStart"/>
      <w:r w:rsidRPr="00F02C1E">
        <w:t>netupitant</w:t>
      </w:r>
      <w:proofErr w:type="spellEnd"/>
      <w:r w:rsidRPr="00F02C1E">
        <w:t xml:space="preserve"> and metabolites (</w:t>
      </w:r>
      <w:r w:rsidR="003A581C" w:rsidRPr="00F02C1E">
        <w:t>approximately</w:t>
      </w:r>
      <w:r w:rsidR="00A7766F" w:rsidRPr="00F02C1E">
        <w:t xml:space="preserve"> </w:t>
      </w:r>
      <w:r w:rsidRPr="00F02C1E">
        <w:t xml:space="preserve">20 </w:t>
      </w:r>
      <w:proofErr w:type="spellStart"/>
      <w:r w:rsidRPr="00F02C1E">
        <w:t>nM</w:t>
      </w:r>
      <w:proofErr w:type="spellEnd"/>
      <w:r w:rsidRPr="00F02C1E">
        <w:t>). Drug</w:t>
      </w:r>
      <w:r w:rsidR="00886B33" w:rsidRPr="00F02C1E">
        <w:t xml:space="preserve"> </w:t>
      </w:r>
      <w:r w:rsidRPr="00F02C1E">
        <w:t>-</w:t>
      </w:r>
      <w:r w:rsidR="00886B33" w:rsidRPr="00F02C1E">
        <w:t xml:space="preserve"> </w:t>
      </w:r>
      <w:r w:rsidRPr="00F02C1E">
        <w:t>drug interactions via transpo</w:t>
      </w:r>
      <w:r w:rsidR="007A7951" w:rsidRPr="00F02C1E">
        <w:t>rters in patients are unlikely.</w:t>
      </w:r>
    </w:p>
    <w:p w:rsidR="001B5C90" w:rsidRPr="00F02C1E" w:rsidRDefault="008E7846" w:rsidP="00F02C1E">
      <w:pPr>
        <w:pStyle w:val="Heading3"/>
      </w:pPr>
      <w:bookmarkStart w:id="60" w:name="_Toc466986531"/>
      <w:r w:rsidRPr="00F02C1E">
        <w:t>Toxicology</w:t>
      </w:r>
      <w:bookmarkEnd w:id="56"/>
      <w:bookmarkEnd w:id="57"/>
      <w:bookmarkEnd w:id="60"/>
    </w:p>
    <w:p w:rsidR="00BE4661" w:rsidRPr="00F02C1E" w:rsidRDefault="00BE4661" w:rsidP="00F02C1E">
      <w:pPr>
        <w:pStyle w:val="Heading4"/>
      </w:pPr>
      <w:bookmarkStart w:id="61" w:name="_Toc294861727"/>
      <w:bookmarkStart w:id="62" w:name="_Toc247691515"/>
      <w:bookmarkStart w:id="63" w:name="_Toc314842499"/>
      <w:r w:rsidRPr="00F02C1E">
        <w:t>Acute toxicity</w:t>
      </w:r>
      <w:bookmarkEnd w:id="61"/>
    </w:p>
    <w:p w:rsidR="00BE4661" w:rsidRPr="00F02C1E" w:rsidRDefault="00BE4661" w:rsidP="00F02C1E">
      <w:r w:rsidRPr="00F02C1E">
        <w:t>The acute oral toxicity of netupitant was assessed in single dose s</w:t>
      </w:r>
      <w:r w:rsidR="007A7951" w:rsidRPr="00F02C1E">
        <w:t xml:space="preserve">tudies in mice, rats and dogs. </w:t>
      </w:r>
      <w:r w:rsidRPr="00F02C1E">
        <w:t xml:space="preserve">None of </w:t>
      </w:r>
      <w:r w:rsidR="007A7951" w:rsidRPr="00F02C1E">
        <w:t xml:space="preserve">the studies was GLP compliant. </w:t>
      </w:r>
      <w:r w:rsidR="005670BA">
        <w:t xml:space="preserve">The maximum </w:t>
      </w:r>
      <w:proofErr w:type="spellStart"/>
      <w:r w:rsidR="005670BA">
        <w:t xml:space="preserve">non </w:t>
      </w:r>
      <w:r w:rsidRPr="00F02C1E">
        <w:t>lethal</w:t>
      </w:r>
      <w:proofErr w:type="spellEnd"/>
      <w:r w:rsidRPr="00F02C1E">
        <w:t xml:space="preserve"> oral dose in rats was 1</w:t>
      </w:r>
      <w:r w:rsidR="005670BA">
        <w:t>,</w:t>
      </w:r>
      <w:r w:rsidRPr="00F02C1E">
        <w:t>500 mg/kg and in dogs was 400 mg/</w:t>
      </w:r>
      <w:r w:rsidR="007A7951" w:rsidRPr="00F02C1E">
        <w:t xml:space="preserve">kg dose. </w:t>
      </w:r>
      <w:r w:rsidR="005670BA">
        <w:t xml:space="preserve">A maximum </w:t>
      </w:r>
      <w:proofErr w:type="spellStart"/>
      <w:r w:rsidR="005670BA">
        <w:t xml:space="preserve">non </w:t>
      </w:r>
      <w:r w:rsidRPr="00F02C1E">
        <w:t>lethal</w:t>
      </w:r>
      <w:proofErr w:type="spellEnd"/>
      <w:r w:rsidRPr="00F02C1E">
        <w:t xml:space="preserve"> dose was not determined in mice where the lowest dose tested (1</w:t>
      </w:r>
      <w:r w:rsidR="005670BA">
        <w:t>,</w:t>
      </w:r>
      <w:r w:rsidRPr="00F02C1E">
        <w:t>000 mg/kg) was lethal.</w:t>
      </w:r>
    </w:p>
    <w:p w:rsidR="00BE4661" w:rsidRPr="00F02C1E" w:rsidRDefault="00BE4661" w:rsidP="00F02C1E">
      <w:r w:rsidRPr="00F02C1E">
        <w:t>In mice doses ≥</w:t>
      </w:r>
      <w:r w:rsidR="007A7951" w:rsidRPr="00F02C1E">
        <w:t xml:space="preserve"> </w:t>
      </w:r>
      <w:r w:rsidRPr="00F02C1E">
        <w:t>1</w:t>
      </w:r>
      <w:r w:rsidR="005670BA">
        <w:t>,</w:t>
      </w:r>
      <w:r w:rsidRPr="00F02C1E">
        <w:t xml:space="preserve">000 mg/kg causes inflammation and necrosis in the liver, spleen and mesenteric and mandibular lymph nodes. Signs of </w:t>
      </w:r>
      <w:proofErr w:type="spellStart"/>
      <w:r w:rsidRPr="00F02C1E">
        <w:t>phospholipidosis</w:t>
      </w:r>
      <w:proofErr w:type="spellEnd"/>
      <w:r w:rsidRPr="00F02C1E">
        <w:t xml:space="preserve"> were also present in these tissues and </w:t>
      </w:r>
      <w:r w:rsidR="007A7951" w:rsidRPr="00F02C1E">
        <w:t xml:space="preserve">were also present in the lung. </w:t>
      </w:r>
      <w:r w:rsidRPr="00F02C1E">
        <w:t>In rats single doses (≥</w:t>
      </w:r>
      <w:r w:rsidR="007A7951" w:rsidRPr="00F02C1E">
        <w:t xml:space="preserve"> </w:t>
      </w:r>
      <w:r w:rsidRPr="00F02C1E">
        <w:t>1</w:t>
      </w:r>
      <w:r w:rsidR="005670BA">
        <w:t>,</w:t>
      </w:r>
      <w:r w:rsidRPr="00F02C1E">
        <w:t>500 mg/kg) caused inflammation and necrosis in liver and doses of 2</w:t>
      </w:r>
      <w:r w:rsidR="005670BA">
        <w:t>,</w:t>
      </w:r>
      <w:r w:rsidRPr="00F02C1E">
        <w:t>000 mg/kg necrosis of mesenteric lymph nodes, skeletal</w:t>
      </w:r>
      <w:r w:rsidR="007A7951" w:rsidRPr="00F02C1E">
        <w:t xml:space="preserve"> muscle, stomach and duodenum. </w:t>
      </w:r>
      <w:r w:rsidRPr="00F02C1E">
        <w:t xml:space="preserve">There were also signs of </w:t>
      </w:r>
      <w:proofErr w:type="spellStart"/>
      <w:r w:rsidRPr="00F02C1E">
        <w:t>phospholipidosis</w:t>
      </w:r>
      <w:proofErr w:type="spellEnd"/>
      <w:r w:rsidRPr="00F02C1E">
        <w:t xml:space="preserve"> in these tissues and in the lung.</w:t>
      </w:r>
    </w:p>
    <w:p w:rsidR="00BE4661" w:rsidRPr="00F02C1E" w:rsidRDefault="00AF48A5" w:rsidP="00F02C1E">
      <w:r w:rsidRPr="00F02C1E">
        <w:t>Single doses 200 to</w:t>
      </w:r>
      <w:r w:rsidR="00BE4661" w:rsidRPr="00F02C1E">
        <w:t xml:space="preserve"> 400 mg/kg in dogs had minimal effects with a slight increase in the occurrence of vacuolated macrophage infiltration in gall bladder at the highest dose and the appearance of foamy alveolar macrophages in</w:t>
      </w:r>
      <w:r w:rsidR="007A7951" w:rsidRPr="00F02C1E">
        <w:t xml:space="preserve"> the male animal at this dose. </w:t>
      </w:r>
      <w:r w:rsidR="00BE4661" w:rsidRPr="00F02C1E">
        <w:t xml:space="preserve">These macrophage changes are consistent with </w:t>
      </w:r>
      <w:proofErr w:type="spellStart"/>
      <w:r w:rsidR="00BE4661" w:rsidRPr="00F02C1E">
        <w:t>phospholipidosis</w:t>
      </w:r>
      <w:proofErr w:type="spellEnd"/>
      <w:r w:rsidR="00BE4661" w:rsidRPr="00F02C1E">
        <w:t>, similar to those seen in rodents. Dogs were also dosed with daily ascending single doses (3, 10</w:t>
      </w:r>
      <w:r w:rsidR="007A7951" w:rsidRPr="00F02C1E">
        <w:t xml:space="preserve">, 30, 30, 60, 100, 150 mg/kg). </w:t>
      </w:r>
      <w:r w:rsidR="00BE4661" w:rsidRPr="00F02C1E">
        <w:t>At the end of this dosing sequence some lymphocyte depletion was noted in lymphoid tissues and there was necrosis of parietal cells in the stomach mucosa.</w:t>
      </w:r>
    </w:p>
    <w:p w:rsidR="00BE4661" w:rsidRPr="00F02C1E" w:rsidRDefault="00BE4661" w:rsidP="00F02C1E">
      <w:r w:rsidRPr="00F02C1E">
        <w:t>Acute toxicity of netupitant is moderate with significant mortality and evidence of necrosis in several t</w:t>
      </w:r>
      <w:r w:rsidR="007A7951" w:rsidRPr="00F02C1E">
        <w:t xml:space="preserve">issues following single doses. </w:t>
      </w:r>
      <w:r w:rsidRPr="00F02C1E">
        <w:t>No pharmacokinetic data was submitted for doses in the range of those us</w:t>
      </w:r>
      <w:r w:rsidR="005670BA">
        <w:t xml:space="preserve">ed in the single </w:t>
      </w:r>
      <w:r w:rsidRPr="00F02C1E">
        <w:t xml:space="preserve">dose studies. The doses at which this toxicity occurred were probably much higher than the </w:t>
      </w:r>
      <w:r w:rsidR="007A7951" w:rsidRPr="00F02C1E">
        <w:t>anticipated clinical exposure.</w:t>
      </w:r>
    </w:p>
    <w:p w:rsidR="00BE4661" w:rsidRPr="00F02C1E" w:rsidRDefault="005670BA" w:rsidP="00F02C1E">
      <w:pPr>
        <w:pStyle w:val="Heading4"/>
      </w:pPr>
      <w:bookmarkStart w:id="64" w:name="_Toc294861728"/>
      <w:r>
        <w:t>Repeat dose</w:t>
      </w:r>
      <w:r w:rsidR="00BE4661" w:rsidRPr="00F02C1E">
        <w:t xml:space="preserve"> toxicity</w:t>
      </w:r>
      <w:bookmarkEnd w:id="64"/>
    </w:p>
    <w:p w:rsidR="00BE4661" w:rsidRPr="00F02C1E" w:rsidRDefault="00BE4661" w:rsidP="00F02C1E">
      <w:r w:rsidRPr="00F02C1E">
        <w:t>Repeat</w:t>
      </w:r>
      <w:r w:rsidR="00886B33" w:rsidRPr="00F02C1E">
        <w:t xml:space="preserve"> </w:t>
      </w:r>
      <w:r w:rsidRPr="00F02C1E">
        <w:t>dose toxicity studies with netupitant alone were conducted in three species: mouse, rat, and dog. The maximum doses employed in these studies were 450 mg/kg/day in the mouse, 300 mg/kg/day in the rat and 10 mg/</w:t>
      </w:r>
      <w:r w:rsidR="00884DCC" w:rsidRPr="00F02C1E">
        <w:t xml:space="preserve">kg/day in the dog. </w:t>
      </w:r>
      <w:r w:rsidRPr="00F02C1E">
        <w:t xml:space="preserve">Studies of up to 13 weeks duration were conducted in mice, 26 weeks duration in rats and 39 weeks duration in dogs. The daily dosing regimens in these studies are quite different from the anticipated </w:t>
      </w:r>
      <w:r w:rsidRPr="00F02C1E">
        <w:lastRenderedPageBreak/>
        <w:t>clinical use which involves single doses likely to be separate</w:t>
      </w:r>
      <w:r w:rsidR="00884DCC" w:rsidRPr="00F02C1E">
        <w:t xml:space="preserve">d by periods of several weeks. </w:t>
      </w:r>
      <w:r w:rsidRPr="00F02C1E">
        <w:t xml:space="preserve">The effects seen in </w:t>
      </w:r>
      <w:r w:rsidR="005670BA">
        <w:t>repeat dose</w:t>
      </w:r>
      <w:r w:rsidRPr="00F02C1E">
        <w:t xml:space="preserve"> studies were, however, similar to those seen following much higher single doses.</w:t>
      </w:r>
    </w:p>
    <w:p w:rsidR="00BE4661" w:rsidRPr="00F02C1E" w:rsidRDefault="005670BA" w:rsidP="00F02C1E">
      <w:r>
        <w:t>Repeat dose</w:t>
      </w:r>
      <w:r w:rsidR="00BE4661" w:rsidRPr="00F02C1E">
        <w:t xml:space="preserve"> studies with palonosetron/netupitant combinations were conducted in two species: rats and dogs.</w:t>
      </w:r>
      <w:r w:rsidR="00884DCC" w:rsidRPr="00F02C1E">
        <w:t xml:space="preserve"> </w:t>
      </w:r>
      <w:r w:rsidR="00BE4661" w:rsidRPr="00F02C1E">
        <w:t>The maximum doses employed in these studies were palonosetron 60/netupitant 30 mg/kg/day in rats and palonosetron 15/netupitant 15 mg/</w:t>
      </w:r>
      <w:r w:rsidR="00884DCC" w:rsidRPr="00F02C1E">
        <w:t xml:space="preserve">kg/day in dogs. </w:t>
      </w:r>
      <w:r w:rsidR="00BE4661" w:rsidRPr="00F02C1E">
        <w:t>Studies of up to 13 weeks duration were conducted in both species and were GLP compliant.</w:t>
      </w:r>
    </w:p>
    <w:p w:rsidR="00BE4661" w:rsidRPr="00F02C1E" w:rsidRDefault="00BE4661" w:rsidP="00F02C1E">
      <w:pPr>
        <w:pStyle w:val="Heading4"/>
      </w:pPr>
      <w:r w:rsidRPr="00F02C1E">
        <w:t>Relative exposure</w:t>
      </w:r>
    </w:p>
    <w:p w:rsidR="00BE4661" w:rsidRPr="00F02C1E" w:rsidRDefault="00BE4661" w:rsidP="00F02C1E">
      <w:r w:rsidRPr="00F02C1E">
        <w:t>Exposure ratios have been calculated based on animal:</w:t>
      </w:r>
      <w:r w:rsidR="005670BA">
        <w:t xml:space="preserve"> </w:t>
      </w:r>
      <w:r w:rsidRPr="00F02C1E">
        <w:t xml:space="preserve">human plasma </w:t>
      </w:r>
      <w:r w:rsidR="00AF48A5" w:rsidRPr="00F02C1E">
        <w:t>AUC from time 0 to 24</w:t>
      </w:r>
      <w:r w:rsidR="009B02FF">
        <w:t xml:space="preserve"> hours </w:t>
      </w:r>
      <w:r w:rsidR="00AF48A5" w:rsidRPr="00F02C1E">
        <w:t>post dose (</w:t>
      </w:r>
      <w:r w:rsidR="005670BA">
        <w:t>AUC</w:t>
      </w:r>
      <w:r w:rsidR="005670BA">
        <w:rPr>
          <w:vertAlign w:val="subscript"/>
        </w:rPr>
        <w:t>0-24h</w:t>
      </w:r>
      <w:r w:rsidR="00AF48A5" w:rsidRPr="00F02C1E">
        <w:t xml:space="preserve">) </w:t>
      </w:r>
      <w:r w:rsidRPr="00F02C1E">
        <w:t>for netupitant and the three major metabolites. Human reference values for netupitant (AUC = 17</w:t>
      </w:r>
      <w:r w:rsidR="005670BA">
        <w:t>,</w:t>
      </w:r>
      <w:r w:rsidRPr="00F02C1E">
        <w:t xml:space="preserve">284 </w:t>
      </w:r>
      <w:proofErr w:type="spellStart"/>
      <w:r w:rsidRPr="00F02C1E">
        <w:t>ng.h</w:t>
      </w:r>
      <w:proofErr w:type="spellEnd"/>
      <w:r w:rsidRPr="00F02C1E">
        <w:t>/mL) are f</w:t>
      </w:r>
      <w:r w:rsidR="00AF48A5" w:rsidRPr="00F02C1E">
        <w:t xml:space="preserve">rom population pharmacokinetic </w:t>
      </w:r>
      <w:r w:rsidR="00F73FE3" w:rsidRPr="00F02C1E">
        <w:t>Study NETU</w:t>
      </w:r>
      <w:r w:rsidRPr="00F02C1E">
        <w:t>-10-02 and values for exposure to</w:t>
      </w:r>
      <w:r w:rsidR="00AF48A5" w:rsidRPr="00F02C1E">
        <w:t xml:space="preserve"> metabolites are from clinical </w:t>
      </w:r>
      <w:r w:rsidR="00F73FE3" w:rsidRPr="00F02C1E">
        <w:t>Study NETU</w:t>
      </w:r>
      <w:r w:rsidRPr="00F02C1E">
        <w:t>-10-09 in cancer patients (AUC = 4</w:t>
      </w:r>
      <w:r w:rsidR="005670BA">
        <w:t>,851;</w:t>
      </w:r>
      <w:r w:rsidRPr="00F02C1E">
        <w:t xml:space="preserve"> 5</w:t>
      </w:r>
      <w:r w:rsidR="005670BA">
        <w:t xml:space="preserve">,102; </w:t>
      </w:r>
      <w:r w:rsidRPr="00F02C1E">
        <w:t>5</w:t>
      </w:r>
      <w:r w:rsidR="005670BA">
        <w:t>,</w:t>
      </w:r>
      <w:r w:rsidRPr="00F02C1E">
        <w:t xml:space="preserve">687 </w:t>
      </w:r>
      <w:proofErr w:type="spellStart"/>
      <w:r w:rsidRPr="00F02C1E">
        <w:t>ng.h</w:t>
      </w:r>
      <w:proofErr w:type="spellEnd"/>
      <w:r w:rsidRPr="00F02C1E">
        <w:t xml:space="preserve">/mL for </w:t>
      </w:r>
      <w:r w:rsidR="005670BA">
        <w:t>M1; M2</w:t>
      </w:r>
      <w:r w:rsidR="00AF48A5" w:rsidRPr="00F02C1E">
        <w:t xml:space="preserve"> and M3 respectively). </w:t>
      </w:r>
      <w:r w:rsidRPr="00F02C1E">
        <w:t xml:space="preserve">Since the metabolites are active and had very similar binding affinity to </w:t>
      </w:r>
      <w:r w:rsidR="00BD6934">
        <w:t>NK1 R</w:t>
      </w:r>
      <w:r w:rsidRPr="00F02C1E">
        <w:t>, AUC values in animals and humans were combined for animal:</w:t>
      </w:r>
      <w:r w:rsidR="005670BA">
        <w:t xml:space="preserve"> </w:t>
      </w:r>
      <w:r w:rsidRPr="00F02C1E">
        <w:t>human exposure comparison. For assessing repeat dose toxicity, AUC values in animals given daily doses are multiplied by 21 since the typical</w:t>
      </w:r>
      <w:r w:rsidR="001767F1" w:rsidRPr="00F02C1E">
        <w:t xml:space="preserve"> human dosing is every 21 days.</w:t>
      </w:r>
    </w:p>
    <w:p w:rsidR="00BE4661" w:rsidRPr="00F02C1E" w:rsidRDefault="003818B7" w:rsidP="00F02C1E">
      <w:pPr>
        <w:pStyle w:val="TableTitle"/>
      </w:pPr>
      <w:proofErr w:type="gramStart"/>
      <w:r>
        <w:t xml:space="preserve">Table </w:t>
      </w:r>
      <w:r w:rsidR="00F5364C">
        <w:t>4</w:t>
      </w:r>
      <w:r>
        <w:t>.</w:t>
      </w:r>
      <w:proofErr w:type="gramEnd"/>
      <w:r w:rsidR="000474B0" w:rsidRPr="00F02C1E">
        <w:t xml:space="preserve"> </w:t>
      </w:r>
      <w:r w:rsidR="00BE4661" w:rsidRPr="00F02C1E">
        <w:t xml:space="preserve">Relative exposure to netupitant and metabolites in </w:t>
      </w:r>
      <w:r w:rsidR="005670BA">
        <w:t>repeat dose</w:t>
      </w:r>
      <w:r w:rsidR="00BE4661" w:rsidRPr="00F02C1E">
        <w:t xml:space="preserve"> toxicity studies</w:t>
      </w: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09"/>
        <w:gridCol w:w="1402"/>
        <w:gridCol w:w="1093"/>
        <w:gridCol w:w="956"/>
        <w:gridCol w:w="909"/>
        <w:gridCol w:w="1402"/>
        <w:gridCol w:w="1093"/>
        <w:gridCol w:w="956"/>
      </w:tblGrid>
      <w:tr w:rsidR="00424B91" w:rsidRPr="005670BA" w:rsidTr="004C0905">
        <w:trPr>
          <w:trHeight w:val="775"/>
          <w:tblHeader/>
        </w:trPr>
        <w:tc>
          <w:tcPr>
            <w:tcW w:w="0" w:type="auto"/>
            <w:tcBorders>
              <w:top w:val="single" w:sz="8" w:space="0" w:color="000000"/>
              <w:left w:val="single" w:sz="8" w:space="0" w:color="000000"/>
              <w:bottom w:val="single" w:sz="8" w:space="0" w:color="000000"/>
              <w:right w:val="nil"/>
              <w:tl2br w:val="nil"/>
              <w:tr2bl w:val="nil"/>
            </w:tcBorders>
            <w:shd w:val="clear" w:color="auto" w:fill="006DA7"/>
            <w:hideMark/>
          </w:tcPr>
          <w:p w:rsidR="00BE4661" w:rsidRPr="00F93A87" w:rsidRDefault="00BE4661" w:rsidP="004C0905">
            <w:pPr>
              <w:keepNext/>
              <w:rPr>
                <w:b/>
                <w:color w:val="FFFFFF"/>
                <w:lang w:eastAsia="en-AU"/>
              </w:rPr>
            </w:pPr>
            <w:r w:rsidRPr="00F93A87">
              <w:rPr>
                <w:b/>
                <w:color w:val="FFFFFF"/>
                <w:lang w:eastAsia="en-AU"/>
              </w:rPr>
              <w:t>Study duration</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5670BA" w:rsidP="004C0905">
            <w:pPr>
              <w:keepNext/>
              <w:rPr>
                <w:b/>
                <w:color w:val="FFFFFF"/>
                <w:lang w:eastAsia="en-AU"/>
              </w:rPr>
            </w:pPr>
            <w:r w:rsidRPr="00F93A87">
              <w:rPr>
                <w:b/>
                <w:color w:val="FFFFFF"/>
                <w:lang w:eastAsia="en-AU"/>
              </w:rPr>
              <w:t xml:space="preserve">Dose </w:t>
            </w:r>
            <w:r w:rsidR="00BE4661" w:rsidRPr="00F93A87">
              <w:rPr>
                <w:b/>
                <w:color w:val="FFFFFF"/>
                <w:lang w:eastAsia="en-AU"/>
              </w:rPr>
              <w:t>(mg/kg/day)</w:t>
            </w:r>
          </w:p>
          <w:p w:rsidR="00BE4661" w:rsidRPr="00F93A87" w:rsidRDefault="00BE4661" w:rsidP="004C0905">
            <w:pPr>
              <w:keepNext/>
              <w:rPr>
                <w:b/>
                <w:color w:val="FFFFFF"/>
                <w:lang w:eastAsia="en-AU"/>
              </w:rPr>
            </w:pPr>
            <w:r w:rsidRPr="00F93A87">
              <w:rPr>
                <w:b/>
                <w:color w:val="FFFFFF"/>
                <w:lang w:eastAsia="en-AU"/>
              </w:rPr>
              <w:t>[Palonosetron]</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rPr>
                <w:b/>
                <w:color w:val="FFFFFF"/>
                <w:lang w:eastAsia="en-AU"/>
              </w:rPr>
            </w:pPr>
            <w:r w:rsidRPr="00F93A87">
              <w:rPr>
                <w:b/>
                <w:color w:val="FFFFFF"/>
                <w:lang w:eastAsia="en-AU"/>
              </w:rPr>
              <w:t>AUC</w:t>
            </w:r>
            <w:r w:rsidRPr="00F93A87">
              <w:rPr>
                <w:b/>
                <w:color w:val="FFFFFF"/>
                <w:vertAlign w:val="subscript"/>
                <w:lang w:eastAsia="en-AU"/>
              </w:rPr>
              <w:t>0–24 h</w:t>
            </w:r>
            <w:r w:rsidR="005670BA" w:rsidRPr="00F93A87">
              <w:rPr>
                <w:b/>
                <w:color w:val="FFFFFF"/>
                <w:lang w:eastAsia="en-AU"/>
              </w:rPr>
              <w:t xml:space="preserve"> </w:t>
            </w:r>
            <w:r w:rsidRPr="00F93A87">
              <w:rPr>
                <w:b/>
                <w:color w:val="FFFFFF"/>
                <w:lang w:eastAsia="en-AU"/>
              </w:rPr>
              <w:t>(</w:t>
            </w:r>
            <w:proofErr w:type="spellStart"/>
            <w:r w:rsidRPr="00F93A87">
              <w:rPr>
                <w:b/>
                <w:color w:val="FFFFFF"/>
                <w:lang w:eastAsia="en-AU"/>
              </w:rPr>
              <w:t>ng∙h</w:t>
            </w:r>
            <w:proofErr w:type="spellEnd"/>
            <w:r w:rsidRPr="00F93A87">
              <w:rPr>
                <w:b/>
                <w:color w:val="FFFFFF"/>
                <w:lang w:eastAsia="en-AU"/>
              </w:rPr>
              <w:t>/mL)</w:t>
            </w:r>
            <w:r w:rsidRPr="00F93A87">
              <w:rPr>
                <w:b/>
                <w:color w:val="FFFFFF"/>
                <w:vertAlign w:val="superscript"/>
                <w:lang w:eastAsia="en-AU"/>
              </w:rPr>
              <w:t>$</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rPr>
                <w:b/>
                <w:color w:val="FFFFFF"/>
                <w:lang w:eastAsia="en-AU"/>
              </w:rPr>
            </w:pPr>
            <w:r w:rsidRPr="00F93A87">
              <w:rPr>
                <w:b/>
                <w:color w:val="FFFFFF"/>
                <w:lang w:eastAsia="en-AU"/>
              </w:rPr>
              <w:t>Exposure ratio*</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rPr>
                <w:b/>
                <w:color w:val="FFFFFF"/>
                <w:lang w:eastAsia="en-AU"/>
              </w:rPr>
            </w:pPr>
            <w:r w:rsidRPr="00F93A87">
              <w:rPr>
                <w:b/>
                <w:color w:val="FFFFFF"/>
                <w:lang w:eastAsia="en-AU"/>
              </w:rPr>
              <w:t>Study duration</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5670BA" w:rsidP="004C0905">
            <w:pPr>
              <w:keepNext/>
              <w:rPr>
                <w:b/>
                <w:color w:val="FFFFFF"/>
                <w:lang w:eastAsia="en-AU"/>
              </w:rPr>
            </w:pPr>
            <w:r w:rsidRPr="00F93A87">
              <w:rPr>
                <w:b/>
                <w:color w:val="FFFFFF"/>
                <w:lang w:eastAsia="en-AU"/>
              </w:rPr>
              <w:t xml:space="preserve">Dose </w:t>
            </w:r>
            <w:r w:rsidR="00BE4661" w:rsidRPr="00F93A87">
              <w:rPr>
                <w:b/>
                <w:color w:val="FFFFFF"/>
                <w:lang w:eastAsia="en-AU"/>
              </w:rPr>
              <w:t>(mg/kg/day)</w:t>
            </w:r>
          </w:p>
          <w:p w:rsidR="00BE4661" w:rsidRPr="00F93A87" w:rsidRDefault="00BE4661" w:rsidP="004C0905">
            <w:pPr>
              <w:keepNext/>
              <w:rPr>
                <w:b/>
                <w:color w:val="FFFFFF"/>
                <w:lang w:eastAsia="en-AU"/>
              </w:rPr>
            </w:pPr>
            <w:r w:rsidRPr="00F93A87">
              <w:rPr>
                <w:b/>
                <w:color w:val="FFFFFF"/>
                <w:lang w:eastAsia="en-AU"/>
              </w:rPr>
              <w:t>[Palonosetron]</w:t>
            </w:r>
          </w:p>
        </w:tc>
        <w:tc>
          <w:tcPr>
            <w:tcW w:w="0" w:type="auto"/>
            <w:tcBorders>
              <w:top w:val="single" w:sz="8" w:space="0" w:color="000000"/>
              <w:left w:val="nil"/>
              <w:bottom w:val="single" w:sz="8" w:space="0" w:color="000000"/>
              <w:right w:val="nil"/>
              <w:tl2br w:val="nil"/>
              <w:tr2bl w:val="nil"/>
            </w:tcBorders>
            <w:shd w:val="clear" w:color="auto" w:fill="006DA7"/>
            <w:hideMark/>
          </w:tcPr>
          <w:p w:rsidR="00BE4661" w:rsidRPr="00F93A87" w:rsidRDefault="005670BA" w:rsidP="004C0905">
            <w:pPr>
              <w:keepNext/>
              <w:rPr>
                <w:b/>
                <w:color w:val="FFFFFF"/>
                <w:lang w:eastAsia="en-AU"/>
              </w:rPr>
            </w:pPr>
            <w:r w:rsidRPr="00F93A87">
              <w:rPr>
                <w:b/>
                <w:color w:val="FFFFFF"/>
                <w:lang w:eastAsia="en-AU"/>
              </w:rPr>
              <w:t>AUC</w:t>
            </w:r>
            <w:r w:rsidRPr="00F93A87">
              <w:rPr>
                <w:b/>
                <w:color w:val="FFFFFF"/>
                <w:vertAlign w:val="subscript"/>
                <w:lang w:eastAsia="en-AU"/>
              </w:rPr>
              <w:t>0–24 h</w:t>
            </w:r>
            <w:r w:rsidRPr="00F93A87">
              <w:rPr>
                <w:b/>
                <w:color w:val="FFFFFF"/>
                <w:lang w:eastAsia="en-AU"/>
              </w:rPr>
              <w:t xml:space="preserve"> </w:t>
            </w:r>
            <w:r w:rsidR="00BE4661" w:rsidRPr="00F93A87">
              <w:rPr>
                <w:b/>
                <w:color w:val="FFFFFF"/>
                <w:lang w:eastAsia="en-AU"/>
              </w:rPr>
              <w:t>(</w:t>
            </w:r>
            <w:proofErr w:type="spellStart"/>
            <w:r w:rsidR="00BE4661" w:rsidRPr="00F93A87">
              <w:rPr>
                <w:b/>
                <w:color w:val="FFFFFF"/>
                <w:lang w:eastAsia="en-AU"/>
              </w:rPr>
              <w:t>ng∙h</w:t>
            </w:r>
            <w:proofErr w:type="spellEnd"/>
            <w:r w:rsidR="00BE4661" w:rsidRPr="00F93A87">
              <w:rPr>
                <w:b/>
                <w:color w:val="FFFFFF"/>
                <w:lang w:eastAsia="en-AU"/>
              </w:rPr>
              <w:t>/mL)</w:t>
            </w:r>
            <w:r w:rsidR="00BE4661" w:rsidRPr="00F93A87">
              <w:rPr>
                <w:b/>
                <w:color w:val="FFFFFF"/>
                <w:vertAlign w:val="superscript"/>
                <w:lang w:eastAsia="en-AU"/>
              </w:rPr>
              <w:t>$</w:t>
            </w:r>
          </w:p>
        </w:tc>
        <w:tc>
          <w:tcPr>
            <w:tcW w:w="0" w:type="auto"/>
            <w:tcBorders>
              <w:top w:val="single" w:sz="8" w:space="0" w:color="000000"/>
              <w:left w:val="nil"/>
              <w:bottom w:val="single" w:sz="8" w:space="0" w:color="000000"/>
              <w:right w:val="single" w:sz="8" w:space="0" w:color="000000"/>
              <w:tl2br w:val="nil"/>
              <w:tr2bl w:val="nil"/>
            </w:tcBorders>
            <w:shd w:val="clear" w:color="auto" w:fill="006DA7"/>
            <w:hideMark/>
          </w:tcPr>
          <w:p w:rsidR="00BE4661" w:rsidRPr="00F93A87" w:rsidRDefault="00BE4661" w:rsidP="004C0905">
            <w:pPr>
              <w:keepNext/>
              <w:rPr>
                <w:b/>
                <w:color w:val="FFFFFF"/>
                <w:lang w:eastAsia="en-AU"/>
              </w:rPr>
            </w:pPr>
            <w:r w:rsidRPr="00F93A87">
              <w:rPr>
                <w:b/>
                <w:color w:val="FFFFFF"/>
                <w:lang w:eastAsia="en-AU"/>
              </w:rPr>
              <w:t>Exposure ratio*</w:t>
            </w:r>
          </w:p>
        </w:tc>
      </w:tr>
      <w:tr w:rsidR="00BE4661" w:rsidRPr="005670BA" w:rsidTr="004C0905">
        <w:trPr>
          <w:trHeight w:val="223"/>
        </w:trPr>
        <w:tc>
          <w:tcPr>
            <w:tcW w:w="0" w:type="auto"/>
            <w:gridSpan w:val="4"/>
            <w:shd w:val="clear" w:color="auto" w:fill="auto"/>
            <w:hideMark/>
          </w:tcPr>
          <w:p w:rsidR="00BE4661" w:rsidRPr="004C0905" w:rsidRDefault="00BE4661" w:rsidP="00F93A87">
            <w:pPr>
              <w:rPr>
                <w:lang w:eastAsia="en-AU"/>
              </w:rPr>
            </w:pPr>
            <w:r w:rsidRPr="004C0905">
              <w:rPr>
                <w:lang w:eastAsia="en-AU"/>
              </w:rPr>
              <w:t>Mouse (CD-1)</w:t>
            </w:r>
          </w:p>
        </w:tc>
        <w:tc>
          <w:tcPr>
            <w:tcW w:w="0" w:type="auto"/>
            <w:gridSpan w:val="4"/>
            <w:shd w:val="clear" w:color="auto" w:fill="auto"/>
            <w:hideMark/>
          </w:tcPr>
          <w:p w:rsidR="00BE4661" w:rsidRPr="004C0905" w:rsidRDefault="00BE4661" w:rsidP="00F93A87">
            <w:pPr>
              <w:rPr>
                <w:lang w:eastAsia="en-AU"/>
              </w:rPr>
            </w:pPr>
            <w:r w:rsidRPr="004C0905">
              <w:rPr>
                <w:lang w:eastAsia="en-AU"/>
              </w:rPr>
              <w:t>Dog (Beagle)</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lang w:eastAsia="en-AU"/>
              </w:rPr>
            </w:pPr>
            <w:r w:rsidRPr="004C0905">
              <w:rPr>
                <w:lang w:eastAsia="en-AU"/>
              </w:rPr>
              <w:t>4 weeks</w:t>
            </w:r>
          </w:p>
        </w:tc>
        <w:tc>
          <w:tcPr>
            <w:tcW w:w="0" w:type="auto"/>
            <w:shd w:val="clear" w:color="auto" w:fill="auto"/>
            <w:hideMark/>
          </w:tcPr>
          <w:p w:rsidR="00BE4661" w:rsidRPr="004C0905" w:rsidRDefault="00BE4661" w:rsidP="00F93A87">
            <w:pPr>
              <w:rPr>
                <w:lang w:eastAsia="en-AU"/>
              </w:rPr>
            </w:pPr>
            <w:r w:rsidRPr="004C0905">
              <w:rPr>
                <w:lang w:eastAsia="en-AU"/>
              </w:rPr>
              <w:t>3</w:t>
            </w:r>
          </w:p>
        </w:tc>
        <w:tc>
          <w:tcPr>
            <w:tcW w:w="0" w:type="auto"/>
            <w:shd w:val="clear" w:color="auto" w:fill="auto"/>
            <w:hideMark/>
          </w:tcPr>
          <w:p w:rsidR="00BE4661" w:rsidRPr="004C0905" w:rsidRDefault="00BE4661" w:rsidP="00F93A87">
            <w:pPr>
              <w:rPr>
                <w:lang w:eastAsia="en-AU"/>
              </w:rPr>
            </w:pPr>
            <w:r w:rsidRPr="004C0905">
              <w:rPr>
                <w:lang w:eastAsia="en-AU"/>
              </w:rPr>
              <w:t>5</w:t>
            </w:r>
            <w:r w:rsidR="005670BA" w:rsidRPr="004C0905">
              <w:rPr>
                <w:lang w:eastAsia="en-AU"/>
              </w:rPr>
              <w:t>,</w:t>
            </w:r>
            <w:r w:rsidRPr="004C0905">
              <w:rPr>
                <w:lang w:eastAsia="en-AU"/>
              </w:rPr>
              <w:t>070</w:t>
            </w:r>
          </w:p>
        </w:tc>
        <w:tc>
          <w:tcPr>
            <w:tcW w:w="0" w:type="auto"/>
            <w:shd w:val="clear" w:color="auto" w:fill="auto"/>
            <w:hideMark/>
          </w:tcPr>
          <w:p w:rsidR="00BE4661" w:rsidRPr="004C0905" w:rsidRDefault="00BE4661" w:rsidP="00F93A87">
            <w:pPr>
              <w:rPr>
                <w:lang w:eastAsia="en-AU"/>
              </w:rPr>
            </w:pPr>
            <w:r w:rsidRPr="004C0905">
              <w:rPr>
                <w:lang w:eastAsia="en-AU"/>
              </w:rPr>
              <w:t>3.2</w:t>
            </w:r>
          </w:p>
        </w:tc>
        <w:tc>
          <w:tcPr>
            <w:tcW w:w="0" w:type="auto"/>
            <w:vMerge w:val="restart"/>
            <w:shd w:val="clear" w:color="auto" w:fill="auto"/>
            <w:hideMark/>
          </w:tcPr>
          <w:p w:rsidR="00BE4661" w:rsidRPr="004C0905" w:rsidRDefault="00BE4661" w:rsidP="00F93A87">
            <w:pPr>
              <w:rPr>
                <w:lang w:eastAsia="en-AU"/>
              </w:rPr>
            </w:pPr>
            <w:r w:rsidRPr="004C0905">
              <w:rPr>
                <w:lang w:eastAsia="en-AU"/>
              </w:rPr>
              <w:t>4 weeks</w:t>
            </w:r>
          </w:p>
        </w:tc>
        <w:tc>
          <w:tcPr>
            <w:tcW w:w="0" w:type="auto"/>
            <w:shd w:val="clear" w:color="auto" w:fill="auto"/>
            <w:hideMark/>
          </w:tcPr>
          <w:p w:rsidR="00BE4661" w:rsidRPr="004C0905" w:rsidRDefault="00BE4661" w:rsidP="00F93A87">
            <w:pPr>
              <w:rPr>
                <w:lang w:eastAsia="en-AU"/>
              </w:rPr>
            </w:pPr>
            <w:r w:rsidRPr="004C0905">
              <w:rPr>
                <w:lang w:eastAsia="en-AU"/>
              </w:rPr>
              <w:t>1</w:t>
            </w:r>
          </w:p>
        </w:tc>
        <w:tc>
          <w:tcPr>
            <w:tcW w:w="0" w:type="auto"/>
            <w:shd w:val="clear" w:color="auto" w:fill="auto"/>
            <w:hideMark/>
          </w:tcPr>
          <w:p w:rsidR="00BE4661" w:rsidRPr="004C0905" w:rsidRDefault="00BE4661" w:rsidP="00F93A87">
            <w:pPr>
              <w:rPr>
                <w:lang w:eastAsia="en-AU"/>
              </w:rPr>
            </w:pPr>
            <w:r w:rsidRPr="004C0905">
              <w:rPr>
                <w:lang w:eastAsia="en-AU"/>
              </w:rPr>
              <w:t>5</w:t>
            </w:r>
            <w:r w:rsidR="005670BA" w:rsidRPr="004C0905">
              <w:rPr>
                <w:lang w:eastAsia="en-AU"/>
              </w:rPr>
              <w:t>,</w:t>
            </w:r>
            <w:r w:rsidRPr="004C0905">
              <w:rPr>
                <w:lang w:eastAsia="en-AU"/>
              </w:rPr>
              <w:t>275</w:t>
            </w:r>
          </w:p>
        </w:tc>
        <w:tc>
          <w:tcPr>
            <w:tcW w:w="0" w:type="auto"/>
            <w:shd w:val="clear" w:color="auto" w:fill="auto"/>
            <w:hideMark/>
          </w:tcPr>
          <w:p w:rsidR="00BE4661" w:rsidRPr="004C0905" w:rsidRDefault="00BE4661" w:rsidP="00F93A87">
            <w:pPr>
              <w:rPr>
                <w:lang w:eastAsia="en-AU"/>
              </w:rPr>
            </w:pPr>
            <w:r w:rsidRPr="004C0905">
              <w:rPr>
                <w:lang w:eastAsia="en-AU"/>
              </w:rPr>
              <w:t>3.4</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10</w:t>
            </w:r>
          </w:p>
        </w:tc>
        <w:tc>
          <w:tcPr>
            <w:tcW w:w="0" w:type="auto"/>
            <w:shd w:val="clear" w:color="auto" w:fill="auto"/>
            <w:hideMark/>
          </w:tcPr>
          <w:p w:rsidR="00BE4661" w:rsidRPr="004C0905" w:rsidRDefault="00BE4661" w:rsidP="00F93A87">
            <w:pPr>
              <w:rPr>
                <w:lang w:eastAsia="en-AU"/>
              </w:rPr>
            </w:pPr>
            <w:r w:rsidRPr="004C0905">
              <w:rPr>
                <w:lang w:eastAsia="en-AU"/>
              </w:rPr>
              <w:t>30</w:t>
            </w:r>
            <w:r w:rsidR="005670BA" w:rsidRPr="004C0905">
              <w:rPr>
                <w:lang w:eastAsia="en-AU"/>
              </w:rPr>
              <w:t>,</w:t>
            </w:r>
            <w:r w:rsidRPr="004C0905">
              <w:rPr>
                <w:lang w:eastAsia="en-AU"/>
              </w:rPr>
              <w:t>221.5</w:t>
            </w:r>
          </w:p>
        </w:tc>
        <w:tc>
          <w:tcPr>
            <w:tcW w:w="0" w:type="auto"/>
            <w:shd w:val="clear" w:color="auto" w:fill="auto"/>
            <w:hideMark/>
          </w:tcPr>
          <w:p w:rsidR="00BE4661" w:rsidRPr="004C0905" w:rsidRDefault="00BE4661" w:rsidP="00F93A87">
            <w:pPr>
              <w:rPr>
                <w:lang w:eastAsia="en-AU"/>
              </w:rPr>
            </w:pPr>
            <w:r w:rsidRPr="004C0905">
              <w:rPr>
                <w:lang w:eastAsia="en-AU"/>
              </w:rPr>
              <w:t>19</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3</w:t>
            </w:r>
          </w:p>
        </w:tc>
        <w:tc>
          <w:tcPr>
            <w:tcW w:w="0" w:type="auto"/>
            <w:shd w:val="clear" w:color="auto" w:fill="auto"/>
            <w:hideMark/>
          </w:tcPr>
          <w:p w:rsidR="00BE4661" w:rsidRPr="004C0905" w:rsidRDefault="00BE4661" w:rsidP="00F93A87">
            <w:pPr>
              <w:rPr>
                <w:lang w:eastAsia="en-AU"/>
              </w:rPr>
            </w:pPr>
            <w:r w:rsidRPr="004C0905">
              <w:rPr>
                <w:lang w:eastAsia="en-AU"/>
              </w:rPr>
              <w:t>15</w:t>
            </w:r>
            <w:r w:rsidR="005670BA" w:rsidRPr="004C0905">
              <w:rPr>
                <w:lang w:eastAsia="en-AU"/>
              </w:rPr>
              <w:t>,</w:t>
            </w:r>
            <w:r w:rsidRPr="004C0905">
              <w:rPr>
                <w:lang w:eastAsia="en-AU"/>
              </w:rPr>
              <w:t>039</w:t>
            </w:r>
          </w:p>
        </w:tc>
        <w:tc>
          <w:tcPr>
            <w:tcW w:w="0" w:type="auto"/>
            <w:shd w:val="clear" w:color="auto" w:fill="auto"/>
            <w:hideMark/>
          </w:tcPr>
          <w:p w:rsidR="00BE4661" w:rsidRPr="004C0905" w:rsidRDefault="00BE4661" w:rsidP="00F93A87">
            <w:pPr>
              <w:rPr>
                <w:lang w:eastAsia="en-AU"/>
              </w:rPr>
            </w:pPr>
            <w:r w:rsidRPr="004C0905">
              <w:rPr>
                <w:lang w:eastAsia="en-AU"/>
              </w:rPr>
              <w:t>9.6</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30</w:t>
            </w:r>
          </w:p>
        </w:tc>
        <w:tc>
          <w:tcPr>
            <w:tcW w:w="0" w:type="auto"/>
            <w:shd w:val="clear" w:color="auto" w:fill="auto"/>
            <w:hideMark/>
          </w:tcPr>
          <w:p w:rsidR="00BE4661" w:rsidRPr="004C0905" w:rsidRDefault="00BE4661" w:rsidP="00F93A87">
            <w:pPr>
              <w:rPr>
                <w:lang w:eastAsia="en-AU"/>
              </w:rPr>
            </w:pPr>
            <w:r w:rsidRPr="004C0905">
              <w:rPr>
                <w:lang w:eastAsia="en-AU"/>
              </w:rPr>
              <w:t>138</w:t>
            </w:r>
            <w:r w:rsidR="005670BA" w:rsidRPr="004C0905">
              <w:rPr>
                <w:lang w:eastAsia="en-AU"/>
              </w:rPr>
              <w:t>,</w:t>
            </w:r>
            <w:r w:rsidRPr="004C0905">
              <w:rPr>
                <w:lang w:eastAsia="en-AU"/>
              </w:rPr>
              <w:t>416</w:t>
            </w:r>
          </w:p>
        </w:tc>
        <w:tc>
          <w:tcPr>
            <w:tcW w:w="0" w:type="auto"/>
            <w:shd w:val="clear" w:color="auto" w:fill="auto"/>
            <w:hideMark/>
          </w:tcPr>
          <w:p w:rsidR="00BE4661" w:rsidRPr="004C0905" w:rsidRDefault="00BE4661" w:rsidP="00F93A87">
            <w:pPr>
              <w:rPr>
                <w:lang w:eastAsia="en-AU"/>
              </w:rPr>
            </w:pPr>
            <w:r w:rsidRPr="004C0905">
              <w:rPr>
                <w:lang w:eastAsia="en-AU"/>
              </w:rPr>
              <w:t>88</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5</w:t>
            </w:r>
          </w:p>
        </w:tc>
        <w:tc>
          <w:tcPr>
            <w:tcW w:w="0" w:type="auto"/>
            <w:shd w:val="clear" w:color="auto" w:fill="auto"/>
            <w:hideMark/>
          </w:tcPr>
          <w:p w:rsidR="00BE4661" w:rsidRPr="004C0905" w:rsidRDefault="00BE4661" w:rsidP="00F93A87">
            <w:pPr>
              <w:rPr>
                <w:lang w:eastAsia="en-AU"/>
              </w:rPr>
            </w:pPr>
            <w:r w:rsidRPr="004C0905">
              <w:rPr>
                <w:lang w:eastAsia="en-AU"/>
              </w:rPr>
              <w:t>36</w:t>
            </w:r>
            <w:r w:rsidR="005670BA" w:rsidRPr="004C0905">
              <w:rPr>
                <w:lang w:eastAsia="en-AU"/>
              </w:rPr>
              <w:t>,</w:t>
            </w:r>
            <w:r w:rsidRPr="004C0905">
              <w:rPr>
                <w:lang w:eastAsia="en-AU"/>
              </w:rPr>
              <w:t>690</w:t>
            </w:r>
          </w:p>
        </w:tc>
        <w:tc>
          <w:tcPr>
            <w:tcW w:w="0" w:type="auto"/>
            <w:shd w:val="clear" w:color="auto" w:fill="auto"/>
            <w:hideMark/>
          </w:tcPr>
          <w:p w:rsidR="00BE4661" w:rsidRPr="004C0905" w:rsidRDefault="00BE4661" w:rsidP="00F93A87">
            <w:pPr>
              <w:rPr>
                <w:lang w:eastAsia="en-AU"/>
              </w:rPr>
            </w:pPr>
            <w:r w:rsidRPr="004C0905">
              <w:rPr>
                <w:lang w:eastAsia="en-AU"/>
              </w:rPr>
              <w:t>23</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lang w:eastAsia="en-AU"/>
              </w:rPr>
            </w:pPr>
            <w:r w:rsidRPr="004C0905">
              <w:rPr>
                <w:lang w:eastAsia="en-AU"/>
              </w:rPr>
              <w:t>13 weeks</w:t>
            </w:r>
          </w:p>
        </w:tc>
        <w:tc>
          <w:tcPr>
            <w:tcW w:w="0" w:type="auto"/>
            <w:shd w:val="clear" w:color="auto" w:fill="auto"/>
            <w:hideMark/>
          </w:tcPr>
          <w:p w:rsidR="00BE4661" w:rsidRPr="004C0905" w:rsidRDefault="00BE4661" w:rsidP="00F93A87">
            <w:pPr>
              <w:rPr>
                <w:lang w:eastAsia="en-AU"/>
              </w:rPr>
            </w:pPr>
            <w:r w:rsidRPr="004C0905">
              <w:rPr>
                <w:lang w:eastAsia="en-AU"/>
              </w:rPr>
              <w:t>1</w:t>
            </w:r>
          </w:p>
        </w:tc>
        <w:tc>
          <w:tcPr>
            <w:tcW w:w="0" w:type="auto"/>
            <w:shd w:val="clear" w:color="auto" w:fill="auto"/>
            <w:hideMark/>
          </w:tcPr>
          <w:p w:rsidR="00BE4661" w:rsidRPr="004C0905" w:rsidRDefault="00BE4661" w:rsidP="00F93A87">
            <w:pPr>
              <w:rPr>
                <w:lang w:eastAsia="en-AU"/>
              </w:rPr>
            </w:pPr>
            <w:r w:rsidRPr="004C0905">
              <w:rPr>
                <w:lang w:eastAsia="en-AU"/>
              </w:rPr>
              <w:t>949.8</w:t>
            </w:r>
          </w:p>
        </w:tc>
        <w:tc>
          <w:tcPr>
            <w:tcW w:w="0" w:type="auto"/>
            <w:shd w:val="clear" w:color="auto" w:fill="auto"/>
            <w:hideMark/>
          </w:tcPr>
          <w:p w:rsidR="00BE4661" w:rsidRPr="004C0905" w:rsidRDefault="00BE4661" w:rsidP="00F93A87">
            <w:pPr>
              <w:rPr>
                <w:lang w:eastAsia="en-AU"/>
              </w:rPr>
            </w:pPr>
            <w:r w:rsidRPr="004C0905">
              <w:rPr>
                <w:lang w:eastAsia="en-AU"/>
              </w:rPr>
              <w:t>0.6</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15</w:t>
            </w:r>
          </w:p>
        </w:tc>
        <w:tc>
          <w:tcPr>
            <w:tcW w:w="0" w:type="auto"/>
            <w:shd w:val="clear" w:color="auto" w:fill="auto"/>
            <w:hideMark/>
          </w:tcPr>
          <w:p w:rsidR="00BE4661" w:rsidRPr="004C0905" w:rsidRDefault="00BE4661" w:rsidP="00F93A87">
            <w:pPr>
              <w:rPr>
                <w:lang w:eastAsia="en-AU"/>
              </w:rPr>
            </w:pPr>
            <w:r w:rsidRPr="004C0905">
              <w:rPr>
                <w:lang w:eastAsia="en-AU"/>
              </w:rPr>
              <w:t>98</w:t>
            </w:r>
            <w:r w:rsidR="005670BA" w:rsidRPr="004C0905">
              <w:rPr>
                <w:lang w:eastAsia="en-AU"/>
              </w:rPr>
              <w:t>,</w:t>
            </w:r>
            <w:r w:rsidRPr="004C0905">
              <w:rPr>
                <w:lang w:eastAsia="en-AU"/>
              </w:rPr>
              <w:t>240</w:t>
            </w:r>
          </w:p>
        </w:tc>
        <w:tc>
          <w:tcPr>
            <w:tcW w:w="0" w:type="auto"/>
            <w:shd w:val="clear" w:color="auto" w:fill="auto"/>
            <w:hideMark/>
          </w:tcPr>
          <w:p w:rsidR="00BE4661" w:rsidRPr="004C0905" w:rsidRDefault="00BE4661" w:rsidP="00F93A87">
            <w:pPr>
              <w:rPr>
                <w:lang w:eastAsia="en-AU"/>
              </w:rPr>
            </w:pPr>
            <w:r w:rsidRPr="004C0905">
              <w:rPr>
                <w:lang w:eastAsia="en-AU"/>
              </w:rPr>
              <w:t>63</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3</w:t>
            </w:r>
          </w:p>
        </w:tc>
        <w:tc>
          <w:tcPr>
            <w:tcW w:w="0" w:type="auto"/>
            <w:shd w:val="clear" w:color="auto" w:fill="auto"/>
            <w:hideMark/>
          </w:tcPr>
          <w:p w:rsidR="00BE4661" w:rsidRPr="004C0905" w:rsidRDefault="00BE4661" w:rsidP="00F93A87">
            <w:pPr>
              <w:rPr>
                <w:lang w:eastAsia="en-AU"/>
              </w:rPr>
            </w:pPr>
            <w:r w:rsidRPr="004C0905">
              <w:rPr>
                <w:lang w:eastAsia="en-AU"/>
              </w:rPr>
              <w:t>7</w:t>
            </w:r>
            <w:r w:rsidR="005670BA" w:rsidRPr="004C0905">
              <w:rPr>
                <w:lang w:eastAsia="en-AU"/>
              </w:rPr>
              <w:t>,</w:t>
            </w:r>
            <w:r w:rsidRPr="004C0905">
              <w:rPr>
                <w:lang w:eastAsia="en-AU"/>
              </w:rPr>
              <w:t>623.8</w:t>
            </w:r>
          </w:p>
        </w:tc>
        <w:tc>
          <w:tcPr>
            <w:tcW w:w="0" w:type="auto"/>
            <w:shd w:val="clear" w:color="auto" w:fill="auto"/>
            <w:hideMark/>
          </w:tcPr>
          <w:p w:rsidR="00BE4661" w:rsidRPr="004C0905" w:rsidRDefault="00BE4661" w:rsidP="00F93A87">
            <w:pPr>
              <w:rPr>
                <w:lang w:eastAsia="en-AU"/>
              </w:rPr>
            </w:pPr>
            <w:r w:rsidRPr="004C0905">
              <w:rPr>
                <w:lang w:eastAsia="en-AU"/>
              </w:rPr>
              <w:t>4.9</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50</w:t>
            </w:r>
          </w:p>
        </w:tc>
        <w:tc>
          <w:tcPr>
            <w:tcW w:w="0" w:type="auto"/>
            <w:shd w:val="clear" w:color="auto" w:fill="auto"/>
            <w:hideMark/>
          </w:tcPr>
          <w:p w:rsidR="00BE4661" w:rsidRPr="004C0905" w:rsidRDefault="00BE4661" w:rsidP="00F93A87">
            <w:pPr>
              <w:rPr>
                <w:lang w:eastAsia="en-AU"/>
              </w:rPr>
            </w:pPr>
            <w:r w:rsidRPr="004C0905">
              <w:rPr>
                <w:lang w:eastAsia="en-AU"/>
              </w:rPr>
              <w:t>229</w:t>
            </w:r>
            <w:r w:rsidR="005670BA" w:rsidRPr="004C0905">
              <w:rPr>
                <w:lang w:eastAsia="en-AU"/>
              </w:rPr>
              <w:t>,</w:t>
            </w:r>
            <w:r w:rsidRPr="004C0905">
              <w:rPr>
                <w:lang w:eastAsia="en-AU"/>
              </w:rPr>
              <w:t>735</w:t>
            </w:r>
          </w:p>
        </w:tc>
        <w:tc>
          <w:tcPr>
            <w:tcW w:w="0" w:type="auto"/>
            <w:shd w:val="clear" w:color="auto" w:fill="auto"/>
            <w:hideMark/>
          </w:tcPr>
          <w:p w:rsidR="00BE4661" w:rsidRPr="004C0905" w:rsidRDefault="00BE4661" w:rsidP="00F93A87">
            <w:pPr>
              <w:rPr>
                <w:lang w:eastAsia="en-AU"/>
              </w:rPr>
            </w:pPr>
            <w:r w:rsidRPr="004C0905">
              <w:rPr>
                <w:lang w:eastAsia="en-AU"/>
              </w:rPr>
              <w:t>147</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10</w:t>
            </w:r>
          </w:p>
        </w:tc>
        <w:tc>
          <w:tcPr>
            <w:tcW w:w="0" w:type="auto"/>
            <w:shd w:val="clear" w:color="auto" w:fill="auto"/>
            <w:hideMark/>
          </w:tcPr>
          <w:p w:rsidR="00BE4661" w:rsidRPr="004C0905" w:rsidRDefault="00BE4661" w:rsidP="00F93A87">
            <w:pPr>
              <w:rPr>
                <w:lang w:eastAsia="en-AU"/>
              </w:rPr>
            </w:pPr>
            <w:r w:rsidRPr="004C0905">
              <w:rPr>
                <w:lang w:eastAsia="en-AU"/>
              </w:rPr>
              <w:t>40</w:t>
            </w:r>
            <w:r w:rsidR="005670BA" w:rsidRPr="004C0905">
              <w:rPr>
                <w:lang w:eastAsia="en-AU"/>
              </w:rPr>
              <w:t>,</w:t>
            </w:r>
            <w:r w:rsidRPr="004C0905">
              <w:rPr>
                <w:lang w:eastAsia="en-AU"/>
              </w:rPr>
              <w:t>261</w:t>
            </w:r>
          </w:p>
        </w:tc>
        <w:tc>
          <w:tcPr>
            <w:tcW w:w="0" w:type="auto"/>
            <w:shd w:val="clear" w:color="auto" w:fill="auto"/>
            <w:hideMark/>
          </w:tcPr>
          <w:p w:rsidR="00BE4661" w:rsidRPr="004C0905" w:rsidRDefault="00BE4661" w:rsidP="00F93A87">
            <w:pPr>
              <w:rPr>
                <w:lang w:eastAsia="en-AU"/>
              </w:rPr>
            </w:pPr>
            <w:r w:rsidRPr="004C0905">
              <w:rPr>
                <w:lang w:eastAsia="en-AU"/>
              </w:rPr>
              <w:t>26</w:t>
            </w:r>
          </w:p>
        </w:tc>
        <w:tc>
          <w:tcPr>
            <w:tcW w:w="0" w:type="auto"/>
            <w:vMerge w:val="restart"/>
            <w:shd w:val="clear" w:color="auto" w:fill="auto"/>
            <w:hideMark/>
          </w:tcPr>
          <w:p w:rsidR="00BE4661" w:rsidRPr="004C0905" w:rsidRDefault="00BE4661" w:rsidP="00F93A87">
            <w:pPr>
              <w:rPr>
                <w:lang w:eastAsia="en-AU"/>
              </w:rPr>
            </w:pPr>
            <w:r w:rsidRPr="004C0905">
              <w:rPr>
                <w:lang w:eastAsia="en-AU"/>
              </w:rPr>
              <w:t>4 weeks</w:t>
            </w:r>
          </w:p>
        </w:tc>
        <w:tc>
          <w:tcPr>
            <w:tcW w:w="0" w:type="auto"/>
            <w:shd w:val="clear" w:color="auto" w:fill="auto"/>
            <w:hideMark/>
          </w:tcPr>
          <w:p w:rsidR="00BE4661" w:rsidRPr="004C0905" w:rsidRDefault="00BE4661" w:rsidP="00F93A87">
            <w:pPr>
              <w:rPr>
                <w:lang w:eastAsia="en-AU"/>
              </w:rPr>
            </w:pPr>
            <w:r w:rsidRPr="004C0905">
              <w:rPr>
                <w:lang w:eastAsia="en-AU"/>
              </w:rPr>
              <w:t>3 [10]</w:t>
            </w:r>
          </w:p>
        </w:tc>
        <w:tc>
          <w:tcPr>
            <w:tcW w:w="0" w:type="auto"/>
            <w:shd w:val="clear" w:color="auto" w:fill="auto"/>
            <w:hideMark/>
          </w:tcPr>
          <w:p w:rsidR="00BE4661" w:rsidRPr="004C0905" w:rsidRDefault="00BE4661" w:rsidP="00F93A87">
            <w:pPr>
              <w:rPr>
                <w:lang w:eastAsia="en-AU"/>
              </w:rPr>
            </w:pPr>
            <w:r w:rsidRPr="004C0905">
              <w:rPr>
                <w:lang w:eastAsia="en-AU"/>
              </w:rPr>
              <w:t>12</w:t>
            </w:r>
            <w:r w:rsidR="005670BA" w:rsidRPr="004C0905">
              <w:rPr>
                <w:lang w:eastAsia="en-AU"/>
              </w:rPr>
              <w:t>,</w:t>
            </w:r>
            <w:r w:rsidRPr="004C0905">
              <w:rPr>
                <w:lang w:eastAsia="en-AU"/>
              </w:rPr>
              <w:t>365</w:t>
            </w:r>
          </w:p>
        </w:tc>
        <w:tc>
          <w:tcPr>
            <w:tcW w:w="0" w:type="auto"/>
            <w:shd w:val="clear" w:color="auto" w:fill="auto"/>
            <w:hideMark/>
          </w:tcPr>
          <w:p w:rsidR="00BE4661" w:rsidRPr="004C0905" w:rsidRDefault="00BE4661" w:rsidP="00F93A87">
            <w:pPr>
              <w:rPr>
                <w:lang w:eastAsia="en-AU"/>
              </w:rPr>
            </w:pPr>
            <w:r w:rsidRPr="004C0905">
              <w:rPr>
                <w:lang w:eastAsia="en-AU"/>
              </w:rPr>
              <w:t>7.9</w:t>
            </w:r>
          </w:p>
        </w:tc>
      </w:tr>
      <w:tr w:rsidR="00424B91" w:rsidRPr="005670BA" w:rsidTr="004C0905">
        <w:trPr>
          <w:trHeight w:val="223"/>
        </w:trPr>
        <w:tc>
          <w:tcPr>
            <w:tcW w:w="0" w:type="auto"/>
            <w:gridSpan w:val="4"/>
            <w:shd w:val="clear" w:color="auto" w:fill="auto"/>
            <w:hideMark/>
          </w:tcPr>
          <w:p w:rsidR="00BE4661" w:rsidRPr="004C0905" w:rsidRDefault="00BE4661" w:rsidP="00F93A87">
            <w:pPr>
              <w:rPr>
                <w:lang w:eastAsia="en-AU"/>
              </w:rPr>
            </w:pPr>
            <w:r w:rsidRPr="004C0905">
              <w:rPr>
                <w:lang w:eastAsia="en-AU"/>
              </w:rPr>
              <w:t>Rat (</w:t>
            </w:r>
            <w:proofErr w:type="spellStart"/>
            <w:r w:rsidRPr="004C0905">
              <w:rPr>
                <w:lang w:eastAsia="en-AU"/>
              </w:rPr>
              <w:t>Wistar</w:t>
            </w:r>
            <w:proofErr w:type="spellEnd"/>
            <w:r w:rsidRPr="004C0905">
              <w:rPr>
                <w:lang w:eastAsia="en-AU"/>
              </w:rPr>
              <w:t>)</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7.5 [15]</w:t>
            </w:r>
          </w:p>
        </w:tc>
        <w:tc>
          <w:tcPr>
            <w:tcW w:w="0" w:type="auto"/>
            <w:shd w:val="clear" w:color="auto" w:fill="auto"/>
            <w:hideMark/>
          </w:tcPr>
          <w:p w:rsidR="00BE4661" w:rsidRPr="004C0905" w:rsidRDefault="00BE4661" w:rsidP="00F93A87">
            <w:pPr>
              <w:rPr>
                <w:lang w:eastAsia="en-AU"/>
              </w:rPr>
            </w:pPr>
            <w:r w:rsidRPr="004C0905">
              <w:rPr>
                <w:lang w:eastAsia="en-AU"/>
              </w:rPr>
              <w:t>31</w:t>
            </w:r>
            <w:r w:rsidR="005670BA" w:rsidRPr="004C0905">
              <w:rPr>
                <w:lang w:eastAsia="en-AU"/>
              </w:rPr>
              <w:t>,</w:t>
            </w:r>
            <w:r w:rsidRPr="004C0905">
              <w:rPr>
                <w:lang w:eastAsia="en-AU"/>
              </w:rPr>
              <w:t>445</w:t>
            </w:r>
          </w:p>
        </w:tc>
        <w:tc>
          <w:tcPr>
            <w:tcW w:w="0" w:type="auto"/>
            <w:shd w:val="clear" w:color="auto" w:fill="auto"/>
            <w:hideMark/>
          </w:tcPr>
          <w:p w:rsidR="00BE4661" w:rsidRPr="004C0905" w:rsidRDefault="00BE4661" w:rsidP="00F93A87">
            <w:pPr>
              <w:rPr>
                <w:lang w:eastAsia="en-AU"/>
              </w:rPr>
            </w:pPr>
            <w:r w:rsidRPr="004C0905">
              <w:rPr>
                <w:lang w:eastAsia="en-AU"/>
              </w:rPr>
              <w:t>20</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lang w:eastAsia="en-AU"/>
              </w:rPr>
            </w:pPr>
            <w:r w:rsidRPr="004C0905">
              <w:rPr>
                <w:lang w:eastAsia="en-AU"/>
              </w:rPr>
              <w:t>4 weeks</w:t>
            </w:r>
          </w:p>
        </w:tc>
        <w:tc>
          <w:tcPr>
            <w:tcW w:w="0" w:type="auto"/>
            <w:shd w:val="clear" w:color="auto" w:fill="auto"/>
            <w:hideMark/>
          </w:tcPr>
          <w:p w:rsidR="00BE4661" w:rsidRPr="004C0905" w:rsidRDefault="00BE4661" w:rsidP="00F93A87">
            <w:pPr>
              <w:rPr>
                <w:lang w:eastAsia="en-AU"/>
              </w:rPr>
            </w:pPr>
            <w:r w:rsidRPr="004C0905">
              <w:rPr>
                <w:lang w:eastAsia="en-AU"/>
              </w:rPr>
              <w:t>3</w:t>
            </w:r>
          </w:p>
        </w:tc>
        <w:tc>
          <w:tcPr>
            <w:tcW w:w="0" w:type="auto"/>
            <w:shd w:val="clear" w:color="auto" w:fill="auto"/>
            <w:hideMark/>
          </w:tcPr>
          <w:p w:rsidR="00BE4661" w:rsidRPr="004C0905" w:rsidRDefault="00BE4661" w:rsidP="00F93A87">
            <w:pPr>
              <w:rPr>
                <w:lang w:eastAsia="en-AU"/>
              </w:rPr>
            </w:pPr>
            <w:r w:rsidRPr="004C0905">
              <w:rPr>
                <w:lang w:eastAsia="en-AU"/>
              </w:rPr>
              <w:t>24</w:t>
            </w:r>
            <w:r w:rsidR="005670BA" w:rsidRPr="004C0905">
              <w:rPr>
                <w:lang w:eastAsia="en-AU"/>
              </w:rPr>
              <w:t>,</w:t>
            </w:r>
            <w:r w:rsidRPr="004C0905">
              <w:rPr>
                <w:lang w:eastAsia="en-AU"/>
              </w:rPr>
              <w:t>540</w:t>
            </w:r>
          </w:p>
        </w:tc>
        <w:tc>
          <w:tcPr>
            <w:tcW w:w="0" w:type="auto"/>
            <w:shd w:val="clear" w:color="auto" w:fill="auto"/>
            <w:hideMark/>
          </w:tcPr>
          <w:p w:rsidR="00BE4661" w:rsidRPr="004C0905" w:rsidRDefault="00BE4661" w:rsidP="00F93A87">
            <w:pPr>
              <w:rPr>
                <w:lang w:eastAsia="en-AU"/>
              </w:rPr>
            </w:pPr>
            <w:r w:rsidRPr="004C0905">
              <w:rPr>
                <w:lang w:eastAsia="en-AU"/>
              </w:rPr>
              <w:t>16</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15 [15]</w:t>
            </w:r>
          </w:p>
        </w:tc>
        <w:tc>
          <w:tcPr>
            <w:tcW w:w="0" w:type="auto"/>
            <w:shd w:val="clear" w:color="auto" w:fill="auto"/>
            <w:hideMark/>
          </w:tcPr>
          <w:p w:rsidR="00BE4661" w:rsidRPr="004C0905" w:rsidRDefault="00BE4661" w:rsidP="00F93A87">
            <w:pPr>
              <w:rPr>
                <w:lang w:eastAsia="en-AU"/>
              </w:rPr>
            </w:pPr>
            <w:r w:rsidRPr="004C0905">
              <w:rPr>
                <w:lang w:eastAsia="en-AU"/>
              </w:rPr>
              <w:t>73</w:t>
            </w:r>
            <w:r w:rsidR="005670BA" w:rsidRPr="004C0905">
              <w:rPr>
                <w:lang w:eastAsia="en-AU"/>
              </w:rPr>
              <w:t>,</w:t>
            </w:r>
            <w:r w:rsidRPr="004C0905">
              <w:rPr>
                <w:lang w:eastAsia="en-AU"/>
              </w:rPr>
              <w:t>485</w:t>
            </w:r>
          </w:p>
        </w:tc>
        <w:tc>
          <w:tcPr>
            <w:tcW w:w="0" w:type="auto"/>
            <w:shd w:val="clear" w:color="auto" w:fill="auto"/>
            <w:hideMark/>
          </w:tcPr>
          <w:p w:rsidR="00BE4661" w:rsidRPr="004C0905" w:rsidRDefault="00BE4661" w:rsidP="00F93A87">
            <w:pPr>
              <w:rPr>
                <w:lang w:eastAsia="en-AU"/>
              </w:rPr>
            </w:pPr>
            <w:r w:rsidRPr="004C0905">
              <w:rPr>
                <w:lang w:eastAsia="en-AU"/>
              </w:rPr>
              <w:t>47</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10</w:t>
            </w:r>
          </w:p>
        </w:tc>
        <w:tc>
          <w:tcPr>
            <w:tcW w:w="0" w:type="auto"/>
            <w:shd w:val="clear" w:color="auto" w:fill="auto"/>
            <w:hideMark/>
          </w:tcPr>
          <w:p w:rsidR="00BE4661" w:rsidRPr="004C0905" w:rsidRDefault="00BE4661" w:rsidP="00F93A87">
            <w:pPr>
              <w:rPr>
                <w:lang w:eastAsia="en-AU"/>
              </w:rPr>
            </w:pPr>
            <w:r w:rsidRPr="004C0905">
              <w:rPr>
                <w:lang w:eastAsia="en-AU"/>
              </w:rPr>
              <w:t>51</w:t>
            </w:r>
            <w:r w:rsidR="005670BA" w:rsidRPr="004C0905">
              <w:rPr>
                <w:lang w:eastAsia="en-AU"/>
              </w:rPr>
              <w:t>,</w:t>
            </w:r>
            <w:r w:rsidRPr="004C0905">
              <w:rPr>
                <w:lang w:eastAsia="en-AU"/>
              </w:rPr>
              <w:t>590</w:t>
            </w:r>
          </w:p>
        </w:tc>
        <w:tc>
          <w:tcPr>
            <w:tcW w:w="0" w:type="auto"/>
            <w:shd w:val="clear" w:color="auto" w:fill="auto"/>
            <w:hideMark/>
          </w:tcPr>
          <w:p w:rsidR="00BE4661" w:rsidRPr="004C0905" w:rsidRDefault="00BE4661" w:rsidP="00F93A87">
            <w:pPr>
              <w:rPr>
                <w:lang w:eastAsia="en-AU"/>
              </w:rPr>
            </w:pPr>
            <w:r w:rsidRPr="004C0905">
              <w:rPr>
                <w:lang w:eastAsia="en-AU"/>
              </w:rPr>
              <w:t>33</w:t>
            </w:r>
          </w:p>
        </w:tc>
        <w:tc>
          <w:tcPr>
            <w:tcW w:w="0" w:type="auto"/>
            <w:vMerge w:val="restart"/>
            <w:shd w:val="clear" w:color="auto" w:fill="auto"/>
            <w:hideMark/>
          </w:tcPr>
          <w:p w:rsidR="00BE4661" w:rsidRPr="004C0905" w:rsidRDefault="00BE4661" w:rsidP="00F93A87">
            <w:pPr>
              <w:rPr>
                <w:lang w:eastAsia="en-AU"/>
              </w:rPr>
            </w:pPr>
            <w:r w:rsidRPr="004C0905">
              <w:rPr>
                <w:lang w:eastAsia="en-AU"/>
              </w:rPr>
              <w:t>13 weeks</w:t>
            </w:r>
          </w:p>
        </w:tc>
        <w:tc>
          <w:tcPr>
            <w:tcW w:w="0" w:type="auto"/>
            <w:shd w:val="clear" w:color="auto" w:fill="auto"/>
            <w:hideMark/>
          </w:tcPr>
          <w:p w:rsidR="00BE4661" w:rsidRPr="004C0905" w:rsidRDefault="00BE4661" w:rsidP="00F93A87">
            <w:pPr>
              <w:rPr>
                <w:lang w:eastAsia="en-AU"/>
              </w:rPr>
            </w:pPr>
            <w:r w:rsidRPr="004C0905">
              <w:rPr>
                <w:lang w:eastAsia="en-AU"/>
              </w:rPr>
              <w:t>1</w:t>
            </w:r>
          </w:p>
        </w:tc>
        <w:tc>
          <w:tcPr>
            <w:tcW w:w="0" w:type="auto"/>
            <w:shd w:val="clear" w:color="auto" w:fill="auto"/>
            <w:hideMark/>
          </w:tcPr>
          <w:p w:rsidR="00BE4661" w:rsidRPr="004C0905" w:rsidRDefault="00BE4661" w:rsidP="00F93A87">
            <w:pPr>
              <w:rPr>
                <w:lang w:eastAsia="en-AU"/>
              </w:rPr>
            </w:pPr>
            <w:r w:rsidRPr="004C0905">
              <w:rPr>
                <w:lang w:eastAsia="en-AU"/>
              </w:rPr>
              <w:t>4</w:t>
            </w:r>
            <w:r w:rsidR="005670BA" w:rsidRPr="004C0905">
              <w:rPr>
                <w:lang w:eastAsia="en-AU"/>
              </w:rPr>
              <w:t>,</w:t>
            </w:r>
            <w:r w:rsidRPr="004C0905">
              <w:rPr>
                <w:lang w:eastAsia="en-AU"/>
              </w:rPr>
              <w:t>894</w:t>
            </w:r>
          </w:p>
        </w:tc>
        <w:tc>
          <w:tcPr>
            <w:tcW w:w="0" w:type="auto"/>
            <w:shd w:val="clear" w:color="auto" w:fill="auto"/>
            <w:hideMark/>
          </w:tcPr>
          <w:p w:rsidR="00BE4661" w:rsidRPr="004C0905" w:rsidRDefault="00BE4661" w:rsidP="00F93A87">
            <w:pPr>
              <w:rPr>
                <w:lang w:eastAsia="en-AU"/>
              </w:rPr>
            </w:pPr>
            <w:r w:rsidRPr="004C0905">
              <w:rPr>
                <w:lang w:eastAsia="en-AU"/>
              </w:rPr>
              <w:t>3.1</w:t>
            </w:r>
          </w:p>
        </w:tc>
      </w:tr>
      <w:tr w:rsidR="00424B91" w:rsidRPr="005670BA" w:rsidTr="004C0905">
        <w:trPr>
          <w:trHeight w:val="223"/>
        </w:trPr>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30</w:t>
            </w:r>
          </w:p>
        </w:tc>
        <w:tc>
          <w:tcPr>
            <w:tcW w:w="0" w:type="auto"/>
            <w:shd w:val="clear" w:color="auto" w:fill="auto"/>
            <w:hideMark/>
          </w:tcPr>
          <w:p w:rsidR="00BE4661" w:rsidRPr="004C0905" w:rsidRDefault="00BE4661" w:rsidP="00F93A87">
            <w:pPr>
              <w:rPr>
                <w:lang w:eastAsia="en-AU"/>
              </w:rPr>
            </w:pPr>
            <w:r w:rsidRPr="004C0905">
              <w:rPr>
                <w:lang w:eastAsia="en-AU"/>
              </w:rPr>
              <w:t>93</w:t>
            </w:r>
            <w:r w:rsidR="005670BA" w:rsidRPr="004C0905">
              <w:rPr>
                <w:lang w:eastAsia="en-AU"/>
              </w:rPr>
              <w:t>,</w:t>
            </w:r>
            <w:r w:rsidRPr="004C0905">
              <w:rPr>
                <w:lang w:eastAsia="en-AU"/>
              </w:rPr>
              <w:t>225</w:t>
            </w:r>
          </w:p>
        </w:tc>
        <w:tc>
          <w:tcPr>
            <w:tcW w:w="0" w:type="auto"/>
            <w:shd w:val="clear" w:color="auto" w:fill="auto"/>
            <w:hideMark/>
          </w:tcPr>
          <w:p w:rsidR="00BE4661" w:rsidRPr="004C0905" w:rsidRDefault="00BE4661" w:rsidP="00F93A87">
            <w:pPr>
              <w:rPr>
                <w:lang w:eastAsia="en-AU"/>
              </w:rPr>
            </w:pPr>
            <w:r w:rsidRPr="004C0905">
              <w:rPr>
                <w:lang w:eastAsia="en-AU"/>
              </w:rPr>
              <w:t>60</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3</w:t>
            </w:r>
          </w:p>
        </w:tc>
        <w:tc>
          <w:tcPr>
            <w:tcW w:w="0" w:type="auto"/>
            <w:shd w:val="clear" w:color="auto" w:fill="auto"/>
            <w:hideMark/>
          </w:tcPr>
          <w:p w:rsidR="00BE4661" w:rsidRPr="004C0905" w:rsidRDefault="00BE4661" w:rsidP="00F93A87">
            <w:pPr>
              <w:rPr>
                <w:lang w:eastAsia="en-AU"/>
              </w:rPr>
            </w:pPr>
            <w:r w:rsidRPr="004C0905">
              <w:rPr>
                <w:lang w:eastAsia="en-AU"/>
              </w:rPr>
              <w:t>10</w:t>
            </w:r>
            <w:r w:rsidR="005670BA" w:rsidRPr="004C0905">
              <w:rPr>
                <w:lang w:eastAsia="en-AU"/>
              </w:rPr>
              <w:t>,</w:t>
            </w:r>
            <w:r w:rsidRPr="004C0905">
              <w:rPr>
                <w:lang w:eastAsia="en-AU"/>
              </w:rPr>
              <w:t>425</w:t>
            </w:r>
          </w:p>
        </w:tc>
        <w:tc>
          <w:tcPr>
            <w:tcW w:w="0" w:type="auto"/>
            <w:shd w:val="clear" w:color="auto" w:fill="auto"/>
            <w:hideMark/>
          </w:tcPr>
          <w:p w:rsidR="00BE4661" w:rsidRPr="004C0905" w:rsidRDefault="00BE4661" w:rsidP="00F93A87">
            <w:pPr>
              <w:rPr>
                <w:lang w:eastAsia="en-AU"/>
              </w:rPr>
            </w:pPr>
            <w:r w:rsidRPr="004C0905">
              <w:rPr>
                <w:lang w:eastAsia="en-AU"/>
              </w:rPr>
              <w:t>6.6</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lang w:eastAsia="en-AU"/>
              </w:rPr>
            </w:pPr>
            <w:r w:rsidRPr="004C0905">
              <w:rPr>
                <w:lang w:eastAsia="en-AU"/>
              </w:rPr>
              <w:t>4 weeks</w:t>
            </w:r>
          </w:p>
        </w:tc>
        <w:tc>
          <w:tcPr>
            <w:tcW w:w="0" w:type="auto"/>
            <w:shd w:val="clear" w:color="auto" w:fill="auto"/>
            <w:hideMark/>
          </w:tcPr>
          <w:p w:rsidR="00BE4661" w:rsidRPr="004C0905" w:rsidRDefault="00BE4661" w:rsidP="00F93A87">
            <w:pPr>
              <w:rPr>
                <w:lang w:eastAsia="en-AU"/>
              </w:rPr>
            </w:pPr>
            <w:r w:rsidRPr="004C0905">
              <w:rPr>
                <w:lang w:eastAsia="en-AU"/>
              </w:rPr>
              <w:t>3 [10]</w:t>
            </w:r>
          </w:p>
        </w:tc>
        <w:tc>
          <w:tcPr>
            <w:tcW w:w="0" w:type="auto"/>
            <w:shd w:val="clear" w:color="auto" w:fill="auto"/>
            <w:hideMark/>
          </w:tcPr>
          <w:p w:rsidR="00BE4661" w:rsidRPr="004C0905" w:rsidRDefault="00BE4661" w:rsidP="00F93A87">
            <w:pPr>
              <w:rPr>
                <w:lang w:eastAsia="en-AU"/>
              </w:rPr>
            </w:pPr>
            <w:r w:rsidRPr="004C0905">
              <w:rPr>
                <w:lang w:eastAsia="en-AU"/>
              </w:rPr>
              <w:t>19</w:t>
            </w:r>
            <w:r w:rsidR="005670BA" w:rsidRPr="004C0905">
              <w:rPr>
                <w:lang w:eastAsia="en-AU"/>
              </w:rPr>
              <w:t>,</w:t>
            </w:r>
            <w:r w:rsidRPr="004C0905">
              <w:rPr>
                <w:lang w:eastAsia="en-AU"/>
              </w:rPr>
              <w:t>140</w:t>
            </w:r>
          </w:p>
        </w:tc>
        <w:tc>
          <w:tcPr>
            <w:tcW w:w="0" w:type="auto"/>
            <w:shd w:val="clear" w:color="auto" w:fill="auto"/>
            <w:hideMark/>
          </w:tcPr>
          <w:p w:rsidR="00BE4661" w:rsidRPr="004C0905" w:rsidRDefault="00BE4661" w:rsidP="00F93A87">
            <w:pPr>
              <w:rPr>
                <w:lang w:eastAsia="en-AU"/>
              </w:rPr>
            </w:pPr>
            <w:r w:rsidRPr="004C0905">
              <w:rPr>
                <w:lang w:eastAsia="en-AU"/>
              </w:rPr>
              <w:t>12</w:t>
            </w:r>
          </w:p>
        </w:tc>
        <w:tc>
          <w:tcPr>
            <w:tcW w:w="0" w:type="auto"/>
            <w:vMerge/>
            <w:shd w:val="clear" w:color="auto" w:fill="auto"/>
            <w:hideMark/>
          </w:tcPr>
          <w:p w:rsidR="00BE4661" w:rsidRPr="004C0905" w:rsidRDefault="00BE4661" w:rsidP="00F93A87">
            <w:pPr>
              <w:rPr>
                <w:lang w:eastAsia="en-AU"/>
              </w:rPr>
            </w:pPr>
          </w:p>
        </w:tc>
        <w:tc>
          <w:tcPr>
            <w:tcW w:w="0" w:type="auto"/>
            <w:shd w:val="clear" w:color="auto" w:fill="auto"/>
            <w:hideMark/>
          </w:tcPr>
          <w:p w:rsidR="00BE4661" w:rsidRPr="004C0905" w:rsidRDefault="00BE4661" w:rsidP="00F93A87">
            <w:pPr>
              <w:rPr>
                <w:lang w:eastAsia="en-AU"/>
              </w:rPr>
            </w:pPr>
            <w:r w:rsidRPr="004C0905">
              <w:rPr>
                <w:lang w:eastAsia="en-AU"/>
              </w:rPr>
              <w:t>10</w:t>
            </w:r>
          </w:p>
        </w:tc>
        <w:tc>
          <w:tcPr>
            <w:tcW w:w="0" w:type="auto"/>
            <w:shd w:val="clear" w:color="auto" w:fill="auto"/>
            <w:hideMark/>
          </w:tcPr>
          <w:p w:rsidR="00BE4661" w:rsidRPr="004C0905" w:rsidRDefault="00BE4661" w:rsidP="00F93A87">
            <w:pPr>
              <w:rPr>
                <w:lang w:eastAsia="en-AU"/>
              </w:rPr>
            </w:pPr>
            <w:r w:rsidRPr="004C0905">
              <w:rPr>
                <w:lang w:eastAsia="en-AU"/>
              </w:rPr>
              <w:t>34</w:t>
            </w:r>
            <w:r w:rsidR="005670BA" w:rsidRPr="004C0905">
              <w:rPr>
                <w:lang w:eastAsia="en-AU"/>
              </w:rPr>
              <w:t>,</w:t>
            </w:r>
            <w:r w:rsidRPr="004C0905">
              <w:rPr>
                <w:lang w:eastAsia="en-AU"/>
              </w:rPr>
              <w:t>284</w:t>
            </w:r>
          </w:p>
        </w:tc>
        <w:tc>
          <w:tcPr>
            <w:tcW w:w="0" w:type="auto"/>
            <w:shd w:val="clear" w:color="auto" w:fill="auto"/>
            <w:hideMark/>
          </w:tcPr>
          <w:p w:rsidR="00BE4661" w:rsidRPr="004C0905" w:rsidRDefault="00BE4661" w:rsidP="00F93A87">
            <w:pPr>
              <w:rPr>
                <w:lang w:eastAsia="en-AU"/>
              </w:rPr>
            </w:pPr>
            <w:r w:rsidRPr="004C0905">
              <w:rPr>
                <w:lang w:eastAsia="en-AU"/>
              </w:rPr>
              <w:t>22</w:t>
            </w: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 [18]</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36</w:t>
            </w:r>
            <w:r w:rsidR="005670BA" w:rsidRPr="004C0905">
              <w:rPr>
                <w:color w:val="000000"/>
                <w:sz w:val="18"/>
                <w:szCs w:val="18"/>
                <w:lang w:eastAsia="en-AU"/>
              </w:rPr>
              <w:t>,</w:t>
            </w:r>
            <w:r w:rsidRPr="004C0905">
              <w:rPr>
                <w:color w:val="000000"/>
                <w:sz w:val="18"/>
                <w:szCs w:val="18"/>
                <w:lang w:eastAsia="en-AU"/>
              </w:rPr>
              <w:t>885</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24</w:t>
            </w:r>
          </w:p>
        </w:tc>
        <w:tc>
          <w:tcPr>
            <w:tcW w:w="0" w:type="auto"/>
            <w:vMerge w:val="restart"/>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 xml:space="preserve">13 </w:t>
            </w:r>
            <w:r w:rsidRPr="004C0905">
              <w:rPr>
                <w:color w:val="000000"/>
                <w:sz w:val="18"/>
                <w:szCs w:val="18"/>
                <w:lang w:eastAsia="en-AU"/>
              </w:rPr>
              <w:lastRenderedPageBreak/>
              <w:t>weeks</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lastRenderedPageBreak/>
              <w:t>1 [3]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w:t>
            </w:r>
            <w:r w:rsidR="005670BA" w:rsidRPr="004C0905">
              <w:rPr>
                <w:color w:val="000000"/>
                <w:sz w:val="18"/>
                <w:szCs w:val="18"/>
                <w:lang w:eastAsia="en-AU"/>
              </w:rPr>
              <w:t>,</w:t>
            </w:r>
            <w:r w:rsidRPr="004C0905">
              <w:rPr>
                <w:color w:val="000000"/>
                <w:sz w:val="18"/>
                <w:szCs w:val="18"/>
                <w:lang w:eastAsia="en-AU"/>
              </w:rPr>
              <w:t>287.5</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3.4</w:t>
            </w: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30 [60]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56</w:t>
            </w:r>
            <w:r w:rsidR="005670BA" w:rsidRPr="004C0905">
              <w:rPr>
                <w:color w:val="000000"/>
                <w:sz w:val="18"/>
                <w:szCs w:val="18"/>
                <w:lang w:eastAsia="en-AU"/>
              </w:rPr>
              <w:t>,</w:t>
            </w:r>
            <w:r w:rsidRPr="004C0905">
              <w:rPr>
                <w:color w:val="000000"/>
                <w:sz w:val="18"/>
                <w:szCs w:val="18"/>
                <w:lang w:eastAsia="en-AU"/>
              </w:rPr>
              <w:t>304</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36</w:t>
            </w:r>
          </w:p>
        </w:tc>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 [5]</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17</w:t>
            </w:r>
            <w:r w:rsidR="005670BA" w:rsidRPr="004C0905">
              <w:rPr>
                <w:color w:val="000000"/>
                <w:sz w:val="18"/>
                <w:szCs w:val="18"/>
                <w:lang w:eastAsia="en-AU"/>
              </w:rPr>
              <w:t>,</w:t>
            </w:r>
            <w:r w:rsidRPr="004C0905">
              <w:rPr>
                <w:color w:val="000000"/>
                <w:sz w:val="18"/>
                <w:szCs w:val="18"/>
                <w:lang w:eastAsia="en-AU"/>
              </w:rPr>
              <w:t>702</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11</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lastRenderedPageBreak/>
              <w:t>13 weeks</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22</w:t>
            </w:r>
            <w:r w:rsidR="005670BA" w:rsidRPr="004C0905">
              <w:rPr>
                <w:color w:val="000000"/>
                <w:sz w:val="18"/>
                <w:szCs w:val="18"/>
                <w:lang w:eastAsia="en-AU"/>
              </w:rPr>
              <w:t>,</w:t>
            </w:r>
            <w:r w:rsidRPr="004C0905">
              <w:rPr>
                <w:color w:val="000000"/>
                <w:sz w:val="18"/>
                <w:szCs w:val="18"/>
                <w:lang w:eastAsia="en-AU"/>
              </w:rPr>
              <w:t>870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15</w:t>
            </w:r>
          </w:p>
        </w:tc>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 [10]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47</w:t>
            </w:r>
            <w:r w:rsidR="005670BA" w:rsidRPr="004C0905">
              <w:rPr>
                <w:color w:val="000000"/>
                <w:sz w:val="18"/>
                <w:szCs w:val="18"/>
                <w:lang w:eastAsia="en-AU"/>
              </w:rPr>
              <w:t>,</w:t>
            </w:r>
            <w:r w:rsidRPr="004C0905">
              <w:rPr>
                <w:color w:val="000000"/>
                <w:sz w:val="18"/>
                <w:szCs w:val="18"/>
                <w:lang w:eastAsia="en-AU"/>
              </w:rPr>
              <w:t>840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31</w:t>
            </w: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48</w:t>
            </w:r>
            <w:r w:rsidR="005670BA" w:rsidRPr="004C0905">
              <w:rPr>
                <w:color w:val="000000"/>
                <w:sz w:val="18"/>
                <w:szCs w:val="18"/>
                <w:lang w:eastAsia="en-AU"/>
              </w:rPr>
              <w:t>,</w:t>
            </w:r>
            <w:r w:rsidRPr="004C0905">
              <w:rPr>
                <w:color w:val="000000"/>
                <w:sz w:val="18"/>
                <w:szCs w:val="18"/>
                <w:lang w:eastAsia="en-AU"/>
              </w:rPr>
              <w:t>225</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31</w:t>
            </w:r>
          </w:p>
        </w:tc>
        <w:tc>
          <w:tcPr>
            <w:tcW w:w="0" w:type="auto"/>
            <w:vMerge w:val="restart"/>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9 months</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7</w:t>
            </w:r>
            <w:r w:rsidR="005670BA" w:rsidRPr="004C0905">
              <w:rPr>
                <w:color w:val="000000"/>
                <w:sz w:val="18"/>
                <w:szCs w:val="18"/>
                <w:lang w:eastAsia="en-AU"/>
              </w:rPr>
              <w:t>,</w:t>
            </w:r>
            <w:r w:rsidRPr="004C0905">
              <w:rPr>
                <w:color w:val="000000"/>
                <w:sz w:val="18"/>
                <w:szCs w:val="18"/>
                <w:lang w:eastAsia="en-AU"/>
              </w:rPr>
              <w:t>427</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4.7</w:t>
            </w: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83</w:t>
            </w:r>
            <w:r w:rsidR="005670BA" w:rsidRPr="004C0905">
              <w:rPr>
                <w:color w:val="000000"/>
                <w:sz w:val="18"/>
                <w:szCs w:val="18"/>
                <w:lang w:eastAsia="en-AU"/>
              </w:rPr>
              <w:t>,</w:t>
            </w:r>
            <w:r w:rsidRPr="004C0905">
              <w:rPr>
                <w:color w:val="000000"/>
                <w:sz w:val="18"/>
                <w:szCs w:val="18"/>
                <w:lang w:eastAsia="en-AU"/>
              </w:rPr>
              <w:t>896</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54</w:t>
            </w:r>
          </w:p>
        </w:tc>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19</w:t>
            </w:r>
            <w:r w:rsidR="005670BA" w:rsidRPr="004C0905">
              <w:rPr>
                <w:color w:val="000000"/>
                <w:sz w:val="18"/>
                <w:szCs w:val="18"/>
                <w:lang w:eastAsia="en-AU"/>
              </w:rPr>
              <w:t>,</w:t>
            </w:r>
            <w:r w:rsidRPr="004C0905">
              <w:rPr>
                <w:color w:val="000000"/>
                <w:sz w:val="18"/>
                <w:szCs w:val="18"/>
                <w:lang w:eastAsia="en-AU"/>
              </w:rPr>
              <w:t>434</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12</w:t>
            </w:r>
          </w:p>
        </w:tc>
      </w:tr>
      <w:tr w:rsidR="00424B91" w:rsidRPr="005670BA" w:rsidTr="004C0905">
        <w:trPr>
          <w:trHeight w:val="223"/>
        </w:trPr>
        <w:tc>
          <w:tcPr>
            <w:tcW w:w="0" w:type="auto"/>
            <w:vMerge w:val="restart"/>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13 weeks</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 [2]</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21</w:t>
            </w:r>
            <w:r w:rsidR="005670BA" w:rsidRPr="004C0905">
              <w:rPr>
                <w:color w:val="000000"/>
                <w:sz w:val="18"/>
                <w:szCs w:val="18"/>
                <w:lang w:eastAsia="en-AU"/>
              </w:rPr>
              <w:t>,</w:t>
            </w:r>
            <w:r w:rsidRPr="004C0905">
              <w:rPr>
                <w:color w:val="000000"/>
                <w:sz w:val="18"/>
                <w:szCs w:val="18"/>
                <w:lang w:eastAsia="en-AU"/>
              </w:rPr>
              <w:t>300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14</w:t>
            </w:r>
          </w:p>
        </w:tc>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59</w:t>
            </w:r>
            <w:r w:rsidR="005670BA" w:rsidRPr="004C0905">
              <w:rPr>
                <w:color w:val="000000"/>
                <w:sz w:val="18"/>
                <w:szCs w:val="18"/>
                <w:lang w:eastAsia="en-AU"/>
              </w:rPr>
              <w:t>,</w:t>
            </w:r>
            <w:r w:rsidRPr="004C0905">
              <w:rPr>
                <w:color w:val="000000"/>
                <w:sz w:val="18"/>
                <w:szCs w:val="18"/>
                <w:lang w:eastAsia="en-AU"/>
              </w:rPr>
              <w:t>890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38</w:t>
            </w: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 [6]</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20</w:t>
            </w:r>
            <w:r w:rsidR="005670BA" w:rsidRPr="004C0905">
              <w:rPr>
                <w:color w:val="000000"/>
                <w:sz w:val="18"/>
                <w:szCs w:val="18"/>
                <w:lang w:eastAsia="en-AU"/>
              </w:rPr>
              <w:t>,</w:t>
            </w:r>
            <w:r w:rsidRPr="004C0905">
              <w:rPr>
                <w:color w:val="000000"/>
                <w:sz w:val="18"/>
                <w:szCs w:val="18"/>
                <w:lang w:eastAsia="en-AU"/>
              </w:rPr>
              <w:t>003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13</w:t>
            </w:r>
          </w:p>
        </w:tc>
        <w:tc>
          <w:tcPr>
            <w:tcW w:w="0" w:type="auto"/>
            <w:gridSpan w:val="4"/>
            <w:vMerge w:val="restart"/>
            <w:shd w:val="clear" w:color="auto" w:fill="auto"/>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 [18]</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38</w:t>
            </w:r>
            <w:r w:rsidR="005670BA" w:rsidRPr="004C0905">
              <w:rPr>
                <w:color w:val="000000"/>
                <w:sz w:val="18"/>
                <w:szCs w:val="18"/>
                <w:lang w:eastAsia="en-AU"/>
              </w:rPr>
              <w:t>,</w:t>
            </w:r>
            <w:r w:rsidRPr="004C0905">
              <w:rPr>
                <w:color w:val="000000"/>
                <w:sz w:val="18"/>
                <w:szCs w:val="18"/>
                <w:lang w:eastAsia="en-AU"/>
              </w:rPr>
              <w:t>061</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24</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 [0]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43</w:t>
            </w:r>
            <w:r w:rsidR="005670BA" w:rsidRPr="004C0905">
              <w:rPr>
                <w:color w:val="000000"/>
                <w:sz w:val="18"/>
                <w:szCs w:val="18"/>
                <w:lang w:eastAsia="en-AU"/>
              </w:rPr>
              <w:t>,</w:t>
            </w:r>
            <w:r w:rsidRPr="004C0905">
              <w:rPr>
                <w:color w:val="000000"/>
                <w:sz w:val="18"/>
                <w:szCs w:val="18"/>
                <w:lang w:eastAsia="en-AU"/>
              </w:rPr>
              <w:t>448</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28</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vMerge w:val="restart"/>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26 weeks</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8</w:t>
            </w:r>
            <w:r w:rsidR="005670BA" w:rsidRPr="004C0905">
              <w:rPr>
                <w:color w:val="000000"/>
                <w:sz w:val="18"/>
                <w:szCs w:val="18"/>
                <w:lang w:eastAsia="en-AU"/>
              </w:rPr>
              <w:t>,</w:t>
            </w:r>
            <w:r w:rsidRPr="004C0905">
              <w:rPr>
                <w:color w:val="000000"/>
                <w:sz w:val="18"/>
                <w:szCs w:val="18"/>
                <w:lang w:eastAsia="en-AU"/>
              </w:rPr>
              <w:t>295</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5.3</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28</w:t>
            </w:r>
            <w:r w:rsidR="005670BA" w:rsidRPr="004C0905">
              <w:rPr>
                <w:color w:val="000000"/>
                <w:sz w:val="18"/>
                <w:szCs w:val="18"/>
                <w:lang w:eastAsia="en-AU"/>
              </w:rPr>
              <w:t>,</w:t>
            </w:r>
            <w:r w:rsidRPr="004C0905">
              <w:rPr>
                <w:color w:val="000000"/>
                <w:sz w:val="18"/>
                <w:szCs w:val="18"/>
                <w:lang w:eastAsia="en-AU"/>
              </w:rPr>
              <w:t>171</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18</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vMerge/>
            <w:shd w:val="clear" w:color="auto" w:fill="auto"/>
            <w:hideMark/>
          </w:tcPr>
          <w:p w:rsidR="00BE4661" w:rsidRPr="004C0905" w:rsidRDefault="00BE4661" w:rsidP="00F93A87">
            <w:pPr>
              <w:rPr>
                <w:color w:val="000000"/>
                <w:sz w:val="18"/>
                <w:szCs w:val="18"/>
                <w:lang w:eastAsia="en-AU"/>
              </w:rPr>
            </w:pP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10</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50</w:t>
            </w:r>
            <w:r w:rsidR="005670BA" w:rsidRPr="004C0905">
              <w:rPr>
                <w:color w:val="000000"/>
                <w:sz w:val="18"/>
                <w:szCs w:val="18"/>
                <w:lang w:eastAsia="en-AU"/>
              </w:rPr>
              <w:t>,</w:t>
            </w:r>
            <w:r w:rsidRPr="004C0905">
              <w:rPr>
                <w:color w:val="000000"/>
                <w:sz w:val="18"/>
                <w:szCs w:val="18"/>
                <w:lang w:eastAsia="en-AU"/>
              </w:rPr>
              <w:t>013</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32</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BE4661" w:rsidRPr="005670BA" w:rsidTr="004C0905">
        <w:trPr>
          <w:trHeight w:val="223"/>
        </w:trPr>
        <w:tc>
          <w:tcPr>
            <w:tcW w:w="0" w:type="auto"/>
            <w:gridSpan w:val="4"/>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Human (Cancer patients)</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r w:rsidR="00424B91" w:rsidRPr="005670BA" w:rsidTr="004C0905">
        <w:trPr>
          <w:trHeight w:val="223"/>
        </w:trPr>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steady state</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[300/0.5 mg]</w:t>
            </w:r>
            <w:r w:rsidRPr="004C0905">
              <w:rPr>
                <w:color w:val="000000"/>
                <w:sz w:val="18"/>
                <w:szCs w:val="18"/>
                <w:vertAlign w:val="superscript"/>
                <w:lang w:eastAsia="en-AU"/>
              </w:rPr>
              <w:t>†</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32</w:t>
            </w:r>
            <w:r w:rsidR="005670BA" w:rsidRPr="004C0905">
              <w:rPr>
                <w:color w:val="000000"/>
                <w:sz w:val="18"/>
                <w:szCs w:val="18"/>
                <w:lang w:eastAsia="en-AU"/>
              </w:rPr>
              <w:t>,</w:t>
            </w:r>
            <w:r w:rsidRPr="004C0905">
              <w:rPr>
                <w:color w:val="000000"/>
                <w:sz w:val="18"/>
                <w:szCs w:val="18"/>
                <w:lang w:eastAsia="en-AU"/>
              </w:rPr>
              <w:t>924</w:t>
            </w:r>
            <w:r w:rsidRPr="004C0905">
              <w:rPr>
                <w:color w:val="000000"/>
                <w:sz w:val="18"/>
                <w:szCs w:val="18"/>
                <w:vertAlign w:val="superscript"/>
                <w:lang w:eastAsia="en-AU"/>
              </w:rPr>
              <w:t>‡</w:t>
            </w:r>
          </w:p>
        </w:tc>
        <w:tc>
          <w:tcPr>
            <w:tcW w:w="0" w:type="auto"/>
            <w:shd w:val="clear" w:color="auto" w:fill="auto"/>
            <w:hideMark/>
          </w:tcPr>
          <w:p w:rsidR="00BE4661" w:rsidRPr="004C0905" w:rsidRDefault="00BE4661" w:rsidP="00F93A87">
            <w:pPr>
              <w:rPr>
                <w:color w:val="000000"/>
                <w:sz w:val="18"/>
                <w:szCs w:val="18"/>
                <w:lang w:eastAsia="en-AU"/>
              </w:rPr>
            </w:pPr>
            <w:r w:rsidRPr="004C0905">
              <w:rPr>
                <w:color w:val="000000"/>
                <w:sz w:val="18"/>
                <w:szCs w:val="18"/>
                <w:lang w:eastAsia="en-AU"/>
              </w:rPr>
              <w:t>–</w:t>
            </w:r>
          </w:p>
        </w:tc>
        <w:tc>
          <w:tcPr>
            <w:tcW w:w="0" w:type="auto"/>
            <w:gridSpan w:val="4"/>
            <w:vMerge/>
            <w:shd w:val="clear" w:color="auto" w:fill="auto"/>
            <w:hideMark/>
          </w:tcPr>
          <w:p w:rsidR="00BE4661" w:rsidRPr="004C0905" w:rsidRDefault="00BE4661" w:rsidP="00F93A87">
            <w:pPr>
              <w:rPr>
                <w:color w:val="000000"/>
                <w:sz w:val="18"/>
                <w:szCs w:val="18"/>
                <w:lang w:eastAsia="en-AU"/>
              </w:rPr>
            </w:pPr>
          </w:p>
        </w:tc>
      </w:tr>
    </w:tbl>
    <w:p w:rsidR="00BE4661" w:rsidRPr="00886B33" w:rsidRDefault="00BE4661" w:rsidP="00F02C1E">
      <w:pPr>
        <w:pStyle w:val="TableDescription"/>
      </w:pPr>
      <w:r w:rsidRPr="00886B33">
        <w:rPr>
          <w:position w:val="-2"/>
          <w:vertAlign w:val="superscript"/>
        </w:rPr>
        <w:t>$</w:t>
      </w:r>
      <w:r w:rsidRPr="00886B33">
        <w:rPr>
          <w:position w:val="-2"/>
        </w:rPr>
        <w:t xml:space="preserve"> AUC values of netup</w:t>
      </w:r>
      <w:r w:rsidR="000474B0" w:rsidRPr="00886B33">
        <w:rPr>
          <w:position w:val="-2"/>
        </w:rPr>
        <w:t xml:space="preserve">itant, M1, M2 and M3 combined; </w:t>
      </w:r>
      <w:r w:rsidRPr="00886B33">
        <w:rPr>
          <w:position w:val="-2"/>
        </w:rPr>
        <w:t>*</w:t>
      </w:r>
      <w:r w:rsidRPr="00886B33">
        <w:t xml:space="preserve"> Animal AUC</w:t>
      </w:r>
      <w:r w:rsidRPr="00886B33">
        <w:rPr>
          <w:vertAlign w:val="subscript"/>
        </w:rPr>
        <w:t>0–24</w:t>
      </w:r>
      <w:r w:rsidRPr="00886B33">
        <w:rPr>
          <w:w w:val="50"/>
          <w:vertAlign w:val="subscript"/>
        </w:rPr>
        <w:t> </w:t>
      </w:r>
      <w:r w:rsidRPr="00886B33">
        <w:rPr>
          <w:vertAlign w:val="subscript"/>
        </w:rPr>
        <w:t>h</w:t>
      </w:r>
      <w:r w:rsidRPr="00886B33">
        <w:t xml:space="preserve"> x21/human AUC</w:t>
      </w:r>
      <w:r w:rsidRPr="00886B33">
        <w:rPr>
          <w:vertAlign w:val="subscript"/>
        </w:rPr>
        <w:t>0-∞</w:t>
      </w:r>
      <w:r w:rsidRPr="00886B33">
        <w:t xml:space="preserve">; </w:t>
      </w:r>
      <w:r w:rsidRPr="00886B33">
        <w:rPr>
          <w:vertAlign w:val="superscript"/>
        </w:rPr>
        <w:t>†</w:t>
      </w:r>
      <w:r w:rsidRPr="00886B33">
        <w:t>Fixed dose combination 300/0.5 mg netupitant/</w:t>
      </w:r>
      <w:proofErr w:type="gramStart"/>
      <w:r w:rsidRPr="00886B33">
        <w:t>palonosetron ;</w:t>
      </w:r>
      <w:proofErr w:type="gramEnd"/>
      <w:r w:rsidRPr="00886B33">
        <w:t xml:space="preserve"> </w:t>
      </w:r>
      <w:r w:rsidRPr="00886B33">
        <w:rPr>
          <w:kern w:val="2"/>
          <w:vertAlign w:val="superscript"/>
        </w:rPr>
        <w:t>‡</w:t>
      </w:r>
      <w:r w:rsidRPr="00886B33">
        <w:rPr>
          <w:kern w:val="2"/>
        </w:rPr>
        <w:t xml:space="preserve"> AUC</w:t>
      </w:r>
      <w:r w:rsidRPr="00886B33">
        <w:rPr>
          <w:kern w:val="2"/>
          <w:vertAlign w:val="subscript"/>
        </w:rPr>
        <w:t>0-∞</w:t>
      </w:r>
    </w:p>
    <w:p w:rsidR="00BE4661" w:rsidRPr="00F02C1E" w:rsidRDefault="00BE4661" w:rsidP="00F02C1E">
      <w:pPr>
        <w:pStyle w:val="Heading4"/>
      </w:pPr>
      <w:r w:rsidRPr="00F02C1E">
        <w:t>Major toxicities</w:t>
      </w:r>
    </w:p>
    <w:p w:rsidR="00BE4661" w:rsidRPr="00F02C1E" w:rsidRDefault="00BE4661" w:rsidP="00F02C1E">
      <w:r w:rsidRPr="00F02C1E">
        <w:t>The major target organs for netupitant were the liver and lymph nodes.</w:t>
      </w:r>
      <w:r w:rsidR="005F7FE0" w:rsidRPr="00F02C1E">
        <w:t xml:space="preserve"> </w:t>
      </w:r>
      <w:r w:rsidRPr="00F02C1E">
        <w:t>Vacuolated macrophage</w:t>
      </w:r>
      <w:r w:rsidR="005670BA">
        <w:t xml:space="preserve"> infiltration and </w:t>
      </w:r>
      <w:proofErr w:type="spellStart"/>
      <w:r w:rsidR="005670BA">
        <w:t>vacuolation</w:t>
      </w:r>
      <w:proofErr w:type="spellEnd"/>
      <w:r w:rsidR="005670BA">
        <w:t xml:space="preserve">; </w:t>
      </w:r>
      <w:r w:rsidRPr="00F02C1E">
        <w:t xml:space="preserve">histological signs indicative of </w:t>
      </w:r>
      <w:proofErr w:type="spellStart"/>
      <w:r w:rsidRPr="00F02C1E">
        <w:t>phospholipidosis</w:t>
      </w:r>
      <w:proofErr w:type="spellEnd"/>
      <w:r w:rsidR="005670BA">
        <w:t xml:space="preserve">; </w:t>
      </w:r>
      <w:r w:rsidRPr="00F02C1E">
        <w:t>were apparent in these and other organs and tissues, most notably lung and spleen.</w:t>
      </w:r>
      <w:r w:rsidR="005F7FE0" w:rsidRPr="00F02C1E">
        <w:t xml:space="preserve"> </w:t>
      </w:r>
      <w:r w:rsidRPr="00F02C1E">
        <w:t>The precise re</w:t>
      </w:r>
      <w:r w:rsidR="00FD18DA" w:rsidRPr="00F02C1E">
        <w:t>lationship between the generalis</w:t>
      </w:r>
      <w:r w:rsidRPr="00F02C1E">
        <w:t xml:space="preserve">ed </w:t>
      </w:r>
      <w:proofErr w:type="spellStart"/>
      <w:r w:rsidRPr="00F02C1E">
        <w:t>phospholipidosis</w:t>
      </w:r>
      <w:proofErr w:type="spellEnd"/>
      <w:r w:rsidRPr="00F02C1E">
        <w:t xml:space="preserve"> and the more severe effects seen</w:t>
      </w:r>
      <w:r w:rsidR="008E5259" w:rsidRPr="00F02C1E">
        <w:t xml:space="preserve"> in some tissues is not clear.</w:t>
      </w:r>
    </w:p>
    <w:p w:rsidR="00BE4661" w:rsidRPr="00F02C1E" w:rsidRDefault="00BE4661" w:rsidP="00F02C1E">
      <w:r w:rsidRPr="00F02C1E">
        <w:t xml:space="preserve">Signs of </w:t>
      </w:r>
      <w:proofErr w:type="spellStart"/>
      <w:r w:rsidRPr="00F02C1E">
        <w:t>phospholipidosis</w:t>
      </w:r>
      <w:proofErr w:type="spellEnd"/>
      <w:r w:rsidRPr="00F02C1E">
        <w:t xml:space="preserve"> (cellular </w:t>
      </w:r>
      <w:proofErr w:type="spellStart"/>
      <w:r w:rsidRPr="00F02C1E">
        <w:t>vacuolation</w:t>
      </w:r>
      <w:proofErr w:type="spellEnd"/>
      <w:r w:rsidRPr="00F02C1E">
        <w:t xml:space="preserve">, foamy macrophages) were present in multiple organs (including liver), principally lung and lymphoid tissue, in the </w:t>
      </w:r>
      <w:r w:rsidR="005670BA">
        <w:t>repeat dose</w:t>
      </w:r>
      <w:r w:rsidRPr="00F02C1E">
        <w:t xml:space="preserve"> studies in rats at </w:t>
      </w:r>
      <w:r w:rsidR="005670BA">
        <w:t>&gt; 3</w:t>
      </w:r>
      <w:r w:rsidRPr="00F02C1E">
        <w:t xml:space="preserve"> mg/kg/day and dogs </w:t>
      </w:r>
      <w:r w:rsidR="005670BA">
        <w:t>&gt; 5</w:t>
      </w:r>
      <w:r w:rsidRPr="00F02C1E">
        <w:t xml:space="preserve"> mg/kg/day and also after a single, high dose of netupitant in rats, and to a lesser extent, in mice and dogs.</w:t>
      </w:r>
      <w:r w:rsidR="005F7FE0" w:rsidRPr="00F02C1E">
        <w:t xml:space="preserve"> </w:t>
      </w:r>
      <w:r w:rsidRPr="00F02C1E">
        <w:t xml:space="preserve">The severity of </w:t>
      </w:r>
      <w:proofErr w:type="spellStart"/>
      <w:r w:rsidRPr="00F02C1E">
        <w:t>phospholipidosis</w:t>
      </w:r>
      <w:proofErr w:type="spellEnd"/>
      <w:r w:rsidRPr="00F02C1E">
        <w:t xml:space="preserve"> generally increased with dose and d</w:t>
      </w:r>
      <w:r w:rsidR="005670BA">
        <w:t xml:space="preserve">osing duration but a clear dose </w:t>
      </w:r>
      <w:r w:rsidRPr="00F02C1E">
        <w:t>res</w:t>
      </w:r>
      <w:r w:rsidR="00402D8B" w:rsidRPr="00F02C1E">
        <w:t xml:space="preserve">ponse was often not apparent. </w:t>
      </w:r>
      <w:proofErr w:type="spellStart"/>
      <w:r w:rsidRPr="00F02C1E">
        <w:t>Histocytosis</w:t>
      </w:r>
      <w:proofErr w:type="spellEnd"/>
      <w:r w:rsidRPr="00F02C1E">
        <w:t xml:space="preserve">, histiocytic aggregates and </w:t>
      </w:r>
      <w:proofErr w:type="spellStart"/>
      <w:r w:rsidRPr="00F02C1E">
        <w:t>syncythial</w:t>
      </w:r>
      <w:proofErr w:type="spellEnd"/>
      <w:r w:rsidRPr="00F02C1E">
        <w:t xml:space="preserve"> macrophages in spleen and lymph nodes described in the</w:t>
      </w:r>
      <w:r w:rsidR="00C34E90" w:rsidRPr="00F02C1E">
        <w:t xml:space="preserve"> 13</w:t>
      </w:r>
      <w:r w:rsidRPr="00F02C1E">
        <w:t xml:space="preserve"> and </w:t>
      </w:r>
      <w:r w:rsidR="005670BA">
        <w:t>26 week</w:t>
      </w:r>
      <w:r w:rsidRPr="00F02C1E">
        <w:t xml:space="preserve"> rat study at </w:t>
      </w:r>
      <w:r w:rsidR="005670BA">
        <w:t>&gt; 3 </w:t>
      </w:r>
      <w:r w:rsidRPr="00F02C1E">
        <w:t xml:space="preserve">mg/kg/day (foamy macrophages only reported in lungs, not in lymph nodes as described in other studies) might be related to </w:t>
      </w:r>
      <w:proofErr w:type="spellStart"/>
      <w:r w:rsidRPr="00F02C1E">
        <w:t>phospholipidosis</w:t>
      </w:r>
      <w:proofErr w:type="spellEnd"/>
      <w:r w:rsidRPr="00F02C1E">
        <w:t xml:space="preserve">. </w:t>
      </w:r>
      <w:proofErr w:type="spellStart"/>
      <w:r w:rsidRPr="00F02C1E">
        <w:t>Phospholipidosis</w:t>
      </w:r>
      <w:proofErr w:type="spellEnd"/>
      <w:r w:rsidRPr="00F02C1E">
        <w:t xml:space="preserve"> was shown to be partially reversible (in some cases completely) upon cessation of treatment, but in the long term study in rats dosed with netupitant for 26 weeks, no reversal was appar</w:t>
      </w:r>
      <w:r w:rsidR="008E5259" w:rsidRPr="00F02C1E">
        <w:t>ent after 8 weeks of recovery.</w:t>
      </w:r>
    </w:p>
    <w:p w:rsidR="00BE4661" w:rsidRPr="00F02C1E" w:rsidRDefault="00BE4661" w:rsidP="00F02C1E">
      <w:proofErr w:type="spellStart"/>
      <w:r w:rsidRPr="00F02C1E">
        <w:lastRenderedPageBreak/>
        <w:t>Phospholipidosis</w:t>
      </w:r>
      <w:proofErr w:type="spellEnd"/>
      <w:r w:rsidRPr="00F02C1E">
        <w:t xml:space="preserve"> is not an unexpected finding as the structure of netupitant has features (cationic, amphiphilic) common to many other drugs (</w:t>
      </w:r>
      <w:r w:rsidR="004B70D8" w:rsidRPr="00F02C1E">
        <w:t>for example,</w:t>
      </w:r>
      <w:r w:rsidRPr="00F02C1E">
        <w:t xml:space="preserve"> amiodarone, fluoxetine) which produce this effect.</w:t>
      </w:r>
      <w:r w:rsidR="005F7FE0" w:rsidRPr="00F02C1E">
        <w:t xml:space="preserve"> </w:t>
      </w:r>
      <w:r w:rsidRPr="00F02C1E">
        <w:t>It is important to note that many drugs produce this effect, which is unrelated to the principal pharmacological action of the drugs.</w:t>
      </w:r>
      <w:r w:rsidR="005F7FE0" w:rsidRPr="00F02C1E">
        <w:t xml:space="preserve"> </w:t>
      </w:r>
      <w:r w:rsidR="009A17E5">
        <w:t>Drug induced</w:t>
      </w:r>
      <w:r w:rsidRPr="00F02C1E">
        <w:t xml:space="preserve"> </w:t>
      </w:r>
      <w:proofErr w:type="spellStart"/>
      <w:r w:rsidRPr="00F02C1E">
        <w:t>phospholipidosis</w:t>
      </w:r>
      <w:proofErr w:type="spellEnd"/>
      <w:r w:rsidRPr="00F02C1E">
        <w:t xml:space="preserve"> is thought to be an adaptive response and does n</w:t>
      </w:r>
      <w:r w:rsidR="00626B7F" w:rsidRPr="00F02C1E">
        <w:t xml:space="preserve">ot indicate a toxic condition. </w:t>
      </w:r>
      <w:r w:rsidRPr="00F02C1E">
        <w:t>Definitive evidence for this theory is, however, still lacking except for isolated studies (</w:t>
      </w:r>
      <w:r w:rsidR="004B70D8" w:rsidRPr="00F02C1E">
        <w:t>for example,</w:t>
      </w:r>
      <w:r w:rsidRPr="005670BA">
        <w:rPr>
          <w:vertAlign w:val="superscript"/>
        </w:rPr>
        <w:footnoteReference w:id="4"/>
      </w:r>
      <w:r w:rsidRPr="00F02C1E">
        <w:t>).</w:t>
      </w:r>
      <w:r w:rsidR="005F7FE0" w:rsidRPr="00F02C1E">
        <w:t xml:space="preserve"> </w:t>
      </w:r>
      <w:r w:rsidRPr="00F02C1E">
        <w:t xml:space="preserve">Various mechanisms may be involved in the production of </w:t>
      </w:r>
      <w:proofErr w:type="spellStart"/>
      <w:r w:rsidRPr="00F02C1E">
        <w:t>phospholipidosis</w:t>
      </w:r>
      <w:proofErr w:type="spellEnd"/>
      <w:r w:rsidRPr="00F02C1E">
        <w:t>.</w:t>
      </w:r>
      <w:r w:rsidR="005F7FE0" w:rsidRPr="00F02C1E">
        <w:t xml:space="preserve"> </w:t>
      </w:r>
      <w:r w:rsidRPr="00F02C1E">
        <w:t>These include impairment of lysosomal enzyme activity, increased phospholipid synthesis and impaired membrane recycling and lyso</w:t>
      </w:r>
      <w:r w:rsidR="00626B7F" w:rsidRPr="00F02C1E">
        <w:t xml:space="preserve">somal enzyme sorting dynamics. </w:t>
      </w:r>
      <w:r w:rsidRPr="00F02C1E">
        <w:t xml:space="preserve">These mechanisms are not mutually exclusive. </w:t>
      </w:r>
      <w:proofErr w:type="spellStart"/>
      <w:r w:rsidRPr="00F02C1E">
        <w:t>Phospholipidosis</w:t>
      </w:r>
      <w:proofErr w:type="spellEnd"/>
      <w:r w:rsidRPr="00F02C1E">
        <w:t xml:space="preserve"> and associated organ dysfunction have been reported in humans for some cationic amphiphilic drugs (</w:t>
      </w:r>
      <w:r w:rsidR="004B70D8" w:rsidRPr="00F02C1E">
        <w:t>for example,</w:t>
      </w:r>
      <w:r w:rsidRPr="00F02C1E">
        <w:t xml:space="preserve"> amiodarone), but many drugs causing </w:t>
      </w:r>
      <w:proofErr w:type="spellStart"/>
      <w:r w:rsidRPr="00F02C1E">
        <w:t>phospholipidosis</w:t>
      </w:r>
      <w:proofErr w:type="spellEnd"/>
      <w:r w:rsidRPr="00F02C1E">
        <w:t xml:space="preserve"> are well tolerated in patients. </w:t>
      </w:r>
      <w:proofErr w:type="spellStart"/>
      <w:r w:rsidRPr="00F02C1E">
        <w:t>Phospholipidosis</w:t>
      </w:r>
      <w:proofErr w:type="spellEnd"/>
      <w:r w:rsidRPr="00F02C1E">
        <w:t xml:space="preserve"> observed in animal studies with netupitant is considered clinic</w:t>
      </w:r>
      <w:r w:rsidR="00EB7D7A" w:rsidRPr="00F02C1E">
        <w:t>ally relevant.</w:t>
      </w:r>
    </w:p>
    <w:p w:rsidR="00BE4661" w:rsidRPr="00F02C1E" w:rsidRDefault="00BE4661" w:rsidP="00F02C1E">
      <w:r w:rsidRPr="00F02C1E">
        <w:t>Elevations of serum cholesterol and serum phospholipids were seen in the repeat dose studies in rats and dogs with netupitant alone and in the combination stud</w:t>
      </w:r>
      <w:r w:rsidR="0067494A" w:rsidRPr="00F02C1E">
        <w:t xml:space="preserve">ies with palonosetron in rats. </w:t>
      </w:r>
      <w:r w:rsidRPr="00F02C1E">
        <w:t>The effects were not co</w:t>
      </w:r>
      <w:r w:rsidR="0067494A" w:rsidRPr="00F02C1E">
        <w:t>nsistent, being present in one gender</w:t>
      </w:r>
      <w:r w:rsidRPr="00F02C1E">
        <w:t xml:space="preserve"> in some studies and t</w:t>
      </w:r>
      <w:r w:rsidR="00713BEE" w:rsidRPr="00F02C1E">
        <w:t>he other gender</w:t>
      </w:r>
      <w:r w:rsidR="0067494A" w:rsidRPr="00F02C1E">
        <w:t xml:space="preserve"> in other studies. </w:t>
      </w:r>
      <w:r w:rsidR="005670BA">
        <w:t xml:space="preserve">In the amiodarone </w:t>
      </w:r>
      <w:r w:rsidRPr="00F02C1E">
        <w:t xml:space="preserve">induced animal model of </w:t>
      </w:r>
      <w:proofErr w:type="spellStart"/>
      <w:r w:rsidRPr="00F02C1E">
        <w:t>phospholipidosis</w:t>
      </w:r>
      <w:proofErr w:type="spellEnd"/>
      <w:r w:rsidRPr="00F02C1E">
        <w:t xml:space="preserve"> elevations of cholesterol and phospholipids have been reported</w:t>
      </w:r>
      <w:r w:rsidRPr="005670BA">
        <w:rPr>
          <w:vertAlign w:val="superscript"/>
        </w:rPr>
        <w:footnoteReference w:id="5"/>
      </w:r>
      <w:r w:rsidRPr="00F02C1E">
        <w:t xml:space="preserve"> and it is possible that the elevations seen following netupitant may be assoc</w:t>
      </w:r>
      <w:r w:rsidR="0067494A" w:rsidRPr="00F02C1E">
        <w:t xml:space="preserve">iated with </w:t>
      </w:r>
      <w:proofErr w:type="spellStart"/>
      <w:r w:rsidR="0067494A" w:rsidRPr="00F02C1E">
        <w:t>phospholipidosis</w:t>
      </w:r>
      <w:proofErr w:type="spellEnd"/>
      <w:r w:rsidR="0067494A" w:rsidRPr="00F02C1E">
        <w:t xml:space="preserve">. </w:t>
      </w:r>
      <w:r w:rsidRPr="00F02C1E">
        <w:t>Netupitant and metabolites M1, M2 and M3 were screened in vitro for the ability to induce phospholipid accumulation in fibroblasts</w:t>
      </w:r>
      <w:r w:rsidR="0067494A" w:rsidRPr="00F02C1E">
        <w:t xml:space="preserve"> prepared from bovine corneas. </w:t>
      </w:r>
      <w:r w:rsidRPr="00F02C1E">
        <w:t xml:space="preserve">Netupitant and the three metabolites were </w:t>
      </w:r>
      <w:r w:rsidR="005670BA">
        <w:t xml:space="preserve">positive in the test at all </w:t>
      </w:r>
      <w:proofErr w:type="spellStart"/>
      <w:r w:rsidR="005670BA">
        <w:t xml:space="preserve">non </w:t>
      </w:r>
      <w:r w:rsidRPr="00F02C1E">
        <w:t>toxic</w:t>
      </w:r>
      <w:proofErr w:type="spellEnd"/>
      <w:r w:rsidRPr="00F02C1E">
        <w:t xml:space="preserve"> concentrations.</w:t>
      </w:r>
    </w:p>
    <w:p w:rsidR="00BE4661" w:rsidRPr="00F02C1E" w:rsidRDefault="00BE4661" w:rsidP="00F02C1E">
      <w:r w:rsidRPr="00F02C1E">
        <w:t xml:space="preserve">Some red blood cell indices were reduced in rats in some studies </w:t>
      </w:r>
      <w:r w:rsidR="00D26EA3" w:rsidRPr="00F02C1E">
        <w:t>haemoglobin (</w:t>
      </w:r>
      <w:r w:rsidRPr="00F02C1E">
        <w:t>(</w:t>
      </w:r>
      <w:proofErr w:type="spellStart"/>
      <w:r w:rsidRPr="00F02C1E">
        <w:t>Hb</w:t>
      </w:r>
      <w:proofErr w:type="spellEnd"/>
      <w:r w:rsidR="00D26EA3" w:rsidRPr="00F02C1E">
        <w:t>)</w:t>
      </w:r>
      <w:r w:rsidRPr="00F02C1E">
        <w:t xml:space="preserve">, haematocrit, </w:t>
      </w:r>
      <w:r w:rsidR="00626B7F" w:rsidRPr="00F02C1E">
        <w:t>mean corpuscular haemoglobin (</w:t>
      </w:r>
      <w:r w:rsidRPr="00F02C1E">
        <w:t>MCH</w:t>
      </w:r>
      <w:r w:rsidR="00626B7F" w:rsidRPr="00F02C1E">
        <w:t>)</w:t>
      </w:r>
      <w:r w:rsidRPr="00F02C1E">
        <w:t xml:space="preserve">, </w:t>
      </w:r>
      <w:r w:rsidR="00626B7F" w:rsidRPr="00F02C1E">
        <w:t>mean corpuscular volume (</w:t>
      </w:r>
      <w:r w:rsidRPr="00F02C1E">
        <w:t>MCV)</w:t>
      </w:r>
      <w:r w:rsidR="00626B7F" w:rsidRPr="00F02C1E">
        <w:t>)</w:t>
      </w:r>
      <w:r w:rsidRPr="00F02C1E">
        <w:t xml:space="preserve"> but the effect was not consistent across genders and</w:t>
      </w:r>
      <w:r w:rsidR="003D47EF" w:rsidRPr="00F02C1E">
        <w:t xml:space="preserve"> was not clearly dose related. </w:t>
      </w:r>
      <w:r w:rsidRPr="00F02C1E">
        <w:t>The effect appeared more marked following intravenous administration, which is</w:t>
      </w:r>
      <w:r w:rsidR="00EB7D7A" w:rsidRPr="00F02C1E">
        <w:t xml:space="preserve"> not the proposed dosing route.</w:t>
      </w:r>
    </w:p>
    <w:p w:rsidR="00BE4661" w:rsidRPr="00F02C1E" w:rsidRDefault="00BE4661" w:rsidP="00F02C1E">
      <w:r w:rsidRPr="00F02C1E">
        <w:t>Elevations of liver enzymes (</w:t>
      </w:r>
      <w:r w:rsidR="00836187" w:rsidRPr="00F02C1E">
        <w:t>sorbitol dehydrogenase (</w:t>
      </w:r>
      <w:r w:rsidRPr="00F02C1E">
        <w:t>SDH</w:t>
      </w:r>
      <w:r w:rsidR="00836187" w:rsidRPr="00F02C1E">
        <w:t>)</w:t>
      </w:r>
      <w:r w:rsidRPr="00F02C1E">
        <w:t xml:space="preserve">, </w:t>
      </w:r>
      <w:r w:rsidR="00836187" w:rsidRPr="00F02C1E">
        <w:t>gamma-</w:t>
      </w:r>
      <w:proofErr w:type="spellStart"/>
      <w:r w:rsidR="00836187" w:rsidRPr="00F02C1E">
        <w:t>glutamyl</w:t>
      </w:r>
      <w:proofErr w:type="spellEnd"/>
      <w:r w:rsidR="00836187" w:rsidRPr="00F02C1E">
        <w:t xml:space="preserve"> </w:t>
      </w:r>
      <w:proofErr w:type="spellStart"/>
      <w:r w:rsidR="00836187" w:rsidRPr="00F02C1E">
        <w:t>transpeptidase</w:t>
      </w:r>
      <w:proofErr w:type="spellEnd"/>
      <w:r w:rsidR="000553EA" w:rsidRPr="00F02C1E">
        <w:t xml:space="preserve"> </w:t>
      </w:r>
      <w:r w:rsidR="00836187" w:rsidRPr="00F02C1E">
        <w:t>(G</w:t>
      </w:r>
      <w:r w:rsidRPr="00F02C1E">
        <w:t>GT</w:t>
      </w:r>
      <w:r w:rsidR="00836187" w:rsidRPr="00F02C1E">
        <w:t>)</w:t>
      </w:r>
      <w:r w:rsidRPr="00F02C1E">
        <w:t xml:space="preserve">, </w:t>
      </w:r>
      <w:r w:rsidR="00836187" w:rsidRPr="00F02C1E">
        <w:t>aspartate aminotransferase (</w:t>
      </w:r>
      <w:r w:rsidRPr="00F02C1E">
        <w:t>AST</w:t>
      </w:r>
      <w:r w:rsidR="00836187" w:rsidRPr="00F02C1E">
        <w:t>)</w:t>
      </w:r>
      <w:r w:rsidRPr="00F02C1E">
        <w:t xml:space="preserve">, </w:t>
      </w:r>
      <w:r w:rsidR="00836187" w:rsidRPr="00F02C1E">
        <w:t>alanine aminotransferase (</w:t>
      </w:r>
      <w:r w:rsidRPr="00F02C1E">
        <w:t>ALT</w:t>
      </w:r>
      <w:r w:rsidR="00836187" w:rsidRPr="00F02C1E">
        <w:t>)</w:t>
      </w:r>
      <w:r w:rsidRPr="00F02C1E">
        <w:t xml:space="preserve">), increases in liver weight, hepatocellular </w:t>
      </w:r>
      <w:proofErr w:type="spellStart"/>
      <w:r w:rsidRPr="00F02C1E">
        <w:t>vacuolation</w:t>
      </w:r>
      <w:proofErr w:type="spellEnd"/>
      <w:r w:rsidRPr="00F02C1E">
        <w:t>, hypertrophy and necrosis were seen in rats following doses of 30 mg/kg/day (</w:t>
      </w:r>
      <w:r w:rsidR="00836187" w:rsidRPr="00F02C1E">
        <w:t>exposure ratio (</w:t>
      </w:r>
      <w:r w:rsidRPr="00F02C1E">
        <w:t>ER 54)</w:t>
      </w:r>
      <w:r w:rsidR="00836187" w:rsidRPr="00F02C1E">
        <w:t>)</w:t>
      </w:r>
      <w:r w:rsidR="004035E1" w:rsidRPr="00F02C1E">
        <w:t xml:space="preserve">. </w:t>
      </w:r>
      <w:r w:rsidRPr="00F02C1E">
        <w:t xml:space="preserve">At this and lower exposures increased liver weights, histological signs of hypertrophy and </w:t>
      </w:r>
      <w:proofErr w:type="spellStart"/>
      <w:r w:rsidRPr="00F02C1E">
        <w:t>v</w:t>
      </w:r>
      <w:r w:rsidR="00836187" w:rsidRPr="00F02C1E">
        <w:t>acuolation</w:t>
      </w:r>
      <w:proofErr w:type="spellEnd"/>
      <w:r w:rsidR="00836187" w:rsidRPr="00F02C1E">
        <w:t xml:space="preserve"> were also apparent. </w:t>
      </w:r>
      <w:r w:rsidRPr="00F02C1E">
        <w:t xml:space="preserve">In dogs at </w:t>
      </w:r>
      <w:r w:rsidR="0018634D">
        <w:t>&gt; 1</w:t>
      </w:r>
      <w:r w:rsidRPr="00F02C1E">
        <w:t xml:space="preserve">0 mg/kg/day (ER 22) reversible liver enlargement was observed in males together with histological signs of hypertrophy, in addition to increased serum transaminases (ALT, GGT and </w:t>
      </w:r>
      <w:r w:rsidR="004035E1" w:rsidRPr="00F02C1E">
        <w:t>glutamate dehydrogenase (</w:t>
      </w:r>
      <w:r w:rsidRPr="00F02C1E">
        <w:t>GDH)</w:t>
      </w:r>
      <w:r w:rsidR="004035E1" w:rsidRPr="00F02C1E">
        <w:t>)</w:t>
      </w:r>
      <w:r w:rsidRPr="00F02C1E">
        <w:t xml:space="preserve"> at </w:t>
      </w:r>
      <w:r w:rsidR="0018634D">
        <w:t>&gt; 1</w:t>
      </w:r>
      <w:r w:rsidRPr="00F02C1E">
        <w:t>5 mg/kg/day (ER 63) and hepatocellular necr</w:t>
      </w:r>
      <w:r w:rsidR="004035E1" w:rsidRPr="00F02C1E">
        <w:t xml:space="preserve">osis at 50 mg/kg/day (ER 147). </w:t>
      </w:r>
      <w:r w:rsidRPr="00F02C1E">
        <w:t>The effects on the liver were generally reversible with the cessation of dosing.</w:t>
      </w:r>
      <w:r w:rsidR="005F7FE0" w:rsidRPr="00F02C1E">
        <w:t xml:space="preserve"> </w:t>
      </w:r>
      <w:r w:rsidRPr="00F02C1E">
        <w:t>Increased liver weights were also seen in the combination studies with palonosetron in rats and dogs and hepatocellu</w:t>
      </w:r>
      <w:r w:rsidR="00836187" w:rsidRPr="00F02C1E">
        <w:t>la</w:t>
      </w:r>
      <w:r w:rsidRPr="00F02C1E">
        <w:t xml:space="preserve">r hypertrophy in rats (see Combination Studies below). The </w:t>
      </w:r>
      <w:r w:rsidR="00836187" w:rsidRPr="00F02C1E">
        <w:t>N observable effect level (</w:t>
      </w:r>
      <w:r w:rsidRPr="00F02C1E">
        <w:t>NOEL</w:t>
      </w:r>
      <w:r w:rsidR="00836187" w:rsidRPr="00F02C1E">
        <w:t>)</w:t>
      </w:r>
      <w:r w:rsidRPr="00F02C1E">
        <w:t xml:space="preserve"> for histopathological lesions in the liver in both species was 3 mg/kg/day (ER 18 for rats, 12 for do</w:t>
      </w:r>
      <w:r w:rsidR="00EB7D7A" w:rsidRPr="00F02C1E">
        <w:t>gs).</w:t>
      </w:r>
    </w:p>
    <w:p w:rsidR="00BE4661" w:rsidRPr="00F02C1E" w:rsidRDefault="00BE4661" w:rsidP="00F02C1E">
      <w:r w:rsidRPr="00F02C1E">
        <w:t>Inflammation and necrosis of mesenteric and mandibular lymph nodes were seen in mice (450 mg/kg/day), rats (</w:t>
      </w:r>
      <w:r w:rsidR="0018634D">
        <w:t>≥ 3</w:t>
      </w:r>
      <w:r w:rsidRPr="00F02C1E">
        <w:t>0 mg/kg/</w:t>
      </w:r>
      <w:r w:rsidR="00B94D33" w:rsidRPr="00F02C1E">
        <w:t>day) and dogs (</w:t>
      </w:r>
      <w:r w:rsidR="00B10A0D">
        <w:t>≥ 1</w:t>
      </w:r>
      <w:r w:rsidR="00B94D33" w:rsidRPr="00F02C1E">
        <w:t xml:space="preserve">5 mg/kg/day). </w:t>
      </w:r>
      <w:r w:rsidRPr="00F02C1E">
        <w:t xml:space="preserve">At lower doses foamy/vacuolated/syncytial macrophages were observed in these and other lymphoid </w:t>
      </w:r>
      <w:r w:rsidRPr="00F02C1E">
        <w:lastRenderedPageBreak/>
        <w:t xml:space="preserve">tissues in all species. Inflammation was probably related to </w:t>
      </w:r>
      <w:proofErr w:type="spellStart"/>
      <w:r w:rsidRPr="00F02C1E">
        <w:t>phospholipidosis</w:t>
      </w:r>
      <w:proofErr w:type="spellEnd"/>
      <w:r w:rsidRPr="00F02C1E">
        <w:t>, but it is unclear whether necrosis was</w:t>
      </w:r>
      <w:r w:rsidR="00EB7D7A" w:rsidRPr="00F02C1E">
        <w:t xml:space="preserve"> secondary to </w:t>
      </w:r>
      <w:proofErr w:type="spellStart"/>
      <w:r w:rsidR="00EB7D7A" w:rsidRPr="00F02C1E">
        <w:t>phospholipidosis</w:t>
      </w:r>
      <w:proofErr w:type="spellEnd"/>
      <w:r w:rsidR="00EB7D7A" w:rsidRPr="00F02C1E">
        <w:t>.</w:t>
      </w:r>
    </w:p>
    <w:p w:rsidR="00BE4661" w:rsidRPr="00F02C1E" w:rsidRDefault="00BE4661" w:rsidP="00F02C1E">
      <w:r w:rsidRPr="00F02C1E">
        <w:t xml:space="preserve">Weight loss was seen in rats (≥ 30 mg/kg) and dogs (≥ 15 mg/kg), accompanied by necrosis/degenerative </w:t>
      </w:r>
      <w:r w:rsidR="00B94D33" w:rsidRPr="00F02C1E">
        <w:t xml:space="preserve">changes in the gastric mucosa. </w:t>
      </w:r>
      <w:r w:rsidRPr="00F02C1E">
        <w:t>At lower doses foamy/vacuolated macrophages were present in this tissue.</w:t>
      </w:r>
    </w:p>
    <w:p w:rsidR="00BE4661" w:rsidRPr="00F02C1E" w:rsidRDefault="00BE4661" w:rsidP="00F02C1E">
      <w:r w:rsidRPr="00F02C1E">
        <w:t>Cardiac effects are discussed above.</w:t>
      </w:r>
    </w:p>
    <w:p w:rsidR="00BE4661" w:rsidRPr="00F02C1E" w:rsidRDefault="00BE4661" w:rsidP="00F02C1E">
      <w:pPr>
        <w:pStyle w:val="Heading4"/>
      </w:pPr>
      <w:r w:rsidRPr="00F02C1E">
        <w:t>Metabolites</w:t>
      </w:r>
    </w:p>
    <w:p w:rsidR="00BE4661" w:rsidRPr="00F02C1E" w:rsidRDefault="00BE4661" w:rsidP="00F02C1E">
      <w:r w:rsidRPr="00F02C1E">
        <w:t>The role of metabolites in the toxicity seen in animals following administrati</w:t>
      </w:r>
      <w:r w:rsidR="00B6225F" w:rsidRPr="00F02C1E">
        <w:t xml:space="preserve">on of netupitant is not clear. </w:t>
      </w:r>
      <w:r w:rsidRPr="00F02C1E">
        <w:t xml:space="preserve">The major metabolites M1, M2 and M3 and metabolite M4 all have similar binding affinity to </w:t>
      </w:r>
      <w:r w:rsidR="00BD6934">
        <w:t xml:space="preserve">NK1 </w:t>
      </w:r>
      <w:proofErr w:type="spellStart"/>
      <w:r w:rsidR="00BD6934">
        <w:t>R</w:t>
      </w:r>
      <w:r w:rsidRPr="00F02C1E">
        <w:t>s</w:t>
      </w:r>
      <w:proofErr w:type="spellEnd"/>
      <w:r w:rsidRPr="00F02C1E">
        <w:t>, and M1, M2 and M3 also bind to the diltiazem site on Ca</w:t>
      </w:r>
      <w:r w:rsidRPr="00DF2B7B">
        <w:rPr>
          <w:vertAlign w:val="superscript"/>
        </w:rPr>
        <w:t>2+</w:t>
      </w:r>
      <w:r w:rsidRPr="00F02C1E">
        <w:t xml:space="preserve"> channels with M1 having slightly higher affinity than netupitant and the o</w:t>
      </w:r>
      <w:r w:rsidR="00B6225F" w:rsidRPr="00F02C1E">
        <w:t xml:space="preserve">ther metabolites at this site. </w:t>
      </w:r>
      <w:r w:rsidRPr="00F02C1E">
        <w:t>It seems plausible that the effects of these metabolites are probably quite similar to</w:t>
      </w:r>
      <w:r w:rsidR="00B6225F" w:rsidRPr="00F02C1E">
        <w:t xml:space="preserve"> those of the parent compound. I</w:t>
      </w:r>
      <w:r w:rsidRPr="00F02C1E">
        <w:t>n both in vitro and in vivo cardiovascular safety studies the actions of the netupitant and the metabolites were ge</w:t>
      </w:r>
      <w:r w:rsidR="00B6225F" w:rsidRPr="00F02C1E">
        <w:t xml:space="preserve">nerally qualitatively similar. </w:t>
      </w:r>
      <w:r w:rsidRPr="00F02C1E">
        <w:t>Thus in species where significant amounts of these metabolites are formed the overall effect would be expected to be similar to sustained exp</w:t>
      </w:r>
      <w:r w:rsidR="00B6225F" w:rsidRPr="00F02C1E">
        <w:t xml:space="preserve">osure to the parent compound. </w:t>
      </w:r>
      <w:r w:rsidRPr="00F02C1E">
        <w:t>In a qualitative in vitro screen for the ability to induce phospholipid accumulation, netupitant and metabolites M1</w:t>
      </w:r>
      <w:r w:rsidR="00B6225F" w:rsidRPr="00F02C1E">
        <w:t xml:space="preserve">, M2 and M3 were all positive. </w:t>
      </w:r>
      <w:r w:rsidRPr="00F02C1E">
        <w:t xml:space="preserve">Thus it is possible that these metabolites contributed to the </w:t>
      </w:r>
      <w:proofErr w:type="spellStart"/>
      <w:r w:rsidRPr="00F02C1E">
        <w:t>phospholipidosis</w:t>
      </w:r>
      <w:proofErr w:type="spellEnd"/>
      <w:r w:rsidRPr="00F02C1E">
        <w:t xml:space="preserve"> seen in the </w:t>
      </w:r>
      <w:r w:rsidR="005670BA">
        <w:t>repeat dose</w:t>
      </w:r>
      <w:r w:rsidR="00B6225F" w:rsidRPr="00F02C1E">
        <w:t xml:space="preserve"> toxicity studies. </w:t>
      </w:r>
      <w:r w:rsidRPr="00F02C1E">
        <w:t xml:space="preserve">The </w:t>
      </w:r>
      <w:r w:rsidR="00791AE3" w:rsidRPr="00F02C1E">
        <w:t>sponsor</w:t>
      </w:r>
      <w:r w:rsidRPr="00F02C1E">
        <w:t xml:space="preserve"> indicated in </w:t>
      </w:r>
      <w:r w:rsidR="00DF2B7B" w:rsidRPr="00F02C1E">
        <w:t>the</w:t>
      </w:r>
      <w:r w:rsidR="00DF2B7B">
        <w:t xml:space="preserve"> non</w:t>
      </w:r>
      <w:r w:rsidR="00DF2B7B" w:rsidRPr="00F02C1E">
        <w:t xml:space="preserve">clinical overview </w:t>
      </w:r>
      <w:r w:rsidR="000553EA" w:rsidRPr="00F02C1E">
        <w:t>that ‘</w:t>
      </w:r>
      <w:r w:rsidRPr="00F02C1E">
        <w:t>The in vitro and in vivo data support the conclusion that the toxicity of netupitant is due predominantly to the M1 metabolite</w:t>
      </w:r>
      <w:r w:rsidR="000553EA" w:rsidRPr="00F02C1E">
        <w:t>.’</w:t>
      </w:r>
      <w:r w:rsidR="00B6225F" w:rsidRPr="00F02C1E">
        <w:t xml:space="preserve"> </w:t>
      </w:r>
      <w:r w:rsidRPr="00F02C1E">
        <w:t xml:space="preserve">There is not enough evidence supporting the </w:t>
      </w:r>
      <w:r w:rsidR="00791AE3" w:rsidRPr="00F02C1E">
        <w:t>sponsor’s</w:t>
      </w:r>
      <w:r w:rsidRPr="00F02C1E">
        <w:t xml:space="preserve"> statement.</w:t>
      </w:r>
    </w:p>
    <w:p w:rsidR="00BE4661" w:rsidRPr="00F02C1E" w:rsidRDefault="00BE4661" w:rsidP="00F02C1E">
      <w:pPr>
        <w:pStyle w:val="Heading4"/>
      </w:pPr>
      <w:r w:rsidRPr="00F02C1E">
        <w:t>Combination studies with palonosetron</w:t>
      </w:r>
    </w:p>
    <w:p w:rsidR="00BE4661" w:rsidRPr="00F02C1E" w:rsidRDefault="00BE4661" w:rsidP="00F02C1E">
      <w:r w:rsidRPr="00F02C1E">
        <w:t>Toxicity of the netupitant/palonosetron combination was investiga</w:t>
      </w:r>
      <w:r w:rsidR="00B6225F" w:rsidRPr="00F02C1E">
        <w:t xml:space="preserve">ted in rats and dogs. In the 13 </w:t>
      </w:r>
      <w:r w:rsidRPr="00F02C1E">
        <w:t>week combination study in rats liver weights were increased in animals receiving netupitant and palonosetron alone and in animals receiv</w:t>
      </w:r>
      <w:r w:rsidR="00DF2B7B">
        <w:t>ing the 6/3 mg/kg/day and 18/10 </w:t>
      </w:r>
      <w:r w:rsidRPr="00F02C1E">
        <w:t>mg/</w:t>
      </w:r>
      <w:r w:rsidR="00B6225F" w:rsidRPr="00F02C1E">
        <w:t xml:space="preserve">kg/day palonosetron/netupitant </w:t>
      </w:r>
      <w:r w:rsidRPr="00F02C1E">
        <w:t>combinations although not all increases in both genders w</w:t>
      </w:r>
      <w:r w:rsidR="00B6225F" w:rsidRPr="00F02C1E">
        <w:t xml:space="preserve">ere statistically significant. </w:t>
      </w:r>
      <w:r w:rsidRPr="00F02C1E">
        <w:t>Histological evidence of hypertrophy was observed in male animals receiving netupitant alone at 10 mg/kg/day and in females receiving 10 mg/kg/day netupitant alone or in c</w:t>
      </w:r>
      <w:r w:rsidR="00DF2B7B">
        <w:t>ombination with palonosetron 18 </w:t>
      </w:r>
      <w:r w:rsidRPr="00F02C1E">
        <w:t xml:space="preserve">mg/kg/day (no difference between netupitant alone </w:t>
      </w:r>
      <w:r w:rsidR="00DF2B7B">
        <w:t>and the combination).</w:t>
      </w:r>
    </w:p>
    <w:p w:rsidR="00BE4661" w:rsidRPr="00F02C1E" w:rsidRDefault="00B6225F" w:rsidP="00F02C1E">
      <w:r w:rsidRPr="00F02C1E">
        <w:t xml:space="preserve">In the 4 </w:t>
      </w:r>
      <w:r w:rsidR="00BE4661" w:rsidRPr="00F02C1E">
        <w:t>week combination study in rats which employed simultaneously increasing doses of both netupitant and palonosetron the principal findings were histological changes similar to those seen in studies with netupitant alone: hepatocellular hypertrophy more frequent in females and syncytial macrophages in mesente</w:t>
      </w:r>
      <w:r w:rsidRPr="00F02C1E">
        <w:t xml:space="preserve">ric lymph nodes in both sexes. </w:t>
      </w:r>
      <w:r w:rsidR="00BE4661" w:rsidRPr="00F02C1E">
        <w:t xml:space="preserve">Both effects increased with netupitant (and palonosetron) </w:t>
      </w:r>
      <w:r w:rsidRPr="00F02C1E">
        <w:t xml:space="preserve">dose. </w:t>
      </w:r>
      <w:r w:rsidR="00BE4661" w:rsidRPr="00F02C1E">
        <w:t>The effects were comparable to those seen with netupitant alone at the same doses.</w:t>
      </w:r>
    </w:p>
    <w:p w:rsidR="00BE4661" w:rsidRPr="00F02C1E" w:rsidRDefault="000553EA" w:rsidP="00F02C1E">
      <w:r w:rsidRPr="00F02C1E">
        <w:t xml:space="preserve">In the 13 </w:t>
      </w:r>
      <w:r w:rsidR="00BE4661" w:rsidRPr="00F02C1E">
        <w:t xml:space="preserve">week combination study in dogs some prolongation of uncorrected QT intervals (males and females) and corrected QT intervals (females only) was observed at various times during the dosing phase in animals receiving 10/10 mg/kg/day (discussed above). These small effects were not apparent at the end of the recovery period. Similar </w:t>
      </w:r>
      <w:r w:rsidR="00B6225F" w:rsidRPr="00F02C1E">
        <w:t xml:space="preserve">ECG findings were seen in the 4 </w:t>
      </w:r>
      <w:r w:rsidR="00BE4661" w:rsidRPr="00F02C1E">
        <w:t xml:space="preserve">week combination study. In addition, some CNS toxicity ranging from tremors at 15/7.5 mg/kg/day to seizures at </w:t>
      </w:r>
      <w:r w:rsidR="00B6225F" w:rsidRPr="00F02C1E">
        <w:t xml:space="preserve">20/15 mg/kg/day were observed. </w:t>
      </w:r>
      <w:r w:rsidR="00BE4661" w:rsidRPr="00F02C1E">
        <w:t>As a result the higher palonosetron dose was reduced to 15 mg/kg/day after 11 days of treatment.</w:t>
      </w:r>
      <w:r w:rsidR="005F7FE0" w:rsidRPr="00F02C1E">
        <w:t xml:space="preserve"> </w:t>
      </w:r>
      <w:r w:rsidR="00BE4661" w:rsidRPr="00F02C1E">
        <w:t>These observations are consistent with known effect of palonosetron.</w:t>
      </w:r>
      <w:r w:rsidR="005F7FE0" w:rsidRPr="00F02C1E">
        <w:t xml:space="preserve"> </w:t>
      </w:r>
      <w:proofErr w:type="gramStart"/>
      <w:r w:rsidR="00BE4661" w:rsidRPr="00F02C1E">
        <w:lastRenderedPageBreak/>
        <w:t>and</w:t>
      </w:r>
      <w:proofErr w:type="gramEnd"/>
      <w:r w:rsidR="00BE4661" w:rsidRPr="00F02C1E">
        <w:t xml:space="preserve"> seizures following intravenous palonosetron have been reported in patients</w:t>
      </w:r>
      <w:r w:rsidR="00BE4661" w:rsidRPr="00DF2B7B">
        <w:rPr>
          <w:vertAlign w:val="superscript"/>
        </w:rPr>
        <w:footnoteReference w:id="6"/>
      </w:r>
      <w:r w:rsidR="00BE4661" w:rsidRPr="00DF2B7B">
        <w:rPr>
          <w:vertAlign w:val="superscript"/>
        </w:rPr>
        <w:t>,</w:t>
      </w:r>
      <w:r w:rsidR="00BE4661" w:rsidRPr="00DF2B7B">
        <w:rPr>
          <w:vertAlign w:val="superscript"/>
        </w:rPr>
        <w:footnoteReference w:id="7"/>
      </w:r>
      <w:r w:rsidR="00BE4661" w:rsidRPr="00F02C1E">
        <w:t>. No evidence of tremors or seizures was observed in any study with netupitant alone.</w:t>
      </w:r>
    </w:p>
    <w:p w:rsidR="00BE4661" w:rsidRDefault="00BE4661" w:rsidP="00F02C1E">
      <w:pPr>
        <w:pStyle w:val="Heading3"/>
      </w:pPr>
      <w:bookmarkStart w:id="65" w:name="_Toc294861729"/>
      <w:bookmarkStart w:id="66" w:name="_Toc466986532"/>
      <w:r>
        <w:t>Genotoxicity</w:t>
      </w:r>
      <w:bookmarkEnd w:id="65"/>
      <w:bookmarkEnd w:id="66"/>
    </w:p>
    <w:p w:rsidR="00BE4661" w:rsidRPr="00F02C1E" w:rsidRDefault="00BE4661" w:rsidP="00F02C1E">
      <w:r w:rsidRPr="00F02C1E">
        <w:t>Netupitant was evaluated f</w:t>
      </w:r>
      <w:r w:rsidR="00DF2B7B">
        <w:t>or its genotoxic potential in Salmonella typhimurium and Escherichia</w:t>
      </w:r>
      <w:r w:rsidRPr="00F02C1E">
        <w:t xml:space="preserve"> coli, L5178Y/TK+/- mouse lymphoma cells in vitro and in a rat b</w:t>
      </w:r>
      <w:r w:rsidR="00B6225F" w:rsidRPr="00F02C1E">
        <w:t xml:space="preserve">one marrow micronucleus assay. </w:t>
      </w:r>
      <w:r w:rsidRPr="00F02C1E">
        <w:t xml:space="preserve">Netupitant was negative in all the tests and is unlikely to pose a mutagenic </w:t>
      </w:r>
      <w:r w:rsidR="00B6225F" w:rsidRPr="00F02C1E">
        <w:t xml:space="preserve">or </w:t>
      </w:r>
      <w:proofErr w:type="spellStart"/>
      <w:r w:rsidR="00B6225F" w:rsidRPr="00F02C1E">
        <w:t>clastogenic</w:t>
      </w:r>
      <w:proofErr w:type="spellEnd"/>
      <w:r w:rsidR="00B6225F" w:rsidRPr="00F02C1E">
        <w:t xml:space="preserve"> risk to humans. </w:t>
      </w:r>
      <w:r w:rsidRPr="00F02C1E">
        <w:t>Ames tests were also performed on the metabolite M4 and two impurities, and the results were negative. No genotoxicity studies were performed with the major human metabolites, M1, M2 and M3, and this issue was addressed by the rat micronucleus test where exposure to metabolites would have occurred</w:t>
      </w:r>
      <w:r w:rsidR="00791AE3" w:rsidRPr="00F02C1E">
        <w:t>.</w:t>
      </w:r>
    </w:p>
    <w:p w:rsidR="00BE4661" w:rsidRPr="00F02C1E" w:rsidRDefault="00BE4661" w:rsidP="00F02C1E">
      <w:pPr>
        <w:pStyle w:val="Heading4"/>
      </w:pPr>
      <w:bookmarkStart w:id="67" w:name="_Toc294861730"/>
      <w:r w:rsidRPr="00F02C1E">
        <w:t>Carcinogenicity</w:t>
      </w:r>
      <w:bookmarkEnd w:id="67"/>
    </w:p>
    <w:p w:rsidR="00BE4661" w:rsidRPr="00F02C1E" w:rsidRDefault="00791AE3" w:rsidP="00F02C1E">
      <w:r w:rsidRPr="00F02C1E">
        <w:t xml:space="preserve">No studies submitted. </w:t>
      </w:r>
      <w:r w:rsidR="00BE4661" w:rsidRPr="00F02C1E">
        <w:t>This is acceptable given the proposed indication, intermittent treatment schedule,</w:t>
      </w:r>
      <w:r w:rsidRPr="00F02C1E">
        <w:t xml:space="preserve"> and the lack of genotoxicity.</w:t>
      </w:r>
    </w:p>
    <w:p w:rsidR="00BE4661" w:rsidRPr="00F02C1E" w:rsidRDefault="00BE4661" w:rsidP="00F02C1E">
      <w:pPr>
        <w:pStyle w:val="Heading4"/>
      </w:pPr>
      <w:r w:rsidRPr="00F02C1E">
        <w:t>Reproductive toxicity</w:t>
      </w:r>
    </w:p>
    <w:p w:rsidR="00BE4661" w:rsidRPr="00F02C1E" w:rsidRDefault="00BE4661" w:rsidP="00F02C1E">
      <w:r w:rsidRPr="00F02C1E">
        <w:t>Reproductive toxicity was assessed in rats and rabbits in GLP compliant studies. The studies investigated potential effects on male and female fertility (rats), embryo</w:t>
      </w:r>
      <w:r w:rsidR="00AE418B" w:rsidRPr="00F02C1E">
        <w:t>foetal</w:t>
      </w:r>
      <w:r w:rsidRPr="00F02C1E">
        <w:t xml:space="preserve"> toxi</w:t>
      </w:r>
      <w:r w:rsidR="000553EA" w:rsidRPr="00F02C1E">
        <w:t>city (rats and rabbits) and pre</w:t>
      </w:r>
      <w:r w:rsidRPr="00F02C1E">
        <w:t>/postnatal development (rats). Adequate animal numbers were used in the pivotal studies and treatment periods were mostly appropriate. The male fertility study, however, employed a pre</w:t>
      </w:r>
      <w:r w:rsidR="000553EA" w:rsidRPr="00F02C1E">
        <w:t xml:space="preserve"> </w:t>
      </w:r>
      <w:r w:rsidRPr="00F02C1E">
        <w:t xml:space="preserve">mating dosing period of only two weeks. The </w:t>
      </w:r>
      <w:r w:rsidR="00791AE3" w:rsidRPr="00F02C1E">
        <w:t>sponsor</w:t>
      </w:r>
      <w:r w:rsidRPr="00F02C1E">
        <w:t xml:space="preserve"> was requested to provide jus</w:t>
      </w:r>
      <w:r w:rsidR="00DF2B7B">
        <w:t xml:space="preserve">tifications for the shorter pre </w:t>
      </w:r>
      <w:r w:rsidRPr="00F02C1E">
        <w:t xml:space="preserve">mating dosing period in the assessment of effects on male fertility. The </w:t>
      </w:r>
      <w:r w:rsidR="00791AE3" w:rsidRPr="00F02C1E">
        <w:t>sponsor’s</w:t>
      </w:r>
      <w:r w:rsidRPr="00F02C1E">
        <w:t xml:space="preserve"> response that a 2 week study with an appropriate dose setting has equal potential in detecting the toxic</w:t>
      </w:r>
      <w:r w:rsidR="00793477" w:rsidRPr="00F02C1E">
        <w:t>ity on male reproductive organs</w:t>
      </w:r>
      <w:r w:rsidRPr="00F02C1E">
        <w:t xml:space="preserve"> is accepted.</w:t>
      </w:r>
    </w:p>
    <w:p w:rsidR="00BE4661" w:rsidRPr="00F02C1E" w:rsidRDefault="00BE4661" w:rsidP="00F02C1E">
      <w:r w:rsidRPr="00F02C1E">
        <w:t>Toxicokinetic data were obtained from animals in the embryo</w:t>
      </w:r>
      <w:r w:rsidR="00AE418B" w:rsidRPr="00F02C1E">
        <w:t>foetal</w:t>
      </w:r>
      <w:r w:rsidRPr="00F02C1E">
        <w:t xml:space="preserve"> development studies. Animal:</w:t>
      </w:r>
      <w:r w:rsidR="00DF2B7B">
        <w:t xml:space="preserve"> </w:t>
      </w:r>
      <w:r w:rsidRPr="00F02C1E">
        <w:t xml:space="preserve">human exposure ratios in rabbits were calculated using combined netupitant parent and metabolites exposure based on AUC and </w:t>
      </w:r>
      <w:proofErr w:type="spellStart"/>
      <w:r w:rsidR="0018634D" w:rsidRPr="005B2EAC">
        <w:t>C</w:t>
      </w:r>
      <w:r w:rsidR="0018634D" w:rsidRPr="0018634D">
        <w:rPr>
          <w:vertAlign w:val="subscript"/>
        </w:rPr>
        <w:t>max</w:t>
      </w:r>
      <w:proofErr w:type="spellEnd"/>
      <w:r w:rsidRPr="00F02C1E">
        <w:t>. In the rat embryo</w:t>
      </w:r>
      <w:r w:rsidR="00AE418B" w:rsidRPr="00F02C1E">
        <w:t>foetal</w:t>
      </w:r>
      <w:r w:rsidRPr="00F02C1E">
        <w:t xml:space="preserve"> development study, only the parent drug was measured; there were no toxicokinetic data </w:t>
      </w:r>
      <w:r w:rsidR="00520DB8" w:rsidRPr="00F02C1E">
        <w:t>on the metabolites. Since the D</w:t>
      </w:r>
      <w:r w:rsidRPr="00F02C1E">
        <w:t>ay 1 toxicokinetic values for netupitant in pregnant rats were similar to the values in non-pregnant female rats</w:t>
      </w:r>
      <w:r w:rsidR="00520DB8" w:rsidRPr="00F02C1E">
        <w:t xml:space="preserve"> in the 4 </w:t>
      </w:r>
      <w:r w:rsidRPr="00F02C1E">
        <w:t>week repeat dose toxicity study, the expo</w:t>
      </w:r>
      <w:r w:rsidR="00520DB8" w:rsidRPr="00F02C1E">
        <w:t>sure ratios for the rat embryofoe</w:t>
      </w:r>
      <w:r w:rsidRPr="00F02C1E">
        <w:t>tal development study are estimated based on toxicokinet</w:t>
      </w:r>
      <w:r w:rsidR="00520DB8" w:rsidRPr="00F02C1E">
        <w:t xml:space="preserve">ic data in female rats in the 4 </w:t>
      </w:r>
      <w:r w:rsidRPr="00F02C1E">
        <w:t>week rep</w:t>
      </w:r>
      <w:r w:rsidR="001D3D06" w:rsidRPr="00F02C1E">
        <w:t>eat dose study (Study 1006011).</w:t>
      </w:r>
    </w:p>
    <w:p w:rsidR="00BE4661" w:rsidRDefault="00BE4661" w:rsidP="00BE4661">
      <w:pPr>
        <w:pStyle w:val="WhiteSpace"/>
        <w:rPr>
          <w:kern w:val="2"/>
          <w:sz w:val="10"/>
          <w:szCs w:val="10"/>
        </w:rPr>
      </w:pPr>
    </w:p>
    <w:p w:rsidR="00BE4661" w:rsidRDefault="00520DB8" w:rsidP="00520DB8">
      <w:pPr>
        <w:pStyle w:val="TableTitle"/>
      </w:pPr>
      <w:proofErr w:type="gramStart"/>
      <w:r w:rsidRPr="000553EA">
        <w:t xml:space="preserve">Table </w:t>
      </w:r>
      <w:r w:rsidR="00F5364C">
        <w:t>5</w:t>
      </w:r>
      <w:r w:rsidR="003818B7">
        <w:t>.</w:t>
      </w:r>
      <w:proofErr w:type="gramEnd"/>
      <w:r w:rsidR="003949D9" w:rsidRPr="000553EA">
        <w:t xml:space="preserve"> </w:t>
      </w:r>
      <w:r w:rsidR="00BE4661" w:rsidRPr="000553EA">
        <w:t>Relative exposure in reproductive toxicity studies</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9"/>
        <w:gridCol w:w="1493"/>
        <w:gridCol w:w="1301"/>
        <w:gridCol w:w="1301"/>
        <w:gridCol w:w="1302"/>
        <w:gridCol w:w="856"/>
        <w:gridCol w:w="857"/>
      </w:tblGrid>
      <w:tr w:rsidR="00424B91" w:rsidRPr="00DF2B7B" w:rsidTr="00680A60">
        <w:trPr>
          <w:cantSplit/>
          <w:trHeight w:val="456"/>
          <w:tblHeader/>
        </w:trPr>
        <w:tc>
          <w:tcPr>
            <w:tcW w:w="1529" w:type="dxa"/>
            <w:vMerge w:val="restart"/>
            <w:tcBorders>
              <w:top w:val="single" w:sz="8" w:space="0" w:color="000000"/>
              <w:left w:val="single" w:sz="8" w:space="0" w:color="000000"/>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Species</w:t>
            </w:r>
          </w:p>
        </w:tc>
        <w:tc>
          <w:tcPr>
            <w:tcW w:w="1493" w:type="dxa"/>
            <w:vMerge w:val="restart"/>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Study</w:t>
            </w:r>
          </w:p>
        </w:tc>
        <w:tc>
          <w:tcPr>
            <w:tcW w:w="1301" w:type="dxa"/>
            <w:vMerge w:val="restart"/>
            <w:tcBorders>
              <w:top w:val="single" w:sz="8" w:space="0" w:color="000000"/>
              <w:left w:val="nil"/>
              <w:bottom w:val="single" w:sz="8" w:space="0" w:color="000000"/>
              <w:right w:val="nil"/>
              <w:tl2br w:val="nil"/>
              <w:tr2bl w:val="nil"/>
            </w:tcBorders>
            <w:shd w:val="clear" w:color="auto" w:fill="006DA7"/>
            <w:hideMark/>
          </w:tcPr>
          <w:p w:rsidR="00BE4661" w:rsidRPr="00F93A87" w:rsidRDefault="00DF2B7B" w:rsidP="004C0905">
            <w:pPr>
              <w:keepNext/>
              <w:spacing w:line="240" w:lineRule="auto"/>
              <w:rPr>
                <w:b/>
                <w:color w:val="FFFFFF"/>
                <w:lang w:eastAsia="en-AU"/>
              </w:rPr>
            </w:pPr>
            <w:r w:rsidRPr="00F93A87">
              <w:rPr>
                <w:b/>
                <w:color w:val="FFFFFF"/>
                <w:lang w:eastAsia="en-AU"/>
              </w:rPr>
              <w:t xml:space="preserve">Dose </w:t>
            </w:r>
            <w:r w:rsidR="00BE4661" w:rsidRPr="00F93A87">
              <w:rPr>
                <w:b/>
                <w:color w:val="FFFFFF"/>
                <w:lang w:eastAsia="en-AU"/>
              </w:rPr>
              <w:t>(mg/kg/day)</w:t>
            </w:r>
          </w:p>
        </w:tc>
        <w:tc>
          <w:tcPr>
            <w:tcW w:w="1301" w:type="dxa"/>
            <w:vMerge w:val="restart"/>
            <w:tcBorders>
              <w:top w:val="single" w:sz="8" w:space="0" w:color="000000"/>
              <w:left w:val="nil"/>
              <w:bottom w:val="single" w:sz="8" w:space="0" w:color="000000"/>
              <w:right w:val="nil"/>
              <w:tl2br w:val="nil"/>
              <w:tr2bl w:val="nil"/>
            </w:tcBorders>
            <w:shd w:val="clear" w:color="auto" w:fill="006DA7"/>
            <w:hideMark/>
          </w:tcPr>
          <w:p w:rsidR="00BE4661" w:rsidRPr="00F93A87" w:rsidRDefault="0018634D" w:rsidP="004C0905">
            <w:pPr>
              <w:keepNext/>
              <w:spacing w:line="240" w:lineRule="auto"/>
              <w:rPr>
                <w:b/>
                <w:color w:val="FFFFFF"/>
                <w:lang w:eastAsia="en-AU"/>
              </w:rPr>
            </w:pPr>
            <w:proofErr w:type="spellStart"/>
            <w:r w:rsidRPr="00F93A87">
              <w:rPr>
                <w:b/>
                <w:color w:val="FFFFFF"/>
                <w:lang w:eastAsia="en-AU"/>
              </w:rPr>
              <w:t>C</w:t>
            </w:r>
            <w:r w:rsidRPr="00F93A87">
              <w:rPr>
                <w:b/>
                <w:color w:val="FFFFFF"/>
                <w:vertAlign w:val="subscript"/>
                <w:lang w:eastAsia="en-AU"/>
              </w:rPr>
              <w:t>max</w:t>
            </w:r>
            <w:proofErr w:type="spellEnd"/>
            <w:r w:rsidR="00DF2B7B" w:rsidRPr="00F93A87">
              <w:rPr>
                <w:b/>
                <w:color w:val="FFFFFF"/>
                <w:lang w:eastAsia="en-AU"/>
              </w:rPr>
              <w:t xml:space="preserve"> </w:t>
            </w:r>
            <w:r w:rsidR="00BE4661" w:rsidRPr="00F93A87">
              <w:rPr>
                <w:b/>
                <w:color w:val="FFFFFF"/>
                <w:lang w:eastAsia="en-AU"/>
              </w:rPr>
              <w:t>(ng/mL)*</w:t>
            </w:r>
          </w:p>
        </w:tc>
        <w:tc>
          <w:tcPr>
            <w:tcW w:w="1302" w:type="dxa"/>
            <w:vMerge w:val="restart"/>
            <w:tcBorders>
              <w:top w:val="single" w:sz="8" w:space="0" w:color="000000"/>
              <w:left w:val="nil"/>
              <w:bottom w:val="single" w:sz="8" w:space="0" w:color="000000"/>
              <w:right w:val="nil"/>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AUC</w:t>
            </w:r>
            <w:r w:rsidRPr="00F93A87">
              <w:rPr>
                <w:b/>
                <w:color w:val="FFFFFF"/>
                <w:vertAlign w:val="subscript"/>
                <w:lang w:eastAsia="en-AU"/>
              </w:rPr>
              <w:t>0–24 h</w:t>
            </w:r>
            <w:r w:rsidR="00DF2B7B" w:rsidRPr="00F93A87">
              <w:rPr>
                <w:b/>
                <w:color w:val="FFFFFF"/>
                <w:lang w:eastAsia="en-AU"/>
              </w:rPr>
              <w:t xml:space="preserve"> </w:t>
            </w:r>
            <w:r w:rsidRPr="00F93A87">
              <w:rPr>
                <w:b/>
                <w:color w:val="FFFFFF"/>
                <w:lang w:eastAsia="en-AU"/>
              </w:rPr>
              <w:t>(</w:t>
            </w:r>
            <w:proofErr w:type="spellStart"/>
            <w:r w:rsidRPr="00F93A87">
              <w:rPr>
                <w:b/>
                <w:color w:val="FFFFFF"/>
                <w:lang w:eastAsia="en-AU"/>
              </w:rPr>
              <w:t>ng∙h</w:t>
            </w:r>
            <w:proofErr w:type="spellEnd"/>
            <w:r w:rsidRPr="00F93A87">
              <w:rPr>
                <w:b/>
                <w:color w:val="FFFFFF"/>
                <w:lang w:eastAsia="en-AU"/>
              </w:rPr>
              <w:t>/mL)*</w:t>
            </w:r>
          </w:p>
        </w:tc>
        <w:tc>
          <w:tcPr>
            <w:tcW w:w="1712" w:type="dxa"/>
            <w:gridSpan w:val="2"/>
            <w:tcBorders>
              <w:top w:val="single" w:sz="8" w:space="0" w:color="000000"/>
              <w:left w:val="nil"/>
              <w:bottom w:val="single" w:sz="8" w:space="0" w:color="000000"/>
              <w:right w:val="single" w:sz="8" w:space="0" w:color="000000"/>
              <w:tl2br w:val="nil"/>
              <w:tr2bl w:val="nil"/>
            </w:tcBorders>
            <w:shd w:val="clear" w:color="auto" w:fill="006DA7"/>
            <w:hideMark/>
          </w:tcPr>
          <w:p w:rsidR="00BE4661" w:rsidRPr="00F93A87" w:rsidRDefault="00BE4661" w:rsidP="004C0905">
            <w:pPr>
              <w:keepNext/>
              <w:spacing w:line="240" w:lineRule="auto"/>
              <w:rPr>
                <w:b/>
                <w:color w:val="FFFFFF"/>
                <w:lang w:eastAsia="en-AU"/>
              </w:rPr>
            </w:pPr>
            <w:r w:rsidRPr="00F93A87">
              <w:rPr>
                <w:b/>
                <w:color w:val="FFFFFF"/>
                <w:lang w:eastAsia="en-AU"/>
              </w:rPr>
              <w:t>Exposure ratio</w:t>
            </w:r>
          </w:p>
        </w:tc>
      </w:tr>
      <w:tr w:rsidR="00424B91" w:rsidRPr="00DF2B7B" w:rsidTr="00680A60">
        <w:trPr>
          <w:cantSplit/>
          <w:trHeight w:val="141"/>
          <w:tblHeader/>
        </w:trPr>
        <w:tc>
          <w:tcPr>
            <w:tcW w:w="1529" w:type="dxa"/>
            <w:vMerge/>
            <w:shd w:val="clear" w:color="auto" w:fill="auto"/>
            <w:hideMark/>
          </w:tcPr>
          <w:p w:rsidR="00BE4661" w:rsidRPr="00F93A87" w:rsidRDefault="00BE4661" w:rsidP="004C0905">
            <w:pPr>
              <w:spacing w:line="240" w:lineRule="auto"/>
              <w:rPr>
                <w:color w:val="000000"/>
                <w:lang w:eastAsia="en-AU"/>
              </w:rPr>
            </w:pPr>
          </w:p>
        </w:tc>
        <w:tc>
          <w:tcPr>
            <w:tcW w:w="1493" w:type="dxa"/>
            <w:vMerge/>
            <w:shd w:val="clear" w:color="auto" w:fill="auto"/>
            <w:hideMark/>
          </w:tcPr>
          <w:p w:rsidR="00BE4661" w:rsidRPr="00F93A87" w:rsidRDefault="00BE4661" w:rsidP="004C0905">
            <w:pPr>
              <w:spacing w:line="240" w:lineRule="auto"/>
              <w:rPr>
                <w:color w:val="000000"/>
                <w:lang w:eastAsia="en-AU"/>
              </w:rPr>
            </w:pPr>
          </w:p>
        </w:tc>
        <w:tc>
          <w:tcPr>
            <w:tcW w:w="1301" w:type="dxa"/>
            <w:vMerge/>
            <w:shd w:val="clear" w:color="auto" w:fill="auto"/>
            <w:hideMark/>
          </w:tcPr>
          <w:p w:rsidR="00BE4661" w:rsidRPr="00F93A87" w:rsidRDefault="00BE4661" w:rsidP="004C0905">
            <w:pPr>
              <w:spacing w:line="240" w:lineRule="auto"/>
              <w:rPr>
                <w:color w:val="000000"/>
                <w:lang w:eastAsia="en-AU"/>
              </w:rPr>
            </w:pPr>
          </w:p>
        </w:tc>
        <w:tc>
          <w:tcPr>
            <w:tcW w:w="1301" w:type="dxa"/>
            <w:vMerge/>
            <w:shd w:val="clear" w:color="auto" w:fill="auto"/>
            <w:hideMark/>
          </w:tcPr>
          <w:p w:rsidR="00BE4661" w:rsidRPr="00F93A87" w:rsidRDefault="00BE4661" w:rsidP="004C0905">
            <w:pPr>
              <w:spacing w:line="240" w:lineRule="auto"/>
              <w:rPr>
                <w:color w:val="000000"/>
                <w:lang w:eastAsia="en-AU"/>
              </w:rPr>
            </w:pPr>
          </w:p>
        </w:tc>
        <w:tc>
          <w:tcPr>
            <w:tcW w:w="1302" w:type="dxa"/>
            <w:vMerge/>
            <w:shd w:val="clear" w:color="auto" w:fill="auto"/>
            <w:hideMark/>
          </w:tcPr>
          <w:p w:rsidR="00BE4661" w:rsidRPr="00F93A87" w:rsidRDefault="00BE4661" w:rsidP="004C0905">
            <w:pPr>
              <w:spacing w:line="240" w:lineRule="auto"/>
              <w:rPr>
                <w:color w:val="000000"/>
                <w:lang w:eastAsia="en-AU"/>
              </w:rPr>
            </w:pPr>
          </w:p>
        </w:tc>
        <w:tc>
          <w:tcPr>
            <w:tcW w:w="856" w:type="dxa"/>
            <w:shd w:val="clear" w:color="auto" w:fill="0070B5"/>
            <w:hideMark/>
          </w:tcPr>
          <w:p w:rsidR="00BE4661" w:rsidRPr="00F93A87" w:rsidRDefault="0018634D" w:rsidP="004C0905">
            <w:pPr>
              <w:spacing w:line="240" w:lineRule="auto"/>
              <w:rPr>
                <w:b/>
                <w:color w:val="FFFFFF"/>
                <w:lang w:eastAsia="en-AU"/>
              </w:rPr>
            </w:pPr>
            <w:proofErr w:type="spellStart"/>
            <w:r w:rsidRPr="00F93A87">
              <w:rPr>
                <w:b/>
                <w:color w:val="FFFFFF"/>
                <w:lang w:eastAsia="en-AU"/>
              </w:rPr>
              <w:t>C</w:t>
            </w:r>
            <w:r w:rsidRPr="00F93A87">
              <w:rPr>
                <w:b/>
                <w:color w:val="FFFFFF"/>
                <w:vertAlign w:val="subscript"/>
                <w:lang w:eastAsia="en-AU"/>
              </w:rPr>
              <w:t>max</w:t>
            </w:r>
            <w:proofErr w:type="spellEnd"/>
          </w:p>
        </w:tc>
        <w:tc>
          <w:tcPr>
            <w:tcW w:w="857" w:type="dxa"/>
            <w:shd w:val="clear" w:color="auto" w:fill="0070B5"/>
            <w:hideMark/>
          </w:tcPr>
          <w:p w:rsidR="00BE4661" w:rsidRPr="00F93A87" w:rsidRDefault="00BE4661" w:rsidP="004C0905">
            <w:pPr>
              <w:spacing w:line="240" w:lineRule="auto"/>
              <w:rPr>
                <w:b/>
                <w:color w:val="FFFFFF"/>
                <w:lang w:eastAsia="en-AU"/>
              </w:rPr>
            </w:pPr>
            <w:r w:rsidRPr="00F93A87">
              <w:rPr>
                <w:b/>
                <w:color w:val="FFFFFF"/>
                <w:lang w:eastAsia="en-AU"/>
              </w:rPr>
              <w:t>AUC#</w:t>
            </w:r>
          </w:p>
        </w:tc>
      </w:tr>
      <w:tr w:rsidR="00424B91" w:rsidRPr="00DF2B7B" w:rsidTr="00680A60">
        <w:trPr>
          <w:cantSplit/>
          <w:trHeight w:val="222"/>
        </w:trPr>
        <w:tc>
          <w:tcPr>
            <w:tcW w:w="1529" w:type="dxa"/>
            <w:vMerge w:val="restart"/>
            <w:shd w:val="clear" w:color="auto" w:fill="auto"/>
            <w:hideMark/>
          </w:tcPr>
          <w:p w:rsidR="00BE4661" w:rsidRPr="00F93A87" w:rsidRDefault="00BE4661" w:rsidP="00F93A87">
            <w:pPr>
              <w:rPr>
                <w:lang w:eastAsia="en-AU"/>
              </w:rPr>
            </w:pPr>
            <w:r w:rsidRPr="00F93A87">
              <w:rPr>
                <w:lang w:eastAsia="en-AU"/>
              </w:rPr>
              <w:t>Rat</w:t>
            </w:r>
            <w:r w:rsidR="00DF2B7B" w:rsidRPr="00F93A87">
              <w:rPr>
                <w:lang w:eastAsia="en-AU"/>
              </w:rPr>
              <w:t xml:space="preserve"> </w:t>
            </w:r>
            <w:r w:rsidRPr="00F93A87">
              <w:rPr>
                <w:lang w:eastAsia="en-AU"/>
              </w:rPr>
              <w:t>(</w:t>
            </w:r>
            <w:proofErr w:type="spellStart"/>
            <w:r w:rsidRPr="00F93A87">
              <w:rPr>
                <w:lang w:eastAsia="en-AU"/>
              </w:rPr>
              <w:t>Wistar</w:t>
            </w:r>
            <w:proofErr w:type="spellEnd"/>
            <w:r w:rsidRPr="00F93A87">
              <w:rPr>
                <w:lang w:eastAsia="en-AU"/>
              </w:rPr>
              <w:t>)</w:t>
            </w:r>
          </w:p>
        </w:tc>
        <w:tc>
          <w:tcPr>
            <w:tcW w:w="1493" w:type="dxa"/>
            <w:vMerge w:val="restart"/>
            <w:shd w:val="clear" w:color="auto" w:fill="auto"/>
          </w:tcPr>
          <w:p w:rsidR="00BE4661" w:rsidRPr="00F93A87" w:rsidRDefault="00BE4661" w:rsidP="00F93A87">
            <w:pPr>
              <w:rPr>
                <w:lang w:eastAsia="en-AU"/>
              </w:rPr>
            </w:pPr>
            <w:r w:rsidRPr="00F93A87">
              <w:rPr>
                <w:lang w:eastAsia="en-AU"/>
              </w:rPr>
              <w:t>Embryo</w:t>
            </w:r>
            <w:r w:rsidR="00AE418B" w:rsidRPr="00F93A87">
              <w:rPr>
                <w:lang w:eastAsia="en-AU"/>
              </w:rPr>
              <w:t>foetal</w:t>
            </w:r>
            <w:r w:rsidRPr="00F93A87">
              <w:rPr>
                <w:lang w:eastAsia="en-AU"/>
              </w:rPr>
              <w:t xml:space="preserve"> development</w:t>
            </w:r>
            <w:r w:rsidRPr="00F93A87">
              <w:rPr>
                <w:vertAlign w:val="superscript"/>
                <w:lang w:eastAsia="en-AU"/>
              </w:rPr>
              <w:t>‡</w:t>
            </w:r>
          </w:p>
        </w:tc>
        <w:tc>
          <w:tcPr>
            <w:tcW w:w="1301" w:type="dxa"/>
            <w:shd w:val="clear" w:color="auto" w:fill="auto"/>
            <w:hideMark/>
          </w:tcPr>
          <w:p w:rsidR="00BE4661" w:rsidRPr="00F93A87" w:rsidRDefault="00BE4661" w:rsidP="00F93A87">
            <w:pPr>
              <w:rPr>
                <w:lang w:eastAsia="en-AU"/>
              </w:rPr>
            </w:pPr>
            <w:r w:rsidRPr="00F93A87">
              <w:rPr>
                <w:lang w:eastAsia="en-AU"/>
              </w:rPr>
              <w:t>3</w:t>
            </w:r>
          </w:p>
        </w:tc>
        <w:tc>
          <w:tcPr>
            <w:tcW w:w="1301" w:type="dxa"/>
            <w:shd w:val="clear" w:color="auto" w:fill="auto"/>
            <w:hideMark/>
          </w:tcPr>
          <w:p w:rsidR="00BE4661" w:rsidRPr="00F93A87" w:rsidRDefault="00BE4661" w:rsidP="00F93A87">
            <w:pPr>
              <w:rPr>
                <w:lang w:eastAsia="en-AU"/>
              </w:rPr>
            </w:pPr>
            <w:r w:rsidRPr="00F93A87">
              <w:rPr>
                <w:lang w:eastAsia="en-AU"/>
              </w:rPr>
              <w:t>1</w:t>
            </w:r>
            <w:r w:rsidR="00DF2B7B" w:rsidRPr="00F93A87">
              <w:rPr>
                <w:lang w:eastAsia="en-AU"/>
              </w:rPr>
              <w:t>,</w:t>
            </w:r>
            <w:r w:rsidRPr="00F93A87">
              <w:rPr>
                <w:lang w:eastAsia="en-AU"/>
              </w:rPr>
              <w:t>189</w:t>
            </w:r>
          </w:p>
        </w:tc>
        <w:tc>
          <w:tcPr>
            <w:tcW w:w="1302" w:type="dxa"/>
            <w:shd w:val="clear" w:color="auto" w:fill="auto"/>
            <w:hideMark/>
          </w:tcPr>
          <w:p w:rsidR="00BE4661" w:rsidRPr="00F93A87" w:rsidRDefault="00BE4661" w:rsidP="00F93A87">
            <w:pPr>
              <w:rPr>
                <w:lang w:eastAsia="en-AU"/>
              </w:rPr>
            </w:pPr>
            <w:r w:rsidRPr="00F93A87">
              <w:rPr>
                <w:lang w:eastAsia="en-AU"/>
              </w:rPr>
              <w:t>24</w:t>
            </w:r>
            <w:r w:rsidR="00DF2B7B" w:rsidRPr="00F93A87">
              <w:rPr>
                <w:lang w:eastAsia="en-AU"/>
              </w:rPr>
              <w:t>,</w:t>
            </w:r>
            <w:r w:rsidRPr="00F93A87">
              <w:rPr>
                <w:lang w:eastAsia="en-AU"/>
              </w:rPr>
              <w:t>900</w:t>
            </w:r>
          </w:p>
        </w:tc>
        <w:tc>
          <w:tcPr>
            <w:tcW w:w="856" w:type="dxa"/>
            <w:shd w:val="clear" w:color="auto" w:fill="auto"/>
            <w:hideMark/>
          </w:tcPr>
          <w:p w:rsidR="00BE4661" w:rsidRPr="00F93A87" w:rsidRDefault="00BE4661" w:rsidP="00F93A87">
            <w:pPr>
              <w:rPr>
                <w:lang w:eastAsia="en-AU"/>
              </w:rPr>
            </w:pPr>
            <w:r w:rsidRPr="00F93A87">
              <w:rPr>
                <w:lang w:eastAsia="en-AU"/>
              </w:rPr>
              <w:t>1.3</w:t>
            </w:r>
          </w:p>
        </w:tc>
        <w:tc>
          <w:tcPr>
            <w:tcW w:w="857" w:type="dxa"/>
            <w:shd w:val="clear" w:color="auto" w:fill="auto"/>
            <w:hideMark/>
          </w:tcPr>
          <w:p w:rsidR="00BE4661" w:rsidRPr="00F93A87" w:rsidRDefault="00BE4661" w:rsidP="00F93A87">
            <w:pPr>
              <w:rPr>
                <w:lang w:eastAsia="en-AU"/>
              </w:rPr>
            </w:pPr>
            <w:r w:rsidRPr="00F93A87">
              <w:rPr>
                <w:lang w:eastAsia="en-AU"/>
              </w:rPr>
              <w:t>9</w:t>
            </w:r>
          </w:p>
        </w:tc>
      </w:tr>
      <w:tr w:rsidR="00424B91" w:rsidRPr="00DF2B7B" w:rsidTr="00680A60">
        <w:trPr>
          <w:cantSplit/>
          <w:trHeight w:val="222"/>
        </w:trPr>
        <w:tc>
          <w:tcPr>
            <w:tcW w:w="1529" w:type="dxa"/>
            <w:vMerge/>
            <w:shd w:val="clear" w:color="auto" w:fill="auto"/>
            <w:hideMark/>
          </w:tcPr>
          <w:p w:rsidR="00BE4661" w:rsidRPr="00F93A87" w:rsidRDefault="00BE4661" w:rsidP="00F93A87">
            <w:pPr>
              <w:rPr>
                <w:lang w:eastAsia="en-AU"/>
              </w:rPr>
            </w:pPr>
          </w:p>
        </w:tc>
        <w:tc>
          <w:tcPr>
            <w:tcW w:w="1493" w:type="dxa"/>
            <w:vMerge/>
            <w:shd w:val="clear" w:color="auto" w:fill="auto"/>
            <w:hideMark/>
          </w:tcPr>
          <w:p w:rsidR="00BE4661" w:rsidRPr="00F93A87" w:rsidRDefault="00BE4661" w:rsidP="00F93A87">
            <w:pPr>
              <w:rPr>
                <w:lang w:eastAsia="en-AU"/>
              </w:rPr>
            </w:pPr>
          </w:p>
        </w:tc>
        <w:tc>
          <w:tcPr>
            <w:tcW w:w="1301" w:type="dxa"/>
            <w:shd w:val="clear" w:color="auto" w:fill="auto"/>
            <w:hideMark/>
          </w:tcPr>
          <w:p w:rsidR="00BE4661" w:rsidRPr="00F93A87" w:rsidRDefault="00BE4661" w:rsidP="00F93A87">
            <w:pPr>
              <w:rPr>
                <w:lang w:eastAsia="en-AU"/>
              </w:rPr>
            </w:pPr>
            <w:r w:rsidRPr="00F93A87">
              <w:rPr>
                <w:lang w:eastAsia="en-AU"/>
              </w:rPr>
              <w:t>10</w:t>
            </w:r>
          </w:p>
        </w:tc>
        <w:tc>
          <w:tcPr>
            <w:tcW w:w="1301" w:type="dxa"/>
            <w:shd w:val="clear" w:color="auto" w:fill="auto"/>
            <w:hideMark/>
          </w:tcPr>
          <w:p w:rsidR="00BE4661" w:rsidRPr="00F93A87" w:rsidRDefault="00BE4661" w:rsidP="00F93A87">
            <w:pPr>
              <w:rPr>
                <w:lang w:eastAsia="en-AU"/>
              </w:rPr>
            </w:pPr>
            <w:r w:rsidRPr="00F93A87">
              <w:rPr>
                <w:lang w:eastAsia="en-AU"/>
              </w:rPr>
              <w:t>2</w:t>
            </w:r>
            <w:r w:rsidR="001351A1" w:rsidRPr="00F93A87">
              <w:rPr>
                <w:lang w:eastAsia="en-AU"/>
              </w:rPr>
              <w:t>,</w:t>
            </w:r>
            <w:r w:rsidRPr="00F93A87">
              <w:rPr>
                <w:lang w:eastAsia="en-AU"/>
              </w:rPr>
              <w:t>737</w:t>
            </w:r>
          </w:p>
        </w:tc>
        <w:tc>
          <w:tcPr>
            <w:tcW w:w="1302" w:type="dxa"/>
            <w:shd w:val="clear" w:color="auto" w:fill="auto"/>
            <w:hideMark/>
          </w:tcPr>
          <w:p w:rsidR="00BE4661" w:rsidRPr="00F93A87" w:rsidRDefault="00BE4661" w:rsidP="00F93A87">
            <w:pPr>
              <w:rPr>
                <w:lang w:eastAsia="en-AU"/>
              </w:rPr>
            </w:pPr>
            <w:r w:rsidRPr="00F93A87">
              <w:rPr>
                <w:lang w:eastAsia="en-AU"/>
              </w:rPr>
              <w:t>55</w:t>
            </w:r>
            <w:r w:rsidR="00DF2B7B" w:rsidRPr="00F93A87">
              <w:rPr>
                <w:lang w:eastAsia="en-AU"/>
              </w:rPr>
              <w:t>,</w:t>
            </w:r>
            <w:r w:rsidRPr="00F93A87">
              <w:rPr>
                <w:lang w:eastAsia="en-AU"/>
              </w:rPr>
              <w:t>940</w:t>
            </w:r>
          </w:p>
        </w:tc>
        <w:tc>
          <w:tcPr>
            <w:tcW w:w="856" w:type="dxa"/>
            <w:shd w:val="clear" w:color="auto" w:fill="auto"/>
            <w:hideMark/>
          </w:tcPr>
          <w:p w:rsidR="00BE4661" w:rsidRPr="00F93A87" w:rsidRDefault="00BE4661" w:rsidP="00F93A87">
            <w:pPr>
              <w:rPr>
                <w:lang w:eastAsia="en-AU"/>
              </w:rPr>
            </w:pPr>
            <w:r w:rsidRPr="00F93A87">
              <w:rPr>
                <w:lang w:eastAsia="en-AU"/>
              </w:rPr>
              <w:t>2.9</w:t>
            </w:r>
          </w:p>
        </w:tc>
        <w:tc>
          <w:tcPr>
            <w:tcW w:w="857" w:type="dxa"/>
            <w:shd w:val="clear" w:color="auto" w:fill="auto"/>
            <w:hideMark/>
          </w:tcPr>
          <w:p w:rsidR="00BE4661" w:rsidRPr="00F93A87" w:rsidRDefault="00BE4661" w:rsidP="00F93A87">
            <w:pPr>
              <w:rPr>
                <w:lang w:eastAsia="en-AU"/>
              </w:rPr>
            </w:pPr>
            <w:r w:rsidRPr="00F93A87">
              <w:rPr>
                <w:lang w:eastAsia="en-AU"/>
              </w:rPr>
              <w:t>20</w:t>
            </w:r>
          </w:p>
        </w:tc>
      </w:tr>
      <w:tr w:rsidR="00424B91" w:rsidRPr="00DF2B7B" w:rsidTr="00680A60">
        <w:trPr>
          <w:cantSplit/>
          <w:trHeight w:val="222"/>
        </w:trPr>
        <w:tc>
          <w:tcPr>
            <w:tcW w:w="1529" w:type="dxa"/>
            <w:vMerge/>
            <w:shd w:val="clear" w:color="auto" w:fill="auto"/>
            <w:hideMark/>
          </w:tcPr>
          <w:p w:rsidR="00BE4661" w:rsidRPr="00F93A87" w:rsidRDefault="00BE4661" w:rsidP="00F93A87">
            <w:pPr>
              <w:rPr>
                <w:color w:val="000000"/>
                <w:lang w:eastAsia="en-AU"/>
              </w:rPr>
            </w:pPr>
          </w:p>
        </w:tc>
        <w:tc>
          <w:tcPr>
            <w:tcW w:w="1493" w:type="dxa"/>
            <w:vMerge/>
            <w:shd w:val="clear" w:color="auto" w:fill="auto"/>
            <w:hideMark/>
          </w:tcPr>
          <w:p w:rsidR="00BE4661" w:rsidRPr="00F93A87" w:rsidRDefault="00BE4661" w:rsidP="00F93A87">
            <w:pPr>
              <w:rPr>
                <w:color w:val="000000"/>
                <w:lang w:eastAsia="en-AU"/>
              </w:rPr>
            </w:pP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30</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4</w:t>
            </w:r>
            <w:r w:rsidR="001351A1" w:rsidRPr="00F93A87">
              <w:rPr>
                <w:color w:val="000000"/>
                <w:lang w:eastAsia="en-AU"/>
              </w:rPr>
              <w:t>,</w:t>
            </w:r>
            <w:r w:rsidRPr="00F93A87">
              <w:rPr>
                <w:color w:val="000000"/>
                <w:lang w:eastAsia="en-AU"/>
              </w:rPr>
              <w:t>960</w:t>
            </w:r>
          </w:p>
        </w:tc>
        <w:tc>
          <w:tcPr>
            <w:tcW w:w="1302" w:type="dxa"/>
            <w:shd w:val="clear" w:color="auto" w:fill="auto"/>
            <w:hideMark/>
          </w:tcPr>
          <w:p w:rsidR="00BE4661" w:rsidRPr="00F93A87" w:rsidRDefault="00BE4661" w:rsidP="00F93A87">
            <w:pPr>
              <w:rPr>
                <w:color w:val="000000"/>
                <w:lang w:eastAsia="en-AU"/>
              </w:rPr>
            </w:pPr>
            <w:r w:rsidRPr="00F93A87">
              <w:rPr>
                <w:color w:val="000000"/>
                <w:lang w:eastAsia="en-AU"/>
              </w:rPr>
              <w:t>105</w:t>
            </w:r>
            <w:r w:rsidR="00DF2B7B" w:rsidRPr="00F93A87">
              <w:rPr>
                <w:color w:val="000000"/>
                <w:lang w:eastAsia="en-AU"/>
              </w:rPr>
              <w:t>,</w:t>
            </w:r>
            <w:r w:rsidRPr="00F93A87">
              <w:rPr>
                <w:color w:val="000000"/>
                <w:lang w:eastAsia="en-AU"/>
              </w:rPr>
              <w:t>040</w:t>
            </w:r>
          </w:p>
        </w:tc>
        <w:tc>
          <w:tcPr>
            <w:tcW w:w="856" w:type="dxa"/>
            <w:shd w:val="clear" w:color="auto" w:fill="auto"/>
            <w:hideMark/>
          </w:tcPr>
          <w:p w:rsidR="00BE4661" w:rsidRPr="00F93A87" w:rsidRDefault="00BE4661" w:rsidP="00F93A87">
            <w:pPr>
              <w:rPr>
                <w:color w:val="000000"/>
                <w:lang w:eastAsia="en-AU"/>
              </w:rPr>
            </w:pPr>
            <w:r w:rsidRPr="00F93A87">
              <w:rPr>
                <w:color w:val="000000"/>
                <w:lang w:eastAsia="en-AU"/>
              </w:rPr>
              <w:t>5.3</w:t>
            </w:r>
          </w:p>
        </w:tc>
        <w:tc>
          <w:tcPr>
            <w:tcW w:w="857" w:type="dxa"/>
            <w:shd w:val="clear" w:color="auto" w:fill="auto"/>
            <w:hideMark/>
          </w:tcPr>
          <w:p w:rsidR="00BE4661" w:rsidRPr="00F93A87" w:rsidRDefault="00BE4661" w:rsidP="00F93A87">
            <w:pPr>
              <w:rPr>
                <w:color w:val="000000"/>
                <w:lang w:eastAsia="en-AU"/>
              </w:rPr>
            </w:pPr>
            <w:r w:rsidRPr="00F93A87">
              <w:rPr>
                <w:color w:val="000000"/>
                <w:lang w:eastAsia="en-AU"/>
              </w:rPr>
              <w:t>38</w:t>
            </w:r>
          </w:p>
        </w:tc>
      </w:tr>
      <w:tr w:rsidR="00424B91" w:rsidRPr="00DF2B7B" w:rsidTr="00680A60">
        <w:trPr>
          <w:cantSplit/>
          <w:trHeight w:val="222"/>
        </w:trPr>
        <w:tc>
          <w:tcPr>
            <w:tcW w:w="1529" w:type="dxa"/>
            <w:vMerge w:val="restart"/>
            <w:shd w:val="clear" w:color="auto" w:fill="auto"/>
            <w:hideMark/>
          </w:tcPr>
          <w:p w:rsidR="00BE4661" w:rsidRPr="00F93A87" w:rsidRDefault="00BE4661" w:rsidP="00F93A87">
            <w:pPr>
              <w:rPr>
                <w:color w:val="000000"/>
                <w:lang w:eastAsia="en-AU"/>
              </w:rPr>
            </w:pPr>
            <w:r w:rsidRPr="00F93A87">
              <w:rPr>
                <w:color w:val="000000"/>
                <w:lang w:eastAsia="en-AU"/>
              </w:rPr>
              <w:t>Rabbit</w:t>
            </w:r>
            <w:r w:rsidR="00DF2B7B" w:rsidRPr="00F93A87">
              <w:rPr>
                <w:color w:val="000000"/>
                <w:lang w:eastAsia="en-AU"/>
              </w:rPr>
              <w:t xml:space="preserve"> </w:t>
            </w:r>
            <w:r w:rsidRPr="00F93A87">
              <w:rPr>
                <w:color w:val="000000"/>
                <w:lang w:eastAsia="en-AU"/>
              </w:rPr>
              <w:t>(Himalayan)</w:t>
            </w:r>
          </w:p>
        </w:tc>
        <w:tc>
          <w:tcPr>
            <w:tcW w:w="1493" w:type="dxa"/>
            <w:vMerge w:val="restart"/>
            <w:shd w:val="clear" w:color="auto" w:fill="auto"/>
            <w:hideMark/>
          </w:tcPr>
          <w:p w:rsidR="00BE4661" w:rsidRPr="00F93A87" w:rsidRDefault="00BE4661" w:rsidP="00F93A87">
            <w:pPr>
              <w:rPr>
                <w:color w:val="000000"/>
                <w:lang w:eastAsia="en-AU"/>
              </w:rPr>
            </w:pPr>
            <w:r w:rsidRPr="00F93A87">
              <w:rPr>
                <w:color w:val="000000"/>
                <w:lang w:eastAsia="en-AU"/>
              </w:rPr>
              <w:t>Embryo</w:t>
            </w:r>
            <w:r w:rsidR="00AE418B" w:rsidRPr="00F93A87">
              <w:rPr>
                <w:color w:val="000000"/>
                <w:lang w:eastAsia="en-AU"/>
              </w:rPr>
              <w:t>foetal</w:t>
            </w:r>
            <w:r w:rsidRPr="00F93A87">
              <w:rPr>
                <w:color w:val="000000"/>
                <w:lang w:eastAsia="en-AU"/>
              </w:rPr>
              <w:t xml:space="preserve"> development</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3</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110</w:t>
            </w:r>
          </w:p>
        </w:tc>
        <w:tc>
          <w:tcPr>
            <w:tcW w:w="1302" w:type="dxa"/>
            <w:shd w:val="clear" w:color="auto" w:fill="auto"/>
            <w:hideMark/>
          </w:tcPr>
          <w:p w:rsidR="00BE4661" w:rsidRPr="00F93A87" w:rsidRDefault="00BE4661" w:rsidP="00F93A87">
            <w:pPr>
              <w:rPr>
                <w:color w:val="000000"/>
                <w:lang w:eastAsia="en-AU"/>
              </w:rPr>
            </w:pPr>
            <w:r w:rsidRPr="00F93A87">
              <w:rPr>
                <w:color w:val="000000"/>
                <w:lang w:eastAsia="en-AU"/>
              </w:rPr>
              <w:t>816</w:t>
            </w:r>
          </w:p>
        </w:tc>
        <w:tc>
          <w:tcPr>
            <w:tcW w:w="856" w:type="dxa"/>
            <w:shd w:val="clear" w:color="auto" w:fill="auto"/>
            <w:hideMark/>
          </w:tcPr>
          <w:p w:rsidR="00BE4661" w:rsidRPr="00F93A87" w:rsidRDefault="00BE4661" w:rsidP="00F93A87">
            <w:pPr>
              <w:rPr>
                <w:color w:val="000000"/>
                <w:lang w:eastAsia="en-AU"/>
              </w:rPr>
            </w:pPr>
            <w:r w:rsidRPr="00F93A87">
              <w:rPr>
                <w:color w:val="000000"/>
                <w:lang w:eastAsia="en-AU"/>
              </w:rPr>
              <w:t>0.12</w:t>
            </w:r>
          </w:p>
        </w:tc>
        <w:tc>
          <w:tcPr>
            <w:tcW w:w="857" w:type="dxa"/>
            <w:shd w:val="clear" w:color="auto" w:fill="auto"/>
            <w:hideMark/>
          </w:tcPr>
          <w:p w:rsidR="00BE4661" w:rsidRPr="00F93A87" w:rsidRDefault="00BE4661" w:rsidP="00F93A87">
            <w:pPr>
              <w:rPr>
                <w:color w:val="000000"/>
                <w:lang w:eastAsia="en-AU"/>
              </w:rPr>
            </w:pPr>
            <w:r w:rsidRPr="00F93A87">
              <w:rPr>
                <w:color w:val="000000"/>
                <w:lang w:eastAsia="en-AU"/>
              </w:rPr>
              <w:t>0.3</w:t>
            </w:r>
          </w:p>
        </w:tc>
      </w:tr>
      <w:tr w:rsidR="00424B91" w:rsidRPr="00DF2B7B" w:rsidTr="00680A60">
        <w:trPr>
          <w:cantSplit/>
          <w:trHeight w:val="222"/>
        </w:trPr>
        <w:tc>
          <w:tcPr>
            <w:tcW w:w="1529" w:type="dxa"/>
            <w:vMerge/>
            <w:shd w:val="clear" w:color="auto" w:fill="auto"/>
            <w:hideMark/>
          </w:tcPr>
          <w:p w:rsidR="00BE4661" w:rsidRPr="00F93A87" w:rsidRDefault="00BE4661" w:rsidP="00F93A87">
            <w:pPr>
              <w:rPr>
                <w:color w:val="000000"/>
                <w:lang w:eastAsia="en-AU"/>
              </w:rPr>
            </w:pPr>
          </w:p>
        </w:tc>
        <w:tc>
          <w:tcPr>
            <w:tcW w:w="1493" w:type="dxa"/>
            <w:vMerge/>
            <w:shd w:val="clear" w:color="auto" w:fill="auto"/>
            <w:hideMark/>
          </w:tcPr>
          <w:p w:rsidR="00BE4661" w:rsidRPr="00F93A87" w:rsidRDefault="00BE4661" w:rsidP="00F93A87">
            <w:pPr>
              <w:rPr>
                <w:color w:val="000000"/>
                <w:lang w:eastAsia="en-AU"/>
              </w:rPr>
            </w:pP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10</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419</w:t>
            </w:r>
          </w:p>
        </w:tc>
        <w:tc>
          <w:tcPr>
            <w:tcW w:w="1302" w:type="dxa"/>
            <w:shd w:val="clear" w:color="auto" w:fill="auto"/>
            <w:hideMark/>
          </w:tcPr>
          <w:p w:rsidR="00BE4661" w:rsidRPr="00F93A87" w:rsidRDefault="00BE4661" w:rsidP="00F93A87">
            <w:pPr>
              <w:rPr>
                <w:color w:val="000000"/>
                <w:lang w:eastAsia="en-AU"/>
              </w:rPr>
            </w:pPr>
            <w:r w:rsidRPr="00F93A87">
              <w:rPr>
                <w:color w:val="000000"/>
                <w:lang w:eastAsia="en-AU"/>
              </w:rPr>
              <w:t>6</w:t>
            </w:r>
            <w:r w:rsidR="00DF2B7B" w:rsidRPr="00F93A87">
              <w:rPr>
                <w:color w:val="000000"/>
                <w:lang w:eastAsia="en-AU"/>
              </w:rPr>
              <w:t>,</w:t>
            </w:r>
            <w:r w:rsidRPr="00F93A87">
              <w:rPr>
                <w:color w:val="000000"/>
                <w:lang w:eastAsia="en-AU"/>
              </w:rPr>
              <w:t>290</w:t>
            </w:r>
          </w:p>
        </w:tc>
        <w:tc>
          <w:tcPr>
            <w:tcW w:w="856" w:type="dxa"/>
            <w:shd w:val="clear" w:color="auto" w:fill="auto"/>
            <w:hideMark/>
          </w:tcPr>
          <w:p w:rsidR="00BE4661" w:rsidRPr="00F93A87" w:rsidRDefault="00BE4661" w:rsidP="00F93A87">
            <w:pPr>
              <w:rPr>
                <w:color w:val="000000"/>
                <w:lang w:eastAsia="en-AU"/>
              </w:rPr>
            </w:pPr>
            <w:r w:rsidRPr="00F93A87">
              <w:rPr>
                <w:color w:val="000000"/>
                <w:lang w:eastAsia="en-AU"/>
              </w:rPr>
              <w:t>0.45</w:t>
            </w:r>
          </w:p>
        </w:tc>
        <w:tc>
          <w:tcPr>
            <w:tcW w:w="857" w:type="dxa"/>
            <w:shd w:val="clear" w:color="auto" w:fill="auto"/>
            <w:hideMark/>
          </w:tcPr>
          <w:p w:rsidR="00BE4661" w:rsidRPr="00F93A87" w:rsidRDefault="00BE4661" w:rsidP="00F93A87">
            <w:pPr>
              <w:rPr>
                <w:color w:val="000000"/>
                <w:lang w:eastAsia="en-AU"/>
              </w:rPr>
            </w:pPr>
            <w:r w:rsidRPr="00F93A87">
              <w:rPr>
                <w:color w:val="000000"/>
                <w:lang w:eastAsia="en-AU"/>
              </w:rPr>
              <w:t>2.3</w:t>
            </w:r>
          </w:p>
        </w:tc>
      </w:tr>
      <w:tr w:rsidR="00424B91" w:rsidRPr="00DF2B7B" w:rsidTr="00680A60">
        <w:trPr>
          <w:cantSplit/>
          <w:trHeight w:val="222"/>
        </w:trPr>
        <w:tc>
          <w:tcPr>
            <w:tcW w:w="1529" w:type="dxa"/>
            <w:vMerge/>
            <w:shd w:val="clear" w:color="auto" w:fill="auto"/>
            <w:hideMark/>
          </w:tcPr>
          <w:p w:rsidR="00BE4661" w:rsidRPr="00F93A87" w:rsidRDefault="00BE4661" w:rsidP="00F93A87">
            <w:pPr>
              <w:rPr>
                <w:color w:val="000000"/>
                <w:lang w:eastAsia="en-AU"/>
              </w:rPr>
            </w:pPr>
          </w:p>
        </w:tc>
        <w:tc>
          <w:tcPr>
            <w:tcW w:w="1493" w:type="dxa"/>
            <w:vMerge/>
            <w:shd w:val="clear" w:color="auto" w:fill="auto"/>
            <w:hideMark/>
          </w:tcPr>
          <w:p w:rsidR="00BE4661" w:rsidRPr="00F93A87" w:rsidRDefault="00BE4661" w:rsidP="00F93A87">
            <w:pPr>
              <w:rPr>
                <w:color w:val="000000"/>
                <w:lang w:eastAsia="en-AU"/>
              </w:rPr>
            </w:pP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30</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956</w:t>
            </w:r>
          </w:p>
        </w:tc>
        <w:tc>
          <w:tcPr>
            <w:tcW w:w="1302" w:type="dxa"/>
            <w:shd w:val="clear" w:color="auto" w:fill="auto"/>
            <w:hideMark/>
          </w:tcPr>
          <w:p w:rsidR="00BE4661" w:rsidRPr="00F93A87" w:rsidRDefault="00BE4661" w:rsidP="00F93A87">
            <w:pPr>
              <w:rPr>
                <w:color w:val="000000"/>
                <w:lang w:eastAsia="en-AU"/>
              </w:rPr>
            </w:pPr>
            <w:r w:rsidRPr="00F93A87">
              <w:rPr>
                <w:color w:val="000000"/>
                <w:lang w:eastAsia="en-AU"/>
              </w:rPr>
              <w:t>16</w:t>
            </w:r>
            <w:r w:rsidR="00DF2B7B" w:rsidRPr="00F93A87">
              <w:rPr>
                <w:color w:val="000000"/>
                <w:lang w:eastAsia="en-AU"/>
              </w:rPr>
              <w:t>,</w:t>
            </w:r>
            <w:r w:rsidRPr="00F93A87">
              <w:rPr>
                <w:color w:val="000000"/>
                <w:lang w:eastAsia="en-AU"/>
              </w:rPr>
              <w:t>150</w:t>
            </w:r>
          </w:p>
        </w:tc>
        <w:tc>
          <w:tcPr>
            <w:tcW w:w="856" w:type="dxa"/>
            <w:shd w:val="clear" w:color="auto" w:fill="auto"/>
            <w:hideMark/>
          </w:tcPr>
          <w:p w:rsidR="00BE4661" w:rsidRPr="00F93A87" w:rsidRDefault="00BE4661" w:rsidP="00F93A87">
            <w:pPr>
              <w:rPr>
                <w:color w:val="000000"/>
                <w:lang w:eastAsia="en-AU"/>
              </w:rPr>
            </w:pPr>
            <w:r w:rsidRPr="00F93A87">
              <w:rPr>
                <w:color w:val="000000"/>
                <w:lang w:eastAsia="en-AU"/>
              </w:rPr>
              <w:t>1.0</w:t>
            </w:r>
          </w:p>
        </w:tc>
        <w:tc>
          <w:tcPr>
            <w:tcW w:w="857" w:type="dxa"/>
            <w:shd w:val="clear" w:color="auto" w:fill="auto"/>
            <w:hideMark/>
          </w:tcPr>
          <w:p w:rsidR="00BE4661" w:rsidRPr="00F93A87" w:rsidRDefault="00BE4661" w:rsidP="00F93A87">
            <w:pPr>
              <w:rPr>
                <w:color w:val="000000"/>
                <w:lang w:eastAsia="en-AU"/>
              </w:rPr>
            </w:pPr>
            <w:r w:rsidRPr="00F93A87">
              <w:rPr>
                <w:color w:val="000000"/>
                <w:lang w:eastAsia="en-AU"/>
              </w:rPr>
              <w:t>5.9</w:t>
            </w:r>
          </w:p>
        </w:tc>
      </w:tr>
      <w:tr w:rsidR="00424B91" w:rsidRPr="00DF2B7B" w:rsidTr="00680A60">
        <w:trPr>
          <w:cantSplit/>
          <w:trHeight w:val="1334"/>
        </w:trPr>
        <w:tc>
          <w:tcPr>
            <w:tcW w:w="1529" w:type="dxa"/>
            <w:shd w:val="clear" w:color="auto" w:fill="auto"/>
            <w:hideMark/>
          </w:tcPr>
          <w:p w:rsidR="00BE4661" w:rsidRPr="00F93A87" w:rsidRDefault="00BE4661" w:rsidP="00F93A87">
            <w:pPr>
              <w:rPr>
                <w:color w:val="000000"/>
                <w:lang w:eastAsia="en-AU"/>
              </w:rPr>
            </w:pPr>
            <w:r w:rsidRPr="00F93A87">
              <w:rPr>
                <w:color w:val="000000"/>
                <w:lang w:eastAsia="en-AU"/>
              </w:rPr>
              <w:t>Human</w:t>
            </w:r>
            <w:r w:rsidR="00DF2B7B" w:rsidRPr="00F93A87">
              <w:rPr>
                <w:color w:val="000000"/>
                <w:lang w:eastAsia="en-AU"/>
              </w:rPr>
              <w:t xml:space="preserve"> </w:t>
            </w:r>
            <w:r w:rsidRPr="00F93A87">
              <w:rPr>
                <w:color w:val="000000"/>
                <w:lang w:eastAsia="en-AU"/>
              </w:rPr>
              <w:t xml:space="preserve">(Cancer patients </w:t>
            </w:r>
            <w:r w:rsidR="001351A1" w:rsidRPr="00F93A87">
              <w:rPr>
                <w:color w:val="000000"/>
                <w:lang w:eastAsia="en-AU"/>
              </w:rPr>
              <w:t>and</w:t>
            </w:r>
            <w:r w:rsidRPr="00F93A87">
              <w:rPr>
                <w:color w:val="000000"/>
                <w:lang w:eastAsia="en-AU"/>
              </w:rPr>
              <w:t xml:space="preserve"> population PK)</w:t>
            </w:r>
          </w:p>
        </w:tc>
        <w:tc>
          <w:tcPr>
            <w:tcW w:w="1493" w:type="dxa"/>
            <w:shd w:val="clear" w:color="auto" w:fill="auto"/>
            <w:hideMark/>
          </w:tcPr>
          <w:p w:rsidR="00BE4661" w:rsidRPr="00F93A87" w:rsidRDefault="00BE4661" w:rsidP="00F93A87">
            <w:pPr>
              <w:rPr>
                <w:color w:val="000000"/>
                <w:lang w:eastAsia="en-AU"/>
              </w:rPr>
            </w:pPr>
            <w:r w:rsidRPr="00F93A87">
              <w:rPr>
                <w:color w:val="000000"/>
                <w:lang w:eastAsia="en-AU"/>
              </w:rPr>
              <w:t>Steady state</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[300/0.5 mg]</w:t>
            </w:r>
            <w:r w:rsidRPr="00F93A87">
              <w:rPr>
                <w:color w:val="000000"/>
                <w:vertAlign w:val="superscript"/>
                <w:lang w:eastAsia="en-AU"/>
              </w:rPr>
              <w:t>†</w:t>
            </w:r>
          </w:p>
        </w:tc>
        <w:tc>
          <w:tcPr>
            <w:tcW w:w="1301" w:type="dxa"/>
            <w:shd w:val="clear" w:color="auto" w:fill="auto"/>
            <w:hideMark/>
          </w:tcPr>
          <w:p w:rsidR="00BE4661" w:rsidRPr="00F93A87" w:rsidRDefault="00BE4661" w:rsidP="00F93A87">
            <w:pPr>
              <w:rPr>
                <w:color w:val="000000"/>
                <w:lang w:eastAsia="en-AU"/>
              </w:rPr>
            </w:pPr>
            <w:r w:rsidRPr="00F93A87">
              <w:rPr>
                <w:color w:val="000000"/>
                <w:lang w:eastAsia="en-AU"/>
              </w:rPr>
              <w:t>940</w:t>
            </w:r>
          </w:p>
        </w:tc>
        <w:tc>
          <w:tcPr>
            <w:tcW w:w="1302" w:type="dxa"/>
            <w:shd w:val="clear" w:color="auto" w:fill="auto"/>
            <w:hideMark/>
          </w:tcPr>
          <w:p w:rsidR="00BE4661" w:rsidRPr="00F93A87" w:rsidRDefault="00BE4661" w:rsidP="00F93A87">
            <w:pPr>
              <w:rPr>
                <w:color w:val="000000"/>
                <w:lang w:eastAsia="en-AU"/>
              </w:rPr>
            </w:pPr>
            <w:r w:rsidRPr="00F93A87">
              <w:rPr>
                <w:color w:val="000000"/>
                <w:lang w:eastAsia="en-AU"/>
              </w:rPr>
              <w:t>32</w:t>
            </w:r>
            <w:r w:rsidR="00DF2B7B" w:rsidRPr="00F93A87">
              <w:rPr>
                <w:color w:val="000000"/>
                <w:lang w:eastAsia="en-AU"/>
              </w:rPr>
              <w:t>,</w:t>
            </w:r>
            <w:r w:rsidRPr="00F93A87">
              <w:rPr>
                <w:color w:val="000000"/>
                <w:lang w:eastAsia="en-AU"/>
              </w:rPr>
              <w:t>924</w:t>
            </w:r>
          </w:p>
        </w:tc>
        <w:tc>
          <w:tcPr>
            <w:tcW w:w="1712" w:type="dxa"/>
            <w:gridSpan w:val="2"/>
            <w:shd w:val="clear" w:color="auto" w:fill="auto"/>
            <w:hideMark/>
          </w:tcPr>
          <w:p w:rsidR="00BE4661" w:rsidRPr="00F93A87" w:rsidRDefault="00BE4661" w:rsidP="00F93A87">
            <w:pPr>
              <w:rPr>
                <w:color w:val="000000"/>
                <w:lang w:eastAsia="en-AU"/>
              </w:rPr>
            </w:pPr>
            <w:r w:rsidRPr="00F93A87">
              <w:rPr>
                <w:color w:val="000000"/>
                <w:lang w:eastAsia="en-AU"/>
              </w:rPr>
              <w:t>–</w:t>
            </w:r>
          </w:p>
        </w:tc>
      </w:tr>
    </w:tbl>
    <w:p w:rsidR="00BE4661" w:rsidRPr="000553EA" w:rsidRDefault="00BE4661" w:rsidP="00F02C1E">
      <w:pPr>
        <w:pStyle w:val="TableDescription"/>
      </w:pPr>
      <w:r w:rsidRPr="000553EA">
        <w:t xml:space="preserve">* Sum of netupitant and M1, M2 and M3 </w:t>
      </w:r>
      <w:proofErr w:type="spellStart"/>
      <w:r w:rsidR="0018634D" w:rsidRPr="005B2EAC">
        <w:t>C</w:t>
      </w:r>
      <w:r w:rsidR="0018634D" w:rsidRPr="0018634D">
        <w:rPr>
          <w:vertAlign w:val="subscript"/>
        </w:rPr>
        <w:t>max</w:t>
      </w:r>
      <w:proofErr w:type="spellEnd"/>
      <w:r w:rsidRPr="000553EA">
        <w:t xml:space="preserve"> or AUC; </w:t>
      </w:r>
      <w:r w:rsidRPr="000553EA">
        <w:rPr>
          <w:vertAlign w:val="superscript"/>
        </w:rPr>
        <w:t>‡</w:t>
      </w:r>
      <w:r w:rsidRPr="000553EA">
        <w:t xml:space="preserve"> </w:t>
      </w:r>
      <w:proofErr w:type="spellStart"/>
      <w:r w:rsidR="0018634D" w:rsidRPr="005B2EAC">
        <w:t>C</w:t>
      </w:r>
      <w:r w:rsidR="0018634D" w:rsidRPr="0018634D">
        <w:rPr>
          <w:vertAlign w:val="subscript"/>
        </w:rPr>
        <w:t>max</w:t>
      </w:r>
      <w:proofErr w:type="spellEnd"/>
      <w:r w:rsidR="001351A1">
        <w:t xml:space="preserve"> and AUC values from the 4 </w:t>
      </w:r>
      <w:r w:rsidRPr="000553EA">
        <w:t xml:space="preserve">week repeat dose toxicity study in female rats (Study 1006011); </w:t>
      </w:r>
      <w:r w:rsidRPr="000553EA">
        <w:rPr>
          <w:vertAlign w:val="superscript"/>
        </w:rPr>
        <w:t>#</w:t>
      </w:r>
      <w:r w:rsidRPr="000553EA">
        <w:t xml:space="preserve"> = animal </w:t>
      </w:r>
      <w:r w:rsidR="00FC5751" w:rsidRPr="005B2EAC">
        <w:t>AUC</w:t>
      </w:r>
      <w:r w:rsidR="00FC5751" w:rsidRPr="00FC5751">
        <w:rPr>
          <w:vertAlign w:val="subscript"/>
        </w:rPr>
        <w:t>0-24h</w:t>
      </w:r>
      <w:r w:rsidR="001351A1">
        <w:rPr>
          <w:vertAlign w:val="subscript"/>
        </w:rPr>
        <w:t xml:space="preserve"> </w:t>
      </w:r>
      <w:r w:rsidRPr="000553EA">
        <w:t>x</w:t>
      </w:r>
      <w:r w:rsidR="001351A1">
        <w:t xml:space="preserve"> </w:t>
      </w:r>
      <w:r w:rsidRPr="000553EA">
        <w:t>12 (dosing period):human plasma AUC</w:t>
      </w:r>
      <w:r w:rsidRPr="000553EA">
        <w:rPr>
          <w:vertAlign w:val="subscript"/>
        </w:rPr>
        <w:t>0-∞</w:t>
      </w:r>
      <w:r w:rsidRPr="000553EA">
        <w:t xml:space="preserve">; </w:t>
      </w:r>
      <w:r w:rsidRPr="000553EA">
        <w:rPr>
          <w:vertAlign w:val="superscript"/>
        </w:rPr>
        <w:t>†</w:t>
      </w:r>
      <w:r w:rsidRPr="000553EA">
        <w:t>Fixed dose combination 300/0.5 mg netupitant/palonosetron.</w:t>
      </w:r>
    </w:p>
    <w:p w:rsidR="00BE4661" w:rsidRPr="00F02C1E" w:rsidRDefault="00BE4661" w:rsidP="00F02C1E">
      <w:r w:rsidRPr="00F02C1E">
        <w:t>The level of exposure to netupitant and active metabolites achieved in the embryo</w:t>
      </w:r>
      <w:r w:rsidR="00AE418B" w:rsidRPr="00F02C1E">
        <w:t>foetal</w:t>
      </w:r>
      <w:r w:rsidRPr="00F02C1E">
        <w:t xml:space="preserve"> development studies was low (up to 5 in rats and 1 to rabbits) based on </w:t>
      </w:r>
      <w:proofErr w:type="spellStart"/>
      <w:r w:rsidR="0018634D" w:rsidRPr="005B2EAC">
        <w:t>C</w:t>
      </w:r>
      <w:r w:rsidR="0018634D" w:rsidRPr="0018634D">
        <w:rPr>
          <w:vertAlign w:val="subscript"/>
        </w:rPr>
        <w:t>max</w:t>
      </w:r>
      <w:proofErr w:type="spellEnd"/>
      <w:r w:rsidRPr="00F02C1E">
        <w:t xml:space="preserve"> and the exposure ratios based on AUC were up </w:t>
      </w:r>
      <w:r w:rsidR="001D3D06" w:rsidRPr="00F02C1E">
        <w:t>to 38 in rats and 6 in rabbits.</w:t>
      </w:r>
    </w:p>
    <w:p w:rsidR="00BE4661" w:rsidRPr="00F02C1E" w:rsidRDefault="00BE4661" w:rsidP="00F02C1E">
      <w:r w:rsidRPr="00F02C1E">
        <w:t>Placental transfer and excretion in milk were not examined in the studies.</w:t>
      </w:r>
    </w:p>
    <w:p w:rsidR="00BE4661" w:rsidRPr="00F02C1E" w:rsidRDefault="00BE4661" w:rsidP="00F02C1E">
      <w:r w:rsidRPr="00F02C1E">
        <w:t xml:space="preserve">Netupitant at doses up to 30 mg/kg/day had no effect on the fertility of either male or female rats although the high dose (30 mg/kg/day) did cause reduced weight </w:t>
      </w:r>
      <w:r w:rsidR="00AA4302" w:rsidRPr="00F02C1E">
        <w:t>gain in both males and females.</w:t>
      </w:r>
    </w:p>
    <w:p w:rsidR="00BE4661" w:rsidRPr="00F02C1E" w:rsidRDefault="00BE4661" w:rsidP="00F02C1E">
      <w:r w:rsidRPr="00F02C1E">
        <w:t xml:space="preserve">In the fertility study in rats (Report no. 1008497), corpora </w:t>
      </w:r>
      <w:proofErr w:type="spellStart"/>
      <w:r w:rsidRPr="00F02C1E">
        <w:t>lutea</w:t>
      </w:r>
      <w:proofErr w:type="spellEnd"/>
      <w:r w:rsidRPr="00F02C1E">
        <w:t xml:space="preserve">, implantations and litter values in the high dose group (30 mg/kg/day) were significantly decreased compared with the vehicle control group. However, the values were within normal limits for this strain of rat and the decrease was not considered biologically significant (historical control data for these parameters in </w:t>
      </w:r>
      <w:proofErr w:type="spellStart"/>
      <w:r w:rsidRPr="00F02C1E">
        <w:t>HanIbm</w:t>
      </w:r>
      <w:proofErr w:type="spellEnd"/>
      <w:r w:rsidRPr="00F02C1E">
        <w:t>:</w:t>
      </w:r>
      <w:r w:rsidR="001351A1">
        <w:t xml:space="preserve"> </w:t>
      </w:r>
      <w:r w:rsidRPr="00F02C1E">
        <w:t>WIST rat</w:t>
      </w:r>
      <w:r w:rsidR="000553EA" w:rsidRPr="00F02C1E">
        <w:t xml:space="preserve">s from the study laboratory </w:t>
      </w:r>
      <w:r w:rsidR="001351A1">
        <w:t>[information redacted]</w:t>
      </w:r>
      <w:r w:rsidRPr="00F02C1E">
        <w:t xml:space="preserve"> were provided</w:t>
      </w:r>
      <w:r w:rsidR="001D3D06" w:rsidRPr="00F02C1E">
        <w:t>.</w:t>
      </w:r>
    </w:p>
    <w:p w:rsidR="00BE4661" w:rsidRPr="00F02C1E" w:rsidRDefault="00BE4661" w:rsidP="00F02C1E">
      <w:r w:rsidRPr="00F02C1E">
        <w:t>Netupitant had minimal effects on embry</w:t>
      </w:r>
      <w:r w:rsidR="00506775" w:rsidRPr="00F02C1E">
        <w:t>o</w:t>
      </w:r>
      <w:r w:rsidR="00AE418B" w:rsidRPr="00F02C1E">
        <w:t>foetal</w:t>
      </w:r>
      <w:r w:rsidR="00506775" w:rsidRPr="00F02C1E">
        <w:t xml:space="preserve"> development in the rat. </w:t>
      </w:r>
      <w:r w:rsidRPr="00F02C1E">
        <w:t>Doses of 30</w:t>
      </w:r>
      <w:r w:rsidR="000553EA" w:rsidRPr="00F02C1E">
        <w:t> </w:t>
      </w:r>
      <w:r w:rsidRPr="00F02C1E">
        <w:t xml:space="preserve">mg/kg/day did cause some growth retardation (indicated by reduced </w:t>
      </w:r>
      <w:r w:rsidR="00AE418B" w:rsidRPr="00F02C1E">
        <w:t>foetal</w:t>
      </w:r>
      <w:r w:rsidRPr="00F02C1E">
        <w:t xml:space="preserve"> weights) and there were small increases in the incidence of tarsal hyperflexion (1.3</w:t>
      </w:r>
      <w:r w:rsidR="000403F6">
        <w:t>%</w:t>
      </w:r>
      <w:r w:rsidRPr="00F02C1E">
        <w:t xml:space="preserve"> </w:t>
      </w:r>
      <w:r w:rsidR="00506775" w:rsidRPr="00F02C1E">
        <w:t>compared with</w:t>
      </w:r>
      <w:r w:rsidRPr="00F02C1E">
        <w:t xml:space="preserve"> 0.4</w:t>
      </w:r>
      <w:r w:rsidR="000403F6">
        <w:t>%</w:t>
      </w:r>
      <w:r w:rsidRPr="00F02C1E">
        <w:t xml:space="preserve"> </w:t>
      </w:r>
      <w:r w:rsidR="00506775" w:rsidRPr="00F02C1E">
        <w:t xml:space="preserve">in the vehicle control group). </w:t>
      </w:r>
      <w:r w:rsidRPr="00F02C1E">
        <w:t>This variation, however, was not accompanied by alterations in the skeleton or soft tissues and do not indicate teratogenicity.</w:t>
      </w:r>
      <w:r w:rsidR="005F7FE0" w:rsidRPr="00F02C1E">
        <w:t xml:space="preserve"> </w:t>
      </w:r>
      <w:r w:rsidRPr="00F02C1E">
        <w:t xml:space="preserve">In the rabbit study increased numbers of minimally/partially fused </w:t>
      </w:r>
      <w:proofErr w:type="spellStart"/>
      <w:r w:rsidRPr="00F02C1E">
        <w:t>sternebrae</w:t>
      </w:r>
      <w:proofErr w:type="spellEnd"/>
      <w:r w:rsidRPr="00F02C1E">
        <w:t xml:space="preserve"> were observed at doses ≥ 10 mg/kg/day (7.9</w:t>
      </w:r>
      <w:r w:rsidR="000403F6">
        <w:t>%</w:t>
      </w:r>
      <w:r w:rsidRPr="00F02C1E">
        <w:t xml:space="preserve"> and 15</w:t>
      </w:r>
      <w:r w:rsidR="000403F6">
        <w:t>%</w:t>
      </w:r>
      <w:r w:rsidRPr="00F02C1E">
        <w:t xml:space="preserve"> at 10 and 30 mg/kg/day, respectively, </w:t>
      </w:r>
      <w:r w:rsidR="00506775" w:rsidRPr="00F02C1E">
        <w:t xml:space="preserve">compared with </w:t>
      </w:r>
      <w:r w:rsidRPr="00F02C1E">
        <w:t>0</w:t>
      </w:r>
      <w:r w:rsidR="000403F6">
        <w:t>%</w:t>
      </w:r>
      <w:r w:rsidRPr="00F02C1E">
        <w:t xml:space="preserve"> in the vehicle control group), associated with low</w:t>
      </w:r>
      <w:r w:rsidR="00506775" w:rsidRPr="00F02C1E">
        <w:t xml:space="preserve"> foetal weight at 30 mg/kg/day.</w:t>
      </w:r>
    </w:p>
    <w:p w:rsidR="00BE4661" w:rsidRPr="00F02C1E" w:rsidRDefault="00BE4661" w:rsidP="00F02C1E">
      <w:r w:rsidRPr="00F02C1E">
        <w:t>One curious observation was the occurrence of cleft palate i</w:t>
      </w:r>
      <w:r w:rsidR="00AA4302" w:rsidRPr="00F02C1E">
        <w:t>n pups from one rat litter (100 </w:t>
      </w:r>
      <w:r w:rsidRPr="00F02C1E">
        <w:t xml:space="preserve">mg/kg/day) and one rabbit litter (30 mg/kg/day) in the </w:t>
      </w:r>
      <w:proofErr w:type="spellStart"/>
      <w:r w:rsidRPr="00F02C1E">
        <w:t>non</w:t>
      </w:r>
      <w:r w:rsidR="00AA4302" w:rsidRPr="00F02C1E">
        <w:t xml:space="preserve"> </w:t>
      </w:r>
      <w:r w:rsidRPr="00F02C1E">
        <w:t>pi</w:t>
      </w:r>
      <w:r w:rsidR="00AE418B" w:rsidRPr="00F02C1E">
        <w:t>votal</w:t>
      </w:r>
      <w:proofErr w:type="spellEnd"/>
      <w:r w:rsidR="00AE418B" w:rsidRPr="00F02C1E">
        <w:t xml:space="preserve"> studies in each species. </w:t>
      </w:r>
      <w:r w:rsidRPr="00F02C1E">
        <w:t>The 100 mg/kg/day dose was not employed in the pivotal study in rats but the effect was not seen again in rabbits at 30 mg/kg/day in the pivotal study and may have been due to chance.</w:t>
      </w:r>
    </w:p>
    <w:p w:rsidR="00BE4661" w:rsidRPr="00F02C1E" w:rsidRDefault="00BE4661" w:rsidP="00F02C1E">
      <w:r w:rsidRPr="00F02C1E">
        <w:t xml:space="preserve">In the pre-/post-natal development study, rat pups from dams receiving ≥ 10 mg/kg/day from gestation day </w:t>
      </w:r>
      <w:r w:rsidR="00C72A00" w:rsidRPr="00F02C1E">
        <w:t xml:space="preserve">(GD) </w:t>
      </w:r>
      <w:r w:rsidRPr="00F02C1E">
        <w:t xml:space="preserve">6 to postnatal day </w:t>
      </w:r>
      <w:r w:rsidR="00C72A00" w:rsidRPr="00F02C1E">
        <w:t xml:space="preserve">(PND) </w:t>
      </w:r>
      <w:r w:rsidRPr="00F02C1E">
        <w:t>21 showed significantly</w:t>
      </w:r>
      <w:r w:rsidR="00AE418B" w:rsidRPr="00F02C1E">
        <w:t xml:space="preserve"> reduced body weight at birth. </w:t>
      </w:r>
      <w:r w:rsidRPr="00F02C1E">
        <w:t>Pups from these groups showed delayed attainment of air righting reflex but no other developmental effects including motor activity and water maze performance.</w:t>
      </w:r>
      <w:r w:rsidR="005F7FE0" w:rsidRPr="00F02C1E">
        <w:t xml:space="preserve"> </w:t>
      </w:r>
      <w:r w:rsidRPr="00F02C1E">
        <w:t>Mating performance, fertility and gestation length of the F1 generation were unaffected by F0 treatment and no effects were seen in F2 litters.</w:t>
      </w:r>
    </w:p>
    <w:p w:rsidR="00BE4661" w:rsidRPr="00F02C1E" w:rsidRDefault="00BE4661" w:rsidP="00F02C1E">
      <w:pPr>
        <w:pStyle w:val="Heading4"/>
      </w:pPr>
      <w:r w:rsidRPr="00F02C1E">
        <w:lastRenderedPageBreak/>
        <w:t>Pregnancy classification</w:t>
      </w:r>
    </w:p>
    <w:p w:rsidR="00BE4661" w:rsidRPr="00F02C1E" w:rsidRDefault="00BE4661" w:rsidP="00F02C1E">
      <w:r w:rsidRPr="00F02C1E">
        <w:t xml:space="preserve">The </w:t>
      </w:r>
      <w:r w:rsidR="00791AE3" w:rsidRPr="00F02C1E">
        <w:t>sponsor</w:t>
      </w:r>
      <w:r w:rsidRPr="00F02C1E">
        <w:t xml:space="preserve"> has proposed Pregnancy Category B2</w:t>
      </w:r>
      <w:r w:rsidR="0036331C">
        <w:rPr>
          <w:rStyle w:val="FootnoteReference"/>
        </w:rPr>
        <w:footnoteReference w:id="8"/>
      </w:r>
      <w:r w:rsidRPr="00F02C1E">
        <w:t xml:space="preserve"> for the FDC o</w:t>
      </w:r>
      <w:r w:rsidR="00C72A00" w:rsidRPr="00F02C1E">
        <w:t xml:space="preserve">f palonosetron and netupitant. </w:t>
      </w:r>
      <w:r w:rsidRPr="00F02C1E">
        <w:t>The pregnancy category for palonosetron is B1.</w:t>
      </w:r>
      <w:r w:rsidR="0036331C">
        <w:rPr>
          <w:rStyle w:val="FootnoteReference"/>
        </w:rPr>
        <w:footnoteReference w:id="9"/>
      </w:r>
      <w:r w:rsidRPr="00F02C1E">
        <w:t xml:space="preserve"> Based on the animal study findings (partially fused </w:t>
      </w:r>
      <w:proofErr w:type="spellStart"/>
      <w:r w:rsidRPr="00F02C1E">
        <w:t>sternebrae</w:t>
      </w:r>
      <w:proofErr w:type="spellEnd"/>
      <w:r w:rsidRPr="00F02C1E">
        <w:t xml:space="preserve"> in rabbits and reduced </w:t>
      </w:r>
      <w:r w:rsidR="00AE418B" w:rsidRPr="00F02C1E">
        <w:t>foetal</w:t>
      </w:r>
      <w:r w:rsidR="00C72A00" w:rsidRPr="00F02C1E">
        <w:t xml:space="preserve"> weights in rats), P</w:t>
      </w:r>
      <w:r w:rsidRPr="00F02C1E">
        <w:t>regnancy</w:t>
      </w:r>
      <w:r w:rsidR="00C72A00" w:rsidRPr="00F02C1E">
        <w:t xml:space="preserve"> C</w:t>
      </w:r>
      <w:r w:rsidRPr="00F02C1E">
        <w:t>ategory B3</w:t>
      </w:r>
      <w:r w:rsidR="00C72A00" w:rsidRPr="0036331C">
        <w:rPr>
          <w:vertAlign w:val="superscript"/>
        </w:rPr>
        <w:footnoteReference w:id="10"/>
      </w:r>
      <w:r w:rsidRPr="00F02C1E">
        <w:t xml:space="preserve"> is considered appropriate for netupitant. Because of the lack of embryo</w:t>
      </w:r>
      <w:r w:rsidR="00AE418B" w:rsidRPr="00F02C1E">
        <w:t>foetal</w:t>
      </w:r>
      <w:r w:rsidRPr="00F02C1E">
        <w:t xml:space="preserve"> development studies with the combination, pregnancy category B3 is considered appropriate for the combination based on the a</w:t>
      </w:r>
      <w:r w:rsidR="00C72A00" w:rsidRPr="00F02C1E">
        <w:t>nimal findings with netupitant.</w:t>
      </w:r>
    </w:p>
    <w:p w:rsidR="00BE4661" w:rsidRPr="00F02C1E" w:rsidRDefault="00BE4661" w:rsidP="00F02C1E">
      <w:pPr>
        <w:pStyle w:val="Heading4"/>
      </w:pPr>
      <w:r w:rsidRPr="00F02C1E">
        <w:t>Local tolerance</w:t>
      </w:r>
    </w:p>
    <w:p w:rsidR="00BE4661" w:rsidRPr="00F02C1E" w:rsidRDefault="00BE4661" w:rsidP="00F02C1E">
      <w:r w:rsidRPr="00F02C1E">
        <w:t>Local tolerance by IV infusion was assessed in rabbits.</w:t>
      </w:r>
      <w:r w:rsidR="005F7FE0" w:rsidRPr="00F02C1E">
        <w:t xml:space="preserve"> </w:t>
      </w:r>
      <w:r w:rsidRPr="00F02C1E">
        <w:t>Local reactions were observed in the ear veins in the vehicle (propylene glycol) group and at 1 mg/kg (vein bluish, dilated) and 3 mg/kg (vein bluish, dilated and swollen; ear bluish and swollen).</w:t>
      </w:r>
      <w:r w:rsidR="005F7FE0" w:rsidRPr="00F02C1E">
        <w:t xml:space="preserve"> </w:t>
      </w:r>
      <w:r w:rsidRPr="00F02C1E">
        <w:t>All the effects were reversible over 14 days.</w:t>
      </w:r>
      <w:r w:rsidR="005F7FE0" w:rsidRPr="00F02C1E">
        <w:t xml:space="preserve"> </w:t>
      </w:r>
      <w:r w:rsidRPr="00F02C1E">
        <w:t xml:space="preserve">Animals treated with 10 mg/kg were sacrificed on Day 2 with necrotic lesions in the ear. Local intravenous tolerance was also examined in several IV </w:t>
      </w:r>
      <w:r w:rsidR="005670BA">
        <w:t>repeat dose</w:t>
      </w:r>
      <w:r w:rsidRPr="00F02C1E">
        <w:t xml:space="preserve"> studies in rats and dogs, using 5</w:t>
      </w:r>
      <w:r w:rsidR="000403F6">
        <w:t>%</w:t>
      </w:r>
      <w:r w:rsidRPr="00F02C1E">
        <w:t xml:space="preserve"> glucose as the dosing vehicle.</w:t>
      </w:r>
      <w:r w:rsidR="005F7FE0" w:rsidRPr="00F02C1E">
        <w:t xml:space="preserve"> </w:t>
      </w:r>
      <w:r w:rsidRPr="00F02C1E">
        <w:t>Reactions at the injection site included perivascular/vascular inflammation, endothelial hyperplasia, granulation tissues, and</w:t>
      </w:r>
      <w:r w:rsidR="00C72A00" w:rsidRPr="00F02C1E">
        <w:t xml:space="preserve"> thrombi after repeated dosing.</w:t>
      </w:r>
    </w:p>
    <w:p w:rsidR="00BE4661" w:rsidRPr="00F02C1E" w:rsidRDefault="00BE4661" w:rsidP="00F02C1E">
      <w:r w:rsidRPr="00F02C1E">
        <w:t>Only mild and transient signs of dermal irritation were observed in rab</w:t>
      </w:r>
      <w:r w:rsidR="00454043" w:rsidRPr="00F02C1E">
        <w:t>bits at 1 h</w:t>
      </w:r>
      <w:r w:rsidR="0036331C">
        <w:t>our</w:t>
      </w:r>
      <w:r w:rsidRPr="00F02C1E">
        <w:t>, following application of 0.5</w:t>
      </w:r>
      <w:r w:rsidR="00AA4302" w:rsidRPr="00F02C1E">
        <w:t xml:space="preserve"> </w:t>
      </w:r>
      <w:r w:rsidRPr="00F02C1E">
        <w:t>g netupitant and no skin reactions were observed 24</w:t>
      </w:r>
      <w:r w:rsidR="009B02FF">
        <w:t xml:space="preserve"> hours </w:t>
      </w:r>
      <w:r w:rsidRPr="00F02C1E">
        <w:t>after treatment.</w:t>
      </w:r>
      <w:r w:rsidR="005F7FE0" w:rsidRPr="00F02C1E">
        <w:t xml:space="preserve"> </w:t>
      </w:r>
      <w:r w:rsidRPr="00F02C1E">
        <w:t>Netupitant showed no evidence of</w:t>
      </w:r>
      <w:r w:rsidR="0036331C">
        <w:t xml:space="preserve"> dermal sensitisation in guinea </w:t>
      </w:r>
      <w:r w:rsidRPr="00F02C1E">
        <w:t>pigs.</w:t>
      </w:r>
      <w:r w:rsidR="005F7FE0" w:rsidRPr="00F02C1E">
        <w:t xml:space="preserve"> </w:t>
      </w:r>
      <w:r w:rsidRPr="00F02C1E">
        <w:t>Netupitant caused some transient reddening of the conjunctivae and is con</w:t>
      </w:r>
      <w:r w:rsidR="0036331C">
        <w:t xml:space="preserve">sidered </w:t>
      </w:r>
      <w:proofErr w:type="gramStart"/>
      <w:r w:rsidR="0036331C">
        <w:t>non</w:t>
      </w:r>
      <w:proofErr w:type="gramEnd"/>
      <w:r w:rsidR="0036331C">
        <w:t> </w:t>
      </w:r>
      <w:r w:rsidRPr="00F02C1E">
        <w:t>irritating to the eye. The intravenous formulation of netupitant caused haemolysis of human heparin</w:t>
      </w:r>
      <w:r w:rsidR="00AA120C">
        <w:t>ise</w:t>
      </w:r>
      <w:r w:rsidRPr="00F02C1E">
        <w:t>d whole blood and precipitation in</w:t>
      </w:r>
      <w:r w:rsidR="0036331C">
        <w:t xml:space="preserve"> plasma at concentrations ≥ 250 </w:t>
      </w:r>
      <w:proofErr w:type="spellStart"/>
      <w:r w:rsidRPr="00F02C1E">
        <w:t>μg</w:t>
      </w:r>
      <w:proofErr w:type="spellEnd"/>
      <w:r w:rsidRPr="00F02C1E">
        <w:t>/</w:t>
      </w:r>
      <w:proofErr w:type="spellStart"/>
      <w:r w:rsidRPr="00F02C1E">
        <w:t>mL.</w:t>
      </w:r>
      <w:proofErr w:type="spellEnd"/>
      <w:r w:rsidRPr="00F02C1E">
        <w:t xml:space="preserve"> These results suggest that netupitant has local irritant and haemolytic potential when given intravenously at high conce</w:t>
      </w:r>
      <w:r w:rsidR="00E7664A" w:rsidRPr="00F02C1E">
        <w:t>ntrations and/or at high speed.</w:t>
      </w:r>
    </w:p>
    <w:p w:rsidR="00BE4661" w:rsidRPr="00F02C1E" w:rsidRDefault="00BE4661" w:rsidP="00F02C1E">
      <w:pPr>
        <w:pStyle w:val="Heading4"/>
      </w:pPr>
      <w:r w:rsidRPr="00F02C1E">
        <w:t>Antigenicity</w:t>
      </w:r>
    </w:p>
    <w:p w:rsidR="00BE4661" w:rsidRPr="00F02C1E" w:rsidRDefault="00BE4661" w:rsidP="00F02C1E">
      <w:r w:rsidRPr="00F02C1E">
        <w:t>Netupitant was tested in male guinea pigs for active and passive systemic an</w:t>
      </w:r>
      <w:r w:rsidR="00454043" w:rsidRPr="00F02C1E">
        <w:t xml:space="preserve">aphylaxis. </w:t>
      </w:r>
      <w:r w:rsidRPr="00F02C1E">
        <w:t>No antigenicity and hence anaphylactic potential was observed in either the active or passive part of the study.</w:t>
      </w:r>
    </w:p>
    <w:p w:rsidR="00BE4661" w:rsidRPr="00F02C1E" w:rsidRDefault="00BE4661" w:rsidP="00F02C1E">
      <w:pPr>
        <w:pStyle w:val="Heading4"/>
      </w:pPr>
      <w:r w:rsidRPr="00F02C1E">
        <w:t>Phototoxicity</w:t>
      </w:r>
    </w:p>
    <w:p w:rsidR="00BE4661" w:rsidRPr="00F02C1E" w:rsidRDefault="00BE4661" w:rsidP="00F02C1E">
      <w:r w:rsidRPr="00F02C1E">
        <w:t>Netupitant was negative for phototoxicity in the 3T3 Neutral Red uptake phototoxicity test.</w:t>
      </w:r>
    </w:p>
    <w:p w:rsidR="00BE4661" w:rsidRPr="00F02C1E" w:rsidRDefault="00BE4661" w:rsidP="00F02C1E">
      <w:pPr>
        <w:pStyle w:val="Heading4"/>
      </w:pPr>
      <w:r w:rsidRPr="00F02C1E">
        <w:t>Impurities</w:t>
      </w:r>
    </w:p>
    <w:p w:rsidR="00BE4661" w:rsidRPr="00F02C1E" w:rsidRDefault="00BE4661" w:rsidP="00F02C1E">
      <w:r w:rsidRPr="00F02C1E">
        <w:t>Two impurities were negative in bacterial point mutation tests.</w:t>
      </w:r>
    </w:p>
    <w:p w:rsidR="00BE4661" w:rsidRDefault="00BE4661" w:rsidP="00F02C1E">
      <w:pPr>
        <w:pStyle w:val="Heading3"/>
      </w:pPr>
      <w:bookmarkStart w:id="68" w:name="_Toc466986533"/>
      <w:r>
        <w:lastRenderedPageBreak/>
        <w:t>Paediatric use</w:t>
      </w:r>
      <w:bookmarkEnd w:id="68"/>
    </w:p>
    <w:p w:rsidR="00BE4661" w:rsidRPr="00F02C1E" w:rsidRDefault="00E96281" w:rsidP="00F02C1E">
      <w:r w:rsidRPr="00F02C1E">
        <w:t>Akynzeo</w:t>
      </w:r>
      <w:r w:rsidR="00BE4661" w:rsidRPr="00F02C1E">
        <w:t xml:space="preserve"> is not proposed for paediatric use and no specific studies of netupitant in juvenile animals were submitted</w:t>
      </w:r>
      <w:r w:rsidR="00E7664A" w:rsidRPr="00F02C1E">
        <w:t>.</w:t>
      </w:r>
    </w:p>
    <w:p w:rsidR="008E7846" w:rsidRDefault="008E7846" w:rsidP="00F02C1E">
      <w:pPr>
        <w:pStyle w:val="Heading3"/>
      </w:pPr>
      <w:bookmarkStart w:id="69" w:name="_Toc466986534"/>
      <w:r>
        <w:t>Nonclinical summary</w:t>
      </w:r>
      <w:bookmarkEnd w:id="62"/>
      <w:bookmarkEnd w:id="63"/>
      <w:bookmarkEnd w:id="69"/>
    </w:p>
    <w:p w:rsidR="00BE4661" w:rsidRPr="00F02C1E" w:rsidRDefault="00BE4661" w:rsidP="00F02C1E">
      <w:pPr>
        <w:pStyle w:val="ListBullet"/>
      </w:pPr>
      <w:bookmarkStart w:id="70" w:name="_Toc196046462"/>
      <w:bookmarkStart w:id="71" w:name="_Toc247691516"/>
      <w:bookmarkStart w:id="72" w:name="_Toc314842500"/>
      <w:bookmarkStart w:id="73" w:name="_Toc163441353"/>
      <w:bookmarkStart w:id="74" w:name="_Toc163441348"/>
      <w:r w:rsidRPr="00F02C1E">
        <w:t>The overall quality of the non-clinical dossier was good with all pivotal toxicity studi</w:t>
      </w:r>
      <w:r w:rsidR="00454043" w:rsidRPr="00F02C1E">
        <w:t>es conducted according to GLP.</w:t>
      </w:r>
    </w:p>
    <w:p w:rsidR="00BE4661" w:rsidRPr="00F02C1E" w:rsidRDefault="00BE4661" w:rsidP="00F02C1E">
      <w:pPr>
        <w:pStyle w:val="ListBullet"/>
      </w:pPr>
      <w:r w:rsidRPr="00F02C1E">
        <w:t xml:space="preserve">Primary pharmacodynamic studies with netupitant established affinity and selectivity for the human </w:t>
      </w:r>
      <w:r w:rsidR="00BD6934">
        <w:t>NK1 R</w:t>
      </w:r>
      <w:r w:rsidRPr="00F02C1E">
        <w:t xml:space="preserve"> (</w:t>
      </w:r>
      <w:proofErr w:type="spellStart"/>
      <w:r w:rsidRPr="00F02C1E">
        <w:t>pKi</w:t>
      </w:r>
      <w:proofErr w:type="spellEnd"/>
      <w:r w:rsidR="00454043" w:rsidRPr="00F02C1E">
        <w:t xml:space="preserve"> 9.0). </w:t>
      </w:r>
      <w:r w:rsidRPr="00F02C1E">
        <w:t xml:space="preserve">Netupitant was effective in preventing emesis induced by chemical </w:t>
      </w:r>
      <w:proofErr w:type="spellStart"/>
      <w:r w:rsidRPr="00F02C1E">
        <w:t>emetogens</w:t>
      </w:r>
      <w:proofErr w:type="spellEnd"/>
      <w:r w:rsidRPr="00F02C1E">
        <w:t xml:space="preserve"> in ferrets and emesis induced by motion in shrews. The netupitant/palonosetron combination was more effective than either drug alone. Three major human metabolites (M1, M2 and M3) had similar affinity for NK1 to netupitant. Nonclinical pharmacodynamics data support th</w:t>
      </w:r>
      <w:r w:rsidR="00454043" w:rsidRPr="00F02C1E">
        <w:t>e proposed clinical indication.</w:t>
      </w:r>
    </w:p>
    <w:p w:rsidR="00BE4661" w:rsidRPr="00F02C1E" w:rsidRDefault="00BE4661" w:rsidP="00F02C1E">
      <w:pPr>
        <w:pStyle w:val="ListBullet"/>
      </w:pPr>
      <w:r w:rsidRPr="00F02C1E">
        <w:t xml:space="preserve">Netupitant and metabolites M1, M2, M3 and M4 were evaluated in screens of receptors, transporters and ion channels employing both </w:t>
      </w:r>
      <w:proofErr w:type="spellStart"/>
      <w:r w:rsidRPr="00F02C1E">
        <w:t>radioligand</w:t>
      </w:r>
      <w:proofErr w:type="spellEnd"/>
      <w:r w:rsidRPr="00F02C1E">
        <w:t xml:space="preserve"> disp</w:t>
      </w:r>
      <w:r w:rsidR="00454043" w:rsidRPr="00F02C1E">
        <w:t>lacement and functional assays.</w:t>
      </w:r>
      <w:r w:rsidRPr="00F02C1E">
        <w:t xml:space="preserve"> Interaction of netupitant with the histamine (H2), adenosine (A3), </w:t>
      </w:r>
      <w:proofErr w:type="gramStart"/>
      <w:r w:rsidRPr="00F02C1E">
        <w:t>DA</w:t>
      </w:r>
      <w:proofErr w:type="gramEnd"/>
      <w:r w:rsidRPr="00F02C1E">
        <w:t xml:space="preserve"> and 5-HT reuptake sites was observed at 10</w:t>
      </w:r>
      <w:r w:rsidR="0036331C">
        <w:t xml:space="preserve"> </w:t>
      </w:r>
      <w:r w:rsidRPr="00F02C1E">
        <w:t xml:space="preserve">µM (no interaction at 0.1 </w:t>
      </w:r>
      <w:proofErr w:type="spellStart"/>
      <w:r w:rsidRPr="00F02C1E">
        <w:t>μM</w:t>
      </w:r>
      <w:proofErr w:type="spellEnd"/>
      <w:r w:rsidRPr="00F02C1E">
        <w:t>). M1 had a greater inhibitory activity on noradrenaline (</w:t>
      </w:r>
      <w:r w:rsidR="00F543DA" w:rsidRPr="005B2EAC">
        <w:t>IC</w:t>
      </w:r>
      <w:r w:rsidR="00F543DA" w:rsidRPr="00F543DA">
        <w:rPr>
          <w:vertAlign w:val="subscript"/>
        </w:rPr>
        <w:t>50</w:t>
      </w:r>
      <w:r w:rsidRPr="00F02C1E">
        <w:t xml:space="preserve"> 1.3 </w:t>
      </w:r>
      <w:proofErr w:type="spellStart"/>
      <w:r w:rsidRPr="00F02C1E">
        <w:t>μM</w:t>
      </w:r>
      <w:proofErr w:type="spellEnd"/>
      <w:r w:rsidRPr="00F02C1E">
        <w:t>) and dopamine (</w:t>
      </w:r>
      <w:r w:rsidR="00F543DA" w:rsidRPr="005B2EAC">
        <w:t>IC</w:t>
      </w:r>
      <w:r w:rsidR="00F543DA" w:rsidRPr="00F543DA">
        <w:rPr>
          <w:vertAlign w:val="subscript"/>
        </w:rPr>
        <w:t>50</w:t>
      </w:r>
      <w:r w:rsidRPr="00F02C1E">
        <w:t xml:space="preserve"> 0.48 </w:t>
      </w:r>
      <w:proofErr w:type="spellStart"/>
      <w:r w:rsidRPr="00F02C1E">
        <w:t>μM</w:t>
      </w:r>
      <w:proofErr w:type="spellEnd"/>
      <w:r w:rsidRPr="00F02C1E">
        <w:t xml:space="preserve">) uptake than </w:t>
      </w:r>
      <w:proofErr w:type="spellStart"/>
      <w:r w:rsidRPr="00F02C1E">
        <w:t>netupitant</w:t>
      </w:r>
      <w:proofErr w:type="spellEnd"/>
      <w:r w:rsidRPr="00F02C1E">
        <w:t>, but toxicity studies showed no CNS toxicity (see below for cardiac effects). Netupitant and the active metabolites showed binding to the L-type Ca</w:t>
      </w:r>
      <w:r w:rsidRPr="000403F6">
        <w:rPr>
          <w:vertAlign w:val="superscript"/>
        </w:rPr>
        <w:t>2+</w:t>
      </w:r>
      <w:r w:rsidRPr="00F02C1E">
        <w:t xml:space="preserve"> chan</w:t>
      </w:r>
      <w:r w:rsidR="00454043" w:rsidRPr="00F02C1E">
        <w:t>nel, with M1 being most potent.</w:t>
      </w:r>
    </w:p>
    <w:p w:rsidR="00BE4661" w:rsidRPr="00F02C1E" w:rsidRDefault="00BE4661" w:rsidP="00F02C1E">
      <w:pPr>
        <w:pStyle w:val="ListBullet"/>
      </w:pPr>
      <w:r w:rsidRPr="00F02C1E">
        <w:t>Netupitant did not have any notable effects on CNS or respiratory function following oral administration. Netupitant at high concentrations affects cardiac conduction probably by binding to the L-type Ca</w:t>
      </w:r>
      <w:r w:rsidR="00454043" w:rsidRPr="000403F6">
        <w:rPr>
          <w:vertAlign w:val="superscript"/>
        </w:rPr>
        <w:t>2+</w:t>
      </w:r>
      <w:r w:rsidRPr="00F02C1E">
        <w:t xml:space="preserve"> channel and inhibiting the </w:t>
      </w:r>
      <w:proofErr w:type="spellStart"/>
      <w:r w:rsidRPr="00F02C1E">
        <w:t>hERG</w:t>
      </w:r>
      <w:proofErr w:type="spellEnd"/>
      <w:r w:rsidRPr="00F02C1E">
        <w:t xml:space="preserve"> </w:t>
      </w:r>
      <w:proofErr w:type="spellStart"/>
      <w:r w:rsidR="00454043" w:rsidRPr="00F02C1E">
        <w:t>K</w:t>
      </w:r>
      <w:r w:rsidR="00454043" w:rsidRPr="000403F6">
        <w:rPr>
          <w:vertAlign w:val="superscript"/>
        </w:rPr>
        <w:t>+</w:t>
      </w:r>
      <w:r w:rsidRPr="00F02C1E">
        <w:t>channel</w:t>
      </w:r>
      <w:proofErr w:type="spellEnd"/>
      <w:r w:rsidRPr="00F02C1E">
        <w:t xml:space="preserve"> and causes bradycardia and prolongation of APD. Netupitant and palonosetron may have additive effects on cardiac conduction. Some potential for cardiovascular effects exists in patients taking the netupitant and palonosetron combination.</w:t>
      </w:r>
    </w:p>
    <w:p w:rsidR="00BE4661" w:rsidRPr="00F02C1E" w:rsidRDefault="00BE4661" w:rsidP="00F02C1E">
      <w:pPr>
        <w:pStyle w:val="ListBullet"/>
      </w:pPr>
      <w:r w:rsidRPr="00F02C1E">
        <w:t>Pharmacokinetic studies in laboratory animal species showed moderate to high bioavailability by oral dosing. Netupitant is highly plasma protein bound in animals and humans (</w:t>
      </w:r>
      <w:r w:rsidR="000403F6">
        <w:t>&gt; 9</w:t>
      </w:r>
      <w:r w:rsidRPr="00F02C1E">
        <w:t>9</w:t>
      </w:r>
      <w:r w:rsidR="00764D2D" w:rsidRPr="00F02C1E">
        <w:t>%</w:t>
      </w:r>
      <w:r w:rsidRPr="00F02C1E">
        <w:t xml:space="preserve">). Netupitant had a high volume of distribution in nonclinical species and was rapidly distributed to most organs in rats. Penetration to brain and testes was demonstrated. CYP3A4 catalysed the formation of two metabolites M1 and M2. Netupitant and metabolites inhibited CYP3A4, with </w:t>
      </w:r>
      <w:r w:rsidR="00F543DA" w:rsidRPr="005B2EAC">
        <w:t>IC</w:t>
      </w:r>
      <w:r w:rsidR="00F543DA" w:rsidRPr="00F543DA">
        <w:rPr>
          <w:vertAlign w:val="subscript"/>
        </w:rPr>
        <w:t>50</w:t>
      </w:r>
      <w:r w:rsidRPr="00F02C1E">
        <w:t xml:space="preserve">/Ki values </w:t>
      </w:r>
      <w:r w:rsidR="003A581C" w:rsidRPr="00F02C1E">
        <w:t>approximately</w:t>
      </w:r>
      <w:r w:rsidR="00454043" w:rsidRPr="00F02C1E">
        <w:t xml:space="preserve"> </w:t>
      </w:r>
      <w:r w:rsidRPr="00F02C1E">
        <w:t xml:space="preserve">50 times the combined free fraction </w:t>
      </w:r>
      <w:proofErr w:type="spellStart"/>
      <w:r w:rsidR="0018634D" w:rsidRPr="005B2EAC">
        <w:t>C</w:t>
      </w:r>
      <w:r w:rsidR="0018634D" w:rsidRPr="0018634D">
        <w:rPr>
          <w:vertAlign w:val="subscript"/>
        </w:rPr>
        <w:t>max</w:t>
      </w:r>
      <w:proofErr w:type="spellEnd"/>
      <w:r w:rsidRPr="00F02C1E">
        <w:t xml:space="preserve"> of </w:t>
      </w:r>
      <w:proofErr w:type="spellStart"/>
      <w:r w:rsidRPr="00F02C1E">
        <w:t>netupitant</w:t>
      </w:r>
      <w:proofErr w:type="spellEnd"/>
      <w:r w:rsidRPr="00F02C1E">
        <w:t xml:space="preserve"> and metabolites in patients, suggesting low potential for interactions with CYP3A4 substrates. Excretion of netupitant and/or its metabolites was almost exclusively via the faeces. Netupitant and/or major metabolites inhibited transporters (BCRP, OCT1, MDR1, OATP1B3 and P-</w:t>
      </w:r>
      <w:proofErr w:type="spellStart"/>
      <w:r w:rsidRPr="00F02C1E">
        <w:t>gp</w:t>
      </w:r>
      <w:proofErr w:type="spellEnd"/>
      <w:r w:rsidRPr="00F02C1E">
        <w:t>) only at high concentrations. Drug-drug interactions via transporters in vivo are unlikely. Studies in human liver microsomes suggest that drug-drug interactions are unlikely with cyclophosphamide and vincristine but may be possible with docetaxel.</w:t>
      </w:r>
    </w:p>
    <w:p w:rsidR="00BE4661" w:rsidRPr="00F02C1E" w:rsidRDefault="00BE4661" w:rsidP="00F02C1E">
      <w:pPr>
        <w:pStyle w:val="ListBullet"/>
      </w:pPr>
      <w:r w:rsidRPr="00F02C1E">
        <w:t>Single high doses in rodents caused inflammation and necrosis in several tissues, including liver, stoma</w:t>
      </w:r>
      <w:r w:rsidR="00454043" w:rsidRPr="00F02C1E">
        <w:t xml:space="preserve">ch and mesenteric lymph nodes. </w:t>
      </w:r>
      <w:r w:rsidRPr="00F02C1E">
        <w:t xml:space="preserve">Signs of </w:t>
      </w:r>
      <w:proofErr w:type="spellStart"/>
      <w:r w:rsidRPr="00F02C1E">
        <w:t>phospholipidosis</w:t>
      </w:r>
      <w:proofErr w:type="spellEnd"/>
      <w:r w:rsidRPr="00F02C1E">
        <w:t xml:space="preserve"> were also present in these and othe</w:t>
      </w:r>
      <w:r w:rsidR="00454043" w:rsidRPr="00F02C1E">
        <w:t>r tissues especially the lung.</w:t>
      </w:r>
    </w:p>
    <w:p w:rsidR="00BE4661" w:rsidRPr="00F02C1E" w:rsidRDefault="00BE4661" w:rsidP="00F02C1E">
      <w:pPr>
        <w:pStyle w:val="ListBullet"/>
      </w:pPr>
      <w:r w:rsidRPr="00F02C1E">
        <w:t xml:space="preserve">The major target organs identified in the </w:t>
      </w:r>
      <w:r w:rsidR="005670BA">
        <w:t>repeat dose</w:t>
      </w:r>
      <w:r w:rsidRPr="00F02C1E">
        <w:t xml:space="preserve"> toxicity studies in rats and dogs were liver and lymph nodes. Inflammation and/or necrosis occurred in these tissues only fol</w:t>
      </w:r>
      <w:r w:rsidR="00454043" w:rsidRPr="00F02C1E">
        <w:t xml:space="preserve">lowing exposure to high doses. </w:t>
      </w:r>
      <w:r w:rsidRPr="00F02C1E">
        <w:t xml:space="preserve">Accompanying or possibly underlying these toxicities were signs of </w:t>
      </w:r>
      <w:proofErr w:type="spellStart"/>
      <w:r w:rsidRPr="00F02C1E">
        <w:t>phospholipidosis</w:t>
      </w:r>
      <w:proofErr w:type="spellEnd"/>
      <w:r w:rsidRPr="00F02C1E">
        <w:t xml:space="preserve"> (</w:t>
      </w:r>
      <w:r w:rsidR="00454043" w:rsidRPr="00F02C1E">
        <w:t xml:space="preserve">foamy/vacuolated macrophages). </w:t>
      </w:r>
      <w:r w:rsidRPr="00F02C1E">
        <w:t xml:space="preserve">Signs of </w:t>
      </w:r>
      <w:proofErr w:type="spellStart"/>
      <w:r w:rsidRPr="00F02C1E">
        <w:t>phospholipidosis</w:t>
      </w:r>
      <w:proofErr w:type="spellEnd"/>
      <w:r w:rsidRPr="00F02C1E">
        <w:t xml:space="preserve"> were also apparent in other ti</w:t>
      </w:r>
      <w:r w:rsidR="00454043" w:rsidRPr="00F02C1E">
        <w:t xml:space="preserve">ssues notably lung and spleen. </w:t>
      </w:r>
      <w:r w:rsidRPr="00F02C1E">
        <w:t xml:space="preserve">All the </w:t>
      </w:r>
      <w:r w:rsidRPr="00F02C1E">
        <w:lastRenderedPageBreak/>
        <w:t xml:space="preserve">effects were generally reversible with the cessation of dosing, although in rats dosed with netupitant for 26 weeks </w:t>
      </w:r>
      <w:proofErr w:type="spellStart"/>
      <w:r w:rsidRPr="00F02C1E">
        <w:t>phospholipidosis</w:t>
      </w:r>
      <w:proofErr w:type="spellEnd"/>
      <w:r w:rsidRPr="00F02C1E">
        <w:t xml:space="preserve"> was still evi</w:t>
      </w:r>
      <w:r w:rsidR="00454043" w:rsidRPr="00F02C1E">
        <w:t>dent after 8 weeks of recovery.</w:t>
      </w:r>
      <w:r w:rsidRPr="00F02C1E">
        <w:t xml:space="preserve"> Toxicity findings with the netupitant/palonosetron were similar to those with netupitant alone except for neurological effects (tremors and seizures) due</w:t>
      </w:r>
      <w:r w:rsidR="00454043" w:rsidRPr="00F02C1E">
        <w:t xml:space="preserve"> to palonosetron at high doses.</w:t>
      </w:r>
    </w:p>
    <w:p w:rsidR="00BE4661" w:rsidRPr="00F02C1E" w:rsidRDefault="00BE4661" w:rsidP="00F02C1E">
      <w:pPr>
        <w:pStyle w:val="ListBullet"/>
      </w:pPr>
      <w:r w:rsidRPr="00F02C1E">
        <w:t>The potential genotoxicity of netupitant was investigated in a standard battery of t</w:t>
      </w:r>
      <w:r w:rsidR="00454043" w:rsidRPr="00F02C1E">
        <w:t xml:space="preserve">ests. </w:t>
      </w:r>
      <w:r w:rsidRPr="00F02C1E">
        <w:t xml:space="preserve">The results were negative in all tests and netupitant is unlikely to pose a mutagenic </w:t>
      </w:r>
      <w:r w:rsidR="00454043" w:rsidRPr="00F02C1E">
        <w:t xml:space="preserve">or </w:t>
      </w:r>
      <w:proofErr w:type="spellStart"/>
      <w:r w:rsidR="00454043" w:rsidRPr="00F02C1E">
        <w:t>clastogenic</w:t>
      </w:r>
      <w:proofErr w:type="spellEnd"/>
      <w:r w:rsidR="00454043" w:rsidRPr="00F02C1E">
        <w:t xml:space="preserve"> risk to humans.</w:t>
      </w:r>
    </w:p>
    <w:p w:rsidR="00BE4661" w:rsidRPr="00F02C1E" w:rsidRDefault="00BE4661" w:rsidP="00F02C1E">
      <w:pPr>
        <w:pStyle w:val="ListBullet"/>
      </w:pPr>
      <w:r w:rsidRPr="00F02C1E">
        <w:t xml:space="preserve">No carcinogenicity studies </w:t>
      </w:r>
      <w:r w:rsidR="00065667" w:rsidRPr="00F02C1E">
        <w:t xml:space="preserve">were </w:t>
      </w:r>
      <w:r w:rsidRPr="00F02C1E">
        <w:t>conducted with netupitant. This is acceptable for the proposed indication and dosing regimen.</w:t>
      </w:r>
    </w:p>
    <w:p w:rsidR="00BE4661" w:rsidRPr="00F02C1E" w:rsidRDefault="00BE4661" w:rsidP="00F02C1E">
      <w:pPr>
        <w:pStyle w:val="ListBullet"/>
      </w:pPr>
      <w:r w:rsidRPr="00F02C1E">
        <w:t>Netupitant had no effects on fertility in rats. F</w:t>
      </w:r>
      <w:r w:rsidR="00454043" w:rsidRPr="00F02C1E">
        <w:t>o</w:t>
      </w:r>
      <w:r w:rsidRPr="00F02C1E">
        <w:t xml:space="preserve">etal weights were reduced in rats and </w:t>
      </w:r>
      <w:proofErr w:type="gramStart"/>
      <w:r w:rsidRPr="00F02C1E">
        <w:t xml:space="preserve">rabbits at 30 mg/kg/day and the incidence of minimally/partially fused </w:t>
      </w:r>
      <w:proofErr w:type="spellStart"/>
      <w:r w:rsidRPr="00F02C1E">
        <w:t>sternebrae</w:t>
      </w:r>
      <w:proofErr w:type="spellEnd"/>
      <w:r w:rsidRPr="00F02C1E">
        <w:t xml:space="preserve"> was</w:t>
      </w:r>
      <w:proofErr w:type="gramEnd"/>
      <w:r w:rsidRPr="00F02C1E">
        <w:t xml:space="preserve"> increased in rabbits at </w:t>
      </w:r>
      <w:r w:rsidR="0018634D">
        <w:t>&gt; 1</w:t>
      </w:r>
      <w:r w:rsidRPr="00F02C1E">
        <w:t>0 mg/kg/day. In rats receiving</w:t>
      </w:r>
      <w:r w:rsidR="00D145F4" w:rsidRPr="00F02C1E">
        <w:t xml:space="preserve"> ≥ 10 mg/kg/day from GD</w:t>
      </w:r>
      <w:r w:rsidR="000403F6">
        <w:t> </w:t>
      </w:r>
      <w:r w:rsidR="00D145F4" w:rsidRPr="00F02C1E">
        <w:t>6 to PND</w:t>
      </w:r>
      <w:r w:rsidRPr="00F02C1E">
        <w:t xml:space="preserve"> 21, pup body weights at birth were reduced, and a</w:t>
      </w:r>
      <w:r w:rsidR="00454043" w:rsidRPr="00F02C1E">
        <w:t>ir righting reflex was delayed.</w:t>
      </w:r>
    </w:p>
    <w:p w:rsidR="003A3562" w:rsidRPr="00F02C1E" w:rsidRDefault="00BE4661" w:rsidP="00F02C1E">
      <w:pPr>
        <w:pStyle w:val="ListBullet"/>
      </w:pPr>
      <w:r w:rsidRPr="00F02C1E">
        <w:t>Netupitant did not show evidence of</w:t>
      </w:r>
      <w:bookmarkStart w:id="75" w:name="_Toc406598694"/>
      <w:bookmarkStart w:id="76" w:name="_Toc295290862"/>
      <w:bookmarkStart w:id="77" w:name="_Toc294861479"/>
      <w:r w:rsidR="003A3562" w:rsidRPr="00F02C1E">
        <w:t xml:space="preserve"> antigenicity or phototoxicity.</w:t>
      </w:r>
    </w:p>
    <w:p w:rsidR="00BE4661" w:rsidRPr="00F02C1E" w:rsidRDefault="00F02C1E" w:rsidP="00F02C1E">
      <w:pPr>
        <w:pStyle w:val="Heading4"/>
      </w:pPr>
      <w:r>
        <w:t>Non</w:t>
      </w:r>
      <w:r w:rsidRPr="00F02C1E">
        <w:t>clinical conclusion</w:t>
      </w:r>
      <w:bookmarkEnd w:id="75"/>
      <w:bookmarkEnd w:id="76"/>
      <w:bookmarkEnd w:id="77"/>
    </w:p>
    <w:p w:rsidR="00BE4661" w:rsidRPr="00F02C1E" w:rsidRDefault="00BE4661" w:rsidP="00F02C1E">
      <w:pPr>
        <w:pStyle w:val="ListBullet"/>
      </w:pPr>
      <w:r w:rsidRPr="00F02C1E">
        <w:t xml:space="preserve">Affinity and selectivity of netupitant and major human metabolites (M1, M2 and M3) for recombinant human </w:t>
      </w:r>
      <w:r w:rsidR="00BD6934">
        <w:t xml:space="preserve">NK1 </w:t>
      </w:r>
      <w:proofErr w:type="spellStart"/>
      <w:r w:rsidR="00BD6934">
        <w:t>R</w:t>
      </w:r>
      <w:r w:rsidRPr="00F02C1E">
        <w:t>s</w:t>
      </w:r>
      <w:proofErr w:type="spellEnd"/>
      <w:r w:rsidRPr="00F02C1E">
        <w:t xml:space="preserve"> was established in vitro. Pharmacological activity in relevant animal models was demonstrated.</w:t>
      </w:r>
    </w:p>
    <w:p w:rsidR="00BE4661" w:rsidRPr="00F02C1E" w:rsidRDefault="00BE4661" w:rsidP="00F02C1E">
      <w:pPr>
        <w:pStyle w:val="ListBullet"/>
      </w:pPr>
      <w:r w:rsidRPr="00F02C1E">
        <w:t>In vitro and animal studies indicate potential for affecting cardiac conduction and causing QT interval prolongation in patients taking the netupitan</w:t>
      </w:r>
      <w:r w:rsidR="00D4356D" w:rsidRPr="00F02C1E">
        <w:t>t and palonosetron combination.</w:t>
      </w:r>
    </w:p>
    <w:p w:rsidR="00BE4661" w:rsidRPr="00F02C1E" w:rsidRDefault="00BE4661" w:rsidP="00F02C1E">
      <w:pPr>
        <w:pStyle w:val="ListBullet"/>
      </w:pPr>
      <w:r w:rsidRPr="00F02C1E">
        <w:t xml:space="preserve">Toxicity to the liver and lymph nodes and </w:t>
      </w:r>
      <w:proofErr w:type="spellStart"/>
      <w:r w:rsidRPr="00F02C1E">
        <w:t>phospholipidosis</w:t>
      </w:r>
      <w:proofErr w:type="spellEnd"/>
      <w:r w:rsidRPr="00F02C1E">
        <w:t xml:space="preserve"> in multiple organs were identified in repeat dose studies</w:t>
      </w:r>
      <w:r w:rsidR="00D4356D" w:rsidRPr="00F02C1E">
        <w:t xml:space="preserve"> and after a high single dose.</w:t>
      </w:r>
    </w:p>
    <w:p w:rsidR="00BE4661" w:rsidRPr="00F02C1E" w:rsidRDefault="00BE4661" w:rsidP="00F02C1E">
      <w:pPr>
        <w:pStyle w:val="ListBullet"/>
      </w:pPr>
      <w:r w:rsidRPr="00F02C1E">
        <w:t xml:space="preserve">Netupitant is unlikely to pose a mutagenic </w:t>
      </w:r>
      <w:r w:rsidR="00D4356D" w:rsidRPr="00F02C1E">
        <w:t xml:space="preserve">or </w:t>
      </w:r>
      <w:proofErr w:type="spellStart"/>
      <w:r w:rsidR="00D4356D" w:rsidRPr="00F02C1E">
        <w:t>clastogenic</w:t>
      </w:r>
      <w:proofErr w:type="spellEnd"/>
      <w:r w:rsidR="00D4356D" w:rsidRPr="00F02C1E">
        <w:t xml:space="preserve"> risk to humans.</w:t>
      </w:r>
    </w:p>
    <w:p w:rsidR="00BE4661" w:rsidRPr="00F02C1E" w:rsidRDefault="00BE4661" w:rsidP="00F02C1E">
      <w:pPr>
        <w:pStyle w:val="ListBullet"/>
      </w:pPr>
      <w:r w:rsidRPr="00F02C1E">
        <w:t>A Pregnancy Category of B3 is recommended on nonclinical grounds.</w:t>
      </w:r>
    </w:p>
    <w:p w:rsidR="00D4356D" w:rsidRPr="00F02C1E" w:rsidRDefault="00D4356D" w:rsidP="00F02C1E">
      <w:pPr>
        <w:pStyle w:val="ListBullet"/>
      </w:pPr>
      <w:r w:rsidRPr="00F02C1E">
        <w:t>Revisions to the draft Product Information were also recommended to the Delegate but these are beyond the scope of this AusPAR.</w:t>
      </w:r>
    </w:p>
    <w:p w:rsidR="008E7846" w:rsidRPr="00F02C1E" w:rsidRDefault="008E7846" w:rsidP="00F02C1E">
      <w:pPr>
        <w:pStyle w:val="Heading2"/>
      </w:pPr>
      <w:bookmarkStart w:id="78" w:name="_Toc466986535"/>
      <w:r w:rsidRPr="00F02C1E">
        <w:t>IV. Clinical</w:t>
      </w:r>
      <w:bookmarkEnd w:id="70"/>
      <w:r w:rsidRPr="00F02C1E">
        <w:t xml:space="preserve"> </w:t>
      </w:r>
      <w:r w:rsidR="003A7F6C" w:rsidRPr="00F02C1E">
        <w:t>f</w:t>
      </w:r>
      <w:r w:rsidRPr="00F02C1E">
        <w:t>indings</w:t>
      </w:r>
      <w:bookmarkEnd w:id="71"/>
      <w:bookmarkEnd w:id="72"/>
      <w:bookmarkEnd w:id="78"/>
    </w:p>
    <w:p w:rsidR="00C80137" w:rsidRPr="00F02C1E" w:rsidRDefault="00C80137" w:rsidP="00F02C1E">
      <w:bookmarkStart w:id="79" w:name="_Toc196046463"/>
      <w:r w:rsidRPr="00F02C1E">
        <w:t xml:space="preserve">A summary of </w:t>
      </w:r>
      <w:r w:rsidR="000403F6" w:rsidRPr="00F02C1E">
        <w:t xml:space="preserve">the </w:t>
      </w:r>
      <w:r w:rsidR="000403F6">
        <w:t>clinical findings and population</w:t>
      </w:r>
      <w:r w:rsidR="000403F6" w:rsidRPr="00F02C1E">
        <w:t xml:space="preserve"> pharmacokinetics </w:t>
      </w:r>
      <w:r w:rsidRPr="00F02C1E">
        <w:t>is presented in this section. Further details of these clinical findings can be found in Attachment 2.</w:t>
      </w:r>
    </w:p>
    <w:p w:rsidR="00605AD4" w:rsidRDefault="00580991" w:rsidP="00F02C1E">
      <w:pPr>
        <w:pStyle w:val="Heading3"/>
      </w:pPr>
      <w:bookmarkStart w:id="80" w:name="_Toc196046464"/>
      <w:bookmarkStart w:id="81" w:name="_Toc247691518"/>
      <w:bookmarkStart w:id="82" w:name="_Toc314842502"/>
      <w:bookmarkStart w:id="83" w:name="_Toc466986536"/>
      <w:bookmarkEnd w:id="79"/>
      <w:r>
        <w:t>Clinical r</w:t>
      </w:r>
      <w:r w:rsidR="00605AD4" w:rsidRPr="00605AD4">
        <w:t>ationale</w:t>
      </w:r>
      <w:bookmarkEnd w:id="83"/>
    </w:p>
    <w:p w:rsidR="002A2211" w:rsidRPr="00F02C1E" w:rsidRDefault="000403F6" w:rsidP="00F02C1E">
      <w:r>
        <w:t>Chemotherapy induced</w:t>
      </w:r>
      <w:r w:rsidR="002A2211" w:rsidRPr="00F02C1E">
        <w:t xml:space="preserve"> nausea and vomiting (CINV) can lead to metabolic problems such as fluid and electrolyte balance disturbances and nutritional status deficiencies, psychological problems, decision by physician to reduce chemotherapy dose intensity, or decision by the patient to stop potentially beneficial cancer treatment.</w:t>
      </w:r>
    </w:p>
    <w:p w:rsidR="002A2211" w:rsidRPr="00F02C1E" w:rsidRDefault="002A2211" w:rsidP="00F02C1E">
      <w:r w:rsidRPr="00F02C1E">
        <w:t>CINV is classified as either acute (occurring within the first 24</w:t>
      </w:r>
      <w:r w:rsidR="009B02FF">
        <w:t xml:space="preserve"> hours </w:t>
      </w:r>
      <w:r w:rsidRPr="00F02C1E">
        <w:t xml:space="preserve">after chemotherapy) or delayed (occurring after the first 24 </w:t>
      </w:r>
      <w:r w:rsidR="004B70D8" w:rsidRPr="00F02C1E">
        <w:t>h</w:t>
      </w:r>
      <w:r w:rsidR="000403F6">
        <w:t>ours</w:t>
      </w:r>
      <w:r w:rsidRPr="00F02C1E">
        <w:t>, extending until the fifth day). The development of acute emesis is known to largely depend on serotonin (</w:t>
      </w:r>
      <w:r w:rsidR="000C31A3" w:rsidRPr="004C0905">
        <w:rPr>
          <w:color w:val="000000"/>
          <w:lang w:eastAsia="en-AU"/>
        </w:rPr>
        <w:t>5-HT</w:t>
      </w:r>
      <w:r w:rsidR="000C31A3" w:rsidRPr="000C31A3">
        <w:rPr>
          <w:color w:val="000000"/>
          <w:vertAlign w:val="subscript"/>
          <w:lang w:eastAsia="en-AU"/>
        </w:rPr>
        <w:t>3</w:t>
      </w:r>
      <w:r w:rsidRPr="00F02C1E">
        <w:t xml:space="preserve">). CINV is mainly due to input from the chemoreceptor trigger zone (CTZ). The neurotransmitters serotonin and dopamine stimulate the vomiting centre indirectly via stimulation of the </w:t>
      </w:r>
      <w:r w:rsidRPr="00F02C1E">
        <w:lastRenderedPageBreak/>
        <w:t xml:space="preserve">CTZ. The </w:t>
      </w:r>
      <w:r w:rsidR="000C31A3" w:rsidRPr="004C0905">
        <w:rPr>
          <w:color w:val="000000"/>
          <w:lang w:eastAsia="en-AU"/>
        </w:rPr>
        <w:t>5-HT</w:t>
      </w:r>
      <w:r w:rsidR="000C31A3" w:rsidRPr="000C31A3">
        <w:rPr>
          <w:color w:val="000000"/>
          <w:vertAlign w:val="subscript"/>
          <w:lang w:eastAsia="en-AU"/>
        </w:rPr>
        <w:t>3</w:t>
      </w:r>
      <w:r w:rsidRPr="00F02C1E">
        <w:t xml:space="preserve"> receptor has been shown to selectively participate in the emetic response, thus providing a physiological explanation for the clinical anti-emetic effects of </w:t>
      </w:r>
      <w:r w:rsidR="000C31A3" w:rsidRPr="004C0905">
        <w:rPr>
          <w:color w:val="000000"/>
          <w:lang w:eastAsia="en-AU"/>
        </w:rPr>
        <w:t>5-HT</w:t>
      </w:r>
      <w:r w:rsidR="000C31A3" w:rsidRPr="000C31A3">
        <w:rPr>
          <w:color w:val="000000"/>
          <w:vertAlign w:val="subscript"/>
          <w:lang w:eastAsia="en-AU"/>
        </w:rPr>
        <w:t>3</w:t>
      </w:r>
      <w:r w:rsidRPr="00F02C1E">
        <w:t xml:space="preserve"> receptor antagonists. The pathophysiology of de</w:t>
      </w:r>
      <w:r w:rsidR="000403F6">
        <w:t>layed emesis is less understood</w:t>
      </w:r>
      <w:r w:rsidRPr="00F02C1E">
        <w:t xml:space="preserve"> and multiple mechanisms may contribute to it, including substance P, which belongs to the neurokinin (NK) family of neuropeptides and exerts its biological effects via int</w:t>
      </w:r>
      <w:r w:rsidR="00F31E8E" w:rsidRPr="00F02C1E">
        <w:t xml:space="preserve">eraction with the </w:t>
      </w:r>
      <w:r w:rsidR="00BD6934">
        <w:t>NK1 R</w:t>
      </w:r>
      <w:r w:rsidR="00F31E8E" w:rsidRPr="00F02C1E">
        <w:t>.</w:t>
      </w:r>
    </w:p>
    <w:p w:rsidR="002A2211" w:rsidRPr="00F02C1E" w:rsidRDefault="002A2211" w:rsidP="00F02C1E">
      <w:r w:rsidRPr="00F02C1E">
        <w:t xml:space="preserve">According to the </w:t>
      </w:r>
      <w:r w:rsidR="00791AE3" w:rsidRPr="00F02C1E">
        <w:t>sponsor</w:t>
      </w:r>
      <w:r w:rsidRPr="00F02C1E">
        <w:t xml:space="preserve">, </w:t>
      </w:r>
      <w:r w:rsidR="000C31A3" w:rsidRPr="004C0905">
        <w:rPr>
          <w:color w:val="000000"/>
          <w:lang w:eastAsia="en-AU"/>
        </w:rPr>
        <w:t>5-HT</w:t>
      </w:r>
      <w:r w:rsidR="000C31A3" w:rsidRPr="000C31A3">
        <w:rPr>
          <w:color w:val="000000"/>
          <w:vertAlign w:val="subscript"/>
          <w:lang w:eastAsia="en-AU"/>
        </w:rPr>
        <w:t>3</w:t>
      </w:r>
      <w:r w:rsidRPr="00F02C1E">
        <w:t xml:space="preserve"> and </w:t>
      </w:r>
      <w:r w:rsidR="00BD6934">
        <w:t>NK1 R</w:t>
      </w:r>
      <w:r w:rsidRPr="00F02C1E">
        <w:t xml:space="preserve"> antagonists are among the drugs of choice for optimal anti-emetic prophylaxis in cancer patients receiving chemotherapy, and current clinical practice guidelines generally recommend that patients receiving highly or moderately emetogenic chemotherapy regimens should be treated with a combination of a </w:t>
      </w:r>
      <w:r w:rsidR="000C31A3" w:rsidRPr="004C0905">
        <w:rPr>
          <w:color w:val="000000"/>
          <w:lang w:eastAsia="en-AU"/>
        </w:rPr>
        <w:t>5-HT</w:t>
      </w:r>
      <w:r w:rsidR="000C31A3" w:rsidRPr="000C31A3">
        <w:rPr>
          <w:color w:val="000000"/>
          <w:vertAlign w:val="subscript"/>
          <w:lang w:eastAsia="en-AU"/>
        </w:rPr>
        <w:t>3</w:t>
      </w:r>
      <w:r w:rsidRPr="00F02C1E">
        <w:t xml:space="preserve"> receptor antagonist, </w:t>
      </w:r>
      <w:r w:rsidR="00BD6934">
        <w:t>NK1 R</w:t>
      </w:r>
      <w:r w:rsidRPr="00F02C1E">
        <w:t xml:space="preserve"> antagonist and a systemic corticosteroid. The clinical anti-emetic efficacy of </w:t>
      </w:r>
      <w:r w:rsidR="000C31A3" w:rsidRPr="004C0905">
        <w:rPr>
          <w:color w:val="000000"/>
          <w:lang w:eastAsia="en-AU"/>
        </w:rPr>
        <w:t>5-HT</w:t>
      </w:r>
      <w:r w:rsidR="000C31A3" w:rsidRPr="000C31A3">
        <w:rPr>
          <w:color w:val="000000"/>
          <w:vertAlign w:val="subscript"/>
          <w:lang w:eastAsia="en-AU"/>
        </w:rPr>
        <w:t>3</w:t>
      </w:r>
      <w:r w:rsidRPr="00F02C1E">
        <w:t xml:space="preserve"> receptor antagonists and </w:t>
      </w:r>
      <w:r w:rsidR="00BD6934">
        <w:t>NK1 R</w:t>
      </w:r>
      <w:r w:rsidRPr="00F02C1E">
        <w:t xml:space="preserve"> antagonists is considered to be complementary: the major effect of </w:t>
      </w:r>
      <w:r w:rsidR="000C31A3" w:rsidRPr="004C0905">
        <w:rPr>
          <w:color w:val="000000"/>
          <w:lang w:eastAsia="en-AU"/>
        </w:rPr>
        <w:t>5-HT</w:t>
      </w:r>
      <w:r w:rsidR="000C31A3" w:rsidRPr="000C31A3">
        <w:rPr>
          <w:color w:val="000000"/>
          <w:vertAlign w:val="subscript"/>
          <w:lang w:eastAsia="en-AU"/>
        </w:rPr>
        <w:t>3</w:t>
      </w:r>
      <w:r w:rsidRPr="00F02C1E">
        <w:t xml:space="preserve"> receptor antagonists is in the control of the acute phase of CINV, while the additional benefit of </w:t>
      </w:r>
      <w:r w:rsidR="00BD6934">
        <w:t>NK1 R</w:t>
      </w:r>
      <w:r w:rsidRPr="00F02C1E">
        <w:t xml:space="preserve"> antagonists is mostly seen in the control of the delayed phase of CINV. The </w:t>
      </w:r>
      <w:r w:rsidR="00791AE3" w:rsidRPr="00F02C1E">
        <w:t>sponsor</w:t>
      </w:r>
      <w:r w:rsidRPr="00F02C1E">
        <w:t xml:space="preserve"> was of the opinion that the clinical significance of this association provides a strong rationale for the development of a fixed combination of the two agents. The proposed palonosetron/netupitant FDC is composed of palonosetron (a registered </w:t>
      </w:r>
      <w:r w:rsidR="000C31A3" w:rsidRPr="004C0905">
        <w:rPr>
          <w:color w:val="000000"/>
          <w:lang w:eastAsia="en-AU"/>
        </w:rPr>
        <w:t>5-HT</w:t>
      </w:r>
      <w:r w:rsidR="000C31A3" w:rsidRPr="000C31A3">
        <w:rPr>
          <w:color w:val="000000"/>
          <w:vertAlign w:val="subscript"/>
          <w:lang w:eastAsia="en-AU"/>
        </w:rPr>
        <w:t>3</w:t>
      </w:r>
      <w:r w:rsidRPr="00F02C1E">
        <w:t xml:space="preserve"> receptor antagonist), and a new molecular entity, netupita</w:t>
      </w:r>
      <w:r w:rsidR="000403F6">
        <w:t xml:space="preserve">nt (a </w:t>
      </w:r>
      <w:r w:rsidR="00BD6934">
        <w:t>NK1 R</w:t>
      </w:r>
      <w:r w:rsidR="000403F6">
        <w:t xml:space="preserve"> antagonist).</w:t>
      </w:r>
    </w:p>
    <w:p w:rsidR="002A2211" w:rsidRPr="00F02C1E" w:rsidRDefault="002A2211" w:rsidP="00F02C1E">
      <w:r w:rsidRPr="00F02C1E">
        <w:t xml:space="preserve">In addition, it was felt that a fixed dose combination product could improve patient compliance due to a simplification and convenience of treatment regimen and hence increase adherence to guidelines for administration of both a </w:t>
      </w:r>
      <w:r w:rsidR="000C31A3" w:rsidRPr="004C0905">
        <w:rPr>
          <w:color w:val="000000"/>
          <w:lang w:eastAsia="en-AU"/>
        </w:rPr>
        <w:t>5-HT</w:t>
      </w:r>
      <w:r w:rsidR="000C31A3" w:rsidRPr="000C31A3">
        <w:rPr>
          <w:color w:val="000000"/>
          <w:vertAlign w:val="subscript"/>
          <w:lang w:eastAsia="en-AU"/>
        </w:rPr>
        <w:t>3</w:t>
      </w:r>
      <w:r w:rsidRPr="00F02C1E">
        <w:t xml:space="preserve"> and </w:t>
      </w:r>
      <w:r w:rsidR="00BD6934">
        <w:t>NK1 R</w:t>
      </w:r>
      <w:r w:rsidRPr="00F02C1E">
        <w:t xml:space="preserve"> antagonist for control of CINV. Moreover, the long half-lives of both components (approximately 40 and 90</w:t>
      </w:r>
      <w:r w:rsidR="009B02FF">
        <w:t xml:space="preserve"> hours </w:t>
      </w:r>
      <w:r w:rsidRPr="00F02C1E">
        <w:t xml:space="preserve">for palonosetron and netupitant, respectively) suggested that a single oral dose administered on Day 1 of chemotherapy could be sufficient to protect patients from both acute and delayed CINV, allowing further simplification of treatment regimen and increasing patient compliance. According to the </w:t>
      </w:r>
      <w:r w:rsidR="00791AE3" w:rsidRPr="00F02C1E">
        <w:t>sponsor</w:t>
      </w:r>
      <w:r w:rsidRPr="00F02C1E">
        <w:t>, the EU Committee for Medicinal Products for Human Use (CHMP) had agreed that the rationale for the development of the proposed fixed dose combination was based on valid therapeutic principles.</w:t>
      </w:r>
    </w:p>
    <w:p w:rsidR="00605AD4" w:rsidRPr="00F02C1E" w:rsidRDefault="00605AD4" w:rsidP="00F02C1E">
      <w:pPr>
        <w:pStyle w:val="Heading4"/>
      </w:pPr>
      <w:r w:rsidRPr="00F02C1E">
        <w:t>Contents of the clinical dossier</w:t>
      </w:r>
    </w:p>
    <w:p w:rsidR="002A2211" w:rsidRDefault="002A2211" w:rsidP="002A2211">
      <w:r>
        <w:t>The submission contained the following clinical information:</w:t>
      </w:r>
    </w:p>
    <w:p w:rsidR="002A2211" w:rsidRPr="00F02C1E" w:rsidRDefault="002A2211" w:rsidP="00F02C1E">
      <w:pPr>
        <w:pStyle w:val="ListBullet"/>
      </w:pPr>
      <w:r w:rsidRPr="00F02C1E">
        <w:t>23 clinical pharmacology studies, including 20 that provided pharmacokinetic data and 4 that provided pharmacodynamic data.</w:t>
      </w:r>
    </w:p>
    <w:p w:rsidR="002A2211" w:rsidRPr="00F02C1E" w:rsidRDefault="002A2211" w:rsidP="00F02C1E">
      <w:pPr>
        <w:pStyle w:val="ListBullet"/>
      </w:pPr>
      <w:r w:rsidRPr="00F02C1E">
        <w:t>1 population pharmacokinetic/pharmacodynamic analyses.</w:t>
      </w:r>
    </w:p>
    <w:p w:rsidR="002A2211" w:rsidRPr="00F02C1E" w:rsidRDefault="002A2211" w:rsidP="00F02C1E">
      <w:pPr>
        <w:pStyle w:val="ListBullet"/>
      </w:pPr>
      <w:r w:rsidRPr="00F02C1E">
        <w:t>1 pivotal efficacy/safety study (</w:t>
      </w:r>
      <w:r w:rsidR="00F73FE3" w:rsidRPr="00F02C1E">
        <w:t>Study NETU</w:t>
      </w:r>
      <w:r w:rsidRPr="00F02C1E">
        <w:t>-08-18; oral netupitant/palonosetron FDC 300/0.5</w:t>
      </w:r>
      <w:r w:rsidR="0067312A" w:rsidRPr="00F02C1E">
        <w:t xml:space="preserve"> </w:t>
      </w:r>
      <w:r w:rsidRPr="00F02C1E">
        <w:t xml:space="preserve">mg </w:t>
      </w:r>
      <w:r w:rsidR="0067312A" w:rsidRPr="00F02C1E">
        <w:t>versus</w:t>
      </w:r>
      <w:r w:rsidRPr="00F02C1E">
        <w:t xml:space="preserve"> oral palonosetron 0.50</w:t>
      </w:r>
      <w:r w:rsidR="0067312A" w:rsidRPr="00F02C1E">
        <w:t xml:space="preserve"> </w:t>
      </w:r>
      <w:r w:rsidRPr="00F02C1E">
        <w:t xml:space="preserve">mg, </w:t>
      </w:r>
      <w:r w:rsidR="0067312A" w:rsidRPr="00F02C1E">
        <w:t>moderately emetogenic chemotherapy (</w:t>
      </w:r>
      <w:r w:rsidRPr="00F02C1E">
        <w:t>MEC</w:t>
      </w:r>
      <w:r w:rsidR="0067312A" w:rsidRPr="00F02C1E">
        <w:t>)</w:t>
      </w:r>
      <w:r w:rsidRPr="00F02C1E">
        <w:t>, single and multiple chemotherapy cycles).</w:t>
      </w:r>
    </w:p>
    <w:p w:rsidR="002A2211" w:rsidRPr="00F02C1E" w:rsidRDefault="000403F6" w:rsidP="00F02C1E">
      <w:pPr>
        <w:pStyle w:val="ListBullet"/>
      </w:pPr>
      <w:r>
        <w:t xml:space="preserve">1 dose </w:t>
      </w:r>
      <w:r w:rsidR="002A2211" w:rsidRPr="00F02C1E">
        <w:t>finding study (</w:t>
      </w:r>
      <w:r w:rsidR="00F73FE3" w:rsidRPr="00F02C1E">
        <w:t>Study NETU</w:t>
      </w:r>
      <w:r w:rsidR="002A2211" w:rsidRPr="00F02C1E">
        <w:t xml:space="preserve">-07-07; </w:t>
      </w:r>
      <w:proofErr w:type="spellStart"/>
      <w:r w:rsidR="002A2211" w:rsidRPr="00F02C1E">
        <w:t>netupitant</w:t>
      </w:r>
      <w:proofErr w:type="spellEnd"/>
      <w:r w:rsidR="002A2211" w:rsidRPr="00F02C1E">
        <w:t xml:space="preserve"> 100</w:t>
      </w:r>
      <w:r w:rsidR="0067312A" w:rsidRPr="00F02C1E">
        <w:t xml:space="preserve"> </w:t>
      </w:r>
      <w:proofErr w:type="spellStart"/>
      <w:r w:rsidR="002A2211" w:rsidRPr="00F02C1E">
        <w:t>mg+palonosetron</w:t>
      </w:r>
      <w:proofErr w:type="spellEnd"/>
      <w:r w:rsidR="002A2211" w:rsidRPr="00F02C1E">
        <w:t xml:space="preserve"> 0.50</w:t>
      </w:r>
      <w:r w:rsidR="0067312A" w:rsidRPr="00F02C1E">
        <w:t xml:space="preserve"> </w:t>
      </w:r>
      <w:r w:rsidR="002A2211" w:rsidRPr="00F02C1E">
        <w:t xml:space="preserve">mg, </w:t>
      </w:r>
      <w:proofErr w:type="spellStart"/>
      <w:r w:rsidR="002A2211" w:rsidRPr="00F02C1E">
        <w:t>netup</w:t>
      </w:r>
      <w:r w:rsidR="00A10679" w:rsidRPr="00F02C1E">
        <w:t>itant</w:t>
      </w:r>
      <w:proofErr w:type="spellEnd"/>
      <w:r w:rsidR="00A10679" w:rsidRPr="00F02C1E">
        <w:t xml:space="preserve"> 200</w:t>
      </w:r>
      <w:r w:rsidR="0067312A" w:rsidRPr="00F02C1E">
        <w:t xml:space="preserve"> </w:t>
      </w:r>
      <w:proofErr w:type="spellStart"/>
      <w:r w:rsidR="00A10679" w:rsidRPr="00F02C1E">
        <w:t>mg+palonosetron</w:t>
      </w:r>
      <w:proofErr w:type="spellEnd"/>
      <w:r w:rsidR="00A10679" w:rsidRPr="00F02C1E">
        <w:t xml:space="preserve"> 0.50</w:t>
      </w:r>
      <w:r w:rsidR="0067312A" w:rsidRPr="00F02C1E">
        <w:t xml:space="preserve"> </w:t>
      </w:r>
      <w:r w:rsidR="00A10679" w:rsidRPr="00F02C1E">
        <w:t>mg</w:t>
      </w:r>
      <w:r w:rsidR="002A2211" w:rsidRPr="00F02C1E">
        <w:t xml:space="preserve"> and </w:t>
      </w:r>
      <w:proofErr w:type="spellStart"/>
      <w:r w:rsidR="002A2211" w:rsidRPr="00F02C1E">
        <w:t>netupi</w:t>
      </w:r>
      <w:r w:rsidR="00A10679" w:rsidRPr="00F02C1E">
        <w:t>tant</w:t>
      </w:r>
      <w:proofErr w:type="spellEnd"/>
      <w:r w:rsidR="00A10679" w:rsidRPr="00F02C1E">
        <w:t xml:space="preserve"> 300</w:t>
      </w:r>
      <w:r w:rsidR="0067312A" w:rsidRPr="00F02C1E">
        <w:t xml:space="preserve"> </w:t>
      </w:r>
      <w:proofErr w:type="spellStart"/>
      <w:r w:rsidR="00A10679" w:rsidRPr="00F02C1E">
        <w:t>mg+palonosetron</w:t>
      </w:r>
      <w:proofErr w:type="spellEnd"/>
      <w:r w:rsidR="00A10679" w:rsidRPr="00F02C1E">
        <w:t xml:space="preserve"> 0.50</w:t>
      </w:r>
      <w:r w:rsidR="005F7FE0" w:rsidRPr="00F02C1E">
        <w:t xml:space="preserve"> </w:t>
      </w:r>
      <w:r w:rsidR="00A10679" w:rsidRPr="00F02C1E">
        <w:t xml:space="preserve">mg </w:t>
      </w:r>
      <w:r w:rsidR="0067312A" w:rsidRPr="00F02C1E">
        <w:t>versus</w:t>
      </w:r>
      <w:r w:rsidR="002A2211" w:rsidRPr="00F02C1E">
        <w:t xml:space="preserve"> palonosetron 0.50</w:t>
      </w:r>
      <w:r w:rsidR="0067312A" w:rsidRPr="00F02C1E">
        <w:t xml:space="preserve"> </w:t>
      </w:r>
      <w:r w:rsidR="002A2211" w:rsidRPr="00F02C1E">
        <w:t xml:space="preserve">mg alone, </w:t>
      </w:r>
      <w:r w:rsidR="0067312A" w:rsidRPr="00F02C1E">
        <w:t>highly emetogenic chemotherapy</w:t>
      </w:r>
      <w:r w:rsidR="00AA4302" w:rsidRPr="00F02C1E">
        <w:t xml:space="preserve"> (</w:t>
      </w:r>
      <w:r w:rsidR="002A2211" w:rsidRPr="00F02C1E">
        <w:t>HEC</w:t>
      </w:r>
      <w:r w:rsidR="00AA4302" w:rsidRPr="00F02C1E">
        <w:t>)</w:t>
      </w:r>
      <w:r w:rsidR="002A2211" w:rsidRPr="00F02C1E">
        <w:t>, single cycle).</w:t>
      </w:r>
    </w:p>
    <w:p w:rsidR="002A2211" w:rsidRPr="00F02C1E" w:rsidRDefault="002A2211" w:rsidP="00F02C1E">
      <w:pPr>
        <w:pStyle w:val="ListBullet"/>
      </w:pPr>
      <w:r w:rsidRPr="00F02C1E">
        <w:t>1 other efficacy/safety study</w:t>
      </w:r>
      <w:r w:rsidR="000403F6">
        <w:t>;</w:t>
      </w:r>
      <w:r w:rsidRPr="00F02C1E">
        <w:t xml:space="preserve"> (</w:t>
      </w:r>
      <w:r w:rsidR="00F73FE3" w:rsidRPr="00F02C1E">
        <w:t>Study NETU</w:t>
      </w:r>
      <w:r w:rsidRPr="00F02C1E">
        <w:t>-10-29; supportive safety study, netupitant/ palonosetron FDC 300/0.5</w:t>
      </w:r>
      <w:r w:rsidR="0067312A" w:rsidRPr="00F02C1E">
        <w:t xml:space="preserve"> </w:t>
      </w:r>
      <w:r w:rsidRPr="00F02C1E">
        <w:t xml:space="preserve">mg </w:t>
      </w:r>
      <w:r w:rsidR="0067312A" w:rsidRPr="00F02C1E">
        <w:t>versus</w:t>
      </w:r>
      <w:r w:rsidRPr="00F02C1E">
        <w:t xml:space="preserve"> </w:t>
      </w:r>
      <w:proofErr w:type="spellStart"/>
      <w:r w:rsidRPr="00F02C1E">
        <w:t>aprepitant+palonosetron</w:t>
      </w:r>
      <w:proofErr w:type="spellEnd"/>
      <w:r w:rsidR="0067312A" w:rsidRPr="00F02C1E">
        <w:t>, MEC and HEC, multiple cycles).</w:t>
      </w:r>
    </w:p>
    <w:p w:rsidR="002A2211" w:rsidRPr="00F02C1E" w:rsidRDefault="002A2211" w:rsidP="00F02C1E">
      <w:pPr>
        <w:pStyle w:val="ListBullet"/>
      </w:pPr>
      <w:r w:rsidRPr="00F02C1E">
        <w:t xml:space="preserve">3 bridging studies (PALO-10-01 [non-inferiority study comparing efficacy of </w:t>
      </w:r>
      <w:r w:rsidR="000403F6">
        <w:t>single dose</w:t>
      </w:r>
      <w:r w:rsidRPr="00F02C1E">
        <w:t xml:space="preserve"> oral palonosetron </w:t>
      </w:r>
      <w:r w:rsidR="000A3133" w:rsidRPr="00F02C1E">
        <w:t>0.50 mg</w:t>
      </w:r>
      <w:r w:rsidRPr="00F02C1E">
        <w:t xml:space="preserve"> </w:t>
      </w:r>
      <w:r w:rsidR="0067312A" w:rsidRPr="00F02C1E">
        <w:t>versus</w:t>
      </w:r>
      <w:r w:rsidRPr="00F02C1E">
        <w:t xml:space="preserve"> </w:t>
      </w:r>
      <w:r w:rsidR="000403F6">
        <w:t>single dose</w:t>
      </w:r>
      <w:r w:rsidRPr="00F02C1E">
        <w:t xml:space="preserve"> IV palonosetron 0.25</w:t>
      </w:r>
      <w:r w:rsidR="0067312A" w:rsidRPr="00F02C1E">
        <w:t xml:space="preserve"> </w:t>
      </w:r>
      <w:r w:rsidRPr="00F02C1E">
        <w:t>mg, HEC, single cycle]; PALO-03-13 [</w:t>
      </w:r>
      <w:r w:rsidR="000403F6">
        <w:t>dose finding</w:t>
      </w:r>
      <w:r w:rsidRPr="00F02C1E">
        <w:t xml:space="preserve"> study; oral palonosetron 0.25</w:t>
      </w:r>
      <w:r w:rsidR="0067312A" w:rsidRPr="00F02C1E">
        <w:t xml:space="preserve"> </w:t>
      </w:r>
      <w:r w:rsidRPr="00F02C1E">
        <w:t>mg, 0.50</w:t>
      </w:r>
      <w:r w:rsidR="0067312A" w:rsidRPr="00F02C1E">
        <w:t xml:space="preserve"> </w:t>
      </w:r>
      <w:r w:rsidRPr="00F02C1E">
        <w:t>mg and 0.75</w:t>
      </w:r>
      <w:r w:rsidR="0067312A" w:rsidRPr="00F02C1E">
        <w:t xml:space="preserve"> </w:t>
      </w:r>
      <w:r w:rsidRPr="00F02C1E">
        <w:t xml:space="preserve">mg </w:t>
      </w:r>
      <w:r w:rsidR="0067312A" w:rsidRPr="00F02C1E">
        <w:t>versus</w:t>
      </w:r>
      <w:r w:rsidRPr="00F02C1E">
        <w:t xml:space="preserve"> IV palonosetron 0.25</w:t>
      </w:r>
      <w:r w:rsidR="0067312A" w:rsidRPr="00F02C1E">
        <w:t xml:space="preserve"> </w:t>
      </w:r>
      <w:r w:rsidRPr="00F02C1E">
        <w:t xml:space="preserve">mg, MEC, single cycle]; PALO-03-14 [open label, </w:t>
      </w:r>
      <w:r w:rsidRPr="00F02C1E">
        <w:lastRenderedPageBreak/>
        <w:t>uncontrolled study on efficacy and safety of oral palonosetron 0</w:t>
      </w:r>
      <w:r w:rsidR="0067312A" w:rsidRPr="00F02C1E">
        <w:t>.75 mg in MEC, multiple cycles]).</w:t>
      </w:r>
    </w:p>
    <w:p w:rsidR="002A2211" w:rsidRPr="00F02C1E" w:rsidRDefault="002A2211" w:rsidP="00F02C1E">
      <w:pPr>
        <w:pStyle w:val="ListBullet"/>
      </w:pPr>
      <w:r w:rsidRPr="00F02C1E">
        <w:t>2 efficacy/safety studies not relating to proposed indications (</w:t>
      </w:r>
      <w:r w:rsidR="00F73FE3" w:rsidRPr="00F02C1E">
        <w:t>Study NETU</w:t>
      </w:r>
      <w:r w:rsidRPr="00F02C1E">
        <w:t xml:space="preserve">-08-03, assessing the use of netupitant in patients with overactive bladder; </w:t>
      </w:r>
      <w:r w:rsidR="00F73FE3" w:rsidRPr="00F02C1E">
        <w:t>Study NETU</w:t>
      </w:r>
      <w:r w:rsidRPr="00F02C1E">
        <w:t>09-11, assessing the use of netupitant/palonosetron FDC in an acute pain model); 3 studies involvin</w:t>
      </w:r>
      <w:r w:rsidR="00A10679" w:rsidRPr="00F02C1E">
        <w:t>g IV palonosetron (S</w:t>
      </w:r>
      <w:r w:rsidRPr="00F02C1E">
        <w:t xml:space="preserve">tudies PALO-99-03, PALO-99-04, and PALO-99-05; IV palonosetron </w:t>
      </w:r>
      <w:r w:rsidR="0067312A" w:rsidRPr="00F02C1E">
        <w:t>versus</w:t>
      </w:r>
      <w:r w:rsidRPr="00F02C1E">
        <w:t xml:space="preserve"> other </w:t>
      </w:r>
      <w:r w:rsidR="000C31A3" w:rsidRPr="004C0905">
        <w:rPr>
          <w:color w:val="000000"/>
          <w:lang w:eastAsia="en-AU"/>
        </w:rPr>
        <w:t>5-HT</w:t>
      </w:r>
      <w:r w:rsidR="000C31A3" w:rsidRPr="000C31A3">
        <w:rPr>
          <w:color w:val="000000"/>
          <w:vertAlign w:val="subscript"/>
          <w:lang w:eastAsia="en-AU"/>
        </w:rPr>
        <w:t>3</w:t>
      </w:r>
      <w:r w:rsidRPr="00F02C1E">
        <w:t xml:space="preserve"> receptor antagonists); Integrated Summary of Efficacy, Integrated Summary of Safety.</w:t>
      </w:r>
    </w:p>
    <w:p w:rsidR="00605AD4" w:rsidRDefault="00605AD4" w:rsidP="00F02C1E">
      <w:pPr>
        <w:pStyle w:val="Heading4"/>
      </w:pPr>
      <w:r w:rsidRPr="00605AD4">
        <w:t>Paediatric data</w:t>
      </w:r>
    </w:p>
    <w:p w:rsidR="002A2211" w:rsidRPr="00F02C1E" w:rsidRDefault="009F44A1" w:rsidP="00F02C1E">
      <w:r w:rsidRPr="00F02C1E">
        <w:t>The submission did not include paediatric data.</w:t>
      </w:r>
    </w:p>
    <w:p w:rsidR="00605AD4" w:rsidRDefault="00605AD4" w:rsidP="00F02C1E">
      <w:pPr>
        <w:pStyle w:val="Heading4"/>
      </w:pPr>
      <w:r w:rsidRPr="00605AD4">
        <w:t>Good clinical practice</w:t>
      </w:r>
    </w:p>
    <w:p w:rsidR="00DC6B23" w:rsidRPr="00F02C1E" w:rsidRDefault="00DC6B23" w:rsidP="00F02C1E">
      <w:r w:rsidRPr="00F02C1E">
        <w:t xml:space="preserve">The clinical studies reviewed in this evaluation were in compliance with </w:t>
      </w:r>
      <w:r w:rsidR="000403F6">
        <w:t>the</w:t>
      </w:r>
      <w:r w:rsidRPr="00F02C1E">
        <w:t xml:space="preserve"> Note for Guidance on Good Clinical Practice</w:t>
      </w:r>
      <w:r w:rsidR="008D5592">
        <w:t>.</w:t>
      </w:r>
      <w:r w:rsidR="000403F6">
        <w:rPr>
          <w:rStyle w:val="FootnoteReference"/>
        </w:rPr>
        <w:footnoteReference w:id="11"/>
      </w:r>
    </w:p>
    <w:p w:rsidR="008E7846" w:rsidRPr="00F02C1E" w:rsidRDefault="008E7846" w:rsidP="00F02C1E">
      <w:pPr>
        <w:pStyle w:val="Heading3"/>
      </w:pPr>
      <w:bookmarkStart w:id="84" w:name="_Toc466986537"/>
      <w:r w:rsidRPr="00F02C1E">
        <w:t>Pharmacokinetics</w:t>
      </w:r>
      <w:bookmarkEnd w:id="73"/>
      <w:bookmarkEnd w:id="80"/>
      <w:bookmarkEnd w:id="81"/>
      <w:bookmarkEnd w:id="82"/>
      <w:bookmarkEnd w:id="84"/>
    </w:p>
    <w:p w:rsidR="00605AD4" w:rsidRPr="00F02C1E" w:rsidRDefault="00605AD4" w:rsidP="00F02C1E">
      <w:pPr>
        <w:pStyle w:val="Heading4"/>
      </w:pPr>
      <w:r w:rsidRPr="00F02C1E">
        <w:t>Studies</w:t>
      </w:r>
      <w:r w:rsidR="00AA4302" w:rsidRPr="00F02C1E">
        <w:t xml:space="preserve"> providing pharmacokinetic data</w:t>
      </w:r>
    </w:p>
    <w:p w:rsidR="00B06E3D" w:rsidRPr="00F02C1E" w:rsidRDefault="0067312A" w:rsidP="00F02C1E">
      <w:r w:rsidRPr="00F02C1E">
        <w:t>Table 5</w:t>
      </w:r>
      <w:r w:rsidR="00B06E3D" w:rsidRPr="00F02C1E">
        <w:t xml:space="preserve"> below shows the studies relating to each pharmacokinetic topic.</w:t>
      </w:r>
    </w:p>
    <w:p w:rsidR="00B06E3D" w:rsidRPr="00F02C1E" w:rsidRDefault="00B06E3D" w:rsidP="00F02C1E">
      <w:pPr>
        <w:pStyle w:val="TableTitle"/>
      </w:pPr>
      <w:bookmarkStart w:id="85" w:name="_Ref272426277"/>
      <w:bookmarkStart w:id="86" w:name="_Toc410371879"/>
      <w:bookmarkStart w:id="87" w:name="_Toc300307733"/>
      <w:proofErr w:type="gramStart"/>
      <w:r w:rsidRPr="00F02C1E">
        <w:t xml:space="preserve">Table </w:t>
      </w:r>
      <w:bookmarkEnd w:id="85"/>
      <w:r w:rsidR="00F5364C">
        <w:t>6</w:t>
      </w:r>
      <w:r w:rsidR="003818B7">
        <w:t>.</w:t>
      </w:r>
      <w:proofErr w:type="gramEnd"/>
      <w:r w:rsidRPr="00F02C1E">
        <w:t xml:space="preserve"> Submitted pharmacokinetic studies</w:t>
      </w:r>
      <w:bookmarkEnd w:id="86"/>
      <w:bookmarkEnd w:id="87"/>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1986"/>
        <w:gridCol w:w="1418"/>
        <w:gridCol w:w="3120"/>
      </w:tblGrid>
      <w:tr w:rsidR="00424B91" w:rsidRPr="00F93A87" w:rsidTr="004C0905">
        <w:trPr>
          <w:trHeight w:val="462"/>
          <w:tblHeader/>
        </w:trPr>
        <w:tc>
          <w:tcPr>
            <w:tcW w:w="1384" w:type="dxa"/>
            <w:tcBorders>
              <w:top w:val="single" w:sz="8" w:space="0" w:color="000000"/>
              <w:left w:val="single" w:sz="8" w:space="0" w:color="000000"/>
              <w:bottom w:val="single" w:sz="8" w:space="0" w:color="000000"/>
              <w:right w:val="nil"/>
              <w:tl2br w:val="nil"/>
              <w:tr2bl w:val="nil"/>
            </w:tcBorders>
            <w:shd w:val="clear" w:color="auto" w:fill="006DA7"/>
            <w:hideMark/>
          </w:tcPr>
          <w:p w:rsidR="0067312A" w:rsidRPr="00F93A87" w:rsidRDefault="0067312A" w:rsidP="004C0905">
            <w:pPr>
              <w:keepNext/>
              <w:rPr>
                <w:b/>
                <w:color w:val="FFFFFF"/>
                <w:lang w:eastAsia="en-AU"/>
              </w:rPr>
            </w:pPr>
            <w:r w:rsidRPr="00F93A87">
              <w:rPr>
                <w:b/>
                <w:color w:val="FFFFFF"/>
                <w:lang w:eastAsia="en-AU"/>
              </w:rPr>
              <w:t>PK topic</w:t>
            </w:r>
          </w:p>
        </w:tc>
        <w:tc>
          <w:tcPr>
            <w:tcW w:w="1986" w:type="dxa"/>
            <w:tcBorders>
              <w:top w:val="single" w:sz="8" w:space="0" w:color="000000"/>
              <w:left w:val="nil"/>
              <w:bottom w:val="single" w:sz="8" w:space="0" w:color="000000"/>
              <w:right w:val="nil"/>
              <w:tl2br w:val="nil"/>
              <w:tr2bl w:val="nil"/>
            </w:tcBorders>
            <w:shd w:val="clear" w:color="auto" w:fill="006DA7"/>
            <w:hideMark/>
          </w:tcPr>
          <w:p w:rsidR="0067312A" w:rsidRPr="00F93A87" w:rsidRDefault="0067312A" w:rsidP="004C0905">
            <w:pPr>
              <w:keepNext/>
              <w:rPr>
                <w:b/>
                <w:color w:val="FFFFFF"/>
                <w:lang w:eastAsia="en-AU"/>
              </w:rPr>
            </w:pPr>
            <w:r w:rsidRPr="00F93A87">
              <w:rPr>
                <w:b/>
                <w:color w:val="FFFFFF"/>
                <w:lang w:eastAsia="en-AU"/>
              </w:rPr>
              <w:t>Subtopic</w:t>
            </w:r>
          </w:p>
        </w:tc>
        <w:tc>
          <w:tcPr>
            <w:tcW w:w="1418" w:type="dxa"/>
            <w:tcBorders>
              <w:top w:val="single" w:sz="8" w:space="0" w:color="000000"/>
              <w:left w:val="nil"/>
              <w:bottom w:val="single" w:sz="8" w:space="0" w:color="000000"/>
              <w:right w:val="nil"/>
              <w:tl2br w:val="nil"/>
              <w:tr2bl w:val="nil"/>
            </w:tcBorders>
            <w:shd w:val="clear" w:color="auto" w:fill="006DA7"/>
            <w:hideMark/>
          </w:tcPr>
          <w:p w:rsidR="0067312A" w:rsidRPr="00F93A87" w:rsidRDefault="0067312A" w:rsidP="004C0905">
            <w:pPr>
              <w:keepNext/>
              <w:rPr>
                <w:b/>
                <w:color w:val="FFFFFF"/>
                <w:lang w:eastAsia="en-AU"/>
              </w:rPr>
            </w:pPr>
            <w:r w:rsidRPr="00F93A87">
              <w:rPr>
                <w:b/>
                <w:color w:val="FFFFFF"/>
                <w:lang w:eastAsia="en-AU"/>
              </w:rPr>
              <w:t>Study ID</w:t>
            </w:r>
          </w:p>
        </w:tc>
        <w:tc>
          <w:tcPr>
            <w:tcW w:w="3120" w:type="dxa"/>
            <w:tcBorders>
              <w:top w:val="single" w:sz="8" w:space="0" w:color="000000"/>
              <w:left w:val="nil"/>
              <w:bottom w:val="single" w:sz="8" w:space="0" w:color="000000"/>
              <w:right w:val="single" w:sz="8" w:space="0" w:color="000000"/>
              <w:tl2br w:val="nil"/>
              <w:tr2bl w:val="nil"/>
            </w:tcBorders>
            <w:shd w:val="clear" w:color="auto" w:fill="006DA7"/>
            <w:hideMark/>
          </w:tcPr>
          <w:p w:rsidR="0067312A" w:rsidRPr="00F93A87" w:rsidRDefault="0067312A" w:rsidP="004C0905">
            <w:pPr>
              <w:keepNext/>
              <w:rPr>
                <w:b/>
                <w:color w:val="FFFFFF"/>
                <w:lang w:eastAsia="en-AU"/>
              </w:rPr>
            </w:pPr>
            <w:r w:rsidRPr="00F93A87">
              <w:rPr>
                <w:b/>
                <w:color w:val="FFFFFF"/>
                <w:lang w:eastAsia="en-AU"/>
              </w:rPr>
              <w:t>*</w:t>
            </w:r>
          </w:p>
        </w:tc>
      </w:tr>
      <w:tr w:rsidR="00424B91" w:rsidRPr="00F93A87" w:rsidTr="004C0905">
        <w:tc>
          <w:tcPr>
            <w:tcW w:w="1384" w:type="dxa"/>
            <w:vMerge w:val="restart"/>
            <w:shd w:val="clear" w:color="auto" w:fill="auto"/>
          </w:tcPr>
          <w:p w:rsidR="0067312A" w:rsidRPr="00F93A87" w:rsidRDefault="0067312A" w:rsidP="000403F6">
            <w:pPr>
              <w:rPr>
                <w:color w:val="000000"/>
                <w:lang w:eastAsia="en-AU"/>
              </w:rPr>
            </w:pPr>
            <w:r w:rsidRPr="00F93A87">
              <w:rPr>
                <w:color w:val="000000"/>
                <w:lang w:eastAsia="en-AU"/>
              </w:rPr>
              <w:t>PK in healthy adults</w:t>
            </w:r>
          </w:p>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Bioequivalence† - Single dose</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NETU-11-02</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BE of late Phase 1 and Phase 3 FDC</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tcPr>
          <w:p w:rsidR="0067312A" w:rsidRPr="00F93A87" w:rsidRDefault="0067312A" w:rsidP="000403F6">
            <w:pPr>
              <w:rPr>
                <w:color w:val="000000"/>
                <w:lang w:eastAsia="en-AU"/>
              </w:rPr>
            </w:pP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NETU-09-07</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BE of FDC and free combination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tcPr>
          <w:p w:rsidR="0067312A" w:rsidRPr="00F93A87" w:rsidRDefault="0067312A" w:rsidP="000403F6">
            <w:pPr>
              <w:rPr>
                <w:color w:val="000000"/>
                <w:lang w:eastAsia="en-AU"/>
              </w:rPr>
            </w:pP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NETU-08-12</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BE of formulations u</w:t>
            </w:r>
            <w:r w:rsidR="003818B7" w:rsidRPr="00F93A87">
              <w:rPr>
                <w:color w:val="000000"/>
                <w:lang w:eastAsia="en-AU"/>
              </w:rPr>
              <w:t>tilised during drug development</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Bioavailability</w:t>
            </w:r>
            <w:r w:rsidR="003802E6" w:rsidRPr="00F93A87">
              <w:rPr>
                <w:color w:val="000000"/>
                <w:lang w:eastAsia="en-AU"/>
              </w:rPr>
              <w:t xml:space="preserve"> (BA)</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BP17408</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 xml:space="preserve">BA of two netupitant forms with </w:t>
            </w:r>
            <w:r w:rsidR="000403F6" w:rsidRPr="00F93A87">
              <w:rPr>
                <w:color w:val="000000"/>
                <w:lang w:eastAsia="en-AU"/>
              </w:rPr>
              <w:t>and</w:t>
            </w:r>
            <w:r w:rsidRPr="00F93A87">
              <w:rPr>
                <w:color w:val="000000"/>
                <w:lang w:eastAsia="en-AU"/>
              </w:rPr>
              <w:t xml:space="preserve"> without food.</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tcPr>
          <w:p w:rsidR="0067312A" w:rsidRPr="00F93A87" w:rsidRDefault="0067312A" w:rsidP="000403F6">
            <w:pPr>
              <w:rPr>
                <w:color w:val="000000"/>
                <w:lang w:eastAsia="en-AU"/>
              </w:rPr>
            </w:pP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NETU-11-23</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BA of netupitant administered as three FDC forms</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Influence of food</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NETU-10-12</w:t>
            </w:r>
          </w:p>
        </w:tc>
        <w:tc>
          <w:tcPr>
            <w:tcW w:w="3120" w:type="dxa"/>
            <w:shd w:val="clear" w:color="auto" w:fill="auto"/>
            <w:hideMark/>
          </w:tcPr>
          <w:p w:rsidR="0067312A" w:rsidRPr="00F93A87" w:rsidRDefault="003818B7" w:rsidP="000403F6">
            <w:pPr>
              <w:rPr>
                <w:color w:val="000000"/>
                <w:lang w:eastAsia="en-AU"/>
              </w:rPr>
            </w:pPr>
            <w:r w:rsidRPr="00F93A87">
              <w:rPr>
                <w:color w:val="000000"/>
                <w:lang w:eastAsia="en-AU"/>
              </w:rPr>
              <w:t>Effect of food and age on FDC</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tcPr>
          <w:p w:rsidR="0067312A" w:rsidRPr="00F93A87" w:rsidRDefault="0067312A" w:rsidP="000403F6">
            <w:pPr>
              <w:rPr>
                <w:color w:val="000000"/>
                <w:lang w:eastAsia="en-AU"/>
              </w:rPr>
            </w:pP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NP16600</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Effects of food and age on netupitant</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Dose proportionality</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NP16603</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Single ascending doses of netupitant</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Bioavailability during multiple-</w:t>
            </w:r>
            <w:r w:rsidRPr="00F93A87">
              <w:rPr>
                <w:color w:val="000000"/>
                <w:lang w:eastAsia="en-AU"/>
              </w:rPr>
              <w:lastRenderedPageBreak/>
              <w:t>dosing</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lastRenderedPageBreak/>
              <w:t>NP16601</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Multiple ascending doses of netupitant</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ADME</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NETU-09-21</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Mass balance</w:t>
            </w:r>
          </w:p>
        </w:tc>
      </w:tr>
      <w:tr w:rsidR="00424B91" w:rsidRPr="00F93A87" w:rsidTr="004C0905">
        <w:tc>
          <w:tcPr>
            <w:tcW w:w="1384" w:type="dxa"/>
            <w:vMerge w:val="restart"/>
            <w:shd w:val="clear" w:color="auto" w:fill="auto"/>
            <w:hideMark/>
          </w:tcPr>
          <w:p w:rsidR="0067312A" w:rsidRPr="00F93A87" w:rsidRDefault="0067312A" w:rsidP="000403F6">
            <w:pPr>
              <w:rPr>
                <w:color w:val="000000"/>
                <w:lang w:eastAsia="en-AU"/>
              </w:rPr>
            </w:pPr>
            <w:r w:rsidRPr="00F93A87">
              <w:rPr>
                <w:color w:val="000000"/>
                <w:lang w:eastAsia="en-AU"/>
              </w:rPr>
              <w:t>PK in special populations</w:t>
            </w: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Target population</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NETU-10-02</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PPK/PPD</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Hepatic impairment</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NETU-10-10</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Effect of hepatic impairment on PK of FDC</w:t>
            </w:r>
          </w:p>
        </w:tc>
      </w:tr>
      <w:tr w:rsidR="00424B91" w:rsidRPr="00F93A87" w:rsidTr="004C0905">
        <w:tc>
          <w:tcPr>
            <w:tcW w:w="1384" w:type="dxa"/>
            <w:vMerge w:val="restart"/>
            <w:shd w:val="clear" w:color="auto" w:fill="auto"/>
            <w:hideMark/>
          </w:tcPr>
          <w:p w:rsidR="0067312A" w:rsidRPr="00F93A87" w:rsidRDefault="0067312A" w:rsidP="000403F6">
            <w:pPr>
              <w:rPr>
                <w:color w:val="000000"/>
                <w:lang w:eastAsia="en-AU"/>
              </w:rPr>
            </w:pPr>
            <w:r w:rsidRPr="00F93A87">
              <w:rPr>
                <w:color w:val="000000"/>
                <w:lang w:eastAsia="en-AU"/>
              </w:rPr>
              <w:t>PK interactions</w:t>
            </w:r>
          </w:p>
        </w:tc>
        <w:tc>
          <w:tcPr>
            <w:tcW w:w="1986" w:type="dxa"/>
            <w:shd w:val="clear" w:color="auto" w:fill="auto"/>
            <w:hideMark/>
          </w:tcPr>
          <w:p w:rsidR="0067312A" w:rsidRPr="00F93A87" w:rsidRDefault="000403F6" w:rsidP="000403F6">
            <w:pPr>
              <w:rPr>
                <w:color w:val="000000"/>
                <w:lang w:eastAsia="en-AU"/>
              </w:rPr>
            </w:pPr>
            <w:r w:rsidRPr="00F93A87">
              <w:rPr>
                <w:color w:val="000000"/>
                <w:lang w:eastAsia="en-AU"/>
              </w:rPr>
              <w:t xml:space="preserve">CYP3A4 </w:t>
            </w:r>
            <w:r w:rsidR="0067312A" w:rsidRPr="00F93A87">
              <w:rPr>
                <w:color w:val="000000"/>
                <w:lang w:eastAsia="en-AU"/>
              </w:rPr>
              <w:t>inhibitor and inducer</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NETU-10-11</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 xml:space="preserve">PK FDC in presence of ketoconazole </w:t>
            </w:r>
            <w:r w:rsidR="000403F6" w:rsidRPr="00F93A87">
              <w:rPr>
                <w:color w:val="000000"/>
                <w:lang w:eastAsia="en-AU"/>
              </w:rPr>
              <w:t>and</w:t>
            </w:r>
            <w:r w:rsidRPr="00F93A87">
              <w:rPr>
                <w:color w:val="000000"/>
                <w:lang w:eastAsia="en-AU"/>
              </w:rPr>
              <w:t xml:space="preserve"> rifampicin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CYP3A4 substrates</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NP16599</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Effect of netupitant on the PKs of midazolam and erythromycin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Components of FDC</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NETU-06-06</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Netupitant with palonosetron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tcPr>
          <w:p w:rsidR="0067312A" w:rsidRPr="00F93A87" w:rsidRDefault="0067312A" w:rsidP="000403F6">
            <w:pPr>
              <w:rPr>
                <w:color w:val="000000"/>
                <w:lang w:eastAsia="en-AU"/>
              </w:rPr>
            </w:pP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NETU-06-27</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Netupitant with palonosetron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Netupitant versus dexamethasone</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NETU-06-07</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Examine the effects of netupitant on dexamethasone PK</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Netupitant with oral digoxin</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NETU-07-01</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Effects of netupitant on the PKs of steady-state digoxin</w:t>
            </w:r>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67312A" w:rsidP="000403F6">
            <w:pPr>
              <w:rPr>
                <w:color w:val="000000"/>
                <w:lang w:eastAsia="en-AU"/>
              </w:rPr>
            </w:pPr>
            <w:r w:rsidRPr="00F93A87">
              <w:rPr>
                <w:color w:val="000000"/>
                <w:lang w:eastAsia="en-AU"/>
              </w:rPr>
              <w:t>FDC and oral contraceptives</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NETU-10-08</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 xml:space="preserve">Effect of FDC on the PK of </w:t>
            </w:r>
            <w:proofErr w:type="spellStart"/>
            <w:r w:rsidRPr="00F93A87">
              <w:rPr>
                <w:color w:val="000000"/>
                <w:lang w:eastAsia="en-AU"/>
              </w:rPr>
              <w:t>ethi</w:t>
            </w:r>
            <w:r w:rsidR="003818B7" w:rsidRPr="00F93A87">
              <w:rPr>
                <w:color w:val="000000"/>
                <w:lang w:eastAsia="en-AU"/>
              </w:rPr>
              <w:t>nylestradiol</w:t>
            </w:r>
            <w:proofErr w:type="spellEnd"/>
            <w:r w:rsidR="003818B7" w:rsidRPr="00F93A87">
              <w:rPr>
                <w:color w:val="000000"/>
                <w:lang w:eastAsia="en-AU"/>
              </w:rPr>
              <w:t xml:space="preserve"> and </w:t>
            </w:r>
            <w:proofErr w:type="spellStart"/>
            <w:r w:rsidR="003818B7" w:rsidRPr="00F93A87">
              <w:rPr>
                <w:color w:val="000000"/>
                <w:lang w:eastAsia="en-AU"/>
              </w:rPr>
              <w:t>levonorgestrel</w:t>
            </w:r>
            <w:proofErr w:type="spellEnd"/>
          </w:p>
        </w:tc>
      </w:tr>
      <w:tr w:rsidR="00424B91" w:rsidRPr="00F93A87" w:rsidTr="004C0905">
        <w:tc>
          <w:tcPr>
            <w:tcW w:w="1384" w:type="dxa"/>
            <w:vMerge/>
            <w:shd w:val="clear" w:color="auto" w:fill="auto"/>
            <w:hideMark/>
          </w:tcPr>
          <w:p w:rsidR="0067312A" w:rsidRPr="00F93A87" w:rsidRDefault="0067312A" w:rsidP="000403F6">
            <w:pPr>
              <w:rPr>
                <w:color w:val="000000"/>
                <w:lang w:eastAsia="en-AU"/>
              </w:rPr>
            </w:pPr>
          </w:p>
        </w:tc>
        <w:tc>
          <w:tcPr>
            <w:tcW w:w="1986" w:type="dxa"/>
            <w:shd w:val="clear" w:color="auto" w:fill="auto"/>
            <w:hideMark/>
          </w:tcPr>
          <w:p w:rsidR="0067312A" w:rsidRPr="00F93A87" w:rsidRDefault="000403F6" w:rsidP="000403F6">
            <w:pPr>
              <w:rPr>
                <w:color w:val="000000"/>
                <w:lang w:eastAsia="en-AU"/>
              </w:rPr>
            </w:pPr>
            <w:r w:rsidRPr="00F93A87">
              <w:rPr>
                <w:color w:val="000000"/>
                <w:lang w:eastAsia="en-AU"/>
              </w:rPr>
              <w:t xml:space="preserve">Chemotherapy drug </w:t>
            </w:r>
            <w:r w:rsidR="0067312A" w:rsidRPr="00F93A87">
              <w:rPr>
                <w:color w:val="000000"/>
                <w:lang w:eastAsia="en-AU"/>
              </w:rPr>
              <w:t>interactions in cancer</w:t>
            </w:r>
          </w:p>
        </w:tc>
        <w:tc>
          <w:tcPr>
            <w:tcW w:w="1418" w:type="dxa"/>
            <w:shd w:val="clear" w:color="auto" w:fill="auto"/>
            <w:hideMark/>
          </w:tcPr>
          <w:p w:rsidR="0067312A" w:rsidRPr="00F93A87" w:rsidRDefault="0067312A" w:rsidP="000403F6">
            <w:pPr>
              <w:rPr>
                <w:color w:val="000000"/>
                <w:lang w:eastAsia="en-AU"/>
              </w:rPr>
            </w:pPr>
            <w:r w:rsidRPr="00F93A87">
              <w:rPr>
                <w:color w:val="000000"/>
                <w:lang w:eastAsia="en-AU"/>
              </w:rPr>
              <w:t>NETU-10-09</w:t>
            </w:r>
          </w:p>
        </w:tc>
        <w:tc>
          <w:tcPr>
            <w:tcW w:w="3120" w:type="dxa"/>
            <w:shd w:val="clear" w:color="auto" w:fill="auto"/>
            <w:hideMark/>
          </w:tcPr>
          <w:p w:rsidR="0067312A" w:rsidRPr="00F93A87" w:rsidRDefault="0067312A" w:rsidP="000403F6">
            <w:pPr>
              <w:rPr>
                <w:color w:val="000000"/>
                <w:lang w:eastAsia="en-AU"/>
              </w:rPr>
            </w:pPr>
            <w:r w:rsidRPr="00F93A87">
              <w:rPr>
                <w:color w:val="000000"/>
                <w:lang w:eastAsia="en-AU"/>
              </w:rPr>
              <w:t>Effects of netupitant on the PK profile of 3 di</w:t>
            </w:r>
            <w:r w:rsidR="003818B7" w:rsidRPr="00F93A87">
              <w:rPr>
                <w:color w:val="000000"/>
                <w:lang w:eastAsia="en-AU"/>
              </w:rPr>
              <w:t>fferent chemotherapeutic agents</w:t>
            </w:r>
          </w:p>
        </w:tc>
      </w:tr>
    </w:tbl>
    <w:p w:rsidR="00B06E3D" w:rsidRPr="00B361E8" w:rsidRDefault="00F02C1E" w:rsidP="00F02C1E">
      <w:pPr>
        <w:pStyle w:val="TableDescription"/>
      </w:pPr>
      <w:r>
        <w:t xml:space="preserve">BA – Bioavailability BE – Bioequivalence </w:t>
      </w:r>
      <w:r w:rsidR="00B06E3D" w:rsidRPr="00B361E8">
        <w:t>* Indicate</w:t>
      </w:r>
      <w:r>
        <w:t xml:space="preserve">s the primary aim of the study. </w:t>
      </w:r>
      <w:r w:rsidR="00B06E3D" w:rsidRPr="00B361E8">
        <w:t>† Bioequival</w:t>
      </w:r>
      <w:r>
        <w:t xml:space="preserve">ence of different formulations. </w:t>
      </w:r>
      <w:r w:rsidR="00B06E3D" w:rsidRPr="00B361E8">
        <w:t>§ Subjects who would be eligible to receive the drug if approved for the proposed indication.</w:t>
      </w:r>
    </w:p>
    <w:p w:rsidR="0022738F" w:rsidRPr="00F02C1E" w:rsidRDefault="00B06E3D" w:rsidP="00F02C1E">
      <w:r w:rsidRPr="00F02C1E">
        <w:t>None of the pharmacokinetic studies had deficiencies that excluded th</w:t>
      </w:r>
      <w:r w:rsidR="00CE4F19" w:rsidRPr="00F02C1E">
        <w:t>eir results from consideration.</w:t>
      </w:r>
    </w:p>
    <w:p w:rsidR="00605AD4" w:rsidRPr="0022738F" w:rsidRDefault="0074709C" w:rsidP="00F02C1E">
      <w:pPr>
        <w:pStyle w:val="Heading4"/>
      </w:pPr>
      <w:r w:rsidRPr="0022738F">
        <w:t>E</w:t>
      </w:r>
      <w:r w:rsidR="00142EBA" w:rsidRPr="0022738F">
        <w:t>valuator</w:t>
      </w:r>
      <w:r w:rsidR="00605AD4" w:rsidRPr="0022738F">
        <w:t>’s conclusions on pharmacokinetics</w:t>
      </w:r>
    </w:p>
    <w:p w:rsidR="00CE4F19" w:rsidRPr="00CE4F19" w:rsidRDefault="00CE4F19" w:rsidP="00C01898">
      <w:pPr>
        <w:pStyle w:val="Heading5"/>
      </w:pPr>
      <w:r w:rsidRPr="00CE4F19">
        <w:t>Absorption/Distribution/Metabolism/Excretion (</w:t>
      </w:r>
      <w:r w:rsidR="00B06E3D" w:rsidRPr="00CE4F19">
        <w:t>ADME</w:t>
      </w:r>
      <w:r w:rsidRPr="00CE4F19">
        <w:t>)</w:t>
      </w:r>
    </w:p>
    <w:p w:rsidR="00B06E3D" w:rsidRPr="00C01898" w:rsidRDefault="00B06E3D" w:rsidP="00C01898">
      <w:r w:rsidRPr="00C01898">
        <w:t xml:space="preserve">Following administration of the proposed commercial FDC (300 </w:t>
      </w:r>
      <w:r w:rsidR="00B361E8" w:rsidRPr="00C01898">
        <w:t>mg/0.5</w:t>
      </w:r>
      <w:r w:rsidRPr="00C01898">
        <w:t xml:space="preserve"> mg) to healthy subjects the </w:t>
      </w:r>
      <w:proofErr w:type="spellStart"/>
      <w:r w:rsidR="0018634D" w:rsidRPr="005B2EAC">
        <w:t>C</w:t>
      </w:r>
      <w:r w:rsidR="0018634D" w:rsidRPr="0018634D">
        <w:rPr>
          <w:vertAlign w:val="subscript"/>
        </w:rPr>
        <w:t>max</w:t>
      </w:r>
      <w:proofErr w:type="spellEnd"/>
      <w:r w:rsidR="00FC7166" w:rsidRPr="00C01898">
        <w:t xml:space="preserve"> </w:t>
      </w:r>
      <w:r w:rsidR="000403F6" w:rsidRPr="00C01898">
        <w:t>AUC</w:t>
      </w:r>
      <w:r w:rsidR="000403F6" w:rsidRPr="000403F6">
        <w:rPr>
          <w:vertAlign w:val="subscript"/>
        </w:rPr>
        <w:t>0-∞</w:t>
      </w:r>
      <w:r w:rsidRPr="00C01898">
        <w:t xml:space="preserve">, </w:t>
      </w:r>
      <w:proofErr w:type="spellStart"/>
      <w:r w:rsidR="000403F6" w:rsidRPr="00C01898">
        <w:t>T</w:t>
      </w:r>
      <w:r w:rsidR="000403F6" w:rsidRPr="000403F6">
        <w:rPr>
          <w:vertAlign w:val="subscript"/>
        </w:rPr>
        <w:t>max</w:t>
      </w:r>
      <w:proofErr w:type="spellEnd"/>
      <w:r w:rsidRPr="00C01898">
        <w:t xml:space="preserve"> and </w:t>
      </w:r>
      <w:r w:rsidR="00B67F7F">
        <w:t>half-life</w:t>
      </w:r>
      <w:r w:rsidR="00B67F7F" w:rsidRPr="00C01898">
        <w:t xml:space="preserve"> </w:t>
      </w:r>
      <w:r w:rsidR="00B67F7F">
        <w:t>(</w:t>
      </w:r>
      <w:r w:rsidR="003818B7" w:rsidRPr="00C01898">
        <w:t>t</w:t>
      </w:r>
      <w:r w:rsidR="003818B7">
        <w:t>½</w:t>
      </w:r>
      <w:r w:rsidR="00B67F7F">
        <w:t>)</w:t>
      </w:r>
      <w:r w:rsidRPr="00C01898">
        <w:t xml:space="preserve"> values for </w:t>
      </w:r>
      <w:proofErr w:type="spellStart"/>
      <w:r w:rsidRPr="00C01898">
        <w:t>netupitant</w:t>
      </w:r>
      <w:proofErr w:type="spellEnd"/>
      <w:r w:rsidRPr="00C01898">
        <w:t xml:space="preserve"> were 453 ng/mL, </w:t>
      </w:r>
      <w:proofErr w:type="gramStart"/>
      <w:r w:rsidRPr="00C01898">
        <w:t>13</w:t>
      </w:r>
      <w:r w:rsidR="000403F6">
        <w:t>,862 </w:t>
      </w:r>
      <w:proofErr w:type="spellStart"/>
      <w:r w:rsidRPr="00C01898">
        <w:t>ng.h</w:t>
      </w:r>
      <w:proofErr w:type="spellEnd"/>
      <w:r w:rsidRPr="00C01898">
        <w:t>/mL,</w:t>
      </w:r>
      <w:proofErr w:type="gramEnd"/>
      <w:r w:rsidRPr="00C01898">
        <w:t xml:space="preserve"> 5.00</w:t>
      </w:r>
      <w:r w:rsidR="009B02FF">
        <w:t xml:space="preserve"> hours </w:t>
      </w:r>
      <w:r w:rsidRPr="00C01898">
        <w:t>and 76.62 h, respectively, and for palonosetron component were: 1271 ng/mL, 48</w:t>
      </w:r>
      <w:r w:rsidR="000403F6">
        <w:t>,</w:t>
      </w:r>
      <w:r w:rsidRPr="00C01898">
        <w:t xml:space="preserve">165 </w:t>
      </w:r>
      <w:proofErr w:type="spellStart"/>
      <w:r w:rsidRPr="00C01898">
        <w:t>ng.h</w:t>
      </w:r>
      <w:proofErr w:type="spellEnd"/>
      <w:r w:rsidRPr="00C01898">
        <w:t>/mL, 3.00</w:t>
      </w:r>
      <w:r w:rsidR="009B02FF">
        <w:t xml:space="preserve"> hours </w:t>
      </w:r>
      <w:r w:rsidRPr="00C01898">
        <w:t>and 37.22 h</w:t>
      </w:r>
      <w:r w:rsidR="000403F6">
        <w:t>ours</w:t>
      </w:r>
      <w:r w:rsidRPr="00C01898">
        <w:t>, respectively.</w:t>
      </w:r>
    </w:p>
    <w:p w:rsidR="00B06E3D" w:rsidRPr="00C01898" w:rsidRDefault="00B06E3D" w:rsidP="00C01898">
      <w:r w:rsidRPr="00C01898">
        <w:t xml:space="preserve">Absolute netupitant bioavailability data are not available in </w:t>
      </w:r>
      <w:r w:rsidR="000403F6" w:rsidRPr="00C01898">
        <w:t>humans;</w:t>
      </w:r>
      <w:r w:rsidRPr="00C01898">
        <w:t xml:space="preserve"> however, it is thought to be greater than 60</w:t>
      </w:r>
      <w:r w:rsidR="00764D2D" w:rsidRPr="00C01898">
        <w:t>%</w:t>
      </w:r>
      <w:r w:rsidRPr="00C01898">
        <w:t xml:space="preserve">. The EPAR PI for </w:t>
      </w:r>
      <w:proofErr w:type="spellStart"/>
      <w:r w:rsidR="00E31465" w:rsidRPr="00C01898">
        <w:t>Aloxi</w:t>
      </w:r>
      <w:proofErr w:type="spellEnd"/>
      <w:r w:rsidRPr="00C01898">
        <w:t xml:space="preserve"> 500 µg soft capsules indicates that palonosetron has an absolute bioavailability of 97</w:t>
      </w:r>
      <w:r w:rsidR="00764D2D" w:rsidRPr="00C01898">
        <w:t>%</w:t>
      </w:r>
      <w:r w:rsidRPr="00C01898">
        <w:t>.</w:t>
      </w:r>
    </w:p>
    <w:p w:rsidR="00B06E3D" w:rsidRPr="00C01898" w:rsidRDefault="0078548B" w:rsidP="00C01898">
      <w:r w:rsidRPr="00C01898">
        <w:t>A bridging study of late Phase I and Phase III</w:t>
      </w:r>
      <w:r w:rsidR="00B06E3D" w:rsidRPr="00C01898">
        <w:t xml:space="preserve"> FDC formulations with the proposed commercial FDC indicated that the formulations were bioequivalent. The FDC and fr</w:t>
      </w:r>
      <w:r w:rsidR="000403F6">
        <w:t>ee combination of netupitant 2 times</w:t>
      </w:r>
      <w:r w:rsidR="00B06E3D" w:rsidRPr="00C01898">
        <w:t xml:space="preserve"> 150 mg capsules and palonosetron 0.50 mg were </w:t>
      </w:r>
      <w:r w:rsidR="00B06E3D" w:rsidRPr="00C01898">
        <w:lastRenderedPageBreak/>
        <w:t xml:space="preserve">bioequivalent. The </w:t>
      </w:r>
      <w:r w:rsidR="00FC7166" w:rsidRPr="00C01898">
        <w:t xml:space="preserve">surfactant sodium </w:t>
      </w:r>
      <w:proofErr w:type="spellStart"/>
      <w:r w:rsidR="00FC7166" w:rsidRPr="00C01898">
        <w:t>dodecylsulfate</w:t>
      </w:r>
      <w:proofErr w:type="spellEnd"/>
      <w:r w:rsidR="00FC7166" w:rsidRPr="00C01898">
        <w:t xml:space="preserve"> (</w:t>
      </w:r>
      <w:r w:rsidR="00B06E3D" w:rsidRPr="00C01898">
        <w:t>SDS</w:t>
      </w:r>
      <w:r w:rsidR="00FC7166" w:rsidRPr="00C01898">
        <w:t>)</w:t>
      </w:r>
      <w:r w:rsidR="00B06E3D" w:rsidRPr="00C01898">
        <w:t xml:space="preserve"> and </w:t>
      </w:r>
      <w:r w:rsidR="00FC7166" w:rsidRPr="00C01898">
        <w:t xml:space="preserve">sucrose </w:t>
      </w:r>
      <w:proofErr w:type="spellStart"/>
      <w:r w:rsidR="00FC7166" w:rsidRPr="00C01898">
        <w:t>lauric</w:t>
      </w:r>
      <w:proofErr w:type="spellEnd"/>
      <w:r w:rsidR="00FC7166" w:rsidRPr="00C01898">
        <w:t xml:space="preserve"> ester (SE) </w:t>
      </w:r>
      <w:r w:rsidR="00B06E3D" w:rsidRPr="00C01898">
        <w:t>formulations of netupitant were bioequivalent.</w:t>
      </w:r>
    </w:p>
    <w:p w:rsidR="00B06E3D" w:rsidRPr="00C01898" w:rsidRDefault="00B06E3D" w:rsidP="00C01898">
      <w:r w:rsidRPr="00C01898">
        <w:t>As netupitant has not been previously approved for marketing there are no relevant registered products for this component of the FDC, whereas, the palonosetron component of the FDC is similar to but not identical with the capsule formulation currently approved for use in Europe. It should be noted that only palonosetron IV is approved for use in Australia.</w:t>
      </w:r>
    </w:p>
    <w:p w:rsidR="00B06E3D" w:rsidRPr="00C01898" w:rsidRDefault="00B06E3D" w:rsidP="00C01898">
      <w:r w:rsidRPr="00C01898">
        <w:t xml:space="preserve">Administration of the FDC following a high fat breakfast increased the </w:t>
      </w:r>
      <w:proofErr w:type="spellStart"/>
      <w:r w:rsidR="0018634D" w:rsidRPr="005B2EAC">
        <w:t>C</w:t>
      </w:r>
      <w:r w:rsidR="0018634D" w:rsidRPr="0018634D">
        <w:rPr>
          <w:vertAlign w:val="subscript"/>
        </w:rPr>
        <w:t>max</w:t>
      </w:r>
      <w:proofErr w:type="spellEnd"/>
      <w:r w:rsidRPr="00C01898">
        <w:t xml:space="preserve"> and </w:t>
      </w:r>
      <w:proofErr w:type="spellStart"/>
      <w:r w:rsidR="00B765DE" w:rsidRPr="00C01898">
        <w:t>AUC</w:t>
      </w:r>
      <w:r w:rsidR="00B765DE" w:rsidRPr="00B765DE">
        <w:rPr>
          <w:vertAlign w:val="subscript"/>
        </w:rPr>
        <w:t>inf</w:t>
      </w:r>
      <w:proofErr w:type="spellEnd"/>
      <w:r w:rsidRPr="00C01898">
        <w:t xml:space="preserve"> values of netupitant by </w:t>
      </w:r>
      <w:r w:rsidR="0078548B" w:rsidRPr="00C01898">
        <w:t xml:space="preserve">1.18 fold and 1.16 </w:t>
      </w:r>
      <w:r w:rsidRPr="00C01898">
        <w:t>fold, respectively, compared to when the FDC was administered in the fasted state. By contr</w:t>
      </w:r>
      <w:r w:rsidR="00CE0692">
        <w:t>ast, food did not affect the PK</w:t>
      </w:r>
      <w:r w:rsidRPr="00C01898">
        <w:t xml:space="preserve"> of palonosetron. Other studies indicated that the </w:t>
      </w:r>
      <w:proofErr w:type="spellStart"/>
      <w:r w:rsidR="0018634D" w:rsidRPr="005B2EAC">
        <w:t>C</w:t>
      </w:r>
      <w:r w:rsidR="0018634D" w:rsidRPr="0018634D">
        <w:rPr>
          <w:vertAlign w:val="subscript"/>
        </w:rPr>
        <w:t>max</w:t>
      </w:r>
      <w:proofErr w:type="spellEnd"/>
      <w:r w:rsidRPr="00C01898">
        <w:t xml:space="preserve"> and </w:t>
      </w:r>
      <w:proofErr w:type="spellStart"/>
      <w:r w:rsidR="00B765DE" w:rsidRPr="00C01898">
        <w:t>AUC</w:t>
      </w:r>
      <w:r w:rsidR="00B765DE" w:rsidRPr="00B765DE">
        <w:rPr>
          <w:vertAlign w:val="subscript"/>
        </w:rPr>
        <w:t>inf</w:t>
      </w:r>
      <w:proofErr w:type="spellEnd"/>
      <w:r w:rsidR="005F7FE0" w:rsidRPr="00C01898">
        <w:t xml:space="preserve"> </w:t>
      </w:r>
      <w:r w:rsidRPr="00C01898">
        <w:t>values of netupitant were increas</w:t>
      </w:r>
      <w:r w:rsidR="0078548B" w:rsidRPr="00C01898">
        <w:t xml:space="preserve">ed by as much as 1.89 and 1.53 </w:t>
      </w:r>
      <w:r w:rsidRPr="00C01898">
        <w:t>fold, respectively, when netupitant was administered under fed conditions compared to the fasted state.</w:t>
      </w:r>
    </w:p>
    <w:p w:rsidR="00B06E3D" w:rsidRPr="00C01898" w:rsidRDefault="00B06E3D" w:rsidP="00C01898">
      <w:r w:rsidRPr="00C01898">
        <w:t xml:space="preserve">For netupitant doses from 10 mg to 300 mg, there was a statistically significantly greater than proportional increase with dose in </w:t>
      </w:r>
      <w:proofErr w:type="spellStart"/>
      <w:r w:rsidR="0018634D" w:rsidRPr="005B2EAC">
        <w:t>C</w:t>
      </w:r>
      <w:r w:rsidR="0018634D" w:rsidRPr="0018634D">
        <w:rPr>
          <w:vertAlign w:val="subscript"/>
        </w:rPr>
        <w:t>max</w:t>
      </w:r>
      <w:proofErr w:type="spellEnd"/>
      <w:r w:rsidRPr="00C01898">
        <w:t xml:space="preserve">, </w:t>
      </w:r>
      <w:proofErr w:type="spellStart"/>
      <w:r w:rsidRPr="00C01898">
        <w:t>AUC</w:t>
      </w:r>
      <w:r w:rsidRPr="00B765DE">
        <w:rPr>
          <w:vertAlign w:val="subscript"/>
        </w:rPr>
        <w:t>last</w:t>
      </w:r>
      <w:proofErr w:type="spellEnd"/>
      <w:r w:rsidRPr="00C01898">
        <w:t xml:space="preserve"> and </w:t>
      </w:r>
      <w:r w:rsidR="000403F6" w:rsidRPr="00C01898">
        <w:t>AUC</w:t>
      </w:r>
      <w:r w:rsidR="000403F6" w:rsidRPr="000403F6">
        <w:rPr>
          <w:vertAlign w:val="subscript"/>
        </w:rPr>
        <w:t>0-∞</w:t>
      </w:r>
      <w:r w:rsidRPr="00C01898">
        <w:t xml:space="preserve"> for netupitant.</w:t>
      </w:r>
    </w:p>
    <w:p w:rsidR="00B06E3D" w:rsidRPr="00C01898" w:rsidRDefault="00B06E3D" w:rsidP="00C01898">
      <w:r w:rsidRPr="00C01898">
        <w:t>Following one week daily oral dosing with 100 mg, 300 mg or 450 mg netupitant there was an increase in netupitant AUC</w:t>
      </w:r>
      <w:r w:rsidRPr="00B765DE">
        <w:rPr>
          <w:vertAlign w:val="subscript"/>
        </w:rPr>
        <w:t>0-23.5</w:t>
      </w:r>
      <w:r w:rsidR="0078548B" w:rsidRPr="00C01898">
        <w:t xml:space="preserve"> of approximately 3 </w:t>
      </w:r>
      <w:r w:rsidR="004A4666" w:rsidRPr="00C01898">
        <w:t>times</w:t>
      </w:r>
      <w:r w:rsidR="003818B7">
        <w:t xml:space="preserve"> after 7 days</w:t>
      </w:r>
      <w:r w:rsidRPr="00C01898">
        <w:t xml:space="preserve"> dosing for all three dose levels.</w:t>
      </w:r>
    </w:p>
    <w:p w:rsidR="00B06E3D" w:rsidRPr="00C01898" w:rsidRDefault="00B06E3D" w:rsidP="00C01898">
      <w:r w:rsidRPr="00C01898">
        <w:t xml:space="preserve">Following oral capsule doses of 300 mg and 450 mg of netupitant containing the surfactants SDS and SE, respectively, the </w:t>
      </w:r>
      <w:r w:rsidR="0078548B" w:rsidRPr="00C01898">
        <w:t>apparent volume of distribution (</w:t>
      </w:r>
      <w:proofErr w:type="spellStart"/>
      <w:r w:rsidRPr="00C01898">
        <w:t>Vz</w:t>
      </w:r>
      <w:proofErr w:type="spellEnd"/>
      <w:r w:rsidRPr="00C01898">
        <w:t>/F</w:t>
      </w:r>
      <w:r w:rsidR="0078548B" w:rsidRPr="00C01898">
        <w:t>)</w:t>
      </w:r>
      <w:r w:rsidR="003818B7">
        <w:t xml:space="preserve"> values were 1842 L and 3090 L</w:t>
      </w:r>
      <w:r w:rsidRPr="00C01898">
        <w:t xml:space="preserve"> respectively.</w:t>
      </w:r>
    </w:p>
    <w:p w:rsidR="00B06E3D" w:rsidRPr="00C01898" w:rsidRDefault="00B06E3D" w:rsidP="00C01898">
      <w:r w:rsidRPr="00C01898">
        <w:t>The high volume of distribution for netupitant indicates that the drug is highly distributed in tissues outside the plasma and interstitial fluid.</w:t>
      </w:r>
    </w:p>
    <w:p w:rsidR="00B06E3D" w:rsidRPr="00C01898" w:rsidRDefault="00B06E3D" w:rsidP="00C01898">
      <w:r w:rsidRPr="00C01898">
        <w:t>In humans, netupitant was highly bound (</w:t>
      </w:r>
      <w:r w:rsidR="000403F6">
        <w:t>&gt; 9</w:t>
      </w:r>
      <w:r w:rsidRPr="00C01898">
        <w:t>9</w:t>
      </w:r>
      <w:r w:rsidR="000403F6">
        <w:t>%</w:t>
      </w:r>
      <w:r w:rsidRPr="00C01898">
        <w:t>) to plasma proteins, with both albumin and α1-acid glycoprotein contributing to the high plasma binding of this drug, and the mean percentage of free drug was 0.33</w:t>
      </w:r>
      <w:r w:rsidR="000403F6">
        <w:t>%</w:t>
      </w:r>
      <w:r w:rsidRPr="00C01898">
        <w:t>. The fraction of drug in erythrocytes was approximately 13</w:t>
      </w:r>
      <w:r w:rsidR="000403F6">
        <w:t>%</w:t>
      </w:r>
      <w:r w:rsidR="004A4666" w:rsidRPr="00C01898">
        <w:t>.</w:t>
      </w:r>
    </w:p>
    <w:p w:rsidR="00B06E3D" w:rsidRPr="00C01898" w:rsidRDefault="00B06E3D" w:rsidP="00C01898">
      <w:r w:rsidRPr="00C01898">
        <w:t>The major elimination route for netupitant</w:t>
      </w:r>
      <w:r w:rsidR="004A4666" w:rsidRPr="00C01898">
        <w:t xml:space="preserve"> </w:t>
      </w:r>
      <w:r w:rsidRPr="00C01898">
        <w:t>related entities</w:t>
      </w:r>
      <w:r w:rsidR="004A4666" w:rsidRPr="00C01898">
        <w:t xml:space="preserve"> was the hepatic/biliary route.</w:t>
      </w:r>
    </w:p>
    <w:p w:rsidR="00B06E3D" w:rsidRPr="00C01898" w:rsidRDefault="00B06E3D" w:rsidP="00C01898">
      <w:r w:rsidRPr="00C01898">
        <w:t>Four potentially active netupitant metabolites have been detected in human plasma (M1, M2, M3 and M4). CYP3A4 was responsible for the formation of three major netupitant metabolites (M1, M2 and M3). A minor metabolite, M4, was identified late in the development process. The exposure to the three major metabolites of netupitant, M1, M2 and M3 was equivalent to 29</w:t>
      </w:r>
      <w:r w:rsidR="000403F6">
        <w:t>%</w:t>
      </w:r>
      <w:r w:rsidRPr="00C01898">
        <w:t>, 14</w:t>
      </w:r>
      <w:r w:rsidR="000403F6">
        <w:t>%</w:t>
      </w:r>
      <w:r w:rsidRPr="00C01898">
        <w:t>, and 33</w:t>
      </w:r>
      <w:r w:rsidR="000403F6">
        <w:t>%</w:t>
      </w:r>
      <w:r w:rsidRPr="00C01898">
        <w:t>, respectively, of the systemic exposure to netupitant. By contrast, the minor metabolite M4 accounted for approximately 7</w:t>
      </w:r>
      <w:r w:rsidR="000403F6">
        <w:t>%</w:t>
      </w:r>
      <w:r w:rsidRPr="00C01898">
        <w:t xml:space="preserve"> of parent drug exposure. The </w:t>
      </w:r>
      <w:proofErr w:type="spellStart"/>
      <w:r w:rsidR="000403F6" w:rsidRPr="00C01898">
        <w:t>T</w:t>
      </w:r>
      <w:r w:rsidR="000403F6" w:rsidRPr="000403F6">
        <w:rPr>
          <w:vertAlign w:val="subscript"/>
        </w:rPr>
        <w:t>max</w:t>
      </w:r>
      <w:proofErr w:type="spellEnd"/>
      <w:r w:rsidRPr="00C01898">
        <w:t xml:space="preserve"> values for the M1, M2 and M3 metabolites were 10.00 h, 2.00</w:t>
      </w:r>
      <w:r w:rsidR="009B02FF">
        <w:t xml:space="preserve"> hours </w:t>
      </w:r>
      <w:r w:rsidRPr="00C01898">
        <w:t>and 24.00 h</w:t>
      </w:r>
      <w:r w:rsidR="00B765DE">
        <w:t>ours</w:t>
      </w:r>
      <w:r w:rsidRPr="00C01898">
        <w:t>, respectively, and the t</w:t>
      </w:r>
      <w:r w:rsidR="003818B7">
        <w:t xml:space="preserve">½ </w:t>
      </w:r>
      <w:r w:rsidRPr="00C01898">
        <w:t>values were 64.77 h</w:t>
      </w:r>
      <w:r w:rsidR="00B765DE">
        <w:t>ours</w:t>
      </w:r>
      <w:r w:rsidRPr="00C01898">
        <w:t>, 17.</w:t>
      </w:r>
      <w:r w:rsidR="00B361E8" w:rsidRPr="00C01898">
        <w:t>10</w:t>
      </w:r>
      <w:r w:rsidR="009B02FF">
        <w:t xml:space="preserve"> hours </w:t>
      </w:r>
      <w:r w:rsidR="00B361E8" w:rsidRPr="00C01898">
        <w:t>and 41.49 h</w:t>
      </w:r>
      <w:r w:rsidR="00B765DE">
        <w:t>ours</w:t>
      </w:r>
      <w:r w:rsidR="00B361E8" w:rsidRPr="00C01898">
        <w:t>, respectively.</w:t>
      </w:r>
    </w:p>
    <w:p w:rsidR="00B06E3D" w:rsidRPr="00C01898" w:rsidRDefault="00B06E3D" w:rsidP="00C01898">
      <w:r w:rsidRPr="00C01898">
        <w:t xml:space="preserve">Following administration of </w:t>
      </w:r>
      <w:proofErr w:type="spellStart"/>
      <w:r w:rsidR="0018634D" w:rsidRPr="005B2EAC">
        <w:t>C</w:t>
      </w:r>
      <w:r w:rsidR="0018634D" w:rsidRPr="0018634D">
        <w:rPr>
          <w:vertAlign w:val="subscript"/>
        </w:rPr>
        <w:t>max</w:t>
      </w:r>
      <w:proofErr w:type="spellEnd"/>
      <w:r w:rsidR="004A4666" w:rsidRPr="00C01898">
        <w:t xml:space="preserve"> </w:t>
      </w:r>
      <w:r w:rsidRPr="00C01898">
        <w:t xml:space="preserve">60 </w:t>
      </w:r>
      <w:proofErr w:type="spellStart"/>
      <w:r w:rsidRPr="00C01898">
        <w:t>μCi</w:t>
      </w:r>
      <w:proofErr w:type="spellEnd"/>
      <w:r w:rsidRPr="00C01898">
        <w:t xml:space="preserve"> [</w:t>
      </w:r>
      <w:r w:rsidRPr="00B765DE">
        <w:rPr>
          <w:vertAlign w:val="superscript"/>
        </w:rPr>
        <w:t>14</w:t>
      </w:r>
      <w:r w:rsidRPr="00C01898">
        <w:t>C]-</w:t>
      </w:r>
      <w:proofErr w:type="spellStart"/>
      <w:r w:rsidRPr="00C01898">
        <w:t>netupitant</w:t>
      </w:r>
      <w:proofErr w:type="spellEnd"/>
      <w:r w:rsidRPr="00C01898">
        <w:t>, approximately 50</w:t>
      </w:r>
      <w:r w:rsidR="000403F6">
        <w:t>%</w:t>
      </w:r>
      <w:r w:rsidRPr="00C01898">
        <w:t xml:space="preserve"> of the administered radioactivity was recovered within 120 h</w:t>
      </w:r>
      <w:r w:rsidR="00B765DE">
        <w:t>ours</w:t>
      </w:r>
      <w:r w:rsidRPr="00C01898">
        <w:t>, whereas, by 696</w:t>
      </w:r>
      <w:r w:rsidR="009B02FF">
        <w:t xml:space="preserve"> hours </w:t>
      </w:r>
      <w:r w:rsidR="00B765DE">
        <w:t xml:space="preserve">post </w:t>
      </w:r>
      <w:r w:rsidRPr="00C01898">
        <w:t>dose 70.7</w:t>
      </w:r>
      <w:r w:rsidR="000403F6">
        <w:t>%</w:t>
      </w:r>
      <w:r w:rsidRPr="00C01898">
        <w:t xml:space="preserve"> of the total radioactivity was recovered in the faeces. Of all of the netupitant related material excreted by this time 86.49</w:t>
      </w:r>
      <w:r w:rsidR="000403F6">
        <w:t>%</w:t>
      </w:r>
      <w:r w:rsidRPr="00C01898">
        <w:t xml:space="preserve"> was excreted in the faeces and a further 4.75</w:t>
      </w:r>
      <w:r w:rsidR="000403F6">
        <w:t>%</w:t>
      </w:r>
      <w:r w:rsidRPr="00C01898">
        <w:t xml:space="preserve"> of </w:t>
      </w:r>
      <w:r w:rsidR="002D3239">
        <w:t>drug related</w:t>
      </w:r>
      <w:r w:rsidRPr="00C01898">
        <w:t xml:space="preserve"> material was excreted in the urine.</w:t>
      </w:r>
    </w:p>
    <w:p w:rsidR="004A4666" w:rsidRPr="00C01898" w:rsidRDefault="00B06E3D" w:rsidP="00C01898">
      <w:pPr>
        <w:pStyle w:val="Heading5"/>
      </w:pPr>
      <w:r w:rsidRPr="00C01898">
        <w:t xml:space="preserve">Intra- and inter-individual </w:t>
      </w:r>
      <w:r w:rsidR="004A4666" w:rsidRPr="00C01898">
        <w:t>variability of pharmacokinetics</w:t>
      </w:r>
    </w:p>
    <w:p w:rsidR="00B06E3D" w:rsidRPr="00C01898" w:rsidRDefault="00B06E3D" w:rsidP="00C01898">
      <w:r w:rsidRPr="00C01898">
        <w:t>Inter-subject variability of netupitant PK was high with a variability of 42</w:t>
      </w:r>
      <w:r w:rsidR="000403F6">
        <w:t>%</w:t>
      </w:r>
      <w:r w:rsidRPr="00C01898">
        <w:t xml:space="preserve"> and 48</w:t>
      </w:r>
      <w:r w:rsidR="000403F6">
        <w:t>%</w:t>
      </w:r>
      <w:r w:rsidRPr="00C01898">
        <w:t xml:space="preserve"> for </w:t>
      </w:r>
      <w:r w:rsidR="00B765DE" w:rsidRPr="00C01898">
        <w:t>AUC</w:t>
      </w:r>
      <w:r w:rsidR="00B765DE" w:rsidRPr="00B765DE">
        <w:rPr>
          <w:vertAlign w:val="subscript"/>
        </w:rPr>
        <w:t>0-t</w:t>
      </w:r>
      <w:r w:rsidRPr="00C01898">
        <w:t xml:space="preserve"> and </w:t>
      </w:r>
      <w:proofErr w:type="spellStart"/>
      <w:r w:rsidR="0018634D" w:rsidRPr="005B2EAC">
        <w:t>C</w:t>
      </w:r>
      <w:r w:rsidR="0018634D" w:rsidRPr="0018634D">
        <w:rPr>
          <w:vertAlign w:val="subscript"/>
        </w:rPr>
        <w:t>max</w:t>
      </w:r>
      <w:proofErr w:type="spellEnd"/>
      <w:r w:rsidRPr="00C01898">
        <w:t>, respectively, following a 200 mg dose and 47</w:t>
      </w:r>
      <w:r w:rsidR="000403F6">
        <w:t>%</w:t>
      </w:r>
      <w:r w:rsidRPr="00C01898">
        <w:t xml:space="preserve"> and 56</w:t>
      </w:r>
      <w:r w:rsidR="000403F6">
        <w:t>%</w:t>
      </w:r>
      <w:r w:rsidRPr="00C01898">
        <w:t xml:space="preserve"> for </w:t>
      </w:r>
      <w:r w:rsidR="00B765DE" w:rsidRPr="00C01898">
        <w:t>AUC</w:t>
      </w:r>
      <w:r w:rsidR="00B765DE" w:rsidRPr="00B765DE">
        <w:rPr>
          <w:vertAlign w:val="subscript"/>
        </w:rPr>
        <w:t>0-t</w:t>
      </w:r>
      <w:r w:rsidR="00B765DE" w:rsidRPr="00C01898">
        <w:t xml:space="preserve"> </w:t>
      </w:r>
      <w:r w:rsidRPr="00C01898">
        <w:t xml:space="preserve">and </w:t>
      </w:r>
      <w:proofErr w:type="spellStart"/>
      <w:r w:rsidR="0018634D" w:rsidRPr="005B2EAC">
        <w:t>C</w:t>
      </w:r>
      <w:r w:rsidR="0018634D" w:rsidRPr="0018634D">
        <w:rPr>
          <w:vertAlign w:val="subscript"/>
        </w:rPr>
        <w:t>max</w:t>
      </w:r>
      <w:proofErr w:type="spellEnd"/>
      <w:r w:rsidRPr="00C01898">
        <w:t>, respectively, following a 600 mg dose. For palonosetron, inter-subject variability was lower with variability of 25</w:t>
      </w:r>
      <w:r w:rsidR="000403F6">
        <w:t>%</w:t>
      </w:r>
      <w:r w:rsidRPr="00C01898">
        <w:t xml:space="preserve"> and 29</w:t>
      </w:r>
      <w:r w:rsidR="000403F6">
        <w:t>%</w:t>
      </w:r>
      <w:r w:rsidRPr="00C01898">
        <w:t xml:space="preserve"> for </w:t>
      </w:r>
      <w:r w:rsidR="00B765DE" w:rsidRPr="00C01898">
        <w:t>AUC</w:t>
      </w:r>
      <w:r w:rsidR="00B765DE" w:rsidRPr="00B765DE">
        <w:rPr>
          <w:vertAlign w:val="subscript"/>
        </w:rPr>
        <w:t>0-t</w:t>
      </w:r>
      <w:r w:rsidR="00B765DE" w:rsidRPr="00C01898">
        <w:t xml:space="preserve"> </w:t>
      </w:r>
      <w:r w:rsidRPr="00C01898">
        <w:t xml:space="preserve">and </w:t>
      </w:r>
      <w:proofErr w:type="spellStart"/>
      <w:r w:rsidR="0018634D" w:rsidRPr="005B2EAC">
        <w:t>C</w:t>
      </w:r>
      <w:r w:rsidR="0018634D" w:rsidRPr="0018634D">
        <w:rPr>
          <w:vertAlign w:val="subscript"/>
        </w:rPr>
        <w:t>max</w:t>
      </w:r>
      <w:proofErr w:type="spellEnd"/>
      <w:r w:rsidRPr="00C01898">
        <w:t>, respectively, following a 0.5 mg dose and 20</w:t>
      </w:r>
      <w:r w:rsidR="000403F6">
        <w:t>%</w:t>
      </w:r>
      <w:r w:rsidRPr="00C01898">
        <w:t xml:space="preserve"> and 23</w:t>
      </w:r>
      <w:r w:rsidR="000403F6">
        <w:t>%</w:t>
      </w:r>
      <w:r w:rsidRPr="00C01898">
        <w:t xml:space="preserve"> for </w:t>
      </w:r>
      <w:r w:rsidR="00B765DE" w:rsidRPr="00C01898">
        <w:t>AUC</w:t>
      </w:r>
      <w:r w:rsidR="00B765DE" w:rsidRPr="00B765DE">
        <w:rPr>
          <w:vertAlign w:val="subscript"/>
        </w:rPr>
        <w:t>0-t</w:t>
      </w:r>
      <w:r w:rsidRPr="00C01898">
        <w:t xml:space="preserve"> and </w:t>
      </w:r>
      <w:proofErr w:type="spellStart"/>
      <w:r w:rsidR="0018634D" w:rsidRPr="005B2EAC">
        <w:t>C</w:t>
      </w:r>
      <w:r w:rsidR="0018634D" w:rsidRPr="0018634D">
        <w:rPr>
          <w:vertAlign w:val="subscript"/>
        </w:rPr>
        <w:t>max</w:t>
      </w:r>
      <w:proofErr w:type="spellEnd"/>
      <w:r w:rsidRPr="00C01898">
        <w:t>, respect</w:t>
      </w:r>
      <w:r w:rsidR="004A4666" w:rsidRPr="00C01898">
        <w:t>ively, following a 1.5 mg dose.</w:t>
      </w:r>
    </w:p>
    <w:p w:rsidR="00B06E3D" w:rsidRPr="00C01898" w:rsidRDefault="00B06E3D" w:rsidP="00C01898">
      <w:r w:rsidRPr="00C01898">
        <w:lastRenderedPageBreak/>
        <w:t xml:space="preserve">The </w:t>
      </w:r>
      <w:proofErr w:type="spellStart"/>
      <w:r w:rsidRPr="00C01898">
        <w:t>P</w:t>
      </w:r>
      <w:r w:rsidR="00CE0692">
        <w:t>op</w:t>
      </w:r>
      <w:r w:rsidRPr="00C01898">
        <w:t>PK</w:t>
      </w:r>
      <w:proofErr w:type="spellEnd"/>
      <w:r w:rsidRPr="00C01898">
        <w:t xml:space="preserve"> analysis estimated inter-subject variability in </w:t>
      </w:r>
      <w:proofErr w:type="spellStart"/>
      <w:r w:rsidRPr="00C01898">
        <w:t>netupitant</w:t>
      </w:r>
      <w:proofErr w:type="spellEnd"/>
      <w:r w:rsidRPr="00C01898">
        <w:t xml:space="preserve"> </w:t>
      </w:r>
      <w:proofErr w:type="spellStart"/>
      <w:r w:rsidR="0018634D" w:rsidRPr="005B2EAC">
        <w:t>C</w:t>
      </w:r>
      <w:r w:rsidR="0018634D" w:rsidRPr="0018634D">
        <w:rPr>
          <w:vertAlign w:val="subscript"/>
        </w:rPr>
        <w:t>max</w:t>
      </w:r>
      <w:proofErr w:type="spellEnd"/>
      <w:r w:rsidRPr="00C01898">
        <w:t xml:space="preserve"> and </w:t>
      </w:r>
      <w:proofErr w:type="spellStart"/>
      <w:r w:rsidR="00B765DE" w:rsidRPr="00C01898">
        <w:t>AUC</w:t>
      </w:r>
      <w:r w:rsidR="00B765DE" w:rsidRPr="00B765DE">
        <w:rPr>
          <w:vertAlign w:val="subscript"/>
        </w:rPr>
        <w:t>inf</w:t>
      </w:r>
      <w:proofErr w:type="spellEnd"/>
      <w:r w:rsidRPr="00C01898">
        <w:t xml:space="preserve"> was 38.2</w:t>
      </w:r>
      <w:r w:rsidR="000403F6">
        <w:t>%</w:t>
      </w:r>
      <w:r w:rsidRPr="00C01898">
        <w:t xml:space="preserve"> and 57</w:t>
      </w:r>
      <w:r w:rsidR="000403F6">
        <w:t>%</w:t>
      </w:r>
      <w:r w:rsidRPr="00C01898">
        <w:t xml:space="preserve"> for </w:t>
      </w:r>
      <w:proofErr w:type="spellStart"/>
      <w:r w:rsidR="0018634D" w:rsidRPr="005B2EAC">
        <w:t>C</w:t>
      </w:r>
      <w:r w:rsidR="0018634D" w:rsidRPr="0018634D">
        <w:rPr>
          <w:vertAlign w:val="subscript"/>
        </w:rPr>
        <w:t>max</w:t>
      </w:r>
      <w:proofErr w:type="spellEnd"/>
      <w:r w:rsidRPr="00C01898">
        <w:t xml:space="preserve"> and </w:t>
      </w:r>
      <w:proofErr w:type="spellStart"/>
      <w:r w:rsidR="00B765DE" w:rsidRPr="00C01898">
        <w:t>AUC</w:t>
      </w:r>
      <w:r w:rsidR="00B765DE" w:rsidRPr="00B765DE">
        <w:rPr>
          <w:vertAlign w:val="subscript"/>
        </w:rPr>
        <w:t>inf</w:t>
      </w:r>
      <w:proofErr w:type="spellEnd"/>
      <w:r w:rsidRPr="00C01898">
        <w:t>, respectively following a 300 mg dose of netupitant. For 0.50 mg palonosetron, the final palonosetron model predicted an inter-subject variability of 28.3</w:t>
      </w:r>
      <w:r w:rsidR="000403F6">
        <w:t>%</w:t>
      </w:r>
      <w:r w:rsidRPr="00C01898">
        <w:t xml:space="preserve"> and 33.4</w:t>
      </w:r>
      <w:r w:rsidR="000403F6">
        <w:t>%</w:t>
      </w:r>
      <w:r w:rsidRPr="00C01898">
        <w:t xml:space="preserve"> for </w:t>
      </w:r>
      <w:proofErr w:type="spellStart"/>
      <w:r w:rsidR="0018634D" w:rsidRPr="005B2EAC">
        <w:t>C</w:t>
      </w:r>
      <w:r w:rsidR="0018634D" w:rsidRPr="0018634D">
        <w:rPr>
          <w:vertAlign w:val="subscript"/>
        </w:rPr>
        <w:t>max</w:t>
      </w:r>
      <w:proofErr w:type="spellEnd"/>
      <w:r w:rsidRPr="00C01898">
        <w:t xml:space="preserve"> and </w:t>
      </w:r>
      <w:proofErr w:type="spellStart"/>
      <w:r w:rsidR="00B765DE" w:rsidRPr="00C01898">
        <w:t>AUC</w:t>
      </w:r>
      <w:r w:rsidR="00B765DE" w:rsidRPr="00B765DE">
        <w:rPr>
          <w:vertAlign w:val="subscript"/>
        </w:rPr>
        <w:t>inf</w:t>
      </w:r>
      <w:proofErr w:type="spellEnd"/>
      <w:r w:rsidRPr="00C01898">
        <w:t xml:space="preserve">. The </w:t>
      </w:r>
      <w:proofErr w:type="spellStart"/>
      <w:r w:rsidRPr="00C01898">
        <w:t>P</w:t>
      </w:r>
      <w:r w:rsidR="00CE0692">
        <w:t>op</w:t>
      </w:r>
      <w:r w:rsidRPr="00C01898">
        <w:t>PK</w:t>
      </w:r>
      <w:proofErr w:type="spellEnd"/>
      <w:r w:rsidRPr="00C01898">
        <w:t xml:space="preserve"> also indicated that the estimated inter-individual variability on clearance was 65.4</w:t>
      </w:r>
      <w:r w:rsidR="000403F6">
        <w:t>%</w:t>
      </w:r>
      <w:r w:rsidRPr="00C01898">
        <w:t xml:space="preserve"> and 26.2</w:t>
      </w:r>
      <w:r w:rsidR="000403F6">
        <w:t>%</w:t>
      </w:r>
      <w:r w:rsidRPr="00C01898">
        <w:t xml:space="preserve"> for netupitant and palon</w:t>
      </w:r>
      <w:r w:rsidR="00B765DE">
        <w:t xml:space="preserve">osetron, respectively and intra </w:t>
      </w:r>
      <w:r w:rsidRPr="00C01898">
        <w:t>subject variability for netupitant and palonosetron was estimated at 37.3</w:t>
      </w:r>
      <w:r w:rsidR="000403F6">
        <w:t>%</w:t>
      </w:r>
      <w:r w:rsidRPr="00C01898">
        <w:t xml:space="preserve"> and 17.2</w:t>
      </w:r>
      <w:r w:rsidR="000403F6">
        <w:t>%</w:t>
      </w:r>
      <w:r w:rsidRPr="00C01898">
        <w:t>, respectively.</w:t>
      </w:r>
    </w:p>
    <w:p w:rsidR="004A4666" w:rsidRPr="00C01898" w:rsidRDefault="00B06E3D" w:rsidP="00C01898">
      <w:pPr>
        <w:pStyle w:val="Heading5"/>
      </w:pPr>
      <w:r w:rsidRPr="00C01898">
        <w:t>Pharmacokinetics in the target population</w:t>
      </w:r>
    </w:p>
    <w:p w:rsidR="00B06E3D" w:rsidRPr="00C01898" w:rsidRDefault="00F302ED" w:rsidP="00C01898">
      <w:r w:rsidRPr="00C01898">
        <w:t>The population pharmacokinetic (</w:t>
      </w:r>
      <w:proofErr w:type="spellStart"/>
      <w:r w:rsidR="00B06E3D" w:rsidRPr="00C01898">
        <w:t>P</w:t>
      </w:r>
      <w:r w:rsidR="00CE0692">
        <w:t>op</w:t>
      </w:r>
      <w:r w:rsidR="00B06E3D" w:rsidRPr="00C01898">
        <w:t>PK</w:t>
      </w:r>
      <w:proofErr w:type="spellEnd"/>
      <w:r w:rsidRPr="00C01898">
        <w:t>)</w:t>
      </w:r>
      <w:r w:rsidR="00B06E3D" w:rsidRPr="00C01898">
        <w:t xml:space="preserve"> analysis of concentration data following administration of the FDC and oral dexamethasone 20 mg in patients receiving moderately emetogenic chemotherapy indicated that netupitant PK</w:t>
      </w:r>
      <w:r w:rsidR="002B2B31" w:rsidRPr="00C01898">
        <w:t xml:space="preserve">s could be characterised by a 2 </w:t>
      </w:r>
      <w:r w:rsidR="00B06E3D" w:rsidRPr="00C01898">
        <w:t xml:space="preserve">compartment model with an estimated median systemic </w:t>
      </w:r>
      <w:r w:rsidR="0015524A" w:rsidRPr="00C01898">
        <w:t>clearance (</w:t>
      </w:r>
      <w:r w:rsidR="00B06E3D" w:rsidRPr="00C01898">
        <w:t>CL</w:t>
      </w:r>
      <w:r w:rsidR="0015524A" w:rsidRPr="00C01898">
        <w:t>)</w:t>
      </w:r>
      <w:r w:rsidR="00B06E3D" w:rsidRPr="00C01898">
        <w:t xml:space="preserve"> of 20.5 L/h and a large apparent volume of the central compartment (V2), estimated to be 486 L. The mean </w:t>
      </w:r>
      <w:proofErr w:type="spellStart"/>
      <w:r w:rsidR="0018634D" w:rsidRPr="005B2EAC">
        <w:t>C</w:t>
      </w:r>
      <w:r w:rsidR="0018634D" w:rsidRPr="0018634D">
        <w:rPr>
          <w:vertAlign w:val="subscript"/>
        </w:rPr>
        <w:t>max</w:t>
      </w:r>
      <w:proofErr w:type="spellEnd"/>
      <w:r w:rsidR="002B2B31" w:rsidRPr="00C01898">
        <w:t xml:space="preserve"> </w:t>
      </w:r>
      <w:r w:rsidR="00B06E3D" w:rsidRPr="00C01898">
        <w:t xml:space="preserve">and </w:t>
      </w:r>
      <w:proofErr w:type="spellStart"/>
      <w:r w:rsidR="00B765DE" w:rsidRPr="00C01898">
        <w:t>AUC</w:t>
      </w:r>
      <w:r w:rsidR="00B765DE" w:rsidRPr="00B765DE">
        <w:rPr>
          <w:vertAlign w:val="subscript"/>
        </w:rPr>
        <w:t>inf</w:t>
      </w:r>
      <w:proofErr w:type="spellEnd"/>
      <w:r w:rsidR="00B06E3D" w:rsidRPr="00C01898">
        <w:t xml:space="preserve"> values for netupitant were estimated to be </w:t>
      </w:r>
      <w:proofErr w:type="gramStart"/>
      <w:r w:rsidR="00B06E3D" w:rsidRPr="00C01898">
        <w:t>567 ng/mL</w:t>
      </w:r>
      <w:proofErr w:type="gramEnd"/>
      <w:r w:rsidR="00B06E3D" w:rsidRPr="00C01898">
        <w:t xml:space="preserve"> and 17284 </w:t>
      </w:r>
      <w:proofErr w:type="spellStart"/>
      <w:r w:rsidR="00B06E3D" w:rsidRPr="00C01898">
        <w:t>ng.h</w:t>
      </w:r>
      <w:proofErr w:type="spellEnd"/>
      <w:r w:rsidR="00B06E3D" w:rsidRPr="00C01898">
        <w:t xml:space="preserve">/mL, respectively and the median </w:t>
      </w:r>
      <w:proofErr w:type="spellStart"/>
      <w:r w:rsidR="000403F6" w:rsidRPr="00C01898">
        <w:t>T</w:t>
      </w:r>
      <w:r w:rsidR="000403F6" w:rsidRPr="000403F6">
        <w:rPr>
          <w:vertAlign w:val="subscript"/>
        </w:rPr>
        <w:t>max</w:t>
      </w:r>
      <w:proofErr w:type="spellEnd"/>
      <w:r w:rsidR="00B06E3D" w:rsidRPr="00C01898">
        <w:t xml:space="preserve"> was 3.61 h. For palonose</w:t>
      </w:r>
      <w:r w:rsidR="002B2B31" w:rsidRPr="00C01898">
        <w:t xml:space="preserve">tron, a 2 </w:t>
      </w:r>
      <w:r w:rsidR="00B06E3D" w:rsidRPr="00C01898">
        <w:t xml:space="preserve">compartment model with first-order absorption and elimination was identified as providing the best fit for the data and estimated median CL and V2 were 7.64 L/h and 367 L, respectively. The mean </w:t>
      </w:r>
      <w:proofErr w:type="spellStart"/>
      <w:r w:rsidR="0018634D" w:rsidRPr="005B2EAC">
        <w:t>C</w:t>
      </w:r>
      <w:r w:rsidR="0018634D" w:rsidRPr="0018634D">
        <w:rPr>
          <w:vertAlign w:val="subscript"/>
        </w:rPr>
        <w:t>max</w:t>
      </w:r>
      <w:proofErr w:type="spellEnd"/>
      <w:r w:rsidR="00B06E3D" w:rsidRPr="00C01898">
        <w:t xml:space="preserve"> and </w:t>
      </w:r>
      <w:proofErr w:type="spellStart"/>
      <w:r w:rsidR="00B765DE" w:rsidRPr="00C01898">
        <w:t>AUC</w:t>
      </w:r>
      <w:r w:rsidR="00B765DE" w:rsidRPr="00B765DE">
        <w:rPr>
          <w:vertAlign w:val="subscript"/>
        </w:rPr>
        <w:t>inf</w:t>
      </w:r>
      <w:proofErr w:type="spellEnd"/>
      <w:r w:rsidR="00B06E3D" w:rsidRPr="00C01898">
        <w:t xml:space="preserve"> values for palonosetron were estimated to be </w:t>
      </w:r>
      <w:proofErr w:type="gramStart"/>
      <w:r w:rsidR="00B06E3D" w:rsidRPr="00C01898">
        <w:t>1</w:t>
      </w:r>
      <w:r w:rsidR="00B765DE">
        <w:t>,</w:t>
      </w:r>
      <w:r w:rsidR="00B06E3D" w:rsidRPr="00C01898">
        <w:t>378 ng/mL</w:t>
      </w:r>
      <w:proofErr w:type="gramEnd"/>
      <w:r w:rsidR="00B06E3D" w:rsidRPr="00C01898">
        <w:t xml:space="preserve"> and 68</w:t>
      </w:r>
      <w:r w:rsidR="00B765DE">
        <w:t>,611 </w:t>
      </w:r>
      <w:proofErr w:type="spellStart"/>
      <w:r w:rsidR="00B06E3D" w:rsidRPr="00C01898">
        <w:t>ng.h</w:t>
      </w:r>
      <w:proofErr w:type="spellEnd"/>
      <w:r w:rsidR="00B06E3D" w:rsidRPr="00C01898">
        <w:t xml:space="preserve">/mL, respectively and the median </w:t>
      </w:r>
      <w:proofErr w:type="spellStart"/>
      <w:r w:rsidR="000403F6" w:rsidRPr="00C01898">
        <w:t>T</w:t>
      </w:r>
      <w:r w:rsidR="000403F6" w:rsidRPr="000403F6">
        <w:rPr>
          <w:vertAlign w:val="subscript"/>
        </w:rPr>
        <w:t>max</w:t>
      </w:r>
      <w:proofErr w:type="spellEnd"/>
      <w:r w:rsidR="00B06E3D" w:rsidRPr="00C01898">
        <w:t xml:space="preserve"> was 2.30 h</w:t>
      </w:r>
      <w:r w:rsidR="00B765DE">
        <w:t>ours</w:t>
      </w:r>
      <w:r w:rsidR="00B06E3D" w:rsidRPr="00C01898">
        <w:t>.</w:t>
      </w:r>
    </w:p>
    <w:p w:rsidR="00EF4537" w:rsidRPr="00C01898" w:rsidRDefault="00B06E3D" w:rsidP="00C01898">
      <w:pPr>
        <w:pStyle w:val="Heading5"/>
      </w:pPr>
      <w:r w:rsidRPr="00C01898">
        <w:t>Pharmacokinetics in subjects</w:t>
      </w:r>
      <w:r w:rsidR="00EF4537" w:rsidRPr="00C01898">
        <w:t xml:space="preserve"> with impaired hepatic function</w:t>
      </w:r>
    </w:p>
    <w:p w:rsidR="00B06E3D" w:rsidRPr="00C01898" w:rsidRDefault="00B06E3D" w:rsidP="00C01898">
      <w:r w:rsidRPr="00C01898">
        <w:t>Following administration of the FDC, subjects with mild hepatic impairment displayed small, not significant, increases of 11</w:t>
      </w:r>
      <w:r w:rsidR="000403F6">
        <w:t>%</w:t>
      </w:r>
      <w:r w:rsidRPr="00C01898">
        <w:t xml:space="preserve"> and 14</w:t>
      </w:r>
      <w:r w:rsidR="000403F6">
        <w:t>%</w:t>
      </w:r>
      <w:r w:rsidRPr="00C01898">
        <w:t xml:space="preserve"> in the </w:t>
      </w:r>
      <w:proofErr w:type="spellStart"/>
      <w:r w:rsidR="0018634D" w:rsidRPr="005B2EAC">
        <w:t>C</w:t>
      </w:r>
      <w:r w:rsidR="0018634D" w:rsidRPr="0018634D">
        <w:rPr>
          <w:vertAlign w:val="subscript"/>
        </w:rPr>
        <w:t>max</w:t>
      </w:r>
      <w:proofErr w:type="spellEnd"/>
      <w:r w:rsidRPr="00C01898">
        <w:t xml:space="preserve"> values of </w:t>
      </w:r>
      <w:proofErr w:type="spellStart"/>
      <w:r w:rsidRPr="00C01898">
        <w:t>netupitant</w:t>
      </w:r>
      <w:proofErr w:type="spellEnd"/>
      <w:r w:rsidRPr="00C01898">
        <w:t xml:space="preserve"> and palonosetron, respectively, compared to subjects with normal hepatic function, whereas, netupitant AUC</w:t>
      </w:r>
      <w:r w:rsidRPr="000403F6">
        <w:rPr>
          <w:vertAlign w:val="subscript"/>
        </w:rPr>
        <w:t>0-</w:t>
      </w:r>
      <w:r w:rsidR="000403F6" w:rsidRPr="000403F6">
        <w:rPr>
          <w:vertAlign w:val="subscript"/>
        </w:rPr>
        <w:t>∞</w:t>
      </w:r>
      <w:r w:rsidRPr="00C01898">
        <w:t xml:space="preserve"> was 19</w:t>
      </w:r>
      <w:r w:rsidR="000403F6">
        <w:t>%</w:t>
      </w:r>
      <w:r w:rsidRPr="00C01898">
        <w:t xml:space="preserve"> higher and palonosetron </w:t>
      </w:r>
      <w:r w:rsidR="000403F6" w:rsidRPr="00C01898">
        <w:t>AUC</w:t>
      </w:r>
      <w:r w:rsidR="000403F6" w:rsidRPr="000403F6">
        <w:rPr>
          <w:vertAlign w:val="subscript"/>
        </w:rPr>
        <w:t>0-∞</w:t>
      </w:r>
      <w:r w:rsidRPr="00C01898">
        <w:t xml:space="preserve"> was significantly higher by 33</w:t>
      </w:r>
      <w:r w:rsidR="000403F6">
        <w:t>%</w:t>
      </w:r>
      <w:r w:rsidRPr="00C01898">
        <w:t xml:space="preserve"> in subjects</w:t>
      </w:r>
      <w:r w:rsidR="002B2B31" w:rsidRPr="00C01898">
        <w:t>.</w:t>
      </w:r>
    </w:p>
    <w:p w:rsidR="00B06E3D" w:rsidRPr="00C01898" w:rsidRDefault="00B06E3D" w:rsidP="00C01898">
      <w:r w:rsidRPr="00C01898">
        <w:t>In subjects with moderate hepatic impairment, exposure to netupitant was significantly higher compared to matching healthy subjects with an increase of 70</w:t>
      </w:r>
      <w:r w:rsidR="000403F6">
        <w:t>%</w:t>
      </w:r>
      <w:r w:rsidRPr="00C01898">
        <w:t xml:space="preserve"> for </w:t>
      </w:r>
      <w:proofErr w:type="spellStart"/>
      <w:r w:rsidR="0018634D" w:rsidRPr="005B2EAC">
        <w:t>C</w:t>
      </w:r>
      <w:r w:rsidR="0018634D" w:rsidRPr="0018634D">
        <w:rPr>
          <w:vertAlign w:val="subscript"/>
        </w:rPr>
        <w:t>max</w:t>
      </w:r>
      <w:proofErr w:type="spellEnd"/>
      <w:r w:rsidRPr="00C01898">
        <w:t xml:space="preserve"> and 143</w:t>
      </w:r>
      <w:r w:rsidR="000403F6">
        <w:t>%</w:t>
      </w:r>
      <w:r w:rsidRPr="00C01898">
        <w:t xml:space="preserve"> for </w:t>
      </w:r>
      <w:r w:rsidR="000403F6" w:rsidRPr="00C01898">
        <w:t>AUC</w:t>
      </w:r>
      <w:r w:rsidR="000403F6" w:rsidRPr="000403F6">
        <w:rPr>
          <w:vertAlign w:val="subscript"/>
        </w:rPr>
        <w:t>0-∞</w:t>
      </w:r>
      <w:r w:rsidRPr="00C01898">
        <w:t xml:space="preserve">, whereas, for </w:t>
      </w:r>
      <w:proofErr w:type="spellStart"/>
      <w:r w:rsidRPr="00C01898">
        <w:t>palonosetron</w:t>
      </w:r>
      <w:proofErr w:type="spellEnd"/>
      <w:r w:rsidRPr="00C01898">
        <w:t xml:space="preserve">, although </w:t>
      </w:r>
      <w:proofErr w:type="spellStart"/>
      <w:r w:rsidR="0018634D" w:rsidRPr="005B2EAC">
        <w:t>C</w:t>
      </w:r>
      <w:r w:rsidR="0018634D" w:rsidRPr="0018634D">
        <w:rPr>
          <w:vertAlign w:val="subscript"/>
        </w:rPr>
        <w:t>max</w:t>
      </w:r>
      <w:proofErr w:type="spellEnd"/>
      <w:r w:rsidRPr="00C01898">
        <w:t xml:space="preserve"> was similar in the two groups, </w:t>
      </w:r>
      <w:r w:rsidR="000403F6" w:rsidRPr="00C01898">
        <w:t>AUC</w:t>
      </w:r>
      <w:r w:rsidR="000403F6" w:rsidRPr="000403F6">
        <w:rPr>
          <w:vertAlign w:val="subscript"/>
        </w:rPr>
        <w:t>0-∞</w:t>
      </w:r>
      <w:r w:rsidRPr="00C01898">
        <w:t xml:space="preserve"> was significantly higher, by 62</w:t>
      </w:r>
      <w:r w:rsidR="000403F6">
        <w:t>%</w:t>
      </w:r>
      <w:r w:rsidRPr="00C01898">
        <w:t>, in the moderately impaired group.</w:t>
      </w:r>
    </w:p>
    <w:p w:rsidR="00B06E3D" w:rsidRPr="00C01898" w:rsidRDefault="00B06E3D" w:rsidP="00C01898">
      <w:r w:rsidRPr="00C01898">
        <w:t>T</w:t>
      </w:r>
      <w:r w:rsidR="00CE0692">
        <w:t>he variability in netupitant PK</w:t>
      </w:r>
      <w:r w:rsidRPr="00C01898">
        <w:t xml:space="preserve"> was higher in subjects with mild and moderate hepatic impairment tha</w:t>
      </w:r>
      <w:r w:rsidR="002B2B31" w:rsidRPr="00C01898">
        <w:t>n in matching healthy subjects.</w:t>
      </w:r>
    </w:p>
    <w:p w:rsidR="00EF4537" w:rsidRPr="00C01898" w:rsidRDefault="00B06E3D" w:rsidP="00C01898">
      <w:pPr>
        <w:pStyle w:val="Heading5"/>
      </w:pPr>
      <w:r w:rsidRPr="00C01898">
        <w:t xml:space="preserve">Pharmacokinetics in subjects with </w:t>
      </w:r>
      <w:r w:rsidR="00EF4537" w:rsidRPr="00C01898">
        <w:t>impaired renal function</w:t>
      </w:r>
    </w:p>
    <w:p w:rsidR="00B06E3D" w:rsidRPr="00C01898" w:rsidRDefault="00CE0692" w:rsidP="00C01898">
      <w:r>
        <w:t>No studies have examined the PK</w:t>
      </w:r>
      <w:r w:rsidR="00B06E3D" w:rsidRPr="00C01898">
        <w:t xml:space="preserve"> of the FDC in </w:t>
      </w:r>
      <w:r w:rsidR="002B2B31" w:rsidRPr="00C01898">
        <w:t>subjects with renal impairment.</w:t>
      </w:r>
    </w:p>
    <w:p w:rsidR="00EF4537" w:rsidRPr="00C01898" w:rsidRDefault="00B06E3D" w:rsidP="00C01898">
      <w:pPr>
        <w:pStyle w:val="Heading5"/>
      </w:pPr>
      <w:r w:rsidRPr="00C01898">
        <w:t>Ph</w:t>
      </w:r>
      <w:r w:rsidR="00EF4537" w:rsidRPr="00C01898">
        <w:t>armacokinetics according to age</w:t>
      </w:r>
    </w:p>
    <w:p w:rsidR="00B06E3D" w:rsidRPr="00C01898" w:rsidRDefault="00B06E3D" w:rsidP="00C01898">
      <w:r w:rsidRPr="00C01898">
        <w:t>In healthy elderly (</w:t>
      </w:r>
      <w:r w:rsidR="000403F6">
        <w:t>≥ 6</w:t>
      </w:r>
      <w:r w:rsidRPr="00C01898">
        <w:t xml:space="preserve">5 years of age) compared to younger subjects (18 to 45years) the </w:t>
      </w:r>
      <w:proofErr w:type="spellStart"/>
      <w:r w:rsidR="0018634D" w:rsidRPr="005B2EAC">
        <w:t>C</w:t>
      </w:r>
      <w:r w:rsidR="0018634D" w:rsidRPr="0018634D">
        <w:rPr>
          <w:vertAlign w:val="subscript"/>
        </w:rPr>
        <w:t>max</w:t>
      </w:r>
      <w:proofErr w:type="spellEnd"/>
      <w:r w:rsidRPr="00C01898">
        <w:t xml:space="preserve"> and </w:t>
      </w:r>
      <w:r w:rsidR="000403F6" w:rsidRPr="00C01898">
        <w:t>AUC</w:t>
      </w:r>
      <w:r w:rsidR="000403F6" w:rsidRPr="000403F6">
        <w:rPr>
          <w:vertAlign w:val="subscript"/>
        </w:rPr>
        <w:t>0-∞</w:t>
      </w:r>
      <w:r w:rsidR="000403F6">
        <w:t xml:space="preserve"> of netupitant were 1.36 and 1.25 </w:t>
      </w:r>
      <w:r w:rsidRPr="00C01898">
        <w:t xml:space="preserve">fold higher and the </w:t>
      </w:r>
      <w:proofErr w:type="spellStart"/>
      <w:r w:rsidR="0018634D" w:rsidRPr="005B2EAC">
        <w:t>C</w:t>
      </w:r>
      <w:r w:rsidR="0018634D" w:rsidRPr="0018634D">
        <w:rPr>
          <w:vertAlign w:val="subscript"/>
        </w:rPr>
        <w:t>max</w:t>
      </w:r>
      <w:proofErr w:type="spellEnd"/>
      <w:r w:rsidRPr="00C01898">
        <w:t xml:space="preserve"> and </w:t>
      </w:r>
      <w:r w:rsidR="000403F6" w:rsidRPr="00C01898">
        <w:t>AUC</w:t>
      </w:r>
      <w:r w:rsidR="000403F6" w:rsidRPr="000403F6">
        <w:rPr>
          <w:vertAlign w:val="subscript"/>
        </w:rPr>
        <w:t>0-∞</w:t>
      </w:r>
      <w:r w:rsidRPr="00C01898">
        <w:t xml:space="preserve"> of palonosetron were</w:t>
      </w:r>
      <w:r w:rsidR="000403F6">
        <w:t xml:space="preserve"> also significantly higher (1.1 and 1.37 </w:t>
      </w:r>
      <w:r w:rsidRPr="00C01898">
        <w:t xml:space="preserve">fold, respectively). By contrast, the results of the </w:t>
      </w:r>
      <w:proofErr w:type="spellStart"/>
      <w:r w:rsidRPr="00C01898">
        <w:t>P</w:t>
      </w:r>
      <w:r w:rsidR="00CE0692">
        <w:t>op</w:t>
      </w:r>
      <w:r w:rsidRPr="00C01898">
        <w:t>PK</w:t>
      </w:r>
      <w:proofErr w:type="spellEnd"/>
      <w:r w:rsidRPr="00C01898">
        <w:t xml:space="preserve"> study (NETU-10-02) indicated that age was not a significant covariate in the </w:t>
      </w:r>
      <w:proofErr w:type="spellStart"/>
      <w:r w:rsidRPr="00C01898">
        <w:t>P</w:t>
      </w:r>
      <w:r w:rsidR="00CE0692">
        <w:t>op</w:t>
      </w:r>
      <w:r w:rsidRPr="00C01898">
        <w:t>PK</w:t>
      </w:r>
      <w:proofErr w:type="spellEnd"/>
      <w:r w:rsidRPr="00C01898">
        <w:t xml:space="preserve"> models developed for eit</w:t>
      </w:r>
      <w:r w:rsidR="002B2B31" w:rsidRPr="00C01898">
        <w:t>her netupitant or palonosetron.</w:t>
      </w:r>
    </w:p>
    <w:p w:rsidR="00EF4537" w:rsidRPr="00C01898" w:rsidRDefault="00B06E3D" w:rsidP="00C01898">
      <w:pPr>
        <w:pStyle w:val="Heading5"/>
      </w:pPr>
      <w:r w:rsidRPr="00C01898">
        <w:t>Pharmacokineti</w:t>
      </w:r>
      <w:r w:rsidR="00EF4537" w:rsidRPr="00C01898">
        <w:t>cs in other special populations</w:t>
      </w:r>
    </w:p>
    <w:p w:rsidR="00B06E3D" w:rsidRPr="00C01898" w:rsidRDefault="00B06E3D" w:rsidP="00C01898">
      <w:r w:rsidRPr="00C01898">
        <w:t xml:space="preserve">The </w:t>
      </w:r>
      <w:proofErr w:type="spellStart"/>
      <w:r w:rsidRPr="00C01898">
        <w:t>P</w:t>
      </w:r>
      <w:r w:rsidR="00CE0692">
        <w:t>op</w:t>
      </w:r>
      <w:r w:rsidRPr="00C01898">
        <w:t>PK</w:t>
      </w:r>
      <w:proofErr w:type="spellEnd"/>
      <w:r w:rsidRPr="00C01898">
        <w:t xml:space="preserve"> study indicates that race and gender were not significant covariates in the final PK models for either netupitant or palonosetron. It should be noted that the </w:t>
      </w:r>
      <w:proofErr w:type="spellStart"/>
      <w:r w:rsidRPr="00C01898">
        <w:t>P</w:t>
      </w:r>
      <w:r w:rsidR="00CE0692">
        <w:t>op</w:t>
      </w:r>
      <w:r w:rsidRPr="00C01898">
        <w:t>PK</w:t>
      </w:r>
      <w:proofErr w:type="spellEnd"/>
      <w:r w:rsidRPr="00C01898">
        <w:t xml:space="preserve"> analysis was not deemed adequate for evaluation of factors such as gender and race as the population examined was primarily female (</w:t>
      </w:r>
      <w:r w:rsidR="003A581C" w:rsidRPr="00C01898">
        <w:t>approximately</w:t>
      </w:r>
      <w:r w:rsidR="008D5592">
        <w:t xml:space="preserve"> </w:t>
      </w:r>
      <w:r w:rsidRPr="00C01898">
        <w:t>96</w:t>
      </w:r>
      <w:r w:rsidR="000403F6">
        <w:t>%</w:t>
      </w:r>
      <w:r w:rsidRPr="00C01898">
        <w:t>) and Caucasian (</w:t>
      </w:r>
      <w:r w:rsidR="003A581C" w:rsidRPr="00C01898">
        <w:t>approximately</w:t>
      </w:r>
      <w:r w:rsidR="008D5592">
        <w:t xml:space="preserve"> </w:t>
      </w:r>
      <w:r w:rsidRPr="00C01898">
        <w:t>86</w:t>
      </w:r>
      <w:r w:rsidR="000403F6">
        <w:t>%</w:t>
      </w:r>
      <w:r w:rsidRPr="00C01898">
        <w:t>).</w:t>
      </w:r>
    </w:p>
    <w:p w:rsidR="002B2B31" w:rsidRPr="00C01898" w:rsidRDefault="00B06E3D" w:rsidP="00C01898">
      <w:pPr>
        <w:pStyle w:val="Heading5"/>
      </w:pPr>
      <w:r w:rsidRPr="00C01898">
        <w:t>Pharmacokinetic i</w:t>
      </w:r>
      <w:r w:rsidR="002B2B31" w:rsidRPr="00C01898">
        <w:t>nteractions in healthy subjects</w:t>
      </w:r>
    </w:p>
    <w:p w:rsidR="00B06E3D" w:rsidRPr="00C01898" w:rsidRDefault="00B06E3D" w:rsidP="00C01898">
      <w:proofErr w:type="spellStart"/>
      <w:r w:rsidRPr="00C01898">
        <w:t>Netupitant</w:t>
      </w:r>
      <w:proofErr w:type="spellEnd"/>
      <w:r w:rsidRPr="00C01898">
        <w:t xml:space="preserve"> </w:t>
      </w:r>
      <w:proofErr w:type="spellStart"/>
      <w:r w:rsidR="0018634D" w:rsidRPr="005B2EAC">
        <w:t>C</w:t>
      </w:r>
      <w:r w:rsidR="0018634D" w:rsidRPr="0018634D">
        <w:rPr>
          <w:vertAlign w:val="subscript"/>
        </w:rPr>
        <w:t>max</w:t>
      </w:r>
      <w:proofErr w:type="spellEnd"/>
      <w:r w:rsidRPr="00C01898">
        <w:t xml:space="preserve"> and </w:t>
      </w:r>
      <w:r w:rsidR="000403F6" w:rsidRPr="00C01898">
        <w:t>AUC</w:t>
      </w:r>
      <w:r w:rsidR="000403F6" w:rsidRPr="000403F6">
        <w:rPr>
          <w:vertAlign w:val="subscript"/>
        </w:rPr>
        <w:t>0-∞</w:t>
      </w:r>
      <w:r w:rsidRPr="00C01898">
        <w:t xml:space="preserve"> were significantly increased by 25</w:t>
      </w:r>
      <w:r w:rsidR="000403F6">
        <w:t>%</w:t>
      </w:r>
      <w:r w:rsidRPr="00C01898">
        <w:t xml:space="preserve"> and 140</w:t>
      </w:r>
      <w:r w:rsidR="000403F6">
        <w:t>%</w:t>
      </w:r>
      <w:r w:rsidRPr="00C01898">
        <w:t xml:space="preserve">, respectively, when the FDC was co-administered with the CYP3A4 inhibitor ketoconazole compared to </w:t>
      </w:r>
      <w:r w:rsidRPr="00C01898">
        <w:lastRenderedPageBreak/>
        <w:t>when the FDC was administered alone and the formation of the metabolites M1 and M3 were de</w:t>
      </w:r>
      <w:r w:rsidR="005742F7" w:rsidRPr="00C01898">
        <w:t xml:space="preserve">layed with </w:t>
      </w:r>
      <w:proofErr w:type="spellStart"/>
      <w:r w:rsidR="000403F6" w:rsidRPr="00C01898">
        <w:t>T</w:t>
      </w:r>
      <w:r w:rsidR="000403F6" w:rsidRPr="000403F6">
        <w:rPr>
          <w:vertAlign w:val="subscript"/>
        </w:rPr>
        <w:t>max</w:t>
      </w:r>
      <w:proofErr w:type="spellEnd"/>
      <w:r w:rsidR="0014758F" w:rsidRPr="00C01898">
        <w:t xml:space="preserve"> </w:t>
      </w:r>
      <w:r w:rsidR="005742F7" w:rsidRPr="00C01898">
        <w:t xml:space="preserve">increasing by 8 fold and 2 </w:t>
      </w:r>
      <w:r w:rsidRPr="00C01898">
        <w:t>fold, respectively. By contrast, ketoconazole ha</w:t>
      </w:r>
      <w:r w:rsidR="00CE0692">
        <w:t>d little to no effect on the PK</w:t>
      </w:r>
      <w:r w:rsidRPr="00C01898">
        <w:t xml:space="preserve"> of palonosetron</w:t>
      </w:r>
      <w:r w:rsidR="00823AF2" w:rsidRPr="00C01898">
        <w:t>.</w:t>
      </w:r>
    </w:p>
    <w:p w:rsidR="00B06E3D" w:rsidRPr="00C01898" w:rsidRDefault="000403F6" w:rsidP="00C01898">
      <w:r>
        <w:t xml:space="preserve">Co-administration of the CYP3A4 </w:t>
      </w:r>
      <w:r w:rsidR="00B06E3D" w:rsidRPr="00C01898">
        <w:t xml:space="preserve">inducer rifampicin with the FDC resulted in a significant decrease in </w:t>
      </w:r>
      <w:proofErr w:type="spellStart"/>
      <w:r w:rsidR="00B06E3D" w:rsidRPr="00C01898">
        <w:t>netupitant</w:t>
      </w:r>
      <w:proofErr w:type="spellEnd"/>
      <w:r w:rsidR="00B06E3D" w:rsidRPr="00C01898">
        <w:t xml:space="preserve"> </w:t>
      </w:r>
      <w:proofErr w:type="spellStart"/>
      <w:r w:rsidR="0018634D" w:rsidRPr="005B2EAC">
        <w:t>C</w:t>
      </w:r>
      <w:r w:rsidR="0018634D" w:rsidRPr="0018634D">
        <w:rPr>
          <w:vertAlign w:val="subscript"/>
        </w:rPr>
        <w:t>max</w:t>
      </w:r>
      <w:proofErr w:type="spellEnd"/>
      <w:r w:rsidR="0014758F" w:rsidRPr="00C01898">
        <w:t xml:space="preserve"> </w:t>
      </w:r>
      <w:r w:rsidR="00B06E3D" w:rsidRPr="00C01898">
        <w:t xml:space="preserve">and </w:t>
      </w:r>
      <w:proofErr w:type="spellStart"/>
      <w:r w:rsidR="00B765DE">
        <w:t>AUC</w:t>
      </w:r>
      <w:r w:rsidR="00B765DE">
        <w:rPr>
          <w:vertAlign w:val="subscript"/>
        </w:rPr>
        <w:t>inf</w:t>
      </w:r>
      <w:proofErr w:type="spellEnd"/>
      <w:r>
        <w:t xml:space="preserve"> (</w:t>
      </w:r>
      <w:r>
        <w:noBreakHyphen/>
      </w:r>
      <w:r w:rsidR="00B06E3D" w:rsidRPr="00C01898">
        <w:t>62</w:t>
      </w:r>
      <w:r>
        <w:t xml:space="preserve">% and </w:t>
      </w:r>
      <w:r>
        <w:noBreakHyphen/>
      </w:r>
      <w:r w:rsidR="00B06E3D" w:rsidRPr="00C01898">
        <w:t>83</w:t>
      </w:r>
      <w:r>
        <w:t>%</w:t>
      </w:r>
      <w:r w:rsidR="00B06E3D" w:rsidRPr="00C01898">
        <w:t xml:space="preserve">, respectively) compared to when the FDC was administered alone. For the palonosetron component of the FDC, rifampicin co-administration did not significantly affect </w:t>
      </w:r>
      <w:proofErr w:type="spellStart"/>
      <w:r w:rsidR="00B06E3D" w:rsidRPr="00C01898">
        <w:t>palonosetron</w:t>
      </w:r>
      <w:proofErr w:type="spellEnd"/>
      <w:r w:rsidR="005742F7" w:rsidRPr="00C01898">
        <w:t xml:space="preserve"> </w:t>
      </w:r>
      <w:proofErr w:type="spellStart"/>
      <w:r w:rsidR="0018634D" w:rsidRPr="005B2EAC">
        <w:t>C</w:t>
      </w:r>
      <w:r w:rsidR="0018634D" w:rsidRPr="0018634D">
        <w:rPr>
          <w:vertAlign w:val="subscript"/>
        </w:rPr>
        <w:t>max</w:t>
      </w:r>
      <w:proofErr w:type="spellEnd"/>
      <w:r w:rsidR="00B06E3D" w:rsidRPr="00C01898">
        <w:t xml:space="preserve">; however </w:t>
      </w:r>
      <w:proofErr w:type="spellStart"/>
      <w:r w:rsidR="00B06E3D" w:rsidRPr="00C01898">
        <w:t>palonosetron</w:t>
      </w:r>
      <w:proofErr w:type="spellEnd"/>
      <w:r w:rsidR="00B06E3D" w:rsidRPr="00C01898">
        <w:t xml:space="preserve"> </w:t>
      </w:r>
      <w:proofErr w:type="spellStart"/>
      <w:r w:rsidR="00B765DE" w:rsidRPr="00C01898">
        <w:t>AUC</w:t>
      </w:r>
      <w:r w:rsidR="00B765DE" w:rsidRPr="00B765DE">
        <w:rPr>
          <w:vertAlign w:val="subscript"/>
        </w:rPr>
        <w:t>inf</w:t>
      </w:r>
      <w:proofErr w:type="spellEnd"/>
      <w:r w:rsidR="00B06E3D" w:rsidRPr="00C01898">
        <w:t xml:space="preserve"> was significantly lower.</w:t>
      </w:r>
    </w:p>
    <w:p w:rsidR="00B06E3D" w:rsidRPr="00C01898" w:rsidRDefault="00B06E3D" w:rsidP="00C01898">
      <w:r w:rsidRPr="00C01898">
        <w:t xml:space="preserve">Co-administration of netupitant with midazolam induced a small reduction in the </w:t>
      </w:r>
      <w:proofErr w:type="spellStart"/>
      <w:r w:rsidR="0018634D" w:rsidRPr="005B2EAC">
        <w:t>C</w:t>
      </w:r>
      <w:r w:rsidR="0018634D" w:rsidRPr="0018634D">
        <w:rPr>
          <w:vertAlign w:val="subscript"/>
        </w:rPr>
        <w:t>max</w:t>
      </w:r>
      <w:proofErr w:type="spellEnd"/>
      <w:r w:rsidR="0014758F" w:rsidRPr="00C01898">
        <w:t xml:space="preserve"> </w:t>
      </w:r>
      <w:r w:rsidRPr="00C01898">
        <w:t xml:space="preserve">and </w:t>
      </w:r>
      <w:proofErr w:type="spellStart"/>
      <w:r w:rsidR="00B765DE">
        <w:t>AUC</w:t>
      </w:r>
      <w:r w:rsidR="00B765DE">
        <w:rPr>
          <w:vertAlign w:val="subscript"/>
        </w:rPr>
        <w:t>inf</w:t>
      </w:r>
      <w:proofErr w:type="spellEnd"/>
      <w:r w:rsidR="00B765DE" w:rsidRPr="00C01898">
        <w:t xml:space="preserve"> </w:t>
      </w:r>
      <w:r w:rsidRPr="00C01898">
        <w:t>of netupitant with decreases of approximately 7</w:t>
      </w:r>
      <w:r w:rsidR="000403F6">
        <w:t>%</w:t>
      </w:r>
      <w:r w:rsidRPr="00C01898">
        <w:t xml:space="preserve"> and 9</w:t>
      </w:r>
      <w:r w:rsidR="000403F6">
        <w:t>%</w:t>
      </w:r>
      <w:r w:rsidRPr="00C01898">
        <w:t xml:space="preserve">, respectively, when compared to netupitant alone. By contrast, exposure to the CYP3A4 substrate midazolam was significantly increased when taken in combination with netupitant compared to administration of midazolam alone with </w:t>
      </w:r>
      <w:proofErr w:type="spellStart"/>
      <w:r w:rsidR="0018634D" w:rsidRPr="005B2EAC">
        <w:t>C</w:t>
      </w:r>
      <w:r w:rsidR="0018634D" w:rsidRPr="0018634D">
        <w:rPr>
          <w:vertAlign w:val="subscript"/>
        </w:rPr>
        <w:t>max</w:t>
      </w:r>
      <w:proofErr w:type="spellEnd"/>
      <w:r w:rsidR="0014758F" w:rsidRPr="00C01898">
        <w:t xml:space="preserve"> </w:t>
      </w:r>
      <w:r w:rsidRPr="00C01898">
        <w:t>increasing by approximately 40</w:t>
      </w:r>
      <w:r w:rsidR="000403F6">
        <w:t>%</w:t>
      </w:r>
      <w:r w:rsidRPr="00C01898">
        <w:t xml:space="preserve"> and </w:t>
      </w:r>
      <w:r w:rsidR="000403F6">
        <w:t>AUC</w:t>
      </w:r>
      <w:r w:rsidR="000403F6">
        <w:rPr>
          <w:vertAlign w:val="subscript"/>
        </w:rPr>
        <w:t>0-∞</w:t>
      </w:r>
      <w:r w:rsidRPr="00C01898">
        <w:t xml:space="preserve"> by approximately 250</w:t>
      </w:r>
      <w:r w:rsidR="000403F6">
        <w:t>%</w:t>
      </w:r>
      <w:r w:rsidR="0014758F" w:rsidRPr="00C01898">
        <w:t>.</w:t>
      </w:r>
    </w:p>
    <w:p w:rsidR="00B06E3D" w:rsidRPr="00C01898" w:rsidRDefault="00B06E3D" w:rsidP="00C01898">
      <w:r w:rsidRPr="00C01898">
        <w:t xml:space="preserve">When netupitant was co-administered with the CYP3A4-substrate erythromycin, </w:t>
      </w:r>
      <w:proofErr w:type="spellStart"/>
      <w:r w:rsidRPr="00C01898">
        <w:t>netupitant</w:t>
      </w:r>
      <w:proofErr w:type="spellEnd"/>
      <w:r w:rsidRPr="00C01898">
        <w:t xml:space="preserve"> </w:t>
      </w:r>
      <w:proofErr w:type="spellStart"/>
      <w:r w:rsidR="0018634D" w:rsidRPr="005B2EAC">
        <w:t>C</w:t>
      </w:r>
      <w:r w:rsidR="0018634D" w:rsidRPr="0018634D">
        <w:rPr>
          <w:vertAlign w:val="subscript"/>
        </w:rPr>
        <w:t>max</w:t>
      </w:r>
      <w:proofErr w:type="spellEnd"/>
      <w:r w:rsidR="0014758F" w:rsidRPr="00C01898">
        <w:t xml:space="preserve"> </w:t>
      </w:r>
      <w:r w:rsidRPr="00C01898">
        <w:t>was 18</w:t>
      </w:r>
      <w:r w:rsidR="000403F6">
        <w:t>%</w:t>
      </w:r>
      <w:r w:rsidRPr="00C01898">
        <w:t xml:space="preserve"> higher when given in combination compared to when administered alone and </w:t>
      </w:r>
      <w:proofErr w:type="spellStart"/>
      <w:r w:rsidR="00B765DE">
        <w:t>AUC</w:t>
      </w:r>
      <w:r w:rsidR="00B765DE">
        <w:rPr>
          <w:vertAlign w:val="subscript"/>
        </w:rPr>
        <w:t>inf</w:t>
      </w:r>
      <w:proofErr w:type="spellEnd"/>
      <w:r w:rsidR="00B765DE" w:rsidRPr="00C01898">
        <w:t xml:space="preserve"> </w:t>
      </w:r>
      <w:r w:rsidRPr="00C01898">
        <w:t>decreased by approximately 12</w:t>
      </w:r>
      <w:r w:rsidR="000403F6">
        <w:t>%</w:t>
      </w:r>
      <w:r w:rsidRPr="00C01898">
        <w:t>. For erythromycin, the</w:t>
      </w:r>
      <w:r w:rsidR="0014758F" w:rsidRPr="00C01898">
        <w:t xml:space="preserve"> </w:t>
      </w:r>
      <w:proofErr w:type="spellStart"/>
      <w:r w:rsidR="0018634D" w:rsidRPr="005B2EAC">
        <w:t>C</w:t>
      </w:r>
      <w:r w:rsidR="0018634D" w:rsidRPr="0018634D">
        <w:rPr>
          <w:vertAlign w:val="subscript"/>
        </w:rPr>
        <w:t>max</w:t>
      </w:r>
      <w:proofErr w:type="spellEnd"/>
      <w:r w:rsidRPr="00C01898">
        <w:t xml:space="preserve"> and </w:t>
      </w:r>
      <w:r w:rsidR="000403F6" w:rsidRPr="00C01898">
        <w:t>AUC</w:t>
      </w:r>
      <w:r w:rsidR="000403F6" w:rsidRPr="000403F6">
        <w:rPr>
          <w:vertAlign w:val="subscript"/>
        </w:rPr>
        <w:t>0-∞</w:t>
      </w:r>
      <w:r w:rsidRPr="00C01898">
        <w:t xml:space="preserve"> increased by approximately 92</w:t>
      </w:r>
      <w:r w:rsidR="000403F6">
        <w:t>%</w:t>
      </w:r>
      <w:r w:rsidRPr="00C01898">
        <w:t xml:space="preserve"> and 56</w:t>
      </w:r>
      <w:r w:rsidR="000403F6">
        <w:t>%</w:t>
      </w:r>
      <w:r w:rsidRPr="00C01898">
        <w:t xml:space="preserve"> respectively when given in combination with netupitant compared to when it was administered alone.</w:t>
      </w:r>
    </w:p>
    <w:p w:rsidR="00B06E3D" w:rsidRPr="00C01898" w:rsidRDefault="00B06E3D" w:rsidP="00C01898">
      <w:r w:rsidRPr="00C01898">
        <w:t xml:space="preserve">Co-administration of netupitant with palonosetron had little effect on the </w:t>
      </w:r>
      <w:proofErr w:type="spellStart"/>
      <w:r w:rsidR="0018634D" w:rsidRPr="005B2EAC">
        <w:t>C</w:t>
      </w:r>
      <w:r w:rsidR="0018634D" w:rsidRPr="0018634D">
        <w:rPr>
          <w:vertAlign w:val="subscript"/>
        </w:rPr>
        <w:t>max</w:t>
      </w:r>
      <w:proofErr w:type="spellEnd"/>
      <w:r w:rsidR="0014758F" w:rsidRPr="00C01898">
        <w:t xml:space="preserve"> </w:t>
      </w:r>
      <w:r w:rsidRPr="00C01898">
        <w:t xml:space="preserve">and </w:t>
      </w:r>
      <w:proofErr w:type="spellStart"/>
      <w:r w:rsidR="00B765DE" w:rsidRPr="00C01898">
        <w:t>AUC</w:t>
      </w:r>
      <w:r w:rsidR="00B765DE" w:rsidRPr="00B765DE">
        <w:rPr>
          <w:vertAlign w:val="subscript"/>
        </w:rPr>
        <w:t>inf</w:t>
      </w:r>
      <w:proofErr w:type="spellEnd"/>
      <w:r w:rsidRPr="00C01898">
        <w:t xml:space="preserve"> of netupitant, whereas for </w:t>
      </w:r>
      <w:proofErr w:type="spellStart"/>
      <w:r w:rsidRPr="00C01898">
        <w:t>palonosetron</w:t>
      </w:r>
      <w:proofErr w:type="spellEnd"/>
      <w:r w:rsidRPr="00C01898">
        <w:t xml:space="preserve">, the </w:t>
      </w:r>
      <w:proofErr w:type="spellStart"/>
      <w:r w:rsidR="0018634D" w:rsidRPr="005B2EAC">
        <w:t>C</w:t>
      </w:r>
      <w:r w:rsidR="0018634D" w:rsidRPr="0018634D">
        <w:rPr>
          <w:vertAlign w:val="subscript"/>
        </w:rPr>
        <w:t>max</w:t>
      </w:r>
      <w:proofErr w:type="spellEnd"/>
      <w:r w:rsidR="0014758F" w:rsidRPr="00C01898">
        <w:t xml:space="preserve"> </w:t>
      </w:r>
      <w:r w:rsidRPr="00C01898">
        <w:t xml:space="preserve">and </w:t>
      </w:r>
      <w:proofErr w:type="spellStart"/>
      <w:r w:rsidR="00B765DE" w:rsidRPr="00C01898">
        <w:t>AUC</w:t>
      </w:r>
      <w:r w:rsidR="00B765DE" w:rsidRPr="00B765DE">
        <w:rPr>
          <w:vertAlign w:val="subscript"/>
        </w:rPr>
        <w:t>inf</w:t>
      </w:r>
      <w:proofErr w:type="spellEnd"/>
      <w:r w:rsidRPr="00C01898">
        <w:t xml:space="preserve"> were 15</w:t>
      </w:r>
      <w:r w:rsidR="000403F6">
        <w:t>%</w:t>
      </w:r>
      <w:r w:rsidRPr="00C01898">
        <w:t xml:space="preserve"> and 10</w:t>
      </w:r>
      <w:r w:rsidR="000403F6">
        <w:t>%</w:t>
      </w:r>
      <w:r w:rsidRPr="00C01898">
        <w:t xml:space="preserve"> higher, respectively when palonosetron was co-administered with netupitant compared to when it was administered alone. Th</w:t>
      </w:r>
      <w:r w:rsidR="00CE0692">
        <w:t>ese small differences in the PK</w:t>
      </w:r>
      <w:r w:rsidRPr="00C01898">
        <w:t xml:space="preserve"> of palonosetron are unlikely to be clinically significant.</w:t>
      </w:r>
    </w:p>
    <w:p w:rsidR="00B06E3D" w:rsidRPr="00C01898" w:rsidRDefault="00B06E3D" w:rsidP="00C01898">
      <w:r w:rsidRPr="00C01898">
        <w:t xml:space="preserve">Co-administration of netupitant significantly increased the exposure to the corticosteroid dexamethasone in a dose and time dependant manner. Dexamethasone </w:t>
      </w:r>
      <w:r w:rsidR="006043A8" w:rsidRPr="00C01898">
        <w:t>trough plasma concentration (</w:t>
      </w:r>
      <w:proofErr w:type="spellStart"/>
      <w:r w:rsidRPr="00C01898">
        <w:t>C</w:t>
      </w:r>
      <w:r w:rsidRPr="000403F6">
        <w:rPr>
          <w:vertAlign w:val="subscript"/>
        </w:rPr>
        <w:t>mi</w:t>
      </w:r>
      <w:r w:rsidR="006043A8" w:rsidRPr="000403F6">
        <w:rPr>
          <w:vertAlign w:val="subscript"/>
        </w:rPr>
        <w:t>n</w:t>
      </w:r>
      <w:proofErr w:type="spellEnd"/>
      <w:r w:rsidR="006043A8" w:rsidRPr="00C01898">
        <w:t xml:space="preserve">) on Days 2 to </w:t>
      </w:r>
      <w:r w:rsidRPr="00C01898">
        <w:t>4 was increased approximately 2.8, 4.3 and 4.6</w:t>
      </w:r>
      <w:r w:rsidR="006043A8" w:rsidRPr="00C01898">
        <w:t xml:space="preserve"> </w:t>
      </w:r>
      <w:r w:rsidRPr="00C01898">
        <w:t>fold with co-administration of 100, 300 and 450 mg n</w:t>
      </w:r>
      <w:r w:rsidR="00B67F7F">
        <w:t>etupitant, respectively. The apparent terminal elimination half-life (t½</w:t>
      </w:r>
      <w:r w:rsidRPr="00C01898">
        <w:t>z</w:t>
      </w:r>
      <w:r w:rsidR="00B67F7F">
        <w:t>)</w:t>
      </w:r>
      <w:r w:rsidRPr="00C01898">
        <w:t xml:space="preserve"> of dex</w:t>
      </w:r>
      <w:r w:rsidR="006043A8" w:rsidRPr="00C01898">
        <w:t>amethasone was increased by 1.9 to 3.2</w:t>
      </w:r>
      <w:r w:rsidR="009B02FF">
        <w:t xml:space="preserve"> hours </w:t>
      </w:r>
      <w:r w:rsidR="006043A8" w:rsidRPr="00C01898">
        <w:t>on Day 1 and by 2.0 to 2.4</w:t>
      </w:r>
      <w:r w:rsidR="009B02FF">
        <w:t xml:space="preserve"> hours </w:t>
      </w:r>
      <w:r w:rsidR="006043A8" w:rsidRPr="00C01898">
        <w:t>on Day 4.</w:t>
      </w:r>
    </w:p>
    <w:p w:rsidR="00B06E3D" w:rsidRPr="00C01898" w:rsidRDefault="00CE0692" w:rsidP="00C01898">
      <w:r>
        <w:t>The PK</w:t>
      </w:r>
      <w:r w:rsidR="00B06E3D" w:rsidRPr="00C01898">
        <w:t xml:space="preserve"> of digoxin </w:t>
      </w:r>
      <w:r w:rsidR="00DB6405" w:rsidRPr="00C01898">
        <w:t>was</w:t>
      </w:r>
      <w:r w:rsidR="00B06E3D" w:rsidRPr="00C01898">
        <w:t xml:space="preserve"> not affected by c</w:t>
      </w:r>
      <w:r w:rsidR="00823AF2" w:rsidRPr="00C01898">
        <w:t>o-administration of netupitant.</w:t>
      </w:r>
    </w:p>
    <w:p w:rsidR="00B06E3D" w:rsidRPr="00C01898" w:rsidRDefault="00B06E3D" w:rsidP="00C01898">
      <w:r w:rsidRPr="00C01898">
        <w:t xml:space="preserve">Following co-administration of contraceptives and the FDC the </w:t>
      </w:r>
      <w:proofErr w:type="spellStart"/>
      <w:r w:rsidR="0018634D" w:rsidRPr="005B2EAC">
        <w:t>C</w:t>
      </w:r>
      <w:r w:rsidR="0018634D" w:rsidRPr="0018634D">
        <w:rPr>
          <w:vertAlign w:val="subscript"/>
        </w:rPr>
        <w:t>max</w:t>
      </w:r>
      <w:proofErr w:type="spellEnd"/>
      <w:r w:rsidR="0014758F" w:rsidRPr="00C01898">
        <w:t xml:space="preserve"> </w:t>
      </w:r>
      <w:r w:rsidRPr="00C01898">
        <w:t xml:space="preserve">of </w:t>
      </w:r>
      <w:proofErr w:type="spellStart"/>
      <w:r w:rsidRPr="00C01898">
        <w:t>ethinylestradiol</w:t>
      </w:r>
      <w:proofErr w:type="spellEnd"/>
      <w:r w:rsidRPr="00C01898">
        <w:t xml:space="preserve"> was unchanged, whereas, the </w:t>
      </w:r>
      <w:proofErr w:type="spellStart"/>
      <w:r w:rsidR="00B765DE" w:rsidRPr="00C01898">
        <w:t>AUC</w:t>
      </w:r>
      <w:r w:rsidR="00B765DE" w:rsidRPr="00B765DE">
        <w:rPr>
          <w:vertAlign w:val="subscript"/>
        </w:rPr>
        <w:t>inf</w:t>
      </w:r>
      <w:proofErr w:type="spellEnd"/>
      <w:r w:rsidRPr="00C01898">
        <w:t xml:space="preserve"> was 12</w:t>
      </w:r>
      <w:r w:rsidR="000403F6">
        <w:t>%</w:t>
      </w:r>
      <w:r w:rsidRPr="00C01898">
        <w:t xml:space="preserve"> higher compared to when the contraceptive was given alone. Similarly, for </w:t>
      </w:r>
      <w:proofErr w:type="spellStart"/>
      <w:r w:rsidRPr="00C01898">
        <w:t>levonorgestrel</w:t>
      </w:r>
      <w:proofErr w:type="spellEnd"/>
      <w:r w:rsidRPr="00C01898">
        <w:t xml:space="preserve"> the </w:t>
      </w:r>
      <w:proofErr w:type="spellStart"/>
      <w:r w:rsidR="0018634D" w:rsidRPr="005B2EAC">
        <w:t>C</w:t>
      </w:r>
      <w:r w:rsidR="0018634D" w:rsidRPr="0018634D">
        <w:rPr>
          <w:vertAlign w:val="subscript"/>
        </w:rPr>
        <w:t>max</w:t>
      </w:r>
      <w:proofErr w:type="spellEnd"/>
      <w:r w:rsidR="0014758F" w:rsidRPr="00C01898">
        <w:t xml:space="preserve"> </w:t>
      </w:r>
      <w:r w:rsidRPr="00C01898">
        <w:t xml:space="preserve">was unchanged by the co-administration of FDC, whereas the </w:t>
      </w:r>
      <w:proofErr w:type="spellStart"/>
      <w:r w:rsidR="00B765DE" w:rsidRPr="00C01898">
        <w:t>AUC</w:t>
      </w:r>
      <w:r w:rsidR="00B765DE" w:rsidRPr="00B765DE">
        <w:rPr>
          <w:vertAlign w:val="subscript"/>
        </w:rPr>
        <w:t>inf</w:t>
      </w:r>
      <w:proofErr w:type="spellEnd"/>
      <w:r w:rsidRPr="00C01898">
        <w:t xml:space="preserve"> was significantly higher (40</w:t>
      </w:r>
      <w:r w:rsidR="000403F6">
        <w:t>%</w:t>
      </w:r>
      <w:r w:rsidRPr="00C01898">
        <w:t>).</w:t>
      </w:r>
    </w:p>
    <w:p w:rsidR="006043A8" w:rsidRPr="00C01898" w:rsidRDefault="00B06E3D" w:rsidP="00C01898">
      <w:pPr>
        <w:pStyle w:val="Heading5"/>
      </w:pPr>
      <w:r w:rsidRPr="00C01898">
        <w:t>Pharmacok</w:t>
      </w:r>
      <w:r w:rsidR="006043A8" w:rsidRPr="00C01898">
        <w:t>inetic interactions in patients</w:t>
      </w:r>
    </w:p>
    <w:p w:rsidR="00B06E3D" w:rsidRPr="00C01898" w:rsidRDefault="00B06E3D" w:rsidP="00C01898">
      <w:r w:rsidRPr="00C01898">
        <w:t xml:space="preserve">Compared to when IV docetaxel and oral </w:t>
      </w:r>
      <w:proofErr w:type="spellStart"/>
      <w:r w:rsidRPr="00C01898">
        <w:t>palonosetron</w:t>
      </w:r>
      <w:proofErr w:type="spellEnd"/>
      <w:r w:rsidRPr="00C01898">
        <w:t xml:space="preserve"> were co-administered, administration of docetaxe</w:t>
      </w:r>
      <w:r w:rsidR="00957BD6" w:rsidRPr="00C01898">
        <w:t xml:space="preserve">l with the FDC resulted in 1.49 and 1.35 </w:t>
      </w:r>
      <w:r w:rsidRPr="00C01898">
        <w:t xml:space="preserve">fold increases in the docetaxel </w:t>
      </w:r>
      <w:proofErr w:type="spellStart"/>
      <w:r w:rsidR="0018634D" w:rsidRPr="005B2EAC">
        <w:t>C</w:t>
      </w:r>
      <w:r w:rsidR="0018634D" w:rsidRPr="0018634D">
        <w:rPr>
          <w:vertAlign w:val="subscript"/>
        </w:rPr>
        <w:t>max</w:t>
      </w:r>
      <w:proofErr w:type="spellEnd"/>
      <w:r w:rsidR="00957BD6" w:rsidRPr="00C01898">
        <w:t xml:space="preserve"> </w:t>
      </w:r>
      <w:r w:rsidRPr="00C01898">
        <w:t xml:space="preserve">and </w:t>
      </w:r>
      <w:r w:rsidR="00B765DE" w:rsidRPr="00C01898">
        <w:t>AUC</w:t>
      </w:r>
      <w:r w:rsidR="00B765DE" w:rsidRPr="00B765DE">
        <w:rPr>
          <w:vertAlign w:val="subscript"/>
        </w:rPr>
        <w:t>0-t</w:t>
      </w:r>
      <w:r w:rsidRPr="00C01898">
        <w:t xml:space="preserve">, respectively. For etoposide, the </w:t>
      </w:r>
      <w:r w:rsidR="00B765DE" w:rsidRPr="00C01898">
        <w:t>AUC</w:t>
      </w:r>
      <w:r w:rsidR="00B765DE" w:rsidRPr="00B765DE">
        <w:rPr>
          <w:vertAlign w:val="subscript"/>
        </w:rPr>
        <w:t>0-t</w:t>
      </w:r>
      <w:r w:rsidRPr="00C01898">
        <w:t xml:space="preserve"> in the FDC period was approximately 21</w:t>
      </w:r>
      <w:r w:rsidR="000403F6">
        <w:t>%</w:t>
      </w:r>
      <w:r w:rsidRPr="00C01898">
        <w:t xml:space="preserve"> higher than in the reference period, whereas, etoposide </w:t>
      </w:r>
      <w:proofErr w:type="spellStart"/>
      <w:r w:rsidR="0018634D" w:rsidRPr="005B2EAC">
        <w:t>C</w:t>
      </w:r>
      <w:r w:rsidR="0018634D" w:rsidRPr="0018634D">
        <w:rPr>
          <w:vertAlign w:val="subscript"/>
        </w:rPr>
        <w:t>max</w:t>
      </w:r>
      <w:proofErr w:type="spellEnd"/>
      <w:r w:rsidR="00957BD6" w:rsidRPr="00C01898">
        <w:t xml:space="preserve"> </w:t>
      </w:r>
      <w:r w:rsidRPr="00C01898">
        <w:t xml:space="preserve">values were similar in both treatment periods. For cyclophosphamide, the </w:t>
      </w:r>
      <w:proofErr w:type="spellStart"/>
      <w:r w:rsidR="0018634D" w:rsidRPr="005B2EAC">
        <w:t>C</w:t>
      </w:r>
      <w:r w:rsidR="0018634D" w:rsidRPr="0018634D">
        <w:rPr>
          <w:vertAlign w:val="subscript"/>
        </w:rPr>
        <w:t>max</w:t>
      </w:r>
      <w:proofErr w:type="spellEnd"/>
      <w:r w:rsidR="00957BD6" w:rsidRPr="00C01898">
        <w:t xml:space="preserve"> </w:t>
      </w:r>
      <w:r w:rsidRPr="00C01898">
        <w:t xml:space="preserve">and </w:t>
      </w:r>
      <w:r w:rsidR="00B765DE" w:rsidRPr="00C01898">
        <w:t>AUC</w:t>
      </w:r>
      <w:r w:rsidR="00B765DE" w:rsidRPr="00B765DE">
        <w:rPr>
          <w:vertAlign w:val="subscript"/>
        </w:rPr>
        <w:t>0-t</w:t>
      </w:r>
      <w:r w:rsidRPr="00C01898">
        <w:t xml:space="preserve"> values were 27</w:t>
      </w:r>
      <w:r w:rsidR="000403F6">
        <w:t>%</w:t>
      </w:r>
      <w:r w:rsidRPr="00C01898">
        <w:t xml:space="preserve"> and 20</w:t>
      </w:r>
      <w:r w:rsidR="000403F6">
        <w:t>%</w:t>
      </w:r>
      <w:r w:rsidRPr="00C01898">
        <w:t xml:space="preserve"> higher, respectively, following co-administration of the FDC compared to the period in which palonosetron was administered with cyclophosphamide.</w:t>
      </w:r>
    </w:p>
    <w:p w:rsidR="002128C4" w:rsidRPr="00C01898" w:rsidRDefault="002128C4" w:rsidP="00C01898">
      <w:pPr>
        <w:pStyle w:val="Heading5"/>
      </w:pPr>
      <w:r w:rsidRPr="00C01898">
        <w:t>In vitro interactions</w:t>
      </w:r>
    </w:p>
    <w:p w:rsidR="00B06E3D" w:rsidRPr="00C01898" w:rsidRDefault="00B06E3D" w:rsidP="00C01898">
      <w:r w:rsidRPr="00C01898">
        <w:t xml:space="preserve">Netupitant concentrations of 0.2, 2 and 20 </w:t>
      </w:r>
      <w:proofErr w:type="spellStart"/>
      <w:r w:rsidRPr="00C01898">
        <w:t>μM</w:t>
      </w:r>
      <w:proofErr w:type="spellEnd"/>
      <w:r w:rsidRPr="00C01898">
        <w:t xml:space="preserve"> and M1, M2 and M3 at concentrations of 0.02, 0.2 and 2 </w:t>
      </w:r>
      <w:proofErr w:type="spellStart"/>
      <w:r w:rsidRPr="00C01898">
        <w:t>μM</w:t>
      </w:r>
      <w:proofErr w:type="spellEnd"/>
      <w:r w:rsidRPr="00C01898">
        <w:t xml:space="preserve"> did not induce CYP1A2, CYP2C9, CYP2C19 or CYP3A4 activity in human hepatocytes.</w:t>
      </w:r>
    </w:p>
    <w:p w:rsidR="00EB29D2" w:rsidRPr="00C01898" w:rsidRDefault="00EB29D2" w:rsidP="00C01898">
      <w:pPr>
        <w:pStyle w:val="Heading5"/>
      </w:pPr>
      <w:r w:rsidRPr="00C01898">
        <w:lastRenderedPageBreak/>
        <w:t xml:space="preserve">Limitations of </w:t>
      </w:r>
      <w:r w:rsidR="00CE0692">
        <w:t>Pharmacokinetics</w:t>
      </w:r>
      <w:r w:rsidRPr="00C01898">
        <w:t xml:space="preserve"> studies</w:t>
      </w:r>
    </w:p>
    <w:p w:rsidR="00B06E3D" w:rsidRPr="00C01898" w:rsidRDefault="00CE0692" w:rsidP="00C01898">
      <w:r>
        <w:t>No studies have examined the PK</w:t>
      </w:r>
      <w:r w:rsidR="00B06E3D" w:rsidRPr="00C01898">
        <w:t xml:space="preserve"> of the FDC in the target population who were not receiving concurrent chemotherapy (</w:t>
      </w:r>
      <w:r w:rsidR="004B70D8" w:rsidRPr="00C01898">
        <w:t>for example,</w:t>
      </w:r>
      <w:r w:rsidR="00B06E3D" w:rsidRPr="00C01898">
        <w:t xml:space="preserve"> docetaxel).</w:t>
      </w:r>
    </w:p>
    <w:p w:rsidR="00B06E3D" w:rsidRPr="00C01898" w:rsidRDefault="00B06E3D" w:rsidP="00C01898">
      <w:r w:rsidRPr="00C01898">
        <w:t>Due to the low number of subjects (n = 2) included in the PK analysis of subjects with severe hepat</w:t>
      </w:r>
      <w:r w:rsidR="00CE0692">
        <w:t>ic impairment the effect the PK</w:t>
      </w:r>
      <w:r w:rsidRPr="00C01898">
        <w:t xml:space="preserve"> of the FDC are unknown. Overall, hepatic impairment appears to result in increased inter-subje</w:t>
      </w:r>
      <w:r w:rsidR="00CE0692">
        <w:t>ct variability in netupitant PK</w:t>
      </w:r>
      <w:r w:rsidRPr="00C01898">
        <w:t xml:space="preserve"> as well as increases in exposure to both netupitant and palonosetro</w:t>
      </w:r>
      <w:r w:rsidR="00481A62" w:rsidRPr="00C01898">
        <w:t>n.</w:t>
      </w:r>
    </w:p>
    <w:p w:rsidR="00B06E3D" w:rsidRPr="00C01898" w:rsidRDefault="00CE0692" w:rsidP="00C01898">
      <w:r>
        <w:t>No studies have examined the PK</w:t>
      </w:r>
      <w:r w:rsidR="00B06E3D" w:rsidRPr="00C01898">
        <w:t xml:space="preserve"> of the FDC in subjects with renal impairment. Although the oral ADME study indicated that only low levels of netupitant related material were excreted in urine (4.75</w:t>
      </w:r>
      <w:r w:rsidR="000403F6">
        <w:t>%</w:t>
      </w:r>
      <w:r w:rsidR="00B06E3D" w:rsidRPr="00C01898">
        <w:t>) and therefore impaired renal function is unlikely to induc</w:t>
      </w:r>
      <w:r>
        <w:t>e significant changes in the PK</w:t>
      </w:r>
      <w:r w:rsidR="00B06E3D" w:rsidRPr="00C01898">
        <w:t xml:space="preserve"> of netupitant, as netupitant is a new chemical entity and given that the FDC has not been previously described or registered the </w:t>
      </w:r>
      <w:r w:rsidR="00142EBA" w:rsidRPr="00C01898">
        <w:t>evaluator</w:t>
      </w:r>
      <w:r w:rsidR="00B06E3D" w:rsidRPr="00C01898">
        <w:t xml:space="preserve"> believes that a study of the FDC in patients with impaired renal function is</w:t>
      </w:r>
      <w:r w:rsidR="00481A62" w:rsidRPr="00C01898">
        <w:t xml:space="preserve"> appropriate.</w:t>
      </w:r>
    </w:p>
    <w:p w:rsidR="00B06E3D" w:rsidRPr="00C01898" w:rsidRDefault="0065322D" w:rsidP="00C01898">
      <w:r w:rsidRPr="00C01898">
        <w:t xml:space="preserve">As stated by the </w:t>
      </w:r>
      <w:r w:rsidR="00142EBA" w:rsidRPr="00C01898">
        <w:t>evaluator</w:t>
      </w:r>
      <w:r w:rsidR="00B06E3D" w:rsidRPr="00C01898">
        <w:t xml:space="preserve"> there are some issues with the modelling data that prohibit an accurate comparison of the </w:t>
      </w:r>
      <w:proofErr w:type="spellStart"/>
      <w:r w:rsidR="00B06E3D" w:rsidRPr="00C01898">
        <w:t>P</w:t>
      </w:r>
      <w:r w:rsidR="00CE0692">
        <w:t>op</w:t>
      </w:r>
      <w:r w:rsidR="00B06E3D" w:rsidRPr="00C01898">
        <w:t>PK</w:t>
      </w:r>
      <w:proofErr w:type="spellEnd"/>
      <w:r w:rsidR="00B06E3D" w:rsidRPr="00C01898">
        <w:t xml:space="preserve"> results relating to age with those from </w:t>
      </w:r>
      <w:r w:rsidR="00F73FE3" w:rsidRPr="00C01898">
        <w:t>Study NETU</w:t>
      </w:r>
      <w:r w:rsidR="00B06E3D" w:rsidRPr="00C01898">
        <w:t>-10-12.</w:t>
      </w:r>
    </w:p>
    <w:p w:rsidR="00B06E3D" w:rsidRPr="00C01898" w:rsidRDefault="00481A62" w:rsidP="00C01898">
      <w:r w:rsidRPr="00C01898">
        <w:t xml:space="preserve">As stated by the </w:t>
      </w:r>
      <w:r w:rsidR="00142EBA" w:rsidRPr="00C01898">
        <w:t>evaluator</w:t>
      </w:r>
      <w:r w:rsidRPr="00C01898">
        <w:t xml:space="preserve">, </w:t>
      </w:r>
      <w:r w:rsidR="00B06E3D" w:rsidRPr="00C01898">
        <w:t>the populations modelled were primarily female (</w:t>
      </w:r>
      <w:r w:rsidR="003A581C" w:rsidRPr="00C01898">
        <w:t>approximately</w:t>
      </w:r>
      <w:r w:rsidR="008D5592">
        <w:t xml:space="preserve"> </w:t>
      </w:r>
      <w:r w:rsidR="00B06E3D" w:rsidRPr="00C01898">
        <w:t>96</w:t>
      </w:r>
      <w:r w:rsidR="000403F6">
        <w:t>%</w:t>
      </w:r>
      <w:r w:rsidR="00B06E3D" w:rsidRPr="00C01898">
        <w:t>) and Caucasian (</w:t>
      </w:r>
      <w:r w:rsidR="003A581C" w:rsidRPr="00C01898">
        <w:t>approximately</w:t>
      </w:r>
      <w:r w:rsidR="008D5592">
        <w:t xml:space="preserve"> </w:t>
      </w:r>
      <w:r w:rsidR="00B06E3D" w:rsidRPr="00C01898">
        <w:t>86</w:t>
      </w:r>
      <w:r w:rsidR="000403F6">
        <w:t>%</w:t>
      </w:r>
      <w:r w:rsidR="00B06E3D" w:rsidRPr="00C01898">
        <w:t>). Therefore, due to t</w:t>
      </w:r>
      <w:r w:rsidR="003818B7">
        <w:t xml:space="preserve">he small number of males (n = 4 to </w:t>
      </w:r>
      <w:r w:rsidR="00B06E3D" w:rsidRPr="00C01898">
        <w:t xml:space="preserve">5) and non-Caucasian subjects (n </w:t>
      </w:r>
      <w:r w:rsidR="003818B7">
        <w:t>= 1</w:t>
      </w:r>
      <w:r w:rsidR="00B06E3D" w:rsidRPr="00C01898">
        <w:t>6) included in the analyses, it may not have allowed an accurate determination of the importance of these covariates and further analysis regarding gender and race may be required.</w:t>
      </w:r>
    </w:p>
    <w:p w:rsidR="00B06E3D" w:rsidRPr="00C01898" w:rsidRDefault="00B06E3D" w:rsidP="00C01898">
      <w:r w:rsidRPr="00C01898">
        <w:t xml:space="preserve">Comparison of the PK results in </w:t>
      </w:r>
      <w:r w:rsidR="00F73FE3" w:rsidRPr="00C01898">
        <w:t>Study NETU</w:t>
      </w:r>
      <w:r w:rsidRPr="00C01898">
        <w:t>-06-07 with those in Study NP16603, where the same doses of ne</w:t>
      </w:r>
      <w:r w:rsidR="00481A62" w:rsidRPr="00C01898">
        <w:t>tupitant were administered (that is,</w:t>
      </w:r>
      <w:r w:rsidRPr="00C01898">
        <w:t xml:space="preserve"> 100, 300 and 450 mg), indicates that </w:t>
      </w:r>
      <w:proofErr w:type="spellStart"/>
      <w:r w:rsidRPr="00C01898">
        <w:t>netupitant</w:t>
      </w:r>
      <w:proofErr w:type="spellEnd"/>
      <w:r w:rsidRPr="00C01898">
        <w:t xml:space="preserve"> </w:t>
      </w:r>
      <w:proofErr w:type="spellStart"/>
      <w:r w:rsidR="00B765DE" w:rsidRPr="00C01898">
        <w:t>AUC</w:t>
      </w:r>
      <w:r w:rsidR="00B765DE" w:rsidRPr="00B765DE">
        <w:rPr>
          <w:vertAlign w:val="subscript"/>
        </w:rPr>
        <w:t>inf</w:t>
      </w:r>
      <w:proofErr w:type="spellEnd"/>
      <w:r w:rsidRPr="00C01898">
        <w:t xml:space="preserve"> was significantly lower in </w:t>
      </w:r>
      <w:r w:rsidR="00F73FE3" w:rsidRPr="00C01898">
        <w:t>Study NETU</w:t>
      </w:r>
      <w:r w:rsidRPr="00C01898">
        <w:t>-06-07. Therefore, a study examining the effect on</w:t>
      </w:r>
      <w:r w:rsidR="00CE0692">
        <w:t xml:space="preserve"> netupitant PK</w:t>
      </w:r>
      <w:r w:rsidRPr="00C01898">
        <w:t xml:space="preserve"> when netupitant is co-administered with dexamethasone is warranted.</w:t>
      </w:r>
    </w:p>
    <w:p w:rsidR="00B06E3D" w:rsidRPr="00C01898" w:rsidRDefault="00B06E3D" w:rsidP="00C01898">
      <w:r w:rsidRPr="00C01898">
        <w:t>The eff</w:t>
      </w:r>
      <w:r w:rsidR="00CE0692">
        <w:t>ect of digoxin on netupitant PK</w:t>
      </w:r>
      <w:r w:rsidRPr="00C01898">
        <w:t xml:space="preserve"> was not examined</w:t>
      </w:r>
      <w:r w:rsidR="00823AF2" w:rsidRPr="00C01898">
        <w:t>.</w:t>
      </w:r>
    </w:p>
    <w:p w:rsidR="00B06E3D" w:rsidRPr="00C01898" w:rsidRDefault="00B06E3D" w:rsidP="00C01898">
      <w:r w:rsidRPr="00C01898">
        <w:t>The effect of the contracep</w:t>
      </w:r>
      <w:r w:rsidR="00CE0692">
        <w:t>tive administration upon the PK</w:t>
      </w:r>
      <w:r w:rsidRPr="00C01898">
        <w:t xml:space="preserve"> of the FDC was not examined.</w:t>
      </w:r>
      <w:bookmarkStart w:id="88" w:name="_Toc196046481"/>
      <w:bookmarkStart w:id="89" w:name="_Toc247691520"/>
      <w:bookmarkStart w:id="90" w:name="_Toc314842503"/>
    </w:p>
    <w:p w:rsidR="0028078F" w:rsidRDefault="0079492A" w:rsidP="00C01898">
      <w:pPr>
        <w:pStyle w:val="Heading3"/>
      </w:pPr>
      <w:bookmarkStart w:id="91" w:name="_Toc466986538"/>
      <w:r>
        <w:t>Population p</w:t>
      </w:r>
      <w:r w:rsidR="0028078F">
        <w:t>harmacokinetics</w:t>
      </w:r>
      <w:bookmarkEnd w:id="91"/>
    </w:p>
    <w:p w:rsidR="00802EEF" w:rsidRPr="00802EEF" w:rsidRDefault="00802EEF" w:rsidP="00C01898">
      <w:pPr>
        <w:pStyle w:val="Heading4"/>
      </w:pPr>
      <w:r w:rsidRPr="00802EEF">
        <w:t xml:space="preserve">Studies providing </w:t>
      </w:r>
      <w:r w:rsidR="00A543AE">
        <w:t>pharma</w:t>
      </w:r>
      <w:r>
        <w:t>cokinetic/</w:t>
      </w:r>
      <w:r w:rsidRPr="00802EEF">
        <w:t>pharmacodynamic data</w:t>
      </w:r>
    </w:p>
    <w:p w:rsidR="0028078F" w:rsidRPr="00C01898" w:rsidRDefault="0028078F" w:rsidP="00C01898">
      <w:r w:rsidRPr="00C01898">
        <w:t>The following study provided population pharmacokinetic</w:t>
      </w:r>
      <w:r w:rsidR="00CE0692">
        <w:t xml:space="preserve"> (</w:t>
      </w:r>
      <w:proofErr w:type="spellStart"/>
      <w:r w:rsidR="00CE0692">
        <w:t>PopPK</w:t>
      </w:r>
      <w:proofErr w:type="spellEnd"/>
      <w:r w:rsidR="00CE0692">
        <w:t>)</w:t>
      </w:r>
      <w:r w:rsidRPr="00C01898">
        <w:t>/</w:t>
      </w:r>
      <w:proofErr w:type="spellStart"/>
      <w:r w:rsidRPr="00C01898">
        <w:t>pharmacodynamic</w:t>
      </w:r>
      <w:proofErr w:type="spellEnd"/>
      <w:r w:rsidRPr="00C01898">
        <w:t xml:space="preserve"> </w:t>
      </w:r>
      <w:r w:rsidR="00CE0692">
        <w:t xml:space="preserve">(PD) </w:t>
      </w:r>
      <w:r w:rsidRPr="00C01898">
        <w:t>data:</w:t>
      </w:r>
    </w:p>
    <w:p w:rsidR="0028078F" w:rsidRPr="00C01898" w:rsidRDefault="00F73FE3" w:rsidP="00C01898">
      <w:r w:rsidRPr="00C01898">
        <w:t>Study NETU</w:t>
      </w:r>
      <w:r w:rsidR="006A6099" w:rsidRPr="00C01898">
        <w:t xml:space="preserve">-08-18, </w:t>
      </w:r>
      <w:r w:rsidR="0028078F" w:rsidRPr="00C01898">
        <w:t xml:space="preserve">a </w:t>
      </w:r>
      <w:r w:rsidR="003818B7">
        <w:t>Phase</w:t>
      </w:r>
      <w:r w:rsidR="0028078F" w:rsidRPr="00C01898">
        <w:t xml:space="preserve"> III, </w:t>
      </w:r>
      <w:proofErr w:type="spellStart"/>
      <w:r w:rsidR="0028078F" w:rsidRPr="00C01898">
        <w:t>multicenter</w:t>
      </w:r>
      <w:proofErr w:type="spellEnd"/>
      <w:r w:rsidR="0028078F" w:rsidRPr="00C01898">
        <w:t>, multinational, random</w:t>
      </w:r>
      <w:r w:rsidR="00AA120C">
        <w:t>ise</w:t>
      </w:r>
      <w:r w:rsidR="0028078F" w:rsidRPr="00C01898">
        <w:t xml:space="preserve">d, double blind, </w:t>
      </w:r>
      <w:r w:rsidR="003818B7">
        <w:t>double dummy</w:t>
      </w:r>
      <w:r w:rsidR="0028078F" w:rsidRPr="00C01898">
        <w:t xml:space="preserve">, parallel group, stratified study assessing efficacy and safety of a single oral dose of a fixed combination of netupitant and palonosetron (300 mg/0.50 mg) given with oral dexamethasone </w:t>
      </w:r>
      <w:r w:rsidR="006A6099" w:rsidRPr="00C01898">
        <w:t xml:space="preserve">versus oral </w:t>
      </w:r>
      <w:proofErr w:type="spellStart"/>
      <w:r w:rsidR="006A6099" w:rsidRPr="00C01898">
        <w:t>palonosetron</w:t>
      </w:r>
      <w:proofErr w:type="spellEnd"/>
      <w:r w:rsidR="006A6099" w:rsidRPr="00C01898">
        <w:t xml:space="preserve"> (</w:t>
      </w:r>
      <w:proofErr w:type="spellStart"/>
      <w:r w:rsidR="00481A62" w:rsidRPr="00C01898">
        <w:t>Aloxi</w:t>
      </w:r>
      <w:proofErr w:type="spellEnd"/>
      <w:r w:rsidR="0028078F" w:rsidRPr="00C01898">
        <w:t xml:space="preserve">) and oral dexamethasone prior to </w:t>
      </w:r>
      <w:r w:rsidR="00481A62" w:rsidRPr="00C01898">
        <w:t>MEC</w:t>
      </w:r>
      <w:r w:rsidR="0028078F" w:rsidRPr="00C01898">
        <w:t xml:space="preserve">. The study enrolled adult chemotherapy </w:t>
      </w:r>
      <w:proofErr w:type="spellStart"/>
      <w:r w:rsidR="0028078F" w:rsidRPr="00C01898">
        <w:t>naїve</w:t>
      </w:r>
      <w:proofErr w:type="spellEnd"/>
      <w:r w:rsidR="0028078F" w:rsidRPr="00C01898">
        <w:t xml:space="preserve"> male and female patients with a diagnosis of malignant solid </w:t>
      </w:r>
      <w:r w:rsidR="00925E7F" w:rsidRPr="00C01898">
        <w:t>tumour</w:t>
      </w:r>
      <w:r w:rsidR="0028078F" w:rsidRPr="00C01898">
        <w:t xml:space="preserve"> requiring treatment with an anthracycline and cyclophosphamide containing MEC regimen on Day 1 of each cycle</w:t>
      </w:r>
    </w:p>
    <w:p w:rsidR="00A543AE" w:rsidRPr="00C01898" w:rsidRDefault="00142EBA" w:rsidP="00C01898">
      <w:pPr>
        <w:pStyle w:val="Heading4"/>
      </w:pPr>
      <w:r w:rsidRPr="00C01898">
        <w:t>Evaluator</w:t>
      </w:r>
      <w:r w:rsidR="00A543AE" w:rsidRPr="00C01898">
        <w:t>’s conclusions on pharmacokinetics</w:t>
      </w:r>
    </w:p>
    <w:p w:rsidR="00A543AE" w:rsidRPr="00C01898" w:rsidRDefault="00A543AE" w:rsidP="00C01898">
      <w:r w:rsidRPr="00C01898">
        <w:t xml:space="preserve">Overall, the modelling process performed by the </w:t>
      </w:r>
      <w:r w:rsidR="00791AE3" w:rsidRPr="00C01898">
        <w:t>sponsor</w:t>
      </w:r>
      <w:r w:rsidRPr="00C01898">
        <w:t xml:space="preserve"> was conducted and r</w:t>
      </w:r>
      <w:r w:rsidR="003818B7">
        <w:t>eported in accordance with the g</w:t>
      </w:r>
      <w:r w:rsidRPr="00C01898">
        <w:t>uideline</w:t>
      </w:r>
      <w:r w:rsidR="003818B7">
        <w:t>.</w:t>
      </w:r>
      <w:r w:rsidR="003818B7">
        <w:rPr>
          <w:rStyle w:val="FootnoteReference"/>
        </w:rPr>
        <w:footnoteReference w:id="12"/>
      </w:r>
      <w:r w:rsidRPr="00C01898">
        <w:t xml:space="preserve"> The base, error and covariate models were all developed </w:t>
      </w:r>
      <w:r w:rsidRPr="00C01898">
        <w:lastRenderedPageBreak/>
        <w:t>in accordance with the guidance. Appropriate diagnostic statistics and plots were provided for the models for netupitant and palonosetron but not for the M1, M2 and M3 metabolites. There were some inconsistencies whereby ALAG was excluded from early models, only to appear in the final models.</w:t>
      </w:r>
    </w:p>
    <w:p w:rsidR="00A543AE" w:rsidRPr="00C01898" w:rsidRDefault="00A543AE" w:rsidP="00C01898">
      <w:r w:rsidRPr="00C01898">
        <w:t xml:space="preserve">The </w:t>
      </w:r>
      <w:r w:rsidR="00791AE3" w:rsidRPr="00C01898">
        <w:t>sponsor’s</w:t>
      </w:r>
      <w:r w:rsidR="003818B7">
        <w:t xml:space="preserve"> </w:t>
      </w:r>
      <w:proofErr w:type="spellStart"/>
      <w:r w:rsidR="003818B7">
        <w:t>P</w:t>
      </w:r>
      <w:r w:rsidR="00CE0692">
        <w:t>opPK</w:t>
      </w:r>
      <w:proofErr w:type="spellEnd"/>
      <w:r w:rsidRPr="00C01898">
        <w:t xml:space="preserve"> model for </w:t>
      </w:r>
      <w:proofErr w:type="spellStart"/>
      <w:r w:rsidRPr="00C01898">
        <w:t>netupitant</w:t>
      </w:r>
      <w:proofErr w:type="spellEnd"/>
      <w:r w:rsidRPr="00C01898">
        <w:t xml:space="preserve"> was confirmed by the external validation. However, the final model does not contain any covariate effects and does not provide any useful information with regard to individualisation of dosing. As would be expected from the previous data, it was </w:t>
      </w:r>
      <w:r w:rsidR="003818B7">
        <w:t>not possible to describe a dose or concentration effect relationship</w:t>
      </w:r>
      <w:r w:rsidRPr="00C01898">
        <w:t xml:space="preserve"> because the 300 mg dose level would be expected to achieve maximum effect. There was no obvious relationship between dose or concentration and adverse effects, but this may have been limited by the paucity of subjects having adverse effects.</w:t>
      </w:r>
    </w:p>
    <w:p w:rsidR="00A543AE" w:rsidRPr="00C01898" w:rsidRDefault="00142EBA" w:rsidP="00C01898">
      <w:r w:rsidRPr="00C01898">
        <w:t>In the opinion of the evaluator</w:t>
      </w:r>
      <w:r w:rsidR="00A543AE" w:rsidRPr="00C01898">
        <w:t>, the models for the M1, M2 and M2 metabolites have serious limitations. The proportion of the dose converted to the metabolite was assumed from prior data and also assumed to be the same for all the subjects. There were no data for the output of each of the metabolites, either in urine or faeces. This means that volume of distribution was not estimable. In the equation for the met</w:t>
      </w:r>
      <w:r w:rsidR="003818B7">
        <w:t xml:space="preserve">abolite, V/F and </w:t>
      </w:r>
      <w:r w:rsidR="00C952C9">
        <w:t>apparent clearance (</w:t>
      </w:r>
      <w:r w:rsidR="003818B7">
        <w:t>CL/F</w:t>
      </w:r>
      <w:r w:rsidR="00C952C9">
        <w:t>)</w:t>
      </w:r>
      <w:r w:rsidR="003818B7">
        <w:t xml:space="preserve"> are inter</w:t>
      </w:r>
      <w:r w:rsidR="00A543AE" w:rsidRPr="00C01898">
        <w:t>related. Hence, the inability to estimate V/F also translates to an inability to estimate CL/F. This explains why the estimates for V/F and CL/F were highly sensitive to the initial estimates.</w:t>
      </w:r>
    </w:p>
    <w:p w:rsidR="00A543AE" w:rsidRPr="00C01898" w:rsidRDefault="00A543AE" w:rsidP="00C01898">
      <w:r w:rsidRPr="00C01898">
        <w:t>However, although the estimates of V/F and CL/F from the models for the M1, M2 and M3 metabolites are not reliable, these models could still be used</w:t>
      </w:r>
      <w:r w:rsidR="005F4AC5">
        <w:t xml:space="preserve"> to reliably estimate AUC and </w:t>
      </w:r>
      <w:proofErr w:type="spellStart"/>
      <w:r w:rsidR="005F4AC5">
        <w:t>C</w:t>
      </w:r>
      <w:r w:rsidR="005F4AC5" w:rsidRPr="005F4AC5">
        <w:rPr>
          <w:vertAlign w:val="subscript"/>
        </w:rPr>
        <w:t>max</w:t>
      </w:r>
      <w:proofErr w:type="spellEnd"/>
      <w:r w:rsidRPr="00C01898">
        <w:t xml:space="preserve"> for the metabolites, because these are descriptive parameters. These parameters did not have any relationship with either efficacy or toxicity.</w:t>
      </w:r>
    </w:p>
    <w:p w:rsidR="00E70AFE" w:rsidRPr="00C01898" w:rsidRDefault="00A543AE" w:rsidP="00C01898">
      <w:r w:rsidRPr="00C01898">
        <w:t xml:space="preserve">With regard </w:t>
      </w:r>
      <w:r w:rsidR="004A3AAA">
        <w:t xml:space="preserve">to </w:t>
      </w:r>
      <w:r w:rsidRPr="00C01898">
        <w:t>the palonosetron model, the validation did not confirm the model</w:t>
      </w:r>
      <w:r w:rsidR="004B00B1" w:rsidRPr="00C01898">
        <w:t xml:space="preserve"> </w:t>
      </w:r>
      <w:r w:rsidRPr="00C01898">
        <w:t xml:space="preserve">submitted by the </w:t>
      </w:r>
      <w:r w:rsidR="00791AE3" w:rsidRPr="00C01898">
        <w:t>sponsor</w:t>
      </w:r>
      <w:r w:rsidRPr="00C01898">
        <w:t xml:space="preserve">. The </w:t>
      </w:r>
      <w:r w:rsidR="00791AE3" w:rsidRPr="00C01898">
        <w:t>sponsor’s</w:t>
      </w:r>
      <w:r w:rsidRPr="00C01898">
        <w:t xml:space="preserve"> choice of a two compartment model may</w:t>
      </w:r>
      <w:r w:rsidR="004B00B1" w:rsidRPr="00C01898">
        <w:t xml:space="preserve"> </w:t>
      </w:r>
      <w:r w:rsidRPr="00C01898">
        <w:t>have been informed by knowledge of the intraveno</w:t>
      </w:r>
      <w:r w:rsidR="004B00B1" w:rsidRPr="00C01898">
        <w:t>us PK of palonosetron</w:t>
      </w:r>
      <w:r w:rsidR="003818B7">
        <w:t xml:space="preserve"> (as shown in Figure 3)</w:t>
      </w:r>
      <w:r w:rsidR="004B00B1" w:rsidRPr="00C01898">
        <w:t>.</w:t>
      </w:r>
      <w:bookmarkStart w:id="92" w:name="_Ref461524235"/>
      <w:r w:rsidR="003818B7">
        <w:rPr>
          <w:rStyle w:val="FootnoteReference"/>
        </w:rPr>
        <w:footnoteReference w:id="13"/>
      </w:r>
      <w:bookmarkEnd w:id="92"/>
      <w:r w:rsidR="004B00B1" w:rsidRPr="00C01898">
        <w:t xml:space="preserve"> Although </w:t>
      </w:r>
      <w:r w:rsidRPr="00C01898">
        <w:t>the intravenous data for palonosetron are consisten</w:t>
      </w:r>
      <w:r w:rsidR="004B00B1" w:rsidRPr="00C01898">
        <w:t xml:space="preserve">t with a two compartment model, </w:t>
      </w:r>
      <w:r w:rsidRPr="00C01898">
        <w:t>the redistribution phase appears to be rapid, and of less than 0.5</w:t>
      </w:r>
      <w:r w:rsidR="009B02FF">
        <w:t xml:space="preserve"> hours </w:t>
      </w:r>
      <w:r w:rsidR="004B00B1" w:rsidRPr="00C01898">
        <w:t>duration</w:t>
      </w:r>
      <w:r w:rsidR="005B491A" w:rsidRPr="00C01898">
        <w:t>.</w:t>
      </w:r>
    </w:p>
    <w:p w:rsidR="005B491A" w:rsidRPr="005F4AC5" w:rsidRDefault="005B491A" w:rsidP="00C01898">
      <w:pPr>
        <w:pStyle w:val="FigureTitle"/>
      </w:pPr>
      <w:proofErr w:type="gramStart"/>
      <w:r w:rsidRPr="00823AF2">
        <w:t xml:space="preserve">Figure </w:t>
      </w:r>
      <w:r w:rsidR="003818B7">
        <w:t>3.</w:t>
      </w:r>
      <w:proofErr w:type="gramEnd"/>
      <w:r w:rsidRPr="00823AF2">
        <w:t xml:space="preserve"> Plasma </w:t>
      </w:r>
      <w:proofErr w:type="spellStart"/>
      <w:r w:rsidRPr="00823AF2">
        <w:t>concentrationtime</w:t>
      </w:r>
      <w:proofErr w:type="spellEnd"/>
      <w:r w:rsidRPr="00823AF2">
        <w:t xml:space="preserve"> profile of </w:t>
      </w:r>
      <w:proofErr w:type="spellStart"/>
      <w:r w:rsidRPr="00823AF2">
        <w:t>palonosetron</w:t>
      </w:r>
      <w:proofErr w:type="spellEnd"/>
      <w:r w:rsidRPr="00823AF2">
        <w:t xml:space="preserve"> following intravenous</w:t>
      </w:r>
      <w:r w:rsidR="003818B7">
        <w:t xml:space="preserve"> administration</w:t>
      </w:r>
      <w:r w:rsidR="005F4AC5">
        <w:t xml:space="preserve"> (reproduced from Figure 1</w:t>
      </w:r>
      <w:r w:rsidR="00E5254A">
        <w:fldChar w:fldCharType="begin"/>
      </w:r>
      <w:r w:rsidR="00E5254A">
        <w:instrText xml:space="preserve"> NOTEREF _Ref461524235 \h  \* MERGEFORMAT </w:instrText>
      </w:r>
      <w:r w:rsidR="00E5254A">
        <w:fldChar w:fldCharType="separate"/>
      </w:r>
      <w:r w:rsidR="000C31A3" w:rsidRPr="000C31A3">
        <w:rPr>
          <w:vertAlign w:val="superscript"/>
        </w:rPr>
        <w:t>13</w:t>
      </w:r>
      <w:r w:rsidR="00E5254A">
        <w:fldChar w:fldCharType="end"/>
      </w:r>
      <w:r w:rsidR="005F4AC5">
        <w:t>)</w:t>
      </w:r>
    </w:p>
    <w:p w:rsidR="005B491A" w:rsidRDefault="00E77382" w:rsidP="00A543AE">
      <w:r>
        <w:rPr>
          <w:noProof/>
          <w:lang w:eastAsia="en-AU"/>
        </w:rPr>
        <w:drawing>
          <wp:inline distT="0" distB="0" distL="0" distR="0">
            <wp:extent cx="5165725" cy="2897505"/>
            <wp:effectExtent l="0" t="0" r="0" b="0"/>
            <wp:docPr id="4" name="Picture 17" descr="Figure 3: Plasma concentrationtime profile of palonosetron following intravenous administration (Shah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3: Plasma concentrationtime profile of palonosetron following intravenous administration (Shah et. al. 2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5725" cy="2897505"/>
                    </a:xfrm>
                    <a:prstGeom prst="rect">
                      <a:avLst/>
                    </a:prstGeom>
                    <a:noFill/>
                    <a:ln>
                      <a:noFill/>
                    </a:ln>
                  </pic:spPr>
                </pic:pic>
              </a:graphicData>
            </a:graphic>
          </wp:inline>
        </w:drawing>
      </w:r>
    </w:p>
    <w:p w:rsidR="00A543AE" w:rsidRPr="00C01898" w:rsidRDefault="00A543AE" w:rsidP="00C01898">
      <w:r w:rsidRPr="00C01898">
        <w:lastRenderedPageBreak/>
        <w:t>Hence, following oral absorption, and</w:t>
      </w:r>
      <w:r w:rsidR="004B00B1" w:rsidRPr="00C01898">
        <w:t xml:space="preserve"> with the data available to the </w:t>
      </w:r>
      <w:r w:rsidR="00791AE3" w:rsidRPr="00C01898">
        <w:t>sponsor</w:t>
      </w:r>
      <w:r w:rsidRPr="00C01898">
        <w:t xml:space="preserve">, in the opinion of the </w:t>
      </w:r>
      <w:proofErr w:type="spellStart"/>
      <w:r w:rsidR="00CE0692">
        <w:t>PopPK</w:t>
      </w:r>
      <w:proofErr w:type="spellEnd"/>
      <w:r w:rsidR="005B491A" w:rsidRPr="00C01898">
        <w:t xml:space="preserve"> </w:t>
      </w:r>
      <w:r w:rsidR="00142EBA" w:rsidRPr="00C01898">
        <w:t>evaluator</w:t>
      </w:r>
      <w:r w:rsidRPr="00C01898">
        <w:t xml:space="preserve"> the </w:t>
      </w:r>
      <w:proofErr w:type="spellStart"/>
      <w:r w:rsidRPr="00C01898">
        <w:t>int</w:t>
      </w:r>
      <w:r w:rsidR="004B00B1" w:rsidRPr="00C01898">
        <w:t>ercompartment</w:t>
      </w:r>
      <w:proofErr w:type="spellEnd"/>
      <w:r w:rsidR="004B00B1" w:rsidRPr="00C01898">
        <w:t xml:space="preserve"> PK parameters for </w:t>
      </w:r>
      <w:r w:rsidRPr="00C01898">
        <w:t>palonosetron are inestimable and a one compartment model is more appr</w:t>
      </w:r>
      <w:r w:rsidR="004B00B1" w:rsidRPr="00C01898">
        <w:t xml:space="preserve">opriate for </w:t>
      </w:r>
      <w:r w:rsidRPr="00C01898">
        <w:t>the data.</w:t>
      </w:r>
    </w:p>
    <w:p w:rsidR="00A543AE" w:rsidRPr="00C01898" w:rsidRDefault="00A543AE" w:rsidP="00C01898">
      <w:r w:rsidRPr="00C01898">
        <w:t xml:space="preserve">There was also disagreement between the </w:t>
      </w:r>
      <w:r w:rsidR="00791AE3" w:rsidRPr="00C01898">
        <w:t>sponsor’s</w:t>
      </w:r>
      <w:r w:rsidRPr="00C01898">
        <w:t xml:space="preserve"> </w:t>
      </w:r>
      <w:r w:rsidR="004B00B1" w:rsidRPr="00C01898">
        <w:t xml:space="preserve">covariate model and that of the </w:t>
      </w:r>
      <w:r w:rsidRPr="00C01898">
        <w:t xml:space="preserve">external validation. The </w:t>
      </w:r>
      <w:r w:rsidR="00791AE3" w:rsidRPr="00C01898">
        <w:t>sponsor’s</w:t>
      </w:r>
      <w:r w:rsidRPr="00C01898">
        <w:t xml:space="preserve"> model indicated </w:t>
      </w:r>
      <w:r w:rsidR="004B00B1" w:rsidRPr="00C01898">
        <w:t xml:space="preserve">V/F was proportional to weight, </w:t>
      </w:r>
      <w:r w:rsidRPr="00C01898">
        <w:t>or body size, which is consistent with the known characteristics of p</w:t>
      </w:r>
      <w:r w:rsidR="004B00B1" w:rsidRPr="00C01898">
        <w:t xml:space="preserve">alonosetron. </w:t>
      </w:r>
      <w:r w:rsidRPr="00C01898">
        <w:t xml:space="preserve">However, an effect of </w:t>
      </w:r>
      <w:r w:rsidR="00C952C9">
        <w:t>creatinine clearance</w:t>
      </w:r>
      <w:r w:rsidR="00C952C9" w:rsidRPr="00C01898">
        <w:t xml:space="preserve"> </w:t>
      </w:r>
      <w:r w:rsidR="00C952C9">
        <w:t>(</w:t>
      </w:r>
      <w:r w:rsidRPr="00C01898">
        <w:t>CLCR</w:t>
      </w:r>
      <w:r w:rsidR="00C952C9">
        <w:t>)</w:t>
      </w:r>
      <w:r w:rsidRPr="00C01898">
        <w:t xml:space="preserve"> on CL/F is inconsisten</w:t>
      </w:r>
      <w:r w:rsidR="004B00B1" w:rsidRPr="00C01898">
        <w:t xml:space="preserve">t. The fraction of palonosetron </w:t>
      </w:r>
      <w:r w:rsidRPr="00C01898">
        <w:t xml:space="preserve">excreted unchanged in the urine is 40%. Hence, </w:t>
      </w:r>
      <w:r w:rsidR="004B00B1" w:rsidRPr="00C01898">
        <w:t xml:space="preserve">although CLCR would be expected </w:t>
      </w:r>
      <w:r w:rsidRPr="00C01898">
        <w:t>to have an impact on CL/F it is not plausible that it w</w:t>
      </w:r>
      <w:r w:rsidR="004B00B1" w:rsidRPr="00C01898">
        <w:t xml:space="preserve">ould be the principal covariate </w:t>
      </w:r>
      <w:r w:rsidRPr="00C01898">
        <w:t>effect on CL/F.</w:t>
      </w:r>
    </w:p>
    <w:p w:rsidR="00A543AE" w:rsidRPr="00C01898" w:rsidRDefault="00A543AE" w:rsidP="00C01898">
      <w:r w:rsidRPr="00C01898">
        <w:t xml:space="preserve">The </w:t>
      </w:r>
      <w:proofErr w:type="spellStart"/>
      <w:r w:rsidR="00CE0692">
        <w:t>PopPK</w:t>
      </w:r>
      <w:proofErr w:type="spellEnd"/>
      <w:r w:rsidR="005B491A" w:rsidRPr="00C01898">
        <w:t xml:space="preserve"> </w:t>
      </w:r>
      <w:r w:rsidR="00142EBA" w:rsidRPr="00C01898">
        <w:t>evaluator</w:t>
      </w:r>
      <w:r w:rsidRPr="00C01898">
        <w:t xml:space="preserve"> recommends accepting the </w:t>
      </w:r>
      <w:proofErr w:type="spellStart"/>
      <w:r w:rsidR="00CE0692">
        <w:t>PopPK</w:t>
      </w:r>
      <w:proofErr w:type="spellEnd"/>
      <w:r w:rsidRPr="00C01898">
        <w:t xml:space="preserve"> mod</w:t>
      </w:r>
      <w:r w:rsidR="004B00B1" w:rsidRPr="00C01898">
        <w:t xml:space="preserve">el for </w:t>
      </w:r>
      <w:proofErr w:type="spellStart"/>
      <w:r w:rsidR="004B00B1" w:rsidRPr="00C01898">
        <w:t>netupitant</w:t>
      </w:r>
      <w:proofErr w:type="spellEnd"/>
      <w:r w:rsidR="004B00B1" w:rsidRPr="00C01898">
        <w:t xml:space="preserve"> but rejecting </w:t>
      </w:r>
      <w:r w:rsidRPr="00C01898">
        <w:t>the models f</w:t>
      </w:r>
      <w:r w:rsidR="004B00B1" w:rsidRPr="00C01898">
        <w:t xml:space="preserve">or M1, M2, M3 and palonosetron. </w:t>
      </w:r>
      <w:r w:rsidRPr="00C01898">
        <w:t>The models did not identify any important information</w:t>
      </w:r>
      <w:r w:rsidR="004B00B1" w:rsidRPr="00C01898">
        <w:t xml:space="preserve"> that should be included in the </w:t>
      </w:r>
      <w:r w:rsidRPr="00C01898">
        <w:t xml:space="preserve">PI or that impact upon efficacy, safety or the </w:t>
      </w:r>
      <w:r w:rsidR="004B00B1" w:rsidRPr="00C01898">
        <w:t>proposed do</w:t>
      </w:r>
      <w:r w:rsidR="005B491A" w:rsidRPr="00C01898">
        <w:t>sing regimen for the netupitant/</w:t>
      </w:r>
      <w:r w:rsidR="004B00B1" w:rsidRPr="00C01898">
        <w:t xml:space="preserve">palonosetron FDC. </w:t>
      </w:r>
      <w:r w:rsidRPr="00C01898">
        <w:t xml:space="preserve">The effect of age observed in </w:t>
      </w:r>
      <w:r w:rsidR="00F73FE3" w:rsidRPr="00C01898">
        <w:t>Study NETU</w:t>
      </w:r>
      <w:r w:rsidRPr="00C01898">
        <w:t xml:space="preserve">-10-12 was </w:t>
      </w:r>
      <w:r w:rsidR="005F4AC5">
        <w:t xml:space="preserve">not confirmed in the </w:t>
      </w:r>
      <w:proofErr w:type="spellStart"/>
      <w:r w:rsidR="00CE0692">
        <w:t>PopPK</w:t>
      </w:r>
      <w:proofErr w:type="spellEnd"/>
      <w:r w:rsidRPr="00C01898">
        <w:t xml:space="preserve"> analyses of </w:t>
      </w:r>
      <w:proofErr w:type="spellStart"/>
      <w:r w:rsidRPr="00C01898">
        <w:t>netupitant</w:t>
      </w:r>
      <w:proofErr w:type="spellEnd"/>
      <w:r w:rsidRPr="00C01898">
        <w:t xml:space="preserve"> or palonosetron </w:t>
      </w:r>
      <w:r w:rsidR="004B00B1" w:rsidRPr="00C01898">
        <w:t xml:space="preserve">in </w:t>
      </w:r>
      <w:r w:rsidR="00F73FE3" w:rsidRPr="00C01898">
        <w:t>Study NETU</w:t>
      </w:r>
      <w:r w:rsidR="004B00B1" w:rsidRPr="00C01898">
        <w:t>-08-18</w:t>
      </w:r>
      <w:r w:rsidRPr="00C01898">
        <w:t xml:space="preserve">. In </w:t>
      </w:r>
      <w:r w:rsidR="00F73FE3" w:rsidRPr="00C01898">
        <w:t>Study NETU</w:t>
      </w:r>
      <w:r w:rsidR="004B00B1" w:rsidRPr="00C01898">
        <w:t xml:space="preserve">-10-12 the mean ratio (90% </w:t>
      </w:r>
      <w:r w:rsidR="003802E6">
        <w:t>confidence interval</w:t>
      </w:r>
      <w:r w:rsidR="003802E6" w:rsidRPr="00C01898">
        <w:t xml:space="preserve"> </w:t>
      </w:r>
      <w:r w:rsidR="003802E6">
        <w:t>(</w:t>
      </w:r>
      <w:r w:rsidRPr="00C01898">
        <w:t>CI</w:t>
      </w:r>
      <w:r w:rsidR="003802E6">
        <w:t>)</w:t>
      </w:r>
      <w:r w:rsidRPr="00C01898">
        <w:t>) elderly subjects / adult subjects was 136.36 (95</w:t>
      </w:r>
      <w:r w:rsidR="005F4AC5">
        <w:t xml:space="preserve">.87 to 193.96) for </w:t>
      </w:r>
      <w:proofErr w:type="spellStart"/>
      <w:r w:rsidR="005F4AC5">
        <w:t>netupitant</w:t>
      </w:r>
      <w:proofErr w:type="spellEnd"/>
      <w:r w:rsidR="005F4AC5">
        <w:t xml:space="preserve"> </w:t>
      </w:r>
      <w:proofErr w:type="spellStart"/>
      <w:r w:rsidR="005F4AC5">
        <w:t>C</w:t>
      </w:r>
      <w:r w:rsidRPr="005F4AC5">
        <w:rPr>
          <w:vertAlign w:val="subscript"/>
        </w:rPr>
        <w:t>max</w:t>
      </w:r>
      <w:proofErr w:type="spellEnd"/>
      <w:r w:rsidR="004B00B1" w:rsidRPr="00C01898">
        <w:t xml:space="preserve"> </w:t>
      </w:r>
      <w:r w:rsidRPr="00C01898">
        <w:t xml:space="preserve">and 124.91 (95.29 </w:t>
      </w:r>
      <w:r w:rsidRPr="005F4AC5">
        <w:t>to 163.75)</w:t>
      </w:r>
      <w:r w:rsidR="00027344">
        <w:t xml:space="preserve"> </w:t>
      </w:r>
      <w:r w:rsidR="000403F6" w:rsidRPr="005F4AC5">
        <w:t>%</w:t>
      </w:r>
      <w:r w:rsidR="005F4AC5" w:rsidRPr="005F4AC5">
        <w:t xml:space="preserve"> for AUC</w:t>
      </w:r>
      <w:r w:rsidR="005F4AC5" w:rsidRPr="005F4AC5">
        <w:rPr>
          <w:vertAlign w:val="subscript"/>
        </w:rPr>
        <w:t>0-inf</w:t>
      </w:r>
      <w:r w:rsidRPr="00C01898">
        <w:t>. Also f</w:t>
      </w:r>
      <w:r w:rsidR="004B00B1" w:rsidRPr="00C01898">
        <w:t xml:space="preserve">or palonosetron, the mean ratio </w:t>
      </w:r>
      <w:r w:rsidRPr="00C01898">
        <w:t xml:space="preserve">(90% </w:t>
      </w:r>
      <w:r w:rsidR="00BC6BC4" w:rsidRPr="00C01898">
        <w:t>confidence interval (</w:t>
      </w:r>
      <w:r w:rsidRPr="00C01898">
        <w:t>CI)</w:t>
      </w:r>
      <w:r w:rsidR="00BC6BC4" w:rsidRPr="00C01898">
        <w:t>) elderly subjects/</w:t>
      </w:r>
      <w:r w:rsidRPr="00C01898">
        <w:t>adult subjects was</w:t>
      </w:r>
      <w:r w:rsidR="005F4AC5">
        <w:t xml:space="preserve"> 110.44 (95.96 to 127.11) for </w:t>
      </w:r>
      <w:proofErr w:type="spellStart"/>
      <w:r w:rsidR="005F4AC5">
        <w:t>C</w:t>
      </w:r>
      <w:r w:rsidR="005F4AC5" w:rsidRPr="005F4AC5">
        <w:rPr>
          <w:vertAlign w:val="subscript"/>
        </w:rPr>
        <w:t>max</w:t>
      </w:r>
      <w:proofErr w:type="spellEnd"/>
      <w:r w:rsidRPr="00C01898">
        <w:t xml:space="preserve"> </w:t>
      </w:r>
      <w:r w:rsidR="004B00B1" w:rsidRPr="00C01898">
        <w:t xml:space="preserve">and </w:t>
      </w:r>
      <w:r w:rsidRPr="00C01898">
        <w:t>136.89 (117.44 to 159.56)</w:t>
      </w:r>
      <w:r w:rsidR="00027344">
        <w:t xml:space="preserve"> </w:t>
      </w:r>
      <w:r w:rsidR="000403F6">
        <w:t>%</w:t>
      </w:r>
      <w:r w:rsidR="00027344">
        <w:t xml:space="preserve"> for AUC</w:t>
      </w:r>
      <w:r w:rsidR="00027344" w:rsidRPr="00027344">
        <w:rPr>
          <w:vertAlign w:val="subscript"/>
        </w:rPr>
        <w:t>0-inf</w:t>
      </w:r>
      <w:r w:rsidRPr="00C01898">
        <w:t>. Howeve</w:t>
      </w:r>
      <w:r w:rsidR="004B00B1" w:rsidRPr="00C01898">
        <w:t xml:space="preserve">r, in </w:t>
      </w:r>
      <w:r w:rsidR="00F73FE3" w:rsidRPr="00C01898">
        <w:t>Study NETU</w:t>
      </w:r>
      <w:r w:rsidR="004B00B1" w:rsidRPr="00C01898">
        <w:t xml:space="preserve">-08-18, age was </w:t>
      </w:r>
      <w:r w:rsidRPr="00C01898">
        <w:t>examined as a continuous variable rather than a</w:t>
      </w:r>
      <w:r w:rsidR="004B00B1" w:rsidRPr="00C01898">
        <w:t xml:space="preserve"> categorical variable, and as a </w:t>
      </w:r>
      <w:r w:rsidRPr="00C01898">
        <w:t xml:space="preserve">consequence comparisons between the two studies </w:t>
      </w:r>
      <w:r w:rsidR="004B00B1" w:rsidRPr="00C01898">
        <w:t xml:space="preserve">are limited. The effects of age </w:t>
      </w:r>
      <w:r w:rsidRPr="00C01898">
        <w:t xml:space="preserve">described in </w:t>
      </w:r>
      <w:r w:rsidR="00F73FE3" w:rsidRPr="00C01898">
        <w:t>Study NETU</w:t>
      </w:r>
      <w:r w:rsidRPr="00C01898">
        <w:t>-10-12 would not be clinically significant.</w:t>
      </w:r>
    </w:p>
    <w:p w:rsidR="0028078F" w:rsidRPr="00C01898" w:rsidRDefault="00A543AE" w:rsidP="00C01898">
      <w:r w:rsidRPr="00C01898">
        <w:t>There was insufficient representation of male gende</w:t>
      </w:r>
      <w:r w:rsidR="004B00B1" w:rsidRPr="00C01898">
        <w:t>r in the datasets (</w:t>
      </w:r>
      <w:r w:rsidR="00027344">
        <w:t>&lt; 1</w:t>
      </w:r>
      <w:r w:rsidR="004B00B1" w:rsidRPr="00C01898">
        <w:t xml:space="preserve">0%) to </w:t>
      </w:r>
      <w:r w:rsidRPr="00C01898">
        <w:t>examine sex as a covariate. H</w:t>
      </w:r>
      <w:r w:rsidR="004B00B1" w:rsidRPr="00C01898">
        <w:t>o</w:t>
      </w:r>
      <w:r w:rsidRPr="00C01898">
        <w:t>wever, the representa</w:t>
      </w:r>
      <w:r w:rsidR="004B00B1" w:rsidRPr="00C01898">
        <w:t xml:space="preserve">tion of Asian race was </w:t>
      </w:r>
      <w:r w:rsidR="0018634D">
        <w:t>&gt; 1</w:t>
      </w:r>
      <w:r w:rsidR="004B00B1" w:rsidRPr="00C01898">
        <w:t xml:space="preserve">0% </w:t>
      </w:r>
      <w:proofErr w:type="spellStart"/>
      <w:r w:rsidR="004B00B1" w:rsidRPr="00C01898">
        <w:t>and</w:t>
      </w:r>
      <w:r w:rsidRPr="00C01898">
        <w:t>it</w:t>
      </w:r>
      <w:proofErr w:type="spellEnd"/>
      <w:r w:rsidRPr="00C01898">
        <w:t xml:space="preserve"> was reasonable to examine this covariate in the modelling.</w:t>
      </w:r>
    </w:p>
    <w:p w:rsidR="00605AD4" w:rsidRPr="00C01898" w:rsidRDefault="008E7846" w:rsidP="00C01898">
      <w:pPr>
        <w:pStyle w:val="Heading4"/>
      </w:pPr>
      <w:r w:rsidRPr="00C01898">
        <w:t>Pharmacodynamics</w:t>
      </w:r>
      <w:bookmarkEnd w:id="74"/>
      <w:bookmarkEnd w:id="88"/>
      <w:bookmarkEnd w:id="89"/>
      <w:bookmarkEnd w:id="90"/>
      <w:r w:rsidR="00823AF2" w:rsidRPr="00C01898">
        <w:t xml:space="preserve"> s</w:t>
      </w:r>
      <w:r w:rsidR="00605AD4" w:rsidRPr="00C01898">
        <w:t>tudies providing pharmacodynamic data</w:t>
      </w:r>
    </w:p>
    <w:p w:rsidR="00BC6BC4" w:rsidRPr="00C01898" w:rsidRDefault="00BC6BC4" w:rsidP="00C01898">
      <w:r w:rsidRPr="00C01898">
        <w:t>Table 6 below shows the studies relating to each pharmacodynamic topic and the location of each study summary</w:t>
      </w:r>
    </w:p>
    <w:p w:rsidR="00B06E3D" w:rsidRPr="00C01898" w:rsidRDefault="00B06E3D" w:rsidP="00C01898">
      <w:pPr>
        <w:pStyle w:val="TableTitle"/>
      </w:pPr>
      <w:bookmarkStart w:id="93" w:name="_Ref269985397"/>
      <w:bookmarkStart w:id="94" w:name="_Toc410371880"/>
      <w:bookmarkStart w:id="95" w:name="_Toc300307735"/>
      <w:proofErr w:type="gramStart"/>
      <w:r w:rsidRPr="00C01898">
        <w:t xml:space="preserve">Table </w:t>
      </w:r>
      <w:bookmarkEnd w:id="93"/>
      <w:r w:rsidR="00F5364C">
        <w:t>7</w:t>
      </w:r>
      <w:r w:rsidR="00027344">
        <w:t>.</w:t>
      </w:r>
      <w:proofErr w:type="gramEnd"/>
      <w:r w:rsidRPr="00C01898">
        <w:t xml:space="preserve"> Submitted pharmacodynamic studies</w:t>
      </w:r>
      <w:bookmarkEnd w:id="94"/>
      <w:bookmarkEnd w:id="95"/>
    </w:p>
    <w:tbl>
      <w:tblPr>
        <w:tblW w:w="8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10"/>
        <w:gridCol w:w="2836"/>
        <w:gridCol w:w="1276"/>
        <w:gridCol w:w="2269"/>
      </w:tblGrid>
      <w:tr w:rsidR="00424B91" w:rsidRPr="00F93A87" w:rsidTr="004C0905">
        <w:trPr>
          <w:tblHeader/>
        </w:trPr>
        <w:tc>
          <w:tcPr>
            <w:tcW w:w="1810" w:type="dxa"/>
            <w:tcBorders>
              <w:top w:val="single" w:sz="8" w:space="0" w:color="000000"/>
              <w:left w:val="single" w:sz="8" w:space="0" w:color="000000"/>
              <w:bottom w:val="single" w:sz="8" w:space="0" w:color="000000"/>
              <w:right w:val="nil"/>
              <w:tl2br w:val="nil"/>
              <w:tr2bl w:val="nil"/>
            </w:tcBorders>
            <w:shd w:val="clear" w:color="auto" w:fill="006DA7"/>
            <w:hideMark/>
          </w:tcPr>
          <w:p w:rsidR="00BC6BC4" w:rsidRPr="00F93A87" w:rsidRDefault="00BC6BC4" w:rsidP="004C0905">
            <w:pPr>
              <w:keepNext/>
              <w:spacing w:line="240" w:lineRule="auto"/>
              <w:rPr>
                <w:b/>
                <w:color w:val="FFFFFF"/>
                <w:lang w:eastAsia="en-AU"/>
              </w:rPr>
            </w:pPr>
            <w:r w:rsidRPr="00F93A87">
              <w:rPr>
                <w:b/>
                <w:color w:val="FFFFFF"/>
                <w:lang w:eastAsia="en-AU"/>
              </w:rPr>
              <w:t>PD Topic</w:t>
            </w:r>
          </w:p>
        </w:tc>
        <w:tc>
          <w:tcPr>
            <w:tcW w:w="2836" w:type="dxa"/>
            <w:tcBorders>
              <w:top w:val="single" w:sz="8" w:space="0" w:color="000000"/>
              <w:left w:val="nil"/>
              <w:bottom w:val="single" w:sz="8" w:space="0" w:color="000000"/>
              <w:right w:val="nil"/>
              <w:tl2br w:val="nil"/>
              <w:tr2bl w:val="nil"/>
            </w:tcBorders>
            <w:shd w:val="clear" w:color="auto" w:fill="006DA7"/>
            <w:hideMark/>
          </w:tcPr>
          <w:p w:rsidR="00BC6BC4" w:rsidRPr="00F93A87" w:rsidRDefault="00BC6BC4" w:rsidP="004C0905">
            <w:pPr>
              <w:keepNext/>
              <w:spacing w:line="240" w:lineRule="auto"/>
              <w:rPr>
                <w:b/>
                <w:color w:val="FFFFFF"/>
                <w:lang w:eastAsia="en-AU"/>
              </w:rPr>
            </w:pPr>
            <w:r w:rsidRPr="00F93A87">
              <w:rPr>
                <w:b/>
                <w:color w:val="FFFFFF"/>
                <w:lang w:eastAsia="en-AU"/>
              </w:rPr>
              <w:t>Subtopic</w:t>
            </w:r>
          </w:p>
        </w:tc>
        <w:tc>
          <w:tcPr>
            <w:tcW w:w="1276" w:type="dxa"/>
            <w:tcBorders>
              <w:top w:val="single" w:sz="8" w:space="0" w:color="000000"/>
              <w:left w:val="nil"/>
              <w:bottom w:val="single" w:sz="8" w:space="0" w:color="000000"/>
              <w:right w:val="nil"/>
              <w:tl2br w:val="nil"/>
              <w:tr2bl w:val="nil"/>
            </w:tcBorders>
            <w:shd w:val="clear" w:color="auto" w:fill="006DA7"/>
            <w:hideMark/>
          </w:tcPr>
          <w:p w:rsidR="00BC6BC4" w:rsidRPr="00F93A87" w:rsidRDefault="00BC6BC4" w:rsidP="004C0905">
            <w:pPr>
              <w:keepNext/>
              <w:spacing w:line="240" w:lineRule="auto"/>
              <w:rPr>
                <w:b/>
                <w:color w:val="FFFFFF"/>
                <w:lang w:eastAsia="en-AU"/>
              </w:rPr>
            </w:pPr>
            <w:r w:rsidRPr="00F93A87">
              <w:rPr>
                <w:b/>
                <w:color w:val="FFFFFF"/>
                <w:lang w:eastAsia="en-AU"/>
              </w:rPr>
              <w:t>Study ID</w:t>
            </w:r>
          </w:p>
        </w:tc>
        <w:tc>
          <w:tcPr>
            <w:tcW w:w="2269" w:type="dxa"/>
            <w:tcBorders>
              <w:top w:val="single" w:sz="8" w:space="0" w:color="000000"/>
              <w:left w:val="nil"/>
              <w:bottom w:val="single" w:sz="8" w:space="0" w:color="000000"/>
              <w:right w:val="single" w:sz="8" w:space="0" w:color="000000"/>
              <w:tl2br w:val="nil"/>
              <w:tr2bl w:val="nil"/>
            </w:tcBorders>
            <w:shd w:val="clear" w:color="auto" w:fill="006DA7"/>
            <w:hideMark/>
          </w:tcPr>
          <w:p w:rsidR="00BC6BC4" w:rsidRPr="00F93A87" w:rsidRDefault="00BC6BC4" w:rsidP="004C0905">
            <w:pPr>
              <w:keepNext/>
              <w:spacing w:line="240" w:lineRule="auto"/>
              <w:rPr>
                <w:b/>
                <w:color w:val="FFFFFF"/>
                <w:lang w:eastAsia="en-AU"/>
              </w:rPr>
            </w:pPr>
            <w:r w:rsidRPr="00F93A87">
              <w:rPr>
                <w:b/>
                <w:color w:val="FFFFFF"/>
                <w:lang w:eastAsia="en-AU"/>
              </w:rPr>
              <w:t>*</w:t>
            </w:r>
          </w:p>
        </w:tc>
      </w:tr>
      <w:tr w:rsidR="00424B91" w:rsidRPr="00F93A87" w:rsidTr="004C0905">
        <w:tc>
          <w:tcPr>
            <w:tcW w:w="1810" w:type="dxa"/>
            <w:vMerge w:val="restart"/>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Primary Pharmacology</w:t>
            </w:r>
          </w:p>
        </w:tc>
        <w:tc>
          <w:tcPr>
            <w:tcW w:w="2836"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Effect on nausea and vomiting</w:t>
            </w:r>
          </w:p>
        </w:tc>
        <w:tc>
          <w:tcPr>
            <w:tcW w:w="1276"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NP16602</w:t>
            </w:r>
          </w:p>
        </w:tc>
        <w:tc>
          <w:tcPr>
            <w:tcW w:w="2269"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 xml:space="preserve">Ability of </w:t>
            </w:r>
            <w:proofErr w:type="spellStart"/>
            <w:r w:rsidRPr="00F93A87">
              <w:rPr>
                <w:color w:val="000000"/>
                <w:lang w:eastAsia="en-AU"/>
              </w:rPr>
              <w:t>netupitant</w:t>
            </w:r>
            <w:proofErr w:type="spellEnd"/>
            <w:r w:rsidRPr="00F93A87">
              <w:rPr>
                <w:color w:val="000000"/>
                <w:lang w:eastAsia="en-AU"/>
              </w:rPr>
              <w:t xml:space="preserve"> to inhibit </w:t>
            </w:r>
            <w:proofErr w:type="spellStart"/>
            <w:r w:rsidRPr="00F93A87">
              <w:rPr>
                <w:color w:val="000000"/>
                <w:lang w:eastAsia="en-AU"/>
              </w:rPr>
              <w:t>apomorphine</w:t>
            </w:r>
            <w:proofErr w:type="spellEnd"/>
            <w:r w:rsidRPr="00F93A87">
              <w:rPr>
                <w:color w:val="000000"/>
                <w:lang w:eastAsia="en-AU"/>
              </w:rPr>
              <w:t>-induced nausea and/or emesis.</w:t>
            </w:r>
          </w:p>
        </w:tc>
      </w:tr>
      <w:tr w:rsidR="00424B91" w:rsidRPr="00F93A87" w:rsidTr="004C0905">
        <w:tc>
          <w:tcPr>
            <w:tcW w:w="1810" w:type="dxa"/>
            <w:vMerge/>
            <w:shd w:val="clear" w:color="auto" w:fill="auto"/>
            <w:hideMark/>
          </w:tcPr>
          <w:p w:rsidR="00BC6BC4" w:rsidRPr="00F93A87" w:rsidRDefault="00BC6BC4" w:rsidP="004C0905">
            <w:pPr>
              <w:spacing w:line="240" w:lineRule="auto"/>
              <w:rPr>
                <w:color w:val="000000"/>
                <w:lang w:eastAsia="en-AU"/>
              </w:rPr>
            </w:pPr>
          </w:p>
        </w:tc>
        <w:tc>
          <w:tcPr>
            <w:tcW w:w="2836" w:type="dxa"/>
            <w:shd w:val="clear" w:color="auto" w:fill="auto"/>
            <w:hideMark/>
          </w:tcPr>
          <w:p w:rsidR="00BC6BC4" w:rsidRPr="00F93A87" w:rsidRDefault="00BD6934" w:rsidP="004C0905">
            <w:pPr>
              <w:spacing w:line="240" w:lineRule="auto"/>
              <w:rPr>
                <w:color w:val="000000"/>
                <w:lang w:eastAsia="en-AU"/>
              </w:rPr>
            </w:pPr>
            <w:r w:rsidRPr="00F93A87">
              <w:rPr>
                <w:color w:val="000000"/>
                <w:lang w:eastAsia="en-AU"/>
              </w:rPr>
              <w:t>NK1 R</w:t>
            </w:r>
            <w:r w:rsidR="00BC6BC4" w:rsidRPr="00F93A87">
              <w:rPr>
                <w:color w:val="000000"/>
                <w:lang w:eastAsia="en-AU"/>
              </w:rPr>
              <w:t xml:space="preserve"> occupancy</w:t>
            </w:r>
          </w:p>
        </w:tc>
        <w:tc>
          <w:tcPr>
            <w:tcW w:w="1276"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NETU-06-08</w:t>
            </w:r>
          </w:p>
        </w:tc>
        <w:tc>
          <w:tcPr>
            <w:tcW w:w="2269"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 xml:space="preserve">Netupitant dose that provides a </w:t>
            </w:r>
            <w:r w:rsidR="00BD6934" w:rsidRPr="00F93A87">
              <w:rPr>
                <w:color w:val="000000"/>
                <w:lang w:eastAsia="en-AU"/>
              </w:rPr>
              <w:t>NK1 R</w:t>
            </w:r>
            <w:r w:rsidRPr="00F93A87">
              <w:rPr>
                <w:color w:val="000000"/>
                <w:lang w:eastAsia="en-AU"/>
              </w:rPr>
              <w:t xml:space="preserve"> occupancy of at least 90</w:t>
            </w:r>
            <w:r w:rsidR="000403F6" w:rsidRPr="00F93A87">
              <w:rPr>
                <w:color w:val="000000"/>
                <w:lang w:eastAsia="en-AU"/>
              </w:rPr>
              <w:t>%</w:t>
            </w:r>
            <w:r w:rsidRPr="00F93A87">
              <w:rPr>
                <w:color w:val="000000"/>
                <w:lang w:eastAsia="en-AU"/>
              </w:rPr>
              <w:t xml:space="preserve"> at a time point close to expected </w:t>
            </w:r>
            <w:proofErr w:type="spellStart"/>
            <w:r w:rsidR="0018634D" w:rsidRPr="00F93A87">
              <w:rPr>
                <w:color w:val="000000"/>
                <w:lang w:eastAsia="en-AU"/>
              </w:rPr>
              <w:t>C</w:t>
            </w:r>
            <w:r w:rsidR="0018634D" w:rsidRPr="00F93A87">
              <w:rPr>
                <w:color w:val="000000"/>
                <w:vertAlign w:val="subscript"/>
                <w:lang w:eastAsia="en-AU"/>
              </w:rPr>
              <w:t>max</w:t>
            </w:r>
            <w:proofErr w:type="spellEnd"/>
          </w:p>
        </w:tc>
      </w:tr>
      <w:tr w:rsidR="00424B91" w:rsidRPr="00F93A87" w:rsidTr="004C0905">
        <w:tc>
          <w:tcPr>
            <w:tcW w:w="1810"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Secondary Pharmacology</w:t>
            </w:r>
          </w:p>
        </w:tc>
        <w:tc>
          <w:tcPr>
            <w:tcW w:w="2836"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Thorough QT</w:t>
            </w:r>
          </w:p>
        </w:tc>
        <w:tc>
          <w:tcPr>
            <w:tcW w:w="1276"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NETU-07-20</w:t>
            </w:r>
          </w:p>
        </w:tc>
        <w:tc>
          <w:tcPr>
            <w:tcW w:w="2269" w:type="dxa"/>
            <w:shd w:val="clear" w:color="auto" w:fill="auto"/>
            <w:hideMark/>
          </w:tcPr>
          <w:p w:rsidR="00BC6BC4" w:rsidRPr="00F93A87" w:rsidRDefault="00BC6BC4" w:rsidP="004C0905">
            <w:pPr>
              <w:spacing w:line="240" w:lineRule="auto"/>
              <w:rPr>
                <w:color w:val="000000"/>
                <w:lang w:eastAsia="en-AU"/>
              </w:rPr>
            </w:pPr>
            <w:r w:rsidRPr="00F93A87">
              <w:rPr>
                <w:color w:val="000000"/>
                <w:lang w:eastAsia="en-AU"/>
              </w:rPr>
              <w:t xml:space="preserve">Effect of FDC on QT interval </w:t>
            </w:r>
          </w:p>
        </w:tc>
      </w:tr>
    </w:tbl>
    <w:p w:rsidR="00B06E3D" w:rsidRPr="00823AF2" w:rsidRDefault="00B06E3D" w:rsidP="00C01898">
      <w:pPr>
        <w:pStyle w:val="TableDescription"/>
      </w:pPr>
      <w:r w:rsidRPr="00823AF2">
        <w:t>* Indicate</w:t>
      </w:r>
      <w:r w:rsidR="00C01898">
        <w:t xml:space="preserve">s the primary aim of the study. </w:t>
      </w:r>
      <w:r w:rsidRPr="00823AF2">
        <w:t>§ Subjects who would be eligible to receive the drug if approv</w:t>
      </w:r>
      <w:r w:rsidR="00C01898">
        <w:t xml:space="preserve">ed for the proposed indication. </w:t>
      </w:r>
      <w:r w:rsidRPr="00823AF2">
        <w:t>‡ And adolescents if applicable.</w:t>
      </w:r>
    </w:p>
    <w:p w:rsidR="00B06E3D" w:rsidRPr="00C01898" w:rsidRDefault="00B06E3D" w:rsidP="00C01898">
      <w:r w:rsidRPr="00C01898">
        <w:t>None of the pharmacodynamic studies had deficiencies that excluded their results from consideration.</w:t>
      </w:r>
    </w:p>
    <w:p w:rsidR="00605AD4" w:rsidRPr="00C01898" w:rsidRDefault="00BC6BC4" w:rsidP="00C01898">
      <w:pPr>
        <w:pStyle w:val="Heading4"/>
      </w:pPr>
      <w:r w:rsidRPr="00C01898">
        <w:lastRenderedPageBreak/>
        <w:t>E</w:t>
      </w:r>
      <w:r w:rsidR="00142EBA" w:rsidRPr="00C01898">
        <w:t>valuator</w:t>
      </w:r>
      <w:r w:rsidR="00605AD4" w:rsidRPr="00C01898">
        <w:t>’s conclusions on pharmacodynamics</w:t>
      </w:r>
    </w:p>
    <w:p w:rsidR="00BC6BC4" w:rsidRPr="00C01898" w:rsidRDefault="00BC6BC4" w:rsidP="00C01898">
      <w:pPr>
        <w:pStyle w:val="Heading5"/>
        <w:rPr>
          <w:rFonts w:eastAsia="TimesNewRoman"/>
        </w:rPr>
      </w:pPr>
      <w:r w:rsidRPr="00C01898">
        <w:rPr>
          <w:rFonts w:eastAsia="TimesNewRoman"/>
        </w:rPr>
        <w:t>Mechanism of action</w:t>
      </w:r>
    </w:p>
    <w:p w:rsidR="00B06E3D" w:rsidRPr="00C01898" w:rsidRDefault="00B06E3D" w:rsidP="00C01898">
      <w:r w:rsidRPr="00C01898">
        <w:t xml:space="preserve">Netupitant is a </w:t>
      </w:r>
      <w:r w:rsidR="00BD6934">
        <w:t>NK1 R</w:t>
      </w:r>
      <w:r w:rsidRPr="00C01898">
        <w:t xml:space="preserve"> antagonist and therefore blocks the</w:t>
      </w:r>
      <w:r w:rsidR="00BD6934">
        <w:t xml:space="preserve"> action of </w:t>
      </w:r>
      <w:proofErr w:type="spellStart"/>
      <w:r w:rsidR="00BD6934">
        <w:t>emetogens</w:t>
      </w:r>
      <w:proofErr w:type="spellEnd"/>
      <w:r w:rsidR="00BD6934">
        <w:t xml:space="preserve"> at the NK1 R</w:t>
      </w:r>
      <w:r w:rsidRPr="00C01898">
        <w:t>. Palonosetron is a regist</w:t>
      </w:r>
      <w:r w:rsidR="0016080C" w:rsidRPr="00C01898">
        <w:t xml:space="preserve">ered </w:t>
      </w:r>
      <w:r w:rsidR="000C31A3" w:rsidRPr="004C0905">
        <w:rPr>
          <w:color w:val="000000"/>
          <w:lang w:eastAsia="en-AU"/>
        </w:rPr>
        <w:t>5-HT</w:t>
      </w:r>
      <w:r w:rsidR="000C31A3" w:rsidRPr="000C31A3">
        <w:rPr>
          <w:color w:val="000000"/>
          <w:vertAlign w:val="subscript"/>
          <w:lang w:eastAsia="en-AU"/>
        </w:rPr>
        <w:t>3</w:t>
      </w:r>
      <w:r w:rsidR="0016080C" w:rsidRPr="00C01898">
        <w:t xml:space="preserve"> receptor antagonist.</w:t>
      </w:r>
    </w:p>
    <w:p w:rsidR="00BC6BC4" w:rsidRPr="00C01898" w:rsidRDefault="00BC6BC4" w:rsidP="00C01898">
      <w:pPr>
        <w:pStyle w:val="Heading5"/>
      </w:pPr>
      <w:r w:rsidRPr="00C01898">
        <w:t>Primary pharmacodynamic effects</w:t>
      </w:r>
    </w:p>
    <w:p w:rsidR="00B06E3D" w:rsidRPr="00C01898" w:rsidRDefault="00B06E3D" w:rsidP="00C01898">
      <w:r w:rsidRPr="00C01898">
        <w:t>At plasma netupitant concentrations of &gt; 50 ng/mL there was an inverse relationship between plasma netupitant concentration and the incidence of vomiting. Retching was also reduced in subjects treated with netupitant; however, there was no observable trend between concentration groups. By contrast, nausea tended to increase with netupitant concentration to levels above that seen in placebo treated subjects.</w:t>
      </w:r>
    </w:p>
    <w:p w:rsidR="00B06E3D" w:rsidRPr="00C01898" w:rsidRDefault="00B06E3D" w:rsidP="00C01898">
      <w:r w:rsidRPr="00C01898">
        <w:t xml:space="preserve">Netupitant is a potent selective </w:t>
      </w:r>
      <w:r w:rsidR="00BD6934">
        <w:t>NK1 R</w:t>
      </w:r>
      <w:r w:rsidRPr="00C01898">
        <w:t xml:space="preserve"> antagonist that blocks </w:t>
      </w:r>
      <w:r w:rsidR="00BD6934">
        <w:t xml:space="preserve">NK1 </w:t>
      </w:r>
      <w:proofErr w:type="spellStart"/>
      <w:r w:rsidR="00BD6934">
        <w:t>R</w:t>
      </w:r>
      <w:r w:rsidRPr="00C01898">
        <w:t>s</w:t>
      </w:r>
      <w:proofErr w:type="spellEnd"/>
      <w:r w:rsidRPr="00C01898">
        <w:t xml:space="preserve"> in the human brain for a relatively long time. At 6</w:t>
      </w:r>
      <w:r w:rsidR="009B02FF">
        <w:t xml:space="preserve"> hours </w:t>
      </w:r>
      <w:r w:rsidRPr="00C01898">
        <w:t>post administration of 100, 300 or 450 mg net</w:t>
      </w:r>
      <w:r w:rsidR="00BD6934">
        <w:t>upitant, netupitant related NK1 R</w:t>
      </w:r>
      <w:r w:rsidRPr="00C01898">
        <w:t xml:space="preserve"> occupancy of </w:t>
      </w:r>
      <w:r w:rsidR="00027344">
        <w:t>≥ 9</w:t>
      </w:r>
      <w:r w:rsidRPr="00C01898">
        <w:t>0</w:t>
      </w:r>
      <w:r w:rsidR="000403F6">
        <w:t>%</w:t>
      </w:r>
      <w:r w:rsidRPr="00C01898">
        <w:t xml:space="preserve"> was identified in the occipital cortex and frontal cortex, as well as for striatum (for 300 and 450 mg netupitant) and anterior cingulate (</w:t>
      </w:r>
      <w:r w:rsidR="0016080C" w:rsidRPr="00C01898">
        <w:t>for 100 and 450 mg netupitant).</w:t>
      </w:r>
    </w:p>
    <w:p w:rsidR="00BC6BC4" w:rsidRPr="00C01898" w:rsidRDefault="00B06E3D" w:rsidP="00C01898">
      <w:pPr>
        <w:pStyle w:val="Heading5"/>
      </w:pPr>
      <w:r w:rsidRPr="00C01898">
        <w:t>Se</w:t>
      </w:r>
      <w:r w:rsidR="00BC6BC4" w:rsidRPr="00C01898">
        <w:t>condary pharmacodynamic effects</w:t>
      </w:r>
    </w:p>
    <w:p w:rsidR="00B06E3D" w:rsidRPr="00C01898" w:rsidRDefault="00B06E3D" w:rsidP="00C01898">
      <w:r w:rsidRPr="00C01898">
        <w:t xml:space="preserve">Administration of netupitant in combination with palonosetron, in contrast to moxifloxacin, had little to no effect on heart rate corrected QT interval. Healthy males administered 450 mg netupitant demonstrated a reduction in performance of two tasks (digit vigilance and numeric working memory) and a lowering of </w:t>
      </w:r>
      <w:proofErr w:type="spellStart"/>
      <w:r w:rsidRPr="00C01898">
        <w:t>selfrated</w:t>
      </w:r>
      <w:proofErr w:type="spellEnd"/>
      <w:r w:rsidRPr="00C01898">
        <w:t xml:space="preserve"> alertness were ob</w:t>
      </w:r>
      <w:r w:rsidR="0016080C" w:rsidRPr="00C01898">
        <w:t>served at around 8</w:t>
      </w:r>
      <w:r w:rsidR="009B02FF">
        <w:t xml:space="preserve"> hours </w:t>
      </w:r>
      <w:r w:rsidR="00027344">
        <w:t xml:space="preserve">post </w:t>
      </w:r>
      <w:r w:rsidR="0016080C" w:rsidRPr="00C01898">
        <w:t>dose.</w:t>
      </w:r>
    </w:p>
    <w:p w:rsidR="0016080C" w:rsidRPr="00C01898" w:rsidRDefault="00B06E3D" w:rsidP="00C01898">
      <w:pPr>
        <w:pStyle w:val="Heading5"/>
      </w:pPr>
      <w:r w:rsidRPr="00C01898">
        <w:t>Time co</w:t>
      </w:r>
      <w:r w:rsidR="0016080C" w:rsidRPr="00C01898">
        <w:t>urse of pharmacodynamic effects</w:t>
      </w:r>
    </w:p>
    <w:p w:rsidR="00B06E3D" w:rsidRPr="00C01898" w:rsidRDefault="00B06E3D" w:rsidP="00C01898">
      <w:r w:rsidRPr="00C01898">
        <w:t xml:space="preserve">Following administration of 100 mg, 300 </w:t>
      </w:r>
      <w:r w:rsidR="00BD6934">
        <w:t>mg or 450 mg of netupitant, NK1 R</w:t>
      </w:r>
      <w:r w:rsidRPr="00C01898">
        <w:t xml:space="preserve"> occupancy in various regions of the brain was maximal at approximately 6</w:t>
      </w:r>
      <w:r w:rsidR="009B02FF">
        <w:t xml:space="preserve"> hours </w:t>
      </w:r>
      <w:r w:rsidRPr="00C01898">
        <w:t>following dosing. Netupitant receptor occupancy slowly decreased up until 96</w:t>
      </w:r>
      <w:r w:rsidR="009B02FF">
        <w:t xml:space="preserve"> hours </w:t>
      </w:r>
      <w:r w:rsidRPr="00C01898">
        <w:t>following dosing and ranged from 48.5 to 85.5</w:t>
      </w:r>
      <w:r w:rsidR="000403F6">
        <w:t>%</w:t>
      </w:r>
      <w:r w:rsidRPr="00C01898">
        <w:t>, 76 to 94.0</w:t>
      </w:r>
      <w:r w:rsidR="000403F6">
        <w:t>%</w:t>
      </w:r>
      <w:r w:rsidRPr="00C01898">
        <w:t xml:space="preserve"> and 82.5 to 96.5</w:t>
      </w:r>
      <w:r w:rsidR="000403F6">
        <w:t>%</w:t>
      </w:r>
      <w:r w:rsidRPr="00C01898">
        <w:t xml:space="preserve"> for the 100 mg, 300 mg and 450 mg doses, respectively.</w:t>
      </w:r>
    </w:p>
    <w:p w:rsidR="0016080C" w:rsidRPr="00C01898" w:rsidRDefault="00B06E3D" w:rsidP="00C01898">
      <w:pPr>
        <w:pStyle w:val="Heading5"/>
      </w:pPr>
      <w:r w:rsidRPr="00C01898">
        <w:t>Relationship between drug concentrat</w:t>
      </w:r>
      <w:r w:rsidR="0016080C" w:rsidRPr="00C01898">
        <w:t>ion and pharmacodynamic effects</w:t>
      </w:r>
    </w:p>
    <w:p w:rsidR="00B06E3D" w:rsidRPr="00C01898" w:rsidRDefault="00B06E3D" w:rsidP="00C01898">
      <w:r w:rsidRPr="00C01898">
        <w:t xml:space="preserve">The incidence of vomiting decreased as netupitant levels increased. Although there was a clear relationship between the degree of </w:t>
      </w:r>
      <w:r w:rsidR="00BD6934">
        <w:t>NK1 R</w:t>
      </w:r>
      <w:r w:rsidRPr="00C01898">
        <w:t xml:space="preserve"> occupancy in striatum and plasma concentrations of netupitant, overall ther</w:t>
      </w:r>
      <w:r w:rsidR="00BD6934">
        <w:t>e was only a small trend in NK1 R</w:t>
      </w:r>
      <w:r w:rsidRPr="00C01898">
        <w:t xml:space="preserve"> occupancy as the dose of netupitant increased. The </w:t>
      </w:r>
      <w:proofErr w:type="spellStart"/>
      <w:r w:rsidRPr="00C01898">
        <w:t>P</w:t>
      </w:r>
      <w:r w:rsidR="00CE0692">
        <w:t>op</w:t>
      </w:r>
      <w:r w:rsidRPr="00C01898">
        <w:t>PK</w:t>
      </w:r>
      <w:proofErr w:type="spellEnd"/>
      <w:r w:rsidRPr="00C01898">
        <w:t xml:space="preserve"> study concluded that there did not appear to be any overt relationship or trend between exposure parameters for netupitant (and its metabolites) and the safety and efficacy parameters studied.</w:t>
      </w:r>
    </w:p>
    <w:p w:rsidR="0016080C" w:rsidRPr="00C01898" w:rsidRDefault="0016080C" w:rsidP="00C01898">
      <w:pPr>
        <w:pStyle w:val="Heading5"/>
      </w:pPr>
      <w:r w:rsidRPr="00C01898">
        <w:t xml:space="preserve">Limitations of </w:t>
      </w:r>
      <w:proofErr w:type="spellStart"/>
      <w:r w:rsidR="0079492A">
        <w:t>p</w:t>
      </w:r>
      <w:r w:rsidR="00BD6934">
        <w:t>harmacodynamic</w:t>
      </w:r>
      <w:proofErr w:type="spellEnd"/>
      <w:r w:rsidRPr="00C01898">
        <w:t xml:space="preserve"> studies</w:t>
      </w:r>
    </w:p>
    <w:p w:rsidR="00B06E3D" w:rsidRPr="00C01898" w:rsidRDefault="00B06E3D" w:rsidP="00C01898">
      <w:r w:rsidRPr="00C01898">
        <w:t xml:space="preserve">The effects of gender on </w:t>
      </w:r>
      <w:r w:rsidR="00BD6934">
        <w:t>Pharmacodynamics</w:t>
      </w:r>
      <w:r w:rsidR="00BD6934" w:rsidRPr="00C01898">
        <w:t xml:space="preserve"> </w:t>
      </w:r>
      <w:r w:rsidR="00BD6934">
        <w:t>(</w:t>
      </w:r>
      <w:r w:rsidRPr="00C01898">
        <w:t>PDs</w:t>
      </w:r>
      <w:r w:rsidR="00BD6934">
        <w:t>)</w:t>
      </w:r>
      <w:r w:rsidRPr="00C01898">
        <w:t xml:space="preserve"> have not been examined.</w:t>
      </w:r>
    </w:p>
    <w:p w:rsidR="00823AF2" w:rsidRPr="00C01898" w:rsidRDefault="00B06E3D" w:rsidP="00C01898">
      <w:r w:rsidRPr="00C01898">
        <w:t>PD interactions between the FDC and othe</w:t>
      </w:r>
      <w:r w:rsidR="00823AF2" w:rsidRPr="00C01898">
        <w:t>r drugs have not been examined.</w:t>
      </w:r>
    </w:p>
    <w:p w:rsidR="00823AF2" w:rsidRPr="00C01898" w:rsidRDefault="00B06E3D" w:rsidP="00C01898">
      <w:r w:rsidRPr="00C01898">
        <w:t>The PK/PD data suggests that earlier treatment with the FDC than that proposed may result in enhanced anti-emetic effectiveness and the absence of PD data examining administration of the FDC at a range of times prior to chemotherapy is a l</w:t>
      </w:r>
      <w:r w:rsidR="0016080C" w:rsidRPr="00C01898">
        <w:t>imitation of this application.</w:t>
      </w:r>
    </w:p>
    <w:p w:rsidR="008E7846" w:rsidRPr="00C01898" w:rsidRDefault="00605AD4" w:rsidP="00C01898">
      <w:pPr>
        <w:pStyle w:val="Heading5"/>
      </w:pPr>
      <w:r w:rsidRPr="00C01898">
        <w:t>Dosage selection for the pivotal studies</w:t>
      </w:r>
    </w:p>
    <w:p w:rsidR="00B06E3D" w:rsidRPr="00C01898" w:rsidRDefault="00B06E3D" w:rsidP="00C01898">
      <w:r w:rsidRPr="00C01898">
        <w:t>The FDC formulation comprises of oral palonosetron 0.50</w:t>
      </w:r>
      <w:r w:rsidR="0016080C" w:rsidRPr="00C01898">
        <w:t xml:space="preserve"> </w:t>
      </w:r>
      <w:r w:rsidRPr="00C01898">
        <w:t>mg and oral netupitant 300</w:t>
      </w:r>
      <w:r w:rsidR="0016080C" w:rsidRPr="00C01898">
        <w:t xml:space="preserve"> </w:t>
      </w:r>
      <w:r w:rsidRPr="00C01898">
        <w:t>mg. The dose selection of palonosetron was based mainly</w:t>
      </w:r>
      <w:r w:rsidR="0016080C" w:rsidRPr="00C01898">
        <w:t xml:space="preserve"> on the </w:t>
      </w:r>
      <w:r w:rsidR="000403F6">
        <w:t>dose finding</w:t>
      </w:r>
      <w:r w:rsidR="0016080C" w:rsidRPr="00C01898">
        <w:t xml:space="preserve"> Phase III S</w:t>
      </w:r>
      <w:r w:rsidR="00027344">
        <w:t>tudy </w:t>
      </w:r>
      <w:r w:rsidRPr="00C01898">
        <w:t>PALO-03-13, which tested oral palonosetron doses of 0.25</w:t>
      </w:r>
      <w:r w:rsidR="0016080C" w:rsidRPr="00C01898">
        <w:t xml:space="preserve"> </w:t>
      </w:r>
      <w:r w:rsidRPr="00C01898">
        <w:t>mg, 0.50</w:t>
      </w:r>
      <w:r w:rsidR="0016080C" w:rsidRPr="00C01898">
        <w:t xml:space="preserve"> </w:t>
      </w:r>
      <w:r w:rsidRPr="00C01898">
        <w:t>mg and 0.75</w:t>
      </w:r>
      <w:r w:rsidR="0016080C" w:rsidRPr="00C01898">
        <w:t xml:space="preserve"> </w:t>
      </w:r>
      <w:r w:rsidRPr="00C01898">
        <w:t xml:space="preserve">mg. According to the </w:t>
      </w:r>
      <w:r w:rsidR="00791AE3" w:rsidRPr="00C01898">
        <w:t>sponsor</w:t>
      </w:r>
      <w:r w:rsidRPr="00C01898">
        <w:t xml:space="preserve">, the selection of palonosetron dose range to be tested in this </w:t>
      </w:r>
      <w:r w:rsidR="003818B7">
        <w:lastRenderedPageBreak/>
        <w:t>Phase</w:t>
      </w:r>
      <w:r w:rsidRPr="00C01898">
        <w:t xml:space="preserve"> III study was based mainly on results from two Phase II oral</w:t>
      </w:r>
      <w:r w:rsidR="0016080C" w:rsidRPr="00C01898">
        <w:t xml:space="preserve"> and IV </w:t>
      </w:r>
      <w:r w:rsidR="00027344">
        <w:t>dose response</w:t>
      </w:r>
      <w:r w:rsidR="0016080C" w:rsidRPr="00C01898">
        <w:t xml:space="preserve"> studies (S</w:t>
      </w:r>
      <w:r w:rsidRPr="00C01898">
        <w:t xml:space="preserve">tudies 2332 and 2330). Results of </w:t>
      </w:r>
      <w:r w:rsidR="0016080C" w:rsidRPr="00C01898">
        <w:t>S</w:t>
      </w:r>
      <w:r w:rsidRPr="00C01898">
        <w:t xml:space="preserve">tudy 2332 indicated that a plateau in palonosetron efficacy was observed starting </w:t>
      </w:r>
      <w:proofErr w:type="gramStart"/>
      <w:r w:rsidRPr="00C01898">
        <w:t>at 10</w:t>
      </w:r>
      <w:r w:rsidR="00027344">
        <w:t xml:space="preserve"> </w:t>
      </w:r>
      <w:proofErr w:type="spellStart"/>
      <w:r w:rsidRPr="00C01898">
        <w:t>μg</w:t>
      </w:r>
      <w:proofErr w:type="spellEnd"/>
      <w:r w:rsidRPr="00C01898">
        <w:t>/kg (corresponding to a fixed dose of approximately 0.75</w:t>
      </w:r>
      <w:r w:rsidR="0016080C" w:rsidRPr="00C01898">
        <w:t xml:space="preserve"> </w:t>
      </w:r>
      <w:r w:rsidRPr="00C01898">
        <w:t>mg)</w:t>
      </w:r>
      <w:proofErr w:type="gramEnd"/>
      <w:r w:rsidRPr="00C01898">
        <w:t>. The complete response of the low</w:t>
      </w:r>
      <w:r w:rsidR="0016080C" w:rsidRPr="00C01898">
        <w:t xml:space="preserve">est oral palonosetron dose (0.3 to </w:t>
      </w:r>
      <w:r w:rsidR="00027344">
        <w:t xml:space="preserve">1 </w:t>
      </w:r>
      <w:proofErr w:type="spellStart"/>
      <w:r w:rsidR="00027344">
        <w:t>μ</w:t>
      </w:r>
      <w:r w:rsidRPr="00C01898">
        <w:t>g</w:t>
      </w:r>
      <w:proofErr w:type="spellEnd"/>
      <w:r w:rsidRPr="00C01898">
        <w:t xml:space="preserve">/kg) was higher and the response of the </w:t>
      </w:r>
      <w:r w:rsidR="00027344">
        <w:t xml:space="preserve">3 </w:t>
      </w:r>
      <w:proofErr w:type="spellStart"/>
      <w:r w:rsidR="00027344">
        <w:t>μ</w:t>
      </w:r>
      <w:r w:rsidRPr="00C01898">
        <w:t>g</w:t>
      </w:r>
      <w:proofErr w:type="spellEnd"/>
      <w:r w:rsidRPr="00C01898">
        <w:t>/kg (corresponding to a fixed dose of approximately 0.25</w:t>
      </w:r>
      <w:r w:rsidR="0016080C" w:rsidRPr="00C01898">
        <w:t xml:space="preserve"> </w:t>
      </w:r>
      <w:r w:rsidRPr="00C01898">
        <w:t>mg) was l</w:t>
      </w:r>
      <w:r w:rsidR="0016080C" w:rsidRPr="00C01898">
        <w:t>ower than expected. Results of S</w:t>
      </w:r>
      <w:r w:rsidRPr="00C01898">
        <w:t xml:space="preserve">tudy 2330 showed that the minimal effective dose in preventing CINV was </w:t>
      </w:r>
      <w:proofErr w:type="gramStart"/>
      <w:r w:rsidR="00027344">
        <w:t xml:space="preserve">3 </w:t>
      </w:r>
      <w:proofErr w:type="spellStart"/>
      <w:r w:rsidR="00027344">
        <w:t>μ</w:t>
      </w:r>
      <w:r w:rsidRPr="00C01898">
        <w:t>g</w:t>
      </w:r>
      <w:proofErr w:type="spellEnd"/>
      <w:r w:rsidRPr="00C01898">
        <w:t>/kg</w:t>
      </w:r>
      <w:proofErr w:type="gramEnd"/>
      <w:r w:rsidRPr="00C01898">
        <w:t>. Based on these data, oral palonosetron 0.25</w:t>
      </w:r>
      <w:r w:rsidR="0016080C" w:rsidRPr="00C01898">
        <w:t xml:space="preserve"> </w:t>
      </w:r>
      <w:r w:rsidRPr="00C01898">
        <w:t>mg, 0.50</w:t>
      </w:r>
      <w:r w:rsidR="0016080C" w:rsidRPr="00C01898">
        <w:t xml:space="preserve"> </w:t>
      </w:r>
      <w:r w:rsidRPr="00C01898">
        <w:t>mg and 0.75</w:t>
      </w:r>
      <w:r w:rsidR="0016080C" w:rsidRPr="00C01898">
        <w:t xml:space="preserve"> </w:t>
      </w:r>
      <w:r w:rsidRPr="00C01898">
        <w:t>mg were selected to</w:t>
      </w:r>
      <w:r w:rsidR="0016080C" w:rsidRPr="00C01898">
        <w:t xml:space="preserve"> be tested in the </w:t>
      </w:r>
      <w:r w:rsidR="000403F6">
        <w:t>dose finding</w:t>
      </w:r>
      <w:r w:rsidR="0016080C" w:rsidRPr="00C01898">
        <w:t xml:space="preserve"> S</w:t>
      </w:r>
      <w:r w:rsidRPr="00C01898">
        <w:t>tudy PALO-03-13, conducted from 2005 to 2006, assessing efficacy in a single</w:t>
      </w:r>
      <w:r w:rsidR="009420FC" w:rsidRPr="00C01898">
        <w:t xml:space="preserve"> </w:t>
      </w:r>
      <w:r w:rsidRPr="00C01898">
        <w:t xml:space="preserve">cycle of MEC. In addition, an </w:t>
      </w:r>
      <w:r w:rsidR="00027344">
        <w:t>open label</w:t>
      </w:r>
      <w:r w:rsidR="0016080C" w:rsidRPr="00C01898">
        <w:t>, uncontrolled Study PALO-03-14,</w:t>
      </w:r>
      <w:r w:rsidRPr="00C01898">
        <w:t xml:space="preserve"> was conducted concurrently with PALO-03-14 to assess the safety (primary objective) and the efficacy of a single oral dose of palonosetron in the prevention of CINV in repeated and consecutive MEC cycles, and the 0.75</w:t>
      </w:r>
      <w:r w:rsidR="0016080C" w:rsidRPr="00C01898">
        <w:t xml:space="preserve"> </w:t>
      </w:r>
      <w:r w:rsidRPr="00C01898">
        <w:t>mg oral dose was chosen for this study to represent the highest oral dose tested in PALO-03-1</w:t>
      </w:r>
      <w:r w:rsidR="009420FC" w:rsidRPr="00C01898">
        <w:t>3.</w:t>
      </w:r>
    </w:p>
    <w:p w:rsidR="00B06E3D" w:rsidRPr="00C01898" w:rsidRDefault="00B06E3D" w:rsidP="00C01898">
      <w:r w:rsidRPr="00C01898">
        <w:t>Results</w:t>
      </w:r>
      <w:r w:rsidR="0016080C" w:rsidRPr="00C01898">
        <w:t xml:space="preserve"> for S</w:t>
      </w:r>
      <w:r w:rsidRPr="00C01898">
        <w:t>tudy PALO-03-13</w:t>
      </w:r>
      <w:r w:rsidR="0016080C" w:rsidRPr="00C01898">
        <w:t xml:space="preserve"> </w:t>
      </w:r>
      <w:r w:rsidRPr="00C01898">
        <w:t>showed that all 3 oral palonosetron doses (0.25</w:t>
      </w:r>
      <w:r w:rsidR="0016080C" w:rsidRPr="00C01898">
        <w:t xml:space="preserve"> </w:t>
      </w:r>
      <w:r w:rsidRPr="00C01898">
        <w:t>mg, 0.50</w:t>
      </w:r>
      <w:r w:rsidR="0016080C" w:rsidRPr="00C01898">
        <w:t xml:space="preserve"> </w:t>
      </w:r>
      <w:r w:rsidRPr="00C01898">
        <w:t>mg and 0.75</w:t>
      </w:r>
      <w:r w:rsidR="0016080C" w:rsidRPr="00C01898">
        <w:t xml:space="preserve"> </w:t>
      </w:r>
      <w:r w:rsidRPr="00C01898">
        <w:t>mg) were found to be non-inferior to IV palonosetron 0.25</w:t>
      </w:r>
      <w:r w:rsidR="0016080C" w:rsidRPr="00C01898">
        <w:t xml:space="preserve"> </w:t>
      </w:r>
      <w:r w:rsidRPr="00C01898">
        <w:t xml:space="preserve">mg (currently approved formulation in Australia for prevention of nausea and vomiting induced by cytotoxic chemotherapy) in preventing </w:t>
      </w:r>
      <w:r w:rsidR="00027344">
        <w:t>MEC induced</w:t>
      </w:r>
      <w:r w:rsidRPr="00C01898">
        <w:t xml:space="preserve"> nausea and vomiting with regards to the primary efficacy endpoint of the proportion of patients with complete response</w:t>
      </w:r>
      <w:r w:rsidRPr="00027344">
        <w:rPr>
          <w:vertAlign w:val="superscript"/>
        </w:rPr>
        <w:footnoteReference w:id="14"/>
      </w:r>
      <w:r w:rsidRPr="00C01898">
        <w:t xml:space="preserve"> during the first 24</w:t>
      </w:r>
      <w:r w:rsidR="009B02FF">
        <w:t xml:space="preserve"> hours </w:t>
      </w:r>
      <w:r w:rsidRPr="00C01898">
        <w:t>after the administration of chemotherapeutic agent (</w:t>
      </w:r>
      <w:r w:rsidR="00027344">
        <w:t>that is,</w:t>
      </w:r>
      <w:r w:rsidRPr="00C01898">
        <w:t xml:space="preserve"> acute phase). Although analyses of secondary efficacy endpoints did not reveal any clear differences between the 3 oral doses and the IV palonosetron dose, a comparison of the 3 oral dose groups indicated that the oral palonosetron 0.50</w:t>
      </w:r>
      <w:r w:rsidR="0016080C" w:rsidRPr="00C01898">
        <w:t xml:space="preserve"> </w:t>
      </w:r>
      <w:r w:rsidRPr="00C01898">
        <w:t>mg and 0.75</w:t>
      </w:r>
      <w:r w:rsidR="0016080C" w:rsidRPr="00C01898">
        <w:t xml:space="preserve"> </w:t>
      </w:r>
      <w:r w:rsidRPr="00C01898">
        <w:t>mg doses tended to show higher anti-emetic efficacy than the oral palonosetron 0.25</w:t>
      </w:r>
      <w:r w:rsidR="0016080C" w:rsidRPr="00C01898">
        <w:t xml:space="preserve"> </w:t>
      </w:r>
      <w:r w:rsidRPr="00C01898">
        <w:t xml:space="preserve">mg dose. Safety analyses did not raise any safety concerns for all 3 doses. Based on the study results, the </w:t>
      </w:r>
      <w:r w:rsidR="00791AE3" w:rsidRPr="00C01898">
        <w:t>sponsor</w:t>
      </w:r>
      <w:r w:rsidRPr="00C01898">
        <w:t xml:space="preserve"> concluded that palonosetron </w:t>
      </w:r>
      <w:r w:rsidR="000A3133" w:rsidRPr="00C01898">
        <w:t>0.50 mg</w:t>
      </w:r>
      <w:r w:rsidRPr="00C01898">
        <w:t xml:space="preserve"> was the lowest effective oral palonosetron dose in the prevention of CINV following</w:t>
      </w:r>
      <w:r w:rsidR="0016080C" w:rsidRPr="00C01898">
        <w:t xml:space="preserve"> MEC chemotherapy. Results for S</w:t>
      </w:r>
      <w:r w:rsidRPr="00C01898">
        <w:t>tudy PALO-03-14 showed that oral palonosetron 0.75</w:t>
      </w:r>
      <w:r w:rsidR="0016080C" w:rsidRPr="00C01898">
        <w:t xml:space="preserve"> </w:t>
      </w:r>
      <w:r w:rsidRPr="00C01898">
        <w:t xml:space="preserve">mg administered in repeated (up to a maximum of four) consecutives cycles of chemotherapy showed continued efficacy for the prevention of </w:t>
      </w:r>
      <w:r w:rsidR="00027344">
        <w:t>MEC induced</w:t>
      </w:r>
      <w:r w:rsidRPr="00C01898">
        <w:t xml:space="preserve"> nausea and vomiting, and did not trigger any safety concerns. Based on the results of these studies and the fact that oral palonosetron 0.50</w:t>
      </w:r>
      <w:r w:rsidR="0016080C" w:rsidRPr="00C01898">
        <w:t xml:space="preserve"> </w:t>
      </w:r>
      <w:r w:rsidRPr="00C01898">
        <w:t xml:space="preserve">mg has been approved in the US and EU for the treatment of </w:t>
      </w:r>
      <w:r w:rsidR="00027344">
        <w:t>MEC induced</w:t>
      </w:r>
      <w:r w:rsidRPr="00C01898">
        <w:t xml:space="preserve"> nausea and vomiting, oral palonosetron 0.50</w:t>
      </w:r>
      <w:r w:rsidR="0016080C" w:rsidRPr="00C01898">
        <w:t xml:space="preserve"> </w:t>
      </w:r>
      <w:r w:rsidRPr="00C01898">
        <w:t>mg was chosen to be the palonosetron dose for the netupitant/palonosetron FDC.</w:t>
      </w:r>
    </w:p>
    <w:p w:rsidR="00B06E3D" w:rsidRPr="00C01898" w:rsidRDefault="00B06E3D" w:rsidP="00C01898">
      <w:r w:rsidRPr="00C01898">
        <w:t>As oral palonosetron 0.50</w:t>
      </w:r>
      <w:r w:rsidR="0016080C" w:rsidRPr="00C01898">
        <w:t xml:space="preserve"> </w:t>
      </w:r>
      <w:r w:rsidRPr="00C01898">
        <w:t>mg is not registered for the prevention of nausea and vomiting induced by HEC, and as its efficacy in HEC had only been</w:t>
      </w:r>
      <w:r w:rsidR="0016080C" w:rsidRPr="00C01898">
        <w:t xml:space="preserve"> explored in a Phase II study, S</w:t>
      </w:r>
      <w:r w:rsidRPr="00C01898">
        <w:t>tudy PALO-10-01 was later conducted from 2011 to 2012 to support the efficacy of oral palonosetron 0.50</w:t>
      </w:r>
      <w:r w:rsidR="0016080C" w:rsidRPr="00C01898">
        <w:t xml:space="preserve"> </w:t>
      </w:r>
      <w:r w:rsidRPr="00C01898">
        <w:t>mg in the prevention of HEC-induced nausea and vomiting in comparison to IV palonosetron 0.25</w:t>
      </w:r>
      <w:r w:rsidR="0016080C" w:rsidRPr="00C01898">
        <w:t xml:space="preserve"> mg, focusing on the 0 to24</w:t>
      </w:r>
      <w:r w:rsidR="009B02FF">
        <w:t xml:space="preserve"> hours </w:t>
      </w:r>
      <w:r w:rsidR="0016080C" w:rsidRPr="00C01898">
        <w:t>period (that is,</w:t>
      </w:r>
      <w:r w:rsidRPr="00C01898">
        <w:t xml:space="preserve"> acute phase). Results supported the choice of palonosetron 0.50</w:t>
      </w:r>
      <w:r w:rsidR="0016080C" w:rsidRPr="00C01898">
        <w:t xml:space="preserve"> </w:t>
      </w:r>
      <w:r w:rsidRPr="00C01898">
        <w:t>mg for the FDC. Analyses of the primary efficacy outcome showed non-inferiority of oral palonosetron 0.50</w:t>
      </w:r>
      <w:r w:rsidR="0016080C" w:rsidRPr="00C01898">
        <w:t xml:space="preserve"> </w:t>
      </w:r>
      <w:r w:rsidRPr="00C01898">
        <w:t>mg compared with IV palonosetron 0.25</w:t>
      </w:r>
      <w:r w:rsidR="0016080C" w:rsidRPr="00C01898">
        <w:t xml:space="preserve"> </w:t>
      </w:r>
      <w:r w:rsidRPr="00C01898">
        <w:t>mg in terms of complete response rate in the acute phase. There was also no statistically significant difference (</w:t>
      </w:r>
      <w:r w:rsidR="00027344">
        <w:t>that is</w:t>
      </w:r>
      <w:r w:rsidRPr="00C01898">
        <w:t xml:space="preserve"> comparable efficacy) between the 2 treatment groups with regards to complete r</w:t>
      </w:r>
      <w:r w:rsidR="0016080C" w:rsidRPr="00C01898">
        <w:t>esponse rate in the delayed (24 to 120</w:t>
      </w:r>
      <w:r w:rsidR="009B02FF">
        <w:t xml:space="preserve"> hours </w:t>
      </w:r>
      <w:r w:rsidR="0016080C" w:rsidRPr="00C01898">
        <w:t>interval) and overall (0 to 120</w:t>
      </w:r>
      <w:r w:rsidR="009B02FF">
        <w:t xml:space="preserve"> hours </w:t>
      </w:r>
      <w:r w:rsidRPr="00C01898">
        <w:t>interval) phases as well as the other study secondary efficacy endpoints in all 3 phase</w:t>
      </w:r>
      <w:r w:rsidR="0016080C" w:rsidRPr="00C01898">
        <w:t>s (acute, delayed and overall).</w:t>
      </w:r>
    </w:p>
    <w:p w:rsidR="00B06E3D" w:rsidRPr="00C01898" w:rsidRDefault="00B06E3D" w:rsidP="00C01898">
      <w:r w:rsidRPr="00C01898">
        <w:t xml:space="preserve">The dose selection of netupitant for the FDC was based mainly on the </w:t>
      </w:r>
      <w:r w:rsidR="000403F6">
        <w:t>dose finding</w:t>
      </w:r>
      <w:r w:rsidRPr="00C01898">
        <w:t xml:space="preserve"> Phase II </w:t>
      </w:r>
      <w:r w:rsidR="00F73FE3" w:rsidRPr="00C01898">
        <w:t>Study NETU</w:t>
      </w:r>
      <w:r w:rsidRPr="00C01898">
        <w:t>-07-07, which tested 3 different single oral doses of netupitant (100</w:t>
      </w:r>
      <w:r w:rsidR="00CB74A9" w:rsidRPr="00C01898">
        <w:t xml:space="preserve"> </w:t>
      </w:r>
      <w:r w:rsidRPr="00C01898">
        <w:t>mg, 200</w:t>
      </w:r>
      <w:r w:rsidR="00027344">
        <w:t> </w:t>
      </w:r>
      <w:r w:rsidRPr="00C01898">
        <w:t>mg and 300</w:t>
      </w:r>
      <w:r w:rsidR="00CB74A9" w:rsidRPr="00C01898">
        <w:t xml:space="preserve"> </w:t>
      </w:r>
      <w:r w:rsidRPr="00C01898">
        <w:t>mg) or placebo, each combined with a fixed oral dose of palonosetron (0.50</w:t>
      </w:r>
      <w:r w:rsidR="00CB74A9" w:rsidRPr="00C01898">
        <w:t xml:space="preserve"> </w:t>
      </w:r>
      <w:r w:rsidRPr="00C01898">
        <w:t xml:space="preserve">mg) and given with oral dexamethasone prior to HEC. The selection of the dose range to be tested in this study was based on earlier pre-clinical studies which evaluated the clinical pharmacology of </w:t>
      </w:r>
      <w:proofErr w:type="spellStart"/>
      <w:r w:rsidRPr="00C01898">
        <w:t>netupitant</w:t>
      </w:r>
      <w:proofErr w:type="spellEnd"/>
      <w:r w:rsidRPr="00C01898">
        <w:t xml:space="preserve"> using an </w:t>
      </w:r>
      <w:proofErr w:type="spellStart"/>
      <w:r w:rsidRPr="00C01898">
        <w:t>apomorphine</w:t>
      </w:r>
      <w:proofErr w:type="spellEnd"/>
      <w:r w:rsidRPr="00C01898">
        <w:t xml:space="preserve"> challenge model </w:t>
      </w:r>
      <w:r w:rsidRPr="00C01898">
        <w:lastRenderedPageBreak/>
        <w:t xml:space="preserve">(NP16602) and a </w:t>
      </w:r>
      <w:r w:rsidR="00BD6934">
        <w:t>NK1 R</w:t>
      </w:r>
      <w:r w:rsidRPr="00C01898">
        <w:t xml:space="preserve"> binding assay study (NETU-06-08). The results of these 2 studies suggested that the therapeutic dose in hum</w:t>
      </w:r>
      <w:r w:rsidR="00D357B2" w:rsidRPr="00C01898">
        <w:t xml:space="preserve">ans was likely to be in the 100 to </w:t>
      </w:r>
      <w:r w:rsidR="00027344">
        <w:t>300 </w:t>
      </w:r>
      <w:r w:rsidR="000A3133" w:rsidRPr="00C01898">
        <w:t>mg</w:t>
      </w:r>
      <w:r w:rsidRPr="00C01898">
        <w:t xml:space="preserve"> dose range. Results of </w:t>
      </w:r>
      <w:r w:rsidR="00F73FE3" w:rsidRPr="00C01898">
        <w:t>Study NETU</w:t>
      </w:r>
      <w:r w:rsidRPr="00C01898">
        <w:t>-07-07 showed that there was a statistically significant treatment difference between the netupitant 300</w:t>
      </w:r>
      <w:r w:rsidR="00CB74A9" w:rsidRPr="00C01898">
        <w:t xml:space="preserve"> </w:t>
      </w:r>
      <w:r w:rsidRPr="00C01898">
        <w:t>mg plus palonosetron 0.50</w:t>
      </w:r>
      <w:r w:rsidR="00027344">
        <w:t> </w:t>
      </w:r>
      <w:r w:rsidRPr="00C01898">
        <w:t>mg group and the palonosetron 0.50</w:t>
      </w:r>
      <w:r w:rsidR="00CB74A9" w:rsidRPr="00C01898">
        <w:t xml:space="preserve"> </w:t>
      </w:r>
      <w:r w:rsidRPr="00C01898">
        <w:t>mg alone group in the percentage of patients with complete</w:t>
      </w:r>
      <w:r w:rsidR="00CB74A9" w:rsidRPr="00C01898">
        <w:t xml:space="preserve"> response in the acute phase (0 to </w:t>
      </w:r>
      <w:r w:rsidRPr="00C01898">
        <w:t>24 hour interval; treatment difference of 8.8</w:t>
      </w:r>
      <w:r w:rsidR="000403F6">
        <w:t>%</w:t>
      </w:r>
      <w:r w:rsidRPr="00C01898">
        <w:t>, in favour of netupitant 300</w:t>
      </w:r>
      <w:r w:rsidR="00D357B2" w:rsidRPr="00C01898">
        <w:t> </w:t>
      </w:r>
      <w:r w:rsidRPr="00C01898">
        <w:t>mg), while the treatment differences from the palonosetron alone group were not statistically significant for the netupitant 100</w:t>
      </w:r>
      <w:r w:rsidR="00CB74A9" w:rsidRPr="00C01898">
        <w:t xml:space="preserve"> </w:t>
      </w:r>
      <w:r w:rsidRPr="00C01898">
        <w:t>mg and netupitant 200</w:t>
      </w:r>
      <w:r w:rsidR="00CB74A9" w:rsidRPr="00C01898">
        <w:t xml:space="preserve"> </w:t>
      </w:r>
      <w:r w:rsidRPr="00C01898">
        <w:t>mg groups. Complete response rates in the delayed phase (24</w:t>
      </w:r>
      <w:r w:rsidR="00CB74A9" w:rsidRPr="00C01898">
        <w:t xml:space="preserve"> to 120</w:t>
      </w:r>
      <w:r w:rsidR="009B02FF">
        <w:t xml:space="preserve"> hours </w:t>
      </w:r>
      <w:r w:rsidRPr="00C01898">
        <w:t>interval) and the overal</w:t>
      </w:r>
      <w:r w:rsidR="00CB74A9" w:rsidRPr="00C01898">
        <w:t>l phase (0 to 120 h</w:t>
      </w:r>
      <w:r w:rsidR="00027344">
        <w:t>ours</w:t>
      </w:r>
      <w:r w:rsidRPr="00C01898">
        <w:t>) were comparable among the 3 netupitant doses and were statistically significantly higher for all 3 doses compared to palonosetron alone. Statistical analyses comparing the 3 netupitant doses to one another showed that netupitant 300</w:t>
      </w:r>
      <w:r w:rsidR="00CB74A9" w:rsidRPr="00C01898">
        <w:t xml:space="preserve"> </w:t>
      </w:r>
      <w:r w:rsidRPr="00C01898">
        <w:t>mg was statistically significantly superior to both lower doses (100</w:t>
      </w:r>
      <w:r w:rsidR="00CB74A9" w:rsidRPr="00C01898">
        <w:t xml:space="preserve"> </w:t>
      </w:r>
      <w:r w:rsidRPr="00C01898">
        <w:t>mg and 200</w:t>
      </w:r>
      <w:r w:rsidR="00CB74A9" w:rsidRPr="00C01898">
        <w:t xml:space="preserve"> </w:t>
      </w:r>
      <w:r w:rsidRPr="00C01898">
        <w:t>mg) for endpoints of complete response, no emesis and complete protection</w:t>
      </w:r>
      <w:r w:rsidRPr="00027344">
        <w:rPr>
          <w:vertAlign w:val="superscript"/>
        </w:rPr>
        <w:footnoteReference w:id="15"/>
      </w:r>
      <w:r w:rsidRPr="00C01898">
        <w:t xml:space="preserve"> in the acute phase. Netupitant 300</w:t>
      </w:r>
      <w:r w:rsidR="00CB74A9" w:rsidRPr="00C01898">
        <w:t xml:space="preserve"> </w:t>
      </w:r>
      <w:r w:rsidRPr="00C01898">
        <w:t>mg was also found to be statistically significantly superior to netupitant 100</w:t>
      </w:r>
      <w:r w:rsidR="00CB74A9" w:rsidRPr="00C01898">
        <w:t xml:space="preserve"> </w:t>
      </w:r>
      <w:r w:rsidRPr="00C01898">
        <w:t>mg for the endpoint of proportion of patients with no significant nausea in the overall and delayed phase). Safety analyses did not raise any safety concerns for the administration of palonosetron combined with netupitant at doses of 100</w:t>
      </w:r>
      <w:r w:rsidR="00CB74A9" w:rsidRPr="00C01898">
        <w:t xml:space="preserve"> </w:t>
      </w:r>
      <w:r w:rsidRPr="00C01898">
        <w:t>mg, 200</w:t>
      </w:r>
      <w:r w:rsidR="00CB74A9" w:rsidRPr="00C01898">
        <w:t xml:space="preserve"> </w:t>
      </w:r>
      <w:r w:rsidRPr="00C01898">
        <w:t>mg or 300</w:t>
      </w:r>
      <w:r w:rsidR="00CB74A9" w:rsidRPr="00C01898">
        <w:t xml:space="preserve"> </w:t>
      </w:r>
      <w:r w:rsidRPr="00C01898">
        <w:t xml:space="preserve">mg. Based on the efficacy and safety results of this </w:t>
      </w:r>
      <w:r w:rsidR="003818B7">
        <w:t>Phase</w:t>
      </w:r>
      <w:r w:rsidRPr="00C01898">
        <w:t xml:space="preserve"> II </w:t>
      </w:r>
      <w:r w:rsidR="00027344">
        <w:t>dose ranging</w:t>
      </w:r>
      <w:r w:rsidRPr="00C01898">
        <w:t xml:space="preserve"> study, the dose of oral netupitant to be used in combination with 0.50</w:t>
      </w:r>
      <w:r w:rsidR="00CB74A9" w:rsidRPr="00C01898">
        <w:t xml:space="preserve"> </w:t>
      </w:r>
      <w:r w:rsidRPr="00C01898">
        <w:t>mg oral palonosetron for the FDC was identified to be 300</w:t>
      </w:r>
      <w:r w:rsidR="00D357B2" w:rsidRPr="00C01898">
        <w:t> </w:t>
      </w:r>
      <w:r w:rsidRPr="00C01898">
        <w:t>mg.</w:t>
      </w:r>
    </w:p>
    <w:p w:rsidR="00B06E3D" w:rsidRPr="00C01898" w:rsidRDefault="001E695A" w:rsidP="00027344">
      <w:pPr>
        <w:pStyle w:val="Comment"/>
        <w:ind w:left="1134" w:hanging="1134"/>
      </w:pPr>
      <w:r w:rsidRPr="00027344">
        <w:rPr>
          <w:b/>
        </w:rPr>
        <w:t>Comment:</w:t>
      </w:r>
      <w:r w:rsidRPr="00C01898">
        <w:t xml:space="preserve"> </w:t>
      </w:r>
      <w:r w:rsidR="00B06E3D" w:rsidRPr="00C01898">
        <w:t>The rationale for the selection of the palonosetron and netupitant doses for the FDC formulation is sound.</w:t>
      </w:r>
    </w:p>
    <w:p w:rsidR="008E7846" w:rsidRPr="00C01898" w:rsidRDefault="008E7846" w:rsidP="00C01898">
      <w:pPr>
        <w:pStyle w:val="Heading3"/>
      </w:pPr>
      <w:bookmarkStart w:id="96" w:name="_Toc163441372"/>
      <w:bookmarkStart w:id="97" w:name="_Toc196046485"/>
      <w:bookmarkStart w:id="98" w:name="_Toc247691521"/>
      <w:bookmarkStart w:id="99" w:name="_Toc314842504"/>
      <w:bookmarkStart w:id="100" w:name="_Toc466986539"/>
      <w:r w:rsidRPr="00C01898">
        <w:t>Efficacy</w:t>
      </w:r>
      <w:bookmarkEnd w:id="96"/>
      <w:bookmarkEnd w:id="97"/>
      <w:bookmarkEnd w:id="98"/>
      <w:bookmarkEnd w:id="99"/>
      <w:bookmarkEnd w:id="100"/>
    </w:p>
    <w:p w:rsidR="00605AD4" w:rsidRPr="00166326" w:rsidRDefault="00605AD4" w:rsidP="00166326">
      <w:pPr>
        <w:pStyle w:val="Heading4"/>
      </w:pPr>
      <w:bookmarkStart w:id="101" w:name="_Toc184439992"/>
      <w:bookmarkStart w:id="102" w:name="_Toc184440279"/>
      <w:bookmarkStart w:id="103" w:name="_Toc184444657"/>
      <w:bookmarkStart w:id="104" w:name="_Toc196046487"/>
      <w:r w:rsidRPr="00166326">
        <w:t>Studies providing efficacy data</w:t>
      </w:r>
    </w:p>
    <w:p w:rsidR="0082008C" w:rsidRPr="00166326" w:rsidRDefault="00970727" w:rsidP="00166326">
      <w:r w:rsidRPr="00166326">
        <w:t>One pivotal efficacy study (NETU-08-18), one efficacy/safety study (Study NETU-10-29) as well as 3 bridging studies (PALO-10-01, PALO-03-13 and PALO-03-14) provided efficacy data to support the application.</w:t>
      </w:r>
    </w:p>
    <w:p w:rsidR="008E7846" w:rsidRPr="00166326" w:rsidRDefault="001E695A" w:rsidP="00166326">
      <w:pPr>
        <w:pStyle w:val="Heading4"/>
      </w:pPr>
      <w:r w:rsidRPr="00166326">
        <w:t>E</w:t>
      </w:r>
      <w:r w:rsidR="00142EBA" w:rsidRPr="00166326">
        <w:t>valuator</w:t>
      </w:r>
      <w:r w:rsidR="00605AD4" w:rsidRPr="00166326">
        <w:t>’s conclusions on efficacy</w:t>
      </w:r>
    </w:p>
    <w:p w:rsidR="00E50309" w:rsidRPr="00166326" w:rsidRDefault="00E50309" w:rsidP="00166326">
      <w:r w:rsidRPr="00166326">
        <w:t>Overall, the study design, study inclusion and exclusion criteria, and study endpoints of the clinical studies submitted were appropriate. The primary and secondary endpoints of the studies allowed evaluations of the effect on various symptoms and combinations of symptoms of CINV (nausea, significant nausea, emesis, need for rescue medication, no emesis plus no rescue medication [complete response; CR], no emesis plus no rescue medication plus no significant nausea [complete protection], no emesis plus no rescue medication plus no nausea [total or complete control]) in the acute, delayed and overall phases of CINV, of netupitant/palonosetron FDC compared to palonosetron alone (</w:t>
      </w:r>
      <w:r w:rsidR="00F73FE3" w:rsidRPr="00166326">
        <w:t>Study NETU</w:t>
      </w:r>
      <w:r w:rsidRPr="00166326">
        <w:t>-08-18 ), of concomitant administration of netupitant and palonosetron compared to palonosetron alone (</w:t>
      </w:r>
      <w:r w:rsidR="00F73FE3" w:rsidRPr="00166326">
        <w:t>Study NETU</w:t>
      </w:r>
      <w:r w:rsidRPr="00166326">
        <w:t xml:space="preserve">-07-07) and of netupitant/palonosetron FDC compared to </w:t>
      </w:r>
      <w:proofErr w:type="spellStart"/>
      <w:r w:rsidRPr="00166326">
        <w:t>aprepitant+palonosetron</w:t>
      </w:r>
      <w:proofErr w:type="spellEnd"/>
      <w:r w:rsidRPr="00166326">
        <w:t xml:space="preserve"> (</w:t>
      </w:r>
      <w:r w:rsidR="00F73FE3" w:rsidRPr="00166326">
        <w:t>Study NETU</w:t>
      </w:r>
      <w:r w:rsidRPr="00166326">
        <w:t>-10-29; exploratory comparison)</w:t>
      </w:r>
      <w:r w:rsidR="00D357B2" w:rsidRPr="00166326">
        <w:t>.</w:t>
      </w:r>
      <w:r w:rsidRPr="00166326">
        <w:t xml:space="preserve"> Baseline demographic and disease characteristics were comparable among treatment groups in each study, and were consistent with the target patient population.</w:t>
      </w:r>
    </w:p>
    <w:p w:rsidR="00027344" w:rsidRDefault="00E50309" w:rsidP="00166326">
      <w:r w:rsidRPr="00166326">
        <w:t>Overall, efficacy results supported the anti-emetic efficacy of oral netupitant 300</w:t>
      </w:r>
      <w:r w:rsidR="00357DC7" w:rsidRPr="00166326">
        <w:t xml:space="preserve"> </w:t>
      </w:r>
      <w:r w:rsidRPr="00166326">
        <w:t xml:space="preserve">mg plus palonosetron </w:t>
      </w:r>
      <w:r w:rsidR="000A3133" w:rsidRPr="00166326">
        <w:t>0.50 mg</w:t>
      </w:r>
      <w:r w:rsidRPr="00166326">
        <w:t xml:space="preserve"> in acute and delayed phases of CINV with MEC and HEC, as well as efficacy over repeated cycles of chemotherapy. Primary and main secondary efficacy analyses in the clinical studies submitted showed that there was better anti-emetic </w:t>
      </w:r>
      <w:r w:rsidRPr="00166326">
        <w:lastRenderedPageBreak/>
        <w:t>efficacy in terms of the endpoint of CR rate for oral netupitant 300</w:t>
      </w:r>
      <w:r w:rsidR="00357DC7" w:rsidRPr="00166326">
        <w:t xml:space="preserve"> </w:t>
      </w:r>
      <w:r w:rsidRPr="00166326">
        <w:t>mg plus palonosetron 0.50</w:t>
      </w:r>
      <w:r w:rsidR="00357DC7" w:rsidRPr="00166326">
        <w:t xml:space="preserve"> </w:t>
      </w:r>
      <w:r w:rsidRPr="00166326">
        <w:t>mg compared to oral palonosetron 0.50</w:t>
      </w:r>
      <w:r w:rsidR="00357DC7" w:rsidRPr="00166326">
        <w:t xml:space="preserve"> </w:t>
      </w:r>
      <w:r w:rsidRPr="00166326">
        <w:t>mg alone, with statistical significance achieved fo</w:t>
      </w:r>
      <w:r w:rsidR="00D357B2" w:rsidRPr="00166326">
        <w:t xml:space="preserve">r all three phases (delayed [25 to </w:t>
      </w:r>
      <w:r w:rsidRPr="00166326">
        <w:t xml:space="preserve">120 </w:t>
      </w:r>
      <w:r w:rsidR="004B70D8" w:rsidRPr="00166326">
        <w:t>h</w:t>
      </w:r>
      <w:r w:rsidR="00027344">
        <w:t>ours</w:t>
      </w:r>
      <w:r w:rsidR="00D357B2" w:rsidRPr="00166326">
        <w:t xml:space="preserve">], acute [0 to </w:t>
      </w:r>
      <w:r w:rsidRPr="00166326">
        <w:t xml:space="preserve">24 </w:t>
      </w:r>
      <w:r w:rsidR="004B70D8" w:rsidRPr="00166326">
        <w:t>h</w:t>
      </w:r>
      <w:r w:rsidR="00027344">
        <w:t>ours</w:t>
      </w:r>
      <w:r w:rsidR="00D357B2" w:rsidRPr="00166326">
        <w:t xml:space="preserve">] and overall [0 to </w:t>
      </w:r>
      <w:r w:rsidRPr="00166326">
        <w:t xml:space="preserve">120 </w:t>
      </w:r>
      <w:r w:rsidR="004B70D8" w:rsidRPr="00166326">
        <w:t>h</w:t>
      </w:r>
      <w:r w:rsidR="00027344">
        <w:t>ours</w:t>
      </w:r>
      <w:r w:rsidRPr="00166326">
        <w:t>]) in studies NETU-08-18 (MEC) and NETU</w:t>
      </w:r>
      <w:r w:rsidR="001E695A" w:rsidRPr="00166326">
        <w:t>-07-07 (HEC)</w:t>
      </w:r>
      <w:r w:rsidR="00027344">
        <w:t>.</w:t>
      </w:r>
    </w:p>
    <w:p w:rsidR="00E50309" w:rsidRPr="00166326" w:rsidRDefault="00E50309" w:rsidP="00166326">
      <w:r w:rsidRPr="00166326">
        <w:t>In NETU-08-18 there was a treatment difference (netupitant/palonosetron FDC over palonosetron alone) of 7.4</w:t>
      </w:r>
      <w:r w:rsidR="000403F6">
        <w:t>%</w:t>
      </w:r>
      <w:r w:rsidRPr="00166326">
        <w:t>, 3.4</w:t>
      </w:r>
      <w:r w:rsidR="000403F6">
        <w:t>%</w:t>
      </w:r>
      <w:r w:rsidRPr="00166326">
        <w:t xml:space="preserve"> and 7.7</w:t>
      </w:r>
      <w:r w:rsidR="000403F6">
        <w:t>%</w:t>
      </w:r>
      <w:r w:rsidRPr="00166326">
        <w:t xml:space="preserve"> in the delayed, acute and overall phases, respectively, while in NETU-07-07 the treatment differences (netupitant 300</w:t>
      </w:r>
      <w:r w:rsidR="00357DC7" w:rsidRPr="00166326">
        <w:t xml:space="preserve"> </w:t>
      </w:r>
      <w:r w:rsidRPr="00166326">
        <w:t>mg + palonosetron over palonosetron alone) were 10.2</w:t>
      </w:r>
      <w:r w:rsidR="000403F6">
        <w:t>%</w:t>
      </w:r>
      <w:r w:rsidRPr="00166326">
        <w:t>, 8.8</w:t>
      </w:r>
      <w:r w:rsidR="000403F6">
        <w:t>%</w:t>
      </w:r>
      <w:r w:rsidRPr="00166326">
        <w:t xml:space="preserve"> and 13.2</w:t>
      </w:r>
      <w:r w:rsidR="000403F6">
        <w:t>%</w:t>
      </w:r>
      <w:r w:rsidRPr="00166326">
        <w:t xml:space="preserve">, respectively. Although no formal comparison was performed against comparators other than oral palonosetron, a numerical advantage of netupitant/palonosetron FDC was shown versus aprepitant + palonosetron in </w:t>
      </w:r>
      <w:r w:rsidR="00F73FE3" w:rsidRPr="00166326">
        <w:t>Study NETU</w:t>
      </w:r>
      <w:r w:rsidRPr="00166326">
        <w:t>-10-29 (MEC and HEC) in CR rate in the delayed and overall phases (treatment difference of 5.5</w:t>
      </w:r>
      <w:r w:rsidR="000403F6">
        <w:t>%</w:t>
      </w:r>
      <w:r w:rsidRPr="00166326">
        <w:t xml:space="preserve"> and 4.9</w:t>
      </w:r>
      <w:r w:rsidR="000403F6">
        <w:t>%</w:t>
      </w:r>
      <w:r w:rsidRPr="00166326">
        <w:t xml:space="preserve"> in the delayed and overall phases, respect</w:t>
      </w:r>
      <w:r w:rsidR="00027344">
        <w:t>ively; treatment difference of</w:t>
      </w:r>
      <w:r w:rsidR="004C07F5">
        <w:t xml:space="preserve"> </w:t>
      </w:r>
      <w:r w:rsidR="00027344">
        <w:noBreakHyphen/>
      </w:r>
      <w:r w:rsidRPr="00166326">
        <w:t>1.3</w:t>
      </w:r>
      <w:r w:rsidR="000403F6">
        <w:t>%</w:t>
      </w:r>
      <w:r w:rsidRPr="00166326">
        <w:t xml:space="preserve"> in</w:t>
      </w:r>
      <w:r w:rsidR="001E695A" w:rsidRPr="00166326">
        <w:t xml:space="preserve"> the acute phase).</w:t>
      </w:r>
    </w:p>
    <w:p w:rsidR="00E50309" w:rsidRPr="00166326" w:rsidRDefault="00E50309" w:rsidP="00166326">
      <w:r w:rsidRPr="00166326">
        <w:t xml:space="preserve">Further analyses looking at efficacy in MEC (studies NETU-08-18 and MEC subgroup of NETU-10-29) and HEC (studies NETU-07-07 and HEC subgroup of NETU-10-29) supported the anti-emetic efficacy of oral netupitant </w:t>
      </w:r>
      <w:r w:rsidR="000A3133" w:rsidRPr="00166326">
        <w:t>300 mg</w:t>
      </w:r>
      <w:r w:rsidRPr="00166326">
        <w:t xml:space="preserve"> plus palonosetron 0.50</w:t>
      </w:r>
      <w:r w:rsidR="00357DC7" w:rsidRPr="00166326">
        <w:t xml:space="preserve"> </w:t>
      </w:r>
      <w:r w:rsidRPr="00166326">
        <w:t xml:space="preserve">mg for both MEC and HEC. Complete response rates for netupitant/palonosetron FDC were generally comparable between </w:t>
      </w:r>
      <w:r w:rsidR="00F73FE3" w:rsidRPr="00166326">
        <w:t>Study NETU</w:t>
      </w:r>
      <w:r w:rsidRPr="00166326">
        <w:t xml:space="preserve">-08-18 and the MEC subgroup of </w:t>
      </w:r>
      <w:r w:rsidR="00F73FE3" w:rsidRPr="00166326">
        <w:t>Study NETU</w:t>
      </w:r>
      <w:r w:rsidRPr="00166326">
        <w:t>-10-29 for all 3 phases (NETU-08-18: CR rates of 66.6</w:t>
      </w:r>
      <w:r w:rsidR="000403F6">
        <w:t>%</w:t>
      </w:r>
      <w:r w:rsidRPr="00166326">
        <w:t xml:space="preserve"> to 85.0</w:t>
      </w:r>
      <w:r w:rsidR="000403F6">
        <w:t>%</w:t>
      </w:r>
      <w:r w:rsidRPr="00166326">
        <w:t xml:space="preserve"> across the 3 phases; NETU-10-29: CR rates of 79.6</w:t>
      </w:r>
      <w:r w:rsidR="000403F6">
        <w:t>%</w:t>
      </w:r>
      <w:r w:rsidRPr="00166326">
        <w:t xml:space="preserve"> to 93.2</w:t>
      </w:r>
      <w:r w:rsidR="000403F6">
        <w:t>%</w:t>
      </w:r>
      <w:r w:rsidRPr="00166326">
        <w:t xml:space="preserve"> across the 3 phases). CR rates were comparable between netupitant/palonosetron FDC and aprepitant + palonosetron in the MEC subgroup of </w:t>
      </w:r>
      <w:r w:rsidR="00F73FE3" w:rsidRPr="00166326">
        <w:t>Study NETU</w:t>
      </w:r>
      <w:r w:rsidRPr="00166326">
        <w:t>-10-29 in the delayed, acute and overall phases.</w:t>
      </w:r>
    </w:p>
    <w:p w:rsidR="00E50309" w:rsidRPr="00166326" w:rsidRDefault="00E50309" w:rsidP="00166326">
      <w:r w:rsidRPr="00166326">
        <w:t>Complete response rates for oral netupitant 300</w:t>
      </w:r>
      <w:r w:rsidR="00357DC7" w:rsidRPr="00166326">
        <w:t xml:space="preserve"> </w:t>
      </w:r>
      <w:r w:rsidRPr="00166326">
        <w:t>mg plus palonosetron 0.50</w:t>
      </w:r>
      <w:r w:rsidR="00357DC7" w:rsidRPr="00166326">
        <w:t xml:space="preserve"> </w:t>
      </w:r>
      <w:r w:rsidRPr="00166326">
        <w:t xml:space="preserve">mg were generally comparable between </w:t>
      </w:r>
      <w:r w:rsidR="00F73FE3" w:rsidRPr="00166326">
        <w:t>Study NETU</w:t>
      </w:r>
      <w:r w:rsidRPr="00166326">
        <w:t xml:space="preserve">-07-07 (netupitant + palonosetron) and the HEC subgroup of </w:t>
      </w:r>
      <w:r w:rsidR="00F73FE3" w:rsidRPr="00166326">
        <w:t>Study NETU</w:t>
      </w:r>
      <w:r w:rsidRPr="00166326">
        <w:t>-10-29 (netupitant/palonosetron FDC) for all 3 phases (NETU-07-07: CR rates of 89.6</w:t>
      </w:r>
      <w:r w:rsidR="000403F6">
        <w:t>%</w:t>
      </w:r>
      <w:r w:rsidRPr="00166326">
        <w:t xml:space="preserve"> to 98.5</w:t>
      </w:r>
      <w:r w:rsidR="000403F6">
        <w:t>%</w:t>
      </w:r>
      <w:r w:rsidRPr="00166326">
        <w:t xml:space="preserve"> across the 3 phases; NETU-10-29: CR rates of 83.8</w:t>
      </w:r>
      <w:r w:rsidR="000403F6">
        <w:t>%</w:t>
      </w:r>
      <w:r w:rsidRPr="00166326">
        <w:t xml:space="preserve"> to 91.9</w:t>
      </w:r>
      <w:r w:rsidR="000403F6">
        <w:t>%</w:t>
      </w:r>
      <w:r w:rsidRPr="00166326">
        <w:t xml:space="preserve"> across t</w:t>
      </w:r>
      <w:r w:rsidR="00357DC7" w:rsidRPr="00166326">
        <w:t>he 3 phases)</w:t>
      </w:r>
      <w:r w:rsidRPr="00166326">
        <w:t xml:space="preserve">. A numerical advantage of netupitant/palonosetron FDC was shown versus aprepitant + palonosetron in the HEC subgroup of </w:t>
      </w:r>
      <w:r w:rsidR="00F73FE3" w:rsidRPr="00166326">
        <w:t>Study NETU</w:t>
      </w:r>
      <w:r w:rsidRPr="00166326">
        <w:t>-10-29 in the delayed and overall phases (treatment difference of 30.1</w:t>
      </w:r>
      <w:r w:rsidR="000403F6">
        <w:t>%</w:t>
      </w:r>
      <w:r w:rsidRPr="00166326">
        <w:t xml:space="preserve"> and 26.1</w:t>
      </w:r>
      <w:r w:rsidR="000403F6">
        <w:t>%</w:t>
      </w:r>
      <w:r w:rsidRPr="00166326">
        <w:t xml:space="preserve"> in the delayed and overall phases, respectively). In addition, in </w:t>
      </w:r>
      <w:r w:rsidR="00F73FE3" w:rsidRPr="00166326">
        <w:t>Study NETU</w:t>
      </w:r>
      <w:r w:rsidRPr="00166326">
        <w:t xml:space="preserve">-10-29, exploratory subgroup analyses by chemotherapy </w:t>
      </w:r>
      <w:proofErr w:type="spellStart"/>
      <w:r w:rsidRPr="00166326">
        <w:t>emetogenicity</w:t>
      </w:r>
      <w:proofErr w:type="spellEnd"/>
      <w:r w:rsidRPr="00166326">
        <w:t xml:space="preserve"> for the endpoint of complete response showed that percentages of patients with CR in the netupitant/palonosetron FDC group were generally comparable between MEC (81.7</w:t>
      </w:r>
      <w:r w:rsidR="000403F6">
        <w:t>%</w:t>
      </w:r>
      <w:r w:rsidRPr="00166326">
        <w:t>, 93.2</w:t>
      </w:r>
      <w:r w:rsidR="000403F6">
        <w:t>%</w:t>
      </w:r>
      <w:r w:rsidRPr="00166326">
        <w:t xml:space="preserve"> and 79.6</w:t>
      </w:r>
      <w:r w:rsidR="000403F6">
        <w:t>%</w:t>
      </w:r>
      <w:r w:rsidRPr="00166326">
        <w:t xml:space="preserve"> for the delayed, acute and overall phases of</w:t>
      </w:r>
      <w:r w:rsidR="005F7FE0" w:rsidRPr="00166326">
        <w:t xml:space="preserve"> Cycle 1</w:t>
      </w:r>
      <w:r w:rsidRPr="00166326">
        <w:t>, respectively) and HEC subgroups (87.8</w:t>
      </w:r>
      <w:r w:rsidR="000403F6">
        <w:t>%</w:t>
      </w:r>
      <w:r w:rsidRPr="00166326">
        <w:t>, 91.9</w:t>
      </w:r>
      <w:r w:rsidR="000403F6">
        <w:t>%</w:t>
      </w:r>
      <w:r w:rsidRPr="00166326">
        <w:t xml:space="preserve"> and 83.8</w:t>
      </w:r>
      <w:r w:rsidR="000403F6">
        <w:t>%</w:t>
      </w:r>
      <w:r w:rsidRPr="00166326">
        <w:t>, respectively), as were the percentages of patients with no significant nausea in the netupitant/palonosetron FDC group (MEC: 85.5</w:t>
      </w:r>
      <w:r w:rsidR="000403F6">
        <w:t>%</w:t>
      </w:r>
      <w:r w:rsidRPr="00166326">
        <w:t>, 90.2</w:t>
      </w:r>
      <w:r w:rsidR="000403F6">
        <w:t>%</w:t>
      </w:r>
      <w:r w:rsidRPr="00166326">
        <w:t xml:space="preserve"> and 84.7</w:t>
      </w:r>
      <w:r w:rsidR="000403F6">
        <w:t>%</w:t>
      </w:r>
      <w:r w:rsidRPr="00166326">
        <w:t xml:space="preserve"> for the delayed, acute and overall phases of</w:t>
      </w:r>
      <w:r w:rsidR="005F7FE0" w:rsidRPr="00166326">
        <w:t xml:space="preserve"> Cycle 1</w:t>
      </w:r>
      <w:r w:rsidRPr="00166326">
        <w:t>, respectively; HEC: 83.8</w:t>
      </w:r>
      <w:r w:rsidR="000403F6">
        <w:t>%</w:t>
      </w:r>
      <w:r w:rsidRPr="00166326">
        <w:t>, 91.9</w:t>
      </w:r>
      <w:r w:rsidR="000403F6">
        <w:t>%</w:t>
      </w:r>
      <w:r w:rsidRPr="00166326">
        <w:t xml:space="preserve"> and 82.4</w:t>
      </w:r>
      <w:r w:rsidR="000403F6">
        <w:t>%</w:t>
      </w:r>
      <w:r w:rsidRPr="00166326">
        <w:t>, respectively).</w:t>
      </w:r>
    </w:p>
    <w:p w:rsidR="00E50309" w:rsidRPr="00166326" w:rsidRDefault="00E50309" w:rsidP="00166326">
      <w:r w:rsidRPr="00166326">
        <w:t>Results in study PALO-10-01 supported efficacy of the palonosetron component of the FDC in HEC, showing non-inferiority of oral palonosetron 0.50</w:t>
      </w:r>
      <w:r w:rsidR="00357DC7" w:rsidRPr="00166326">
        <w:t xml:space="preserve"> </w:t>
      </w:r>
      <w:r w:rsidRPr="00166326">
        <w:t>mg compared with IV palonosetron 0.25</w:t>
      </w:r>
      <w:r w:rsidR="00357DC7" w:rsidRPr="00166326">
        <w:t xml:space="preserve"> </w:t>
      </w:r>
      <w:r w:rsidRPr="00166326">
        <w:t>mg in terms of CR rate in the acute phase in patients receiving HEC (treatment difference of 3.21</w:t>
      </w:r>
      <w:r w:rsidR="000403F6">
        <w:t>%</w:t>
      </w:r>
      <w:r w:rsidRPr="00166326">
        <w:t>, 99</w:t>
      </w:r>
      <w:r w:rsidR="000403F6">
        <w:t>%</w:t>
      </w:r>
      <w:r w:rsidRPr="00166326">
        <w:t xml:space="preserve"> CI: -2.74</w:t>
      </w:r>
      <w:r w:rsidR="000403F6">
        <w:t>%</w:t>
      </w:r>
      <w:r w:rsidRPr="00166326">
        <w:t xml:space="preserve"> to 9.17</w:t>
      </w:r>
      <w:r w:rsidR="000403F6">
        <w:t>%</w:t>
      </w:r>
      <w:r w:rsidRPr="00166326">
        <w:t xml:space="preserve">), and no statistically significant difference between oral palonosetron </w:t>
      </w:r>
      <w:r w:rsidR="000A3133" w:rsidRPr="00166326">
        <w:t>0.50 mg</w:t>
      </w:r>
      <w:r w:rsidRPr="00166326">
        <w:t xml:space="preserve"> and IV palonosetron 0.25</w:t>
      </w:r>
      <w:r w:rsidR="00357DC7" w:rsidRPr="00166326">
        <w:t xml:space="preserve"> </w:t>
      </w:r>
      <w:r w:rsidRPr="00166326">
        <w:t>mg with regards to CR rate in the delayed and overall phases in patients receiving HEC (delayed phase: treatment difference of 1.4</w:t>
      </w:r>
      <w:r w:rsidR="000403F6">
        <w:t>%</w:t>
      </w:r>
      <w:r w:rsidRPr="00166326">
        <w:t xml:space="preserve">, </w:t>
      </w:r>
      <w:r w:rsidR="00027344">
        <w:t xml:space="preserve">p = </w:t>
      </w:r>
      <w:r w:rsidRPr="00166326">
        <w:t>0.637; overall phase: treatment difference of 3.5</w:t>
      </w:r>
      <w:r w:rsidR="000403F6">
        <w:t>%</w:t>
      </w:r>
      <w:r w:rsidRPr="00166326">
        <w:t xml:space="preserve">, </w:t>
      </w:r>
      <w:r w:rsidR="00027344">
        <w:t>p = </w:t>
      </w:r>
      <w:r w:rsidRPr="00166326">
        <w:t>0.269).</w:t>
      </w:r>
    </w:p>
    <w:p w:rsidR="00E50309" w:rsidRPr="00166326" w:rsidRDefault="00E50309" w:rsidP="00166326">
      <w:r w:rsidRPr="00166326">
        <w:t>Analyses of other secondary efficacy endpoints generally supported the results of primary and main secondary efficacy endpoints. Efficacy endpoints of no emesis, no significant nausea, and complete protection (no emesis, no rescue medication, and no significant nausea) showed that oral netupitant 300</w:t>
      </w:r>
      <w:r w:rsidR="00357DC7" w:rsidRPr="00166326">
        <w:t xml:space="preserve"> </w:t>
      </w:r>
      <w:r w:rsidRPr="00166326">
        <w:t>mg plus palonosetron 0.50</w:t>
      </w:r>
      <w:r w:rsidR="00357DC7" w:rsidRPr="00166326">
        <w:t xml:space="preserve"> </w:t>
      </w:r>
      <w:r w:rsidRPr="00166326">
        <w:t xml:space="preserve">mg had statistically significantly better efficacy compared to oral palonosetron </w:t>
      </w:r>
      <w:r w:rsidR="000A3133" w:rsidRPr="00166326">
        <w:t>0.50 mg</w:t>
      </w:r>
      <w:r w:rsidRPr="00166326">
        <w:t xml:space="preserve"> alone in the</w:t>
      </w:r>
      <w:r w:rsidR="00357DC7" w:rsidRPr="00166326">
        <w:t xml:space="preserve"> delayed and overall phases in S</w:t>
      </w:r>
      <w:r w:rsidRPr="00166326">
        <w:t>tudies NETU-08-18 (MEC; netupitant/palonosetron FDC) and NETU-07-07 (HEC; netupitant + palonosetron).</w:t>
      </w:r>
    </w:p>
    <w:p w:rsidR="00E50309" w:rsidRPr="00166326" w:rsidRDefault="00E50309" w:rsidP="00166326">
      <w:r w:rsidRPr="00166326">
        <w:lastRenderedPageBreak/>
        <w:t xml:space="preserve">With regards to efficacy over repeated cycles of chemotherapy, 2 studies collected efficacy data over multiple cycles of chemotherapy (NETU-08-18 in MEC and safety </w:t>
      </w:r>
      <w:r w:rsidR="00F73FE3" w:rsidRPr="00166326">
        <w:t>Study NETU</w:t>
      </w:r>
      <w:r w:rsidRPr="00166326">
        <w:t xml:space="preserve">-10-29 in MEC and HEC). Overall, the results indicated that the anti-emetic effect of the FDC was maintained over multiple cycles of chemotherapy. Results in </w:t>
      </w:r>
      <w:r w:rsidR="00F73FE3" w:rsidRPr="00166326">
        <w:t>Study NETU</w:t>
      </w:r>
      <w:r w:rsidRPr="00166326">
        <w:t>-08-18 showed that the CR rates were higher for netupitant/palonosetron FDC than for palonosetron alone in e</w:t>
      </w:r>
      <w:r w:rsidR="00027344">
        <w:t>ach phase and each cycle up to C</w:t>
      </w:r>
      <w:r w:rsidRPr="00166326">
        <w:t xml:space="preserve">ycle 6, with treatment differences more pronounced in the delayed and overall phases. The range of treatment differences across </w:t>
      </w:r>
      <w:r w:rsidR="00DD2C7E" w:rsidRPr="00166326">
        <w:t>Cycles 2 to 6</w:t>
      </w:r>
      <w:r w:rsidRPr="00166326">
        <w:t xml:space="preserve"> in the delayed phase was 5.6</w:t>
      </w:r>
      <w:r w:rsidR="000403F6">
        <w:t>%</w:t>
      </w:r>
      <w:r w:rsidRPr="00166326">
        <w:t xml:space="preserve"> to 12.9</w:t>
      </w:r>
      <w:r w:rsidR="000403F6">
        <w:t>%</w:t>
      </w:r>
      <w:r w:rsidRPr="00166326">
        <w:t>, in the acute phase was 3.0</w:t>
      </w:r>
      <w:r w:rsidR="000403F6">
        <w:t>%</w:t>
      </w:r>
      <w:r w:rsidRPr="00166326">
        <w:t xml:space="preserve"> to 7.8</w:t>
      </w:r>
      <w:r w:rsidR="000403F6">
        <w:t>%</w:t>
      </w:r>
      <w:r w:rsidRPr="00166326">
        <w:t>, and in the overall phase was 5.2</w:t>
      </w:r>
      <w:r w:rsidR="000403F6">
        <w:t>%</w:t>
      </w:r>
      <w:r w:rsidRPr="00166326">
        <w:t xml:space="preserve"> to 13.6</w:t>
      </w:r>
      <w:r w:rsidR="000403F6">
        <w:t>%</w:t>
      </w:r>
      <w:r w:rsidRPr="00166326">
        <w:t>. The proportions of patients with no significant nausea were also higher for the netupitant/palonosetron FDC than for palonosetron alone in e</w:t>
      </w:r>
      <w:r w:rsidR="00027344">
        <w:t>ach phase and each cycle up to C</w:t>
      </w:r>
      <w:r w:rsidRPr="00166326">
        <w:t>ycle 6, with treatment differences more pronounced in the delayed and ove</w:t>
      </w:r>
      <w:r w:rsidR="00357DC7" w:rsidRPr="00166326">
        <w:t>rall phases</w:t>
      </w:r>
      <w:r w:rsidRPr="00166326">
        <w:t xml:space="preserve">. The range of treatment differences across </w:t>
      </w:r>
      <w:r w:rsidR="00DD2C7E" w:rsidRPr="00166326">
        <w:t>Cycles 2 to 6</w:t>
      </w:r>
      <w:r w:rsidRPr="00166326">
        <w:t xml:space="preserve"> in the delayed phase was 4.4</w:t>
      </w:r>
      <w:r w:rsidR="000403F6">
        <w:t>%</w:t>
      </w:r>
      <w:r w:rsidRPr="00166326">
        <w:t xml:space="preserve"> to 9.2</w:t>
      </w:r>
      <w:r w:rsidR="000403F6">
        <w:t>%</w:t>
      </w:r>
      <w:r w:rsidRPr="00166326">
        <w:t>, in the acute phase was 1.6</w:t>
      </w:r>
      <w:r w:rsidR="000403F6">
        <w:t>%</w:t>
      </w:r>
      <w:r w:rsidRPr="00166326">
        <w:t xml:space="preserve"> to 3.4</w:t>
      </w:r>
      <w:r w:rsidR="000403F6">
        <w:t>%</w:t>
      </w:r>
      <w:r w:rsidRPr="00166326">
        <w:t>, and in the delayed phase was 2.8</w:t>
      </w:r>
      <w:r w:rsidR="000403F6">
        <w:t>%</w:t>
      </w:r>
      <w:r w:rsidRPr="00166326">
        <w:t xml:space="preserve"> to 4.7</w:t>
      </w:r>
      <w:r w:rsidR="000403F6">
        <w:t>%</w:t>
      </w:r>
      <w:r w:rsidRPr="00166326">
        <w:t>.</w:t>
      </w:r>
    </w:p>
    <w:p w:rsidR="00E50309" w:rsidRPr="00166326" w:rsidRDefault="00E50309" w:rsidP="00166326">
      <w:r w:rsidRPr="00166326">
        <w:t xml:space="preserve">Results in </w:t>
      </w:r>
      <w:r w:rsidR="00F73FE3" w:rsidRPr="00166326">
        <w:t>Study NETU</w:t>
      </w:r>
      <w:r w:rsidRPr="00166326">
        <w:t xml:space="preserve">-10-29 showed that in </w:t>
      </w:r>
      <w:r w:rsidR="00DD2C7E" w:rsidRPr="00166326">
        <w:t>Cycles 2 to 6</w:t>
      </w:r>
      <w:r w:rsidRPr="00166326">
        <w:t xml:space="preserve">, the proportion of patients with CR was numerically higher for the netupitant/palonosetron FDC group than the </w:t>
      </w:r>
      <w:proofErr w:type="spellStart"/>
      <w:r w:rsidRPr="00166326">
        <w:t>aprepitant+palonosetron</w:t>
      </w:r>
      <w:proofErr w:type="spellEnd"/>
      <w:r w:rsidRPr="00166326">
        <w:t xml:space="preserve"> group in particular in the delayed and overall phases. Results in the acute phase were more similar bet</w:t>
      </w:r>
      <w:r w:rsidR="00357DC7" w:rsidRPr="00166326">
        <w:t>ween groups</w:t>
      </w:r>
      <w:r w:rsidRPr="00166326">
        <w:t xml:space="preserve">. The range of treatment differences across </w:t>
      </w:r>
      <w:r w:rsidR="00DD2C7E" w:rsidRPr="00166326">
        <w:t>Cycles 2 to 6</w:t>
      </w:r>
      <w:r w:rsidRPr="00166326">
        <w:t xml:space="preserve"> in the delayed phase was 3.3</w:t>
      </w:r>
      <w:r w:rsidR="000403F6">
        <w:t>%</w:t>
      </w:r>
      <w:r w:rsidRPr="00166326">
        <w:t xml:space="preserve"> to 7.0</w:t>
      </w:r>
      <w:r w:rsidR="000403F6">
        <w:t>%</w:t>
      </w:r>
      <w:r w:rsidR="00A2420D" w:rsidRPr="00166326">
        <w:t>, in the acute phase was -</w:t>
      </w:r>
      <w:r w:rsidRPr="00166326">
        <w:t>3.4</w:t>
      </w:r>
      <w:r w:rsidR="000403F6">
        <w:t>%</w:t>
      </w:r>
      <w:r w:rsidRPr="00166326">
        <w:t xml:space="preserve"> to 4.8</w:t>
      </w:r>
      <w:r w:rsidR="000403F6">
        <w:t>%</w:t>
      </w:r>
      <w:r w:rsidRPr="00166326">
        <w:t>, and in the overall phase was 2.5</w:t>
      </w:r>
      <w:r w:rsidR="000403F6">
        <w:t>%</w:t>
      </w:r>
      <w:r w:rsidRPr="00166326">
        <w:t xml:space="preserve"> to 5.7</w:t>
      </w:r>
      <w:r w:rsidR="000403F6">
        <w:t>%</w:t>
      </w:r>
      <w:r w:rsidRPr="00166326">
        <w:t>. Analyses of the proportion of patients with no significant nausea showed similar pattern. In</w:t>
      </w:r>
      <w:r w:rsidR="00DD2C7E" w:rsidRPr="00166326">
        <w:t xml:space="preserve"> Cycle 2</w:t>
      </w:r>
      <w:r w:rsidRPr="00166326">
        <w:t xml:space="preserve"> percentages of patients with no significant nausea were comparable between </w:t>
      </w:r>
      <w:proofErr w:type="spellStart"/>
      <w:r w:rsidRPr="00166326">
        <w:t>netupitant</w:t>
      </w:r>
      <w:proofErr w:type="spellEnd"/>
      <w:r w:rsidRPr="00166326">
        <w:t>/</w:t>
      </w:r>
      <w:proofErr w:type="spellStart"/>
      <w:r w:rsidRPr="00166326">
        <w:t>palonosetron</w:t>
      </w:r>
      <w:proofErr w:type="spellEnd"/>
      <w:r w:rsidRPr="00166326">
        <w:t xml:space="preserve"> FDC and </w:t>
      </w:r>
      <w:proofErr w:type="spellStart"/>
      <w:r w:rsidRPr="00166326">
        <w:t>aprepitant+palonosetron</w:t>
      </w:r>
      <w:proofErr w:type="spellEnd"/>
      <w:r w:rsidRPr="00166326">
        <w:t xml:space="preserve"> for all phases (treatment differences ranging from 0.3</w:t>
      </w:r>
      <w:r w:rsidR="000403F6">
        <w:t>%</w:t>
      </w:r>
      <w:r w:rsidRPr="00166326">
        <w:t xml:space="preserve"> in the overall phase to 2.6</w:t>
      </w:r>
      <w:r w:rsidR="000403F6">
        <w:t>%</w:t>
      </w:r>
      <w:r w:rsidRPr="00166326">
        <w:t xml:space="preserve"> in the acute phase). Starting from</w:t>
      </w:r>
      <w:r w:rsidR="00DD2C7E" w:rsidRPr="00166326">
        <w:t xml:space="preserve"> Cycle 3</w:t>
      </w:r>
      <w:r w:rsidRPr="00166326">
        <w:t xml:space="preserve"> and up to 6, the proportion of patients with no significant nausea was numerically higher for the netupitant/palonosetron FDC group than the </w:t>
      </w:r>
      <w:proofErr w:type="spellStart"/>
      <w:r w:rsidRPr="00166326">
        <w:t>aprepitant+palonosetron</w:t>
      </w:r>
      <w:proofErr w:type="spellEnd"/>
      <w:r w:rsidRPr="00166326">
        <w:t xml:space="preserve"> group, in particular in the delayed and overall phases (range of differences 5.4</w:t>
      </w:r>
      <w:r w:rsidR="000403F6">
        <w:t>%</w:t>
      </w:r>
      <w:r w:rsidRPr="00166326">
        <w:t xml:space="preserve"> to 11.1</w:t>
      </w:r>
      <w:r w:rsidR="000403F6">
        <w:t>%</w:t>
      </w:r>
      <w:r w:rsidRPr="00166326">
        <w:t xml:space="preserve"> in the delayed phase and 5.4</w:t>
      </w:r>
      <w:r w:rsidR="000403F6">
        <w:t>%</w:t>
      </w:r>
      <w:r w:rsidRPr="00166326">
        <w:t xml:space="preserve"> to 9.9</w:t>
      </w:r>
      <w:r w:rsidR="000403F6">
        <w:t>%</w:t>
      </w:r>
      <w:r w:rsidRPr="00166326">
        <w:t xml:space="preserve"> in the ove</w:t>
      </w:r>
      <w:r w:rsidR="00357DC7" w:rsidRPr="00166326">
        <w:t>rall phase)</w:t>
      </w:r>
      <w:r w:rsidRPr="00166326">
        <w:t>. The range of treatment differences across cycles 3 to 6 in the delayed phase was 5.4</w:t>
      </w:r>
      <w:r w:rsidR="000403F6">
        <w:t>%</w:t>
      </w:r>
      <w:r w:rsidRPr="00166326">
        <w:t xml:space="preserve"> to 11.1</w:t>
      </w:r>
      <w:r w:rsidR="000403F6">
        <w:t>%</w:t>
      </w:r>
      <w:r w:rsidRPr="00166326">
        <w:t>, in the acute phase was 1.9</w:t>
      </w:r>
      <w:r w:rsidR="000403F6">
        <w:t>%</w:t>
      </w:r>
      <w:r w:rsidRPr="00166326">
        <w:t xml:space="preserve"> to 8.9</w:t>
      </w:r>
      <w:r w:rsidR="000403F6">
        <w:t>%</w:t>
      </w:r>
      <w:r w:rsidRPr="00166326">
        <w:t>, and in the overall phase was 5.4</w:t>
      </w:r>
      <w:r w:rsidR="000403F6">
        <w:t>%</w:t>
      </w:r>
      <w:r w:rsidRPr="00166326">
        <w:t xml:space="preserve"> to 9.9</w:t>
      </w:r>
      <w:r w:rsidR="000403F6">
        <w:t>%</w:t>
      </w:r>
      <w:r w:rsidRPr="00166326">
        <w:t>.</w:t>
      </w:r>
    </w:p>
    <w:p w:rsidR="00E50309" w:rsidRPr="00166326" w:rsidRDefault="00E50309" w:rsidP="00166326">
      <w:r w:rsidRPr="00166326">
        <w:t xml:space="preserve">The study population in </w:t>
      </w:r>
      <w:r w:rsidR="00F73FE3" w:rsidRPr="00166326">
        <w:t>Study NETU</w:t>
      </w:r>
      <w:r w:rsidRPr="00166326">
        <w:t>-08-18 comprised mainly of females (98.1</w:t>
      </w:r>
      <w:r w:rsidR="000403F6">
        <w:t>%</w:t>
      </w:r>
      <w:r w:rsidRPr="00166326">
        <w:t>; 1422</w:t>
      </w:r>
      <w:r w:rsidR="00027344">
        <w:t xml:space="preserve"> out of </w:t>
      </w:r>
      <w:r w:rsidRPr="00166326">
        <w:t xml:space="preserve">1450). This was expected as the </w:t>
      </w:r>
      <w:r w:rsidR="002D3239">
        <w:t>protocol specified</w:t>
      </w:r>
      <w:r w:rsidRPr="00166326">
        <w:t xml:space="preserve"> chemotherapy regimen is mostly indicated </w:t>
      </w:r>
      <w:r w:rsidR="00357DC7" w:rsidRPr="00166326">
        <w:t>for breast cancer. However, in S</w:t>
      </w:r>
      <w:r w:rsidRPr="00166326">
        <w:t>tudies NETU-07-07 (HEC) and NETU-10-29 (MEC and HEC), male patients made up 57</w:t>
      </w:r>
      <w:r w:rsidR="000403F6">
        <w:t>%</w:t>
      </w:r>
      <w:r w:rsidRPr="00166326">
        <w:t xml:space="preserve"> and 50</w:t>
      </w:r>
      <w:r w:rsidR="000403F6">
        <w:t>%</w:t>
      </w:r>
      <w:r w:rsidRPr="00166326">
        <w:t xml:space="preserve"> of the respective study populations. In </w:t>
      </w:r>
      <w:r w:rsidR="00357DC7" w:rsidRPr="00166326">
        <w:t>addition, subgroup analyses in S</w:t>
      </w:r>
      <w:r w:rsidRPr="00166326">
        <w:t>tudies NETU-07-07 and NETU-10-29 showed that there was anti-emetic efficacy with oral netupitant 300</w:t>
      </w:r>
      <w:r w:rsidR="00357DC7" w:rsidRPr="00166326">
        <w:t xml:space="preserve"> </w:t>
      </w:r>
      <w:r w:rsidRPr="00166326">
        <w:t>mg plus palonosetron 0.50</w:t>
      </w:r>
      <w:r w:rsidR="00357DC7" w:rsidRPr="00166326">
        <w:t xml:space="preserve"> </w:t>
      </w:r>
      <w:r w:rsidRPr="00166326">
        <w:t xml:space="preserve">mg in both male and female subgroups. Results in </w:t>
      </w:r>
      <w:r w:rsidR="00F73FE3" w:rsidRPr="00166326">
        <w:t>Study NETU</w:t>
      </w:r>
      <w:r w:rsidRPr="00166326">
        <w:t>-07-07 showed that CR rate in the overall phase was numerically higher for oral netupitant 300</w:t>
      </w:r>
      <w:r w:rsidR="00357DC7" w:rsidRPr="00166326">
        <w:t xml:space="preserve"> </w:t>
      </w:r>
      <w:r w:rsidRPr="00166326">
        <w:t>mg plus palonosetron 0.50</w:t>
      </w:r>
      <w:r w:rsidR="00357DC7" w:rsidRPr="00166326">
        <w:t xml:space="preserve"> m</w:t>
      </w:r>
      <w:r w:rsidRPr="00166326">
        <w:t>g compared to palonosetron alone, for both male and female patients, although the treatment difference from palonosetron alone was smaller in male patients (94.8</w:t>
      </w:r>
      <w:r w:rsidR="000403F6">
        <w:t>%</w:t>
      </w:r>
      <w:r w:rsidRPr="00166326">
        <w:t xml:space="preserve"> </w:t>
      </w:r>
      <w:r w:rsidR="0067312A" w:rsidRPr="00166326">
        <w:t>versus</w:t>
      </w:r>
      <w:r w:rsidRPr="00166326">
        <w:t xml:space="preserve"> 83.3</w:t>
      </w:r>
      <w:r w:rsidR="000403F6">
        <w:t>%</w:t>
      </w:r>
      <w:r w:rsidRPr="00166326">
        <w:t>; treatment difference of 11.5</w:t>
      </w:r>
      <w:r w:rsidR="000403F6">
        <w:t>%</w:t>
      </w:r>
      <w:r w:rsidRPr="00166326">
        <w:t xml:space="preserve">, </w:t>
      </w:r>
      <w:r w:rsidR="00027344">
        <w:t xml:space="preserve">p = </w:t>
      </w:r>
      <w:r w:rsidRPr="00166326">
        <w:t>0.030) than in female patients (82.8</w:t>
      </w:r>
      <w:r w:rsidR="000403F6">
        <w:t>%</w:t>
      </w:r>
      <w:r w:rsidRPr="00166326">
        <w:t xml:space="preserve"> </w:t>
      </w:r>
      <w:r w:rsidR="0067312A" w:rsidRPr="00166326">
        <w:t>versus</w:t>
      </w:r>
      <w:r w:rsidR="004A3AAA">
        <w:t xml:space="preserve"> </w:t>
      </w:r>
      <w:r w:rsidRPr="00166326">
        <w:t>67.2</w:t>
      </w:r>
      <w:r w:rsidR="000403F6">
        <w:t>%</w:t>
      </w:r>
      <w:r w:rsidRPr="00166326">
        <w:t>; treatment difference of 15.5</w:t>
      </w:r>
      <w:r w:rsidR="000403F6">
        <w:t>%</w:t>
      </w:r>
      <w:r w:rsidR="00357DC7" w:rsidRPr="00166326">
        <w:t xml:space="preserve">, </w:t>
      </w:r>
      <w:r w:rsidR="00027344">
        <w:t xml:space="preserve">p = </w:t>
      </w:r>
      <w:r w:rsidR="00357DC7" w:rsidRPr="00166326">
        <w:t>0.057)</w:t>
      </w:r>
      <w:r w:rsidRPr="00166326">
        <w:t xml:space="preserve">. Results in </w:t>
      </w:r>
      <w:r w:rsidR="00F73FE3" w:rsidRPr="00166326">
        <w:t>Study NETU</w:t>
      </w:r>
      <w:r w:rsidRPr="00166326">
        <w:t>-10-29 showed that percentages of patients with CR in the netupitant/palonosetron FDC group were generally comparable between male (85.7</w:t>
      </w:r>
      <w:r w:rsidR="000403F6">
        <w:t>%</w:t>
      </w:r>
      <w:r w:rsidRPr="00166326">
        <w:t>, 94.2</w:t>
      </w:r>
      <w:r w:rsidR="000403F6">
        <w:t>%</w:t>
      </w:r>
      <w:r w:rsidRPr="00166326">
        <w:t xml:space="preserve"> and 82.5</w:t>
      </w:r>
      <w:r w:rsidR="000403F6">
        <w:t>%</w:t>
      </w:r>
      <w:r w:rsidRPr="00166326">
        <w:t xml:space="preserve"> for the delayed, acute and overall phases of</w:t>
      </w:r>
      <w:r w:rsidR="005F7FE0" w:rsidRPr="00166326">
        <w:t xml:space="preserve"> Cycle 1</w:t>
      </w:r>
      <w:r w:rsidRPr="00166326">
        <w:t>, respectively) and female patients (80.6</w:t>
      </w:r>
      <w:r w:rsidR="000403F6">
        <w:t>%</w:t>
      </w:r>
      <w:r w:rsidRPr="00166326">
        <w:t>, 91.6</w:t>
      </w:r>
      <w:r w:rsidR="000403F6">
        <w:t>%</w:t>
      </w:r>
      <w:r w:rsidRPr="00166326">
        <w:t xml:space="preserve"> and 78.7</w:t>
      </w:r>
      <w:r w:rsidR="000403F6">
        <w:t>%</w:t>
      </w:r>
      <w:r w:rsidRPr="00166326">
        <w:t xml:space="preserve"> respectively</w:t>
      </w:r>
      <w:r w:rsidRPr="002D3239">
        <w:t>). S</w:t>
      </w:r>
      <w:r w:rsidRPr="00166326">
        <w:t>ubgroup analyses by gender for the endpoint of no significant nausea showed that percentages of patients with no significant nausea in the netupitant/palonosetron FDC group were also generally comparable between male (82.5</w:t>
      </w:r>
      <w:r w:rsidR="000403F6">
        <w:t>%</w:t>
      </w:r>
      <w:r w:rsidRPr="00166326">
        <w:t>, 87.7</w:t>
      </w:r>
      <w:r w:rsidR="000403F6">
        <w:t>%</w:t>
      </w:r>
      <w:r w:rsidRPr="00166326">
        <w:t xml:space="preserve"> and 81.8</w:t>
      </w:r>
      <w:r w:rsidR="000403F6">
        <w:t>%</w:t>
      </w:r>
      <w:r w:rsidRPr="00166326">
        <w:t xml:space="preserve"> for the delayed, acute and overall phases of</w:t>
      </w:r>
      <w:r w:rsidR="005F7FE0" w:rsidRPr="00166326">
        <w:t xml:space="preserve"> Cycle 1</w:t>
      </w:r>
      <w:r w:rsidRPr="00166326">
        <w:t>, respectively) and female patients (87.7</w:t>
      </w:r>
      <w:r w:rsidR="000403F6">
        <w:t>%</w:t>
      </w:r>
      <w:r w:rsidRPr="00166326">
        <w:t>, 93.5</w:t>
      </w:r>
      <w:r w:rsidR="000403F6">
        <w:t>%</w:t>
      </w:r>
      <w:r w:rsidRPr="00166326">
        <w:t xml:space="preserve"> and 86.5</w:t>
      </w:r>
      <w:r w:rsidR="000403F6">
        <w:t>%</w:t>
      </w:r>
      <w:r w:rsidR="00357DC7" w:rsidRPr="00166326">
        <w:t>, respectively). T</w:t>
      </w:r>
      <w:r w:rsidRPr="00166326">
        <w:t>he clinical overview submitted was reviewed and did not raise any additional concerns.</w:t>
      </w:r>
    </w:p>
    <w:p w:rsidR="008E7846" w:rsidRPr="00166326" w:rsidRDefault="008E7846" w:rsidP="00166326">
      <w:pPr>
        <w:pStyle w:val="Heading3"/>
      </w:pPr>
      <w:bookmarkStart w:id="105" w:name="_Toc163441378"/>
      <w:bookmarkStart w:id="106" w:name="_Toc196046495"/>
      <w:bookmarkStart w:id="107" w:name="_Toc247691522"/>
      <w:bookmarkStart w:id="108" w:name="_Toc314842505"/>
      <w:bookmarkStart w:id="109" w:name="_Toc466986540"/>
      <w:bookmarkEnd w:id="101"/>
      <w:bookmarkEnd w:id="102"/>
      <w:bookmarkEnd w:id="103"/>
      <w:bookmarkEnd w:id="104"/>
      <w:r w:rsidRPr="00166326">
        <w:lastRenderedPageBreak/>
        <w:t>Safety</w:t>
      </w:r>
      <w:bookmarkEnd w:id="105"/>
      <w:bookmarkEnd w:id="106"/>
      <w:bookmarkEnd w:id="107"/>
      <w:bookmarkEnd w:id="108"/>
      <w:bookmarkEnd w:id="109"/>
    </w:p>
    <w:p w:rsidR="00605AD4" w:rsidRPr="00166326" w:rsidRDefault="00605AD4" w:rsidP="00166326">
      <w:pPr>
        <w:pStyle w:val="Heading4"/>
      </w:pPr>
      <w:bookmarkStart w:id="110" w:name="_Toc247691524"/>
      <w:bookmarkStart w:id="111" w:name="_Toc314842508"/>
      <w:bookmarkStart w:id="112" w:name="_Toc196046504"/>
      <w:bookmarkStart w:id="113" w:name="_Toc163441390"/>
      <w:r w:rsidRPr="00166326">
        <w:t>Studies providing safety data</w:t>
      </w:r>
    </w:p>
    <w:p w:rsidR="00A35516" w:rsidRPr="00166326" w:rsidRDefault="00A35516" w:rsidP="00166326">
      <w:r w:rsidRPr="00166326">
        <w:t>The following studies provided evaluable safety data:</w:t>
      </w:r>
    </w:p>
    <w:p w:rsidR="00A35516" w:rsidRPr="00166326" w:rsidRDefault="00A35516" w:rsidP="00166326">
      <w:pPr>
        <w:pStyle w:val="Heading5"/>
      </w:pPr>
      <w:r w:rsidRPr="00166326">
        <w:t>Pivotal efficacy study</w:t>
      </w:r>
    </w:p>
    <w:p w:rsidR="00A35516" w:rsidRPr="00166326" w:rsidRDefault="00A35516" w:rsidP="00166326">
      <w:r w:rsidRPr="00166326">
        <w:t xml:space="preserve">In </w:t>
      </w:r>
      <w:r w:rsidR="00F73FE3" w:rsidRPr="00166326">
        <w:t>Study NETU</w:t>
      </w:r>
      <w:r w:rsidRPr="00166326">
        <w:t>-08-18, the following safety data were collected:</w:t>
      </w:r>
    </w:p>
    <w:p w:rsidR="00A35516" w:rsidRPr="00166326" w:rsidRDefault="00A35516" w:rsidP="00166326">
      <w:pPr>
        <w:pStyle w:val="ListBullet"/>
      </w:pPr>
      <w:r w:rsidRPr="00166326">
        <w:t>General adverse events (AEs) were assessed by the investigator obtaining and recording all AEs at each scheduled visit.</w:t>
      </w:r>
    </w:p>
    <w:p w:rsidR="00A35516" w:rsidRPr="00166326" w:rsidRDefault="00A35516" w:rsidP="00166326">
      <w:pPr>
        <w:pStyle w:val="ListBullet"/>
      </w:pPr>
      <w:r w:rsidRPr="00166326">
        <w:t xml:space="preserve">AEs of particular interest were cardiac and CNS or psychiatric </w:t>
      </w:r>
      <w:r w:rsidR="002D3239">
        <w:t>treatment emergent</w:t>
      </w:r>
      <w:r w:rsidRPr="00166326">
        <w:t xml:space="preserve"> AEs (TEAEs). These AEs of special interest were selected and identified by standardised </w:t>
      </w:r>
      <w:proofErr w:type="spellStart"/>
      <w:r w:rsidRPr="00166326">
        <w:t>MedDRA</w:t>
      </w:r>
      <w:proofErr w:type="spellEnd"/>
      <w:r w:rsidRPr="00166326">
        <w:t xml:space="preserve"> queries (SMQs). According to the </w:t>
      </w:r>
      <w:r w:rsidR="00791AE3" w:rsidRPr="00166326">
        <w:t>sponsor</w:t>
      </w:r>
      <w:r w:rsidRPr="00166326">
        <w:t>, these analyses of AEs of special interest were not done due to specific safety concerns, but to fulfil a requirement of the regulatory authority, with an objective of showing that there were no clusters of cardiac, CNS or psychiatric TEAEs in the study. In particular, special attention on CNS and psychiatric events of special interest was done to isolate possible signs of drug abuse and to support pre-clinical data showing no evidence of physical dependence potential for the netupitant/palonosetron FDC.</w:t>
      </w:r>
    </w:p>
    <w:p w:rsidR="00A35516" w:rsidRPr="00166326" w:rsidRDefault="00A35516" w:rsidP="00166326">
      <w:pPr>
        <w:pStyle w:val="ListBullet"/>
      </w:pPr>
      <w:r w:rsidRPr="00166326">
        <w:t>Laboratory tests performed included haematology, blood chemistry (urea, creatinine, total bilirubin, alkaline phospha</w:t>
      </w:r>
      <w:r w:rsidR="002D3239">
        <w:t xml:space="preserve">tase, </w:t>
      </w:r>
      <w:r w:rsidR="003802E6">
        <w:t>ALT</w:t>
      </w:r>
      <w:r w:rsidR="002D3239">
        <w:t xml:space="preserve">, </w:t>
      </w:r>
      <w:r w:rsidR="003802E6">
        <w:t>AST</w:t>
      </w:r>
      <w:r w:rsidRPr="00166326">
        <w:t xml:space="preserve">, sodium, potassium, chloride, bicarbonate, calcium, albumin, total protein, blood </w:t>
      </w:r>
      <w:r w:rsidR="002D3239">
        <w:t xml:space="preserve">glucose, total </w:t>
      </w:r>
      <w:proofErr w:type="spellStart"/>
      <w:r w:rsidR="002D3239">
        <w:t>creatine</w:t>
      </w:r>
      <w:proofErr w:type="spellEnd"/>
      <w:r w:rsidR="002D3239">
        <w:t xml:space="preserve"> kinase (CK)</w:t>
      </w:r>
      <w:r w:rsidRPr="00166326">
        <w:t xml:space="preserve">, </w:t>
      </w:r>
      <w:r w:rsidRPr="00C952C9">
        <w:t>CK-MB</w:t>
      </w:r>
      <w:r w:rsidRPr="00166326">
        <w:t xml:space="preserve"> fraction</w:t>
      </w:r>
      <w:r w:rsidR="00C952C9">
        <w:rPr>
          <w:rStyle w:val="FootnoteReference"/>
        </w:rPr>
        <w:footnoteReference w:id="16"/>
      </w:r>
      <w:r w:rsidRPr="00166326">
        <w:t xml:space="preserve"> a</w:t>
      </w:r>
      <w:r w:rsidR="002D3239">
        <w:t>nd myoglobin), and urinalysis.</w:t>
      </w:r>
    </w:p>
    <w:p w:rsidR="00970727" w:rsidRPr="00166326" w:rsidRDefault="00A35516" w:rsidP="00166326">
      <w:pPr>
        <w:pStyle w:val="ListBullet"/>
      </w:pPr>
      <w:r w:rsidRPr="00166326">
        <w:t>Other safety endpoints in</w:t>
      </w:r>
      <w:r w:rsidR="00C952C9">
        <w:t>cluded vital signs, 12-lead ECG</w:t>
      </w:r>
      <w:r w:rsidRPr="00166326">
        <w:t xml:space="preserve">, </w:t>
      </w:r>
      <w:r w:rsidR="002D3239" w:rsidRPr="00166326">
        <w:t>left ventricular ejection fraction</w:t>
      </w:r>
      <w:r w:rsidRPr="00166326">
        <w:t xml:space="preserve"> (LVEF), c</w:t>
      </w:r>
      <w:r w:rsidR="00747202" w:rsidRPr="00166326">
        <w:t>ardiac Troponin I (</w:t>
      </w:r>
      <w:proofErr w:type="spellStart"/>
      <w:r w:rsidR="00747202" w:rsidRPr="00166326">
        <w:t>cTnI</w:t>
      </w:r>
      <w:proofErr w:type="spellEnd"/>
      <w:r w:rsidR="00747202" w:rsidRPr="00166326">
        <w:t>) levels</w:t>
      </w:r>
      <w:r w:rsidR="00970727" w:rsidRPr="00166326">
        <w:t>.</w:t>
      </w:r>
    </w:p>
    <w:p w:rsidR="00A35516" w:rsidRPr="00166326" w:rsidRDefault="00A35516" w:rsidP="00166326">
      <w:r w:rsidRPr="00166326">
        <w:t xml:space="preserve">The </w:t>
      </w:r>
      <w:r w:rsidR="00027344">
        <w:t>dose response</w:t>
      </w:r>
      <w:r w:rsidRPr="00166326">
        <w:t xml:space="preserve"> and other efficacy studies provided safety data, as follows:</w:t>
      </w:r>
    </w:p>
    <w:p w:rsidR="00A35516" w:rsidRPr="00166326" w:rsidRDefault="00F73FE3" w:rsidP="00166326">
      <w:pPr>
        <w:pStyle w:val="ListBullet"/>
      </w:pPr>
      <w:r w:rsidRPr="00166326">
        <w:t>Study NETU</w:t>
      </w:r>
      <w:r w:rsidR="00A35516" w:rsidRPr="00166326">
        <w:t xml:space="preserve">-07-07 provided data on </w:t>
      </w:r>
      <w:r w:rsidR="003802E6">
        <w:t>AE</w:t>
      </w:r>
      <w:r w:rsidR="003802E6" w:rsidRPr="00166326">
        <w:t xml:space="preserve"> </w:t>
      </w:r>
      <w:r w:rsidR="00A35516" w:rsidRPr="00166326">
        <w:t>s, vital signs, laboratory evaluations (haematology, blood chemistry and urinalysis) and 12-lead ECG.</w:t>
      </w:r>
    </w:p>
    <w:p w:rsidR="00A35516" w:rsidRPr="00166326" w:rsidRDefault="00F73FE3" w:rsidP="00166326">
      <w:pPr>
        <w:pStyle w:val="ListBullet"/>
      </w:pPr>
      <w:r w:rsidRPr="00166326">
        <w:t>Study NETU</w:t>
      </w:r>
      <w:r w:rsidR="00A35516" w:rsidRPr="00166326">
        <w:t xml:space="preserve">-10-29 provided data on </w:t>
      </w:r>
      <w:r w:rsidR="003802E6">
        <w:t>AE</w:t>
      </w:r>
      <w:r w:rsidR="003802E6" w:rsidRPr="00166326">
        <w:t xml:space="preserve"> </w:t>
      </w:r>
      <w:r w:rsidR="00A35516" w:rsidRPr="00166326">
        <w:t>s, vital signs, laboratory evaluation</w:t>
      </w:r>
      <w:r w:rsidR="002D3239">
        <w:t>s (haematology, blood chemistry and</w:t>
      </w:r>
      <w:r w:rsidR="00A35516" w:rsidRPr="00166326">
        <w:t xml:space="preserve"> urinalysis), </w:t>
      </w:r>
      <w:proofErr w:type="gramStart"/>
      <w:r w:rsidR="00A35516" w:rsidRPr="00166326">
        <w:t>12</w:t>
      </w:r>
      <w:proofErr w:type="gramEnd"/>
      <w:r w:rsidR="00A35516" w:rsidRPr="00166326">
        <w:t xml:space="preserve">-lead ECG, LVEF, and </w:t>
      </w:r>
      <w:proofErr w:type="spellStart"/>
      <w:r w:rsidR="00A35516" w:rsidRPr="00166326">
        <w:t>cTnI</w:t>
      </w:r>
      <w:proofErr w:type="spellEnd"/>
      <w:r w:rsidR="00A35516" w:rsidRPr="00166326">
        <w:t xml:space="preserve"> levels, performed according to the schedule</w:t>
      </w:r>
      <w:r w:rsidR="00747202" w:rsidRPr="00166326">
        <w:t>.</w:t>
      </w:r>
    </w:p>
    <w:p w:rsidR="00A35516" w:rsidRPr="00166326" w:rsidRDefault="00A35516" w:rsidP="00166326">
      <w:pPr>
        <w:pStyle w:val="ListBullet"/>
      </w:pPr>
      <w:r w:rsidRPr="00166326">
        <w:t xml:space="preserve">Studies PALO-10-01, PALO-03-13 and PALO-03-14 provided data on </w:t>
      </w:r>
      <w:r w:rsidR="003802E6">
        <w:t>AE</w:t>
      </w:r>
      <w:r w:rsidRPr="00166326">
        <w:t>s, vital signs, laboratory evaluations (haematology, blood chemistry and urinalysis) and 12-lead ECG.</w:t>
      </w:r>
    </w:p>
    <w:p w:rsidR="00605AD4" w:rsidRPr="00166326" w:rsidRDefault="00605AD4" w:rsidP="00166326">
      <w:pPr>
        <w:pStyle w:val="Heading4"/>
      </w:pPr>
      <w:r w:rsidRPr="00166326">
        <w:t>Patient exposure</w:t>
      </w:r>
    </w:p>
    <w:p w:rsidR="00A35516" w:rsidRPr="00166326" w:rsidRDefault="00A35516" w:rsidP="00166326">
      <w:r w:rsidRPr="00166326">
        <w:t xml:space="preserve">In </w:t>
      </w:r>
      <w:r w:rsidR="00F73FE3" w:rsidRPr="00166326">
        <w:t>Study NETU</w:t>
      </w:r>
      <w:r w:rsidRPr="00166326">
        <w:t>-08-18, a total of 1</w:t>
      </w:r>
      <w:r w:rsidR="002D3239">
        <w:t>,</w:t>
      </w:r>
      <w:r w:rsidRPr="00166326">
        <w:t>450 patients were treated with study medication, 724 in the netupitant/palonosetron FDC group and 726 in the palonosetron alone group. Over the complete study period, 164 (11.3</w:t>
      </w:r>
      <w:r w:rsidR="000403F6">
        <w:t>%</w:t>
      </w:r>
      <w:r w:rsidRPr="00166326">
        <w:t>) patients overall received 1 dose of study drugs (90 [12.4</w:t>
      </w:r>
      <w:r w:rsidR="000403F6">
        <w:t>%</w:t>
      </w:r>
      <w:r w:rsidRPr="00166326">
        <w:t>] and 74 [10.2</w:t>
      </w:r>
      <w:r w:rsidR="000403F6">
        <w:t>%</w:t>
      </w:r>
      <w:r w:rsidRPr="00166326">
        <w:t>] in the netupitant/palonosetron FDC and palonosetron alone groups, respectively), 591 (40.8</w:t>
      </w:r>
      <w:r w:rsidR="000403F6">
        <w:t>%</w:t>
      </w:r>
      <w:r w:rsidRPr="00166326">
        <w:t>) patients received 4 doses of study drugs (280 [38.5</w:t>
      </w:r>
      <w:r w:rsidR="000403F6">
        <w:t>%</w:t>
      </w:r>
      <w:r w:rsidRPr="00166326">
        <w:t>] and 311 [42.9</w:t>
      </w:r>
      <w:r w:rsidR="000403F6">
        <w:t>%</w:t>
      </w:r>
      <w:r w:rsidRPr="00166326">
        <w:t>], respectively) and 382 (26.3</w:t>
      </w:r>
      <w:r w:rsidR="000403F6">
        <w:t>%</w:t>
      </w:r>
      <w:r w:rsidRPr="00166326">
        <w:t>) patients received 6 doses of study drugs (194 [26.8</w:t>
      </w:r>
      <w:r w:rsidR="000403F6">
        <w:t>%</w:t>
      </w:r>
      <w:r w:rsidRPr="00166326">
        <w:t>] and 188 [25.9</w:t>
      </w:r>
      <w:r w:rsidR="000403F6">
        <w:t>%</w:t>
      </w:r>
      <w:r w:rsidRPr="00166326">
        <w:t xml:space="preserve">], respectively). The median number of days on study drugs was 4.0 in both treatment </w:t>
      </w:r>
      <w:r w:rsidRPr="002D3239">
        <w:t>groups.</w:t>
      </w:r>
    </w:p>
    <w:p w:rsidR="00A35516" w:rsidRPr="00166326" w:rsidRDefault="00A35516" w:rsidP="00166326">
      <w:r w:rsidRPr="00166326">
        <w:lastRenderedPageBreak/>
        <w:t xml:space="preserve">In </w:t>
      </w:r>
      <w:r w:rsidR="00F73FE3" w:rsidRPr="00166326">
        <w:t>Study NETU</w:t>
      </w:r>
      <w:r w:rsidRPr="00166326">
        <w:t xml:space="preserve">-07-07, a total of 679 patients were treated with study medications, 136, 135, 138, 136 and 134 in the </w:t>
      </w:r>
      <w:proofErr w:type="spellStart"/>
      <w:r w:rsidRPr="00166326">
        <w:t>palonosetron</w:t>
      </w:r>
      <w:proofErr w:type="spellEnd"/>
      <w:r w:rsidRPr="00166326">
        <w:t xml:space="preserve"> alone, </w:t>
      </w:r>
      <w:proofErr w:type="spellStart"/>
      <w:r w:rsidRPr="00166326">
        <w:t>palonosetron+netupitant</w:t>
      </w:r>
      <w:proofErr w:type="spellEnd"/>
      <w:r w:rsidRPr="00166326">
        <w:t xml:space="preserve"> 100</w:t>
      </w:r>
      <w:r w:rsidR="00747202" w:rsidRPr="00166326">
        <w:t xml:space="preserve"> </w:t>
      </w:r>
      <w:r w:rsidRPr="00166326">
        <w:t xml:space="preserve">mg, </w:t>
      </w:r>
      <w:proofErr w:type="spellStart"/>
      <w:r w:rsidRPr="00166326">
        <w:t>palonosetron+netupitant</w:t>
      </w:r>
      <w:proofErr w:type="spellEnd"/>
      <w:r w:rsidRPr="00166326">
        <w:t xml:space="preserve"> 200</w:t>
      </w:r>
      <w:r w:rsidR="00747202" w:rsidRPr="00166326">
        <w:t xml:space="preserve"> </w:t>
      </w:r>
      <w:r w:rsidRPr="00166326">
        <w:t xml:space="preserve">mg, </w:t>
      </w:r>
      <w:proofErr w:type="spellStart"/>
      <w:r w:rsidRPr="00166326">
        <w:t>palonosetron+netupitant</w:t>
      </w:r>
      <w:proofErr w:type="spellEnd"/>
      <w:r w:rsidRPr="00166326">
        <w:t xml:space="preserve"> 300</w:t>
      </w:r>
      <w:r w:rsidR="00747202" w:rsidRPr="00166326">
        <w:t xml:space="preserve"> </w:t>
      </w:r>
      <w:r w:rsidRPr="00166326">
        <w:t xml:space="preserve">mg, and </w:t>
      </w:r>
      <w:proofErr w:type="spellStart"/>
      <w:r w:rsidRPr="00166326">
        <w:t>aprepitant+ondansetron</w:t>
      </w:r>
      <w:proofErr w:type="spellEnd"/>
      <w:r w:rsidRPr="00166326">
        <w:t xml:space="preserve"> groups, respectively. The median duration of treatment with the study drugs was 4.0 days in all treatment groups.</w:t>
      </w:r>
    </w:p>
    <w:p w:rsidR="00A35516" w:rsidRPr="00166326" w:rsidRDefault="00A35516" w:rsidP="00166326">
      <w:r w:rsidRPr="00166326">
        <w:t xml:space="preserve">In </w:t>
      </w:r>
      <w:r w:rsidR="00F73FE3" w:rsidRPr="00166326">
        <w:t>Study NETU</w:t>
      </w:r>
      <w:r w:rsidRPr="00166326">
        <w:t xml:space="preserve">-10-29, a total of 412 patients were treated with study medications, of </w:t>
      </w:r>
      <w:r w:rsidR="002D3239" w:rsidRPr="00166326">
        <w:t>which</w:t>
      </w:r>
      <w:r w:rsidRPr="00166326">
        <w:t xml:space="preserve"> 308 were exposed to the netupitant/palonosetron FDC and 104 to </w:t>
      </w:r>
      <w:proofErr w:type="spellStart"/>
      <w:r w:rsidRPr="00166326">
        <w:t>aprepitant+palonosetron</w:t>
      </w:r>
      <w:proofErr w:type="spellEnd"/>
      <w:r w:rsidRPr="00166326">
        <w:t xml:space="preserve"> during</w:t>
      </w:r>
      <w:r w:rsidR="005F7FE0" w:rsidRPr="00166326">
        <w:t xml:space="preserve"> Cycle</w:t>
      </w:r>
      <w:r w:rsidRPr="00166326">
        <w:t xml:space="preserve"> 1. Over the complete study period, patients in the netupitant/palonosetron FDC group (</w:t>
      </w:r>
      <w:r w:rsidR="002D3239">
        <w:t xml:space="preserve">N = </w:t>
      </w:r>
      <w:r w:rsidRPr="00166326">
        <w:t xml:space="preserve">308) received a </w:t>
      </w:r>
      <w:r w:rsidR="00CE0692" w:rsidRPr="00166326">
        <w:t>mean</w:t>
      </w:r>
      <w:r w:rsidR="00CE0692" w:rsidRPr="00CE0692">
        <w:t xml:space="preserve"> </w:t>
      </w:r>
      <w:r w:rsidR="00CE0692">
        <w:t>standard deviation</w:t>
      </w:r>
      <w:r w:rsidR="00CE0692" w:rsidRPr="00166326">
        <w:t xml:space="preserve"> </w:t>
      </w:r>
      <w:r w:rsidRPr="00166326">
        <w:t>(SD) of 4.7 (2.19) netupitant/palonosetron FDC capsules on Day 1.</w:t>
      </w:r>
    </w:p>
    <w:p w:rsidR="00A35516" w:rsidRPr="00166326" w:rsidRDefault="00A35516" w:rsidP="00166326">
      <w:r w:rsidRPr="00166326">
        <w:t xml:space="preserve">Patients in the </w:t>
      </w:r>
      <w:proofErr w:type="spellStart"/>
      <w:r w:rsidRPr="00166326">
        <w:t>aprepitant+palonosetron</w:t>
      </w:r>
      <w:proofErr w:type="spellEnd"/>
      <w:r w:rsidRPr="00166326">
        <w:t xml:space="preserve"> group (</w:t>
      </w:r>
      <w:r w:rsidR="002D3239">
        <w:t xml:space="preserve">N = </w:t>
      </w:r>
      <w:r w:rsidR="003818B7">
        <w:t>1</w:t>
      </w:r>
      <w:r w:rsidRPr="00166326">
        <w:t>04) received a mean (SD) of 5 (2.36) aprepitant capsules and 5 (2.36) palonosetron capsules on Day 1, 4.9 (2.35) aprepitant capsules on Day 2, and 5.0 (2.29) aprepitant capsules on Day 3 (aprepitant was given for 3 days of the treatment</w:t>
      </w:r>
      <w:r w:rsidR="002D3239">
        <w:t xml:space="preserve"> c</w:t>
      </w:r>
      <w:r w:rsidR="005F7FE0" w:rsidRPr="00166326">
        <w:t>ycle</w:t>
      </w:r>
      <w:r w:rsidRPr="00166326">
        <w:t xml:space="preserve"> and palonosetron was given on Day 1 only). The median number of days on netupitant/palonosetron FDC capsules was 5.0 in the netupitant/palonosetron FDC group. The median number of days on aprepitant and palonosetron was 15.0 and 5.0, respectively, in the </w:t>
      </w:r>
      <w:proofErr w:type="spellStart"/>
      <w:r w:rsidRPr="00166326">
        <w:t>aprepitant+palonosetron</w:t>
      </w:r>
      <w:proofErr w:type="spellEnd"/>
      <w:r w:rsidRPr="00166326">
        <w:t xml:space="preserve"> group.</w:t>
      </w:r>
    </w:p>
    <w:p w:rsidR="00A35516" w:rsidRPr="00166326" w:rsidRDefault="00747202" w:rsidP="00166326">
      <w:r w:rsidRPr="00166326">
        <w:t>In S</w:t>
      </w:r>
      <w:r w:rsidR="00A35516" w:rsidRPr="00166326">
        <w:t xml:space="preserve">tudy PALO-10-01, a total of 739 patients were treated with study medications, of </w:t>
      </w:r>
      <w:r w:rsidR="002D3239">
        <w:t>which</w:t>
      </w:r>
      <w:r w:rsidR="00A35516" w:rsidRPr="00166326">
        <w:t xml:space="preserve"> 370 received oral palonosetron, and 369 received IV palonosetron. The median duration of treatment with the study drugs was 1.0 days in both treatment groups. A summary of the extent of exposure to study medication in </w:t>
      </w:r>
      <w:r w:rsidRPr="00166326">
        <w:t>Study PALO-03-</w:t>
      </w:r>
      <w:r w:rsidR="002D3239">
        <w:t>was provided (see Attachment 2)</w:t>
      </w:r>
      <w:r w:rsidR="00A35516" w:rsidRPr="00166326">
        <w:t>.</w:t>
      </w:r>
      <w:r w:rsidR="005F7FE0" w:rsidRPr="00166326">
        <w:t xml:space="preserve"> </w:t>
      </w:r>
      <w:r w:rsidR="00A35516" w:rsidRPr="00166326">
        <w:t>A summary of the extent of exposure to study drug in study PALO-03-14</w:t>
      </w:r>
      <w:r w:rsidR="002D3239">
        <w:t xml:space="preserve">was provided (see </w:t>
      </w:r>
      <w:proofErr w:type="spellStart"/>
      <w:r w:rsidR="002D3239">
        <w:t>Attachmetn</w:t>
      </w:r>
      <w:proofErr w:type="spellEnd"/>
      <w:r w:rsidR="002D3239">
        <w:t xml:space="preserve"> 2)</w:t>
      </w:r>
      <w:r w:rsidR="00A35516" w:rsidRPr="00166326">
        <w:t>. Overall in study PALO-03-14, the study medication was administered in 654 out of 661 cycles (98.9</w:t>
      </w:r>
      <w:r w:rsidR="000403F6">
        <w:t>%</w:t>
      </w:r>
      <w:r w:rsidR="00A35516" w:rsidRPr="00166326">
        <w:t xml:space="preserve"> of cycles).</w:t>
      </w:r>
    </w:p>
    <w:p w:rsidR="00A35516" w:rsidRPr="00166326" w:rsidRDefault="002D3239" w:rsidP="002D3239">
      <w:pPr>
        <w:pStyle w:val="Comment"/>
        <w:ind w:left="1134" w:hanging="1134"/>
      </w:pPr>
      <w:r w:rsidRPr="002D3239">
        <w:rPr>
          <w:b/>
        </w:rPr>
        <w:t>Comment:</w:t>
      </w:r>
      <w:r>
        <w:t xml:space="preserve"> </w:t>
      </w:r>
      <w:r w:rsidR="00A35516" w:rsidRPr="00166326">
        <w:t>Overall, the study drug exposure is adequate to assess the safety profile of netup</w:t>
      </w:r>
      <w:r w:rsidR="00D57988" w:rsidRPr="00166326">
        <w:t>itant/palonosetron FDC.</w:t>
      </w:r>
    </w:p>
    <w:p w:rsidR="00605AD4" w:rsidRPr="00166326" w:rsidRDefault="00605AD4" w:rsidP="00166326">
      <w:pPr>
        <w:pStyle w:val="Heading4"/>
      </w:pPr>
      <w:r w:rsidRPr="00166326">
        <w:t>Safety issues with the potential for major regulatory impact</w:t>
      </w:r>
    </w:p>
    <w:p w:rsidR="00A35516" w:rsidRPr="00166326" w:rsidRDefault="00D57988" w:rsidP="00166326">
      <w:r w:rsidRPr="00166326">
        <w:t>No safety issues with potential for major regulatory impact were listed</w:t>
      </w:r>
      <w:r w:rsidR="001D506D" w:rsidRPr="00166326">
        <w:t>.</w:t>
      </w:r>
    </w:p>
    <w:p w:rsidR="00605AD4" w:rsidRPr="00166326" w:rsidRDefault="00605AD4" w:rsidP="00166326">
      <w:pPr>
        <w:pStyle w:val="Heading4"/>
      </w:pPr>
      <w:proofErr w:type="spellStart"/>
      <w:r w:rsidRPr="00166326">
        <w:t>Postmarketing</w:t>
      </w:r>
      <w:proofErr w:type="spellEnd"/>
      <w:r w:rsidRPr="00166326">
        <w:t xml:space="preserve"> data</w:t>
      </w:r>
    </w:p>
    <w:p w:rsidR="00A35516" w:rsidRPr="00166326" w:rsidRDefault="00D57988" w:rsidP="00166326">
      <w:r w:rsidRPr="00166326">
        <w:t xml:space="preserve">No </w:t>
      </w:r>
      <w:proofErr w:type="spellStart"/>
      <w:r w:rsidRPr="00166326">
        <w:t>postmarketing</w:t>
      </w:r>
      <w:proofErr w:type="spellEnd"/>
      <w:r w:rsidRPr="00166326">
        <w:t xml:space="preserve"> data were </w:t>
      </w:r>
      <w:r w:rsidR="00DB1044">
        <w:t>available</w:t>
      </w:r>
      <w:r w:rsidRPr="00166326">
        <w:t>.</w:t>
      </w:r>
    </w:p>
    <w:p w:rsidR="00605AD4" w:rsidRPr="00166326" w:rsidRDefault="00747202" w:rsidP="00166326">
      <w:pPr>
        <w:pStyle w:val="Heading4"/>
      </w:pPr>
      <w:r w:rsidRPr="00166326">
        <w:t>E</w:t>
      </w:r>
      <w:r w:rsidR="00142EBA" w:rsidRPr="00166326">
        <w:t>valuator</w:t>
      </w:r>
      <w:r w:rsidR="00605AD4" w:rsidRPr="00166326">
        <w:t>’s conclusions on safety</w:t>
      </w:r>
    </w:p>
    <w:p w:rsidR="00A35516" w:rsidRPr="00166326" w:rsidRDefault="00A35516" w:rsidP="00166326">
      <w:r w:rsidRPr="00166326">
        <w:t xml:space="preserve">Overall, safety results did not raise any major safety concerns. In the </w:t>
      </w:r>
      <w:r w:rsidR="005F7FE0" w:rsidRPr="00166326">
        <w:t>Cycle</w:t>
      </w:r>
      <w:r w:rsidRPr="00166326">
        <w:t xml:space="preserve"> 1 safety population of </w:t>
      </w:r>
      <w:r w:rsidR="00F73FE3" w:rsidRPr="00166326">
        <w:t>Study NETU</w:t>
      </w:r>
      <w:r w:rsidRPr="00166326">
        <w:t xml:space="preserve">-08-18 (MEC), the percentages of patients with any study </w:t>
      </w:r>
      <w:r w:rsidR="002D3239">
        <w:t>drug related</w:t>
      </w:r>
      <w:r w:rsidRPr="00166326">
        <w:t xml:space="preserve"> TEAEs were comparable between the netupitant/palonosetron FDC group and the palonosetron alone group (8.1</w:t>
      </w:r>
      <w:r w:rsidR="000403F6">
        <w:t>%</w:t>
      </w:r>
      <w:r w:rsidRPr="00166326">
        <w:t xml:space="preserve"> </w:t>
      </w:r>
      <w:r w:rsidR="0067312A" w:rsidRPr="00166326">
        <w:t>versus</w:t>
      </w:r>
      <w:r w:rsidRPr="00166326">
        <w:t xml:space="preserve"> 7.2</w:t>
      </w:r>
      <w:r w:rsidR="000403F6">
        <w:t>%</w:t>
      </w:r>
      <w:r w:rsidRPr="00166326">
        <w:t xml:space="preserve">). The most commonly reported study </w:t>
      </w:r>
      <w:r w:rsidR="002D3239">
        <w:t>drug related</w:t>
      </w:r>
      <w:r w:rsidRPr="00166326">
        <w:t xml:space="preserve"> TEAE by preferred term in the netupitant/palonosetron FDC group was headache (3.3</w:t>
      </w:r>
      <w:r w:rsidR="000403F6">
        <w:t>%</w:t>
      </w:r>
      <w:r w:rsidRPr="00166326">
        <w:t xml:space="preserve"> </w:t>
      </w:r>
      <w:r w:rsidR="0067312A" w:rsidRPr="00166326">
        <w:t>versus</w:t>
      </w:r>
      <w:r w:rsidRPr="00166326">
        <w:t xml:space="preserve"> 3.0</w:t>
      </w:r>
      <w:r w:rsidR="000403F6">
        <w:t>%</w:t>
      </w:r>
      <w:r w:rsidRPr="00166326">
        <w:t xml:space="preserve"> in the palonosetron alone group) and constipation (2.1</w:t>
      </w:r>
      <w:r w:rsidR="000403F6">
        <w:t>%</w:t>
      </w:r>
      <w:r w:rsidRPr="00166326">
        <w:t xml:space="preserve"> </w:t>
      </w:r>
      <w:r w:rsidR="0067312A" w:rsidRPr="00166326">
        <w:t>versus</w:t>
      </w:r>
      <w:r w:rsidRPr="00166326">
        <w:t xml:space="preserve"> 2.1</w:t>
      </w:r>
      <w:r w:rsidR="000403F6">
        <w:t>%</w:t>
      </w:r>
      <w:r w:rsidRPr="00166326">
        <w:t xml:space="preserve">). Safety results in </w:t>
      </w:r>
      <w:r w:rsidR="00F73FE3" w:rsidRPr="00166326">
        <w:t>Study NETU</w:t>
      </w:r>
      <w:r w:rsidRPr="00166326">
        <w:t xml:space="preserve">-07-07 (HEC) showed similar findings. The percentages of patients with any study </w:t>
      </w:r>
      <w:r w:rsidR="002D3239">
        <w:t>drug related</w:t>
      </w:r>
      <w:r w:rsidRPr="00166326">
        <w:t xml:space="preserve"> TEAEs were comparable between the netupitant 300</w:t>
      </w:r>
      <w:r w:rsidR="000A3133" w:rsidRPr="00166326">
        <w:t> </w:t>
      </w:r>
      <w:r w:rsidRPr="00166326">
        <w:t xml:space="preserve">mg plus palonosetron </w:t>
      </w:r>
      <w:r w:rsidR="000A3133" w:rsidRPr="00166326">
        <w:t>0.50 mg</w:t>
      </w:r>
      <w:r w:rsidRPr="00166326">
        <w:t xml:space="preserve"> group and the palonosetron alone group (15.4</w:t>
      </w:r>
      <w:r w:rsidR="000403F6">
        <w:t>%</w:t>
      </w:r>
      <w:r w:rsidRPr="00166326">
        <w:t xml:space="preserve"> </w:t>
      </w:r>
      <w:r w:rsidR="0067312A" w:rsidRPr="00166326">
        <w:t>versus</w:t>
      </w:r>
      <w:r w:rsidRPr="00166326">
        <w:t xml:space="preserve"> 12.5</w:t>
      </w:r>
      <w:r w:rsidR="000403F6">
        <w:t>%</w:t>
      </w:r>
      <w:r w:rsidRPr="00166326">
        <w:t xml:space="preserve">). The most commonly reported study </w:t>
      </w:r>
      <w:r w:rsidR="002D3239">
        <w:t>drug related</w:t>
      </w:r>
      <w:r w:rsidRPr="00166326">
        <w:t xml:space="preserve"> TEAE by preferred term in the netupitant </w:t>
      </w:r>
      <w:r w:rsidR="000A3133" w:rsidRPr="00166326">
        <w:t>300 mg</w:t>
      </w:r>
      <w:r w:rsidRPr="00166326">
        <w:t xml:space="preserve"> plus palonosetron group was hiccups (5.1</w:t>
      </w:r>
      <w:r w:rsidR="000403F6">
        <w:t>%</w:t>
      </w:r>
      <w:r w:rsidRPr="00166326">
        <w:t xml:space="preserve"> </w:t>
      </w:r>
      <w:r w:rsidR="0067312A" w:rsidRPr="00166326">
        <w:t>versus</w:t>
      </w:r>
      <w:r w:rsidRPr="00166326">
        <w:t xml:space="preserve"> 3.7</w:t>
      </w:r>
      <w:r w:rsidR="000403F6">
        <w:t>%</w:t>
      </w:r>
      <w:r w:rsidRPr="00166326">
        <w:t xml:space="preserve"> in the palonosetron alone group). Although the percentages of patients with any study </w:t>
      </w:r>
      <w:r w:rsidR="002D3239">
        <w:t>drug related</w:t>
      </w:r>
      <w:r w:rsidRPr="00166326">
        <w:t xml:space="preserve"> TEAEs were higher in the netupitant/palonosetron FDC group (10.1</w:t>
      </w:r>
      <w:r w:rsidR="000403F6">
        <w:t>%</w:t>
      </w:r>
      <w:r w:rsidRPr="00166326">
        <w:t xml:space="preserve">) compared to the </w:t>
      </w:r>
      <w:proofErr w:type="spellStart"/>
      <w:r w:rsidRPr="00166326">
        <w:t>aprepitant+palonosetron</w:t>
      </w:r>
      <w:proofErr w:type="spellEnd"/>
      <w:r w:rsidRPr="00166326">
        <w:t xml:space="preserve"> group (5.8</w:t>
      </w:r>
      <w:r w:rsidR="000403F6">
        <w:t>%</w:t>
      </w:r>
      <w:r w:rsidRPr="00166326">
        <w:t xml:space="preserve">) in </w:t>
      </w:r>
      <w:r w:rsidR="00F73FE3" w:rsidRPr="00166326">
        <w:t>Study NETU</w:t>
      </w:r>
      <w:r w:rsidRPr="00166326">
        <w:t xml:space="preserve">-10-29, most of these study </w:t>
      </w:r>
      <w:r w:rsidR="002D3239">
        <w:t>drug related</w:t>
      </w:r>
      <w:r w:rsidRPr="00166326">
        <w:t xml:space="preserve"> TEAEs were mild or moderate in intensity. Only one (0.2</w:t>
      </w:r>
      <w:r w:rsidR="000403F6">
        <w:t>%</w:t>
      </w:r>
      <w:r w:rsidRPr="00166326">
        <w:t xml:space="preserve">) patient (in the netupitant/palonosetron FDC group) experienced a severe study </w:t>
      </w:r>
      <w:r w:rsidR="002D3239">
        <w:t>drug related</w:t>
      </w:r>
      <w:r w:rsidRPr="00166326">
        <w:t xml:space="preserve"> TEAE (acute </w:t>
      </w:r>
      <w:r w:rsidRPr="00166326">
        <w:lastRenderedPageBreak/>
        <w:t xml:space="preserve">psychosis; </w:t>
      </w:r>
      <w:r w:rsidR="00CE0692">
        <w:t>serious adverse event</w:t>
      </w:r>
      <w:r w:rsidR="00CE0692" w:rsidRPr="00166326">
        <w:t xml:space="preserve"> </w:t>
      </w:r>
      <w:r w:rsidR="00CE0692">
        <w:t>(</w:t>
      </w:r>
      <w:r w:rsidRPr="00166326">
        <w:t>SAE</w:t>
      </w:r>
      <w:r w:rsidR="00CE0692">
        <w:t>)</w:t>
      </w:r>
      <w:r w:rsidRPr="00166326">
        <w:t xml:space="preserve">). The most commonly reported study </w:t>
      </w:r>
      <w:r w:rsidR="002D3239">
        <w:t>drug related</w:t>
      </w:r>
      <w:r w:rsidRPr="00166326">
        <w:t xml:space="preserve"> TEAE by preferred term in the netupitant/palonosetron FDC group was constipation (3.6</w:t>
      </w:r>
      <w:r w:rsidR="000403F6">
        <w:t>%</w:t>
      </w:r>
      <w:r w:rsidRPr="00166326">
        <w:t xml:space="preserve"> </w:t>
      </w:r>
      <w:r w:rsidR="0067312A" w:rsidRPr="00166326">
        <w:t>versus</w:t>
      </w:r>
      <w:r w:rsidRPr="00166326">
        <w:t xml:space="preserve"> 1.0</w:t>
      </w:r>
      <w:r w:rsidR="000403F6">
        <w:t>%</w:t>
      </w:r>
      <w:r w:rsidRPr="00166326">
        <w:t xml:space="preserve"> in the </w:t>
      </w:r>
      <w:proofErr w:type="spellStart"/>
      <w:r w:rsidRPr="00166326">
        <w:t>aprepitant+palonosetron</w:t>
      </w:r>
      <w:proofErr w:type="spellEnd"/>
      <w:r w:rsidRPr="00166326">
        <w:t xml:space="preserve"> group) and headache (1.0</w:t>
      </w:r>
      <w:r w:rsidR="000403F6">
        <w:t>%</w:t>
      </w:r>
      <w:r w:rsidRPr="00166326">
        <w:t xml:space="preserve"> </w:t>
      </w:r>
      <w:r w:rsidR="0067312A" w:rsidRPr="00166326">
        <w:t>versus</w:t>
      </w:r>
      <w:r w:rsidRPr="00166326">
        <w:t xml:space="preserve"> 1.0</w:t>
      </w:r>
      <w:r w:rsidR="000403F6">
        <w:t>%</w:t>
      </w:r>
      <w:r w:rsidRPr="00166326">
        <w:t>).</w:t>
      </w:r>
    </w:p>
    <w:p w:rsidR="00A35516" w:rsidRPr="00166326" w:rsidRDefault="00A35516" w:rsidP="00166326">
      <w:r w:rsidRPr="00166326">
        <w:t xml:space="preserve">In </w:t>
      </w:r>
      <w:r w:rsidR="00F73FE3" w:rsidRPr="00166326">
        <w:t>Study NETU</w:t>
      </w:r>
      <w:r w:rsidRPr="00166326">
        <w:t xml:space="preserve">-08-18, there were no deaths in the netupitant/palonosetron FDC group in 1 (compared to one death in the palonosetron alone group). There were also no deaths in the netupitant </w:t>
      </w:r>
      <w:r w:rsidR="000A3133" w:rsidRPr="00166326">
        <w:t>300 mg</w:t>
      </w:r>
      <w:r w:rsidRPr="00166326">
        <w:t xml:space="preserve"> plus palonosetron </w:t>
      </w:r>
      <w:r w:rsidR="000A3133" w:rsidRPr="00166326">
        <w:t>0.50 mg</w:t>
      </w:r>
      <w:r w:rsidRPr="00166326">
        <w:t xml:space="preserve"> group in </w:t>
      </w:r>
      <w:r w:rsidR="00F73FE3" w:rsidRPr="00166326">
        <w:t>Study NETU</w:t>
      </w:r>
      <w:r w:rsidRPr="00166326">
        <w:t xml:space="preserve">-07-07 (also no death in the palonosetron alone group). In </w:t>
      </w:r>
      <w:r w:rsidR="00F73FE3" w:rsidRPr="00166326">
        <w:t>Study NETU</w:t>
      </w:r>
      <w:r w:rsidRPr="00166326">
        <w:t>-10-29, the incidence of death was higher in the netupitant/palonosetron FDC group (16 deaths; 5.2</w:t>
      </w:r>
      <w:r w:rsidR="000403F6">
        <w:t>%</w:t>
      </w:r>
      <w:r w:rsidRPr="00166326">
        <w:t xml:space="preserve">) compared to the </w:t>
      </w:r>
      <w:proofErr w:type="spellStart"/>
      <w:r w:rsidRPr="00166326">
        <w:t>aprepitant+palonosetron</w:t>
      </w:r>
      <w:proofErr w:type="spellEnd"/>
      <w:r w:rsidRPr="00166326">
        <w:t xml:space="preserve"> group (1 death; 1.0</w:t>
      </w:r>
      <w:r w:rsidR="000403F6">
        <w:t>%</w:t>
      </w:r>
      <w:r w:rsidRPr="00166326">
        <w:t>). However, the most common cause of death in the netupitant/palonosetron FDC group was disease progression (5 patients) and lung/pulmonary embolism (2 patients), with other causes of deaths reported in 1 patient each. In addition, none of the deaths were considered related to study drugs.</w:t>
      </w:r>
    </w:p>
    <w:p w:rsidR="00A35516" w:rsidRPr="00166326" w:rsidRDefault="00A35516" w:rsidP="00166326">
      <w:r w:rsidRPr="00166326">
        <w:t xml:space="preserve">In </w:t>
      </w:r>
      <w:r w:rsidR="00F73FE3" w:rsidRPr="00166326">
        <w:t>Study NETU</w:t>
      </w:r>
      <w:r w:rsidRPr="00166326">
        <w:t xml:space="preserve">-08-18, the percentages of patients with any SAEs in the </w:t>
      </w:r>
      <w:r w:rsidR="005F7FE0" w:rsidRPr="00166326">
        <w:t>Cycle</w:t>
      </w:r>
      <w:r w:rsidRPr="00166326">
        <w:t xml:space="preserve"> 1 were comparable between the netupitant/palonosetron FDC group and the palonosetron alone group (1.8</w:t>
      </w:r>
      <w:r w:rsidR="000403F6">
        <w:t>%</w:t>
      </w:r>
      <w:r w:rsidRPr="00166326">
        <w:t xml:space="preserve"> </w:t>
      </w:r>
      <w:r w:rsidR="0067312A" w:rsidRPr="00166326">
        <w:t>versus</w:t>
      </w:r>
      <w:r w:rsidRPr="00166326">
        <w:t xml:space="preserve"> 1.7</w:t>
      </w:r>
      <w:r w:rsidR="000403F6">
        <w:t>%</w:t>
      </w:r>
      <w:r w:rsidRPr="00166326">
        <w:t>). The most commonly reported SAE by preferred term in the netupitant/palonosetron FDC group was febrile neutropenia (0.6</w:t>
      </w:r>
      <w:r w:rsidR="000403F6">
        <w:t>%</w:t>
      </w:r>
      <w:r w:rsidRPr="00166326">
        <w:t xml:space="preserve"> </w:t>
      </w:r>
      <w:r w:rsidR="0067312A" w:rsidRPr="00166326">
        <w:t>versus</w:t>
      </w:r>
      <w:r w:rsidRPr="00166326">
        <w:t xml:space="preserve"> 0.4</w:t>
      </w:r>
      <w:r w:rsidR="000403F6">
        <w:t>%</w:t>
      </w:r>
      <w:r w:rsidRPr="00166326">
        <w:t xml:space="preserve"> in the palonosetron alone group). There were</w:t>
      </w:r>
      <w:r w:rsidR="005F7FE0" w:rsidRPr="00166326">
        <w:t xml:space="preserve"> no study </w:t>
      </w:r>
      <w:r w:rsidR="002D3239">
        <w:t>drug related</w:t>
      </w:r>
      <w:r w:rsidR="005F7FE0" w:rsidRPr="00166326">
        <w:t xml:space="preserve"> SAEs in C</w:t>
      </w:r>
      <w:r w:rsidRPr="00166326">
        <w:t xml:space="preserve">ycle 1. In </w:t>
      </w:r>
      <w:r w:rsidR="00F73FE3" w:rsidRPr="00166326">
        <w:t>Study NETU</w:t>
      </w:r>
      <w:r w:rsidRPr="00166326">
        <w:t xml:space="preserve">-07-07, there were no SAEs in the netupitant </w:t>
      </w:r>
      <w:r w:rsidR="000A3133" w:rsidRPr="00166326">
        <w:t>300 mg</w:t>
      </w:r>
      <w:r w:rsidRPr="00166326">
        <w:t xml:space="preserve"> plus palonosetron </w:t>
      </w:r>
      <w:r w:rsidR="000A3133" w:rsidRPr="00166326">
        <w:t>0.50 mg</w:t>
      </w:r>
      <w:r w:rsidRPr="00166326">
        <w:t xml:space="preserve"> group (compared to 2.2</w:t>
      </w:r>
      <w:r w:rsidR="000403F6">
        <w:t>%</w:t>
      </w:r>
      <w:r w:rsidRPr="00166326">
        <w:t xml:space="preserve"> in the palonosetron alone group). In </w:t>
      </w:r>
      <w:r w:rsidR="00F73FE3" w:rsidRPr="00166326">
        <w:t>Study NETU</w:t>
      </w:r>
      <w:r w:rsidRPr="00166326">
        <w:t xml:space="preserve">-10-29, the percentages of patients with any SAEs were comparable between the netupitant/palonosetron FDC group and the </w:t>
      </w:r>
      <w:proofErr w:type="spellStart"/>
      <w:r w:rsidRPr="00166326">
        <w:t>aprepitant+palonosetron</w:t>
      </w:r>
      <w:proofErr w:type="spellEnd"/>
      <w:r w:rsidRPr="00166326">
        <w:t xml:space="preserve"> group (16.2</w:t>
      </w:r>
      <w:r w:rsidR="000403F6">
        <w:t>%</w:t>
      </w:r>
      <w:r w:rsidRPr="00166326">
        <w:t xml:space="preserve"> </w:t>
      </w:r>
      <w:r w:rsidR="0067312A" w:rsidRPr="00166326">
        <w:t>versus</w:t>
      </w:r>
      <w:r w:rsidRPr="00166326">
        <w:t xml:space="preserve"> 18.3</w:t>
      </w:r>
      <w:r w:rsidR="000403F6">
        <w:t>%</w:t>
      </w:r>
      <w:r w:rsidRPr="00166326">
        <w:t>). The most commonly reported SAEs by preferred term in the netupitant/ palonosetron FDC group were febrile neutropenia (1.9</w:t>
      </w:r>
      <w:r w:rsidR="000403F6">
        <w:t>%</w:t>
      </w:r>
      <w:r w:rsidRPr="00166326">
        <w:t xml:space="preserve"> </w:t>
      </w:r>
      <w:r w:rsidR="0067312A" w:rsidRPr="00166326">
        <w:t>versus</w:t>
      </w:r>
      <w:r w:rsidRPr="00166326">
        <w:t xml:space="preserve"> 1.0</w:t>
      </w:r>
      <w:r w:rsidR="000403F6">
        <w:t>%</w:t>
      </w:r>
      <w:r w:rsidRPr="00166326">
        <w:t xml:space="preserve"> in the </w:t>
      </w:r>
      <w:proofErr w:type="spellStart"/>
      <w:r w:rsidRPr="00166326">
        <w:t>aprepitant+palonosetron</w:t>
      </w:r>
      <w:proofErr w:type="spellEnd"/>
      <w:r w:rsidRPr="00166326">
        <w:t xml:space="preserve"> group) and vomiting (1.6</w:t>
      </w:r>
      <w:r w:rsidR="000403F6">
        <w:t>%</w:t>
      </w:r>
      <w:r w:rsidRPr="00166326">
        <w:t xml:space="preserve"> </w:t>
      </w:r>
      <w:r w:rsidR="0067312A" w:rsidRPr="00166326">
        <w:t>versus</w:t>
      </w:r>
      <w:r w:rsidRPr="00166326">
        <w:t xml:space="preserve"> 1.0</w:t>
      </w:r>
      <w:r w:rsidR="000403F6">
        <w:t>%</w:t>
      </w:r>
      <w:r w:rsidRPr="00166326">
        <w:t xml:space="preserve">). Two study </w:t>
      </w:r>
      <w:r w:rsidR="002D3239">
        <w:t>drug related</w:t>
      </w:r>
      <w:r w:rsidRPr="00166326">
        <w:t xml:space="preserve"> SAEs were reported in 2 (0.6</w:t>
      </w:r>
      <w:r w:rsidR="000403F6">
        <w:t>%</w:t>
      </w:r>
      <w:r w:rsidRPr="00166326">
        <w:t xml:space="preserve">) patients in the netupitant/ palonosetron FDC group (ventricular </w:t>
      </w:r>
      <w:proofErr w:type="spellStart"/>
      <w:r w:rsidRPr="00166326">
        <w:t>extrasystoles</w:t>
      </w:r>
      <w:proofErr w:type="spellEnd"/>
      <w:r w:rsidRPr="00166326">
        <w:t>; acute psychosis) compared with none in the</w:t>
      </w:r>
      <w:r w:rsidR="002D3239">
        <w:t xml:space="preserve"> </w:t>
      </w:r>
      <w:proofErr w:type="spellStart"/>
      <w:r w:rsidR="002D3239">
        <w:t>aprepitant+palonosetron</w:t>
      </w:r>
      <w:proofErr w:type="spellEnd"/>
      <w:r w:rsidR="002D3239">
        <w:t xml:space="preserve"> group.</w:t>
      </w:r>
    </w:p>
    <w:p w:rsidR="00A35516" w:rsidRPr="00166326" w:rsidRDefault="00A35516" w:rsidP="00166326">
      <w:r w:rsidRPr="00166326">
        <w:t>The percentages of patients with any TEAEs leading to discontinuation of study drug were comparable between netupitant/palonosetron FDC and palonosetron alone (</w:t>
      </w:r>
      <w:r w:rsidR="00F73FE3" w:rsidRPr="00166326">
        <w:t>Study NETU</w:t>
      </w:r>
      <w:r w:rsidRPr="00166326">
        <w:t>-08-18; 1.0</w:t>
      </w:r>
      <w:r w:rsidR="000403F6">
        <w:t>%</w:t>
      </w:r>
      <w:r w:rsidRPr="00166326">
        <w:t xml:space="preserve"> </w:t>
      </w:r>
      <w:r w:rsidR="0067312A" w:rsidRPr="00166326">
        <w:t>versus</w:t>
      </w:r>
      <w:r w:rsidRPr="00166326">
        <w:t xml:space="preserve"> 0.6</w:t>
      </w:r>
      <w:r w:rsidR="000403F6">
        <w:t>%</w:t>
      </w:r>
      <w:r w:rsidRPr="00166326">
        <w:t xml:space="preserve">), between netupitant </w:t>
      </w:r>
      <w:r w:rsidR="000A3133" w:rsidRPr="00166326">
        <w:t>300 mg</w:t>
      </w:r>
      <w:r w:rsidRPr="00166326">
        <w:t xml:space="preserve"> plus palonosetron </w:t>
      </w:r>
      <w:r w:rsidR="000A3133" w:rsidRPr="00166326">
        <w:t>0.50 mg</w:t>
      </w:r>
      <w:r w:rsidRPr="00166326">
        <w:t xml:space="preserve"> and palonosetron alone (</w:t>
      </w:r>
      <w:r w:rsidR="00F73FE3" w:rsidRPr="00166326">
        <w:t>Study NETU</w:t>
      </w:r>
      <w:r w:rsidRPr="00166326">
        <w:t>-07-07; 0</w:t>
      </w:r>
      <w:r w:rsidR="000403F6">
        <w:t>%</w:t>
      </w:r>
      <w:r w:rsidRPr="00166326">
        <w:t xml:space="preserve"> in both groups), and between </w:t>
      </w:r>
      <w:proofErr w:type="spellStart"/>
      <w:r w:rsidRPr="00166326">
        <w:t>netupitant</w:t>
      </w:r>
      <w:proofErr w:type="spellEnd"/>
      <w:r w:rsidRPr="00166326">
        <w:t>/</w:t>
      </w:r>
      <w:proofErr w:type="spellStart"/>
      <w:r w:rsidRPr="00166326">
        <w:t>palonosetron</w:t>
      </w:r>
      <w:proofErr w:type="spellEnd"/>
      <w:r w:rsidRPr="00166326">
        <w:t xml:space="preserve"> FDC and </w:t>
      </w:r>
      <w:proofErr w:type="spellStart"/>
      <w:r w:rsidRPr="00166326">
        <w:t>aprepitant+palonosetron</w:t>
      </w:r>
      <w:proofErr w:type="spellEnd"/>
      <w:r w:rsidRPr="00166326">
        <w:t xml:space="preserve"> (</w:t>
      </w:r>
      <w:r w:rsidR="00F73FE3" w:rsidRPr="00166326">
        <w:t>Study NETU</w:t>
      </w:r>
      <w:r w:rsidRPr="00166326">
        <w:t>-10-29; 9.1</w:t>
      </w:r>
      <w:r w:rsidR="000403F6">
        <w:t>%</w:t>
      </w:r>
      <w:r w:rsidRPr="00166326">
        <w:t xml:space="preserve"> </w:t>
      </w:r>
      <w:r w:rsidR="0067312A" w:rsidRPr="00166326">
        <w:t>versus</w:t>
      </w:r>
      <w:r w:rsidRPr="00166326">
        <w:t xml:space="preserve"> 12.5</w:t>
      </w:r>
      <w:r w:rsidR="000403F6">
        <w:t>%</w:t>
      </w:r>
      <w:r w:rsidRPr="00166326">
        <w:t>). Analyses of haematology, blood chemistry, urinalysis, 12-lead ECG and vital signs did no</w:t>
      </w:r>
      <w:r w:rsidR="000A3133" w:rsidRPr="00166326">
        <w:t>t raise any safety concerns in S</w:t>
      </w:r>
      <w:r w:rsidR="004633C5">
        <w:t>tudies NETU-08-18, NETU-07-07</w:t>
      </w:r>
      <w:r w:rsidRPr="00166326">
        <w:t xml:space="preserve"> and NETU-10-29. Assessment of drug abuse potential did not raise any safety concerns.</w:t>
      </w:r>
    </w:p>
    <w:p w:rsidR="00A35516" w:rsidRPr="00166326" w:rsidRDefault="00A35516" w:rsidP="00166326">
      <w:r w:rsidRPr="00166326">
        <w:t xml:space="preserve">Analyses of safety over repeated chemotherapy </w:t>
      </w:r>
      <w:r w:rsidR="001D506D" w:rsidRPr="00166326">
        <w:t>cycle</w:t>
      </w:r>
      <w:r w:rsidRPr="00166326">
        <w:t>s did not raise any safety concern</w:t>
      </w:r>
      <w:r w:rsidR="009516FC" w:rsidRPr="00166326">
        <w:t xml:space="preserve">s. In the multiple </w:t>
      </w:r>
      <w:r w:rsidRPr="00166326">
        <w:t xml:space="preserve">cycle extension safety population in </w:t>
      </w:r>
      <w:r w:rsidR="00F73FE3" w:rsidRPr="00166326">
        <w:t>Study NETU</w:t>
      </w:r>
      <w:r w:rsidRPr="00166326">
        <w:t xml:space="preserve">-08-18, the percentages of patients with any study </w:t>
      </w:r>
      <w:r w:rsidR="002D3239">
        <w:t>drug related</w:t>
      </w:r>
      <w:r w:rsidRPr="00166326">
        <w:t xml:space="preserve"> TEAEs was comparable between the netupitant/palonosetron FDC group and the palonosetron alone group (10.1</w:t>
      </w:r>
      <w:r w:rsidR="000403F6">
        <w:t>%</w:t>
      </w:r>
      <w:r w:rsidRPr="00166326">
        <w:t xml:space="preserve"> </w:t>
      </w:r>
      <w:r w:rsidR="0067312A" w:rsidRPr="00166326">
        <w:t>versus</w:t>
      </w:r>
      <w:r w:rsidRPr="00166326">
        <w:t xml:space="preserve"> 7.5</w:t>
      </w:r>
      <w:r w:rsidR="000403F6">
        <w:t>%</w:t>
      </w:r>
      <w:r w:rsidRPr="00166326">
        <w:t>). Consistent with the findings in</w:t>
      </w:r>
      <w:r w:rsidR="005F7FE0" w:rsidRPr="00166326">
        <w:t xml:space="preserve"> Cycle</w:t>
      </w:r>
      <w:r w:rsidRPr="00166326">
        <w:t xml:space="preserve"> 1, the most commonly reported study </w:t>
      </w:r>
      <w:r w:rsidR="002D3239">
        <w:t>drug related</w:t>
      </w:r>
      <w:r w:rsidRPr="00166326">
        <w:t xml:space="preserve"> TEAE by preferred term in the netupitant/palonos</w:t>
      </w:r>
      <w:r w:rsidR="009516FC" w:rsidRPr="00166326">
        <w:t xml:space="preserve">etron FDC group in the multiple </w:t>
      </w:r>
      <w:r w:rsidRPr="00166326">
        <w:t>cycle extension was headache (3.5</w:t>
      </w:r>
      <w:r w:rsidR="000403F6">
        <w:t>%</w:t>
      </w:r>
      <w:r w:rsidRPr="00166326">
        <w:t xml:space="preserve"> in the </w:t>
      </w:r>
      <w:r w:rsidR="0067312A" w:rsidRPr="00166326">
        <w:t>versus</w:t>
      </w:r>
      <w:r w:rsidRPr="00166326">
        <w:t xml:space="preserve"> 2.8</w:t>
      </w:r>
      <w:r w:rsidR="000403F6">
        <w:t>%</w:t>
      </w:r>
      <w:r w:rsidRPr="00166326">
        <w:t xml:space="preserve"> in the palonosetron alone group) and constipation (2.0</w:t>
      </w:r>
      <w:r w:rsidR="000403F6">
        <w:t>%</w:t>
      </w:r>
      <w:r w:rsidRPr="00166326">
        <w:t xml:space="preserve"> </w:t>
      </w:r>
      <w:r w:rsidR="0067312A" w:rsidRPr="00166326">
        <w:t>versus</w:t>
      </w:r>
      <w:r w:rsidRPr="00166326">
        <w:t xml:space="preserve"> 2.2</w:t>
      </w:r>
      <w:r w:rsidR="000403F6">
        <w:t>%</w:t>
      </w:r>
      <w:r w:rsidRPr="00166326">
        <w:t xml:space="preserve">). There were no deaths in the netupitant/palonosetron FDC group in the </w:t>
      </w:r>
      <w:r w:rsidR="004633C5">
        <w:t>multiple cycle</w:t>
      </w:r>
      <w:r w:rsidRPr="00166326">
        <w:t xml:space="preserve"> extension (compare with one death in the palonosetron alone group). In the </w:t>
      </w:r>
      <w:r w:rsidR="004633C5">
        <w:t>multiple cycle</w:t>
      </w:r>
      <w:r w:rsidRPr="00166326">
        <w:t xml:space="preserve"> extension safety population, the percentages of patients with any SAEs was comparable between the netupitant/palonosetron FDC group and the palonosetron alone group (3.6</w:t>
      </w:r>
      <w:r w:rsidR="000403F6">
        <w:t>%</w:t>
      </w:r>
      <w:r w:rsidRPr="00166326">
        <w:t xml:space="preserve"> </w:t>
      </w:r>
      <w:r w:rsidR="0067312A" w:rsidRPr="00166326">
        <w:t>versus</w:t>
      </w:r>
      <w:r w:rsidRPr="00166326">
        <w:t xml:space="preserve"> 2.3</w:t>
      </w:r>
      <w:r w:rsidR="000403F6">
        <w:t>%</w:t>
      </w:r>
      <w:r w:rsidRPr="00166326">
        <w:t>). Consistent with the findings in</w:t>
      </w:r>
      <w:r w:rsidR="005F7FE0" w:rsidRPr="00166326">
        <w:t xml:space="preserve"> Cycle</w:t>
      </w:r>
      <w:r w:rsidRPr="00166326">
        <w:t xml:space="preserve"> 1, the most commonly reported SAEs by preferred term in the netupitant/palonosetron FDC group was febrile neutropenia (0.9</w:t>
      </w:r>
      <w:r w:rsidR="000403F6">
        <w:t>%</w:t>
      </w:r>
      <w:r w:rsidRPr="00166326">
        <w:t xml:space="preserve"> </w:t>
      </w:r>
      <w:r w:rsidR="0067312A" w:rsidRPr="00166326">
        <w:t>versus</w:t>
      </w:r>
      <w:r w:rsidRPr="00166326">
        <w:t xml:space="preserve"> 0.6</w:t>
      </w:r>
      <w:r w:rsidR="000403F6">
        <w:t>%</w:t>
      </w:r>
      <w:r w:rsidRPr="00166326">
        <w:t xml:space="preserve"> in the palonosetron alone group) and neutropenia (0.9</w:t>
      </w:r>
      <w:r w:rsidR="000403F6">
        <w:t>%</w:t>
      </w:r>
      <w:r w:rsidRPr="00166326">
        <w:t xml:space="preserve"> </w:t>
      </w:r>
      <w:r w:rsidR="0067312A" w:rsidRPr="00166326">
        <w:t>versus</w:t>
      </w:r>
      <w:r w:rsidRPr="00166326">
        <w:t xml:space="preserve"> 0.2</w:t>
      </w:r>
      <w:r w:rsidR="000403F6">
        <w:t>%</w:t>
      </w:r>
      <w:r w:rsidRPr="00166326">
        <w:t xml:space="preserve">). None of the SAEs were considered study </w:t>
      </w:r>
      <w:r w:rsidR="002D3239">
        <w:t>drug related</w:t>
      </w:r>
      <w:r w:rsidRPr="00166326">
        <w:t>.</w:t>
      </w:r>
    </w:p>
    <w:p w:rsidR="00605AD4" w:rsidRPr="00166326" w:rsidRDefault="00A35516" w:rsidP="00166326">
      <w:r w:rsidRPr="00166326">
        <w:lastRenderedPageBreak/>
        <w:t xml:space="preserve">In </w:t>
      </w:r>
      <w:r w:rsidR="00F73FE3" w:rsidRPr="00166326">
        <w:t>Study NETU</w:t>
      </w:r>
      <w:r w:rsidRPr="00166326">
        <w:t xml:space="preserve">-10-29, the percentage of patients with any study </w:t>
      </w:r>
      <w:r w:rsidR="002D3239">
        <w:t>drug related</w:t>
      </w:r>
      <w:r w:rsidRPr="00166326">
        <w:t xml:space="preserve"> TEAEs in both treatment groups showed a general decreasing trend over the first 6 cycles, from an overall incidence of 4.6</w:t>
      </w:r>
      <w:r w:rsidR="000403F6">
        <w:t>%</w:t>
      </w:r>
      <w:r w:rsidRPr="00166326">
        <w:t xml:space="preserve"> in</w:t>
      </w:r>
      <w:r w:rsidR="005F7FE0" w:rsidRPr="00166326">
        <w:t xml:space="preserve"> Cycle 1</w:t>
      </w:r>
      <w:r w:rsidRPr="00166326">
        <w:t xml:space="preserve"> (5.2</w:t>
      </w:r>
      <w:r w:rsidR="000403F6">
        <w:t>%</w:t>
      </w:r>
      <w:r w:rsidRPr="00166326">
        <w:t xml:space="preserve"> and 2.9</w:t>
      </w:r>
      <w:r w:rsidR="000403F6">
        <w:t>%</w:t>
      </w:r>
      <w:r w:rsidRPr="00166326">
        <w:t xml:space="preserve"> in the netupitant/palonosetron FDC and aprepitant</w:t>
      </w:r>
      <w:r w:rsidR="004633C5">
        <w:t xml:space="preserve"> </w:t>
      </w:r>
      <w:r w:rsidRPr="00166326">
        <w:t>+ palonosetron groups, respectively) to 1.2</w:t>
      </w:r>
      <w:r w:rsidR="000403F6">
        <w:t>%</w:t>
      </w:r>
      <w:r w:rsidR="004633C5">
        <w:t xml:space="preserve"> in C</w:t>
      </w:r>
      <w:r w:rsidRPr="00166326">
        <w:t>ycle 6 (1.6</w:t>
      </w:r>
      <w:r w:rsidR="000403F6">
        <w:t>%</w:t>
      </w:r>
      <w:r w:rsidRPr="00166326">
        <w:t xml:space="preserve"> and 0</w:t>
      </w:r>
      <w:r w:rsidR="000403F6">
        <w:t>%</w:t>
      </w:r>
      <w:r w:rsidRPr="00166326">
        <w:t xml:space="preserve">, respectively). The incidence of study </w:t>
      </w:r>
      <w:r w:rsidR="002D3239">
        <w:t>drug related</w:t>
      </w:r>
      <w:r w:rsidRPr="00166326">
        <w:t xml:space="preserve"> TEAEs was generally similar between the treatment g</w:t>
      </w:r>
      <w:r w:rsidR="004633C5">
        <w:t>roups within each cycle from C</w:t>
      </w:r>
      <w:r w:rsidRPr="00166326">
        <w:t xml:space="preserve">ycles 1 to 6. The only study </w:t>
      </w:r>
      <w:r w:rsidR="002D3239">
        <w:t>drug related</w:t>
      </w:r>
      <w:r w:rsidRPr="00166326">
        <w:t xml:space="preserve"> TEAE that was reported by </w:t>
      </w:r>
      <w:r w:rsidR="004633C5">
        <w:t>≥ 2</w:t>
      </w:r>
      <w:r w:rsidR="000403F6">
        <w:t>%</w:t>
      </w:r>
      <w:r w:rsidRPr="00166326">
        <w:t xml:space="preserve"> patien</w:t>
      </w:r>
      <w:r w:rsidR="009516FC" w:rsidRPr="00166326">
        <w:t>ts in any treatment group, for C</w:t>
      </w:r>
      <w:r w:rsidRPr="00166326">
        <w:t xml:space="preserve">ycles 1 through 6, was constipation (incidence in </w:t>
      </w:r>
      <w:r w:rsidR="005F7FE0" w:rsidRPr="00166326">
        <w:t>Cycle 1</w:t>
      </w:r>
      <w:r w:rsidRPr="00166326">
        <w:t xml:space="preserve"> of 2.3</w:t>
      </w:r>
      <w:r w:rsidR="000403F6">
        <w:t>%</w:t>
      </w:r>
      <w:r w:rsidRPr="00166326">
        <w:t xml:space="preserve"> in the netupitant/palonosetron FDC </w:t>
      </w:r>
      <w:r w:rsidR="0067312A" w:rsidRPr="00166326">
        <w:t>versus</w:t>
      </w:r>
      <w:r w:rsidRPr="00166326">
        <w:t xml:space="preserve"> 0</w:t>
      </w:r>
      <w:r w:rsidR="000403F6">
        <w:t>%</w:t>
      </w:r>
      <w:r w:rsidRPr="00166326">
        <w:t xml:space="preserve"> in the </w:t>
      </w:r>
      <w:proofErr w:type="spellStart"/>
      <w:r w:rsidRPr="00166326">
        <w:t>aprepitant+palonosetron</w:t>
      </w:r>
      <w:proofErr w:type="spellEnd"/>
      <w:r w:rsidRPr="00166326">
        <w:t xml:space="preserve"> group; incidence in</w:t>
      </w:r>
      <w:r w:rsidR="00DD2C7E" w:rsidRPr="00166326">
        <w:t xml:space="preserve"> Cycle 2</w:t>
      </w:r>
      <w:r w:rsidRPr="00166326">
        <w:t xml:space="preserve"> of 2.5</w:t>
      </w:r>
      <w:r w:rsidR="000403F6">
        <w:t>%</w:t>
      </w:r>
      <w:r w:rsidRPr="00166326">
        <w:t xml:space="preserve"> </w:t>
      </w:r>
      <w:r w:rsidR="0067312A" w:rsidRPr="00166326">
        <w:t>versus</w:t>
      </w:r>
      <w:r w:rsidRPr="00166326">
        <w:t xml:space="preserve"> 0</w:t>
      </w:r>
      <w:r w:rsidR="000403F6">
        <w:t>%</w:t>
      </w:r>
      <w:r w:rsidRPr="00166326">
        <w:t xml:space="preserve">). The incidence of death was highest in </w:t>
      </w:r>
      <w:r w:rsidR="005F7FE0" w:rsidRPr="00166326">
        <w:t>Cycle 1</w:t>
      </w:r>
      <w:r w:rsidRPr="00166326">
        <w:t xml:space="preserve"> (7 deaths [overall incidence of 1.7</w:t>
      </w:r>
      <w:r w:rsidR="000403F6">
        <w:t>%</w:t>
      </w:r>
      <w:r w:rsidRPr="00166326">
        <w:t xml:space="preserve">]; all in netupitant/palonosetron FDC group) while the incidence of death in </w:t>
      </w:r>
      <w:r w:rsidR="00DD2C7E" w:rsidRPr="00166326">
        <w:t>Cycles 2 to 6</w:t>
      </w:r>
      <w:r w:rsidRPr="00166326">
        <w:t xml:space="preserve"> was low (0.3</w:t>
      </w:r>
      <w:r w:rsidR="000403F6">
        <w:t>%</w:t>
      </w:r>
      <w:r w:rsidRPr="00166326">
        <w:t xml:space="preserve"> to 1.2</w:t>
      </w:r>
      <w:r w:rsidR="000403F6">
        <w:t>%</w:t>
      </w:r>
      <w:r w:rsidRPr="00166326">
        <w:t>). The incidence of SAEs</w:t>
      </w:r>
      <w:r w:rsidR="004633C5">
        <w:t xml:space="preserve"> was generally comparable from C</w:t>
      </w:r>
      <w:r w:rsidRPr="00166326">
        <w:t>ycles 1 to 6 (incidence range of 2.9</w:t>
      </w:r>
      <w:r w:rsidR="000403F6">
        <w:t>%</w:t>
      </w:r>
      <w:r w:rsidRPr="00166326">
        <w:t xml:space="preserve"> to 5.3</w:t>
      </w:r>
      <w:r w:rsidR="000403F6">
        <w:t>%</w:t>
      </w:r>
      <w:r w:rsidRPr="00166326">
        <w:t>). The incidence of SAEs was generally similar between the treatment</w:t>
      </w:r>
      <w:r w:rsidR="0091586C" w:rsidRPr="00166326">
        <w:t xml:space="preserve"> groups within each cycle from C</w:t>
      </w:r>
      <w:r w:rsidRPr="00166326">
        <w:t>ycles 1 to 6.</w:t>
      </w:r>
    </w:p>
    <w:p w:rsidR="00605AD4" w:rsidRPr="00166326" w:rsidRDefault="0079492A" w:rsidP="00166326">
      <w:pPr>
        <w:pStyle w:val="Heading3"/>
        <w:rPr>
          <w:rFonts w:eastAsia="Cambria"/>
        </w:rPr>
      </w:pPr>
      <w:bookmarkStart w:id="114" w:name="_Toc466986541"/>
      <w:r>
        <w:rPr>
          <w:rFonts w:eastAsia="Cambria"/>
        </w:rPr>
        <w:t>First round benefit-risk a</w:t>
      </w:r>
      <w:r w:rsidR="00605AD4" w:rsidRPr="00166326">
        <w:rPr>
          <w:rFonts w:eastAsia="Cambria"/>
        </w:rPr>
        <w:t>ssessment</w:t>
      </w:r>
      <w:bookmarkEnd w:id="114"/>
    </w:p>
    <w:p w:rsidR="00605AD4" w:rsidRPr="00166326" w:rsidRDefault="00605AD4" w:rsidP="00166326">
      <w:pPr>
        <w:pStyle w:val="Heading4"/>
      </w:pPr>
      <w:r w:rsidRPr="00166326">
        <w:t>First round assessment of benefits</w:t>
      </w:r>
    </w:p>
    <w:p w:rsidR="006D071B" w:rsidRPr="00166326" w:rsidRDefault="006D071B" w:rsidP="00166326">
      <w:r w:rsidRPr="00166326">
        <w:t xml:space="preserve">The benefits of </w:t>
      </w:r>
      <w:r w:rsidR="00E96281" w:rsidRPr="00166326">
        <w:t>Akynzeo</w:t>
      </w:r>
      <w:r w:rsidRPr="00166326">
        <w:t xml:space="preserve"> in the proposed usage are:</w:t>
      </w:r>
    </w:p>
    <w:p w:rsidR="006D071B" w:rsidRPr="00166326" w:rsidRDefault="006D071B" w:rsidP="00166326">
      <w:pPr>
        <w:pStyle w:val="ListBullet"/>
      </w:pPr>
      <w:r w:rsidRPr="00166326">
        <w:t>Prevention of acute as well as delayed nausea and vomiting associated with initial and repeat courses of both highly emetogenic and moderately emetogenic cancer chemotherapy.</w:t>
      </w:r>
    </w:p>
    <w:p w:rsidR="006D071B" w:rsidRPr="00166326" w:rsidRDefault="006D071B" w:rsidP="00166326">
      <w:pPr>
        <w:pStyle w:val="ListBullet"/>
      </w:pPr>
      <w:r w:rsidRPr="00166326">
        <w:t>Potential improved medication compliance as oral FDC formulation offers simpler dosing regimen.</w:t>
      </w:r>
    </w:p>
    <w:p w:rsidR="006D071B" w:rsidRPr="00166326" w:rsidRDefault="006D071B" w:rsidP="00166326">
      <w:r w:rsidRPr="00166326">
        <w:t xml:space="preserve">Overall, efficacy results supported anti-emetic efficacy of a </w:t>
      </w:r>
      <w:r w:rsidR="000A3133" w:rsidRPr="00166326">
        <w:t>single oral dose of netupitant/</w:t>
      </w:r>
      <w:r w:rsidRPr="00166326">
        <w:t>palonosetron FDC in acute and delayed phases of CINV with MEC and HEC, as well as efficacy over repeated cycles of chemotherapy.</w:t>
      </w:r>
    </w:p>
    <w:p w:rsidR="006D071B" w:rsidRPr="00166326" w:rsidRDefault="006D071B" w:rsidP="00166326">
      <w:r w:rsidRPr="00166326">
        <w:t xml:space="preserve">Efficacy analyses results showed that there was a statistically significantly higher proportion of patients with complete response (no emesis and no rescue medication) with netupitant/palonosetron FDC compared to palonosetron alone in </w:t>
      </w:r>
      <w:r w:rsidR="004633C5">
        <w:t xml:space="preserve">patients on MEC in the acute (0 to </w:t>
      </w:r>
      <w:r w:rsidRPr="00166326">
        <w:t xml:space="preserve">24 </w:t>
      </w:r>
      <w:r w:rsidR="004B70D8" w:rsidRPr="00166326">
        <w:t>h</w:t>
      </w:r>
      <w:r w:rsidR="004633C5">
        <w:t xml:space="preserve">ours) and delayed (25 to </w:t>
      </w:r>
      <w:r w:rsidRPr="00166326">
        <w:t xml:space="preserve">120 </w:t>
      </w:r>
      <w:r w:rsidR="004B70D8" w:rsidRPr="00166326">
        <w:t>h</w:t>
      </w:r>
      <w:r w:rsidR="004633C5">
        <w:t>ours</w:t>
      </w:r>
      <w:r w:rsidRPr="00166326">
        <w:t>) phases (</w:t>
      </w:r>
      <w:r w:rsidR="00F73FE3" w:rsidRPr="00166326">
        <w:t>Study NETU</w:t>
      </w:r>
      <w:r w:rsidRPr="00166326">
        <w:t>-08-18: treatment difference [netupitant/palonosetron FDC over palonosetron alone] of 3.4</w:t>
      </w:r>
      <w:r w:rsidR="000403F6">
        <w:t>%</w:t>
      </w:r>
      <w:r w:rsidRPr="00166326">
        <w:t xml:space="preserve"> [</w:t>
      </w:r>
      <w:r w:rsidR="004633C5">
        <w:t>p = </w:t>
      </w:r>
      <w:r w:rsidRPr="00166326">
        <w:t>0.047] and 7.4</w:t>
      </w:r>
      <w:r w:rsidR="000403F6">
        <w:t>%</w:t>
      </w:r>
      <w:r w:rsidRPr="00166326">
        <w:t xml:space="preserve"> [</w:t>
      </w:r>
      <w:r w:rsidR="00027344">
        <w:t xml:space="preserve">p = </w:t>
      </w:r>
      <w:r w:rsidRPr="00166326">
        <w:t xml:space="preserve">0.001] in the acute and delayed phases, respectively). There was also a statistically significantly higher proportion of patients with complete response with netupitant </w:t>
      </w:r>
      <w:r w:rsidR="000A3133" w:rsidRPr="00166326">
        <w:t>300 mg</w:t>
      </w:r>
      <w:r w:rsidRPr="00166326">
        <w:t xml:space="preserve"> + palonosetron </w:t>
      </w:r>
      <w:r w:rsidR="000A3133" w:rsidRPr="00166326">
        <w:t>0.50 mg</w:t>
      </w:r>
      <w:r w:rsidRPr="00166326">
        <w:t xml:space="preserve"> compared to palonosetron alone in patients on HEC in the acute and delayed phases (</w:t>
      </w:r>
      <w:r w:rsidR="00F73FE3" w:rsidRPr="00166326">
        <w:t>Study NETU</w:t>
      </w:r>
      <w:r w:rsidRPr="00166326">
        <w:t>-07-07: treatment difference [</w:t>
      </w:r>
      <w:proofErr w:type="spellStart"/>
      <w:r w:rsidRPr="00166326">
        <w:t>netupitant</w:t>
      </w:r>
      <w:proofErr w:type="spellEnd"/>
      <w:r w:rsidRPr="00166326">
        <w:t xml:space="preserve"> </w:t>
      </w:r>
      <w:r w:rsidR="000A3133" w:rsidRPr="00166326">
        <w:t>300 </w:t>
      </w:r>
      <w:proofErr w:type="spellStart"/>
      <w:r w:rsidR="000A3133" w:rsidRPr="00166326">
        <w:t>mg</w:t>
      </w:r>
      <w:r w:rsidRPr="00166326">
        <w:t>+palonosetron</w:t>
      </w:r>
      <w:proofErr w:type="spellEnd"/>
      <w:r w:rsidRPr="00166326">
        <w:t xml:space="preserve"> over </w:t>
      </w:r>
      <w:proofErr w:type="spellStart"/>
      <w:r w:rsidRPr="00166326">
        <w:t>palonosetron</w:t>
      </w:r>
      <w:proofErr w:type="spellEnd"/>
      <w:r w:rsidRPr="00166326">
        <w:t xml:space="preserve"> alone] of 8.8</w:t>
      </w:r>
      <w:r w:rsidR="000403F6">
        <w:t>%</w:t>
      </w:r>
      <w:r w:rsidRPr="00166326">
        <w:t xml:space="preserve"> [</w:t>
      </w:r>
      <w:r w:rsidR="00027344">
        <w:t xml:space="preserve">p = </w:t>
      </w:r>
      <w:r w:rsidRPr="00166326">
        <w:t>0.002; CMH test] and 10.2</w:t>
      </w:r>
      <w:r w:rsidR="000403F6">
        <w:t>%</w:t>
      </w:r>
      <w:r w:rsidRPr="00166326">
        <w:t xml:space="preserve"> [</w:t>
      </w:r>
      <w:r w:rsidR="00027344">
        <w:t xml:space="preserve">p = </w:t>
      </w:r>
      <w:r w:rsidRPr="00166326">
        <w:t>0.016; CMH test] in the acute and delayed phases, respectively).</w:t>
      </w:r>
    </w:p>
    <w:p w:rsidR="006D071B" w:rsidRPr="00166326" w:rsidRDefault="006D071B" w:rsidP="00166326">
      <w:r w:rsidRPr="00166326">
        <w:t>Analyses of other efficacy endpoints generally supported the results of the endpoint of complete response. Efficacy endpoint of the proportion of patients with no emesis showed statistically significant differences (</w:t>
      </w:r>
      <w:r w:rsidR="004633C5">
        <w:t>p &lt; 0</w:t>
      </w:r>
      <w:r w:rsidRPr="00166326">
        <w:t xml:space="preserve">.05) between oral netupitant </w:t>
      </w:r>
      <w:r w:rsidR="000A3133" w:rsidRPr="00166326">
        <w:t>300 mg</w:t>
      </w:r>
      <w:r w:rsidRPr="00166326">
        <w:t xml:space="preserve"> plus palonosetron </w:t>
      </w:r>
      <w:r w:rsidR="000A3133" w:rsidRPr="00166326">
        <w:t>0.50 mg</w:t>
      </w:r>
      <w:r w:rsidRPr="00166326">
        <w:t xml:space="preserve"> and oral palonosetron </w:t>
      </w:r>
      <w:r w:rsidR="000A3133" w:rsidRPr="00166326">
        <w:t>0.50 mg</w:t>
      </w:r>
      <w:r w:rsidRPr="00166326">
        <w:t xml:space="preserve"> alone in the acute, delayed and overall phases in studies NETU-08-18 (netupitant/palonosetron FDC </w:t>
      </w:r>
      <w:r w:rsidR="0067312A" w:rsidRPr="00166326">
        <w:t>versus</w:t>
      </w:r>
      <w:r w:rsidRPr="00166326">
        <w:t xml:space="preserve"> palonosetron alone; acute phase: 90.9</w:t>
      </w:r>
      <w:r w:rsidR="000403F6">
        <w:t>%</w:t>
      </w:r>
      <w:r w:rsidRPr="00166326">
        <w:t xml:space="preserve"> </w:t>
      </w:r>
      <w:r w:rsidR="0067312A" w:rsidRPr="00166326">
        <w:t>versus</w:t>
      </w:r>
      <w:r w:rsidRPr="00166326">
        <w:t xml:space="preserve"> 87.3</w:t>
      </w:r>
      <w:r w:rsidR="000403F6">
        <w:t>%</w:t>
      </w:r>
      <w:r w:rsidRPr="00166326">
        <w:t>; delayed phase: 81.8</w:t>
      </w:r>
      <w:r w:rsidR="000403F6">
        <w:t>%</w:t>
      </w:r>
      <w:r w:rsidRPr="00166326">
        <w:t xml:space="preserve"> </w:t>
      </w:r>
      <w:r w:rsidR="0067312A" w:rsidRPr="00166326">
        <w:t>versus</w:t>
      </w:r>
      <w:r w:rsidRPr="00166326">
        <w:t xml:space="preserve"> 75.6</w:t>
      </w:r>
      <w:r w:rsidR="000403F6">
        <w:t>%</w:t>
      </w:r>
      <w:r w:rsidR="000B5CEE">
        <w:t>) and NETU</w:t>
      </w:r>
      <w:r w:rsidR="000B5CEE">
        <w:noBreakHyphen/>
      </w:r>
      <w:r w:rsidRPr="00166326">
        <w:t xml:space="preserve">07-07 (netupitant </w:t>
      </w:r>
      <w:r w:rsidR="000A3133" w:rsidRPr="00166326">
        <w:t>300 mg</w:t>
      </w:r>
      <w:r w:rsidRPr="00166326">
        <w:t xml:space="preserve"> + palonosetron </w:t>
      </w:r>
      <w:r w:rsidR="0067312A" w:rsidRPr="00166326">
        <w:t>versus</w:t>
      </w:r>
      <w:r w:rsidRPr="00166326">
        <w:t xml:space="preserve"> palonosetron alone; acute phase: 98.5</w:t>
      </w:r>
      <w:r w:rsidR="000403F6">
        <w:t>%</w:t>
      </w:r>
      <w:r w:rsidRPr="00166326">
        <w:t xml:space="preserve"> </w:t>
      </w:r>
      <w:r w:rsidR="0067312A" w:rsidRPr="00166326">
        <w:t>versus</w:t>
      </w:r>
      <w:r w:rsidRPr="00166326">
        <w:t xml:space="preserve"> 89.7</w:t>
      </w:r>
      <w:r w:rsidR="000403F6">
        <w:t>%</w:t>
      </w:r>
      <w:r w:rsidRPr="00166326">
        <w:t>; delayed phase: 91.9</w:t>
      </w:r>
      <w:r w:rsidR="000403F6">
        <w:t>%</w:t>
      </w:r>
      <w:r w:rsidRPr="00166326">
        <w:t xml:space="preserve"> </w:t>
      </w:r>
      <w:r w:rsidR="0067312A" w:rsidRPr="00166326">
        <w:t>versus</w:t>
      </w:r>
      <w:r w:rsidRPr="00166326">
        <w:t xml:space="preserve"> 80.1</w:t>
      </w:r>
      <w:r w:rsidR="000403F6">
        <w:t>%</w:t>
      </w:r>
      <w:r w:rsidRPr="00166326">
        <w:t xml:space="preserve">). Endpoints of the proportion of patients with no significant nausea, and with complete protection (no emesis, no rescue medication, and no significant nausea) also showed statistically significant differences between oral netupitant </w:t>
      </w:r>
      <w:r w:rsidR="000A3133" w:rsidRPr="00166326">
        <w:t>300 mg</w:t>
      </w:r>
      <w:r w:rsidRPr="00166326">
        <w:t xml:space="preserve"> plus palonosetron </w:t>
      </w:r>
      <w:r w:rsidR="000A3133" w:rsidRPr="00166326">
        <w:t>0.50 mg</w:t>
      </w:r>
      <w:r w:rsidRPr="00166326">
        <w:t xml:space="preserve"> and oral palonosetron </w:t>
      </w:r>
      <w:r w:rsidR="000A3133" w:rsidRPr="00166326">
        <w:t>0.50 mg</w:t>
      </w:r>
      <w:r w:rsidRPr="00166326">
        <w:t xml:space="preserve"> </w:t>
      </w:r>
      <w:r w:rsidRPr="00166326">
        <w:lastRenderedPageBreak/>
        <w:t>alone (in favour of the former) in the delayed and overall phases in stu</w:t>
      </w:r>
      <w:r w:rsidR="000B5CEE">
        <w:t>dies NETU-08-18 and NETU-07-07.</w:t>
      </w:r>
    </w:p>
    <w:p w:rsidR="006D071B" w:rsidRPr="00166326" w:rsidRDefault="006D071B" w:rsidP="00166326">
      <w:r w:rsidRPr="00166326">
        <w:t xml:space="preserve">With regards to efficacy over repeated cycles of chemotherapy, analyses of efficacy data over multiple cycles of chemotherapy in </w:t>
      </w:r>
      <w:r w:rsidR="00F73FE3" w:rsidRPr="00166326">
        <w:t>Study NETU</w:t>
      </w:r>
      <w:r w:rsidRPr="00166326">
        <w:t xml:space="preserve">-08-18 (MEC) and safety </w:t>
      </w:r>
      <w:r w:rsidR="00F73FE3" w:rsidRPr="00166326">
        <w:t>Study NETU</w:t>
      </w:r>
      <w:r w:rsidR="000B5CEE">
        <w:noBreakHyphen/>
      </w:r>
      <w:r w:rsidRPr="00166326">
        <w:t xml:space="preserve">10-29 (MEC and HEC) showed that the anti-emetic effect of the FDC was maintained over multiple cycles of chemotherapy. Results in </w:t>
      </w:r>
      <w:r w:rsidR="00F73FE3" w:rsidRPr="00166326">
        <w:t>Study NETU</w:t>
      </w:r>
      <w:r w:rsidRPr="00166326">
        <w:t>-08-18 showed that the proportions of patients with complete response and those with no significant nausea were higher for netupitant/palonosetron FDC than for palonosetron alone in each phase (acute, delayed and</w:t>
      </w:r>
      <w:r w:rsidR="000B5CEE">
        <w:t xml:space="preserve"> overall) and each cycle up to C</w:t>
      </w:r>
      <w:r w:rsidRPr="00166326">
        <w:t xml:space="preserve">ycle 6, with treatment differences more pronounced in the delayed and overall phases. Results in </w:t>
      </w:r>
      <w:r w:rsidR="00F73FE3" w:rsidRPr="00166326">
        <w:t>Study NETU</w:t>
      </w:r>
      <w:r w:rsidRPr="00166326">
        <w:t xml:space="preserve">-10-29 showed that in </w:t>
      </w:r>
      <w:r w:rsidR="00DD2C7E" w:rsidRPr="00166326">
        <w:t>Cycles 2 to 6</w:t>
      </w:r>
      <w:r w:rsidRPr="00166326">
        <w:t xml:space="preserve">, the proportion of patients with complete response was numerically higher for the netupitant/palonosetron FDC group than the </w:t>
      </w:r>
      <w:proofErr w:type="spellStart"/>
      <w:r w:rsidRPr="00166326">
        <w:t>aprepitant+palonosetron</w:t>
      </w:r>
      <w:proofErr w:type="spellEnd"/>
      <w:r w:rsidRPr="00166326">
        <w:t xml:space="preserve"> group particularly in the delayed and overall phases, while that in the acute phase was more si</w:t>
      </w:r>
      <w:r w:rsidR="000A3133" w:rsidRPr="00166326">
        <w:t>milar between treatment groups.</w:t>
      </w:r>
    </w:p>
    <w:p w:rsidR="00605AD4" w:rsidRPr="00166326" w:rsidRDefault="00605AD4" w:rsidP="00166326">
      <w:pPr>
        <w:pStyle w:val="Heading4"/>
      </w:pPr>
      <w:r w:rsidRPr="00166326">
        <w:t>First round assessment of risks</w:t>
      </w:r>
    </w:p>
    <w:p w:rsidR="006D071B" w:rsidRPr="00166326" w:rsidRDefault="006D071B" w:rsidP="00166326">
      <w:r w:rsidRPr="00166326">
        <w:t xml:space="preserve">The risks of </w:t>
      </w:r>
      <w:r w:rsidR="00E96281" w:rsidRPr="00166326">
        <w:t>Akynzeo</w:t>
      </w:r>
      <w:r w:rsidRPr="00166326">
        <w:t xml:space="preserve"> in the proposed usage are:</w:t>
      </w:r>
    </w:p>
    <w:p w:rsidR="006D071B" w:rsidRPr="00166326" w:rsidRDefault="006D071B" w:rsidP="00166326">
      <w:pPr>
        <w:pStyle w:val="ListBullet"/>
      </w:pPr>
      <w:r w:rsidRPr="00166326">
        <w:t>headache</w:t>
      </w:r>
    </w:p>
    <w:p w:rsidR="006D071B" w:rsidRPr="00166326" w:rsidRDefault="006D071B" w:rsidP="00166326">
      <w:pPr>
        <w:pStyle w:val="ListBullet"/>
      </w:pPr>
      <w:proofErr w:type="gramStart"/>
      <w:r w:rsidRPr="00166326">
        <w:t>constipation</w:t>
      </w:r>
      <w:proofErr w:type="gramEnd"/>
      <w:r w:rsidR="00EA5F9B">
        <w:t>.</w:t>
      </w:r>
    </w:p>
    <w:p w:rsidR="006D071B" w:rsidRPr="00166326" w:rsidRDefault="006D071B" w:rsidP="00166326">
      <w:r w:rsidRPr="00166326">
        <w:t xml:space="preserve">Overall, safety results did not raise any </w:t>
      </w:r>
      <w:r w:rsidR="000A3133" w:rsidRPr="00166326">
        <w:t>major safety concerns. In both S</w:t>
      </w:r>
      <w:r w:rsidRPr="00166326">
        <w:t xml:space="preserve">tudies NETU-08-18 (MEC) and NETU-10-29 (MEC and HEC), the most commonly reported study </w:t>
      </w:r>
      <w:r w:rsidR="002D3239">
        <w:t>drug related</w:t>
      </w:r>
      <w:r w:rsidRPr="00166326">
        <w:t xml:space="preserve"> TEAE by preferred term in the netupitant/palonosetron FDC group was headache (</w:t>
      </w:r>
      <w:r w:rsidR="00F73FE3" w:rsidRPr="00166326">
        <w:t>Study NETU</w:t>
      </w:r>
      <w:r w:rsidRPr="00166326">
        <w:t>-08-18 cycle one: 3.3</w:t>
      </w:r>
      <w:r w:rsidR="000403F6">
        <w:t>%</w:t>
      </w:r>
      <w:r w:rsidRPr="00166326">
        <w:t xml:space="preserve"> </w:t>
      </w:r>
      <w:r w:rsidR="0067312A" w:rsidRPr="00166326">
        <w:t>versus</w:t>
      </w:r>
      <w:r w:rsidRPr="00166326">
        <w:t xml:space="preserve"> 3.0</w:t>
      </w:r>
      <w:r w:rsidR="000403F6">
        <w:t>%</w:t>
      </w:r>
      <w:r w:rsidRPr="00166326">
        <w:t xml:space="preserve"> in the palonosetron alone group; </w:t>
      </w:r>
      <w:r w:rsidR="00F73FE3" w:rsidRPr="00166326">
        <w:t>Study NETU</w:t>
      </w:r>
      <w:r w:rsidRPr="00166326">
        <w:t>-10-29: 1.0</w:t>
      </w:r>
      <w:r w:rsidR="000403F6">
        <w:t>%</w:t>
      </w:r>
      <w:r w:rsidRPr="00166326">
        <w:t xml:space="preserve"> </w:t>
      </w:r>
      <w:r w:rsidR="0067312A" w:rsidRPr="00166326">
        <w:t>versus</w:t>
      </w:r>
      <w:r w:rsidRPr="00166326">
        <w:t xml:space="preserve"> 1.0</w:t>
      </w:r>
      <w:r w:rsidR="000403F6">
        <w:t>%</w:t>
      </w:r>
      <w:r w:rsidRPr="00166326">
        <w:t xml:space="preserve"> in the </w:t>
      </w:r>
      <w:proofErr w:type="spellStart"/>
      <w:r w:rsidRPr="00166326">
        <w:t>aprepitant+palonosetron</w:t>
      </w:r>
      <w:proofErr w:type="spellEnd"/>
      <w:r w:rsidRPr="00166326">
        <w:t xml:space="preserve"> group) and constipation (</w:t>
      </w:r>
      <w:r w:rsidR="00F73FE3" w:rsidRPr="00166326">
        <w:t>Study NETU</w:t>
      </w:r>
      <w:r w:rsidR="00136800" w:rsidRPr="00166326">
        <w:t>-08-18 C</w:t>
      </w:r>
      <w:r w:rsidRPr="00166326">
        <w:t>ycle one: 2.1</w:t>
      </w:r>
      <w:r w:rsidR="000403F6">
        <w:t>%</w:t>
      </w:r>
      <w:r w:rsidRPr="00166326">
        <w:t xml:space="preserve"> </w:t>
      </w:r>
      <w:r w:rsidR="0067312A" w:rsidRPr="00166326">
        <w:t>versus</w:t>
      </w:r>
      <w:r w:rsidRPr="00166326">
        <w:t xml:space="preserve"> 2.1</w:t>
      </w:r>
      <w:r w:rsidR="000403F6">
        <w:t>%</w:t>
      </w:r>
      <w:r w:rsidRPr="00166326">
        <w:t xml:space="preserve">; </w:t>
      </w:r>
      <w:r w:rsidR="00F73FE3" w:rsidRPr="00166326">
        <w:t>Study NETU</w:t>
      </w:r>
      <w:r w:rsidRPr="00166326">
        <w:t>-10-29: 3.6</w:t>
      </w:r>
      <w:r w:rsidR="000403F6">
        <w:t>%</w:t>
      </w:r>
      <w:r w:rsidRPr="00166326">
        <w:t xml:space="preserve"> </w:t>
      </w:r>
      <w:r w:rsidR="0067312A" w:rsidRPr="00166326">
        <w:t>versus</w:t>
      </w:r>
      <w:r w:rsidRPr="00166326">
        <w:t xml:space="preserve"> 1.0</w:t>
      </w:r>
      <w:r w:rsidR="000403F6">
        <w:t>%</w:t>
      </w:r>
      <w:r w:rsidRPr="00166326">
        <w:t xml:space="preserve">). In </w:t>
      </w:r>
      <w:r w:rsidR="00F73FE3" w:rsidRPr="00166326">
        <w:t>Study NETU</w:t>
      </w:r>
      <w:r w:rsidRPr="00166326">
        <w:t xml:space="preserve">-07-07 (HEC), the most commonly reported study </w:t>
      </w:r>
      <w:r w:rsidR="002D3239">
        <w:t>drug related</w:t>
      </w:r>
      <w:r w:rsidRPr="00166326">
        <w:t xml:space="preserve"> TEAE by preferred term in the netupitant </w:t>
      </w:r>
      <w:r w:rsidR="000A3133" w:rsidRPr="00166326">
        <w:t>300 mg</w:t>
      </w:r>
      <w:r w:rsidRPr="00166326">
        <w:t xml:space="preserve"> plus palonosetron group was hiccups (5.1</w:t>
      </w:r>
      <w:r w:rsidR="000403F6">
        <w:t>%</w:t>
      </w:r>
      <w:r w:rsidRPr="00166326">
        <w:t xml:space="preserve"> </w:t>
      </w:r>
      <w:r w:rsidR="0067312A" w:rsidRPr="00166326">
        <w:t>versus</w:t>
      </w:r>
      <w:r w:rsidRPr="00166326">
        <w:t xml:space="preserve"> 3.7</w:t>
      </w:r>
      <w:r w:rsidR="000403F6">
        <w:t>%</w:t>
      </w:r>
      <w:r w:rsidRPr="00166326">
        <w:t xml:space="preserve"> in the palonosetron alone group).</w:t>
      </w:r>
    </w:p>
    <w:p w:rsidR="006D071B" w:rsidRPr="00166326" w:rsidRDefault="006D071B" w:rsidP="00166326">
      <w:r w:rsidRPr="00166326">
        <w:t xml:space="preserve">The majority of study </w:t>
      </w:r>
      <w:r w:rsidR="002D3239">
        <w:t>drug related</w:t>
      </w:r>
      <w:r w:rsidRPr="00166326">
        <w:t xml:space="preserve"> TEAEs were mild to moderate in intensity. The incidence of severe study </w:t>
      </w:r>
      <w:r w:rsidR="002D3239">
        <w:t>drug related</w:t>
      </w:r>
      <w:r w:rsidRPr="00166326">
        <w:t xml:space="preserve"> TEAEs in the netupitant/palonosetron FDC group was 0.7</w:t>
      </w:r>
      <w:r w:rsidR="000403F6">
        <w:t>%</w:t>
      </w:r>
      <w:r w:rsidRPr="00166326">
        <w:t xml:space="preserve"> (5</w:t>
      </w:r>
      <w:r w:rsidR="00027344">
        <w:t xml:space="preserve"> out of </w:t>
      </w:r>
      <w:r w:rsidRPr="00166326">
        <w:t xml:space="preserve">725) in </w:t>
      </w:r>
      <w:r w:rsidR="00F73FE3" w:rsidRPr="00166326">
        <w:t>Study NETU</w:t>
      </w:r>
      <w:r w:rsidRPr="00166326">
        <w:t>-08-18</w:t>
      </w:r>
      <w:r w:rsidR="005F7FE0" w:rsidRPr="00166326">
        <w:t xml:space="preserve"> Cycle 1</w:t>
      </w:r>
      <w:r w:rsidRPr="00166326">
        <w:t xml:space="preserve"> (</w:t>
      </w:r>
      <w:r w:rsidR="0067312A" w:rsidRPr="00166326">
        <w:t>versus</w:t>
      </w:r>
      <w:r w:rsidRPr="00166326">
        <w:t xml:space="preserve"> 0</w:t>
      </w:r>
      <w:r w:rsidR="000403F6">
        <w:t>%</w:t>
      </w:r>
      <w:r w:rsidRPr="00166326">
        <w:t xml:space="preserve"> [0</w:t>
      </w:r>
      <w:r w:rsidR="00027344">
        <w:t xml:space="preserve"> out of </w:t>
      </w:r>
      <w:r w:rsidRPr="00166326">
        <w:t>725] in the palonosetron alone group) and 0.3</w:t>
      </w:r>
      <w:r w:rsidR="000403F6">
        <w:t>%</w:t>
      </w:r>
      <w:r w:rsidRPr="00166326">
        <w:t xml:space="preserve"> (1</w:t>
      </w:r>
      <w:r w:rsidR="00027344">
        <w:t xml:space="preserve"> out of </w:t>
      </w:r>
      <w:r w:rsidRPr="00166326">
        <w:t xml:space="preserve">308) in </w:t>
      </w:r>
      <w:r w:rsidR="00F73FE3" w:rsidRPr="00166326">
        <w:t>Study NETU</w:t>
      </w:r>
      <w:r w:rsidRPr="00166326">
        <w:t>-10-29 (</w:t>
      </w:r>
      <w:r w:rsidR="0067312A" w:rsidRPr="00166326">
        <w:t>versus</w:t>
      </w:r>
      <w:r w:rsidRPr="00166326">
        <w:t xml:space="preserve"> 0</w:t>
      </w:r>
      <w:r w:rsidR="000403F6">
        <w:t>%</w:t>
      </w:r>
      <w:r w:rsidRPr="00166326">
        <w:t xml:space="preserve"> [0</w:t>
      </w:r>
      <w:r w:rsidR="00027344">
        <w:t xml:space="preserve"> out of </w:t>
      </w:r>
      <w:r w:rsidRPr="00166326">
        <w:t xml:space="preserve">104] in </w:t>
      </w:r>
      <w:proofErr w:type="spellStart"/>
      <w:r w:rsidRPr="00166326">
        <w:t>aprepitant+palonosetron</w:t>
      </w:r>
      <w:proofErr w:type="spellEnd"/>
      <w:r w:rsidRPr="00166326">
        <w:t xml:space="preserve"> group), and that of netupitant </w:t>
      </w:r>
      <w:r w:rsidR="000A3133" w:rsidRPr="00166326">
        <w:t>300 mg</w:t>
      </w:r>
      <w:r w:rsidRPr="00166326">
        <w:t xml:space="preserve"> + palonosetron was 0</w:t>
      </w:r>
      <w:r w:rsidR="000403F6">
        <w:t>%</w:t>
      </w:r>
      <w:r w:rsidRPr="00166326">
        <w:t xml:space="preserve"> (0</w:t>
      </w:r>
      <w:r w:rsidR="00027344">
        <w:t xml:space="preserve"> out of </w:t>
      </w:r>
      <w:r w:rsidRPr="00166326">
        <w:t xml:space="preserve">136) in </w:t>
      </w:r>
      <w:r w:rsidR="00F73FE3" w:rsidRPr="00166326">
        <w:t>Study NETU</w:t>
      </w:r>
      <w:r w:rsidRPr="00166326">
        <w:t xml:space="preserve">-07-07 ( </w:t>
      </w:r>
      <w:r w:rsidR="0067312A" w:rsidRPr="00166326">
        <w:t>versus</w:t>
      </w:r>
      <w:r w:rsidRPr="00166326">
        <w:t xml:space="preserve"> 1.5</w:t>
      </w:r>
      <w:r w:rsidR="000403F6">
        <w:t>%</w:t>
      </w:r>
      <w:r w:rsidRPr="00166326">
        <w:t xml:space="preserve"> [2</w:t>
      </w:r>
      <w:r w:rsidR="00027344">
        <w:t xml:space="preserve"> out of </w:t>
      </w:r>
      <w:r w:rsidRPr="00166326">
        <w:t xml:space="preserve">136] in the palonosetron alone group). The incidence of </w:t>
      </w:r>
      <w:r w:rsidR="002D3239">
        <w:t>drug related</w:t>
      </w:r>
      <w:r w:rsidRPr="00166326">
        <w:t xml:space="preserve"> SAEs was also low. There were no study </w:t>
      </w:r>
      <w:r w:rsidR="002D3239">
        <w:t>drug related</w:t>
      </w:r>
      <w:r w:rsidRPr="00166326">
        <w:t xml:space="preserve"> SAEs in </w:t>
      </w:r>
      <w:r w:rsidR="00F73FE3" w:rsidRPr="00166326">
        <w:t>Study NETU</w:t>
      </w:r>
      <w:r w:rsidRPr="00166326">
        <w:t>-08-18 (</w:t>
      </w:r>
      <w:r w:rsidR="005F7FE0" w:rsidRPr="00166326">
        <w:t xml:space="preserve"> Cycle 1</w:t>
      </w:r>
      <w:r w:rsidRPr="00166326">
        <w:t xml:space="preserve">) and in </w:t>
      </w:r>
      <w:r w:rsidR="00F73FE3" w:rsidRPr="00166326">
        <w:t>Study NETU</w:t>
      </w:r>
      <w:r w:rsidRPr="00166326">
        <w:t xml:space="preserve">-07-07 and only two study </w:t>
      </w:r>
      <w:r w:rsidR="002D3239">
        <w:t>drug related</w:t>
      </w:r>
      <w:r w:rsidRPr="00166326">
        <w:t xml:space="preserve"> SAEs were reported in 2 (0.6</w:t>
      </w:r>
      <w:r w:rsidR="000403F6">
        <w:t>%</w:t>
      </w:r>
      <w:r w:rsidRPr="00166326">
        <w:t xml:space="preserve">) patients in the netupitant/ palonosetron FDC group (ventricular </w:t>
      </w:r>
      <w:proofErr w:type="spellStart"/>
      <w:r w:rsidRPr="00166326">
        <w:t>extrasystoles</w:t>
      </w:r>
      <w:proofErr w:type="spellEnd"/>
      <w:r w:rsidRPr="00166326">
        <w:t xml:space="preserve">; acute psychosis) in </w:t>
      </w:r>
      <w:r w:rsidR="00F73FE3" w:rsidRPr="00166326">
        <w:t>Study NETU</w:t>
      </w:r>
      <w:r w:rsidRPr="00166326">
        <w:t>-10-29.</w:t>
      </w:r>
    </w:p>
    <w:p w:rsidR="006D071B" w:rsidRPr="00166326" w:rsidRDefault="006D071B" w:rsidP="00166326">
      <w:r w:rsidRPr="00166326">
        <w:t xml:space="preserve">Analyses of safety over repeated chemotherapy cycles did not raise any safety concerns. In the </w:t>
      </w:r>
      <w:r w:rsidR="004633C5">
        <w:t>multiple cycle</w:t>
      </w:r>
      <w:r w:rsidRPr="00166326">
        <w:t xml:space="preserve"> extension safety population in </w:t>
      </w:r>
      <w:r w:rsidR="00F73FE3" w:rsidRPr="00166326">
        <w:t>Study NETU</w:t>
      </w:r>
      <w:r w:rsidRPr="00166326">
        <w:t xml:space="preserve">-08-18, the percentages of patients with any study </w:t>
      </w:r>
      <w:r w:rsidR="002D3239">
        <w:t>drug related</w:t>
      </w:r>
      <w:r w:rsidRPr="00166326">
        <w:t xml:space="preserve"> TEAEs was comparable between the netupitant/palonosetron FDC group and the palonosetron alone group (10.1</w:t>
      </w:r>
      <w:r w:rsidR="000403F6">
        <w:t>%</w:t>
      </w:r>
      <w:r w:rsidRPr="00166326">
        <w:t xml:space="preserve"> </w:t>
      </w:r>
      <w:r w:rsidR="0067312A" w:rsidRPr="00166326">
        <w:t>versus</w:t>
      </w:r>
      <w:r w:rsidRPr="00166326">
        <w:t xml:space="preserve"> 7.5</w:t>
      </w:r>
      <w:r w:rsidR="000403F6">
        <w:t>%</w:t>
      </w:r>
      <w:r w:rsidRPr="00166326">
        <w:t>). Consistent with the findings in</w:t>
      </w:r>
      <w:r w:rsidR="005F7FE0" w:rsidRPr="00166326">
        <w:t xml:space="preserve"> Cycle 1</w:t>
      </w:r>
      <w:r w:rsidRPr="00166326">
        <w:t xml:space="preserve">, the most commonly reported study </w:t>
      </w:r>
      <w:r w:rsidR="002D3239">
        <w:t>drug related</w:t>
      </w:r>
      <w:r w:rsidRPr="00166326">
        <w:t xml:space="preserve"> TEAE by preferred term in the netupitant/palonosetron FDC group in the </w:t>
      </w:r>
      <w:r w:rsidR="004633C5">
        <w:t>multiple cycle</w:t>
      </w:r>
      <w:r w:rsidRPr="00166326">
        <w:t xml:space="preserve"> extension was headache (3.5</w:t>
      </w:r>
      <w:r w:rsidR="000403F6">
        <w:t>%</w:t>
      </w:r>
      <w:r w:rsidRPr="00166326">
        <w:t xml:space="preserve"> in the </w:t>
      </w:r>
      <w:r w:rsidR="0067312A" w:rsidRPr="00166326">
        <w:t>versus</w:t>
      </w:r>
      <w:r w:rsidRPr="00166326">
        <w:t xml:space="preserve"> 2.8</w:t>
      </w:r>
      <w:r w:rsidR="000403F6">
        <w:t>%</w:t>
      </w:r>
      <w:r w:rsidRPr="00166326">
        <w:t xml:space="preserve"> in the palonosetron alone group) and constipation (2.0</w:t>
      </w:r>
      <w:r w:rsidR="000403F6">
        <w:t>%</w:t>
      </w:r>
      <w:r w:rsidRPr="00166326">
        <w:t xml:space="preserve"> </w:t>
      </w:r>
      <w:r w:rsidR="0067312A" w:rsidRPr="00166326">
        <w:t>versus</w:t>
      </w:r>
      <w:r w:rsidRPr="00166326">
        <w:t xml:space="preserve"> 2.2</w:t>
      </w:r>
      <w:r w:rsidR="000403F6">
        <w:t>%</w:t>
      </w:r>
      <w:r w:rsidRPr="00166326">
        <w:t xml:space="preserve">). The majority of study </w:t>
      </w:r>
      <w:r w:rsidR="002D3239">
        <w:t>drug related</w:t>
      </w:r>
      <w:r w:rsidRPr="00166326">
        <w:t xml:space="preserve"> TEAEs were mild to moderate in intensity. The incidence of severe study </w:t>
      </w:r>
      <w:r w:rsidR="002D3239">
        <w:t>drug related</w:t>
      </w:r>
      <w:r w:rsidRPr="00166326">
        <w:t xml:space="preserve"> TEAEs in the netupitant/palonosetron FDC group was 0.2</w:t>
      </w:r>
      <w:r w:rsidR="000403F6">
        <w:t>%</w:t>
      </w:r>
      <w:r w:rsidRPr="00166326">
        <w:t xml:space="preserve"> (1</w:t>
      </w:r>
      <w:r w:rsidR="00027344">
        <w:t xml:space="preserve"> out of </w:t>
      </w:r>
      <w:r w:rsidRPr="00166326">
        <w:t xml:space="preserve">635; </w:t>
      </w:r>
      <w:r w:rsidR="0067312A" w:rsidRPr="00166326">
        <w:t>versus</w:t>
      </w:r>
      <w:r w:rsidRPr="00166326">
        <w:t xml:space="preserve"> 0.2</w:t>
      </w:r>
      <w:r w:rsidR="000403F6">
        <w:t>%</w:t>
      </w:r>
      <w:r w:rsidRPr="00166326">
        <w:t xml:space="preserve"> [1</w:t>
      </w:r>
      <w:r w:rsidR="00027344">
        <w:t xml:space="preserve"> out of </w:t>
      </w:r>
      <w:r w:rsidRPr="00166326">
        <w:t xml:space="preserve">651] in the palonosetron alone group). There were no study </w:t>
      </w:r>
      <w:r w:rsidR="002D3239">
        <w:t>drug related</w:t>
      </w:r>
      <w:r w:rsidRPr="00166326">
        <w:t xml:space="preserve"> SAEs in either treatment </w:t>
      </w:r>
      <w:r w:rsidRPr="00166326">
        <w:lastRenderedPageBreak/>
        <w:t xml:space="preserve">groups. In </w:t>
      </w:r>
      <w:r w:rsidR="00F73FE3" w:rsidRPr="00166326">
        <w:t>Study NETU</w:t>
      </w:r>
      <w:r w:rsidRPr="00166326">
        <w:t xml:space="preserve">-10-29, the percentage of patients with any study </w:t>
      </w:r>
      <w:r w:rsidR="002D3239">
        <w:t>drug related</w:t>
      </w:r>
      <w:r w:rsidRPr="00166326">
        <w:t xml:space="preserve"> TEAEs was generally similar between the treatment groups within each cycle from cycles 1 to 6, and showed a general decreasing trend over the first 6 cycles, from an overall incidence of 4.6</w:t>
      </w:r>
      <w:r w:rsidR="000403F6">
        <w:t>%</w:t>
      </w:r>
      <w:r w:rsidRPr="00166326">
        <w:t xml:space="preserve"> in</w:t>
      </w:r>
      <w:r w:rsidR="005F7FE0" w:rsidRPr="00166326">
        <w:t xml:space="preserve"> Cycle 1</w:t>
      </w:r>
      <w:r w:rsidRPr="00166326">
        <w:t xml:space="preserve"> (5.2</w:t>
      </w:r>
      <w:r w:rsidR="000403F6">
        <w:t>%</w:t>
      </w:r>
      <w:r w:rsidRPr="00166326">
        <w:t xml:space="preserve"> and 2.9</w:t>
      </w:r>
      <w:r w:rsidR="000403F6">
        <w:t>%</w:t>
      </w:r>
      <w:r w:rsidRPr="00166326">
        <w:t xml:space="preserve"> in the netupitant/palonosetron FDC and aprepitant+ palonosetron groups, respectively) to 1.2</w:t>
      </w:r>
      <w:r w:rsidR="000403F6">
        <w:t>%</w:t>
      </w:r>
      <w:r w:rsidRPr="00166326">
        <w:t xml:space="preserve"> in cycle 6 (1.6</w:t>
      </w:r>
      <w:r w:rsidR="000403F6">
        <w:t>%</w:t>
      </w:r>
      <w:r w:rsidRPr="00166326">
        <w:t xml:space="preserve"> and 0</w:t>
      </w:r>
      <w:r w:rsidR="000403F6">
        <w:t>%</w:t>
      </w:r>
      <w:r w:rsidRPr="00166326">
        <w:t xml:space="preserve">, respectively). The only study </w:t>
      </w:r>
      <w:r w:rsidR="002D3239">
        <w:t>drug related</w:t>
      </w:r>
      <w:r w:rsidRPr="00166326">
        <w:t xml:space="preserve"> TEAE that was reported by </w:t>
      </w:r>
      <w:r w:rsidR="004633C5">
        <w:t>≥ 2</w:t>
      </w:r>
      <w:r w:rsidR="000403F6">
        <w:t>%</w:t>
      </w:r>
      <w:r w:rsidRPr="00166326">
        <w:t xml:space="preserve"> patien</w:t>
      </w:r>
      <w:r w:rsidR="000B5CEE">
        <w:t>ts in any treatment group, for C</w:t>
      </w:r>
      <w:r w:rsidRPr="00166326">
        <w:t>ycles 1 through 6, was constipation (incidence in</w:t>
      </w:r>
      <w:r w:rsidR="005F7FE0" w:rsidRPr="00166326">
        <w:t xml:space="preserve"> Cycle 1</w:t>
      </w:r>
      <w:r w:rsidRPr="00166326">
        <w:t xml:space="preserve"> of 2.3</w:t>
      </w:r>
      <w:r w:rsidR="000403F6">
        <w:t>%</w:t>
      </w:r>
      <w:r w:rsidRPr="00166326">
        <w:t xml:space="preserve"> in the netupitant/palonosetron FDC </w:t>
      </w:r>
      <w:r w:rsidR="0067312A" w:rsidRPr="00166326">
        <w:t>versus</w:t>
      </w:r>
      <w:r w:rsidRPr="00166326">
        <w:t xml:space="preserve"> 0</w:t>
      </w:r>
      <w:r w:rsidR="000403F6">
        <w:t>%</w:t>
      </w:r>
      <w:r w:rsidRPr="00166326">
        <w:t xml:space="preserve"> in the </w:t>
      </w:r>
      <w:proofErr w:type="spellStart"/>
      <w:r w:rsidRPr="00166326">
        <w:t>aprepitant+palonosetron</w:t>
      </w:r>
      <w:proofErr w:type="spellEnd"/>
      <w:r w:rsidRPr="00166326">
        <w:t xml:space="preserve"> group; incidence in</w:t>
      </w:r>
      <w:r w:rsidR="00DD2C7E" w:rsidRPr="00166326">
        <w:t xml:space="preserve"> Cycle 2</w:t>
      </w:r>
      <w:r w:rsidRPr="00166326">
        <w:t xml:space="preserve"> of 2.5</w:t>
      </w:r>
      <w:r w:rsidR="000403F6">
        <w:t>%</w:t>
      </w:r>
      <w:r w:rsidRPr="00166326">
        <w:t xml:space="preserve"> </w:t>
      </w:r>
      <w:r w:rsidR="0067312A" w:rsidRPr="00166326">
        <w:t>versus</w:t>
      </w:r>
      <w:r w:rsidRPr="00166326">
        <w:t xml:space="preserve"> 0</w:t>
      </w:r>
      <w:r w:rsidR="000403F6">
        <w:t>%</w:t>
      </w:r>
      <w:r w:rsidR="004B70D8" w:rsidRPr="00166326">
        <w:t>).</w:t>
      </w:r>
    </w:p>
    <w:p w:rsidR="00605AD4" w:rsidRPr="00166326" w:rsidRDefault="00605AD4" w:rsidP="00166326">
      <w:pPr>
        <w:pStyle w:val="Heading4"/>
      </w:pPr>
      <w:r w:rsidRPr="00166326">
        <w:t>First round assessment of benefit-risk balance</w:t>
      </w:r>
    </w:p>
    <w:p w:rsidR="006D071B" w:rsidRPr="00166326" w:rsidRDefault="006D071B" w:rsidP="00166326">
      <w:r w:rsidRPr="00166326">
        <w:t xml:space="preserve">The benefit-risk balance of </w:t>
      </w:r>
      <w:r w:rsidR="00E96281" w:rsidRPr="00166326">
        <w:t>Akynzeo</w:t>
      </w:r>
      <w:r w:rsidRPr="00166326">
        <w:t>, given the proposed usage, is favourable.</w:t>
      </w:r>
    </w:p>
    <w:p w:rsidR="006D071B" w:rsidRPr="00166326" w:rsidRDefault="006D071B" w:rsidP="00166326">
      <w:r w:rsidRPr="00166326">
        <w:t xml:space="preserve">Overall, efficacy results supported anti-emetic efficacy of oral netupitant </w:t>
      </w:r>
      <w:r w:rsidR="000A3133" w:rsidRPr="00166326">
        <w:t>300 mg</w:t>
      </w:r>
      <w:r w:rsidRPr="00166326">
        <w:t xml:space="preserve"> plus palonosetron </w:t>
      </w:r>
      <w:r w:rsidR="000A3133" w:rsidRPr="00166326">
        <w:t>0.50 mg</w:t>
      </w:r>
      <w:r w:rsidRPr="00166326">
        <w:t xml:space="preserve"> in acute and delayed phases of CINV with MEC and HEC, as well as efficacy over repeated cycles of chemotherapy. Efficacy analyses results showed that there was a statistically significantly higher proportion of patients with complete response with netupitant/palonosetron FDC compared to palonosetron alone in patients on MEC in the acute and delayed phases (</w:t>
      </w:r>
      <w:r w:rsidR="00F73FE3" w:rsidRPr="00166326">
        <w:t>Study NETU</w:t>
      </w:r>
      <w:r w:rsidRPr="00166326">
        <w:t>-08-18: treatment difference [netupitant/palonosetron FDC over palonosetron alone] of 3.4</w:t>
      </w:r>
      <w:r w:rsidR="000403F6">
        <w:t>%</w:t>
      </w:r>
      <w:r w:rsidRPr="00166326">
        <w:t xml:space="preserve"> and 7.4</w:t>
      </w:r>
      <w:r w:rsidR="000403F6">
        <w:t>%</w:t>
      </w:r>
      <w:r w:rsidRPr="00166326">
        <w:t xml:space="preserve"> in the acute and delayed phases, respectively). There was also a statistically significantly higher proportion of patients with complete response with netupitant </w:t>
      </w:r>
      <w:r w:rsidR="000A3133" w:rsidRPr="00166326">
        <w:t>300 mg</w:t>
      </w:r>
      <w:r w:rsidRPr="00166326">
        <w:t xml:space="preserve"> + palonosetron </w:t>
      </w:r>
      <w:r w:rsidR="000A3133" w:rsidRPr="00166326">
        <w:t>0.50 mg</w:t>
      </w:r>
      <w:r w:rsidRPr="00166326">
        <w:t xml:space="preserve"> compared to palonosetron alone in patients on HEC in the acute and delayed phases (</w:t>
      </w:r>
      <w:r w:rsidR="00F73FE3" w:rsidRPr="00166326">
        <w:t>Study NETU</w:t>
      </w:r>
      <w:r w:rsidRPr="00166326">
        <w:t>-07-07: treatment difference [</w:t>
      </w:r>
      <w:proofErr w:type="spellStart"/>
      <w:r w:rsidRPr="00166326">
        <w:t>netupitant+palonosetron</w:t>
      </w:r>
      <w:proofErr w:type="spellEnd"/>
      <w:r w:rsidRPr="00166326">
        <w:t xml:space="preserve"> over </w:t>
      </w:r>
      <w:proofErr w:type="spellStart"/>
      <w:r w:rsidRPr="00166326">
        <w:t>palonosetron</w:t>
      </w:r>
      <w:proofErr w:type="spellEnd"/>
      <w:r w:rsidRPr="00166326">
        <w:t xml:space="preserve"> alone] of 8.8</w:t>
      </w:r>
      <w:r w:rsidR="000403F6">
        <w:t>%</w:t>
      </w:r>
      <w:r w:rsidRPr="00166326">
        <w:t xml:space="preserve"> and 10.2</w:t>
      </w:r>
      <w:r w:rsidR="000403F6">
        <w:t>%</w:t>
      </w:r>
      <w:r w:rsidRPr="00166326">
        <w:t xml:space="preserve"> in the acute and delayed phases, respectively). Analyses of other efficacy endpoints generally supported the results of the endpoint of complete response. Analyses of efficacy data over multiple cycles of chemotherapy showed that the anti-emetic effect of the FDC was maintained over multiple cycles of chemotherapy.</w:t>
      </w:r>
    </w:p>
    <w:p w:rsidR="00605AD4" w:rsidRPr="00166326" w:rsidRDefault="006D071B" w:rsidP="00166326">
      <w:r w:rsidRPr="00166326">
        <w:t xml:space="preserve">Overall, safety results did not raise any </w:t>
      </w:r>
      <w:r w:rsidR="000A3133" w:rsidRPr="00166326">
        <w:t>major safety concerns. In both S</w:t>
      </w:r>
      <w:r w:rsidRPr="00166326">
        <w:t xml:space="preserve">tudies NETU-08-18 (MEC) and NETU-10-29 (MEC and HEC), the most commonly reported study </w:t>
      </w:r>
      <w:r w:rsidR="002D3239">
        <w:t>drug related</w:t>
      </w:r>
      <w:r w:rsidRPr="00166326">
        <w:t xml:space="preserve"> TEAE by preferred term in the netupitant/palonosetron FDC group was headache and constipation, while in </w:t>
      </w:r>
      <w:r w:rsidR="00F73FE3" w:rsidRPr="00166326">
        <w:t>Study NETU</w:t>
      </w:r>
      <w:r w:rsidRPr="00166326">
        <w:t xml:space="preserve">-07-07 (HEC), the most commonly reported study </w:t>
      </w:r>
      <w:r w:rsidR="002D3239">
        <w:t>drug related</w:t>
      </w:r>
      <w:r w:rsidRPr="00166326">
        <w:t xml:space="preserve"> TEAE by preferred term in the netupitant </w:t>
      </w:r>
      <w:r w:rsidR="000A3133" w:rsidRPr="00166326">
        <w:t>300 mg</w:t>
      </w:r>
      <w:r w:rsidRPr="00166326">
        <w:t xml:space="preserve"> plus palonosetron group was hiccups. The majority of study </w:t>
      </w:r>
      <w:r w:rsidR="002D3239">
        <w:t>drug related</w:t>
      </w:r>
      <w:r w:rsidRPr="00166326">
        <w:t xml:space="preserve"> TEAEs were mild to moderate in intensity. The incidence of severe and serious </w:t>
      </w:r>
      <w:r w:rsidR="002D3239">
        <w:t>drug related</w:t>
      </w:r>
      <w:r w:rsidRPr="00166326">
        <w:t xml:space="preserve"> TEAEs was low. Analyses of safety over repeated chemotherapy cycles did</w:t>
      </w:r>
      <w:r w:rsidR="004B70D8" w:rsidRPr="00166326">
        <w:t xml:space="preserve"> not raise any safety concerns.</w:t>
      </w:r>
    </w:p>
    <w:p w:rsidR="00605AD4" w:rsidRPr="00166326" w:rsidRDefault="0079492A" w:rsidP="00166326">
      <w:pPr>
        <w:pStyle w:val="Heading3"/>
        <w:rPr>
          <w:rFonts w:eastAsia="Cambria"/>
        </w:rPr>
      </w:pPr>
      <w:bookmarkStart w:id="115" w:name="_Toc466986542"/>
      <w:r>
        <w:rPr>
          <w:rFonts w:eastAsia="Cambria"/>
        </w:rPr>
        <w:t>First round recommendation regarding a</w:t>
      </w:r>
      <w:r w:rsidR="00605AD4" w:rsidRPr="00166326">
        <w:rPr>
          <w:rFonts w:eastAsia="Cambria"/>
        </w:rPr>
        <w:t>uthorisation</w:t>
      </w:r>
      <w:bookmarkEnd w:id="115"/>
    </w:p>
    <w:p w:rsidR="006D071B" w:rsidRPr="00166326" w:rsidRDefault="006D071B" w:rsidP="00166326">
      <w:r w:rsidRPr="00166326">
        <w:t xml:space="preserve">It is recommended that the application for registration of </w:t>
      </w:r>
      <w:r w:rsidR="00E96281" w:rsidRPr="00166326">
        <w:t>Akynzeo</w:t>
      </w:r>
      <w:r w:rsidRPr="00166326">
        <w:t xml:space="preserve"> for the prevention of acute and delayed nausea and vomiting associated with initial and repeat courses of highly emetogenic and moderately emetogenic cancer chemotherapy be approved. This is subject to incorporation of suggested changes to propos</w:t>
      </w:r>
      <w:r w:rsidR="00136800" w:rsidRPr="00166326">
        <w:t>ed PI</w:t>
      </w:r>
      <w:r w:rsidR="00642839" w:rsidRPr="00166326">
        <w:t>.</w:t>
      </w:r>
    </w:p>
    <w:p w:rsidR="00605AD4" w:rsidRPr="00166326" w:rsidRDefault="0079492A" w:rsidP="00166326">
      <w:pPr>
        <w:pStyle w:val="Heading3"/>
        <w:rPr>
          <w:rFonts w:eastAsia="Cambria"/>
        </w:rPr>
      </w:pPr>
      <w:bookmarkStart w:id="116" w:name="_Toc466986543"/>
      <w:r>
        <w:rPr>
          <w:rFonts w:eastAsia="Cambria"/>
        </w:rPr>
        <w:t>Clinical q</w:t>
      </w:r>
      <w:r w:rsidR="00605AD4" w:rsidRPr="00166326">
        <w:rPr>
          <w:rFonts w:eastAsia="Cambria"/>
        </w:rPr>
        <w:t>uestions</w:t>
      </w:r>
      <w:bookmarkEnd w:id="116"/>
    </w:p>
    <w:p w:rsidR="006D071B" w:rsidRDefault="006D071B" w:rsidP="00166326">
      <w:pPr>
        <w:pStyle w:val="Heading4"/>
      </w:pPr>
      <w:bookmarkStart w:id="117" w:name="_Toc410371857"/>
      <w:bookmarkStart w:id="118" w:name="_Toc290846342"/>
      <w:bookmarkStart w:id="119" w:name="_Toc272414702"/>
      <w:r>
        <w:t>Pharmacokinetics</w:t>
      </w:r>
      <w:bookmarkEnd w:id="117"/>
      <w:bookmarkEnd w:id="118"/>
      <w:bookmarkEnd w:id="119"/>
    </w:p>
    <w:p w:rsidR="006D071B" w:rsidRPr="00166326" w:rsidRDefault="006D071B" w:rsidP="00166326">
      <w:pPr>
        <w:pStyle w:val="Numberbullet0"/>
      </w:pPr>
      <w:r w:rsidRPr="00166326">
        <w:t xml:space="preserve">Although the </w:t>
      </w:r>
      <w:proofErr w:type="spellStart"/>
      <w:r w:rsidRPr="00166326">
        <w:t>palonosetron</w:t>
      </w:r>
      <w:proofErr w:type="spellEnd"/>
      <w:r w:rsidRPr="00166326">
        <w:t xml:space="preserve"> oral </w:t>
      </w:r>
      <w:proofErr w:type="spellStart"/>
      <w:r w:rsidRPr="00166326">
        <w:t>softgel</w:t>
      </w:r>
      <w:proofErr w:type="spellEnd"/>
      <w:r w:rsidRPr="00166326">
        <w:t xml:space="preserve"> capsules used in the FDC are similar to the currently approved formulation, the two formulations are not identical; why has the </w:t>
      </w:r>
      <w:r w:rsidR="00791AE3" w:rsidRPr="00166326">
        <w:lastRenderedPageBreak/>
        <w:t>sponsor</w:t>
      </w:r>
      <w:r w:rsidRPr="00166326">
        <w:t xml:space="preserve"> not examined the effects of these fo</w:t>
      </w:r>
      <w:r w:rsidR="00CE0692">
        <w:t>rmulation differences on the PK</w:t>
      </w:r>
      <w:r w:rsidRPr="00166326">
        <w:t xml:space="preserve"> of the palonosetron component?</w:t>
      </w:r>
    </w:p>
    <w:p w:rsidR="006D071B" w:rsidRPr="00166326" w:rsidRDefault="006D071B" w:rsidP="00166326">
      <w:pPr>
        <w:pStyle w:val="Numberbullet0"/>
      </w:pPr>
      <w:r w:rsidRPr="00166326">
        <w:t xml:space="preserve">Can the </w:t>
      </w:r>
      <w:r w:rsidR="00791AE3" w:rsidRPr="00166326">
        <w:t>sponsor</w:t>
      </w:r>
      <w:r w:rsidRPr="00166326">
        <w:t xml:space="preserve"> please provide an explanation as to why food has a much greater effect on net</w:t>
      </w:r>
      <w:r w:rsidR="00CE0692">
        <w:t>upitant PK</w:t>
      </w:r>
      <w:r w:rsidRPr="00166326">
        <w:t xml:space="preserve"> in Studies BP17408 and</w:t>
      </w:r>
      <w:r w:rsidR="00136800" w:rsidRPr="00166326">
        <w:t xml:space="preserve"> NP16600</w:t>
      </w:r>
      <w:r w:rsidRPr="00166326">
        <w:t xml:space="preserve"> compared with </w:t>
      </w:r>
      <w:r w:rsidR="00F73FE3" w:rsidRPr="00166326">
        <w:t>Study NETU</w:t>
      </w:r>
      <w:r w:rsidRPr="00166326">
        <w:t>-10-12.</w:t>
      </w:r>
    </w:p>
    <w:p w:rsidR="006D071B" w:rsidRPr="00166326" w:rsidRDefault="006D071B" w:rsidP="00166326">
      <w:pPr>
        <w:pStyle w:val="Numberbullet0"/>
      </w:pPr>
      <w:r w:rsidRPr="00166326">
        <w:t xml:space="preserve">Can the </w:t>
      </w:r>
      <w:r w:rsidR="00791AE3" w:rsidRPr="00166326">
        <w:t>sponsor</w:t>
      </w:r>
      <w:r w:rsidRPr="00166326">
        <w:t xml:space="preserve"> please provide an explanation for the increas</w:t>
      </w:r>
      <w:r w:rsidR="00CE0692">
        <w:t>ed variability in netupitant PK</w:t>
      </w:r>
      <w:r w:rsidRPr="00166326">
        <w:t xml:space="preserve"> that occurs as a result of hepatic </w:t>
      </w:r>
      <w:r w:rsidR="000B5CEE" w:rsidRPr="00166326">
        <w:t>impairment?</w:t>
      </w:r>
    </w:p>
    <w:p w:rsidR="006D071B" w:rsidRPr="00166326" w:rsidRDefault="006D071B" w:rsidP="00166326">
      <w:pPr>
        <w:pStyle w:val="Numberbullet0"/>
      </w:pPr>
      <w:r w:rsidRPr="00166326">
        <w:t>As comparison of the PK results regarding netupitant when given in combination with dexamethasone (</w:t>
      </w:r>
      <w:r w:rsidR="00F73FE3" w:rsidRPr="00166326">
        <w:t>Study NETU</w:t>
      </w:r>
      <w:r w:rsidRPr="00166326">
        <w:t>-06-07) and in Study NP16603</w:t>
      </w:r>
      <w:r w:rsidR="00136800" w:rsidRPr="00166326">
        <w:t>,</w:t>
      </w:r>
      <w:r w:rsidRPr="00166326">
        <w:t xml:space="preserve"> where the same doses of ne</w:t>
      </w:r>
      <w:r w:rsidR="00136800" w:rsidRPr="00166326">
        <w:t>tupitant were administered (that is,</w:t>
      </w:r>
      <w:r w:rsidRPr="00166326">
        <w:t xml:space="preserve"> 100, 300 and 450 mg), indicate that </w:t>
      </w:r>
      <w:proofErr w:type="spellStart"/>
      <w:r w:rsidRPr="00166326">
        <w:t>netupitant</w:t>
      </w:r>
      <w:proofErr w:type="spellEnd"/>
      <w:r w:rsidRPr="00166326">
        <w:t xml:space="preserve"> </w:t>
      </w:r>
      <w:proofErr w:type="spellStart"/>
      <w:r w:rsidR="00B765DE" w:rsidRPr="00C01898">
        <w:t>AUC</w:t>
      </w:r>
      <w:r w:rsidR="00B765DE" w:rsidRPr="00B765DE">
        <w:rPr>
          <w:vertAlign w:val="subscript"/>
        </w:rPr>
        <w:t>inf</w:t>
      </w:r>
      <w:proofErr w:type="spellEnd"/>
      <w:r w:rsidRPr="00166326">
        <w:t xml:space="preserve"> was significantly lower in </w:t>
      </w:r>
      <w:r w:rsidR="00F73FE3" w:rsidRPr="00166326">
        <w:t>Study NETU</w:t>
      </w:r>
      <w:r w:rsidRPr="00166326">
        <w:t xml:space="preserve">-06-07, can the </w:t>
      </w:r>
      <w:r w:rsidR="00791AE3" w:rsidRPr="00166326">
        <w:t>sponsor</w:t>
      </w:r>
      <w:r w:rsidRPr="00166326">
        <w:t xml:space="preserve"> please explain this discrepancy.</w:t>
      </w:r>
    </w:p>
    <w:p w:rsidR="006D071B" w:rsidRPr="00166326" w:rsidRDefault="000B5CEE" w:rsidP="00166326">
      <w:pPr>
        <w:pStyle w:val="Numberbullet0"/>
      </w:pPr>
      <w:r>
        <w:t>As the ‘i</w:t>
      </w:r>
      <w:r w:rsidR="00136800" w:rsidRPr="00166326">
        <w:t>nvestigational plan’</w:t>
      </w:r>
      <w:r w:rsidR="006D071B" w:rsidRPr="00166326">
        <w:t xml:space="preserve"> section of Study </w:t>
      </w:r>
      <w:r w:rsidR="00136800" w:rsidRPr="00166326">
        <w:t>Report NETU-08-18</w:t>
      </w:r>
      <w:r w:rsidR="006D071B" w:rsidRPr="00166326">
        <w:t xml:space="preserve"> indicated that the sub</w:t>
      </w:r>
      <w:r w:rsidR="00CE0692">
        <w:t>set of patients in which the PK</w:t>
      </w:r>
      <w:r w:rsidR="006D071B" w:rsidRPr="00166326">
        <w:t xml:space="preserve"> of the FDC were to be determined numbered approximately 500 it is not </w:t>
      </w:r>
      <w:r>
        <w:t>clear why the data for only 117 to 11</w:t>
      </w:r>
      <w:r w:rsidR="006D071B" w:rsidRPr="00166326">
        <w:t xml:space="preserve">8 patients was included in the </w:t>
      </w:r>
      <w:proofErr w:type="spellStart"/>
      <w:r w:rsidR="006D071B" w:rsidRPr="00166326">
        <w:t>P</w:t>
      </w:r>
      <w:r w:rsidR="00CE0692">
        <w:t>op</w:t>
      </w:r>
      <w:r w:rsidR="006D071B" w:rsidRPr="00166326">
        <w:t>PK</w:t>
      </w:r>
      <w:proofErr w:type="spellEnd"/>
      <w:r w:rsidR="006D071B" w:rsidRPr="00166326">
        <w:t xml:space="preserve"> modelling studies. Therefore, can the </w:t>
      </w:r>
      <w:r w:rsidR="00791AE3" w:rsidRPr="00166326">
        <w:t>sponsor</w:t>
      </w:r>
      <w:r w:rsidR="006D071B" w:rsidRPr="00166326">
        <w:t xml:space="preserve"> please provide details concerning how the sub-population for the </w:t>
      </w:r>
      <w:proofErr w:type="spellStart"/>
      <w:r w:rsidR="006D071B" w:rsidRPr="00166326">
        <w:t>P</w:t>
      </w:r>
      <w:r w:rsidR="00CE0692">
        <w:t>op</w:t>
      </w:r>
      <w:r w:rsidR="006D071B" w:rsidRPr="00166326">
        <w:t>PK</w:t>
      </w:r>
      <w:proofErr w:type="spellEnd"/>
      <w:r w:rsidR="006D071B" w:rsidRPr="00166326">
        <w:t xml:space="preserve"> study was selected?</w:t>
      </w:r>
    </w:p>
    <w:p w:rsidR="006D071B" w:rsidRPr="00166326" w:rsidRDefault="00136800" w:rsidP="00166326">
      <w:pPr>
        <w:pStyle w:val="Numberbullet0"/>
      </w:pPr>
      <w:r w:rsidRPr="00166326">
        <w:t>T</w:t>
      </w:r>
      <w:r w:rsidR="006D071B" w:rsidRPr="00166326">
        <w:t xml:space="preserve">he populations modelled in the </w:t>
      </w:r>
      <w:proofErr w:type="spellStart"/>
      <w:r w:rsidR="006D071B" w:rsidRPr="00166326">
        <w:t>P</w:t>
      </w:r>
      <w:r w:rsidR="00CE0692">
        <w:t>op</w:t>
      </w:r>
      <w:r w:rsidR="006D071B" w:rsidRPr="00166326">
        <w:t>PK</w:t>
      </w:r>
      <w:proofErr w:type="spellEnd"/>
      <w:r w:rsidR="006D071B" w:rsidRPr="00166326">
        <w:t xml:space="preserve"> were primarily female (</w:t>
      </w:r>
      <w:r w:rsidR="003A581C" w:rsidRPr="00166326">
        <w:t>approximately</w:t>
      </w:r>
      <w:r w:rsidR="008D5592">
        <w:t xml:space="preserve"> </w:t>
      </w:r>
      <w:r w:rsidR="006D071B" w:rsidRPr="00166326">
        <w:t>96</w:t>
      </w:r>
      <w:r w:rsidR="000403F6">
        <w:t>%</w:t>
      </w:r>
      <w:r w:rsidR="006D071B" w:rsidRPr="00166326">
        <w:t>) and Caucasian (</w:t>
      </w:r>
      <w:r w:rsidR="003A581C" w:rsidRPr="00166326">
        <w:t>approximately</w:t>
      </w:r>
      <w:r w:rsidR="008D5592">
        <w:t xml:space="preserve"> </w:t>
      </w:r>
      <w:r w:rsidR="006D071B" w:rsidRPr="00166326">
        <w:t>86</w:t>
      </w:r>
      <w:r w:rsidR="000403F6">
        <w:t>%</w:t>
      </w:r>
      <w:r w:rsidR="006D071B" w:rsidRPr="00166326">
        <w:t>). Therefore, due to t</w:t>
      </w:r>
      <w:r w:rsidR="000B5CEE">
        <w:t xml:space="preserve">he small number of male (n = 4 to </w:t>
      </w:r>
      <w:r w:rsidR="006D071B" w:rsidRPr="00166326">
        <w:t xml:space="preserve">5) and non-Caucasian subjects (n </w:t>
      </w:r>
      <w:r w:rsidR="003818B7">
        <w:t>= 1</w:t>
      </w:r>
      <w:r w:rsidR="006D071B" w:rsidRPr="00166326">
        <w:t xml:space="preserve">6) included in the analyses, it may not have allowed an accurate determination of the importance of these covariates. Can the </w:t>
      </w:r>
      <w:r w:rsidR="00791AE3" w:rsidRPr="00166326">
        <w:t>sponsor</w:t>
      </w:r>
      <w:r w:rsidR="006D071B" w:rsidRPr="00166326">
        <w:t xml:space="preserve"> please justify the use of this population in the modelling studies?</w:t>
      </w:r>
    </w:p>
    <w:p w:rsidR="006D071B" w:rsidRDefault="006D071B" w:rsidP="00166326">
      <w:pPr>
        <w:pStyle w:val="Heading4"/>
      </w:pPr>
      <w:bookmarkStart w:id="120" w:name="_Toc410371858"/>
      <w:bookmarkStart w:id="121" w:name="_Toc290846343"/>
      <w:bookmarkStart w:id="122" w:name="_Toc272414703"/>
      <w:r>
        <w:t>Pharmacodynamics</w:t>
      </w:r>
      <w:bookmarkEnd w:id="120"/>
      <w:bookmarkEnd w:id="121"/>
      <w:bookmarkEnd w:id="122"/>
    </w:p>
    <w:p w:rsidR="006D071B" w:rsidRPr="00166326" w:rsidRDefault="006D071B" w:rsidP="00166326">
      <w:pPr>
        <w:pStyle w:val="Numberbullet0"/>
      </w:pPr>
      <w:r w:rsidRPr="00166326">
        <w:t>One of the TEAEs of special interest that was identified in the pivotal study and was assessed by the investigator as being possibly related to study drugs was mood alteration during</w:t>
      </w:r>
      <w:r w:rsidR="00DD2C7E" w:rsidRPr="00166326">
        <w:t xml:space="preserve"> Cycle 2</w:t>
      </w:r>
      <w:r w:rsidRPr="00166326">
        <w:t xml:space="preserve">. This TEAE was of moderate intensity and resolved after 13 days with no specific therapy. In addition, Study </w:t>
      </w:r>
      <w:r w:rsidR="007F0438" w:rsidRPr="00166326">
        <w:t>NP16603</w:t>
      </w:r>
      <w:r w:rsidRPr="00166326">
        <w:t xml:space="preserve"> identified 2 out of 4 subjects who experienced decreased vigilance, alertness and memory impairment. Therefore, can the </w:t>
      </w:r>
      <w:r w:rsidR="00791AE3" w:rsidRPr="00166326">
        <w:t>sponsor</w:t>
      </w:r>
      <w:r w:rsidRPr="00166326">
        <w:t xml:space="preserve"> please provide a summary of all the data related to the central effects of the FDC on alertness, mood and memory?</w:t>
      </w:r>
    </w:p>
    <w:p w:rsidR="006D071B" w:rsidRPr="00166326" w:rsidRDefault="006D071B" w:rsidP="00166326">
      <w:pPr>
        <w:pStyle w:val="Numberbullet0"/>
      </w:pPr>
      <w:r w:rsidRPr="00166326">
        <w:t>The PK/PD data suggests that earlier treatment with the FDC than that proposed may result in enhanced anti-emetic effectiveness. Therefore, in the absence of data examining a range of times of FDC administration prior to chemotherapy how was the proposed 1</w:t>
      </w:r>
      <w:r w:rsidR="009B02FF">
        <w:t xml:space="preserve"> </w:t>
      </w:r>
      <w:r w:rsidR="001129FF">
        <w:t>hour’s</w:t>
      </w:r>
      <w:r w:rsidR="009B02FF">
        <w:t xml:space="preserve"> </w:t>
      </w:r>
      <w:r w:rsidRPr="00166326">
        <w:t>pre-chemotherapy time point chosen?</w:t>
      </w:r>
    </w:p>
    <w:p w:rsidR="00605AD4" w:rsidRPr="00166326" w:rsidRDefault="0079492A" w:rsidP="00166326">
      <w:pPr>
        <w:pStyle w:val="Heading3"/>
        <w:rPr>
          <w:rFonts w:eastAsia="Cambria"/>
        </w:rPr>
      </w:pPr>
      <w:bookmarkStart w:id="123" w:name="_Toc466986544"/>
      <w:r>
        <w:rPr>
          <w:rFonts w:eastAsia="Cambria"/>
        </w:rPr>
        <w:t>Second round e</w:t>
      </w:r>
      <w:r w:rsidR="00605AD4" w:rsidRPr="00166326">
        <w:rPr>
          <w:rFonts w:eastAsia="Cambria"/>
        </w:rPr>
        <w:t>valuation of clinical data submitted in response to questions</w:t>
      </w:r>
      <w:bookmarkEnd w:id="123"/>
    </w:p>
    <w:p w:rsidR="0039233B" w:rsidRPr="00166326" w:rsidRDefault="0039233B" w:rsidP="00166326">
      <w:pPr>
        <w:rPr>
          <w:highlight w:val="yellow"/>
        </w:rPr>
      </w:pPr>
      <w:r w:rsidRPr="00166326">
        <w:t xml:space="preserve">For details of </w:t>
      </w:r>
      <w:proofErr w:type="spellStart"/>
      <w:r w:rsidRPr="00166326">
        <w:t>theSponsor’s</w:t>
      </w:r>
      <w:proofErr w:type="spellEnd"/>
      <w:r w:rsidRPr="00166326">
        <w:t xml:space="preserve"> responses and the </w:t>
      </w:r>
      <w:proofErr w:type="spellStart"/>
      <w:r w:rsidRPr="00166326">
        <w:t>evalautor’s</w:t>
      </w:r>
      <w:proofErr w:type="spellEnd"/>
      <w:r w:rsidRPr="00166326">
        <w:t xml:space="preserve"> comments on these responses, please see Attachment 2 Second Round Evaluation of clinical data submitted in response to questions.</w:t>
      </w:r>
    </w:p>
    <w:p w:rsidR="00605AD4" w:rsidRPr="00166326" w:rsidRDefault="0079492A" w:rsidP="00166326">
      <w:pPr>
        <w:pStyle w:val="Heading3"/>
        <w:rPr>
          <w:rFonts w:eastAsia="Cambria"/>
        </w:rPr>
      </w:pPr>
      <w:bookmarkStart w:id="124" w:name="_Toc466986545"/>
      <w:r>
        <w:rPr>
          <w:rFonts w:eastAsia="Cambria"/>
        </w:rPr>
        <w:t>Second r</w:t>
      </w:r>
      <w:r w:rsidR="00605AD4" w:rsidRPr="00166326">
        <w:rPr>
          <w:rFonts w:eastAsia="Cambria"/>
        </w:rPr>
        <w:t xml:space="preserve">ound </w:t>
      </w:r>
      <w:r>
        <w:rPr>
          <w:rFonts w:eastAsia="Cambria"/>
        </w:rPr>
        <w:t>benefit-risk a</w:t>
      </w:r>
      <w:r w:rsidR="00605AD4" w:rsidRPr="00166326">
        <w:rPr>
          <w:rFonts w:eastAsia="Cambria"/>
        </w:rPr>
        <w:t>ssessment</w:t>
      </w:r>
      <w:bookmarkEnd w:id="124"/>
    </w:p>
    <w:p w:rsidR="006D071B" w:rsidRPr="00166326" w:rsidRDefault="006D071B" w:rsidP="00166326">
      <w:pPr>
        <w:pStyle w:val="Heading4"/>
      </w:pPr>
      <w:bookmarkStart w:id="125" w:name="_Toc410371864"/>
      <w:bookmarkStart w:id="126" w:name="_Toc290846349"/>
      <w:bookmarkStart w:id="127" w:name="_Toc272414709"/>
      <w:r w:rsidRPr="00166326">
        <w:t>Second round assessment of benefits</w:t>
      </w:r>
      <w:bookmarkEnd w:id="125"/>
      <w:bookmarkEnd w:id="126"/>
      <w:bookmarkEnd w:id="127"/>
    </w:p>
    <w:p w:rsidR="006D071B" w:rsidRPr="00166326" w:rsidRDefault="006D071B" w:rsidP="00166326">
      <w:bookmarkStart w:id="128" w:name="_Toc290846350"/>
      <w:bookmarkStart w:id="129" w:name="_Toc272414710"/>
      <w:r w:rsidRPr="00166326">
        <w:t xml:space="preserve">No clinical questions were raised pertaining to efficacy. Accordingly, the benefits of </w:t>
      </w:r>
      <w:r w:rsidR="00E96281" w:rsidRPr="00166326">
        <w:t>Akynzeo</w:t>
      </w:r>
      <w:r w:rsidRPr="00166326">
        <w:t xml:space="preserve"> are unchanged from those identified </w:t>
      </w:r>
      <w:proofErr w:type="spellStart"/>
      <w:r w:rsidRPr="00166326">
        <w:t>in</w:t>
      </w:r>
      <w:r w:rsidR="0039233B" w:rsidRPr="00166326">
        <w:t>the</w:t>
      </w:r>
      <w:proofErr w:type="spellEnd"/>
      <w:r w:rsidR="0039233B" w:rsidRPr="00166326">
        <w:t xml:space="preserve"> First round evaluation</w:t>
      </w:r>
      <w:r w:rsidRPr="00166326">
        <w:t>.</w:t>
      </w:r>
    </w:p>
    <w:p w:rsidR="006D071B" w:rsidRPr="00166326" w:rsidRDefault="006D071B" w:rsidP="00166326">
      <w:pPr>
        <w:pStyle w:val="Heading4"/>
      </w:pPr>
      <w:bookmarkStart w:id="130" w:name="_Toc410371865"/>
      <w:r w:rsidRPr="00166326">
        <w:lastRenderedPageBreak/>
        <w:t>Second round assessment of risks</w:t>
      </w:r>
      <w:bookmarkEnd w:id="128"/>
      <w:bookmarkEnd w:id="129"/>
      <w:bookmarkEnd w:id="130"/>
    </w:p>
    <w:p w:rsidR="006D071B" w:rsidRPr="00166326" w:rsidRDefault="006D071B" w:rsidP="00166326">
      <w:bookmarkStart w:id="131" w:name="_Toc290846351"/>
      <w:bookmarkStart w:id="132" w:name="_Toc272414711"/>
      <w:r w:rsidRPr="00166326">
        <w:t xml:space="preserve">No clinical questions were raised pertaining to safety. Accordingly, the risks of </w:t>
      </w:r>
      <w:r w:rsidR="00E96281" w:rsidRPr="00166326">
        <w:t>Akynzeo</w:t>
      </w:r>
      <w:r w:rsidRPr="00166326">
        <w:t xml:space="preserve"> are unchanged from</w:t>
      </w:r>
      <w:r w:rsidR="00481487" w:rsidRPr="00166326">
        <w:t xml:space="preserve"> those identified in the First round evaluation</w:t>
      </w:r>
      <w:r w:rsidRPr="00166326">
        <w:t>.</w:t>
      </w:r>
    </w:p>
    <w:p w:rsidR="006D071B" w:rsidRPr="00166326" w:rsidRDefault="006D071B" w:rsidP="00166326">
      <w:pPr>
        <w:pStyle w:val="Heading4"/>
      </w:pPr>
      <w:bookmarkStart w:id="133" w:name="_Toc410371866"/>
      <w:r w:rsidRPr="00166326">
        <w:t>Second round assessment of benefit-risk balance</w:t>
      </w:r>
      <w:bookmarkEnd w:id="131"/>
      <w:bookmarkEnd w:id="132"/>
      <w:bookmarkEnd w:id="133"/>
    </w:p>
    <w:p w:rsidR="006D071B" w:rsidRPr="00166326" w:rsidRDefault="006D071B" w:rsidP="00166326">
      <w:r w:rsidRPr="00166326">
        <w:t xml:space="preserve">The benefit-risk balance of </w:t>
      </w:r>
      <w:r w:rsidR="00E96281" w:rsidRPr="00166326">
        <w:t>Akynzeo</w:t>
      </w:r>
      <w:r w:rsidRPr="00166326">
        <w:t>, given the proposed usage, is favourable.</w:t>
      </w:r>
    </w:p>
    <w:p w:rsidR="006D071B" w:rsidRPr="00166326" w:rsidRDefault="006D071B" w:rsidP="00166326">
      <w:pPr>
        <w:pStyle w:val="Heading4"/>
      </w:pPr>
      <w:r w:rsidRPr="00166326">
        <w:t>S</w:t>
      </w:r>
      <w:r w:rsidR="00A66B1F" w:rsidRPr="00166326">
        <w:t xml:space="preserve">econd round recommendation regarding authorisation </w:t>
      </w:r>
    </w:p>
    <w:p w:rsidR="00605AD4" w:rsidRPr="00166326" w:rsidRDefault="006D071B" w:rsidP="00166326">
      <w:r w:rsidRPr="00166326">
        <w:t xml:space="preserve">It is recommended that the application for registration of </w:t>
      </w:r>
      <w:r w:rsidR="00E96281" w:rsidRPr="00166326">
        <w:t>Akynzeo</w:t>
      </w:r>
      <w:r w:rsidRPr="00166326">
        <w:t xml:space="preserve"> for the prevention of acute and delayed nausea and vomiting associated with initial and repeat courses of highly emetogenic and moderately emetogenic cancer chemotherapy be approved.</w:t>
      </w:r>
    </w:p>
    <w:p w:rsidR="008E7846" w:rsidRPr="00E41208" w:rsidRDefault="008E7846" w:rsidP="00546154">
      <w:pPr>
        <w:pStyle w:val="Heading2"/>
      </w:pPr>
      <w:bookmarkStart w:id="134" w:name="_Toc466986546"/>
      <w:r w:rsidRPr="00E41208">
        <w:t xml:space="preserve">V. Pharmacovigilance </w:t>
      </w:r>
      <w:r>
        <w:t>f</w:t>
      </w:r>
      <w:r w:rsidRPr="00E41208">
        <w:t>indings</w:t>
      </w:r>
      <w:bookmarkEnd w:id="110"/>
      <w:bookmarkEnd w:id="111"/>
      <w:bookmarkEnd w:id="134"/>
    </w:p>
    <w:p w:rsidR="008E7846" w:rsidRPr="00166326" w:rsidRDefault="00386150" w:rsidP="00166326">
      <w:pPr>
        <w:pStyle w:val="Heading3"/>
      </w:pPr>
      <w:bookmarkStart w:id="135" w:name="_Toc247691526"/>
      <w:bookmarkStart w:id="136" w:name="_Toc314842509"/>
      <w:bookmarkStart w:id="137" w:name="_Toc466986547"/>
      <w:r w:rsidRPr="00166326">
        <w:t>Risk m</w:t>
      </w:r>
      <w:r w:rsidR="008E7846" w:rsidRPr="00166326">
        <w:t xml:space="preserve">anagement </w:t>
      </w:r>
      <w:r w:rsidRPr="00166326">
        <w:t>p</w:t>
      </w:r>
      <w:r w:rsidR="008E7846" w:rsidRPr="00166326">
        <w:t>lan</w:t>
      </w:r>
      <w:bookmarkEnd w:id="135"/>
      <w:bookmarkEnd w:id="136"/>
      <w:bookmarkEnd w:id="137"/>
    </w:p>
    <w:p w:rsidR="008E7846" w:rsidRPr="00166326" w:rsidRDefault="008E7846" w:rsidP="00166326">
      <w:r w:rsidRPr="00166326">
        <w:t xml:space="preserve">The </w:t>
      </w:r>
      <w:r w:rsidR="00791AE3" w:rsidRPr="00166326">
        <w:t>sponsor</w:t>
      </w:r>
      <w:r w:rsidRPr="00166326">
        <w:t xml:space="preserve"> submitted a Risk Management Plan</w:t>
      </w:r>
      <w:r w:rsidR="006F25B8" w:rsidRPr="00166326">
        <w:t xml:space="preserve"> </w:t>
      </w:r>
      <w:r w:rsidR="00A66B1F" w:rsidRPr="00166326">
        <w:t xml:space="preserve">(RMP) </w:t>
      </w:r>
      <w:r w:rsidR="006F25B8" w:rsidRPr="00166326">
        <w:t>(</w:t>
      </w:r>
      <w:r w:rsidR="00E96281" w:rsidRPr="00166326">
        <w:t>Akynzeo</w:t>
      </w:r>
      <w:r w:rsidR="004A44A5" w:rsidRPr="00166326">
        <w:t xml:space="preserve"> EU-RMP version 1.0 (undated; data lock point 31 August 2013) with the Australian Specific Annex </w:t>
      </w:r>
      <w:r w:rsidR="00A66B1F" w:rsidRPr="00166326">
        <w:t xml:space="preserve">(ASA) </w:t>
      </w:r>
      <w:r w:rsidR="004A44A5" w:rsidRPr="00166326">
        <w:t>version 1.0 (dated 28 February 2014)</w:t>
      </w:r>
      <w:r w:rsidR="006F25B8" w:rsidRPr="00166326">
        <w:t>)</w:t>
      </w:r>
      <w:r w:rsidRPr="00166326">
        <w:t xml:space="preserve"> which was reviewed by the </w:t>
      </w:r>
      <w:r w:rsidR="00FC1FCA" w:rsidRPr="00166326">
        <w:t xml:space="preserve">RMP </w:t>
      </w:r>
      <w:r w:rsidR="00142EBA" w:rsidRPr="00166326">
        <w:t>evaluator</w:t>
      </w:r>
      <w:r w:rsidR="00FC1FCA" w:rsidRPr="00166326">
        <w:t>.</w:t>
      </w:r>
    </w:p>
    <w:p w:rsidR="008E7846" w:rsidRPr="00166326" w:rsidRDefault="003A7F6C" w:rsidP="00166326">
      <w:pPr>
        <w:pStyle w:val="Heading4"/>
      </w:pPr>
      <w:r w:rsidRPr="00166326">
        <w:t>Safety s</w:t>
      </w:r>
      <w:r w:rsidR="008E7846" w:rsidRPr="00166326">
        <w:t>pecification</w:t>
      </w:r>
    </w:p>
    <w:p w:rsidR="008E7846" w:rsidRDefault="008E7846" w:rsidP="008E7846">
      <w:pPr>
        <w:rPr>
          <w:lang w:eastAsia="en-AU"/>
        </w:rPr>
      </w:pPr>
      <w:r>
        <w:rPr>
          <w:lang w:eastAsia="en-AU"/>
        </w:rPr>
        <w:t>The</w:t>
      </w:r>
      <w:r w:rsidR="006F25B8">
        <w:rPr>
          <w:lang w:eastAsia="en-AU"/>
        </w:rPr>
        <w:t xml:space="preserve"> </w:t>
      </w:r>
      <w:r w:rsidR="00791AE3">
        <w:rPr>
          <w:lang w:eastAsia="en-AU"/>
        </w:rPr>
        <w:t>sponsor</w:t>
      </w:r>
      <w:r w:rsidR="006F25B8">
        <w:rPr>
          <w:lang w:eastAsia="en-AU"/>
        </w:rPr>
        <w:t xml:space="preserve"> provided a summary of o</w:t>
      </w:r>
      <w:r>
        <w:rPr>
          <w:lang w:eastAsia="en-AU"/>
        </w:rPr>
        <w:t xml:space="preserve">ngoing safety </w:t>
      </w:r>
      <w:r w:rsidR="006F25B8">
        <w:rPr>
          <w:lang w:eastAsia="en-AU"/>
        </w:rPr>
        <w:t>c</w:t>
      </w:r>
      <w:r>
        <w:rPr>
          <w:lang w:eastAsia="en-AU"/>
        </w:rPr>
        <w:t>on</w:t>
      </w:r>
      <w:r w:rsidR="00A66B1F">
        <w:rPr>
          <w:lang w:eastAsia="en-AU"/>
        </w:rPr>
        <w:t xml:space="preserve">cerns which are shown at Table </w:t>
      </w:r>
      <w:r w:rsidR="00F5364C">
        <w:rPr>
          <w:lang w:eastAsia="en-AU"/>
        </w:rPr>
        <w:t>8</w:t>
      </w:r>
      <w:r>
        <w:rPr>
          <w:lang w:eastAsia="en-AU"/>
        </w:rPr>
        <w:t>.</w:t>
      </w:r>
    </w:p>
    <w:p w:rsidR="00A66B1F" w:rsidRDefault="001129FF" w:rsidP="00166326">
      <w:pPr>
        <w:pStyle w:val="TableTitle"/>
      </w:pPr>
      <w:proofErr w:type="gramStart"/>
      <w:r>
        <w:t xml:space="preserve">Table </w:t>
      </w:r>
      <w:r w:rsidR="00F5364C">
        <w:t>8</w:t>
      </w:r>
      <w:r>
        <w:t>.</w:t>
      </w:r>
      <w:proofErr w:type="gramEnd"/>
      <w:r w:rsidR="00A66B1F" w:rsidRPr="00166326">
        <w:t xml:space="preserve"> Summary of Ongoing safety concerns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03"/>
        <w:gridCol w:w="5502"/>
      </w:tblGrid>
      <w:tr w:rsidR="001129FF" w:rsidTr="004C07F5">
        <w:trPr>
          <w:trHeight w:val="488"/>
          <w:tblHeader/>
        </w:trPr>
        <w:tc>
          <w:tcPr>
            <w:tcW w:w="8304"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006DA7"/>
          </w:tcPr>
          <w:p w:rsidR="001129FF" w:rsidRPr="004C0905" w:rsidRDefault="001129FF" w:rsidP="004C0905">
            <w:pPr>
              <w:keepNext/>
              <w:ind w:left="170" w:right="170"/>
              <w:rPr>
                <w:b/>
                <w:color w:val="FFFFFF"/>
                <w:szCs w:val="21"/>
                <w:lang w:eastAsia="en-AU"/>
              </w:rPr>
            </w:pPr>
            <w:proofErr w:type="spellStart"/>
            <w:r w:rsidRPr="004C0905">
              <w:rPr>
                <w:b/>
                <w:color w:val="FFFFFF"/>
                <w:szCs w:val="21"/>
                <w:lang w:eastAsia="en-AU"/>
              </w:rPr>
              <w:t>Summaroy</w:t>
            </w:r>
            <w:proofErr w:type="spellEnd"/>
            <w:r w:rsidRPr="004C0905">
              <w:rPr>
                <w:b/>
                <w:color w:val="FFFFFF"/>
                <w:szCs w:val="21"/>
                <w:lang w:eastAsia="en-AU"/>
              </w:rPr>
              <w:t xml:space="preserve"> of ongoing safety concerns</w:t>
            </w:r>
          </w:p>
        </w:tc>
      </w:tr>
      <w:tr w:rsidR="001129FF" w:rsidTr="004C07F5">
        <w:trPr>
          <w:trHeight w:val="743"/>
        </w:trPr>
        <w:tc>
          <w:tcPr>
            <w:tcW w:w="2803"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Important identified risks</w:t>
            </w:r>
          </w:p>
        </w:tc>
        <w:tc>
          <w:tcPr>
            <w:tcW w:w="5502"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None</w:t>
            </w:r>
          </w:p>
        </w:tc>
      </w:tr>
      <w:tr w:rsidR="001129FF" w:rsidTr="004C07F5">
        <w:trPr>
          <w:trHeight w:val="2972"/>
        </w:trPr>
        <w:tc>
          <w:tcPr>
            <w:tcW w:w="2803"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Important Potential risks</w:t>
            </w:r>
          </w:p>
        </w:tc>
        <w:tc>
          <w:tcPr>
            <w:tcW w:w="5502"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QT/</w:t>
            </w:r>
            <w:proofErr w:type="spellStart"/>
            <w:r w:rsidRPr="004C0905">
              <w:rPr>
                <w:color w:val="000000"/>
                <w:szCs w:val="21"/>
                <w:lang w:eastAsia="en-AU"/>
              </w:rPr>
              <w:t>QTc</w:t>
            </w:r>
            <w:proofErr w:type="spellEnd"/>
            <w:r w:rsidRPr="004C0905">
              <w:rPr>
                <w:color w:val="000000"/>
                <w:szCs w:val="21"/>
                <w:lang w:eastAsia="en-AU"/>
              </w:rPr>
              <w:t xml:space="preserve"> interval prolongation</w:t>
            </w:r>
          </w:p>
          <w:p w:rsidR="001129FF" w:rsidRPr="004C0905" w:rsidRDefault="001129FF" w:rsidP="004C0905">
            <w:pPr>
              <w:ind w:left="170" w:right="170"/>
              <w:rPr>
                <w:color w:val="000000"/>
                <w:szCs w:val="21"/>
                <w:lang w:eastAsia="en-AU"/>
              </w:rPr>
            </w:pPr>
            <w:r w:rsidRPr="004C0905">
              <w:rPr>
                <w:color w:val="000000"/>
                <w:szCs w:val="21"/>
                <w:lang w:eastAsia="en-AU"/>
              </w:rPr>
              <w:t>Anaphylaxis, anaphylactic/</w:t>
            </w:r>
            <w:proofErr w:type="spellStart"/>
            <w:r w:rsidRPr="004C0905">
              <w:rPr>
                <w:color w:val="000000"/>
                <w:szCs w:val="21"/>
                <w:lang w:eastAsia="en-AU"/>
              </w:rPr>
              <w:t>anaphylactoid</w:t>
            </w:r>
            <w:proofErr w:type="spellEnd"/>
            <w:r w:rsidRPr="004C0905">
              <w:rPr>
                <w:color w:val="000000"/>
                <w:szCs w:val="21"/>
                <w:lang w:eastAsia="en-AU"/>
              </w:rPr>
              <w:t xml:space="preserve"> reactions and shock</w:t>
            </w:r>
          </w:p>
          <w:p w:rsidR="001129FF" w:rsidRPr="004C0905" w:rsidRDefault="001129FF" w:rsidP="004C0905">
            <w:pPr>
              <w:ind w:left="170" w:right="170"/>
              <w:rPr>
                <w:color w:val="000000"/>
                <w:szCs w:val="21"/>
                <w:lang w:eastAsia="en-AU"/>
              </w:rPr>
            </w:pPr>
            <w:r w:rsidRPr="004C0905">
              <w:rPr>
                <w:color w:val="000000"/>
                <w:szCs w:val="21"/>
                <w:lang w:eastAsia="en-AU"/>
              </w:rPr>
              <w:t xml:space="preserve">Constipation </w:t>
            </w:r>
            <w:r w:rsidR="00D337D2">
              <w:rPr>
                <w:color w:val="000000"/>
                <w:szCs w:val="21"/>
                <w:lang w:eastAsia="en-AU"/>
              </w:rPr>
              <w:t>related</w:t>
            </w:r>
            <w:r w:rsidR="00D337D2" w:rsidRPr="004C0905">
              <w:rPr>
                <w:color w:val="000000"/>
                <w:szCs w:val="21"/>
                <w:lang w:eastAsia="en-AU"/>
              </w:rPr>
              <w:t xml:space="preserve"> </w:t>
            </w:r>
            <w:r w:rsidRPr="004C0905">
              <w:rPr>
                <w:color w:val="000000"/>
                <w:szCs w:val="21"/>
                <w:lang w:eastAsia="en-AU"/>
              </w:rPr>
              <w:t>complications</w:t>
            </w:r>
          </w:p>
          <w:p w:rsidR="001129FF" w:rsidRPr="004C0905" w:rsidRDefault="001129FF" w:rsidP="004C0905">
            <w:pPr>
              <w:ind w:left="170" w:right="170"/>
              <w:rPr>
                <w:color w:val="000000"/>
                <w:szCs w:val="21"/>
                <w:lang w:eastAsia="en-AU"/>
              </w:rPr>
            </w:pPr>
            <w:r w:rsidRPr="004C0905">
              <w:rPr>
                <w:color w:val="000000"/>
                <w:szCs w:val="21"/>
                <w:lang w:eastAsia="en-AU"/>
              </w:rPr>
              <w:t>Convulsive reactions</w:t>
            </w:r>
          </w:p>
          <w:p w:rsidR="001129FF" w:rsidRPr="004C0905" w:rsidRDefault="001129FF" w:rsidP="004C0905">
            <w:pPr>
              <w:ind w:left="170" w:right="170"/>
              <w:rPr>
                <w:color w:val="000000"/>
                <w:szCs w:val="21"/>
                <w:lang w:eastAsia="en-AU"/>
              </w:rPr>
            </w:pPr>
            <w:r w:rsidRPr="004C0905">
              <w:rPr>
                <w:color w:val="000000"/>
                <w:szCs w:val="21"/>
                <w:lang w:eastAsia="en-AU"/>
              </w:rPr>
              <w:t>Liver transaminases increase</w:t>
            </w:r>
          </w:p>
          <w:p w:rsidR="001129FF" w:rsidRPr="004C0905" w:rsidRDefault="001129FF" w:rsidP="004C0905">
            <w:pPr>
              <w:ind w:left="170" w:right="170"/>
              <w:rPr>
                <w:color w:val="000000"/>
                <w:szCs w:val="21"/>
                <w:lang w:eastAsia="en-AU"/>
              </w:rPr>
            </w:pPr>
            <w:r w:rsidRPr="004C0905">
              <w:rPr>
                <w:color w:val="000000"/>
                <w:szCs w:val="21"/>
                <w:lang w:eastAsia="en-AU"/>
              </w:rPr>
              <w:t>Interactions with CYP3A4 inhibitors and inducers</w:t>
            </w:r>
          </w:p>
          <w:p w:rsidR="001129FF" w:rsidRPr="004C0905" w:rsidRDefault="001129FF" w:rsidP="004C0905">
            <w:pPr>
              <w:ind w:left="170" w:right="170"/>
              <w:rPr>
                <w:color w:val="000000"/>
                <w:szCs w:val="21"/>
                <w:lang w:eastAsia="en-AU"/>
              </w:rPr>
            </w:pPr>
            <w:r w:rsidRPr="004C0905">
              <w:rPr>
                <w:color w:val="000000"/>
                <w:szCs w:val="21"/>
                <w:lang w:eastAsia="en-AU"/>
              </w:rPr>
              <w:t>Interaction</w:t>
            </w:r>
            <w:r w:rsidR="0024267B">
              <w:rPr>
                <w:color w:val="000000"/>
                <w:szCs w:val="21"/>
                <w:lang w:eastAsia="en-AU"/>
              </w:rPr>
              <w:t xml:space="preserve"> </w:t>
            </w:r>
            <w:r w:rsidRPr="004C0905">
              <w:rPr>
                <w:color w:val="000000"/>
                <w:szCs w:val="21"/>
                <w:lang w:eastAsia="en-AU"/>
              </w:rPr>
              <w:t xml:space="preserve">with </w:t>
            </w:r>
            <w:proofErr w:type="spellStart"/>
            <w:r w:rsidRPr="004C0905">
              <w:rPr>
                <w:color w:val="000000"/>
                <w:szCs w:val="21"/>
                <w:lang w:eastAsia="en-AU"/>
              </w:rPr>
              <w:t>corticosteroicds</w:t>
            </w:r>
            <w:proofErr w:type="spellEnd"/>
          </w:p>
        </w:tc>
      </w:tr>
      <w:tr w:rsidR="001129FF" w:rsidTr="004C07F5">
        <w:trPr>
          <w:trHeight w:val="1486"/>
        </w:trPr>
        <w:tc>
          <w:tcPr>
            <w:tcW w:w="2803"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Missing information</w:t>
            </w:r>
          </w:p>
        </w:tc>
        <w:tc>
          <w:tcPr>
            <w:tcW w:w="5502" w:type="dxa"/>
            <w:shd w:val="clear" w:color="auto" w:fill="auto"/>
          </w:tcPr>
          <w:p w:rsidR="001129FF" w:rsidRPr="004C0905" w:rsidRDefault="001129FF" w:rsidP="004C0905">
            <w:pPr>
              <w:ind w:left="170" w:right="170"/>
              <w:rPr>
                <w:color w:val="000000"/>
                <w:szCs w:val="21"/>
                <w:lang w:eastAsia="en-AU"/>
              </w:rPr>
            </w:pPr>
            <w:r w:rsidRPr="004C0905">
              <w:rPr>
                <w:color w:val="000000"/>
                <w:szCs w:val="21"/>
                <w:lang w:eastAsia="en-AU"/>
              </w:rPr>
              <w:t>Effects on pregnancy and lactation</w:t>
            </w:r>
          </w:p>
          <w:p w:rsidR="001129FF" w:rsidRPr="004C0905" w:rsidRDefault="001129FF" w:rsidP="004C0905">
            <w:pPr>
              <w:ind w:left="170" w:right="170"/>
              <w:rPr>
                <w:color w:val="000000"/>
                <w:szCs w:val="21"/>
                <w:lang w:eastAsia="en-AU"/>
              </w:rPr>
            </w:pPr>
            <w:r w:rsidRPr="004C0905">
              <w:rPr>
                <w:color w:val="000000"/>
                <w:szCs w:val="21"/>
                <w:lang w:eastAsia="en-AU"/>
              </w:rPr>
              <w:t>Effects</w:t>
            </w:r>
            <w:r w:rsidR="0024267B">
              <w:rPr>
                <w:color w:val="000000"/>
                <w:szCs w:val="21"/>
                <w:lang w:eastAsia="en-AU"/>
              </w:rPr>
              <w:t xml:space="preserve"> </w:t>
            </w:r>
            <w:r w:rsidRPr="004C0905">
              <w:rPr>
                <w:color w:val="000000"/>
                <w:szCs w:val="21"/>
                <w:lang w:eastAsia="en-AU"/>
              </w:rPr>
              <w:t>on fertility</w:t>
            </w:r>
          </w:p>
          <w:p w:rsidR="001129FF" w:rsidRPr="004C0905" w:rsidRDefault="001129FF" w:rsidP="004C0905">
            <w:pPr>
              <w:ind w:left="170" w:right="170"/>
              <w:rPr>
                <w:color w:val="000000"/>
                <w:szCs w:val="21"/>
                <w:lang w:eastAsia="en-AU"/>
              </w:rPr>
            </w:pPr>
            <w:r w:rsidRPr="004C0905">
              <w:rPr>
                <w:color w:val="000000"/>
                <w:szCs w:val="21"/>
                <w:lang w:eastAsia="en-AU"/>
              </w:rPr>
              <w:t>Patients with end stage renal disease undergoing haemodialysis</w:t>
            </w:r>
          </w:p>
        </w:tc>
      </w:tr>
    </w:tbl>
    <w:p w:rsidR="008E7846" w:rsidRPr="00166326" w:rsidRDefault="008E7846" w:rsidP="008E7846">
      <w:pPr>
        <w:pStyle w:val="Heading4"/>
      </w:pPr>
      <w:r w:rsidRPr="00166326">
        <w:lastRenderedPageBreak/>
        <w:t xml:space="preserve">Pharmacovigilance </w:t>
      </w:r>
      <w:r w:rsidR="003A7F6C" w:rsidRPr="00166326">
        <w:t>p</w:t>
      </w:r>
      <w:r w:rsidRPr="00166326">
        <w:t>lan</w:t>
      </w:r>
    </w:p>
    <w:p w:rsidR="004A44A5" w:rsidRPr="00166326" w:rsidRDefault="004A44A5" w:rsidP="00166326">
      <w:r w:rsidRPr="00166326">
        <w:t xml:space="preserve">The </w:t>
      </w:r>
      <w:r w:rsidR="00791AE3" w:rsidRPr="00166326">
        <w:t>sponsor</w:t>
      </w:r>
      <w:r w:rsidRPr="00166326">
        <w:t xml:space="preserve"> proposes routine pharmacovigilance activities for all the ongoing safety concerns in the EU-RMP and the ASA. No additional</w:t>
      </w:r>
      <w:r w:rsidR="001129FF">
        <w:t xml:space="preserve"> pharmacovigilance is proposed.</w:t>
      </w:r>
    </w:p>
    <w:p w:rsidR="008E7846" w:rsidRPr="00166326" w:rsidRDefault="008E7846" w:rsidP="00166326">
      <w:pPr>
        <w:pStyle w:val="Heading4"/>
      </w:pPr>
      <w:r w:rsidRPr="00166326">
        <w:t xml:space="preserve">Risk </w:t>
      </w:r>
      <w:r w:rsidR="003A7F6C" w:rsidRPr="00166326">
        <w:t>m</w:t>
      </w:r>
      <w:r w:rsidRPr="00166326">
        <w:t xml:space="preserve">inimisation </w:t>
      </w:r>
      <w:r w:rsidR="003A7F6C" w:rsidRPr="00166326">
        <w:t>a</w:t>
      </w:r>
      <w:r w:rsidRPr="00166326">
        <w:t>ctivities</w:t>
      </w:r>
    </w:p>
    <w:p w:rsidR="004A44A5" w:rsidRPr="00166326" w:rsidRDefault="004A44A5" w:rsidP="00166326">
      <w:bookmarkStart w:id="138" w:name="_Toc247691527"/>
      <w:r w:rsidRPr="00166326">
        <w:t xml:space="preserve">Routine risk minimisation measures through the Product Information have been proposed by the </w:t>
      </w:r>
      <w:r w:rsidR="00791AE3" w:rsidRPr="00166326">
        <w:t>sponsor</w:t>
      </w:r>
      <w:r w:rsidR="00A66B1F" w:rsidRPr="00166326">
        <w:t xml:space="preserve"> for all </w:t>
      </w:r>
      <w:r w:rsidR="00EA5F9B" w:rsidRPr="00166326">
        <w:t>ongoing</w:t>
      </w:r>
      <w:r w:rsidR="001129FF">
        <w:t xml:space="preserve"> safety concerns.</w:t>
      </w:r>
    </w:p>
    <w:p w:rsidR="006F25B8" w:rsidRPr="00166326" w:rsidRDefault="006F25B8" w:rsidP="00166326">
      <w:pPr>
        <w:pStyle w:val="Heading4"/>
      </w:pPr>
      <w:r w:rsidRPr="00166326">
        <w:t>Reconciliation of is</w:t>
      </w:r>
      <w:r w:rsidR="001129FF">
        <w:t>sues outlined in the RMP report</w:t>
      </w:r>
    </w:p>
    <w:p w:rsidR="006F25B8" w:rsidRPr="00166326" w:rsidRDefault="00F5364C" w:rsidP="00166326">
      <w:r>
        <w:t>Table 9</w:t>
      </w:r>
      <w:r w:rsidR="00E756BE" w:rsidRPr="00166326">
        <w:t xml:space="preserve"> summarises the RMP evaluator’s</w:t>
      </w:r>
      <w:r w:rsidR="006F25B8" w:rsidRPr="00166326">
        <w:t xml:space="preserve"> first round evaluation of the RMP, the </w:t>
      </w:r>
      <w:r w:rsidR="00791AE3" w:rsidRPr="00166326">
        <w:t>sponsor’s</w:t>
      </w:r>
      <w:r w:rsidR="006F25B8" w:rsidRPr="00166326">
        <w:t xml:space="preserve"> respon</w:t>
      </w:r>
      <w:r w:rsidR="00E756BE" w:rsidRPr="00166326">
        <w:t>ses to issues raised and the RMP</w:t>
      </w:r>
      <w:r w:rsidR="006F25B8" w:rsidRPr="00166326">
        <w:t xml:space="preserve"> e</w:t>
      </w:r>
      <w:r w:rsidR="00E756BE" w:rsidRPr="00166326">
        <w:t>valuator’s evaluation</w:t>
      </w:r>
      <w:r w:rsidR="006F25B8" w:rsidRPr="00166326">
        <w:t xml:space="preserve"> of the </w:t>
      </w:r>
      <w:r w:rsidR="00791AE3" w:rsidRPr="00166326">
        <w:t>sponsor’s</w:t>
      </w:r>
      <w:r w:rsidR="006F25B8" w:rsidRPr="00166326">
        <w:t xml:space="preserve"> respo</w:t>
      </w:r>
      <w:r w:rsidR="004C07F5">
        <w:t>nses.</w:t>
      </w:r>
    </w:p>
    <w:p w:rsidR="004A44A5" w:rsidRDefault="001129FF" w:rsidP="00E756BE">
      <w:pPr>
        <w:pStyle w:val="TableTitle"/>
      </w:pPr>
      <w:proofErr w:type="gramStart"/>
      <w:r>
        <w:t xml:space="preserve">Table </w:t>
      </w:r>
      <w:r w:rsidR="00F5364C">
        <w:t>9</w:t>
      </w:r>
      <w:r>
        <w:t>.</w:t>
      </w:r>
      <w:proofErr w:type="gramEnd"/>
      <w:r w:rsidR="00E756BE">
        <w:t xml:space="preserve"> </w:t>
      </w:r>
      <w:r w:rsidR="004A44A5">
        <w:t>Reconciliation of issues outlined in the RMP report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44"/>
        <w:gridCol w:w="3826"/>
        <w:gridCol w:w="1950"/>
      </w:tblGrid>
      <w:tr w:rsidR="00424B91" w:rsidRPr="00F93A87" w:rsidTr="00680A60">
        <w:trPr>
          <w:tblHeader/>
          <w:jc w:val="center"/>
        </w:trPr>
        <w:tc>
          <w:tcPr>
            <w:tcW w:w="1688" w:type="pct"/>
            <w:tcBorders>
              <w:top w:val="single" w:sz="8" w:space="0" w:color="000000"/>
              <w:left w:val="single" w:sz="8" w:space="0" w:color="000000"/>
              <w:bottom w:val="single" w:sz="8" w:space="0" w:color="000000"/>
              <w:right w:val="nil"/>
              <w:tl2br w:val="nil"/>
              <w:tr2bl w:val="nil"/>
            </w:tcBorders>
            <w:shd w:val="clear" w:color="auto" w:fill="006DA7"/>
            <w:noWrap/>
            <w:hideMark/>
          </w:tcPr>
          <w:p w:rsidR="004A44A5" w:rsidRPr="00F93A87" w:rsidRDefault="004A44A5" w:rsidP="004C0905">
            <w:pPr>
              <w:keepNext/>
              <w:rPr>
                <w:b/>
                <w:color w:val="FFFFFF"/>
                <w:lang w:eastAsia="en-AU"/>
              </w:rPr>
            </w:pPr>
            <w:r w:rsidRPr="00F93A87">
              <w:rPr>
                <w:b/>
                <w:color w:val="FFFFFF"/>
                <w:lang w:eastAsia="en-AU"/>
              </w:rPr>
              <w:t>Recommendation in RMP evaluation report</w:t>
            </w:r>
          </w:p>
        </w:tc>
        <w:tc>
          <w:tcPr>
            <w:tcW w:w="2194" w:type="pct"/>
            <w:tcBorders>
              <w:top w:val="single" w:sz="8" w:space="0" w:color="000000"/>
              <w:left w:val="nil"/>
              <w:bottom w:val="single" w:sz="8" w:space="0" w:color="000000"/>
              <w:right w:val="nil"/>
              <w:tl2br w:val="nil"/>
              <w:tr2bl w:val="nil"/>
            </w:tcBorders>
            <w:shd w:val="clear" w:color="auto" w:fill="006DA7"/>
            <w:noWrap/>
          </w:tcPr>
          <w:p w:rsidR="004A44A5" w:rsidRPr="00F93A87" w:rsidRDefault="00F938DE" w:rsidP="004C0905">
            <w:pPr>
              <w:keepNext/>
              <w:rPr>
                <w:b/>
                <w:color w:val="FFFFFF"/>
                <w:lang w:eastAsia="en-AU"/>
              </w:rPr>
            </w:pPr>
            <w:r w:rsidRPr="00F93A87">
              <w:rPr>
                <w:b/>
                <w:color w:val="FFFFFF"/>
                <w:lang w:eastAsia="en-AU"/>
              </w:rPr>
              <w:t>S</w:t>
            </w:r>
            <w:r w:rsidR="00791AE3" w:rsidRPr="00F93A87">
              <w:rPr>
                <w:b/>
                <w:color w:val="FFFFFF"/>
                <w:lang w:eastAsia="en-AU"/>
              </w:rPr>
              <w:t>ponsor’s</w:t>
            </w:r>
            <w:r w:rsidR="001129FF" w:rsidRPr="00F93A87">
              <w:rPr>
                <w:b/>
                <w:color w:val="FFFFFF"/>
                <w:lang w:eastAsia="en-AU"/>
              </w:rPr>
              <w:t xml:space="preserve"> response</w:t>
            </w:r>
          </w:p>
        </w:tc>
        <w:tc>
          <w:tcPr>
            <w:tcW w:w="1118" w:type="pct"/>
            <w:tcBorders>
              <w:top w:val="single" w:sz="8" w:space="0" w:color="000000"/>
              <w:left w:val="nil"/>
              <w:bottom w:val="single" w:sz="8" w:space="0" w:color="000000"/>
              <w:right w:val="single" w:sz="8" w:space="0" w:color="000000"/>
              <w:tl2br w:val="nil"/>
              <w:tr2bl w:val="nil"/>
            </w:tcBorders>
            <w:shd w:val="clear" w:color="auto" w:fill="006DA7"/>
            <w:noWrap/>
            <w:hideMark/>
          </w:tcPr>
          <w:p w:rsidR="004A44A5" w:rsidRPr="00F93A87" w:rsidRDefault="004A44A5" w:rsidP="004C0905">
            <w:pPr>
              <w:keepNext/>
              <w:rPr>
                <w:b/>
                <w:color w:val="FFFFFF"/>
                <w:lang w:eastAsia="en-AU"/>
              </w:rPr>
            </w:pPr>
            <w:r w:rsidRPr="00F93A87">
              <w:rPr>
                <w:b/>
                <w:color w:val="FFFFFF"/>
                <w:lang w:eastAsia="en-AU"/>
              </w:rPr>
              <w:t xml:space="preserve">RMP </w:t>
            </w:r>
            <w:r w:rsidR="00142EBA" w:rsidRPr="00F93A87">
              <w:rPr>
                <w:b/>
                <w:color w:val="FFFFFF"/>
                <w:lang w:eastAsia="en-AU"/>
              </w:rPr>
              <w:t>evaluator</w:t>
            </w:r>
            <w:r w:rsidRPr="00F93A87">
              <w:rPr>
                <w:b/>
                <w:color w:val="FFFFFF"/>
                <w:lang w:eastAsia="en-AU"/>
              </w:rPr>
              <w:t>’s comment</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Safety considerations may be raised by the nonclinical and clinical </w:t>
            </w:r>
            <w:r w:rsidR="00142EBA" w:rsidRPr="00F93A87">
              <w:rPr>
                <w:color w:val="000000"/>
                <w:lang w:eastAsia="en-AU"/>
              </w:rPr>
              <w:t>evaluator</w:t>
            </w:r>
            <w:r w:rsidRPr="00F93A87">
              <w:rPr>
                <w:color w:val="000000"/>
                <w:lang w:eastAsia="en-AU"/>
              </w:rPr>
              <w:t xml:space="preserve">s through the consolidated request </w:t>
            </w:r>
            <w:r w:rsidR="001129FF" w:rsidRPr="00F93A87">
              <w:rPr>
                <w:color w:val="000000"/>
                <w:lang w:eastAsia="en-AU"/>
              </w:rPr>
              <w:t xml:space="preserve">for information </w:t>
            </w:r>
            <w:r w:rsidRPr="00F93A87">
              <w:rPr>
                <w:color w:val="000000"/>
                <w:lang w:eastAsia="en-AU"/>
              </w:rPr>
              <w:t xml:space="preserve">and/or the </w:t>
            </w:r>
            <w:r w:rsidR="001129FF" w:rsidRPr="00F93A87">
              <w:rPr>
                <w:color w:val="000000"/>
                <w:lang w:eastAsia="en-AU"/>
              </w:rPr>
              <w:t xml:space="preserve">nonclinical and clinical evaluation reports </w:t>
            </w:r>
            <w:r w:rsidRPr="00F93A87">
              <w:rPr>
                <w:color w:val="000000"/>
                <w:lang w:eastAsia="en-AU"/>
              </w:rPr>
              <w:t>respectively.</w:t>
            </w:r>
            <w:r w:rsidR="005F7FE0" w:rsidRPr="00F93A87">
              <w:rPr>
                <w:color w:val="000000"/>
                <w:lang w:eastAsia="en-AU"/>
              </w:rPr>
              <w:t xml:space="preserve"> </w:t>
            </w:r>
            <w:r w:rsidRPr="00F93A87">
              <w:rPr>
                <w:color w:val="000000"/>
                <w:lang w:eastAsia="en-AU"/>
              </w:rPr>
              <w:t xml:space="preserve">It is important to ensure that the information provided in response to these includes a consideration of the relevance for the </w:t>
            </w:r>
            <w:r w:rsidR="001129FF" w:rsidRPr="00F93A87">
              <w:rPr>
                <w:color w:val="000000"/>
                <w:lang w:eastAsia="en-AU"/>
              </w:rPr>
              <w:t>RMP</w:t>
            </w:r>
            <w:r w:rsidRPr="00F93A87">
              <w:rPr>
                <w:color w:val="000000"/>
                <w:lang w:eastAsia="en-AU"/>
              </w:rPr>
              <w:t>, and any specific information needed to address this issue in the RMP.</w:t>
            </w:r>
            <w:r w:rsidR="005F7FE0" w:rsidRPr="00F93A87">
              <w:rPr>
                <w:color w:val="000000"/>
                <w:lang w:eastAsia="en-AU"/>
              </w:rPr>
              <w:t xml:space="preserve"> </w:t>
            </w:r>
            <w:r w:rsidRPr="00F93A87">
              <w:rPr>
                <w:color w:val="000000"/>
                <w:lang w:eastAsia="en-AU"/>
              </w:rPr>
              <w:t xml:space="preserve">For any safety considerations so raised, the </w:t>
            </w:r>
            <w:r w:rsidR="00791AE3" w:rsidRPr="00F93A87">
              <w:rPr>
                <w:color w:val="000000"/>
                <w:lang w:eastAsia="en-AU"/>
              </w:rPr>
              <w:t>sponsor</w:t>
            </w:r>
            <w:r w:rsidRPr="00F93A87">
              <w:rPr>
                <w:color w:val="000000"/>
                <w:lang w:eastAsia="en-AU"/>
              </w:rPr>
              <w:t xml:space="preserve"> should provide information that is relevant and necessary to address the issue in the RMP.</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All safety considerations raised by the nonclinical and clinical </w:t>
            </w:r>
            <w:r w:rsidR="00142EBA" w:rsidRPr="00F93A87">
              <w:rPr>
                <w:color w:val="000000"/>
                <w:lang w:eastAsia="en-AU"/>
              </w:rPr>
              <w:t>evaluator</w:t>
            </w:r>
            <w:r w:rsidRPr="00F93A87">
              <w:rPr>
                <w:color w:val="000000"/>
                <w:lang w:eastAsia="en-AU"/>
              </w:rPr>
              <w:t>s, including requests made to the RMP, have been addressed in the fra</w:t>
            </w:r>
            <w:r w:rsidR="00E756BE" w:rsidRPr="00F93A87">
              <w:rPr>
                <w:color w:val="000000"/>
                <w:lang w:eastAsia="en-AU"/>
              </w:rPr>
              <w:t xml:space="preserve">mework of the responses to the </w:t>
            </w:r>
            <w:r w:rsidR="001129FF" w:rsidRPr="00F93A87">
              <w:rPr>
                <w:color w:val="000000"/>
                <w:lang w:eastAsia="en-AU"/>
              </w:rPr>
              <w:t>consolidated request for information</w:t>
            </w:r>
            <w:r w:rsidRPr="00F93A87">
              <w:rPr>
                <w:color w:val="000000"/>
                <w:lang w:eastAsia="en-AU"/>
              </w:rPr>
              <w:t>. The RMP response document clearly stipulates where the issue raised will have a future impact on the EU RMP and/or ASA.</w:t>
            </w:r>
          </w:p>
          <w:p w:rsidR="004A44A5" w:rsidRPr="00F93A87" w:rsidRDefault="004A44A5" w:rsidP="001129FF">
            <w:pPr>
              <w:rPr>
                <w:color w:val="000000"/>
                <w:lang w:eastAsia="en-AU"/>
              </w:rPr>
            </w:pPr>
            <w:r w:rsidRPr="00F93A87">
              <w:rPr>
                <w:color w:val="000000"/>
                <w:lang w:eastAsia="en-AU"/>
              </w:rPr>
              <w:t xml:space="preserve">Moreover, any safety concerns that have an impact on the </w:t>
            </w:r>
            <w:r w:rsidR="001129FF" w:rsidRPr="00F93A87">
              <w:rPr>
                <w:color w:val="000000"/>
                <w:lang w:eastAsia="en-AU"/>
              </w:rPr>
              <w:t>RMP</w:t>
            </w:r>
            <w:r w:rsidRPr="00F93A87">
              <w:rPr>
                <w:color w:val="000000"/>
                <w:lang w:eastAsia="en-AU"/>
              </w:rPr>
              <w:t xml:space="preserve"> will be addressed in the EU RMP and/or ASA, according to the timelines specified below:</w:t>
            </w:r>
          </w:p>
          <w:p w:rsidR="004A44A5" w:rsidRPr="00F93A87" w:rsidRDefault="004A44A5" w:rsidP="001129FF">
            <w:pPr>
              <w:rPr>
                <w:color w:val="000000"/>
                <w:lang w:eastAsia="en-AU"/>
              </w:rPr>
            </w:pPr>
            <w:r w:rsidRPr="00F93A87">
              <w:rPr>
                <w:color w:val="000000"/>
                <w:lang w:eastAsia="en-AU"/>
              </w:rPr>
              <w:t>The EU-RMP will be updated in June 2015 as soon as the currently ongoing EU evaluation procedures are completed, and the final</w:t>
            </w:r>
            <w:r w:rsidR="003802E6" w:rsidRPr="00F93A87">
              <w:rPr>
                <w:color w:val="000000"/>
                <w:lang w:eastAsia="en-AU"/>
              </w:rPr>
              <w:t xml:space="preserve"> opinion is adopted by the CHMP.</w:t>
            </w:r>
          </w:p>
          <w:p w:rsidR="004A44A5" w:rsidRPr="00F93A87" w:rsidRDefault="004A44A5" w:rsidP="001129FF">
            <w:pPr>
              <w:rPr>
                <w:color w:val="000000"/>
                <w:lang w:eastAsia="en-AU"/>
              </w:rPr>
            </w:pPr>
            <w:r w:rsidRPr="00F93A87">
              <w:rPr>
                <w:color w:val="000000"/>
                <w:lang w:eastAsia="en-AU"/>
              </w:rPr>
              <w:t>An updated ASA will be provided to the TGA after the final PI negotiations for this evaluation have taken place (anticipated June/July 2015), and/or after the EU RMP is updated to the next version in June 2015.</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The </w:t>
            </w:r>
            <w:r w:rsidR="00791AE3" w:rsidRPr="00F93A87">
              <w:rPr>
                <w:color w:val="000000"/>
                <w:lang w:eastAsia="en-AU"/>
              </w:rPr>
              <w:t>sponsor’s</w:t>
            </w:r>
            <w:r w:rsidRPr="00F93A87">
              <w:rPr>
                <w:color w:val="000000"/>
                <w:lang w:eastAsia="en-AU"/>
              </w:rPr>
              <w:t xml:space="preserve"> response is satisfactory.</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A90D0A">
            <w:pPr>
              <w:rPr>
                <w:color w:val="000000"/>
                <w:lang w:eastAsia="en-AU"/>
              </w:rPr>
            </w:pPr>
            <w:r w:rsidRPr="00F93A87">
              <w:rPr>
                <w:color w:val="000000"/>
                <w:lang w:eastAsia="en-AU"/>
              </w:rPr>
              <w:t>Subject to the</w:t>
            </w:r>
            <w:r w:rsidR="009A17E5" w:rsidRPr="00F93A87">
              <w:rPr>
                <w:color w:val="000000"/>
                <w:lang w:eastAsia="en-AU"/>
              </w:rPr>
              <w:t xml:space="preserve"> evaluation outcomes of the non</w:t>
            </w:r>
            <w:r w:rsidRPr="00F93A87">
              <w:rPr>
                <w:color w:val="000000"/>
                <w:lang w:eastAsia="en-AU"/>
              </w:rPr>
              <w:t xml:space="preserve">clinical and clinical aspects of the </w:t>
            </w:r>
            <w:r w:rsidR="00A90D0A" w:rsidRPr="00F93A87">
              <w:rPr>
                <w:color w:val="000000"/>
                <w:lang w:eastAsia="en-AU"/>
              </w:rPr>
              <w:t>safety specification</w:t>
            </w:r>
            <w:r w:rsidRPr="00F93A87">
              <w:rPr>
                <w:color w:val="000000"/>
                <w:lang w:eastAsia="en-AU"/>
              </w:rPr>
              <w:t>, it is recommended that the identified class effects of ‘QT/</w:t>
            </w:r>
            <w:proofErr w:type="spellStart"/>
            <w:r w:rsidRPr="00F93A87">
              <w:rPr>
                <w:color w:val="000000"/>
                <w:lang w:eastAsia="en-AU"/>
              </w:rPr>
              <w:t>QTc</w:t>
            </w:r>
            <w:proofErr w:type="spellEnd"/>
            <w:r w:rsidRPr="00F93A87">
              <w:rPr>
                <w:color w:val="000000"/>
                <w:lang w:eastAsia="en-AU"/>
              </w:rPr>
              <w:t xml:space="preserve"> interval prolongation’ and ‘anaphylaxis, anaphylactic/anaphylactic reaction and shock’ be upgraded to ‘importan</w:t>
            </w:r>
            <w:r w:rsidR="009A17E5" w:rsidRPr="00F93A87">
              <w:rPr>
                <w:color w:val="000000"/>
                <w:lang w:eastAsia="en-AU"/>
              </w:rPr>
              <w:t>t identified risks’ in the ASA.</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tcPr>
          <w:p w:rsidR="004A44A5" w:rsidRPr="00F93A87" w:rsidRDefault="004A44A5" w:rsidP="001129FF">
            <w:pPr>
              <w:rPr>
                <w:color w:val="000000"/>
                <w:lang w:eastAsia="en-AU"/>
              </w:rPr>
            </w:pPr>
            <w:r w:rsidRPr="00F93A87">
              <w:rPr>
                <w:color w:val="000000"/>
                <w:lang w:eastAsia="en-AU"/>
              </w:rPr>
              <w:t xml:space="preserve">The spectrum of the most severe forms of </w:t>
            </w:r>
            <w:r w:rsidR="009A17E5" w:rsidRPr="00F93A87">
              <w:rPr>
                <w:color w:val="000000"/>
                <w:lang w:eastAsia="en-AU"/>
              </w:rPr>
              <w:t>drug induced</w:t>
            </w:r>
            <w:r w:rsidRPr="00F93A87">
              <w:rPr>
                <w:color w:val="000000"/>
                <w:lang w:eastAsia="en-AU"/>
              </w:rPr>
              <w:t xml:space="preserve"> hypersensitivity reactions, </w:t>
            </w:r>
            <w:r w:rsidR="009A17E5" w:rsidRPr="00F93A87">
              <w:rPr>
                <w:color w:val="000000"/>
                <w:lang w:eastAsia="en-AU"/>
              </w:rPr>
              <w:t xml:space="preserve">which includes potentially life </w:t>
            </w:r>
            <w:r w:rsidRPr="00F93A87">
              <w:rPr>
                <w:color w:val="000000"/>
                <w:lang w:eastAsia="en-AU"/>
              </w:rPr>
              <w:t xml:space="preserve">threatening conditions such as anaphylaxis, </w:t>
            </w:r>
            <w:proofErr w:type="spellStart"/>
            <w:r w:rsidRPr="00F93A87">
              <w:rPr>
                <w:color w:val="000000"/>
                <w:lang w:eastAsia="en-AU"/>
              </w:rPr>
              <w:t>naphylactic</w:t>
            </w:r>
            <w:proofErr w:type="spellEnd"/>
            <w:r w:rsidRPr="00F93A87">
              <w:rPr>
                <w:color w:val="000000"/>
                <w:lang w:eastAsia="en-AU"/>
              </w:rPr>
              <w:t>/</w:t>
            </w:r>
            <w:proofErr w:type="spellStart"/>
            <w:r w:rsidRPr="00F93A87">
              <w:rPr>
                <w:color w:val="000000"/>
                <w:lang w:eastAsia="en-AU"/>
              </w:rPr>
              <w:t>anaphylactoid</w:t>
            </w:r>
            <w:proofErr w:type="spellEnd"/>
            <w:r w:rsidRPr="00F93A87">
              <w:rPr>
                <w:color w:val="000000"/>
                <w:lang w:eastAsia="en-AU"/>
              </w:rPr>
              <w:t xml:space="preserve"> reactions and shock, represents a major concern.</w:t>
            </w:r>
          </w:p>
          <w:p w:rsidR="004A44A5" w:rsidRPr="00F93A87" w:rsidRDefault="004A44A5" w:rsidP="001129FF">
            <w:pPr>
              <w:rPr>
                <w:color w:val="000000"/>
                <w:lang w:eastAsia="en-AU"/>
              </w:rPr>
            </w:pPr>
            <w:r w:rsidRPr="00F93A87">
              <w:rPr>
                <w:color w:val="000000"/>
                <w:lang w:eastAsia="en-AU"/>
              </w:rPr>
              <w:t>The occurrence of these reactions after intravenous palonos</w:t>
            </w:r>
            <w:r w:rsidR="00F239E2" w:rsidRPr="00F93A87">
              <w:rPr>
                <w:color w:val="000000"/>
                <w:lang w:eastAsia="en-AU"/>
              </w:rPr>
              <w:t xml:space="preserve">etron exposure is very limited; </w:t>
            </w:r>
            <w:proofErr w:type="spellStart"/>
            <w:r w:rsidRPr="00F93A87">
              <w:rPr>
                <w:color w:val="000000"/>
                <w:lang w:eastAsia="en-AU"/>
              </w:rPr>
              <w:t>postmarketing</w:t>
            </w:r>
            <w:proofErr w:type="spellEnd"/>
            <w:r w:rsidRPr="00F93A87">
              <w:rPr>
                <w:color w:val="000000"/>
                <w:lang w:eastAsia="en-AU"/>
              </w:rPr>
              <w:t xml:space="preserve"> data collected show that spontaneous cases of severe hypersensitivity reactions have been reported to happen very rarely </w:t>
            </w:r>
            <w:r w:rsidRPr="00F93A87">
              <w:rPr>
                <w:color w:val="000000"/>
                <w:lang w:eastAsia="en-AU"/>
              </w:rPr>
              <w:lastRenderedPageBreak/>
              <w:t>following palonosetron administration.</w:t>
            </w:r>
          </w:p>
          <w:p w:rsidR="004A44A5" w:rsidRPr="00F93A87" w:rsidRDefault="004A44A5" w:rsidP="001129FF">
            <w:pPr>
              <w:rPr>
                <w:color w:val="000000"/>
                <w:lang w:eastAsia="en-AU"/>
              </w:rPr>
            </w:pPr>
            <w:r w:rsidRPr="00F93A87">
              <w:rPr>
                <w:color w:val="000000"/>
                <w:lang w:eastAsia="en-AU"/>
              </w:rPr>
              <w:t>No event of severe hypersensitivity reaction, including anaphylaxis or similar reactions (anaphylactic/</w:t>
            </w:r>
            <w:proofErr w:type="spellStart"/>
            <w:r w:rsidRPr="00F93A87">
              <w:rPr>
                <w:color w:val="000000"/>
                <w:lang w:eastAsia="en-AU"/>
              </w:rPr>
              <w:t>anaphylactoid</w:t>
            </w:r>
            <w:proofErr w:type="spellEnd"/>
            <w:r w:rsidRPr="00F93A87">
              <w:rPr>
                <w:color w:val="000000"/>
                <w:lang w:eastAsia="en-AU"/>
              </w:rPr>
              <w:t xml:space="preserve"> reactions and shock) occurred in the netupitant/palonosetron </w:t>
            </w:r>
            <w:r w:rsidR="009A17E5" w:rsidRPr="00F93A87">
              <w:rPr>
                <w:color w:val="000000"/>
                <w:lang w:eastAsia="en-AU"/>
              </w:rPr>
              <w:t>FDC</w:t>
            </w:r>
            <w:r w:rsidRPr="00F93A87">
              <w:rPr>
                <w:color w:val="000000"/>
                <w:lang w:eastAsia="en-AU"/>
              </w:rPr>
              <w:t xml:space="preserve"> clinical development phase. However, the potential risk of severe reactions due to its use in the post-marketing setting cannot be ruled out.</w:t>
            </w:r>
          </w:p>
          <w:p w:rsidR="004A44A5" w:rsidRPr="00F93A87" w:rsidRDefault="004A44A5" w:rsidP="001129FF">
            <w:pPr>
              <w:rPr>
                <w:color w:val="000000"/>
                <w:lang w:eastAsia="en-AU"/>
              </w:rPr>
            </w:pPr>
            <w:r w:rsidRPr="00F93A87">
              <w:rPr>
                <w:color w:val="000000"/>
                <w:lang w:eastAsia="en-AU"/>
              </w:rPr>
              <w:t xml:space="preserve">The safety concern relating to the onset of such severe hypersensitivity reactions has been considered in the </w:t>
            </w:r>
            <w:r w:rsidR="009A17E5" w:rsidRPr="00F93A87">
              <w:rPr>
                <w:color w:val="000000"/>
                <w:lang w:eastAsia="en-AU"/>
              </w:rPr>
              <w:t>RMP</w:t>
            </w:r>
            <w:r w:rsidRPr="00F93A87">
              <w:rPr>
                <w:color w:val="000000"/>
                <w:lang w:eastAsia="en-AU"/>
              </w:rPr>
              <w:t xml:space="preserve"> of </w:t>
            </w:r>
            <w:r w:rsidR="00C51742" w:rsidRPr="00F93A87">
              <w:rPr>
                <w:color w:val="000000"/>
                <w:lang w:eastAsia="en-AU"/>
              </w:rPr>
              <w:t>Akynzeo</w:t>
            </w:r>
            <w:r w:rsidRPr="00F93A87">
              <w:rPr>
                <w:color w:val="000000"/>
                <w:lang w:eastAsia="en-AU"/>
              </w:rPr>
              <w:t xml:space="preserve"> as</w:t>
            </w:r>
            <w:r w:rsidR="00A47416" w:rsidRPr="00F93A87">
              <w:rPr>
                <w:color w:val="000000"/>
                <w:lang w:eastAsia="en-AU"/>
              </w:rPr>
              <w:t xml:space="preserve"> an ‘important potential risk’</w:t>
            </w:r>
            <w:r w:rsidR="00E756BE" w:rsidRPr="00F93A87">
              <w:rPr>
                <w:color w:val="000000"/>
                <w:lang w:eastAsia="en-AU"/>
              </w:rPr>
              <w:t>;</w:t>
            </w:r>
            <w:r w:rsidR="009A17E5" w:rsidRPr="00F93A87">
              <w:rPr>
                <w:color w:val="000000"/>
                <w:lang w:eastAsia="en-AU"/>
              </w:rPr>
              <w:t xml:space="preserve"> </w:t>
            </w:r>
            <w:r w:rsidRPr="00F93A87">
              <w:rPr>
                <w:color w:val="000000"/>
                <w:lang w:eastAsia="en-AU"/>
              </w:rPr>
              <w:t xml:space="preserve">however </w:t>
            </w:r>
            <w:proofErr w:type="spellStart"/>
            <w:r w:rsidRPr="00F93A87">
              <w:rPr>
                <w:color w:val="000000"/>
                <w:lang w:eastAsia="en-AU"/>
              </w:rPr>
              <w:t>Helsinn</w:t>
            </w:r>
            <w:proofErr w:type="spellEnd"/>
            <w:r w:rsidRPr="00F93A87">
              <w:rPr>
                <w:color w:val="000000"/>
                <w:lang w:eastAsia="en-AU"/>
              </w:rPr>
              <w:t>, the originator of the FDC, concurs with TGA recommendation to upgrade the afor</w:t>
            </w:r>
            <w:r w:rsidR="00A47416" w:rsidRPr="00F93A87">
              <w:rPr>
                <w:color w:val="000000"/>
                <w:lang w:eastAsia="en-AU"/>
              </w:rPr>
              <w:t>ementioned severe reactions to ‘important identified risks’</w:t>
            </w:r>
            <w:r w:rsidRPr="00F93A87">
              <w:rPr>
                <w:color w:val="000000"/>
                <w:lang w:eastAsia="en-AU"/>
              </w:rPr>
              <w:t>. This update is expected to be</w:t>
            </w:r>
            <w:r w:rsidR="009A17E5" w:rsidRPr="00F93A87">
              <w:rPr>
                <w:color w:val="000000"/>
                <w:lang w:eastAsia="en-AU"/>
              </w:rPr>
              <w:t xml:space="preserve"> implemented in the EU RMP post </w:t>
            </w:r>
            <w:r w:rsidRPr="00F93A87">
              <w:rPr>
                <w:color w:val="000000"/>
                <w:lang w:eastAsia="en-AU"/>
              </w:rPr>
              <w:t>approval in Europe (June 2015), and the ASA will be updated accordingly at that time.</w:t>
            </w:r>
          </w:p>
          <w:p w:rsidR="004A44A5" w:rsidRPr="00F93A87" w:rsidRDefault="004A44A5" w:rsidP="001129FF">
            <w:pPr>
              <w:rPr>
                <w:color w:val="000000"/>
                <w:lang w:eastAsia="en-AU"/>
              </w:rPr>
            </w:pPr>
            <w:r w:rsidRPr="00F93A87">
              <w:rPr>
                <w:color w:val="000000"/>
                <w:lang w:eastAsia="en-AU"/>
              </w:rPr>
              <w:t>Regarding the safety issue</w:t>
            </w:r>
            <w:r w:rsidR="00A47416" w:rsidRPr="00F93A87">
              <w:rPr>
                <w:color w:val="000000"/>
                <w:lang w:eastAsia="en-AU"/>
              </w:rPr>
              <w:t xml:space="preserve"> of ‘QT/</w:t>
            </w:r>
            <w:proofErr w:type="spellStart"/>
            <w:r w:rsidR="00A47416" w:rsidRPr="00F93A87">
              <w:rPr>
                <w:color w:val="000000"/>
                <w:lang w:eastAsia="en-AU"/>
              </w:rPr>
              <w:t>QTc</w:t>
            </w:r>
            <w:proofErr w:type="spellEnd"/>
            <w:r w:rsidR="00A47416" w:rsidRPr="00F93A87">
              <w:rPr>
                <w:color w:val="000000"/>
                <w:lang w:eastAsia="en-AU"/>
              </w:rPr>
              <w:t xml:space="preserve"> prolongation’</w:t>
            </w:r>
            <w:r w:rsidRPr="00F93A87">
              <w:rPr>
                <w:color w:val="000000"/>
                <w:lang w:eastAsia="en-AU"/>
              </w:rPr>
              <w:t xml:space="preserve">: for the </w:t>
            </w:r>
            <w:r w:rsidR="000C31A3" w:rsidRPr="00F93A87">
              <w:rPr>
                <w:color w:val="000000"/>
                <w:lang w:eastAsia="en-AU"/>
              </w:rPr>
              <w:t>5-HT</w:t>
            </w:r>
            <w:r w:rsidR="000C31A3" w:rsidRPr="00F93A87">
              <w:rPr>
                <w:color w:val="000000"/>
                <w:vertAlign w:val="subscript"/>
                <w:lang w:eastAsia="en-AU"/>
              </w:rPr>
              <w:t>3</w:t>
            </w:r>
            <w:r w:rsidRPr="00F93A87">
              <w:rPr>
                <w:color w:val="000000"/>
                <w:lang w:eastAsia="en-AU"/>
              </w:rPr>
              <w:t xml:space="preserve"> RAs, prolongation of the QT interval appears to be a class effect. Re</w:t>
            </w:r>
            <w:r w:rsidR="00A47416" w:rsidRPr="00F93A87">
              <w:rPr>
                <w:color w:val="000000"/>
                <w:lang w:eastAsia="en-AU"/>
              </w:rPr>
              <w:t>sults of the ICH E14 compliant T</w:t>
            </w:r>
            <w:r w:rsidRPr="00F93A87">
              <w:rPr>
                <w:color w:val="000000"/>
                <w:lang w:eastAsia="en-AU"/>
              </w:rPr>
              <w:t xml:space="preserve">horough </w:t>
            </w:r>
            <w:proofErr w:type="spellStart"/>
            <w:r w:rsidRPr="00F93A87">
              <w:rPr>
                <w:color w:val="000000"/>
                <w:lang w:eastAsia="en-AU"/>
              </w:rPr>
              <w:t>QTc</w:t>
            </w:r>
            <w:proofErr w:type="spellEnd"/>
            <w:r w:rsidRPr="00F93A87">
              <w:rPr>
                <w:color w:val="000000"/>
                <w:lang w:eastAsia="en-AU"/>
              </w:rPr>
              <w:t xml:space="preserve"> study in healthy subjects receiving palonosetron escal</w:t>
            </w:r>
            <w:r w:rsidR="009A17E5" w:rsidRPr="00F93A87">
              <w:rPr>
                <w:color w:val="000000"/>
                <w:lang w:eastAsia="en-AU"/>
              </w:rPr>
              <w:t xml:space="preserve">ating IV doses up to 2.25 mg (9 </w:t>
            </w:r>
            <w:r w:rsidRPr="00F93A87">
              <w:rPr>
                <w:color w:val="000000"/>
                <w:lang w:eastAsia="en-AU"/>
              </w:rPr>
              <w:t>fold higher than the marketed dosag</w:t>
            </w:r>
            <w:r w:rsidR="009A17E5" w:rsidRPr="00F93A87">
              <w:rPr>
                <w:color w:val="000000"/>
                <w:lang w:eastAsia="en-AU"/>
              </w:rPr>
              <w:t>e of 0.25 </w:t>
            </w:r>
            <w:r w:rsidR="00F239E2" w:rsidRPr="00F93A87">
              <w:rPr>
                <w:color w:val="000000"/>
                <w:lang w:eastAsia="en-AU"/>
              </w:rPr>
              <w:t>mg), demonstrated no ‘</w:t>
            </w:r>
            <w:r w:rsidRPr="00F93A87">
              <w:rPr>
                <w:color w:val="000000"/>
                <w:lang w:eastAsia="en-AU"/>
              </w:rPr>
              <w:t>clinically relevant pr</w:t>
            </w:r>
            <w:r w:rsidR="00F239E2" w:rsidRPr="00F93A87">
              <w:rPr>
                <w:color w:val="000000"/>
                <w:lang w:eastAsia="en-AU"/>
              </w:rPr>
              <w:t xml:space="preserve">olongation of the </w:t>
            </w:r>
            <w:proofErr w:type="spellStart"/>
            <w:r w:rsidR="00F239E2" w:rsidRPr="00F93A87">
              <w:rPr>
                <w:color w:val="000000"/>
                <w:lang w:eastAsia="en-AU"/>
              </w:rPr>
              <w:t>QTc</w:t>
            </w:r>
            <w:proofErr w:type="spellEnd"/>
            <w:r w:rsidR="00F239E2" w:rsidRPr="00F93A87">
              <w:rPr>
                <w:color w:val="000000"/>
                <w:lang w:eastAsia="en-AU"/>
              </w:rPr>
              <w:t xml:space="preserve"> interval’</w:t>
            </w:r>
            <w:r w:rsidRPr="00F93A87">
              <w:rPr>
                <w:color w:val="000000"/>
                <w:lang w:eastAsia="en-AU"/>
              </w:rPr>
              <w:t xml:space="preserve"> These results are reflected in the </w:t>
            </w:r>
            <w:proofErr w:type="spellStart"/>
            <w:r w:rsidR="00A47416" w:rsidRPr="00F93A87">
              <w:rPr>
                <w:color w:val="000000"/>
                <w:lang w:eastAsia="en-AU"/>
              </w:rPr>
              <w:t>Aloxi</w:t>
            </w:r>
            <w:proofErr w:type="spellEnd"/>
            <w:r w:rsidRPr="00F93A87">
              <w:rPr>
                <w:color w:val="000000"/>
                <w:lang w:eastAsia="en-AU"/>
              </w:rPr>
              <w:t xml:space="preserve"> PI approved by TGA.</w:t>
            </w:r>
          </w:p>
          <w:p w:rsidR="004A44A5" w:rsidRPr="00F93A87" w:rsidRDefault="004A44A5" w:rsidP="001129FF">
            <w:pPr>
              <w:rPr>
                <w:color w:val="000000"/>
                <w:lang w:eastAsia="en-AU"/>
              </w:rPr>
            </w:pPr>
            <w:r w:rsidRPr="00F93A87">
              <w:rPr>
                <w:color w:val="000000"/>
                <w:lang w:eastAsia="en-AU"/>
              </w:rPr>
              <w:t xml:space="preserve">Furthermore, a total of 3 individual spontaneous case reports of QT interval prolongation were notified to the </w:t>
            </w:r>
            <w:r w:rsidR="00791AE3" w:rsidRPr="00F93A87">
              <w:rPr>
                <w:color w:val="000000"/>
                <w:lang w:eastAsia="en-AU"/>
              </w:rPr>
              <w:t>sponsor</w:t>
            </w:r>
            <w:r w:rsidRPr="00F93A87">
              <w:rPr>
                <w:color w:val="000000"/>
                <w:lang w:eastAsia="en-AU"/>
              </w:rPr>
              <w:t xml:space="preserve"> over a period of more than 10 years of use, namely starting from September 2003, the date of palonosetron commercialisation, up to 24 July 2014 (the data lock point of the last </w:t>
            </w:r>
            <w:r w:rsidR="006C0C01" w:rsidRPr="00F93A87">
              <w:rPr>
                <w:color w:val="000000"/>
                <w:lang w:eastAsia="en-AU"/>
              </w:rPr>
              <w:t>Periodic Safety Update Report (</w:t>
            </w:r>
            <w:r w:rsidRPr="00F93A87">
              <w:rPr>
                <w:color w:val="000000"/>
                <w:lang w:eastAsia="en-AU"/>
              </w:rPr>
              <w:t>PSUR</w:t>
            </w:r>
            <w:r w:rsidR="006C0C01" w:rsidRPr="00F93A87">
              <w:rPr>
                <w:color w:val="000000"/>
                <w:lang w:eastAsia="en-AU"/>
              </w:rPr>
              <w:t>)</w:t>
            </w:r>
            <w:r w:rsidRPr="00F93A87">
              <w:rPr>
                <w:color w:val="000000"/>
                <w:lang w:eastAsia="en-AU"/>
              </w:rPr>
              <w:t>/</w:t>
            </w:r>
            <w:r w:rsidR="006C0C01" w:rsidRPr="00F93A87">
              <w:rPr>
                <w:color w:val="000000"/>
                <w:lang w:eastAsia="en-AU"/>
              </w:rPr>
              <w:t>Periodic Benefit-Risk Evaluation Report (</w:t>
            </w:r>
            <w:r w:rsidRPr="00F93A87">
              <w:rPr>
                <w:color w:val="000000"/>
                <w:lang w:eastAsia="en-AU"/>
              </w:rPr>
              <w:t xml:space="preserve">PBRER). Two of these cases were considered possibly related to palonosetron (mainly due to timing of event), while the remaining case could not be thoroughly assessed due to the limited available information. Nevertheless, all the cases are confounded by factors such as concomitant treatment with </w:t>
            </w:r>
            <w:r w:rsidRPr="00F93A87">
              <w:rPr>
                <w:color w:val="000000"/>
                <w:lang w:eastAsia="en-AU"/>
              </w:rPr>
              <w:lastRenderedPageBreak/>
              <w:t>chemotherapy or anaesthetics.</w:t>
            </w:r>
          </w:p>
          <w:p w:rsidR="004A44A5" w:rsidRPr="00F93A87" w:rsidRDefault="004A44A5" w:rsidP="001129FF">
            <w:pPr>
              <w:rPr>
                <w:color w:val="000000"/>
                <w:lang w:eastAsia="en-AU"/>
              </w:rPr>
            </w:pPr>
            <w:r w:rsidRPr="00F93A87">
              <w:rPr>
                <w:color w:val="000000"/>
                <w:lang w:eastAsia="en-AU"/>
              </w:rPr>
              <w:t>Concerning</w:t>
            </w:r>
            <w:r w:rsidR="001D15FE" w:rsidRPr="00F93A87">
              <w:rPr>
                <w:color w:val="000000"/>
                <w:lang w:eastAsia="en-AU"/>
              </w:rPr>
              <w:t xml:space="preserve"> the fixed dose combination, a T</w:t>
            </w:r>
            <w:r w:rsidRPr="00F93A87">
              <w:rPr>
                <w:color w:val="000000"/>
                <w:lang w:eastAsia="en-AU"/>
              </w:rPr>
              <w:t xml:space="preserve">horough ICH E14 study (NETU 07-20) conducted in 200 adult male and female healthy volunteers on netupitant (200 and 600 mg) orally administered with palonosetron (0.5 and 1.5 mg) demonstrated that </w:t>
            </w:r>
            <w:r w:rsidR="00C51742" w:rsidRPr="00F93A87">
              <w:rPr>
                <w:color w:val="000000"/>
                <w:lang w:eastAsia="en-AU"/>
              </w:rPr>
              <w:t>Akynzeo</w:t>
            </w:r>
            <w:r w:rsidRPr="00F93A87">
              <w:rPr>
                <w:color w:val="000000"/>
                <w:lang w:eastAsia="en-AU"/>
              </w:rPr>
              <w:t xml:space="preserve"> had no clinically important effects on ECG parameters. The ECG data analyses including a pharmacodynamic-pharmacokinetic (PD-PK) analysis showed no effects on cardiac repolarization.</w:t>
            </w:r>
          </w:p>
          <w:p w:rsidR="004A44A5" w:rsidRPr="00F93A87" w:rsidRDefault="004A44A5" w:rsidP="001129FF">
            <w:pPr>
              <w:rPr>
                <w:color w:val="000000"/>
                <w:lang w:eastAsia="en-AU"/>
              </w:rPr>
            </w:pPr>
            <w:r w:rsidRPr="00F93A87">
              <w:rPr>
                <w:color w:val="000000"/>
                <w:lang w:eastAsia="en-AU"/>
              </w:rPr>
              <w:t xml:space="preserve">In conformity with the submitted EU RMP for </w:t>
            </w:r>
            <w:r w:rsidR="00C51742" w:rsidRPr="00F93A87">
              <w:rPr>
                <w:color w:val="000000"/>
                <w:lang w:eastAsia="en-AU"/>
              </w:rPr>
              <w:t>Akynzeo</w:t>
            </w:r>
            <w:r w:rsidRPr="00F93A87">
              <w:rPr>
                <w:color w:val="000000"/>
                <w:lang w:eastAsia="en-AU"/>
              </w:rPr>
              <w:t xml:space="preserve">, the </w:t>
            </w:r>
            <w:r w:rsidR="00791AE3" w:rsidRPr="00F93A87">
              <w:rPr>
                <w:color w:val="000000"/>
                <w:lang w:eastAsia="en-AU"/>
              </w:rPr>
              <w:t>sponsor</w:t>
            </w:r>
            <w:r w:rsidR="00A47416" w:rsidRPr="00F93A87">
              <w:rPr>
                <w:color w:val="000000"/>
                <w:lang w:eastAsia="en-AU"/>
              </w:rPr>
              <w:t xml:space="preserve"> proposes to maintain ‘QT/</w:t>
            </w:r>
            <w:proofErr w:type="spellStart"/>
            <w:r w:rsidR="00A47416" w:rsidRPr="00F93A87">
              <w:rPr>
                <w:color w:val="000000"/>
                <w:lang w:eastAsia="en-AU"/>
              </w:rPr>
              <w:t>QTc</w:t>
            </w:r>
            <w:proofErr w:type="spellEnd"/>
            <w:r w:rsidR="00A47416" w:rsidRPr="00F93A87">
              <w:rPr>
                <w:color w:val="000000"/>
                <w:lang w:eastAsia="en-AU"/>
              </w:rPr>
              <w:t xml:space="preserve"> prolongation’</w:t>
            </w:r>
            <w:r w:rsidRPr="00F93A87">
              <w:rPr>
                <w:color w:val="000000"/>
                <w:lang w:eastAsia="en-AU"/>
              </w:rPr>
              <w:t xml:space="preserve"> as an important potential risk at this time.</w:t>
            </w:r>
          </w:p>
          <w:p w:rsidR="004A44A5" w:rsidRPr="00F93A87" w:rsidRDefault="004A44A5" w:rsidP="001129FF">
            <w:pPr>
              <w:rPr>
                <w:color w:val="000000"/>
                <w:lang w:eastAsia="en-AU"/>
              </w:rPr>
            </w:pPr>
            <w:r w:rsidRPr="00F93A87">
              <w:rPr>
                <w:color w:val="000000"/>
                <w:lang w:eastAsia="en-AU"/>
              </w:rPr>
              <w:t>Additional data from individual spontaneous case reports will further elucidate this potential safety concern and will be reviewed to establish whether this categorisation needs to be changed.</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sponsor’s</w:t>
            </w:r>
            <w:r w:rsidR="009A17E5"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Serotonin syndrome shoul</w:t>
            </w:r>
            <w:r w:rsidR="009A17E5" w:rsidRPr="00F93A87">
              <w:rPr>
                <w:color w:val="000000"/>
                <w:lang w:eastAsia="en-AU"/>
              </w:rPr>
              <w:t>d be added as a potential risk.</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In Europe, the EMA Pharmacovigilance Risk Assessment Committee (PRAC) considered that serotonin syndrome is a potential risk for the pharmacological class of </w:t>
            </w:r>
            <w:r w:rsidR="000C31A3" w:rsidRPr="00F93A87">
              <w:rPr>
                <w:color w:val="000000"/>
                <w:lang w:eastAsia="en-AU"/>
              </w:rPr>
              <w:t>5-HT</w:t>
            </w:r>
            <w:r w:rsidR="000C31A3" w:rsidRPr="00F93A87">
              <w:rPr>
                <w:color w:val="000000"/>
                <w:vertAlign w:val="subscript"/>
                <w:lang w:eastAsia="en-AU"/>
              </w:rPr>
              <w:t>3</w:t>
            </w:r>
            <w:r w:rsidRPr="00F93A87">
              <w:rPr>
                <w:color w:val="000000"/>
                <w:lang w:eastAsia="en-AU"/>
              </w:rPr>
              <w:t xml:space="preserve"> RAs when drugs pertaining to this class are administered in combination with other serotonergic agents. The use of these </w:t>
            </w:r>
            <w:proofErr w:type="spellStart"/>
            <w:r w:rsidRPr="00F93A87">
              <w:rPr>
                <w:color w:val="000000"/>
                <w:lang w:eastAsia="en-AU"/>
              </w:rPr>
              <w:t>antiemetics</w:t>
            </w:r>
            <w:proofErr w:type="spellEnd"/>
            <w:r w:rsidRPr="00F93A87">
              <w:rPr>
                <w:color w:val="000000"/>
                <w:lang w:eastAsia="en-AU"/>
              </w:rPr>
              <w:t xml:space="preserve"> may increase the systemic availability of serotonin and may lead to the stimulation of other serotonin receptor subtypes by endogenous serotonin.</w:t>
            </w:r>
          </w:p>
          <w:p w:rsidR="004A44A5" w:rsidRPr="00F93A87" w:rsidRDefault="004A44A5" w:rsidP="001129FF">
            <w:pPr>
              <w:rPr>
                <w:color w:val="000000"/>
                <w:lang w:eastAsia="en-AU"/>
              </w:rPr>
            </w:pPr>
            <w:r w:rsidRPr="00F93A87">
              <w:rPr>
                <w:color w:val="000000"/>
                <w:lang w:eastAsia="en-AU"/>
              </w:rPr>
              <w:t xml:space="preserve">Since this safety concern is a labelled effect for some </w:t>
            </w:r>
            <w:r w:rsidR="000C31A3" w:rsidRPr="00F93A87">
              <w:rPr>
                <w:color w:val="000000"/>
                <w:lang w:eastAsia="en-AU"/>
              </w:rPr>
              <w:t>5-HT</w:t>
            </w:r>
            <w:r w:rsidR="000C31A3" w:rsidRPr="00F93A87">
              <w:rPr>
                <w:color w:val="000000"/>
                <w:vertAlign w:val="subscript"/>
                <w:lang w:eastAsia="en-AU"/>
              </w:rPr>
              <w:t>3</w:t>
            </w:r>
            <w:r w:rsidRPr="00F93A87">
              <w:rPr>
                <w:color w:val="000000"/>
                <w:lang w:eastAsia="en-AU"/>
              </w:rPr>
              <w:t xml:space="preserve"> RAs, it was recommended to add a wording about this class effect in the EU </w:t>
            </w:r>
            <w:proofErr w:type="spellStart"/>
            <w:r w:rsidRPr="00F93A87">
              <w:rPr>
                <w:color w:val="000000"/>
                <w:lang w:eastAsia="en-AU"/>
              </w:rPr>
              <w:t>SmPC</w:t>
            </w:r>
            <w:proofErr w:type="spellEnd"/>
            <w:r w:rsidRPr="00F93A87">
              <w:rPr>
                <w:color w:val="000000"/>
                <w:lang w:eastAsia="en-AU"/>
              </w:rPr>
              <w:t xml:space="preserve"> also for </w:t>
            </w:r>
            <w:proofErr w:type="spellStart"/>
            <w:r w:rsidRPr="00F93A87">
              <w:rPr>
                <w:color w:val="000000"/>
                <w:lang w:eastAsia="en-AU"/>
              </w:rPr>
              <w:t>palonosetron</w:t>
            </w:r>
            <w:proofErr w:type="spellEnd"/>
            <w:r w:rsidRPr="00F93A87">
              <w:rPr>
                <w:color w:val="000000"/>
                <w:lang w:eastAsia="en-AU"/>
              </w:rPr>
              <w:t>. The recommendation was endorsed by the European Commission (EC) (EC final opinion on 23rd April 2014).</w:t>
            </w:r>
          </w:p>
          <w:p w:rsidR="004A44A5" w:rsidRPr="00F93A87" w:rsidRDefault="004A44A5" w:rsidP="001129FF">
            <w:pPr>
              <w:rPr>
                <w:color w:val="000000"/>
                <w:lang w:eastAsia="en-AU"/>
              </w:rPr>
            </w:pPr>
            <w:r w:rsidRPr="00F93A87">
              <w:rPr>
                <w:color w:val="000000"/>
                <w:lang w:eastAsia="en-AU"/>
              </w:rPr>
              <w:t xml:space="preserve">The PI of </w:t>
            </w:r>
            <w:proofErr w:type="spellStart"/>
            <w:r w:rsidR="001D15FE" w:rsidRPr="00F93A87">
              <w:rPr>
                <w:color w:val="000000"/>
                <w:lang w:eastAsia="en-AU"/>
              </w:rPr>
              <w:t>Aloxi</w:t>
            </w:r>
            <w:proofErr w:type="spellEnd"/>
            <w:r w:rsidRPr="00F93A87">
              <w:rPr>
                <w:color w:val="000000"/>
                <w:lang w:eastAsia="en-AU"/>
              </w:rPr>
              <w:t xml:space="preserve"> in Australia was recently amended to include the safety concern of serotonin syndrome (PI version 8 July 2014).</w:t>
            </w:r>
          </w:p>
          <w:p w:rsidR="004A44A5" w:rsidRPr="00F93A87" w:rsidRDefault="004A44A5" w:rsidP="001129FF">
            <w:pPr>
              <w:rPr>
                <w:color w:val="000000"/>
                <w:lang w:eastAsia="en-AU"/>
              </w:rPr>
            </w:pPr>
            <w:r w:rsidRPr="00F93A87">
              <w:rPr>
                <w:color w:val="000000"/>
                <w:lang w:eastAsia="en-AU"/>
              </w:rPr>
              <w:t xml:space="preserve">The PI for </w:t>
            </w:r>
            <w:r w:rsidR="00C51742" w:rsidRPr="00F93A87">
              <w:rPr>
                <w:color w:val="000000"/>
                <w:lang w:eastAsia="en-AU"/>
              </w:rPr>
              <w:t>Akynzeo</w:t>
            </w:r>
            <w:r w:rsidRPr="00F93A87">
              <w:rPr>
                <w:color w:val="000000"/>
                <w:lang w:eastAsia="en-AU"/>
              </w:rPr>
              <w:t xml:space="preserve"> submitted has been updated to r</w:t>
            </w:r>
            <w:r w:rsidR="001D15FE" w:rsidRPr="00F93A87">
              <w:rPr>
                <w:color w:val="000000"/>
                <w:lang w:eastAsia="en-AU"/>
              </w:rPr>
              <w:t>eflect the same wording in the ‘Precautions’ and ‘Interactions’</w:t>
            </w:r>
            <w:r w:rsidRPr="00F93A87">
              <w:rPr>
                <w:color w:val="000000"/>
                <w:lang w:eastAsia="en-AU"/>
              </w:rPr>
              <w:t xml:space="preserve"> </w:t>
            </w:r>
            <w:r w:rsidRPr="00F93A87">
              <w:rPr>
                <w:color w:val="000000"/>
                <w:lang w:eastAsia="en-AU"/>
              </w:rPr>
              <w:lastRenderedPageBreak/>
              <w:t>sections.</w:t>
            </w:r>
          </w:p>
          <w:p w:rsidR="004A44A5" w:rsidRPr="00F93A87" w:rsidRDefault="004A44A5" w:rsidP="001129FF">
            <w:pPr>
              <w:rPr>
                <w:color w:val="000000"/>
                <w:lang w:eastAsia="en-AU"/>
              </w:rPr>
            </w:pPr>
            <w:r w:rsidRPr="00F93A87">
              <w:rPr>
                <w:color w:val="000000"/>
                <w:lang w:eastAsia="en-AU"/>
              </w:rPr>
              <w:t xml:space="preserve">Based on this recommendation, the EU RMP for </w:t>
            </w:r>
            <w:r w:rsidR="00C51742" w:rsidRPr="00F93A87">
              <w:rPr>
                <w:color w:val="000000"/>
                <w:lang w:eastAsia="en-AU"/>
              </w:rPr>
              <w:t>Akynzeo</w:t>
            </w:r>
            <w:r w:rsidRPr="00F93A87">
              <w:rPr>
                <w:color w:val="000000"/>
                <w:lang w:eastAsia="en-AU"/>
              </w:rPr>
              <w:t xml:space="preserve"> will also be updated to include serotonin syndrome as an important potential risk for the fixed dose combination. This update is expected to be implemented in the EU RMP in Europe post-approval (June 2015), and the ASA will be updated accordingly at that time.</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sponsor’s</w:t>
            </w:r>
            <w:r w:rsidR="009A17E5"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Leucocytosis and </w:t>
            </w:r>
            <w:proofErr w:type="spellStart"/>
            <w:r w:rsidRPr="00F93A87">
              <w:rPr>
                <w:color w:val="000000"/>
                <w:lang w:eastAsia="en-AU"/>
              </w:rPr>
              <w:t>neutropaenia</w:t>
            </w:r>
            <w:proofErr w:type="spellEnd"/>
            <w:r w:rsidRPr="00F93A87">
              <w:rPr>
                <w:color w:val="000000"/>
                <w:lang w:eastAsia="en-AU"/>
              </w:rPr>
              <w:t xml:space="preserve"> should be added as potential risks, as they were reported as treatment-related </w:t>
            </w:r>
            <w:r w:rsidR="003802E6" w:rsidRPr="00F93A87">
              <w:rPr>
                <w:color w:val="000000"/>
                <w:lang w:eastAsia="en-AU"/>
              </w:rPr>
              <w:t xml:space="preserve">AE </w:t>
            </w:r>
            <w:r w:rsidRPr="00F93A87">
              <w:rPr>
                <w:color w:val="000000"/>
                <w:lang w:eastAsia="en-AU"/>
              </w:rPr>
              <w:t>s.</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In the clinical development programme carried out with </w:t>
            </w:r>
            <w:r w:rsidR="00C51742" w:rsidRPr="00F93A87">
              <w:rPr>
                <w:color w:val="000000"/>
                <w:lang w:eastAsia="en-AU"/>
              </w:rPr>
              <w:t>Akynzeo</w:t>
            </w:r>
            <w:r w:rsidRPr="00F93A87">
              <w:rPr>
                <w:color w:val="000000"/>
                <w:lang w:eastAsia="en-AU"/>
              </w:rPr>
              <w:t xml:space="preserve"> six out of 1</w:t>
            </w:r>
            <w:r w:rsidR="009A17E5" w:rsidRPr="00F93A87">
              <w:rPr>
                <w:color w:val="000000"/>
                <w:lang w:eastAsia="en-AU"/>
              </w:rPr>
              <w:t>,</w:t>
            </w:r>
            <w:r w:rsidRPr="00F93A87">
              <w:rPr>
                <w:color w:val="000000"/>
                <w:lang w:eastAsia="en-AU"/>
              </w:rPr>
              <w:t>442 patients (0.4</w:t>
            </w:r>
            <w:r w:rsidR="000403F6" w:rsidRPr="00F93A87">
              <w:rPr>
                <w:color w:val="000000"/>
                <w:lang w:eastAsia="en-AU"/>
              </w:rPr>
              <w:t>%</w:t>
            </w:r>
            <w:r w:rsidRPr="00F93A87">
              <w:rPr>
                <w:color w:val="000000"/>
                <w:lang w:eastAsia="en-AU"/>
              </w:rPr>
              <w:t>) exposed to netupitant and palonosetron in combination (regardless of the dosage) experienced leucocytosis and 2 out of 1442 patients (0.1</w:t>
            </w:r>
            <w:r w:rsidR="000403F6" w:rsidRPr="00F93A87">
              <w:rPr>
                <w:color w:val="000000"/>
                <w:lang w:eastAsia="en-AU"/>
              </w:rPr>
              <w:t>%</w:t>
            </w:r>
            <w:r w:rsidRPr="00F93A87">
              <w:rPr>
                <w:color w:val="000000"/>
                <w:lang w:eastAsia="en-AU"/>
              </w:rPr>
              <w:t>) had neutropenia; both events were considered related to the investigatio</w:t>
            </w:r>
            <w:r w:rsidR="009A17E5" w:rsidRPr="00F93A87">
              <w:rPr>
                <w:color w:val="000000"/>
                <w:lang w:eastAsia="en-AU"/>
              </w:rPr>
              <w:t>nal medicinal treatment by the i</w:t>
            </w:r>
            <w:r w:rsidRPr="00F93A87">
              <w:rPr>
                <w:color w:val="000000"/>
                <w:lang w:eastAsia="en-AU"/>
              </w:rPr>
              <w:t>nvestigator.</w:t>
            </w:r>
          </w:p>
          <w:p w:rsidR="004A44A5" w:rsidRPr="00F93A87" w:rsidRDefault="004A44A5" w:rsidP="001129FF">
            <w:pPr>
              <w:rPr>
                <w:color w:val="000000"/>
                <w:lang w:eastAsia="en-AU"/>
              </w:rPr>
            </w:pPr>
            <w:r w:rsidRPr="00F93A87">
              <w:rPr>
                <w:color w:val="000000"/>
                <w:lang w:eastAsia="en-AU"/>
              </w:rPr>
              <w:t>A similar incidence of reactions (leucocytosis) was observed in the active comparator groups¸ namely in the palonosetron active comparator group 3 out of 1600 (0.2</w:t>
            </w:r>
            <w:r w:rsidR="000403F6" w:rsidRPr="00F93A87">
              <w:rPr>
                <w:color w:val="000000"/>
                <w:lang w:eastAsia="en-AU"/>
              </w:rPr>
              <w:t>%</w:t>
            </w:r>
            <w:r w:rsidRPr="00F93A87">
              <w:rPr>
                <w:color w:val="000000"/>
                <w:lang w:eastAsia="en-AU"/>
              </w:rPr>
              <w:t>) patients had leucocytosis assessed as adverse drug reaction (ADR) and 1 in 238 (0.4</w:t>
            </w:r>
            <w:r w:rsidR="000403F6" w:rsidRPr="00F93A87">
              <w:rPr>
                <w:color w:val="000000"/>
                <w:lang w:eastAsia="en-AU"/>
              </w:rPr>
              <w:t>%</w:t>
            </w:r>
            <w:r w:rsidRPr="00F93A87">
              <w:rPr>
                <w:color w:val="000000"/>
                <w:lang w:eastAsia="en-AU"/>
              </w:rPr>
              <w:t>) in the aprepitant</w:t>
            </w:r>
            <w:r w:rsidR="00A91604" w:rsidRPr="00F93A87">
              <w:rPr>
                <w:color w:val="000000"/>
                <w:lang w:eastAsia="en-AU"/>
              </w:rPr>
              <w:t xml:space="preserve"> plus a </w:t>
            </w:r>
            <w:r w:rsidR="000C31A3" w:rsidRPr="00F93A87">
              <w:rPr>
                <w:color w:val="000000"/>
                <w:lang w:eastAsia="en-AU"/>
              </w:rPr>
              <w:t>5-HT</w:t>
            </w:r>
            <w:r w:rsidR="000C31A3" w:rsidRPr="00F93A87">
              <w:rPr>
                <w:color w:val="000000"/>
                <w:vertAlign w:val="subscript"/>
                <w:lang w:eastAsia="en-AU"/>
              </w:rPr>
              <w:t>3</w:t>
            </w:r>
            <w:r w:rsidRPr="00F93A87">
              <w:rPr>
                <w:color w:val="000000"/>
                <w:lang w:eastAsia="en-AU"/>
              </w:rPr>
              <w:t xml:space="preserve"> RA group). No patient in the aprepitant comparator group and one palonosetron treated </w:t>
            </w:r>
            <w:r w:rsidR="009A17E5" w:rsidRPr="00F93A87">
              <w:rPr>
                <w:color w:val="000000"/>
                <w:lang w:eastAsia="en-AU"/>
              </w:rPr>
              <w:t>patient had neutropenia as ADR.</w:t>
            </w:r>
          </w:p>
          <w:p w:rsidR="004A44A5" w:rsidRPr="00F93A87" w:rsidRDefault="004A44A5" w:rsidP="001129FF">
            <w:pPr>
              <w:rPr>
                <w:color w:val="000000"/>
                <w:lang w:eastAsia="en-AU"/>
              </w:rPr>
            </w:pPr>
            <w:r w:rsidRPr="00F93A87">
              <w:rPr>
                <w:color w:val="000000"/>
                <w:lang w:eastAsia="en-AU"/>
              </w:rPr>
              <w:t>Leucocytosis occurred in two patients treated with netupitant 100 mg + palonosetron</w:t>
            </w:r>
            <w:r w:rsidR="005F7FE0" w:rsidRPr="00F93A87">
              <w:rPr>
                <w:color w:val="000000"/>
                <w:lang w:eastAsia="en-AU"/>
              </w:rPr>
              <w:t xml:space="preserve"> </w:t>
            </w:r>
            <w:r w:rsidRPr="00F93A87">
              <w:rPr>
                <w:color w:val="000000"/>
                <w:lang w:eastAsia="en-AU"/>
              </w:rPr>
              <w:t>0.50 mg, in 1 patient treated with netupitant 200 mg</w:t>
            </w:r>
            <w:r w:rsidR="009A17E5" w:rsidRPr="00F93A87">
              <w:rPr>
                <w:color w:val="000000"/>
                <w:lang w:eastAsia="en-AU"/>
              </w:rPr>
              <w:t xml:space="preserve"> </w:t>
            </w:r>
            <w:r w:rsidRPr="00F93A87">
              <w:rPr>
                <w:color w:val="000000"/>
                <w:lang w:eastAsia="en-AU"/>
              </w:rPr>
              <w:t>+ palonosetron 0.50 mg and in 3 patients treated with the highest dose of netupitant (300 mg) combined with palonosetron 0.50 mg. All patient</w:t>
            </w:r>
            <w:r w:rsidR="00A91604" w:rsidRPr="00F93A87">
              <w:rPr>
                <w:color w:val="000000"/>
                <w:lang w:eastAsia="en-AU"/>
              </w:rPr>
              <w:t xml:space="preserve">s but </w:t>
            </w:r>
            <w:proofErr w:type="gramStart"/>
            <w:r w:rsidR="00A91604" w:rsidRPr="00F93A87">
              <w:rPr>
                <w:color w:val="000000"/>
                <w:lang w:eastAsia="en-AU"/>
              </w:rPr>
              <w:t>one</w:t>
            </w:r>
            <w:r w:rsidR="009A17E5" w:rsidRPr="00F93A87">
              <w:rPr>
                <w:color w:val="000000"/>
                <w:lang w:eastAsia="en-AU"/>
              </w:rPr>
              <w:t>,</w:t>
            </w:r>
            <w:proofErr w:type="gramEnd"/>
            <w:r w:rsidR="00A91604" w:rsidRPr="00F93A87">
              <w:rPr>
                <w:color w:val="000000"/>
                <w:lang w:eastAsia="en-AU"/>
              </w:rPr>
              <w:t xml:space="preserve"> were enrolled in the P</w:t>
            </w:r>
            <w:r w:rsidRPr="00F93A87">
              <w:rPr>
                <w:color w:val="000000"/>
                <w:lang w:eastAsia="en-AU"/>
              </w:rPr>
              <w:t xml:space="preserve">hase II </w:t>
            </w:r>
            <w:r w:rsidR="00F73FE3" w:rsidRPr="00F93A87">
              <w:rPr>
                <w:color w:val="000000"/>
                <w:lang w:eastAsia="en-AU"/>
              </w:rPr>
              <w:t>Study NETU</w:t>
            </w:r>
            <w:r w:rsidRPr="00F93A87">
              <w:rPr>
                <w:color w:val="000000"/>
                <w:lang w:eastAsia="en-AU"/>
              </w:rPr>
              <w:t xml:space="preserve"> 07-07. None of the related events of leucocytosis was serious and of severe intensity.</w:t>
            </w:r>
          </w:p>
          <w:p w:rsidR="004A44A5" w:rsidRPr="00F93A87" w:rsidRDefault="004A44A5" w:rsidP="001129FF">
            <w:pPr>
              <w:rPr>
                <w:color w:val="000000"/>
                <w:lang w:eastAsia="en-AU"/>
              </w:rPr>
            </w:pPr>
            <w:r w:rsidRPr="00F93A87">
              <w:rPr>
                <w:color w:val="000000"/>
                <w:lang w:eastAsia="en-AU"/>
              </w:rPr>
              <w:t>Interestingly most of patients (</w:t>
            </w:r>
            <w:r w:rsidR="002D3239" w:rsidRPr="00F93A87">
              <w:rPr>
                <w:color w:val="000000"/>
                <w:lang w:eastAsia="en-AU"/>
              </w:rPr>
              <w:t xml:space="preserve">N = </w:t>
            </w:r>
            <w:r w:rsidRPr="00F93A87">
              <w:rPr>
                <w:color w:val="000000"/>
                <w:lang w:eastAsia="en-AU"/>
              </w:rPr>
              <w:t>6) with leucocytosis judged as related to study treatments, either netupitant/palonosetron combination or comparators, were recruited at the same study site; therefore it can be assumed that a site effect is likely to occur.</w:t>
            </w:r>
          </w:p>
          <w:p w:rsidR="004A44A5" w:rsidRPr="00F93A87" w:rsidRDefault="004A44A5" w:rsidP="001129FF">
            <w:pPr>
              <w:rPr>
                <w:color w:val="000000"/>
                <w:lang w:eastAsia="en-AU"/>
              </w:rPr>
            </w:pPr>
            <w:r w:rsidRPr="00F93A87">
              <w:rPr>
                <w:color w:val="000000"/>
                <w:lang w:eastAsia="en-AU"/>
              </w:rPr>
              <w:t xml:space="preserve">Worthy of note, all these patients received </w:t>
            </w:r>
            <w:r w:rsidRPr="00F93A87">
              <w:rPr>
                <w:color w:val="000000"/>
                <w:lang w:eastAsia="en-AU"/>
              </w:rPr>
              <w:lastRenderedPageBreak/>
              <w:t>dexamethasone, which is known to induce leucocytosis upon its initiation</w:t>
            </w:r>
            <w:r w:rsidR="009B7F80" w:rsidRPr="00F93A87">
              <w:rPr>
                <w:color w:val="000000"/>
                <w:vertAlign w:val="superscript"/>
                <w:lang w:eastAsia="en-AU"/>
              </w:rPr>
              <w:footnoteReference w:id="17"/>
            </w:r>
            <w:r w:rsidR="009B7F80" w:rsidRPr="00F93A87">
              <w:rPr>
                <w:color w:val="000000"/>
                <w:lang w:eastAsia="en-AU"/>
              </w:rPr>
              <w:t>.</w:t>
            </w:r>
            <w:r w:rsidR="009A17E5" w:rsidRPr="00F93A87">
              <w:rPr>
                <w:color w:val="000000"/>
                <w:lang w:eastAsia="en-AU"/>
              </w:rPr>
              <w:t xml:space="preserve"> A s</w:t>
            </w:r>
            <w:r w:rsidR="00861B2A" w:rsidRPr="00F93A87">
              <w:rPr>
                <w:color w:val="000000"/>
                <w:lang w:eastAsia="en-AU"/>
              </w:rPr>
              <w:t>tudy</w:t>
            </w:r>
            <w:r w:rsidR="009B7F80" w:rsidRPr="00F93A87">
              <w:rPr>
                <w:color w:val="000000"/>
                <w:vertAlign w:val="superscript"/>
                <w:lang w:eastAsia="en-AU"/>
              </w:rPr>
              <w:footnoteReference w:id="18"/>
            </w:r>
            <w:r w:rsidR="00861B2A" w:rsidRPr="00F93A87">
              <w:rPr>
                <w:color w:val="000000"/>
                <w:lang w:eastAsia="en-AU"/>
              </w:rPr>
              <w:t xml:space="preserve"> c</w:t>
            </w:r>
            <w:r w:rsidRPr="00F93A87">
              <w:rPr>
                <w:color w:val="000000"/>
                <w:lang w:eastAsia="en-AU"/>
              </w:rPr>
              <w:t xml:space="preserve">oncluded that a single dose of dexamethasone causes a </w:t>
            </w:r>
            <w:proofErr w:type="spellStart"/>
            <w:r w:rsidRPr="00F93A87">
              <w:rPr>
                <w:color w:val="000000"/>
                <w:lang w:eastAsia="en-AU"/>
              </w:rPr>
              <w:t>granulocytosis</w:t>
            </w:r>
            <w:proofErr w:type="spellEnd"/>
            <w:r w:rsidRPr="00F93A87">
              <w:rPr>
                <w:color w:val="000000"/>
                <w:lang w:eastAsia="en-AU"/>
              </w:rPr>
              <w:t xml:space="preserve"> primarily by a shift of PMNs from the marginated to the circulating pool, with a minor contribution from marrow release.</w:t>
            </w:r>
          </w:p>
          <w:p w:rsidR="004A44A5" w:rsidRPr="00F93A87" w:rsidRDefault="004A44A5" w:rsidP="001129FF">
            <w:pPr>
              <w:rPr>
                <w:color w:val="000000"/>
                <w:lang w:eastAsia="en-AU"/>
              </w:rPr>
            </w:pPr>
            <w:r w:rsidRPr="00F93A87">
              <w:rPr>
                <w:color w:val="000000"/>
                <w:lang w:eastAsia="en-AU"/>
              </w:rPr>
              <w:t xml:space="preserve">Some solid </w:t>
            </w:r>
            <w:r w:rsidR="00925E7F" w:rsidRPr="00F93A87">
              <w:rPr>
                <w:color w:val="000000"/>
                <w:lang w:eastAsia="en-AU"/>
              </w:rPr>
              <w:t>tumours</w:t>
            </w:r>
            <w:r w:rsidRPr="00F93A87">
              <w:rPr>
                <w:color w:val="000000"/>
                <w:lang w:eastAsia="en-AU"/>
              </w:rPr>
              <w:t xml:space="preserve"> (most commonly described in carcinoma of the lung and in undifferentiated carcinoma) cause </w:t>
            </w:r>
            <w:proofErr w:type="spellStart"/>
            <w:r w:rsidRPr="00F93A87">
              <w:rPr>
                <w:color w:val="000000"/>
                <w:lang w:eastAsia="en-AU"/>
              </w:rPr>
              <w:t>leukocytosis</w:t>
            </w:r>
            <w:proofErr w:type="spellEnd"/>
            <w:r w:rsidRPr="00F93A87">
              <w:rPr>
                <w:color w:val="000000"/>
                <w:lang w:eastAsia="en-AU"/>
              </w:rPr>
              <w:t xml:space="preserve"> by the </w:t>
            </w:r>
            <w:r w:rsidR="00925E7F" w:rsidRPr="00F93A87">
              <w:rPr>
                <w:color w:val="000000"/>
                <w:lang w:eastAsia="en-AU"/>
              </w:rPr>
              <w:t>tumour</w:t>
            </w:r>
            <w:r w:rsidRPr="00F93A87">
              <w:rPr>
                <w:color w:val="000000"/>
                <w:lang w:eastAsia="en-AU"/>
              </w:rPr>
              <w:t xml:space="preserve"> cells called paraneoplastic </w:t>
            </w:r>
            <w:proofErr w:type="spellStart"/>
            <w:r w:rsidRPr="00F93A87">
              <w:rPr>
                <w:color w:val="000000"/>
                <w:lang w:eastAsia="en-AU"/>
              </w:rPr>
              <w:t>leukemoid</w:t>
            </w:r>
            <w:proofErr w:type="spellEnd"/>
            <w:r w:rsidRPr="00F93A87">
              <w:rPr>
                <w:color w:val="000000"/>
                <w:lang w:eastAsia="en-AU"/>
              </w:rPr>
              <w:t xml:space="preserve"> reaction. This is rare in children, but has been well described in adult patients. The presumed mechanism is production of cytokines, such as granulocyte colony-stimulating factor (G-CSF) and granulocyte macrophage colony-stimulating factor (GM-CSF), by </w:t>
            </w:r>
            <w:r w:rsidR="00925E7F" w:rsidRPr="00F93A87">
              <w:rPr>
                <w:color w:val="000000"/>
                <w:lang w:eastAsia="en-AU"/>
              </w:rPr>
              <w:t>tumour</w:t>
            </w:r>
            <w:r w:rsidRPr="00F93A87">
              <w:rPr>
                <w:color w:val="000000"/>
                <w:lang w:eastAsia="en-AU"/>
              </w:rPr>
              <w:t xml:space="preserve"> cells or metastatic cells. Neutropenia as </w:t>
            </w:r>
            <w:r w:rsidR="00925E7F" w:rsidRPr="00F93A87">
              <w:rPr>
                <w:color w:val="000000"/>
                <w:lang w:eastAsia="en-AU"/>
              </w:rPr>
              <w:t>ADR was reported in the P</w:t>
            </w:r>
            <w:r w:rsidRPr="00F93A87">
              <w:rPr>
                <w:color w:val="000000"/>
                <w:lang w:eastAsia="en-AU"/>
              </w:rPr>
              <w:t xml:space="preserve">hase III </w:t>
            </w:r>
            <w:r w:rsidR="00F73FE3" w:rsidRPr="00F93A87">
              <w:rPr>
                <w:color w:val="000000"/>
                <w:lang w:eastAsia="en-AU"/>
              </w:rPr>
              <w:t>Study NETU</w:t>
            </w:r>
            <w:r w:rsidRPr="00F93A87">
              <w:rPr>
                <w:color w:val="000000"/>
                <w:lang w:eastAsia="en-AU"/>
              </w:rPr>
              <w:t>-08-18 for three patients, two of them received netupitant/palonosetron combination and one patient palonosetron as single agent. All patients were recruited at the same study site. A concise narrative of each patient is provided underneath.</w:t>
            </w:r>
          </w:p>
          <w:p w:rsidR="004A44A5" w:rsidRPr="00F93A87" w:rsidRDefault="004A44A5" w:rsidP="001129FF">
            <w:pPr>
              <w:rPr>
                <w:color w:val="000000"/>
                <w:lang w:eastAsia="en-AU"/>
              </w:rPr>
            </w:pPr>
            <w:r w:rsidRPr="00F93A87">
              <w:rPr>
                <w:color w:val="000000"/>
                <w:lang w:eastAsia="en-AU"/>
              </w:rPr>
              <w:t>NETU/PALO FDC (</w:t>
            </w:r>
            <w:r w:rsidR="002D3239" w:rsidRPr="00F93A87">
              <w:rPr>
                <w:color w:val="000000"/>
                <w:lang w:eastAsia="en-AU"/>
              </w:rPr>
              <w:t xml:space="preserve">N = </w:t>
            </w:r>
            <w:r w:rsidRPr="00F93A87">
              <w:rPr>
                <w:color w:val="000000"/>
                <w:lang w:eastAsia="en-AU"/>
              </w:rPr>
              <w:t>2)</w:t>
            </w:r>
          </w:p>
          <w:p w:rsidR="004A44A5" w:rsidRPr="00F93A87" w:rsidRDefault="00925E7F" w:rsidP="001129FF">
            <w:pPr>
              <w:rPr>
                <w:color w:val="000000"/>
                <w:lang w:eastAsia="en-AU"/>
              </w:rPr>
            </w:pPr>
            <w:r w:rsidRPr="00F93A87">
              <w:rPr>
                <w:color w:val="000000"/>
                <w:lang w:eastAsia="en-AU"/>
              </w:rPr>
              <w:t>Patient [Information redacted]</w:t>
            </w:r>
            <w:r w:rsidR="004A44A5" w:rsidRPr="00F93A87">
              <w:rPr>
                <w:color w:val="000000"/>
                <w:lang w:eastAsia="en-AU"/>
              </w:rPr>
              <w:t xml:space="preserve"> was a 65 years old male with infiltrating ductal carcinoma of the breast first treated with netupitant/palonosetron and scheduled chemotherapy (</w:t>
            </w:r>
            <w:proofErr w:type="spellStart"/>
            <w:r w:rsidR="004A44A5" w:rsidRPr="00F93A87">
              <w:rPr>
                <w:color w:val="000000"/>
                <w:lang w:eastAsia="en-AU"/>
              </w:rPr>
              <w:t>cyclophopshamide</w:t>
            </w:r>
            <w:proofErr w:type="spellEnd"/>
            <w:r w:rsidR="004A44A5" w:rsidRPr="00F93A87">
              <w:rPr>
                <w:color w:val="000000"/>
                <w:lang w:eastAsia="en-AU"/>
              </w:rPr>
              <w:t xml:space="preserve">, </w:t>
            </w:r>
            <w:proofErr w:type="spellStart"/>
            <w:r w:rsidR="004A44A5" w:rsidRPr="00F93A87">
              <w:rPr>
                <w:color w:val="000000"/>
                <w:lang w:eastAsia="en-AU"/>
              </w:rPr>
              <w:t>epirubicin</w:t>
            </w:r>
            <w:proofErr w:type="spellEnd"/>
            <w:r w:rsidR="004A44A5" w:rsidRPr="00F93A87">
              <w:rPr>
                <w:color w:val="000000"/>
                <w:lang w:eastAsia="en-AU"/>
              </w:rPr>
              <w:t xml:space="preserve"> and 5-FU) on May 3rd 2012. He developed neutropenia on 21 May. The event was non-serious, of severe intensity and resolved after specific therapy on 19 June. The </w:t>
            </w:r>
            <w:r w:rsidR="00791AE3" w:rsidRPr="00F93A87">
              <w:rPr>
                <w:color w:val="000000"/>
                <w:lang w:eastAsia="en-AU"/>
              </w:rPr>
              <w:t>sponsor</w:t>
            </w:r>
            <w:r w:rsidR="004A44A5" w:rsidRPr="00F93A87">
              <w:rPr>
                <w:color w:val="000000"/>
                <w:lang w:eastAsia="en-AU"/>
              </w:rPr>
              <w:t xml:space="preserve"> believes that neutropenia is more likely attributable to the known cytotoxic effect of the chemotherapy with a nadir approximately two weeks after treatment.</w:t>
            </w:r>
          </w:p>
          <w:p w:rsidR="004A44A5" w:rsidRPr="00F93A87" w:rsidRDefault="00925E7F" w:rsidP="001129FF">
            <w:pPr>
              <w:rPr>
                <w:color w:val="000000"/>
                <w:lang w:eastAsia="en-AU"/>
              </w:rPr>
            </w:pPr>
            <w:r w:rsidRPr="00F93A87">
              <w:rPr>
                <w:color w:val="000000"/>
                <w:lang w:eastAsia="en-AU"/>
              </w:rPr>
              <w:t>Patient [Information redacted]</w:t>
            </w:r>
            <w:r w:rsidR="004A44A5" w:rsidRPr="00F93A87">
              <w:rPr>
                <w:color w:val="000000"/>
                <w:lang w:eastAsia="en-AU"/>
              </w:rPr>
              <w:t xml:space="preserve"> was a 34 years old female with infiltrating ductal breast cancer on prophylaxis with netupitant/palonosetron and treated with </w:t>
            </w:r>
            <w:proofErr w:type="spellStart"/>
            <w:r w:rsidR="004A44A5" w:rsidRPr="00F93A87">
              <w:rPr>
                <w:color w:val="000000"/>
                <w:lang w:eastAsia="en-AU"/>
              </w:rPr>
              <w:t>cyclophopshamide</w:t>
            </w:r>
            <w:proofErr w:type="spellEnd"/>
            <w:r w:rsidR="004A44A5" w:rsidRPr="00F93A87">
              <w:rPr>
                <w:color w:val="000000"/>
                <w:lang w:eastAsia="en-AU"/>
              </w:rPr>
              <w:t xml:space="preserve">, </w:t>
            </w:r>
            <w:proofErr w:type="spellStart"/>
            <w:r w:rsidRPr="00F93A87">
              <w:rPr>
                <w:color w:val="000000"/>
                <w:lang w:eastAsia="en-AU"/>
              </w:rPr>
              <w:t>epirubicin</w:t>
            </w:r>
            <w:proofErr w:type="spellEnd"/>
            <w:r w:rsidRPr="00F93A87">
              <w:rPr>
                <w:color w:val="000000"/>
                <w:lang w:eastAsia="en-AU"/>
              </w:rPr>
              <w:t xml:space="preserve"> and 5-FU on July 18</w:t>
            </w:r>
            <w:r w:rsidR="004A44A5" w:rsidRPr="00F93A87">
              <w:rPr>
                <w:color w:val="000000"/>
                <w:lang w:eastAsia="en-AU"/>
              </w:rPr>
              <w:t>, 2012.</w:t>
            </w:r>
            <w:r w:rsidR="00401656" w:rsidRPr="00F93A87">
              <w:rPr>
                <w:color w:val="000000"/>
                <w:lang w:eastAsia="en-AU"/>
              </w:rPr>
              <w:t xml:space="preserve"> </w:t>
            </w:r>
            <w:r w:rsidR="004A44A5" w:rsidRPr="00F93A87">
              <w:rPr>
                <w:color w:val="000000"/>
                <w:lang w:eastAsia="en-AU"/>
              </w:rPr>
              <w:t>Neutro</w:t>
            </w:r>
            <w:r w:rsidRPr="00F93A87">
              <w:rPr>
                <w:color w:val="000000"/>
                <w:lang w:eastAsia="en-AU"/>
              </w:rPr>
              <w:t xml:space="preserve">penia was </w:t>
            </w:r>
            <w:r w:rsidRPr="00F93A87">
              <w:rPr>
                <w:color w:val="000000"/>
                <w:lang w:eastAsia="en-AU"/>
              </w:rPr>
              <w:lastRenderedPageBreak/>
              <w:t>detected on August 2</w:t>
            </w:r>
            <w:r w:rsidR="004A44A5" w:rsidRPr="00F93A87">
              <w:rPr>
                <w:color w:val="000000"/>
                <w:lang w:eastAsia="en-AU"/>
              </w:rPr>
              <w:t>; it was non-serious, of moderate intensity and resolved</w:t>
            </w:r>
            <w:r w:rsidRPr="00F93A87">
              <w:rPr>
                <w:color w:val="000000"/>
                <w:lang w:eastAsia="en-AU"/>
              </w:rPr>
              <w:t xml:space="preserve"> without treatment on August 7</w:t>
            </w:r>
            <w:r w:rsidR="004A44A5" w:rsidRPr="00F93A87">
              <w:rPr>
                <w:color w:val="000000"/>
                <w:lang w:eastAsia="en-AU"/>
              </w:rPr>
              <w:t>. Also in this patient it is apparent that neutropenia was induced by the aggressiveness of the chemotherapy considering the time lag between its occurrence and the chemotherapy course.</w:t>
            </w:r>
          </w:p>
          <w:p w:rsidR="004A44A5" w:rsidRPr="00F93A87" w:rsidRDefault="004A44A5" w:rsidP="001129FF">
            <w:pPr>
              <w:rPr>
                <w:color w:val="000000"/>
                <w:lang w:eastAsia="en-AU"/>
              </w:rPr>
            </w:pPr>
            <w:r w:rsidRPr="00F93A87">
              <w:rPr>
                <w:color w:val="000000"/>
                <w:lang w:eastAsia="en-AU"/>
              </w:rPr>
              <w:t>P</w:t>
            </w:r>
            <w:r w:rsidR="00F5364C" w:rsidRPr="00F93A87">
              <w:rPr>
                <w:color w:val="000000"/>
                <w:lang w:eastAsia="en-AU"/>
              </w:rPr>
              <w:t>alonosetron</w:t>
            </w:r>
            <w:r w:rsidRPr="00F93A87">
              <w:rPr>
                <w:color w:val="000000"/>
                <w:lang w:eastAsia="en-AU"/>
              </w:rPr>
              <w:t xml:space="preserve"> (</w:t>
            </w:r>
            <w:r w:rsidR="002D3239" w:rsidRPr="00F93A87">
              <w:rPr>
                <w:color w:val="000000"/>
                <w:lang w:eastAsia="en-AU"/>
              </w:rPr>
              <w:t>N =</w:t>
            </w:r>
            <w:r w:rsidR="00DA1171" w:rsidRPr="00F93A87">
              <w:rPr>
                <w:color w:val="000000"/>
                <w:lang w:eastAsia="en-AU"/>
              </w:rPr>
              <w:t xml:space="preserve"> </w:t>
            </w:r>
            <w:r w:rsidR="003818B7" w:rsidRPr="00F93A87">
              <w:rPr>
                <w:color w:val="000000"/>
                <w:lang w:eastAsia="en-AU"/>
              </w:rPr>
              <w:t>1</w:t>
            </w:r>
            <w:r w:rsidRPr="00F93A87">
              <w:rPr>
                <w:color w:val="000000"/>
                <w:lang w:eastAsia="en-AU"/>
              </w:rPr>
              <w:t>)</w:t>
            </w:r>
          </w:p>
          <w:p w:rsidR="00580991" w:rsidRPr="00F93A87" w:rsidRDefault="00925E7F" w:rsidP="001129FF">
            <w:pPr>
              <w:rPr>
                <w:color w:val="000000"/>
                <w:lang w:eastAsia="en-AU"/>
              </w:rPr>
            </w:pPr>
            <w:r w:rsidRPr="00F93A87">
              <w:rPr>
                <w:color w:val="000000"/>
                <w:lang w:eastAsia="en-AU"/>
              </w:rPr>
              <w:t>Patient [Information redacted]</w:t>
            </w:r>
            <w:r w:rsidR="004A44A5" w:rsidRPr="00F93A87">
              <w:rPr>
                <w:color w:val="000000"/>
                <w:lang w:eastAsia="en-AU"/>
              </w:rPr>
              <w:t xml:space="preserve"> was a 50 years old female with infiltrating ductal breast carcinoma first treated with cyclophosphamide,</w:t>
            </w:r>
            <w:r w:rsidRPr="00F93A87">
              <w:rPr>
                <w:color w:val="000000"/>
                <w:lang w:eastAsia="en-AU"/>
              </w:rPr>
              <w:t xml:space="preserve"> </w:t>
            </w:r>
            <w:proofErr w:type="spellStart"/>
            <w:r w:rsidRPr="00F93A87">
              <w:rPr>
                <w:color w:val="000000"/>
                <w:lang w:eastAsia="en-AU"/>
              </w:rPr>
              <w:t>epirubicin</w:t>
            </w:r>
            <w:proofErr w:type="spellEnd"/>
            <w:r w:rsidRPr="00F93A87">
              <w:rPr>
                <w:color w:val="000000"/>
                <w:lang w:eastAsia="en-AU"/>
              </w:rPr>
              <w:t xml:space="preserve"> and 5-FU on May 30</w:t>
            </w:r>
            <w:r w:rsidR="004A44A5" w:rsidRPr="00F93A87">
              <w:rPr>
                <w:color w:val="000000"/>
                <w:lang w:eastAsia="en-AU"/>
              </w:rPr>
              <w:t xml:space="preserve">, 2012 who had neutropenia on </w:t>
            </w:r>
            <w:r w:rsidRPr="00F93A87">
              <w:rPr>
                <w:color w:val="000000"/>
                <w:lang w:eastAsia="en-AU"/>
              </w:rPr>
              <w:t>June 11</w:t>
            </w:r>
            <w:r w:rsidR="004A44A5" w:rsidRPr="00F93A87">
              <w:rPr>
                <w:color w:val="000000"/>
                <w:lang w:eastAsia="en-AU"/>
              </w:rPr>
              <w:t>. The non-serious event was moderate in intensity and patient fully recovered from it approximately one week later. The low level of white blood cells detected approximately ten days after chemotherapy can be plausibly explained by the bone marrow depression triggered by the antineoplastic agents</w:t>
            </w:r>
            <w:r w:rsidR="00580991" w:rsidRPr="00F93A87">
              <w:rPr>
                <w:color w:val="000000"/>
                <w:lang w:eastAsia="en-AU"/>
              </w:rPr>
              <w:t>.</w:t>
            </w:r>
          </w:p>
          <w:p w:rsidR="004A44A5" w:rsidRPr="00F93A87" w:rsidRDefault="004A44A5" w:rsidP="001129FF">
            <w:pPr>
              <w:rPr>
                <w:color w:val="000000"/>
                <w:lang w:eastAsia="en-AU"/>
              </w:rPr>
            </w:pPr>
            <w:r w:rsidRPr="00F93A87">
              <w:rPr>
                <w:color w:val="000000"/>
                <w:lang w:eastAsia="en-AU"/>
              </w:rPr>
              <w:t>Overall conclusion</w:t>
            </w:r>
            <w:r w:rsidR="00401656" w:rsidRPr="00F93A87">
              <w:rPr>
                <w:color w:val="000000"/>
                <w:lang w:eastAsia="en-AU"/>
              </w:rPr>
              <w:t xml:space="preserve">; </w:t>
            </w:r>
            <w:r w:rsidRPr="00F93A87">
              <w:rPr>
                <w:color w:val="000000"/>
                <w:lang w:eastAsia="en-AU"/>
              </w:rPr>
              <w:t xml:space="preserve">Leucocytosis and neutropenia are listed in the </w:t>
            </w:r>
            <w:r w:rsidR="00C51742" w:rsidRPr="00F93A87">
              <w:rPr>
                <w:color w:val="000000"/>
                <w:lang w:eastAsia="en-AU"/>
              </w:rPr>
              <w:t>Akynzeo</w:t>
            </w:r>
            <w:r w:rsidRPr="00F93A87">
              <w:rPr>
                <w:color w:val="000000"/>
                <w:lang w:eastAsia="en-AU"/>
              </w:rPr>
              <w:t xml:space="preserve"> PI as uncommon reactions (≥</w:t>
            </w:r>
            <w:r w:rsidR="00401656" w:rsidRPr="00F93A87">
              <w:rPr>
                <w:color w:val="000000"/>
                <w:lang w:eastAsia="en-AU"/>
              </w:rPr>
              <w:t xml:space="preserve"> </w:t>
            </w:r>
            <w:r w:rsidRPr="00F93A87">
              <w:rPr>
                <w:color w:val="000000"/>
                <w:lang w:eastAsia="en-AU"/>
              </w:rPr>
              <w:t>0.1</w:t>
            </w:r>
            <w:r w:rsidR="000403F6" w:rsidRPr="00F93A87">
              <w:rPr>
                <w:color w:val="000000"/>
                <w:lang w:eastAsia="en-AU"/>
              </w:rPr>
              <w:t>%</w:t>
            </w:r>
            <w:r w:rsidRPr="00F93A87">
              <w:rPr>
                <w:color w:val="000000"/>
                <w:lang w:eastAsia="en-AU"/>
              </w:rPr>
              <w:t xml:space="preserve"> to </w:t>
            </w:r>
            <w:r w:rsidR="00027344" w:rsidRPr="00F93A87">
              <w:rPr>
                <w:color w:val="000000"/>
                <w:lang w:eastAsia="en-AU"/>
              </w:rPr>
              <w:t>&lt; 1</w:t>
            </w:r>
            <w:r w:rsidR="000403F6" w:rsidRPr="00F93A87">
              <w:rPr>
                <w:color w:val="000000"/>
                <w:lang w:eastAsia="en-AU"/>
              </w:rPr>
              <w:t>%</w:t>
            </w:r>
            <w:r w:rsidRPr="00F93A87">
              <w:rPr>
                <w:color w:val="000000"/>
                <w:lang w:eastAsia="en-AU"/>
              </w:rPr>
              <w:t>), since these events occurred in at least two cancer patients.</w:t>
            </w:r>
          </w:p>
          <w:p w:rsidR="004A44A5" w:rsidRPr="00F93A87" w:rsidRDefault="004A44A5" w:rsidP="001129FF">
            <w:pPr>
              <w:rPr>
                <w:color w:val="000000"/>
                <w:lang w:eastAsia="en-AU"/>
              </w:rPr>
            </w:pPr>
            <w:r w:rsidRPr="00F93A87">
              <w:rPr>
                <w:color w:val="000000"/>
                <w:lang w:eastAsia="en-AU"/>
              </w:rPr>
              <w:t xml:space="preserve">Because both alternate </w:t>
            </w:r>
            <w:proofErr w:type="spellStart"/>
            <w:r w:rsidRPr="00F93A87">
              <w:rPr>
                <w:color w:val="000000"/>
                <w:lang w:eastAsia="en-AU"/>
              </w:rPr>
              <w:t>etiologies</w:t>
            </w:r>
            <w:proofErr w:type="spellEnd"/>
            <w:r w:rsidRPr="00F93A87">
              <w:rPr>
                <w:color w:val="000000"/>
                <w:lang w:eastAsia="en-AU"/>
              </w:rPr>
              <w:t xml:space="preserve"> could explain the very limited number of reactions of leucocytosis and neutropenia, and in absence of clinically remarkable events (no SAEs), the </w:t>
            </w:r>
            <w:r w:rsidR="00791AE3" w:rsidRPr="00F93A87">
              <w:rPr>
                <w:color w:val="000000"/>
                <w:lang w:eastAsia="en-AU"/>
              </w:rPr>
              <w:t>sponsor</w:t>
            </w:r>
            <w:r w:rsidRPr="00F93A87">
              <w:rPr>
                <w:color w:val="000000"/>
                <w:lang w:eastAsia="en-AU"/>
              </w:rPr>
              <w:t xml:space="preserve"> does not agree to include these reactions as important potential risks for </w:t>
            </w:r>
            <w:r w:rsidR="00C51742" w:rsidRPr="00F93A87">
              <w:rPr>
                <w:color w:val="000000"/>
                <w:lang w:eastAsia="en-AU"/>
              </w:rPr>
              <w:t>Akynzeo</w:t>
            </w:r>
            <w:r w:rsidRPr="00F93A87">
              <w:rPr>
                <w:color w:val="000000"/>
                <w:lang w:eastAsia="en-AU"/>
              </w:rPr>
              <w:t xml:space="preserve"> in the EU RMP or the ASA.</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sponsor’s</w:t>
            </w:r>
            <w:r w:rsidR="009A17E5"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It is noted that 6 and 12 geriatric participants were included in the two studies (NETU-08-12 and NETU-10-12) respectively. The small sample size means that the evidence collected is very limited. Considering that geriatric patients could form a significant proportion of the target population, it is recommended that ‘use in the elderly’ be added to the ongoing safety concern list as missing information in the ASA.</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Both NETU 08-12 and NETU 10-12 are studies essentially designed to evaluate the effect of age on the PK of </w:t>
            </w:r>
            <w:r w:rsidR="00C51742" w:rsidRPr="00F93A87">
              <w:rPr>
                <w:color w:val="000000"/>
                <w:lang w:eastAsia="en-AU"/>
              </w:rPr>
              <w:t>Akynzeo</w:t>
            </w:r>
            <w:r w:rsidRPr="00F93A87">
              <w:rPr>
                <w:color w:val="000000"/>
                <w:lang w:eastAsia="en-AU"/>
              </w:rPr>
              <w:t>. Generally PK studies are descriptive, include moderate sample size; powered to detect a minimum difference based on expected population variability, to characterise basic PK parameters for parent drug and measure active metabolites only.</w:t>
            </w:r>
          </w:p>
          <w:p w:rsidR="004A44A5" w:rsidRPr="00F93A87" w:rsidRDefault="004A44A5" w:rsidP="001129FF">
            <w:pPr>
              <w:rPr>
                <w:color w:val="000000"/>
                <w:lang w:eastAsia="en-AU"/>
              </w:rPr>
            </w:pPr>
            <w:r w:rsidRPr="00F93A87">
              <w:rPr>
                <w:color w:val="000000"/>
                <w:lang w:eastAsia="en-AU"/>
              </w:rPr>
              <w:t xml:space="preserve">To provide an accurate overview of the elderly cancer patients participating in the clinical development programme, additional data </w:t>
            </w:r>
            <w:r w:rsidR="00A824E7" w:rsidRPr="00F93A87">
              <w:rPr>
                <w:color w:val="000000"/>
                <w:lang w:eastAsia="en-AU"/>
              </w:rPr>
              <w:t>analyses were conducted on the Phase III</w:t>
            </w:r>
            <w:r w:rsidRPr="00F93A87">
              <w:rPr>
                <w:color w:val="000000"/>
                <w:lang w:eastAsia="en-AU"/>
              </w:rPr>
              <w:t xml:space="preserve"> multicycle studies, that consisted of cancer patients aged 65 years </w:t>
            </w:r>
            <w:r w:rsidRPr="00F93A87">
              <w:rPr>
                <w:color w:val="000000"/>
                <w:lang w:eastAsia="en-AU"/>
              </w:rPr>
              <w:lastRenderedPageBreak/>
              <w:t xml:space="preserve">or older, who are considered geriatric population as per </w:t>
            </w:r>
            <w:r w:rsidR="00A90D0A" w:rsidRPr="00F93A87">
              <w:rPr>
                <w:color w:val="000000"/>
                <w:lang w:eastAsia="en-AU"/>
              </w:rPr>
              <w:t>the guideline.</w:t>
            </w:r>
            <w:r w:rsidR="00A90D0A" w:rsidRPr="00F93A87">
              <w:rPr>
                <w:rStyle w:val="FootnoteReference"/>
                <w:color w:val="000000"/>
                <w:lang w:eastAsia="en-AU"/>
              </w:rPr>
              <w:footnoteReference w:id="19"/>
            </w:r>
          </w:p>
          <w:p w:rsidR="004A44A5" w:rsidRPr="00F93A87" w:rsidRDefault="004A44A5" w:rsidP="001129FF">
            <w:pPr>
              <w:rPr>
                <w:color w:val="000000"/>
                <w:lang w:eastAsia="en-AU"/>
              </w:rPr>
            </w:pPr>
            <w:r w:rsidRPr="00F93A87">
              <w:rPr>
                <w:color w:val="000000"/>
                <w:lang w:eastAsia="en-AU"/>
              </w:rPr>
              <w:t>This guidance notes that for drugs with significant use in the elderly, the inclusion in clinical trials of a minimum of 100 p</w:t>
            </w:r>
            <w:r w:rsidR="00A824E7" w:rsidRPr="00F93A87">
              <w:rPr>
                <w:color w:val="000000"/>
                <w:lang w:eastAsia="en-AU"/>
              </w:rPr>
              <w:t>atients aged 65 years or older ‘</w:t>
            </w:r>
            <w:r w:rsidRPr="00F93A87">
              <w:rPr>
                <w:color w:val="000000"/>
                <w:lang w:eastAsia="en-AU"/>
              </w:rPr>
              <w:t>would usually allow detection of clinically important d</w:t>
            </w:r>
            <w:r w:rsidR="00A824E7" w:rsidRPr="00F93A87">
              <w:rPr>
                <w:color w:val="000000"/>
                <w:lang w:eastAsia="en-AU"/>
              </w:rPr>
              <w:t>ifferences’</w:t>
            </w:r>
            <w:r w:rsidRPr="00F93A87">
              <w:rPr>
                <w:color w:val="000000"/>
                <w:lang w:eastAsia="en-AU"/>
              </w:rPr>
              <w:t xml:space="preserve"> in drug responses compared with younger patients.</w:t>
            </w:r>
          </w:p>
          <w:p w:rsidR="004A44A5" w:rsidRPr="00F93A87" w:rsidRDefault="004A44A5" w:rsidP="001129FF">
            <w:pPr>
              <w:rPr>
                <w:color w:val="000000"/>
                <w:lang w:eastAsia="en-AU"/>
              </w:rPr>
            </w:pPr>
            <w:r w:rsidRPr="00F93A87">
              <w:rPr>
                <w:color w:val="000000"/>
                <w:lang w:eastAsia="en-AU"/>
              </w:rPr>
              <w:t xml:space="preserve">The </w:t>
            </w:r>
            <w:r w:rsidR="00A90D0A" w:rsidRPr="00F93A87">
              <w:rPr>
                <w:color w:val="000000"/>
                <w:lang w:eastAsia="en-AU"/>
              </w:rPr>
              <w:t xml:space="preserve">sponsor provided a </w:t>
            </w:r>
            <w:r w:rsidRPr="00F93A87">
              <w:rPr>
                <w:color w:val="000000"/>
                <w:lang w:eastAsia="en-AU"/>
              </w:rPr>
              <w:t xml:space="preserve">table </w:t>
            </w:r>
            <w:r w:rsidR="00A90D0A" w:rsidRPr="00F93A87">
              <w:rPr>
                <w:color w:val="000000"/>
                <w:lang w:eastAsia="en-AU"/>
              </w:rPr>
              <w:t xml:space="preserve">that </w:t>
            </w:r>
            <w:r w:rsidRPr="00F93A87">
              <w:rPr>
                <w:color w:val="000000"/>
                <w:lang w:eastAsia="en-AU"/>
              </w:rPr>
              <w:t>displays the age sub</w:t>
            </w:r>
            <w:r w:rsidR="00A824E7" w:rsidRPr="00F93A87">
              <w:rPr>
                <w:color w:val="000000"/>
                <w:lang w:eastAsia="en-AU"/>
              </w:rPr>
              <w:t>group</w:t>
            </w:r>
            <w:r w:rsidR="00A90D0A" w:rsidRPr="00F93A87">
              <w:rPr>
                <w:color w:val="000000"/>
                <w:lang w:eastAsia="en-AU"/>
              </w:rPr>
              <w:t xml:space="preserve"> of the population of the Phase </w:t>
            </w:r>
            <w:r w:rsidR="00A824E7" w:rsidRPr="00F93A87">
              <w:rPr>
                <w:color w:val="000000"/>
                <w:lang w:eastAsia="en-AU"/>
              </w:rPr>
              <w:t>III</w:t>
            </w:r>
            <w:r w:rsidRPr="00F93A87">
              <w:rPr>
                <w:color w:val="000000"/>
                <w:lang w:eastAsia="en-AU"/>
              </w:rPr>
              <w:t xml:space="preserve"> multicycle </w:t>
            </w:r>
            <w:r w:rsidR="00A824E7" w:rsidRPr="00F93A87">
              <w:rPr>
                <w:color w:val="000000"/>
                <w:lang w:eastAsia="en-AU"/>
              </w:rPr>
              <w:t>S</w:t>
            </w:r>
            <w:r w:rsidRPr="00F93A87">
              <w:rPr>
                <w:color w:val="000000"/>
                <w:lang w:eastAsia="en-AU"/>
              </w:rPr>
              <w:t xml:space="preserve">tudies (NETU 08-18 and NETU 10-29) carried out with </w:t>
            </w:r>
            <w:r w:rsidR="00C51742" w:rsidRPr="00F93A87">
              <w:rPr>
                <w:color w:val="000000"/>
                <w:lang w:eastAsia="en-AU"/>
              </w:rPr>
              <w:t>Akynzeo</w:t>
            </w:r>
            <w:r w:rsidRPr="00F93A87">
              <w:rPr>
                <w:color w:val="000000"/>
                <w:lang w:eastAsia="en-AU"/>
              </w:rPr>
              <w:t>.</w:t>
            </w:r>
          </w:p>
          <w:p w:rsidR="004A44A5" w:rsidRPr="00F93A87" w:rsidRDefault="00A824E7" w:rsidP="001129FF">
            <w:pPr>
              <w:rPr>
                <w:color w:val="000000"/>
                <w:lang w:eastAsia="en-AU"/>
              </w:rPr>
            </w:pPr>
            <w:r w:rsidRPr="00F93A87">
              <w:rPr>
                <w:color w:val="000000"/>
                <w:lang w:eastAsia="en-AU"/>
              </w:rPr>
              <w:t>The P</w:t>
            </w:r>
            <w:r w:rsidR="004A44A5" w:rsidRPr="00F93A87">
              <w:rPr>
                <w:color w:val="000000"/>
                <w:lang w:eastAsia="en-AU"/>
              </w:rPr>
              <w:t>hase III studies included more patients with &lt; 65 years (1</w:t>
            </w:r>
            <w:r w:rsidR="00A90D0A" w:rsidRPr="00F93A87">
              <w:rPr>
                <w:color w:val="000000"/>
                <w:lang w:eastAsia="en-AU"/>
              </w:rPr>
              <w:t>,</w:t>
            </w:r>
            <w:r w:rsidR="004A44A5" w:rsidRPr="00F93A87">
              <w:rPr>
                <w:color w:val="000000"/>
                <w:lang w:eastAsia="en-AU"/>
              </w:rPr>
              <w:t>519</w:t>
            </w:r>
            <w:r w:rsidR="00027344" w:rsidRPr="00F93A87">
              <w:rPr>
                <w:color w:val="000000"/>
                <w:lang w:eastAsia="en-AU"/>
              </w:rPr>
              <w:t xml:space="preserve"> out of </w:t>
            </w:r>
            <w:r w:rsidR="004A44A5" w:rsidRPr="00F93A87">
              <w:rPr>
                <w:color w:val="000000"/>
                <w:lang w:eastAsia="en-AU"/>
              </w:rPr>
              <w:t>1862, 81.6</w:t>
            </w:r>
            <w:r w:rsidR="000403F6" w:rsidRPr="00F93A87">
              <w:rPr>
                <w:color w:val="000000"/>
                <w:lang w:eastAsia="en-AU"/>
              </w:rPr>
              <w:t>%</w:t>
            </w:r>
            <w:r w:rsidR="004A44A5" w:rsidRPr="00F93A87">
              <w:rPr>
                <w:color w:val="000000"/>
                <w:lang w:eastAsia="en-AU"/>
              </w:rPr>
              <w:t>) than patients with ≥ 65 year</w:t>
            </w:r>
            <w:r w:rsidR="00A90D0A" w:rsidRPr="00F93A87">
              <w:rPr>
                <w:color w:val="000000"/>
                <w:lang w:eastAsia="en-AU"/>
              </w:rPr>
              <w:t>s</w:t>
            </w:r>
            <w:r w:rsidR="004A44A5" w:rsidRPr="00F93A87">
              <w:rPr>
                <w:color w:val="000000"/>
                <w:lang w:eastAsia="en-AU"/>
              </w:rPr>
              <w:t xml:space="preserve"> (343</w:t>
            </w:r>
            <w:r w:rsidR="00027344" w:rsidRPr="00F93A87">
              <w:rPr>
                <w:color w:val="000000"/>
                <w:lang w:eastAsia="en-AU"/>
              </w:rPr>
              <w:t xml:space="preserve"> out of </w:t>
            </w:r>
            <w:r w:rsidR="004A44A5" w:rsidRPr="00F93A87">
              <w:rPr>
                <w:color w:val="000000"/>
                <w:lang w:eastAsia="en-AU"/>
              </w:rPr>
              <w:t>1</w:t>
            </w:r>
            <w:r w:rsidR="00A90D0A" w:rsidRPr="00F93A87">
              <w:rPr>
                <w:color w:val="000000"/>
                <w:lang w:eastAsia="en-AU"/>
              </w:rPr>
              <w:t>,</w:t>
            </w:r>
            <w:r w:rsidR="004A44A5" w:rsidRPr="00F93A87">
              <w:rPr>
                <w:color w:val="000000"/>
                <w:lang w:eastAsia="en-AU"/>
              </w:rPr>
              <w:t>862, 18.4</w:t>
            </w:r>
            <w:r w:rsidR="000403F6" w:rsidRPr="00F93A87">
              <w:rPr>
                <w:color w:val="000000"/>
                <w:lang w:eastAsia="en-AU"/>
              </w:rPr>
              <w:t>%</w:t>
            </w:r>
            <w:r w:rsidR="004A44A5" w:rsidRPr="00F93A87">
              <w:rPr>
                <w:color w:val="000000"/>
                <w:lang w:eastAsia="en-AU"/>
              </w:rPr>
              <w:t>). The most frequent neoplasms were breast and lung/respiratory cancers. The percentage of patients with at least 1 TEAE during any cycle was comparable in these subgroups of patients overall (89.3</w:t>
            </w:r>
            <w:r w:rsidR="000403F6" w:rsidRPr="00F93A87">
              <w:rPr>
                <w:color w:val="000000"/>
                <w:lang w:eastAsia="en-AU"/>
              </w:rPr>
              <w:t>%</w:t>
            </w:r>
            <w:r w:rsidR="004A44A5" w:rsidRPr="00F93A87">
              <w:rPr>
                <w:color w:val="000000"/>
                <w:lang w:eastAsia="en-AU"/>
              </w:rPr>
              <w:t>, 1356</w:t>
            </w:r>
            <w:r w:rsidR="00027344" w:rsidRPr="00F93A87">
              <w:rPr>
                <w:color w:val="000000"/>
                <w:lang w:eastAsia="en-AU"/>
              </w:rPr>
              <w:t xml:space="preserve"> out of </w:t>
            </w:r>
            <w:r w:rsidR="004A44A5" w:rsidRPr="00F93A87">
              <w:rPr>
                <w:color w:val="000000"/>
                <w:lang w:eastAsia="en-AU"/>
              </w:rPr>
              <w:t>1</w:t>
            </w:r>
            <w:r w:rsidR="00A90D0A" w:rsidRPr="00F93A87">
              <w:rPr>
                <w:color w:val="000000"/>
                <w:lang w:eastAsia="en-AU"/>
              </w:rPr>
              <w:t>,</w:t>
            </w:r>
            <w:r w:rsidR="004A44A5" w:rsidRPr="00F93A87">
              <w:rPr>
                <w:color w:val="000000"/>
                <w:lang w:eastAsia="en-AU"/>
              </w:rPr>
              <w:t>519 patients and 91.5</w:t>
            </w:r>
            <w:r w:rsidR="000403F6" w:rsidRPr="00F93A87">
              <w:rPr>
                <w:color w:val="000000"/>
                <w:lang w:eastAsia="en-AU"/>
              </w:rPr>
              <w:t>%</w:t>
            </w:r>
            <w:r w:rsidR="004A44A5" w:rsidRPr="00F93A87">
              <w:rPr>
                <w:color w:val="000000"/>
                <w:lang w:eastAsia="en-AU"/>
              </w:rPr>
              <w:t>, 314</w:t>
            </w:r>
            <w:r w:rsidR="00027344" w:rsidRPr="00F93A87">
              <w:rPr>
                <w:color w:val="000000"/>
                <w:lang w:eastAsia="en-AU"/>
              </w:rPr>
              <w:t xml:space="preserve"> out of </w:t>
            </w:r>
            <w:r w:rsidR="004A44A5" w:rsidRPr="00F93A87">
              <w:rPr>
                <w:color w:val="000000"/>
                <w:lang w:eastAsia="en-AU"/>
              </w:rPr>
              <w:t>343 patients, respectively) and in the netupitant-palonosetron group (89.3</w:t>
            </w:r>
            <w:r w:rsidR="000403F6" w:rsidRPr="00F93A87">
              <w:rPr>
                <w:color w:val="000000"/>
                <w:lang w:eastAsia="en-AU"/>
              </w:rPr>
              <w:t>%</w:t>
            </w:r>
            <w:r w:rsidR="004A44A5" w:rsidRPr="00F93A87">
              <w:rPr>
                <w:color w:val="000000"/>
                <w:lang w:eastAsia="en-AU"/>
              </w:rPr>
              <w:t>, 749</w:t>
            </w:r>
            <w:r w:rsidR="00027344" w:rsidRPr="00F93A87">
              <w:rPr>
                <w:color w:val="000000"/>
                <w:lang w:eastAsia="en-AU"/>
              </w:rPr>
              <w:t xml:space="preserve"> out of </w:t>
            </w:r>
            <w:r w:rsidR="004A44A5" w:rsidRPr="00F93A87">
              <w:rPr>
                <w:color w:val="000000"/>
                <w:lang w:eastAsia="en-AU"/>
              </w:rPr>
              <w:t xml:space="preserve">839 patients </w:t>
            </w:r>
            <w:r w:rsidR="0067312A" w:rsidRPr="00F93A87">
              <w:rPr>
                <w:color w:val="000000"/>
                <w:lang w:eastAsia="en-AU"/>
              </w:rPr>
              <w:t>versus</w:t>
            </w:r>
            <w:r w:rsidR="004A44A5" w:rsidRPr="00F93A87">
              <w:rPr>
                <w:color w:val="000000"/>
                <w:lang w:eastAsia="en-AU"/>
              </w:rPr>
              <w:t xml:space="preserve"> 94.8</w:t>
            </w:r>
            <w:r w:rsidR="000403F6" w:rsidRPr="00F93A87">
              <w:rPr>
                <w:color w:val="000000"/>
                <w:lang w:eastAsia="en-AU"/>
              </w:rPr>
              <w:t>%</w:t>
            </w:r>
            <w:r w:rsidR="004A44A5" w:rsidRPr="00F93A87">
              <w:rPr>
                <w:color w:val="000000"/>
                <w:lang w:eastAsia="en-AU"/>
              </w:rPr>
              <w:t>, 184</w:t>
            </w:r>
            <w:r w:rsidR="00027344" w:rsidRPr="00F93A87">
              <w:rPr>
                <w:color w:val="000000"/>
                <w:lang w:eastAsia="en-AU"/>
              </w:rPr>
              <w:t xml:space="preserve"> out of </w:t>
            </w:r>
            <w:r w:rsidR="004A44A5" w:rsidRPr="00F93A87">
              <w:rPr>
                <w:color w:val="000000"/>
                <w:lang w:eastAsia="en-AU"/>
              </w:rPr>
              <w:t>194 patients, respectively), with the most commonly reported TEAEs in each of the 2 age subgroups reflecting those in the ove</w:t>
            </w:r>
            <w:r w:rsidRPr="00F93A87">
              <w:rPr>
                <w:color w:val="000000"/>
                <w:lang w:eastAsia="en-AU"/>
              </w:rPr>
              <w:t>rall safety population.</w:t>
            </w:r>
          </w:p>
          <w:p w:rsidR="004A44A5" w:rsidRPr="00F93A87" w:rsidRDefault="004A44A5" w:rsidP="001129FF">
            <w:pPr>
              <w:rPr>
                <w:color w:val="000000"/>
                <w:lang w:eastAsia="en-AU"/>
              </w:rPr>
            </w:pPr>
            <w:r w:rsidRPr="00F93A87">
              <w:rPr>
                <w:color w:val="000000"/>
                <w:lang w:eastAsia="en-AU"/>
              </w:rPr>
              <w:t xml:space="preserve">At the </w:t>
            </w:r>
            <w:r w:rsidR="00CE0692" w:rsidRPr="00F93A87">
              <w:rPr>
                <w:color w:val="000000"/>
                <w:lang w:eastAsia="en-AU"/>
              </w:rPr>
              <w:t>preferred term (</w:t>
            </w:r>
            <w:r w:rsidRPr="00F93A87">
              <w:rPr>
                <w:color w:val="000000"/>
                <w:lang w:eastAsia="en-AU"/>
              </w:rPr>
              <w:t>PT</w:t>
            </w:r>
            <w:r w:rsidR="00CE0692" w:rsidRPr="00F93A87">
              <w:rPr>
                <w:color w:val="000000"/>
                <w:lang w:eastAsia="en-AU"/>
              </w:rPr>
              <w:t>)</w:t>
            </w:r>
            <w:r w:rsidRPr="00F93A87">
              <w:rPr>
                <w:color w:val="000000"/>
                <w:lang w:eastAsia="en-AU"/>
              </w:rPr>
              <w:t xml:space="preserve"> level, the most commonly reported TEAEs in both overall age groups (&lt; 65 years and ≥ 65 years) generally reflected those observed in the overall safety population: alopecia (49.6</w:t>
            </w:r>
            <w:r w:rsidR="000403F6" w:rsidRPr="00F93A87">
              <w:rPr>
                <w:color w:val="000000"/>
                <w:lang w:eastAsia="en-AU"/>
              </w:rPr>
              <w:t>%</w:t>
            </w:r>
            <w:r w:rsidRPr="00F93A87">
              <w:rPr>
                <w:color w:val="000000"/>
                <w:lang w:eastAsia="en-AU"/>
              </w:rPr>
              <w:t xml:space="preserve"> and 43.1</w:t>
            </w:r>
            <w:r w:rsidR="000403F6" w:rsidRPr="00F93A87">
              <w:rPr>
                <w:color w:val="000000"/>
                <w:lang w:eastAsia="en-AU"/>
              </w:rPr>
              <w:t>%</w:t>
            </w:r>
            <w:r w:rsidRPr="00F93A87">
              <w:rPr>
                <w:color w:val="000000"/>
                <w:lang w:eastAsia="en-AU"/>
              </w:rPr>
              <w:t>, respectively), neutropenia (39.3</w:t>
            </w:r>
            <w:r w:rsidR="000403F6" w:rsidRPr="00F93A87">
              <w:rPr>
                <w:color w:val="000000"/>
                <w:lang w:eastAsia="en-AU"/>
              </w:rPr>
              <w:t>%</w:t>
            </w:r>
            <w:r w:rsidRPr="00F93A87">
              <w:rPr>
                <w:color w:val="000000"/>
                <w:lang w:eastAsia="en-AU"/>
              </w:rPr>
              <w:t xml:space="preserve"> and 40.5</w:t>
            </w:r>
            <w:r w:rsidR="000403F6" w:rsidRPr="00F93A87">
              <w:rPr>
                <w:color w:val="000000"/>
                <w:lang w:eastAsia="en-AU"/>
              </w:rPr>
              <w:t>%</w:t>
            </w:r>
            <w:r w:rsidRPr="00F93A87">
              <w:rPr>
                <w:color w:val="000000"/>
                <w:lang w:eastAsia="en-AU"/>
              </w:rPr>
              <w:t>), leukopenia (21.7</w:t>
            </w:r>
            <w:r w:rsidR="000403F6" w:rsidRPr="00F93A87">
              <w:rPr>
                <w:color w:val="000000"/>
                <w:lang w:eastAsia="en-AU"/>
              </w:rPr>
              <w:t>%</w:t>
            </w:r>
            <w:r w:rsidRPr="00F93A87">
              <w:rPr>
                <w:color w:val="000000"/>
                <w:lang w:eastAsia="en-AU"/>
              </w:rPr>
              <w:t xml:space="preserve"> and 27.4</w:t>
            </w:r>
            <w:r w:rsidR="000403F6" w:rsidRPr="00F93A87">
              <w:rPr>
                <w:color w:val="000000"/>
                <w:lang w:eastAsia="en-AU"/>
              </w:rPr>
              <w:t>%</w:t>
            </w:r>
            <w:r w:rsidRPr="00F93A87">
              <w:rPr>
                <w:color w:val="000000"/>
                <w:lang w:eastAsia="en-AU"/>
              </w:rPr>
              <w:t>, respectively), asthenia (13.1</w:t>
            </w:r>
            <w:r w:rsidR="000403F6" w:rsidRPr="00F93A87">
              <w:rPr>
                <w:color w:val="000000"/>
                <w:lang w:eastAsia="en-AU"/>
              </w:rPr>
              <w:t>%</w:t>
            </w:r>
            <w:r w:rsidRPr="00F93A87">
              <w:rPr>
                <w:color w:val="000000"/>
                <w:lang w:eastAsia="en-AU"/>
              </w:rPr>
              <w:t xml:space="preserve"> and 12.2</w:t>
            </w:r>
            <w:r w:rsidR="000403F6" w:rsidRPr="00F93A87">
              <w:rPr>
                <w:color w:val="000000"/>
                <w:lang w:eastAsia="en-AU"/>
              </w:rPr>
              <w:t>%</w:t>
            </w:r>
            <w:r w:rsidRPr="00F93A87">
              <w:rPr>
                <w:color w:val="000000"/>
                <w:lang w:eastAsia="en-AU"/>
              </w:rPr>
              <w:t>, respectively), anaemia (10.6</w:t>
            </w:r>
            <w:r w:rsidR="000403F6" w:rsidRPr="00F93A87">
              <w:rPr>
                <w:color w:val="000000"/>
                <w:lang w:eastAsia="en-AU"/>
              </w:rPr>
              <w:t>%</w:t>
            </w:r>
            <w:r w:rsidRPr="00F93A87">
              <w:rPr>
                <w:color w:val="000000"/>
                <w:lang w:eastAsia="en-AU"/>
              </w:rPr>
              <w:t xml:space="preserve"> and 14.6</w:t>
            </w:r>
            <w:r w:rsidR="000403F6" w:rsidRPr="00F93A87">
              <w:rPr>
                <w:color w:val="000000"/>
                <w:lang w:eastAsia="en-AU"/>
              </w:rPr>
              <w:t>%</w:t>
            </w:r>
            <w:r w:rsidR="00A90D0A" w:rsidRPr="00F93A87">
              <w:rPr>
                <w:color w:val="000000"/>
                <w:lang w:eastAsia="en-AU"/>
              </w:rPr>
              <w:t xml:space="preserve">, respectively) </w:t>
            </w:r>
            <w:r w:rsidRPr="00F93A87">
              <w:rPr>
                <w:color w:val="000000"/>
                <w:lang w:eastAsia="en-AU"/>
              </w:rPr>
              <w:t>and headache (11.1</w:t>
            </w:r>
            <w:r w:rsidR="000403F6" w:rsidRPr="00F93A87">
              <w:rPr>
                <w:color w:val="000000"/>
                <w:lang w:eastAsia="en-AU"/>
              </w:rPr>
              <w:t>%</w:t>
            </w:r>
            <w:r w:rsidRPr="00F93A87">
              <w:rPr>
                <w:color w:val="000000"/>
                <w:lang w:eastAsia="en-AU"/>
              </w:rPr>
              <w:t xml:space="preserve"> and 12.0</w:t>
            </w:r>
            <w:r w:rsidR="000403F6" w:rsidRPr="00F93A87">
              <w:rPr>
                <w:color w:val="000000"/>
                <w:lang w:eastAsia="en-AU"/>
              </w:rPr>
              <w:t>%</w:t>
            </w:r>
            <w:r w:rsidRPr="00F93A87">
              <w:rPr>
                <w:color w:val="000000"/>
                <w:lang w:eastAsia="en-AU"/>
              </w:rPr>
              <w:t>, respectively). These events occurred in a slightly higher percentage in the ≥ 65 years group, with the exception of alopecia and asthenia.</w:t>
            </w:r>
          </w:p>
          <w:p w:rsidR="004A44A5" w:rsidRPr="00F93A87" w:rsidRDefault="004A44A5" w:rsidP="001129FF">
            <w:pPr>
              <w:rPr>
                <w:color w:val="000000"/>
                <w:lang w:eastAsia="en-AU"/>
              </w:rPr>
            </w:pPr>
            <w:r w:rsidRPr="00F93A87">
              <w:rPr>
                <w:color w:val="000000"/>
                <w:lang w:eastAsia="en-AU"/>
              </w:rPr>
              <w:t xml:space="preserve">As expected, </w:t>
            </w:r>
            <w:r w:rsidR="003802E6" w:rsidRPr="00F93A87">
              <w:rPr>
                <w:color w:val="000000"/>
                <w:lang w:eastAsia="en-AU"/>
              </w:rPr>
              <w:t>AE</w:t>
            </w:r>
            <w:r w:rsidRPr="00F93A87">
              <w:rPr>
                <w:color w:val="000000"/>
                <w:lang w:eastAsia="en-AU"/>
              </w:rPr>
              <w:t xml:space="preserve">s were most commonly reported in body systems </w:t>
            </w:r>
            <w:r w:rsidR="00A824E7" w:rsidRPr="00F93A87">
              <w:rPr>
                <w:color w:val="000000"/>
                <w:lang w:eastAsia="en-AU"/>
              </w:rPr>
              <w:t xml:space="preserve">(systems organ class) </w:t>
            </w:r>
            <w:r w:rsidRPr="00F93A87">
              <w:rPr>
                <w:color w:val="000000"/>
                <w:lang w:eastAsia="en-AU"/>
              </w:rPr>
              <w:t>(SOC)</w:t>
            </w:r>
            <w:r w:rsidR="00A824E7" w:rsidRPr="00F93A87">
              <w:rPr>
                <w:color w:val="000000"/>
                <w:lang w:eastAsia="en-AU"/>
              </w:rPr>
              <w:t>)</w:t>
            </w:r>
            <w:r w:rsidRPr="00F93A87">
              <w:rPr>
                <w:color w:val="000000"/>
                <w:lang w:eastAsia="en-AU"/>
              </w:rPr>
              <w:t xml:space="preserve"> that are most often involved </w:t>
            </w:r>
            <w:r w:rsidRPr="00F93A87">
              <w:rPr>
                <w:color w:val="000000"/>
                <w:lang w:eastAsia="en-AU"/>
              </w:rPr>
              <w:lastRenderedPageBreak/>
              <w:t>with the cytotoxic effects of chemotherapy administration, with the exception of headache, which is a known effect of the antiemetic treatment.</w:t>
            </w:r>
          </w:p>
          <w:p w:rsidR="004A44A5" w:rsidRPr="00F93A87" w:rsidRDefault="004A44A5" w:rsidP="001129FF">
            <w:pPr>
              <w:rPr>
                <w:color w:val="000000"/>
                <w:lang w:eastAsia="en-AU"/>
              </w:rPr>
            </w:pPr>
            <w:r w:rsidRPr="00F93A87">
              <w:rPr>
                <w:color w:val="000000"/>
                <w:lang w:eastAsia="en-AU"/>
              </w:rPr>
              <w:t>Considering that TEAEs were counted only in the cycle in which they were first reported, the percentage of patients who underwent at least 6 consecutive cycles of treatment who reported TEAEs decreased with each additional cycle of treatment for both age subgroups in the netupitant-palonosetron group, ranging from 68.9</w:t>
            </w:r>
            <w:r w:rsidR="000403F6" w:rsidRPr="00F93A87">
              <w:rPr>
                <w:color w:val="000000"/>
                <w:lang w:eastAsia="en-AU"/>
              </w:rPr>
              <w:t>%</w:t>
            </w:r>
            <w:r w:rsidRPr="00F93A87">
              <w:rPr>
                <w:color w:val="000000"/>
                <w:lang w:eastAsia="en-AU"/>
              </w:rPr>
              <w:t xml:space="preserve"> (184</w:t>
            </w:r>
            <w:r w:rsidR="00027344" w:rsidRPr="00F93A87">
              <w:rPr>
                <w:color w:val="000000"/>
                <w:lang w:eastAsia="en-AU"/>
              </w:rPr>
              <w:t xml:space="preserve"> out of </w:t>
            </w:r>
            <w:r w:rsidRPr="00F93A87">
              <w:rPr>
                <w:color w:val="000000"/>
                <w:lang w:eastAsia="en-AU"/>
              </w:rPr>
              <w:t>267 patients) at</w:t>
            </w:r>
            <w:r w:rsidR="005F7FE0" w:rsidRPr="00F93A87">
              <w:rPr>
                <w:color w:val="000000"/>
                <w:lang w:eastAsia="en-AU"/>
              </w:rPr>
              <w:t xml:space="preserve"> Cycle 1</w:t>
            </w:r>
            <w:r w:rsidRPr="00F93A87">
              <w:rPr>
                <w:color w:val="000000"/>
                <w:lang w:eastAsia="en-AU"/>
              </w:rPr>
              <w:t xml:space="preserve"> to 31.8</w:t>
            </w:r>
            <w:r w:rsidR="000403F6" w:rsidRPr="00F93A87">
              <w:rPr>
                <w:color w:val="000000"/>
                <w:lang w:eastAsia="en-AU"/>
              </w:rPr>
              <w:t>%</w:t>
            </w:r>
            <w:r w:rsidR="00A824E7" w:rsidRPr="00F93A87">
              <w:rPr>
                <w:color w:val="000000"/>
                <w:lang w:eastAsia="en-AU"/>
              </w:rPr>
              <w:t xml:space="preserve"> (85</w:t>
            </w:r>
            <w:r w:rsidR="00027344" w:rsidRPr="00F93A87">
              <w:rPr>
                <w:color w:val="000000"/>
                <w:lang w:eastAsia="en-AU"/>
              </w:rPr>
              <w:t xml:space="preserve"> out of </w:t>
            </w:r>
            <w:r w:rsidR="00A824E7" w:rsidRPr="00F93A87">
              <w:rPr>
                <w:color w:val="000000"/>
                <w:lang w:eastAsia="en-AU"/>
              </w:rPr>
              <w:t>267 patients) at C</w:t>
            </w:r>
            <w:r w:rsidRPr="00F93A87">
              <w:rPr>
                <w:color w:val="000000"/>
                <w:lang w:eastAsia="en-AU"/>
              </w:rPr>
              <w:t>ycle 6 in patients &lt; 65 years of age and from 72.0</w:t>
            </w:r>
            <w:r w:rsidR="000403F6" w:rsidRPr="00F93A87">
              <w:rPr>
                <w:color w:val="000000"/>
                <w:lang w:eastAsia="en-AU"/>
              </w:rPr>
              <w:t>%</w:t>
            </w:r>
            <w:r w:rsidRPr="00F93A87">
              <w:rPr>
                <w:color w:val="000000"/>
                <w:lang w:eastAsia="en-AU"/>
              </w:rPr>
              <w:t xml:space="preserve"> (36</w:t>
            </w:r>
            <w:r w:rsidR="00027344" w:rsidRPr="00F93A87">
              <w:rPr>
                <w:color w:val="000000"/>
                <w:lang w:eastAsia="en-AU"/>
              </w:rPr>
              <w:t xml:space="preserve"> out of </w:t>
            </w:r>
            <w:r w:rsidRPr="00F93A87">
              <w:rPr>
                <w:color w:val="000000"/>
                <w:lang w:eastAsia="en-AU"/>
              </w:rPr>
              <w:t>50 patients) at</w:t>
            </w:r>
            <w:r w:rsidR="005F7FE0" w:rsidRPr="00F93A87">
              <w:rPr>
                <w:color w:val="000000"/>
                <w:lang w:eastAsia="en-AU"/>
              </w:rPr>
              <w:t xml:space="preserve"> Cycle 1</w:t>
            </w:r>
            <w:r w:rsidRPr="00F93A87">
              <w:rPr>
                <w:color w:val="000000"/>
                <w:lang w:eastAsia="en-AU"/>
              </w:rPr>
              <w:t xml:space="preserve"> to 36.0</w:t>
            </w:r>
            <w:r w:rsidR="000403F6" w:rsidRPr="00F93A87">
              <w:rPr>
                <w:color w:val="000000"/>
                <w:lang w:eastAsia="en-AU"/>
              </w:rPr>
              <w:t>%</w:t>
            </w:r>
            <w:r w:rsidR="00A824E7" w:rsidRPr="00F93A87">
              <w:rPr>
                <w:color w:val="000000"/>
                <w:lang w:eastAsia="en-AU"/>
              </w:rPr>
              <w:t xml:space="preserve"> (18</w:t>
            </w:r>
            <w:r w:rsidR="00027344" w:rsidRPr="00F93A87">
              <w:rPr>
                <w:color w:val="000000"/>
                <w:lang w:eastAsia="en-AU"/>
              </w:rPr>
              <w:t xml:space="preserve"> out of </w:t>
            </w:r>
            <w:r w:rsidR="00A824E7" w:rsidRPr="00F93A87">
              <w:rPr>
                <w:color w:val="000000"/>
                <w:lang w:eastAsia="en-AU"/>
              </w:rPr>
              <w:t>50 patients) at C</w:t>
            </w:r>
            <w:r w:rsidRPr="00F93A87">
              <w:rPr>
                <w:color w:val="000000"/>
                <w:lang w:eastAsia="en-AU"/>
              </w:rPr>
              <w:t>ycle 6 in patients ≥ 65 years of age. At each cycle, similar percentages of patients in the 2 age subgroups reported at least 1 TEAE in the netupitant-palonosetron group.</w:t>
            </w:r>
          </w:p>
          <w:p w:rsidR="004A44A5" w:rsidRPr="00F93A87" w:rsidRDefault="004A44A5" w:rsidP="001129FF">
            <w:pPr>
              <w:rPr>
                <w:color w:val="000000"/>
                <w:lang w:eastAsia="en-AU"/>
              </w:rPr>
            </w:pPr>
            <w:r w:rsidRPr="00F93A87">
              <w:rPr>
                <w:color w:val="000000"/>
                <w:lang w:eastAsia="en-AU"/>
              </w:rPr>
              <w:t>Among patients who had at least 6 consecutive cycles of treatment, SAEs were reported in &lt; 2</w:t>
            </w:r>
            <w:r w:rsidR="000403F6" w:rsidRPr="00F93A87">
              <w:rPr>
                <w:color w:val="000000"/>
                <w:lang w:eastAsia="en-AU"/>
              </w:rPr>
              <w:t>%</w:t>
            </w:r>
            <w:r w:rsidRPr="00F93A87">
              <w:rPr>
                <w:color w:val="000000"/>
                <w:lang w:eastAsia="en-AU"/>
              </w:rPr>
              <w:t xml:space="preserve"> of patients in either age s</w:t>
            </w:r>
            <w:r w:rsidR="00815BB5" w:rsidRPr="00F93A87">
              <w:rPr>
                <w:color w:val="000000"/>
                <w:lang w:eastAsia="en-AU"/>
              </w:rPr>
              <w:t>ubgroup, with the exception of Cycle 5 in t</w:t>
            </w:r>
            <w:r w:rsidRPr="00F93A87">
              <w:rPr>
                <w:color w:val="000000"/>
                <w:lang w:eastAsia="en-AU"/>
              </w:rPr>
              <w:t>he &lt; 65 years of age, where 6 (2.2</w:t>
            </w:r>
            <w:r w:rsidR="000403F6" w:rsidRPr="00F93A87">
              <w:rPr>
                <w:color w:val="000000"/>
                <w:lang w:eastAsia="en-AU"/>
              </w:rPr>
              <w:t>%</w:t>
            </w:r>
            <w:r w:rsidRPr="00F93A87">
              <w:rPr>
                <w:color w:val="000000"/>
                <w:lang w:eastAsia="en-AU"/>
              </w:rPr>
              <w:t>) patients reported SAEs.</w:t>
            </w:r>
          </w:p>
          <w:p w:rsidR="004A44A5" w:rsidRPr="00F93A87" w:rsidRDefault="004A44A5" w:rsidP="001129FF">
            <w:pPr>
              <w:rPr>
                <w:color w:val="000000"/>
                <w:lang w:eastAsia="en-AU"/>
              </w:rPr>
            </w:pPr>
            <w:r w:rsidRPr="00F93A87">
              <w:rPr>
                <w:color w:val="000000"/>
                <w:lang w:eastAsia="en-AU"/>
              </w:rPr>
              <w:t xml:space="preserve">Overall, it can be assumed that there is no significant unknown safety concern in the population aged more than 65 years compared to that observed in cancer patients aged less than 65 years. Moreover the safety profile of </w:t>
            </w:r>
            <w:r w:rsidR="00C51742" w:rsidRPr="00F93A87">
              <w:rPr>
                <w:color w:val="000000"/>
                <w:lang w:eastAsia="en-AU"/>
              </w:rPr>
              <w:t>Akynzeo</w:t>
            </w:r>
            <w:r w:rsidRPr="00F93A87">
              <w:rPr>
                <w:color w:val="000000"/>
                <w:lang w:eastAsia="en-AU"/>
              </w:rPr>
              <w:t xml:space="preserve"> is similar in both age categories, considering the type and frequency of the reported TEAEs.</w:t>
            </w:r>
          </w:p>
          <w:p w:rsidR="004A44A5" w:rsidRPr="00F93A87" w:rsidRDefault="004A44A5" w:rsidP="001129FF">
            <w:pPr>
              <w:rPr>
                <w:color w:val="000000"/>
                <w:lang w:eastAsia="en-AU"/>
              </w:rPr>
            </w:pPr>
            <w:r w:rsidRPr="00F93A87">
              <w:rPr>
                <w:color w:val="000000"/>
                <w:lang w:eastAsia="en-AU"/>
              </w:rPr>
              <w:t xml:space="preserve">Taking into account the above data, the </w:t>
            </w:r>
            <w:r w:rsidR="00791AE3" w:rsidRPr="00F93A87">
              <w:rPr>
                <w:color w:val="000000"/>
                <w:lang w:eastAsia="en-AU"/>
              </w:rPr>
              <w:t>sponsor</w:t>
            </w:r>
            <w:r w:rsidR="00A824E7" w:rsidRPr="00F93A87">
              <w:rPr>
                <w:color w:val="000000"/>
                <w:lang w:eastAsia="en-AU"/>
              </w:rPr>
              <w:t xml:space="preserve"> proposes to not include ‘use in the elderly’</w:t>
            </w:r>
            <w:r w:rsidRPr="00F93A87">
              <w:rPr>
                <w:color w:val="000000"/>
                <w:lang w:eastAsia="en-AU"/>
              </w:rPr>
              <w:t xml:space="preserve"> in the </w:t>
            </w:r>
            <w:r w:rsidR="00A824E7" w:rsidRPr="00F93A87">
              <w:rPr>
                <w:color w:val="000000"/>
                <w:lang w:eastAsia="en-AU"/>
              </w:rPr>
              <w:t>ongoing safety concern list as ‘missing information’</w:t>
            </w:r>
            <w:r w:rsidRPr="00F93A87">
              <w:rPr>
                <w:color w:val="000000"/>
                <w:lang w:eastAsia="en-AU"/>
              </w:rPr>
              <w:t>.</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sponsor’s</w:t>
            </w:r>
            <w:r w:rsidRPr="00F93A87">
              <w:rPr>
                <w:color w:val="000000"/>
                <w:lang w:eastAsia="en-AU"/>
              </w:rPr>
              <w:t xml:space="preserve"> response is acceptabl</w:t>
            </w:r>
            <w:r w:rsidR="00401656" w:rsidRPr="00F93A87">
              <w:rPr>
                <w:color w:val="000000"/>
                <w:lang w:eastAsia="en-AU"/>
              </w:rPr>
              <w:t>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In a different pharmacokinetic study (NETU-10-10), the </w:t>
            </w:r>
            <w:r w:rsidR="00791AE3" w:rsidRPr="00F93A87">
              <w:rPr>
                <w:color w:val="000000"/>
                <w:lang w:eastAsia="en-AU"/>
              </w:rPr>
              <w:t>sponsor</w:t>
            </w:r>
            <w:r w:rsidRPr="00F93A87">
              <w:rPr>
                <w:color w:val="000000"/>
                <w:lang w:eastAsia="en-AU"/>
              </w:rPr>
              <w:t xml:space="preserve"> reported increases in exposure to netupitant in participants with mild and moderate hepatic impairment ‘presumably due to reduced hepatic metabolism’ and ‘the effect appeared to increase with the degree of hepatic impairment’. A high variability amongst the participants was </w:t>
            </w:r>
            <w:r w:rsidRPr="00F93A87">
              <w:rPr>
                <w:color w:val="000000"/>
                <w:lang w:eastAsia="en-AU"/>
              </w:rPr>
              <w:lastRenderedPageBreak/>
              <w:t xml:space="preserve">also observed. In addition, the small sample size of two participants with severely impaired hepatic function precluded a definitive conclusion in this group. Given that netupitant is ‘eliminated mainly by hepatic metabolism’ </w:t>
            </w:r>
            <w:r w:rsidR="00A90D0A" w:rsidRPr="00F93A87">
              <w:rPr>
                <w:color w:val="000000"/>
                <w:lang w:eastAsia="en-AU"/>
              </w:rPr>
              <w:t>(‘interactions with other medicines</w:t>
            </w:r>
            <w:r w:rsidRPr="00F93A87">
              <w:rPr>
                <w:color w:val="000000"/>
                <w:lang w:eastAsia="en-AU"/>
              </w:rPr>
              <w:t>’, proposed PI), ‘use in moderate to severe hepatic impairment’ should be added to the safety concern list as missing information in the ASA.</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mentioned </w:t>
            </w:r>
            <w:r w:rsidR="00F73FE3" w:rsidRPr="00F93A87">
              <w:rPr>
                <w:color w:val="000000"/>
                <w:lang w:eastAsia="en-AU"/>
              </w:rPr>
              <w:t>Study NETU</w:t>
            </w:r>
            <w:r w:rsidRPr="00F93A87">
              <w:rPr>
                <w:color w:val="000000"/>
                <w:lang w:eastAsia="en-AU"/>
              </w:rPr>
              <w:t xml:space="preserve">-10-10 was conducted to assess the PK of a single dose of </w:t>
            </w:r>
            <w:r w:rsidR="00C51742" w:rsidRPr="00F93A87">
              <w:rPr>
                <w:color w:val="000000"/>
                <w:lang w:eastAsia="en-AU"/>
              </w:rPr>
              <w:t>Akynzeo</w:t>
            </w:r>
            <w:r w:rsidRPr="00F93A87">
              <w:rPr>
                <w:color w:val="000000"/>
                <w:lang w:eastAsia="en-AU"/>
              </w:rPr>
              <w:t xml:space="preserve"> in patients with different stages of hepatic impairment in comparison to healthy volunteers. A total of 36 subjects were enrolled: 18 subjects with hepatic impairment classified by Child-Pugh scoring system as mild (</w:t>
            </w:r>
            <w:r w:rsidR="002D3239" w:rsidRPr="00F93A87">
              <w:rPr>
                <w:color w:val="000000"/>
                <w:lang w:eastAsia="en-AU"/>
              </w:rPr>
              <w:t xml:space="preserve">N = </w:t>
            </w:r>
            <w:r w:rsidR="00A90D0A" w:rsidRPr="00F93A87">
              <w:rPr>
                <w:color w:val="000000"/>
                <w:lang w:eastAsia="en-AU"/>
              </w:rPr>
              <w:t xml:space="preserve">8 Child-Pugh 5 to </w:t>
            </w:r>
            <w:r w:rsidRPr="00F93A87">
              <w:rPr>
                <w:color w:val="000000"/>
                <w:lang w:eastAsia="en-AU"/>
              </w:rPr>
              <w:t>6), moderate (</w:t>
            </w:r>
            <w:r w:rsidR="002D3239" w:rsidRPr="00F93A87">
              <w:rPr>
                <w:color w:val="000000"/>
                <w:lang w:eastAsia="en-AU"/>
              </w:rPr>
              <w:t xml:space="preserve">N = </w:t>
            </w:r>
            <w:r w:rsidR="00A90D0A" w:rsidRPr="00F93A87">
              <w:rPr>
                <w:color w:val="000000"/>
                <w:lang w:eastAsia="en-AU"/>
              </w:rPr>
              <w:t xml:space="preserve">8 Child Pugh 7 to </w:t>
            </w:r>
            <w:r w:rsidRPr="00F93A87">
              <w:rPr>
                <w:color w:val="000000"/>
                <w:lang w:eastAsia="en-AU"/>
              </w:rPr>
              <w:t>9) and severe (</w:t>
            </w:r>
            <w:r w:rsidR="002D3239" w:rsidRPr="00F93A87">
              <w:rPr>
                <w:color w:val="000000"/>
                <w:lang w:eastAsia="en-AU"/>
              </w:rPr>
              <w:t xml:space="preserve">N = </w:t>
            </w:r>
            <w:r w:rsidR="00A90D0A" w:rsidRPr="00F93A87">
              <w:rPr>
                <w:color w:val="000000"/>
                <w:lang w:eastAsia="en-AU"/>
              </w:rPr>
              <w:t xml:space="preserve">2 Child Pugh 10 to </w:t>
            </w:r>
            <w:r w:rsidRPr="00F93A87">
              <w:rPr>
                <w:color w:val="000000"/>
                <w:lang w:eastAsia="en-AU"/>
              </w:rPr>
              <w:t xml:space="preserve">15) and 18 healthy subjects matched to the subjects with hepatic </w:t>
            </w:r>
            <w:r w:rsidRPr="00F93A87">
              <w:rPr>
                <w:color w:val="000000"/>
                <w:lang w:eastAsia="en-AU"/>
              </w:rPr>
              <w:lastRenderedPageBreak/>
              <w:t>impairment by age, weight and gender.</w:t>
            </w:r>
          </w:p>
          <w:p w:rsidR="004A44A5" w:rsidRPr="00F93A87" w:rsidRDefault="004A44A5" w:rsidP="001129FF">
            <w:pPr>
              <w:rPr>
                <w:color w:val="000000"/>
                <w:lang w:eastAsia="en-AU"/>
              </w:rPr>
            </w:pPr>
            <w:r w:rsidRPr="00F93A87">
              <w:rPr>
                <w:color w:val="000000"/>
                <w:lang w:eastAsia="en-AU"/>
              </w:rPr>
              <w:t>In 8 subjects with mild hepatic impairment, exposure to netupitant was slightly higher compared to matching healthy subjects; while in subjects with moderate hepatic impairment exposure to netupitant was significantly higher compared to healthy subjects. Mildly hepatic impaired patients (</w:t>
            </w:r>
            <w:r w:rsidR="002D3239" w:rsidRPr="00F93A87">
              <w:rPr>
                <w:color w:val="000000"/>
                <w:lang w:eastAsia="en-AU"/>
              </w:rPr>
              <w:t xml:space="preserve">N = </w:t>
            </w:r>
            <w:r w:rsidRPr="00F93A87">
              <w:rPr>
                <w:color w:val="000000"/>
                <w:lang w:eastAsia="en-AU"/>
              </w:rPr>
              <w:t xml:space="preserve">8) showed a </w:t>
            </w:r>
            <w:proofErr w:type="spellStart"/>
            <w:r w:rsidR="0018634D" w:rsidRPr="00F93A87">
              <w:rPr>
                <w:color w:val="000000"/>
                <w:lang w:eastAsia="en-AU"/>
              </w:rPr>
              <w:t>C</w:t>
            </w:r>
            <w:r w:rsidR="0018634D" w:rsidRPr="00F93A87">
              <w:rPr>
                <w:color w:val="000000"/>
                <w:vertAlign w:val="subscript"/>
                <w:lang w:eastAsia="en-AU"/>
              </w:rPr>
              <w:t>max</w:t>
            </w:r>
            <w:proofErr w:type="spellEnd"/>
            <w:r w:rsidRPr="00F93A87">
              <w:rPr>
                <w:color w:val="000000"/>
                <w:lang w:eastAsia="en-AU"/>
              </w:rPr>
              <w:t xml:space="preserve"> of </w:t>
            </w:r>
            <w:proofErr w:type="spellStart"/>
            <w:r w:rsidRPr="00F93A87">
              <w:rPr>
                <w:color w:val="000000"/>
                <w:lang w:eastAsia="en-AU"/>
              </w:rPr>
              <w:t>palonosetron</w:t>
            </w:r>
            <w:proofErr w:type="spellEnd"/>
            <w:r w:rsidRPr="00F93A87">
              <w:rPr>
                <w:color w:val="000000"/>
                <w:lang w:eastAsia="en-AU"/>
              </w:rPr>
              <w:t xml:space="preserve"> slightly higher compared to control with an increase of 14</w:t>
            </w:r>
            <w:r w:rsidR="000403F6" w:rsidRPr="00F93A87">
              <w:rPr>
                <w:color w:val="000000"/>
                <w:lang w:eastAsia="en-AU"/>
              </w:rPr>
              <w:t>%</w:t>
            </w:r>
            <w:r w:rsidRPr="00F93A87">
              <w:rPr>
                <w:color w:val="000000"/>
                <w:lang w:eastAsia="en-AU"/>
              </w:rPr>
              <w:t xml:space="preserve"> for </w:t>
            </w:r>
            <w:proofErr w:type="spellStart"/>
            <w:r w:rsidR="0018634D" w:rsidRPr="00F93A87">
              <w:rPr>
                <w:color w:val="000000"/>
                <w:lang w:eastAsia="en-AU"/>
              </w:rPr>
              <w:t>C</w:t>
            </w:r>
            <w:r w:rsidR="0018634D" w:rsidRPr="00F93A87">
              <w:rPr>
                <w:color w:val="000000"/>
                <w:vertAlign w:val="subscript"/>
                <w:lang w:eastAsia="en-AU"/>
              </w:rPr>
              <w:t>max</w:t>
            </w:r>
            <w:proofErr w:type="spellEnd"/>
            <w:r w:rsidRPr="00F93A87">
              <w:rPr>
                <w:color w:val="000000"/>
                <w:lang w:eastAsia="en-AU"/>
              </w:rPr>
              <w:t xml:space="preserve">. However, the increase was not statistically significant. In patients with moderate hepatic impairment, </w:t>
            </w:r>
            <w:proofErr w:type="spellStart"/>
            <w:r w:rsidR="0018634D" w:rsidRPr="00F93A87">
              <w:rPr>
                <w:color w:val="000000"/>
                <w:lang w:eastAsia="en-AU"/>
              </w:rPr>
              <w:t>C</w:t>
            </w:r>
            <w:r w:rsidR="0018634D" w:rsidRPr="00F93A87">
              <w:rPr>
                <w:color w:val="000000"/>
                <w:vertAlign w:val="subscript"/>
                <w:lang w:eastAsia="en-AU"/>
              </w:rPr>
              <w:t>max</w:t>
            </w:r>
            <w:proofErr w:type="spellEnd"/>
            <w:r w:rsidRPr="00F93A87">
              <w:rPr>
                <w:color w:val="000000"/>
                <w:lang w:eastAsia="en-AU"/>
              </w:rPr>
              <w:t xml:space="preserve"> of </w:t>
            </w:r>
            <w:proofErr w:type="spellStart"/>
            <w:r w:rsidRPr="00F93A87">
              <w:rPr>
                <w:color w:val="000000"/>
                <w:lang w:eastAsia="en-AU"/>
              </w:rPr>
              <w:t>palonosetron</w:t>
            </w:r>
            <w:proofErr w:type="spellEnd"/>
            <w:r w:rsidRPr="00F93A87">
              <w:rPr>
                <w:color w:val="000000"/>
                <w:lang w:eastAsia="en-AU"/>
              </w:rPr>
              <w:t xml:space="preserve"> was similar to that of matching healthy subjects.</w:t>
            </w:r>
          </w:p>
          <w:p w:rsidR="004A44A5" w:rsidRPr="00F93A87" w:rsidRDefault="004A44A5" w:rsidP="001129FF">
            <w:pPr>
              <w:rPr>
                <w:color w:val="000000"/>
                <w:lang w:eastAsia="en-AU"/>
              </w:rPr>
            </w:pPr>
            <w:r w:rsidRPr="00F93A87">
              <w:rPr>
                <w:color w:val="000000"/>
                <w:lang w:eastAsia="en-AU"/>
              </w:rPr>
              <w:t>A wide variability of calculated half-lives of netupitant was observed both</w:t>
            </w:r>
            <w:r w:rsidR="00A90D0A" w:rsidRPr="00F93A87">
              <w:rPr>
                <w:color w:val="000000"/>
                <w:lang w:eastAsia="en-AU"/>
              </w:rPr>
              <w:t xml:space="preserve">, </w:t>
            </w:r>
            <w:r w:rsidRPr="00F93A87">
              <w:rPr>
                <w:color w:val="000000"/>
                <w:lang w:eastAsia="en-AU"/>
              </w:rPr>
              <w:t xml:space="preserve">in moderately impaired subjects and in healthy subjects as well as of the </w:t>
            </w:r>
            <w:proofErr w:type="spellStart"/>
            <w:r w:rsidR="0018634D" w:rsidRPr="00F93A87">
              <w:rPr>
                <w:color w:val="000000"/>
                <w:lang w:eastAsia="en-AU"/>
              </w:rPr>
              <w:t>C</w:t>
            </w:r>
            <w:r w:rsidR="0018634D" w:rsidRPr="00F93A87">
              <w:rPr>
                <w:color w:val="000000"/>
                <w:vertAlign w:val="subscript"/>
                <w:lang w:eastAsia="en-AU"/>
              </w:rPr>
              <w:t>max</w:t>
            </w:r>
            <w:proofErr w:type="spellEnd"/>
            <w:r w:rsidRPr="00F93A87">
              <w:rPr>
                <w:color w:val="000000"/>
                <w:lang w:eastAsia="en-AU"/>
              </w:rPr>
              <w:t>/AUC values across all the subject groups for netupitant. The mean exposure values for the moderate matched healthy subjects were lower than the mild matched subjects, while the exposure mean values for mild and moderate impaired subjects were actually similar. The statistical significance of the moderately impaired group could be largely due to the comparison with the specific matched healthy subjects, and the absolute difference between mild and moderate impaired subjects was small. Therefore no dose adjustment was deemed needed for mildly or moderately hepatic impaired patients.</w:t>
            </w:r>
          </w:p>
          <w:p w:rsidR="004A44A5" w:rsidRPr="00F93A87" w:rsidRDefault="004A44A5" w:rsidP="001129FF">
            <w:pPr>
              <w:rPr>
                <w:color w:val="000000"/>
                <w:lang w:eastAsia="en-AU"/>
              </w:rPr>
            </w:pPr>
            <w:r w:rsidRPr="00F93A87">
              <w:rPr>
                <w:color w:val="000000"/>
                <w:lang w:eastAsia="en-AU"/>
              </w:rPr>
              <w:t>The small sample size of severely impaired subjects (</w:t>
            </w:r>
            <w:r w:rsidR="002D3239" w:rsidRPr="00F93A87">
              <w:rPr>
                <w:color w:val="000000"/>
                <w:lang w:eastAsia="en-AU"/>
              </w:rPr>
              <w:t xml:space="preserve">N = </w:t>
            </w:r>
            <w:r w:rsidRPr="00F93A87">
              <w:rPr>
                <w:color w:val="000000"/>
                <w:lang w:eastAsia="en-AU"/>
              </w:rPr>
              <w:t xml:space="preserve">2) was scarce, a trend toward increased exposure is likely to exist; however the variability in the data precluded a definitive conclusion. Based on these results, the </w:t>
            </w:r>
            <w:r w:rsidR="00791AE3" w:rsidRPr="00F93A87">
              <w:rPr>
                <w:color w:val="000000"/>
                <w:lang w:eastAsia="en-AU"/>
              </w:rPr>
              <w:t>sponsor</w:t>
            </w:r>
            <w:r w:rsidRPr="00F93A87">
              <w:rPr>
                <w:color w:val="000000"/>
                <w:lang w:eastAsia="en-AU"/>
              </w:rPr>
              <w:t xml:space="preserve"> believes that only the use in patients with severe liver impairment should be considered missing information to be included in the EU RMP. This update is expected to be completed in the EU RMP in Europe post-approval (June 2015), and the ASA will be updated accordingly at that time.</w:t>
            </w:r>
          </w:p>
          <w:p w:rsidR="004A44A5" w:rsidRPr="00F93A87" w:rsidRDefault="004A44A5" w:rsidP="001129FF">
            <w:pPr>
              <w:rPr>
                <w:color w:val="000000"/>
                <w:lang w:eastAsia="en-AU"/>
              </w:rPr>
            </w:pPr>
            <w:r w:rsidRPr="00F93A87">
              <w:rPr>
                <w:color w:val="000000"/>
                <w:lang w:eastAsia="en-AU"/>
              </w:rPr>
              <w:t xml:space="preserve">The PI for </w:t>
            </w:r>
            <w:r w:rsidR="00C51742" w:rsidRPr="00F93A87">
              <w:rPr>
                <w:color w:val="000000"/>
                <w:lang w:eastAsia="en-AU"/>
              </w:rPr>
              <w:t>Akynzeo</w:t>
            </w:r>
            <w:r w:rsidR="001E6120" w:rsidRPr="00F93A87">
              <w:rPr>
                <w:color w:val="000000"/>
                <w:lang w:eastAsia="en-AU"/>
              </w:rPr>
              <w:t xml:space="preserve"> submitted </w:t>
            </w:r>
            <w:r w:rsidRPr="00F93A87">
              <w:rPr>
                <w:color w:val="000000"/>
                <w:lang w:eastAsia="en-AU"/>
              </w:rPr>
              <w:t xml:space="preserve">has been updated to advise caution in patients with </w:t>
            </w:r>
            <w:r w:rsidRPr="00F93A87">
              <w:rPr>
                <w:color w:val="000000"/>
                <w:lang w:eastAsia="en-AU"/>
              </w:rPr>
              <w:lastRenderedPageBreak/>
              <w:t>severe hepatic impairment.</w:t>
            </w:r>
          </w:p>
          <w:p w:rsidR="004A44A5" w:rsidRPr="00F93A87" w:rsidRDefault="004A44A5" w:rsidP="001129FF">
            <w:pPr>
              <w:rPr>
                <w:color w:val="000000"/>
                <w:lang w:eastAsia="en-AU"/>
              </w:rPr>
            </w:pPr>
            <w:r w:rsidRPr="00F93A87">
              <w:rPr>
                <w:color w:val="000000"/>
                <w:lang w:eastAsia="en-AU"/>
              </w:rPr>
              <w:t xml:space="preserve">The </w:t>
            </w:r>
            <w:r w:rsidR="00791AE3" w:rsidRPr="00F93A87">
              <w:rPr>
                <w:color w:val="000000"/>
                <w:lang w:eastAsia="en-AU"/>
              </w:rPr>
              <w:t>sponsor</w:t>
            </w:r>
            <w:r w:rsidRPr="00F93A87">
              <w:rPr>
                <w:color w:val="000000"/>
                <w:lang w:eastAsia="en-AU"/>
              </w:rPr>
              <w:t xml:space="preserve"> believes that no additional warnings or precautions are required.</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sponsor’s</w:t>
            </w:r>
            <w:r w:rsidR="00A90D0A"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 xml:space="preserve">The pharmacovigilance section of the ASA should be updated accordingly to provide plans for managing the aforementioned safety issues. The </w:t>
            </w:r>
            <w:r w:rsidR="00791AE3" w:rsidRPr="00F93A87">
              <w:rPr>
                <w:color w:val="000000"/>
                <w:lang w:eastAsia="en-AU"/>
              </w:rPr>
              <w:t>sponsor</w:t>
            </w:r>
            <w:r w:rsidRPr="00F93A87">
              <w:rPr>
                <w:color w:val="000000"/>
                <w:lang w:eastAsia="en-AU"/>
              </w:rPr>
              <w:t xml:space="preserve"> should propose relevant new additional pharmacovigilance activities or assign these ongoing safety concerns to existing activities.</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A90D0A" w:rsidP="001129FF">
            <w:pPr>
              <w:rPr>
                <w:color w:val="000000"/>
                <w:lang w:eastAsia="en-AU"/>
              </w:rPr>
            </w:pPr>
            <w:r w:rsidRPr="00F93A87">
              <w:rPr>
                <w:color w:val="000000"/>
                <w:lang w:eastAsia="en-AU"/>
              </w:rPr>
              <w:t>T</w:t>
            </w:r>
            <w:r w:rsidR="004A44A5" w:rsidRPr="00F93A87">
              <w:rPr>
                <w:color w:val="000000"/>
                <w:lang w:eastAsia="en-AU"/>
              </w:rPr>
              <w:t>he EU RMP will be updated in June 2015 as soon as the EU evaluation procedures that are currently ongoing are completed and the final opinion is adopted by the CHMP. The ASA will be updated accordingly at that time and/or when the final PI negotiations for this evaluation have taken place.</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The </w:t>
            </w:r>
            <w:r w:rsidR="00791AE3" w:rsidRPr="00F93A87">
              <w:rPr>
                <w:color w:val="000000"/>
                <w:lang w:eastAsia="en-AU"/>
              </w:rPr>
              <w:t>sponsor’s</w:t>
            </w:r>
            <w:r w:rsidR="00A90D0A"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A90D0A">
            <w:pPr>
              <w:rPr>
                <w:color w:val="000000"/>
                <w:lang w:eastAsia="en-AU"/>
              </w:rPr>
            </w:pPr>
            <w:r w:rsidRPr="00F93A87">
              <w:rPr>
                <w:color w:val="000000"/>
                <w:lang w:eastAsia="en-AU"/>
              </w:rPr>
              <w:t>The safety review conducted by Health Canada on serotonin blocking drugs led to the request for manufacturers to incorporate serotonin syndrome into the product labelling</w:t>
            </w:r>
            <w:r w:rsidR="00A90D0A" w:rsidRPr="00F93A87">
              <w:rPr>
                <w:color w:val="000000"/>
                <w:lang w:eastAsia="en-AU"/>
              </w:rPr>
              <w:t>.</w:t>
            </w:r>
            <w:r w:rsidR="00A90D0A" w:rsidRPr="00F93A87">
              <w:rPr>
                <w:rStyle w:val="FootnoteReference"/>
                <w:color w:val="000000"/>
                <w:lang w:eastAsia="en-AU"/>
              </w:rPr>
              <w:footnoteReference w:id="20"/>
            </w:r>
            <w:r w:rsidRPr="00F93A87">
              <w:rPr>
                <w:color w:val="000000"/>
                <w:lang w:eastAsia="en-AU"/>
              </w:rPr>
              <w:t xml:space="preserve"> The TGA also published a safety alert on 22 September 2014 against the risk of serotonin syndrome. It is understood that requests for updating relevant sections of the PI and CMI are underway</w:t>
            </w:r>
            <w:r w:rsidR="00A90D0A" w:rsidRPr="00F93A87">
              <w:rPr>
                <w:color w:val="000000"/>
                <w:lang w:eastAsia="en-AU"/>
              </w:rPr>
              <w:t>.</w:t>
            </w:r>
            <w:r w:rsidR="00A90D0A" w:rsidRPr="00F93A87">
              <w:rPr>
                <w:rStyle w:val="FootnoteReference"/>
                <w:color w:val="000000"/>
                <w:lang w:eastAsia="en-AU"/>
              </w:rPr>
              <w:footnoteReference w:id="21"/>
            </w:r>
            <w:r w:rsidR="00A90D0A" w:rsidRPr="00F93A87">
              <w:rPr>
                <w:color w:val="000000"/>
                <w:lang w:eastAsia="en-AU"/>
              </w:rPr>
              <w:t xml:space="preserve"> </w:t>
            </w:r>
            <w:r w:rsidRPr="00F93A87">
              <w:rPr>
                <w:color w:val="000000"/>
                <w:lang w:eastAsia="en-AU"/>
              </w:rPr>
              <w:t xml:space="preserve">It is recommended to the Delegate that warnings against serotonin syndrome are added to the PI and CMI of </w:t>
            </w:r>
            <w:r w:rsidR="00E96281" w:rsidRPr="00F93A87">
              <w:rPr>
                <w:color w:val="000000"/>
                <w:lang w:eastAsia="en-AU"/>
              </w:rPr>
              <w:t>Akynzeo</w:t>
            </w:r>
            <w:r w:rsidRPr="00F93A87">
              <w:rPr>
                <w:color w:val="000000"/>
                <w:lang w:eastAsia="en-AU"/>
              </w:rPr>
              <w:t>.</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As stated </w:t>
            </w:r>
            <w:r w:rsidR="00A90D0A" w:rsidRPr="00F93A87">
              <w:rPr>
                <w:color w:val="000000"/>
                <w:lang w:eastAsia="en-AU"/>
              </w:rPr>
              <w:t>above</w:t>
            </w:r>
            <w:r w:rsidRPr="00F93A87">
              <w:rPr>
                <w:color w:val="000000"/>
                <w:lang w:eastAsia="en-AU"/>
              </w:rPr>
              <w:t xml:space="preserve">, the </w:t>
            </w:r>
            <w:proofErr w:type="spellStart"/>
            <w:r w:rsidR="001E6120" w:rsidRPr="00F93A87">
              <w:rPr>
                <w:color w:val="000000"/>
                <w:lang w:eastAsia="en-AU"/>
              </w:rPr>
              <w:t>Aloxi</w:t>
            </w:r>
            <w:proofErr w:type="spellEnd"/>
            <w:r w:rsidRPr="00F93A87">
              <w:rPr>
                <w:color w:val="000000"/>
                <w:lang w:eastAsia="en-AU"/>
              </w:rPr>
              <w:t xml:space="preserve"> PI in Australia has been recently amended to include the safety concern of serotonin syndrome (PI updated version 8 July 2014).</w:t>
            </w:r>
          </w:p>
          <w:p w:rsidR="004A44A5" w:rsidRPr="00F93A87" w:rsidRDefault="004A44A5" w:rsidP="001129FF">
            <w:pPr>
              <w:rPr>
                <w:color w:val="000000"/>
                <w:lang w:eastAsia="en-AU"/>
              </w:rPr>
            </w:pPr>
            <w:r w:rsidRPr="00F93A87">
              <w:rPr>
                <w:color w:val="000000"/>
                <w:lang w:eastAsia="en-AU"/>
              </w:rPr>
              <w:t xml:space="preserve">The PI for </w:t>
            </w:r>
            <w:r w:rsidR="00C51742" w:rsidRPr="00F93A87">
              <w:rPr>
                <w:color w:val="000000"/>
                <w:lang w:eastAsia="en-AU"/>
              </w:rPr>
              <w:t>Akynzeo</w:t>
            </w:r>
            <w:r w:rsidRPr="00F93A87">
              <w:rPr>
                <w:color w:val="000000"/>
                <w:lang w:eastAsia="en-AU"/>
              </w:rPr>
              <w:t xml:space="preserve"> submitted has been updated to r</w:t>
            </w:r>
            <w:r w:rsidR="001E6120" w:rsidRPr="00F93A87">
              <w:rPr>
                <w:color w:val="000000"/>
                <w:lang w:eastAsia="en-AU"/>
              </w:rPr>
              <w:t xml:space="preserve">eflect the same wording in the </w:t>
            </w:r>
            <w:r w:rsidR="00A90D0A" w:rsidRPr="00F93A87">
              <w:rPr>
                <w:color w:val="000000"/>
                <w:lang w:eastAsia="en-AU"/>
              </w:rPr>
              <w:t xml:space="preserve">‘precautions’ and ‘interactions’ </w:t>
            </w:r>
            <w:r w:rsidRPr="00F93A87">
              <w:rPr>
                <w:color w:val="000000"/>
                <w:lang w:eastAsia="en-AU"/>
              </w:rPr>
              <w:t xml:space="preserve">section. The CMI for </w:t>
            </w:r>
            <w:r w:rsidR="00C51742" w:rsidRPr="00F93A87">
              <w:rPr>
                <w:color w:val="000000"/>
                <w:lang w:eastAsia="en-AU"/>
              </w:rPr>
              <w:t>Akynzeo</w:t>
            </w:r>
            <w:r w:rsidRPr="00F93A87">
              <w:rPr>
                <w:color w:val="000000"/>
                <w:lang w:eastAsia="en-AU"/>
              </w:rPr>
              <w:t xml:space="preserve"> will be aligned with the PI after final PI negotiations have taken place.</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The </w:t>
            </w:r>
            <w:r w:rsidR="00791AE3" w:rsidRPr="00F93A87">
              <w:rPr>
                <w:color w:val="000000"/>
                <w:lang w:eastAsia="en-AU"/>
              </w:rPr>
              <w:t>sponsor’s</w:t>
            </w:r>
            <w:r w:rsidR="00A90D0A" w:rsidRPr="00F93A87">
              <w:rPr>
                <w:color w:val="000000"/>
                <w:lang w:eastAsia="en-AU"/>
              </w:rPr>
              <w:t xml:space="preserve"> response is acceptable.</w:t>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‘Interaction with CYP3A4 inhibitors and inducers’ is listed as an important potential risk for </w:t>
            </w:r>
            <w:r w:rsidR="00E96281" w:rsidRPr="00F93A87">
              <w:rPr>
                <w:color w:val="000000"/>
                <w:lang w:eastAsia="en-AU"/>
              </w:rPr>
              <w:t>Akynzeo</w:t>
            </w:r>
            <w:r w:rsidRPr="00F93A87">
              <w:rPr>
                <w:color w:val="000000"/>
                <w:lang w:eastAsia="en-AU"/>
              </w:rPr>
              <w:t xml:space="preserve">. Patients scheduled to receive any strong or moderate inhibitor of CYP3A4 and patients scheduled to receive any of the CYP3A4 substrates including </w:t>
            </w:r>
            <w:proofErr w:type="spellStart"/>
            <w:r w:rsidRPr="00F93A87">
              <w:rPr>
                <w:color w:val="000000"/>
                <w:lang w:eastAsia="en-AU"/>
              </w:rPr>
              <w:t>terfenadine</w:t>
            </w:r>
            <w:proofErr w:type="spellEnd"/>
            <w:r w:rsidRPr="00F93A87">
              <w:rPr>
                <w:color w:val="000000"/>
                <w:lang w:eastAsia="en-AU"/>
              </w:rPr>
              <w:t xml:space="preserve">, </w:t>
            </w:r>
            <w:proofErr w:type="spellStart"/>
            <w:r w:rsidRPr="00F93A87">
              <w:rPr>
                <w:color w:val="000000"/>
                <w:lang w:eastAsia="en-AU"/>
              </w:rPr>
              <w:t>cisapride</w:t>
            </w:r>
            <w:proofErr w:type="spellEnd"/>
            <w:r w:rsidRPr="00F93A87">
              <w:rPr>
                <w:color w:val="000000"/>
                <w:lang w:eastAsia="en-AU"/>
              </w:rPr>
              <w:t xml:space="preserve">, </w:t>
            </w:r>
            <w:proofErr w:type="spellStart"/>
            <w:r w:rsidRPr="00F93A87">
              <w:rPr>
                <w:color w:val="000000"/>
                <w:lang w:eastAsia="en-AU"/>
              </w:rPr>
              <w:t>astemizole</w:t>
            </w:r>
            <w:proofErr w:type="spellEnd"/>
            <w:r w:rsidRPr="00F93A87">
              <w:rPr>
                <w:color w:val="000000"/>
                <w:lang w:eastAsia="en-AU"/>
              </w:rPr>
              <w:t xml:space="preserve"> and </w:t>
            </w:r>
            <w:proofErr w:type="spellStart"/>
            <w:r w:rsidRPr="00F93A87">
              <w:rPr>
                <w:color w:val="000000"/>
                <w:lang w:eastAsia="en-AU"/>
              </w:rPr>
              <w:t>pimozide</w:t>
            </w:r>
            <w:proofErr w:type="spellEnd"/>
            <w:r w:rsidRPr="00F93A87">
              <w:rPr>
                <w:color w:val="000000"/>
                <w:lang w:eastAsia="en-AU"/>
              </w:rPr>
              <w:t xml:space="preserve"> were excluded from clinical trials (Section SIV.2, EU-RMP). The approved PI for </w:t>
            </w:r>
            <w:proofErr w:type="spellStart"/>
            <w:r w:rsidRPr="00F93A87">
              <w:rPr>
                <w:color w:val="000000"/>
                <w:lang w:eastAsia="en-AU"/>
              </w:rPr>
              <w:t>aprepitant</w:t>
            </w:r>
            <w:proofErr w:type="spellEnd"/>
            <w:r w:rsidRPr="00F93A87">
              <w:rPr>
                <w:color w:val="000000"/>
                <w:lang w:eastAsia="en-AU"/>
              </w:rPr>
              <w:t xml:space="preserve">, another substance P/neurokinin 1 antagonist contains the following wording </w:t>
            </w:r>
            <w:r w:rsidRPr="00F93A87">
              <w:rPr>
                <w:color w:val="000000"/>
                <w:lang w:eastAsia="en-AU"/>
              </w:rPr>
              <w:lastRenderedPageBreak/>
              <w:t>under ‘</w:t>
            </w:r>
            <w:r w:rsidR="00A90D0A" w:rsidRPr="00F93A87">
              <w:rPr>
                <w:color w:val="000000"/>
                <w:lang w:eastAsia="en-AU"/>
              </w:rPr>
              <w:t xml:space="preserve">contraindication’: should not be used concurrently with </w:t>
            </w:r>
            <w:proofErr w:type="spellStart"/>
            <w:r w:rsidRPr="00F93A87">
              <w:rPr>
                <w:color w:val="000000"/>
                <w:lang w:eastAsia="en-AU"/>
              </w:rPr>
              <w:t>pimozide</w:t>
            </w:r>
            <w:proofErr w:type="spellEnd"/>
            <w:r w:rsidRPr="00F93A87">
              <w:rPr>
                <w:color w:val="000000"/>
                <w:lang w:eastAsia="en-AU"/>
              </w:rPr>
              <w:t xml:space="preserve">, </w:t>
            </w:r>
            <w:proofErr w:type="spellStart"/>
            <w:r w:rsidRPr="00F93A87">
              <w:rPr>
                <w:color w:val="000000"/>
                <w:lang w:eastAsia="en-AU"/>
              </w:rPr>
              <w:t>terfenadine</w:t>
            </w:r>
            <w:proofErr w:type="spellEnd"/>
            <w:r w:rsidRPr="00F93A87">
              <w:rPr>
                <w:color w:val="000000"/>
                <w:lang w:eastAsia="en-AU"/>
              </w:rPr>
              <w:t>,</w:t>
            </w:r>
            <w:r w:rsidR="00A90D0A" w:rsidRPr="00F93A87">
              <w:rPr>
                <w:color w:val="000000"/>
                <w:lang w:eastAsia="en-AU"/>
              </w:rPr>
              <w:t xml:space="preserve"> </w:t>
            </w:r>
            <w:proofErr w:type="spellStart"/>
            <w:r w:rsidR="00A90D0A" w:rsidRPr="00F93A87">
              <w:rPr>
                <w:color w:val="000000"/>
                <w:lang w:eastAsia="en-AU"/>
              </w:rPr>
              <w:t>astemizole</w:t>
            </w:r>
            <w:proofErr w:type="spellEnd"/>
            <w:r w:rsidR="00A90D0A" w:rsidRPr="00F93A87">
              <w:rPr>
                <w:color w:val="000000"/>
                <w:lang w:eastAsia="en-AU"/>
              </w:rPr>
              <w:t xml:space="preserve">, or </w:t>
            </w:r>
            <w:proofErr w:type="spellStart"/>
            <w:r w:rsidR="00A90D0A" w:rsidRPr="00F93A87">
              <w:rPr>
                <w:color w:val="000000"/>
                <w:lang w:eastAsia="en-AU"/>
              </w:rPr>
              <w:t>cisapride</w:t>
            </w:r>
            <w:proofErr w:type="spellEnd"/>
            <w:r w:rsidR="00A90D0A" w:rsidRPr="00F93A87">
              <w:rPr>
                <w:color w:val="000000"/>
                <w:lang w:eastAsia="en-AU"/>
              </w:rPr>
              <w:t xml:space="preserve">. Dose </w:t>
            </w:r>
            <w:r w:rsidRPr="00F93A87">
              <w:rPr>
                <w:color w:val="000000"/>
                <w:lang w:eastAsia="en-AU"/>
              </w:rPr>
              <w:t xml:space="preserve">dependent inhibition of </w:t>
            </w:r>
            <w:r w:rsidR="00C952C9" w:rsidRPr="00F93A87">
              <w:rPr>
                <w:color w:val="000000"/>
                <w:lang w:eastAsia="en-AU"/>
              </w:rPr>
              <w:t>CYP3A4</w:t>
            </w:r>
            <w:r w:rsidRPr="00F93A87">
              <w:rPr>
                <w:color w:val="000000"/>
                <w:lang w:eastAsia="en-AU"/>
              </w:rPr>
              <w:t xml:space="preserve"> by aprepitant could result in elevated plasma concentrations of these drugs, potentially causing serious </w:t>
            </w:r>
            <w:r w:rsidR="00A90D0A" w:rsidRPr="00F93A87">
              <w:rPr>
                <w:color w:val="000000"/>
                <w:lang w:eastAsia="en-AU"/>
              </w:rPr>
              <w:t>or life-threatening reactions.’</w:t>
            </w:r>
          </w:p>
          <w:p w:rsidR="004A44A5" w:rsidRPr="00F93A87" w:rsidRDefault="004A44A5" w:rsidP="001129FF">
            <w:pPr>
              <w:rPr>
                <w:color w:val="000000"/>
                <w:lang w:eastAsia="en-AU"/>
              </w:rPr>
            </w:pPr>
            <w:r w:rsidRPr="00F93A87">
              <w:rPr>
                <w:color w:val="000000"/>
                <w:lang w:eastAsia="en-AU"/>
              </w:rPr>
              <w:t xml:space="preserve">It is recommended that the Delegate considers whether a similar contraindication should apply to </w:t>
            </w:r>
            <w:r w:rsidR="00E96281" w:rsidRPr="00F93A87">
              <w:rPr>
                <w:color w:val="000000"/>
                <w:lang w:eastAsia="en-AU"/>
              </w:rPr>
              <w:t>Akynzeo</w:t>
            </w:r>
            <w:r w:rsidRPr="00F93A87">
              <w:rPr>
                <w:color w:val="000000"/>
                <w:lang w:eastAsia="en-AU"/>
              </w:rPr>
              <w:t>. Furthermore, the PI should list representative examples of CYP3A4 inhibitors and inducers, in particular chemotherapeutic agents.</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tcPr>
          <w:p w:rsidR="004A44A5" w:rsidRPr="00F93A87" w:rsidRDefault="004A44A5" w:rsidP="001129FF">
            <w:pPr>
              <w:rPr>
                <w:color w:val="000000"/>
                <w:lang w:eastAsia="en-AU"/>
              </w:rPr>
            </w:pPr>
            <w:r w:rsidRPr="00F93A87">
              <w:rPr>
                <w:color w:val="000000"/>
                <w:lang w:eastAsia="en-AU"/>
              </w:rPr>
              <w:lastRenderedPageBreak/>
              <w:t xml:space="preserve">The </w:t>
            </w:r>
            <w:r w:rsidR="00791AE3" w:rsidRPr="00F93A87">
              <w:rPr>
                <w:color w:val="000000"/>
                <w:lang w:eastAsia="en-AU"/>
              </w:rPr>
              <w:t>sponsor</w:t>
            </w:r>
            <w:r w:rsidRPr="00F93A87">
              <w:rPr>
                <w:color w:val="000000"/>
                <w:lang w:eastAsia="en-AU"/>
              </w:rPr>
              <w:t xml:space="preserve"> does not agree to include a contraindication for concomitant use of </w:t>
            </w:r>
            <w:r w:rsidR="00C51742" w:rsidRPr="00F93A87">
              <w:rPr>
                <w:color w:val="000000"/>
                <w:lang w:eastAsia="en-AU"/>
              </w:rPr>
              <w:t>Akynzeo</w:t>
            </w:r>
            <w:r w:rsidRPr="00F93A87">
              <w:rPr>
                <w:color w:val="000000"/>
                <w:lang w:eastAsia="en-AU"/>
              </w:rPr>
              <w:t xml:space="preserve"> and drugs that are substrates for CYP3A4. The proposed PI already submitted to the TGA describes this metabo</w:t>
            </w:r>
            <w:r w:rsidR="001E6120" w:rsidRPr="00F93A87">
              <w:rPr>
                <w:color w:val="000000"/>
                <w:lang w:eastAsia="en-AU"/>
              </w:rPr>
              <w:t>lic interaction in the section ‘</w:t>
            </w:r>
            <w:r w:rsidR="00A90D0A" w:rsidRPr="00F93A87">
              <w:rPr>
                <w:color w:val="000000"/>
                <w:lang w:eastAsia="en-AU"/>
              </w:rPr>
              <w:t>interactions with other medicine</w:t>
            </w:r>
            <w:r w:rsidR="001E6120" w:rsidRPr="00F93A87">
              <w:rPr>
                <w:color w:val="000000"/>
                <w:lang w:eastAsia="en-AU"/>
              </w:rPr>
              <w:t>s’</w:t>
            </w:r>
            <w:r w:rsidRPr="00F93A87">
              <w:rPr>
                <w:color w:val="000000"/>
                <w:lang w:eastAsia="en-AU"/>
              </w:rPr>
              <w:t>, however this wording has been strengthened and now also includes examples of chemotherapeutic agents that are known to be metabolised by CYP3A.</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The recommendation remains, awaiting consideration by the Delegate.</w:t>
            </w:r>
            <w:r w:rsidR="00D37E09" w:rsidRPr="00F93A87">
              <w:rPr>
                <w:rStyle w:val="FootnoteReference"/>
                <w:color w:val="000000"/>
                <w:lang w:eastAsia="en-AU"/>
              </w:rPr>
              <w:footnoteReference w:id="22"/>
            </w:r>
          </w:p>
        </w:tc>
      </w:tr>
      <w:tr w:rsidR="00424B91" w:rsidRPr="00F93A87" w:rsidTr="00680A60">
        <w:trPr>
          <w:jc w:val="center"/>
        </w:trPr>
        <w:tc>
          <w:tcPr>
            <w:tcW w:w="168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lastRenderedPageBreak/>
              <w:t>Available trial data on geriatric patients and patients with moderate to severe hepatic impairment is limited. It is recommended to the Delegate that wording on data limitation is added in the PI.</w:t>
            </w:r>
          </w:p>
        </w:tc>
        <w:tc>
          <w:tcPr>
            <w:tcW w:w="2194"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Please refer to responses </w:t>
            </w:r>
            <w:r w:rsidR="00A90D0A" w:rsidRPr="00F93A87">
              <w:rPr>
                <w:color w:val="000000"/>
                <w:lang w:eastAsia="en-AU"/>
              </w:rPr>
              <w:t>above.</w:t>
            </w:r>
          </w:p>
          <w:p w:rsidR="004A44A5" w:rsidRPr="00F93A87" w:rsidRDefault="004A44A5" w:rsidP="001129FF">
            <w:pPr>
              <w:rPr>
                <w:color w:val="000000"/>
                <w:lang w:eastAsia="en-AU"/>
              </w:rPr>
            </w:pPr>
            <w:r w:rsidRPr="00F93A87">
              <w:rPr>
                <w:color w:val="000000"/>
                <w:lang w:eastAsia="en-AU"/>
              </w:rPr>
              <w:t>Regarding the elderly, the PI states that no dosage adjustment is necessary for elderly patients.</w:t>
            </w:r>
          </w:p>
          <w:p w:rsidR="004A44A5" w:rsidRPr="00F93A87" w:rsidRDefault="004A44A5" w:rsidP="001129FF">
            <w:pPr>
              <w:rPr>
                <w:color w:val="000000"/>
                <w:lang w:eastAsia="en-AU"/>
              </w:rPr>
            </w:pPr>
            <w:r w:rsidRPr="00F93A87">
              <w:rPr>
                <w:color w:val="000000"/>
                <w:lang w:eastAsia="en-AU"/>
              </w:rPr>
              <w:t xml:space="preserve">Regarding </w:t>
            </w:r>
            <w:r w:rsidR="00A90D0A" w:rsidRPr="00F93A87">
              <w:rPr>
                <w:color w:val="000000"/>
                <w:lang w:eastAsia="en-AU"/>
              </w:rPr>
              <w:t>hepatic impairment</w:t>
            </w:r>
            <w:r w:rsidR="00036968" w:rsidRPr="00F93A87">
              <w:rPr>
                <w:color w:val="000000"/>
                <w:lang w:eastAsia="en-AU"/>
              </w:rPr>
              <w:t>, the PI already states that: ‘</w:t>
            </w:r>
            <w:r w:rsidR="00A90D0A" w:rsidRPr="00F93A87">
              <w:rPr>
                <w:color w:val="000000"/>
                <w:lang w:eastAsia="en-AU"/>
              </w:rPr>
              <w:t xml:space="preserve">hepatic impairment does not significantly </w:t>
            </w:r>
            <w:r w:rsidRPr="00F93A87">
              <w:rPr>
                <w:color w:val="000000"/>
                <w:lang w:eastAsia="en-AU"/>
              </w:rPr>
              <w:t xml:space="preserve">affect total body clearance of palonosetron compared to the healthy subjects. No dosage adjustment of </w:t>
            </w:r>
            <w:r w:rsidR="00C51742" w:rsidRPr="00F93A87">
              <w:rPr>
                <w:color w:val="000000"/>
                <w:lang w:eastAsia="en-AU"/>
              </w:rPr>
              <w:t>Akynzeo</w:t>
            </w:r>
            <w:r w:rsidRPr="00F93A87">
              <w:rPr>
                <w:color w:val="000000"/>
                <w:lang w:eastAsia="en-AU"/>
              </w:rPr>
              <w:t xml:space="preserve"> is necessary for patients with mild or moderate hepatic impairment (Child-Pugh sco</w:t>
            </w:r>
            <w:r w:rsidR="00A90D0A" w:rsidRPr="00F93A87">
              <w:rPr>
                <w:color w:val="000000"/>
                <w:lang w:eastAsia="en-AU"/>
              </w:rPr>
              <w:t xml:space="preserve">re 5 to </w:t>
            </w:r>
            <w:r w:rsidRPr="00F93A87">
              <w:rPr>
                <w:color w:val="000000"/>
                <w:lang w:eastAsia="en-AU"/>
              </w:rPr>
              <w:t xml:space="preserve">8). Limited data exist in patients with severe hepatic impairment (Child Pugh </w:t>
            </w:r>
            <w:r w:rsidR="00A90D0A" w:rsidRPr="00F93A87">
              <w:rPr>
                <w:color w:val="000000"/>
                <w:lang w:eastAsia="en-AU"/>
              </w:rPr>
              <w:t>score ≥ </w:t>
            </w:r>
            <w:r w:rsidR="00036968" w:rsidRPr="00F93A87">
              <w:rPr>
                <w:color w:val="000000"/>
                <w:lang w:eastAsia="en-AU"/>
              </w:rPr>
              <w:t>9).’</w:t>
            </w:r>
          </w:p>
          <w:p w:rsidR="004A44A5" w:rsidRPr="00F93A87" w:rsidRDefault="004A44A5" w:rsidP="001129FF">
            <w:pPr>
              <w:rPr>
                <w:color w:val="000000"/>
                <w:lang w:eastAsia="en-AU"/>
              </w:rPr>
            </w:pPr>
            <w:r w:rsidRPr="00F93A87">
              <w:rPr>
                <w:color w:val="000000"/>
                <w:lang w:eastAsia="en-AU"/>
              </w:rPr>
              <w:t>However, in agreement with the TGA recommendations, the following statement has been added to the PI that is submitted</w:t>
            </w:r>
            <w:r w:rsidR="00036968" w:rsidRPr="00F93A87">
              <w:rPr>
                <w:color w:val="000000"/>
                <w:lang w:eastAsia="en-AU"/>
              </w:rPr>
              <w:t>: ‘</w:t>
            </w:r>
            <w:r w:rsidRPr="00F93A87">
              <w:rPr>
                <w:color w:val="000000"/>
                <w:lang w:eastAsia="en-AU"/>
              </w:rPr>
              <w:t xml:space="preserve">Therefore </w:t>
            </w:r>
            <w:r w:rsidR="00C51742" w:rsidRPr="00F93A87">
              <w:rPr>
                <w:color w:val="000000"/>
                <w:lang w:eastAsia="en-AU"/>
              </w:rPr>
              <w:t>Akynzeo</w:t>
            </w:r>
            <w:r w:rsidRPr="00F93A87">
              <w:rPr>
                <w:color w:val="000000"/>
                <w:lang w:eastAsia="en-AU"/>
              </w:rPr>
              <w:t xml:space="preserve"> should be used </w:t>
            </w:r>
            <w:r w:rsidR="00036968" w:rsidRPr="00F93A87">
              <w:rPr>
                <w:color w:val="000000"/>
                <w:lang w:eastAsia="en-AU"/>
              </w:rPr>
              <w:t>with caution in these patients.’</w:t>
            </w:r>
          </w:p>
        </w:tc>
        <w:tc>
          <w:tcPr>
            <w:tcW w:w="1118" w:type="pct"/>
            <w:tcBorders>
              <w:top w:val="single" w:sz="8" w:space="0" w:color="000000"/>
              <w:left w:val="single" w:sz="8" w:space="0" w:color="000000"/>
              <w:bottom w:val="single" w:sz="8" w:space="0" w:color="000000"/>
              <w:right w:val="single" w:sz="8" w:space="0" w:color="000000"/>
            </w:tcBorders>
            <w:shd w:val="clear" w:color="auto" w:fill="auto"/>
            <w:noWrap/>
            <w:hideMark/>
          </w:tcPr>
          <w:p w:rsidR="004A44A5" w:rsidRPr="00F93A87" w:rsidRDefault="004A44A5" w:rsidP="001129FF">
            <w:pPr>
              <w:rPr>
                <w:color w:val="000000"/>
                <w:lang w:eastAsia="en-AU"/>
              </w:rPr>
            </w:pPr>
            <w:r w:rsidRPr="00F93A87">
              <w:rPr>
                <w:color w:val="000000"/>
                <w:lang w:eastAsia="en-AU"/>
              </w:rPr>
              <w:t xml:space="preserve">The </w:t>
            </w:r>
            <w:r w:rsidR="00791AE3" w:rsidRPr="00F93A87">
              <w:rPr>
                <w:color w:val="000000"/>
                <w:lang w:eastAsia="en-AU"/>
              </w:rPr>
              <w:t>sponsor’s</w:t>
            </w:r>
            <w:r w:rsidR="00A90D0A" w:rsidRPr="00F93A87">
              <w:rPr>
                <w:color w:val="000000"/>
                <w:lang w:eastAsia="en-AU"/>
              </w:rPr>
              <w:t xml:space="preserve"> response is acceptable.</w:t>
            </w:r>
          </w:p>
        </w:tc>
      </w:tr>
    </w:tbl>
    <w:p w:rsidR="008E7846" w:rsidRDefault="008E7846" w:rsidP="00166326">
      <w:pPr>
        <w:pStyle w:val="Heading3"/>
        <w:rPr>
          <w:lang w:eastAsia="en-AU"/>
        </w:rPr>
      </w:pPr>
      <w:bookmarkStart w:id="139" w:name="_Toc466986548"/>
      <w:r>
        <w:rPr>
          <w:lang w:eastAsia="en-AU"/>
        </w:rPr>
        <w:t xml:space="preserve">Summary of </w:t>
      </w:r>
      <w:r w:rsidR="003A7F6C">
        <w:rPr>
          <w:lang w:eastAsia="en-AU"/>
        </w:rPr>
        <w:t>r</w:t>
      </w:r>
      <w:r>
        <w:rPr>
          <w:lang w:eastAsia="en-AU"/>
        </w:rPr>
        <w:t>ecommendations</w:t>
      </w:r>
      <w:bookmarkEnd w:id="139"/>
    </w:p>
    <w:p w:rsidR="004A44A5" w:rsidRDefault="004A44A5" w:rsidP="00166326">
      <w:pPr>
        <w:pStyle w:val="Heading4"/>
      </w:pPr>
      <w:bookmarkStart w:id="140" w:name="_Toc314842510"/>
      <w:r>
        <w:t>Outstanding issues</w:t>
      </w:r>
    </w:p>
    <w:p w:rsidR="004A44A5" w:rsidRDefault="00660F61" w:rsidP="00166326">
      <w:pPr>
        <w:pStyle w:val="Heading5"/>
      </w:pPr>
      <w:r>
        <w:t>Issues in relation to the RMP</w:t>
      </w:r>
    </w:p>
    <w:p w:rsidR="004A44A5" w:rsidRPr="00166326" w:rsidRDefault="004A44A5" w:rsidP="00166326">
      <w:r w:rsidRPr="00166326">
        <w:t>Details on the following ou</w:t>
      </w:r>
      <w:r w:rsidR="00A90D0A">
        <w:t>tstanding issue are in T</w:t>
      </w:r>
      <w:r w:rsidR="00934FBF" w:rsidRPr="00166326">
        <w:t>able 8</w:t>
      </w:r>
      <w:r w:rsidRPr="00166326">
        <w:t>. ‘Reconciliation of issu</w:t>
      </w:r>
      <w:r w:rsidR="00660F61" w:rsidRPr="00166326">
        <w:t>es outlined in the RMP report’.</w:t>
      </w:r>
    </w:p>
    <w:p w:rsidR="004A44A5" w:rsidRPr="00166326" w:rsidRDefault="004A44A5" w:rsidP="00166326">
      <w:r w:rsidRPr="00166326">
        <w:t xml:space="preserve">The recommendation(s) on the draft </w:t>
      </w:r>
      <w:r w:rsidR="00A90D0A">
        <w:t>PI</w:t>
      </w:r>
      <w:r w:rsidRPr="00166326">
        <w:t xml:space="preserve"> remain, awaiting consideration by the Delegate.</w:t>
      </w:r>
    </w:p>
    <w:p w:rsidR="004A44A5" w:rsidRPr="00166326" w:rsidRDefault="00A90D0A" w:rsidP="00166326">
      <w:pPr>
        <w:pStyle w:val="Heading5"/>
      </w:pPr>
      <w:r>
        <w:lastRenderedPageBreak/>
        <w:t>Additional recommendations</w:t>
      </w:r>
    </w:p>
    <w:p w:rsidR="004A44A5" w:rsidRPr="00166326" w:rsidRDefault="004A44A5" w:rsidP="00166326">
      <w:r w:rsidRPr="00166326">
        <w:t xml:space="preserve">The </w:t>
      </w:r>
      <w:r w:rsidR="00A90D0A">
        <w:t xml:space="preserve">RMP </w:t>
      </w:r>
      <w:r w:rsidR="00142EBA" w:rsidRPr="00166326">
        <w:t>evaluator</w:t>
      </w:r>
      <w:r w:rsidRPr="00166326">
        <w:t xml:space="preserve"> supports the </w:t>
      </w:r>
      <w:r w:rsidR="00A90D0A">
        <w:t>recommendations made by the non</w:t>
      </w:r>
      <w:r w:rsidRPr="00166326">
        <w:t xml:space="preserve">clinical </w:t>
      </w:r>
      <w:r w:rsidR="00142EBA" w:rsidRPr="00166326">
        <w:t>evaluator</w:t>
      </w:r>
      <w:r w:rsidR="00A90D0A">
        <w:t>. The content of non</w:t>
      </w:r>
      <w:r w:rsidRPr="00166326">
        <w:t xml:space="preserve">clinical part of the </w:t>
      </w:r>
      <w:r w:rsidR="00A90D0A" w:rsidRPr="00166326">
        <w:t xml:space="preserve">safety specification and the table of ongoing </w:t>
      </w:r>
      <w:r w:rsidRPr="00166326">
        <w:t>safety concerns shoul</w:t>
      </w:r>
      <w:r w:rsidR="00660F61" w:rsidRPr="00166326">
        <w:t>d be revised as recommended.</w:t>
      </w:r>
    </w:p>
    <w:p w:rsidR="004A44A5" w:rsidRPr="00166326" w:rsidRDefault="004A44A5" w:rsidP="00166326">
      <w:pPr>
        <w:pStyle w:val="Heading5"/>
      </w:pPr>
      <w:r w:rsidRPr="00166326">
        <w:t>Suggested wording</w:t>
      </w:r>
      <w:r w:rsidR="00660F61" w:rsidRPr="00166326">
        <w:t xml:space="preserve"> for conditions of registration</w:t>
      </w:r>
    </w:p>
    <w:p w:rsidR="004A44A5" w:rsidRPr="00166326" w:rsidRDefault="004A44A5" w:rsidP="00166326">
      <w:pPr>
        <w:pStyle w:val="Heading6"/>
      </w:pPr>
      <w:r w:rsidRPr="00166326">
        <w:t>RMP</w:t>
      </w:r>
    </w:p>
    <w:p w:rsidR="004A44A5" w:rsidRPr="00166326" w:rsidRDefault="004A44A5" w:rsidP="00166326">
      <w:r w:rsidRPr="00166326">
        <w:t>Implement EU-RMP version 1.0 (undated; data lock point 31 August 2013) with the Australian Specific Annex version 1.0 (dated 28 February 2014) and any future updates as a condition of registration.</w:t>
      </w:r>
    </w:p>
    <w:p w:rsidR="008E7846" w:rsidRPr="00792A32" w:rsidRDefault="008E7846" w:rsidP="00AC4457">
      <w:pPr>
        <w:pStyle w:val="Heading2"/>
      </w:pPr>
      <w:bookmarkStart w:id="141" w:name="_Toc46698654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2"/>
      <w:bookmarkEnd w:id="138"/>
      <w:bookmarkEnd w:id="140"/>
      <w:bookmarkEnd w:id="141"/>
    </w:p>
    <w:p w:rsidR="008E7846" w:rsidRPr="00166326" w:rsidRDefault="008E7846" w:rsidP="00166326">
      <w:bookmarkStart w:id="142" w:name="_Toc247691528"/>
      <w:r w:rsidRPr="00166326">
        <w:t>The submission was summarised in the following Delegate</w:t>
      </w:r>
      <w:r w:rsidR="00A90D0A">
        <w:t>’s overview and recommendations.</w:t>
      </w:r>
    </w:p>
    <w:p w:rsidR="008E7846" w:rsidRDefault="008E7846" w:rsidP="00166326">
      <w:pPr>
        <w:pStyle w:val="Heading3"/>
      </w:pPr>
      <w:bookmarkStart w:id="143" w:name="_Toc314842511"/>
      <w:bookmarkStart w:id="144" w:name="_Toc466986550"/>
      <w:r>
        <w:t>Quality</w:t>
      </w:r>
      <w:bookmarkEnd w:id="142"/>
      <w:bookmarkEnd w:id="143"/>
      <w:bookmarkEnd w:id="144"/>
    </w:p>
    <w:p w:rsidR="00730F8A" w:rsidRPr="00166326" w:rsidRDefault="00D76481" w:rsidP="00166326">
      <w:r w:rsidRPr="00166326">
        <w:t xml:space="preserve">Based on the </w:t>
      </w:r>
      <w:r w:rsidR="00934FBF" w:rsidRPr="00166326">
        <w:t xml:space="preserve">quality </w:t>
      </w:r>
      <w:r w:rsidRPr="00166326">
        <w:t>evaluation report, there are no major issues with the pharmaceutical chemistry data evaluation.</w:t>
      </w:r>
    </w:p>
    <w:p w:rsidR="008E7846" w:rsidRDefault="008E7846" w:rsidP="00166326">
      <w:pPr>
        <w:pStyle w:val="Heading3"/>
      </w:pPr>
      <w:bookmarkStart w:id="145" w:name="_Toc314842512"/>
      <w:bookmarkStart w:id="146" w:name="_Toc466986551"/>
      <w:r>
        <w:t>Nonclinical</w:t>
      </w:r>
      <w:bookmarkEnd w:id="145"/>
      <w:bookmarkEnd w:id="146"/>
    </w:p>
    <w:p w:rsidR="00B100BF" w:rsidRPr="00166326" w:rsidRDefault="00A90D0A" w:rsidP="00166326">
      <w:r>
        <w:t>The non</w:t>
      </w:r>
      <w:r w:rsidR="00934FBF" w:rsidRPr="00166326">
        <w:t>clinical evaluation report</w:t>
      </w:r>
      <w:r w:rsidR="00B100BF" w:rsidRPr="00166326">
        <w:t xml:space="preserve"> draws attention to high concentrations of netupitant</w:t>
      </w:r>
      <w:r w:rsidR="00934FBF" w:rsidRPr="00166326">
        <w:t xml:space="preserve"> affecting cardiac conduction (‘</w:t>
      </w:r>
      <w:r w:rsidR="00B100BF" w:rsidRPr="00166326">
        <w:t>probably by binding to the L-type Ca</w:t>
      </w:r>
      <w:r w:rsidR="00660F61" w:rsidRPr="00A90D0A">
        <w:rPr>
          <w:vertAlign w:val="superscript"/>
        </w:rPr>
        <w:t>2+</w:t>
      </w:r>
      <w:r w:rsidR="00B100BF" w:rsidRPr="00166326">
        <w:t xml:space="preserve"> channel and inhibiting the </w:t>
      </w:r>
      <w:proofErr w:type="spellStart"/>
      <w:r w:rsidR="00B100BF" w:rsidRPr="00166326">
        <w:t>hERG</w:t>
      </w:r>
      <w:proofErr w:type="spellEnd"/>
      <w:r w:rsidR="00B100BF" w:rsidRPr="00166326">
        <w:t xml:space="preserve"> </w:t>
      </w:r>
      <w:r w:rsidR="00934FBF" w:rsidRPr="00166326">
        <w:t>channel’</w:t>
      </w:r>
      <w:r w:rsidR="00B100BF" w:rsidRPr="00166326">
        <w:t>).</w:t>
      </w:r>
      <w:r w:rsidR="005F7FE0" w:rsidRPr="00166326">
        <w:t xml:space="preserve"> </w:t>
      </w:r>
      <w:r w:rsidR="00B100BF" w:rsidRPr="00166326">
        <w:t>The report notes that there is a potential for additive effects on cardiac conduction with co</w:t>
      </w:r>
      <w:r w:rsidR="00934FBF" w:rsidRPr="00166326">
        <w:t>ncomitant palonosetron</w:t>
      </w:r>
      <w:r w:rsidR="00B100BF" w:rsidRPr="00166326">
        <w:t>.</w:t>
      </w:r>
    </w:p>
    <w:p w:rsidR="00B100BF" w:rsidRPr="00166326" w:rsidRDefault="00B100BF" w:rsidP="00166326">
      <w:r w:rsidRPr="00166326">
        <w:t>There was reference to significant hypotension and bradycardia in rabbits exposed to palonoset</w:t>
      </w:r>
      <w:r w:rsidR="00471C25" w:rsidRPr="00166326">
        <w:t>ron and netupitant</w:t>
      </w:r>
      <w:r w:rsidRPr="00166326">
        <w:t>.</w:t>
      </w:r>
      <w:r w:rsidR="005F7FE0" w:rsidRPr="00166326">
        <w:t xml:space="preserve"> </w:t>
      </w:r>
      <w:r w:rsidR="00A90D0A">
        <w:t>The non</w:t>
      </w:r>
      <w:r w:rsidR="00471C25" w:rsidRPr="00166326">
        <w:t>clinical evaluator</w:t>
      </w:r>
      <w:r w:rsidRPr="00166326">
        <w:t xml:space="preserve"> also notes that netupitant, M1 and M3 accumulat</w:t>
      </w:r>
      <w:r w:rsidR="00471C25" w:rsidRPr="00166326">
        <w:t xml:space="preserve">e in heart tissue, in at least two species, </w:t>
      </w:r>
      <w:r w:rsidRPr="00166326">
        <w:t>but there was no major histopathology identified.</w:t>
      </w:r>
    </w:p>
    <w:p w:rsidR="00B100BF" w:rsidRPr="00166326" w:rsidRDefault="00B100BF" w:rsidP="00166326">
      <w:r w:rsidRPr="00166326">
        <w:t xml:space="preserve">A pregnancy category of B3 was proposed by the </w:t>
      </w:r>
      <w:r w:rsidR="00142EBA" w:rsidRPr="00166326">
        <w:t>evaluator</w:t>
      </w:r>
      <w:r w:rsidRPr="00166326">
        <w:t xml:space="preserve"> (the </w:t>
      </w:r>
      <w:r w:rsidR="00791AE3" w:rsidRPr="00166326">
        <w:t>sponsor</w:t>
      </w:r>
      <w:r w:rsidRPr="00166326">
        <w:t xml:space="preserve"> proposed B2).</w:t>
      </w:r>
    </w:p>
    <w:p w:rsidR="008E7846" w:rsidRDefault="008E7846" w:rsidP="00166326">
      <w:pPr>
        <w:pStyle w:val="Heading3"/>
      </w:pPr>
      <w:bookmarkStart w:id="147" w:name="_Toc247691530"/>
      <w:bookmarkStart w:id="148" w:name="_Toc314842513"/>
      <w:bookmarkStart w:id="149" w:name="_Toc466986552"/>
      <w:r>
        <w:t>Clinical</w:t>
      </w:r>
      <w:bookmarkEnd w:id="147"/>
      <w:bookmarkEnd w:id="148"/>
      <w:bookmarkEnd w:id="149"/>
    </w:p>
    <w:p w:rsidR="00B100BF" w:rsidRPr="00166326" w:rsidRDefault="00F51E23" w:rsidP="00166326">
      <w:pPr>
        <w:pStyle w:val="Heading4"/>
      </w:pPr>
      <w:proofErr w:type="gramStart"/>
      <w:r>
        <w:t xml:space="preserve">Table </w:t>
      </w:r>
      <w:r w:rsidR="00F5364C">
        <w:t>10</w:t>
      </w:r>
      <w:r>
        <w:t>.</w:t>
      </w:r>
      <w:proofErr w:type="gramEnd"/>
      <w:r>
        <w:t xml:space="preserve"> </w:t>
      </w:r>
      <w:r w:rsidR="00B100BF" w:rsidRPr="00166326">
        <w:t xml:space="preserve">Overview of </w:t>
      </w:r>
      <w:r>
        <w:t xml:space="preserve">clinical </w:t>
      </w:r>
      <w:r w:rsidR="00B100BF" w:rsidRPr="00166326">
        <w:t>data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8"/>
        <w:gridCol w:w="1559"/>
        <w:gridCol w:w="5512"/>
      </w:tblGrid>
      <w:tr w:rsidR="00424B91" w:rsidRPr="00F93A87" w:rsidTr="004C0905">
        <w:trPr>
          <w:trHeight w:val="468"/>
          <w:tblHeader/>
        </w:trPr>
        <w:tc>
          <w:tcPr>
            <w:tcW w:w="1398" w:type="dxa"/>
            <w:tcBorders>
              <w:top w:val="single" w:sz="8" w:space="0" w:color="000000"/>
              <w:left w:val="single" w:sz="8" w:space="0" w:color="000000"/>
              <w:bottom w:val="single" w:sz="8" w:space="0" w:color="000000"/>
              <w:right w:val="nil"/>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Name</w:t>
            </w:r>
          </w:p>
        </w:tc>
        <w:tc>
          <w:tcPr>
            <w:tcW w:w="1559" w:type="dxa"/>
            <w:tcBorders>
              <w:top w:val="single" w:sz="8" w:space="0" w:color="000000"/>
              <w:left w:val="nil"/>
              <w:bottom w:val="single" w:sz="8" w:space="0" w:color="000000"/>
              <w:right w:val="nil"/>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Type</w:t>
            </w:r>
          </w:p>
        </w:tc>
        <w:tc>
          <w:tcPr>
            <w:tcW w:w="5512" w:type="dxa"/>
            <w:tcBorders>
              <w:top w:val="single" w:sz="8" w:space="0" w:color="000000"/>
              <w:left w:val="nil"/>
              <w:bottom w:val="single" w:sz="8" w:space="0" w:color="000000"/>
              <w:right w:val="single" w:sz="8" w:space="0" w:color="000000"/>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Description</w:t>
            </w:r>
          </w:p>
        </w:tc>
      </w:tr>
      <w:tr w:rsidR="00B100BF" w:rsidRPr="00F93A87" w:rsidTr="004C0905">
        <w:trPr>
          <w:trHeight w:val="1052"/>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NETU-08-18</w:t>
            </w:r>
          </w:p>
        </w:tc>
        <w:tc>
          <w:tcPr>
            <w:tcW w:w="1559"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efficacy and safety</w:t>
            </w:r>
          </w:p>
          <w:p w:rsidR="00B100BF" w:rsidRPr="00F93A87" w:rsidRDefault="00B100BF" w:rsidP="004C0905">
            <w:pPr>
              <w:spacing w:line="240" w:lineRule="auto"/>
              <w:rPr>
                <w:color w:val="000000"/>
                <w:lang w:eastAsia="en-AU"/>
              </w:rPr>
            </w:pPr>
            <w:r w:rsidRPr="00F93A87">
              <w:rPr>
                <w:color w:val="000000"/>
                <w:lang w:eastAsia="en-AU"/>
              </w:rPr>
              <w:t>pivotal in MEC*</w:t>
            </w:r>
          </w:p>
        </w:tc>
        <w:tc>
          <w:tcPr>
            <w:tcW w:w="5512" w:type="dxa"/>
            <w:shd w:val="clear" w:color="auto" w:fill="auto"/>
            <w:hideMark/>
          </w:tcPr>
          <w:p w:rsidR="00B100BF" w:rsidRPr="00F93A87" w:rsidRDefault="00471C25" w:rsidP="004C0905">
            <w:pPr>
              <w:spacing w:line="240" w:lineRule="auto"/>
              <w:rPr>
                <w:color w:val="000000"/>
                <w:lang w:eastAsia="en-AU"/>
              </w:rPr>
            </w:pPr>
            <w:r w:rsidRPr="00F93A87">
              <w:rPr>
                <w:color w:val="000000"/>
                <w:lang w:eastAsia="en-AU"/>
              </w:rPr>
              <w:t>oral FDC (netupitant 300 mg/</w:t>
            </w:r>
            <w:r w:rsidR="00B100BF" w:rsidRPr="00F93A87">
              <w:rPr>
                <w:color w:val="000000"/>
                <w:lang w:eastAsia="en-AU"/>
              </w:rPr>
              <w:t xml:space="preserve">palonosetron 0.5 mg) </w:t>
            </w:r>
            <w:r w:rsidR="0067312A" w:rsidRPr="00F93A87">
              <w:rPr>
                <w:color w:val="000000"/>
                <w:lang w:eastAsia="en-AU"/>
              </w:rPr>
              <w:t>versus</w:t>
            </w:r>
            <w:r w:rsidR="00B100BF" w:rsidRPr="00F93A87">
              <w:rPr>
                <w:color w:val="000000"/>
                <w:lang w:eastAsia="en-AU"/>
              </w:rPr>
              <w:t xml:space="preserve"> oral palonosetron</w:t>
            </w:r>
          </w:p>
          <w:p w:rsidR="00B100BF" w:rsidRPr="00F93A87" w:rsidRDefault="00B100BF" w:rsidP="004C0905">
            <w:pPr>
              <w:spacing w:line="240" w:lineRule="auto"/>
              <w:rPr>
                <w:color w:val="000000"/>
                <w:lang w:eastAsia="en-AU"/>
              </w:rPr>
            </w:pPr>
            <w:r w:rsidRPr="00F93A87">
              <w:rPr>
                <w:color w:val="000000"/>
                <w:lang w:eastAsia="en-AU"/>
              </w:rPr>
              <w:t>MEC* (*see discussion); single and multiple chemo cycles</w:t>
            </w:r>
          </w:p>
        </w:tc>
      </w:tr>
      <w:tr w:rsidR="00B100BF" w:rsidRPr="00F93A87" w:rsidTr="004C0905">
        <w:trPr>
          <w:trHeight w:val="1052"/>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NETU-07-07</w:t>
            </w:r>
          </w:p>
        </w:tc>
        <w:tc>
          <w:tcPr>
            <w:tcW w:w="1559" w:type="dxa"/>
            <w:shd w:val="clear" w:color="auto" w:fill="auto"/>
            <w:hideMark/>
          </w:tcPr>
          <w:p w:rsidR="00B100BF" w:rsidRPr="00F93A87" w:rsidRDefault="000403F6" w:rsidP="004C0905">
            <w:pPr>
              <w:spacing w:line="240" w:lineRule="auto"/>
              <w:rPr>
                <w:color w:val="000000"/>
                <w:lang w:eastAsia="en-AU"/>
              </w:rPr>
            </w:pPr>
            <w:r w:rsidRPr="00F93A87">
              <w:rPr>
                <w:color w:val="000000"/>
                <w:lang w:eastAsia="en-AU"/>
              </w:rPr>
              <w:t>dose finding</w:t>
            </w:r>
            <w:r w:rsidR="00B100BF" w:rsidRPr="00F93A87">
              <w:rPr>
                <w:color w:val="000000"/>
                <w:lang w:eastAsia="en-AU"/>
              </w:rPr>
              <w:t xml:space="preserve"> for netupitant</w:t>
            </w:r>
          </w:p>
          <w:p w:rsidR="00B100BF" w:rsidRPr="00F93A87" w:rsidRDefault="00B100BF" w:rsidP="004C0905">
            <w:pPr>
              <w:spacing w:line="240" w:lineRule="auto"/>
              <w:rPr>
                <w:color w:val="000000"/>
                <w:lang w:eastAsia="en-AU"/>
              </w:rPr>
            </w:pPr>
            <w:r w:rsidRPr="00F93A87">
              <w:rPr>
                <w:color w:val="000000"/>
                <w:lang w:eastAsia="en-AU"/>
              </w:rPr>
              <w:t>pivotal in HEC</w:t>
            </w:r>
          </w:p>
        </w:tc>
        <w:tc>
          <w:tcPr>
            <w:tcW w:w="5512" w:type="dxa"/>
            <w:shd w:val="clear" w:color="auto" w:fill="auto"/>
            <w:hideMark/>
          </w:tcPr>
          <w:p w:rsidR="00B100BF" w:rsidRPr="00F93A87" w:rsidRDefault="00471C25" w:rsidP="004C0905">
            <w:pPr>
              <w:spacing w:line="240" w:lineRule="auto"/>
              <w:rPr>
                <w:color w:val="000000"/>
                <w:lang w:eastAsia="en-AU"/>
              </w:rPr>
            </w:pPr>
            <w:r w:rsidRPr="00F93A87">
              <w:rPr>
                <w:color w:val="000000"/>
                <w:lang w:eastAsia="en-AU"/>
              </w:rPr>
              <w:t>oral netupitant</w:t>
            </w:r>
            <w:r w:rsidR="00B100BF" w:rsidRPr="00F93A87">
              <w:rPr>
                <w:color w:val="000000"/>
                <w:lang w:eastAsia="en-AU"/>
              </w:rPr>
              <w:t xml:space="preserve"> palonosetron 100/0.5 </w:t>
            </w:r>
            <w:r w:rsidR="0067312A" w:rsidRPr="00F93A87">
              <w:rPr>
                <w:color w:val="000000"/>
                <w:lang w:eastAsia="en-AU"/>
              </w:rPr>
              <w:t>versus</w:t>
            </w:r>
            <w:r w:rsidR="00B100BF" w:rsidRPr="00F93A87">
              <w:rPr>
                <w:color w:val="000000"/>
                <w:lang w:eastAsia="en-AU"/>
              </w:rPr>
              <w:t xml:space="preserve"> 200/0.5 </w:t>
            </w:r>
            <w:r w:rsidR="0067312A" w:rsidRPr="00F93A87">
              <w:rPr>
                <w:color w:val="000000"/>
                <w:lang w:eastAsia="en-AU"/>
              </w:rPr>
              <w:t>versus</w:t>
            </w:r>
            <w:r w:rsidR="00B100BF" w:rsidRPr="00F93A87">
              <w:rPr>
                <w:color w:val="000000"/>
                <w:lang w:eastAsia="en-AU"/>
              </w:rPr>
              <w:t xml:space="preserve"> 300/0.5 </w:t>
            </w:r>
            <w:r w:rsidR="0067312A" w:rsidRPr="00F93A87">
              <w:rPr>
                <w:color w:val="000000"/>
                <w:lang w:eastAsia="en-AU"/>
              </w:rPr>
              <w:t>versus</w:t>
            </w:r>
            <w:r w:rsidR="00B100BF" w:rsidRPr="00F93A87">
              <w:rPr>
                <w:color w:val="000000"/>
                <w:lang w:eastAsia="en-AU"/>
              </w:rPr>
              <w:t xml:space="preserve"> -</w:t>
            </w:r>
            <w:r w:rsidRPr="00F93A87">
              <w:rPr>
                <w:color w:val="000000"/>
                <w:lang w:eastAsia="en-AU"/>
              </w:rPr>
              <w:t xml:space="preserve"> </w:t>
            </w:r>
            <w:r w:rsidR="00B100BF" w:rsidRPr="00F93A87">
              <w:rPr>
                <w:color w:val="000000"/>
                <w:lang w:eastAsia="en-AU"/>
              </w:rPr>
              <w:t>/0.5 mg (primarily); FDC not used</w:t>
            </w:r>
          </w:p>
          <w:p w:rsidR="00B100BF" w:rsidRPr="00F93A87" w:rsidRDefault="00B100BF" w:rsidP="004C0905">
            <w:pPr>
              <w:spacing w:line="240" w:lineRule="auto"/>
              <w:rPr>
                <w:color w:val="000000"/>
                <w:lang w:eastAsia="en-AU"/>
              </w:rPr>
            </w:pPr>
            <w:r w:rsidRPr="00F93A87">
              <w:rPr>
                <w:color w:val="000000"/>
                <w:lang w:eastAsia="en-AU"/>
              </w:rPr>
              <w:t>HEC; single cycle</w:t>
            </w:r>
          </w:p>
        </w:tc>
      </w:tr>
      <w:tr w:rsidR="00B100BF" w:rsidRPr="00F93A87" w:rsidTr="004C0905">
        <w:trPr>
          <w:trHeight w:val="1052"/>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lastRenderedPageBreak/>
              <w:t>NETU-10-29</w:t>
            </w:r>
          </w:p>
        </w:tc>
        <w:tc>
          <w:tcPr>
            <w:tcW w:w="1559" w:type="dxa"/>
            <w:shd w:val="clear" w:color="auto" w:fill="auto"/>
            <w:hideMark/>
          </w:tcPr>
          <w:p w:rsidR="00B100BF" w:rsidRPr="00F93A87" w:rsidRDefault="00DB6405" w:rsidP="004C0905">
            <w:pPr>
              <w:spacing w:line="240" w:lineRule="auto"/>
              <w:rPr>
                <w:color w:val="000000"/>
                <w:lang w:eastAsia="en-AU"/>
              </w:rPr>
            </w:pPr>
            <w:r w:rsidRPr="00F93A87">
              <w:rPr>
                <w:color w:val="000000"/>
                <w:lang w:eastAsia="en-AU"/>
              </w:rPr>
              <w:t xml:space="preserve">Safety </w:t>
            </w:r>
            <w:r w:rsidR="00B100BF" w:rsidRPr="00F93A87">
              <w:rPr>
                <w:color w:val="000000"/>
                <w:lang w:eastAsia="en-AU"/>
              </w:rPr>
              <w:t>supportive for efficacy</w:t>
            </w:r>
          </w:p>
        </w:tc>
        <w:tc>
          <w:tcPr>
            <w:tcW w:w="5512" w:type="dxa"/>
            <w:shd w:val="clear" w:color="auto" w:fill="auto"/>
            <w:hideMark/>
          </w:tcPr>
          <w:p w:rsidR="00B100BF" w:rsidRPr="00F93A87" w:rsidRDefault="00471C25" w:rsidP="004C0905">
            <w:pPr>
              <w:spacing w:line="240" w:lineRule="auto"/>
              <w:rPr>
                <w:color w:val="000000"/>
                <w:lang w:eastAsia="en-AU"/>
              </w:rPr>
            </w:pPr>
            <w:r w:rsidRPr="00F93A87">
              <w:rPr>
                <w:color w:val="000000"/>
                <w:lang w:eastAsia="en-AU"/>
              </w:rPr>
              <w:t>oral FDC (netupitant 300 mg/</w:t>
            </w:r>
            <w:r w:rsidR="00B100BF" w:rsidRPr="00F93A87">
              <w:rPr>
                <w:color w:val="000000"/>
                <w:lang w:eastAsia="en-AU"/>
              </w:rPr>
              <w:t xml:space="preserve">palonosetron 0.5 mg) </w:t>
            </w:r>
            <w:r w:rsidR="0067312A" w:rsidRPr="00F93A87">
              <w:rPr>
                <w:color w:val="000000"/>
                <w:lang w:eastAsia="en-AU"/>
              </w:rPr>
              <w:t>versus</w:t>
            </w:r>
            <w:r w:rsidR="00DB6405" w:rsidRPr="00F93A87">
              <w:rPr>
                <w:color w:val="000000"/>
                <w:lang w:eastAsia="en-AU"/>
              </w:rPr>
              <w:t xml:space="preserve"> aprepitant + palonosetron </w:t>
            </w:r>
            <w:r w:rsidR="00B100BF" w:rsidRPr="00F93A87">
              <w:rPr>
                <w:color w:val="000000"/>
                <w:lang w:eastAsia="en-AU"/>
              </w:rPr>
              <w:t>MEC and HEC; multiple cycles</w:t>
            </w:r>
          </w:p>
        </w:tc>
      </w:tr>
      <w:tr w:rsidR="00B100BF" w:rsidRPr="00F93A87" w:rsidTr="004C0905">
        <w:trPr>
          <w:trHeight w:val="823"/>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PALO-10-01</w:t>
            </w:r>
          </w:p>
        </w:tc>
        <w:tc>
          <w:tcPr>
            <w:tcW w:w="1559" w:type="dxa"/>
            <w:shd w:val="clear" w:color="auto" w:fill="auto"/>
            <w:hideMark/>
          </w:tcPr>
          <w:p w:rsidR="00B100BF" w:rsidRPr="00F93A87" w:rsidRDefault="00DB6405" w:rsidP="004C0905">
            <w:pPr>
              <w:spacing w:line="240" w:lineRule="auto"/>
              <w:rPr>
                <w:color w:val="000000"/>
                <w:lang w:eastAsia="en-AU"/>
              </w:rPr>
            </w:pPr>
            <w:r w:rsidRPr="00F93A87">
              <w:rPr>
                <w:color w:val="000000"/>
                <w:lang w:eastAsia="en-AU"/>
              </w:rPr>
              <w:t xml:space="preserve">Efficacy </w:t>
            </w:r>
            <w:r w:rsidR="00B100BF" w:rsidRPr="00F93A87">
              <w:rPr>
                <w:color w:val="000000"/>
                <w:lang w:eastAsia="en-AU"/>
              </w:rPr>
              <w:t>bridging</w:t>
            </w:r>
          </w:p>
        </w:tc>
        <w:tc>
          <w:tcPr>
            <w:tcW w:w="5512" w:type="dxa"/>
            <w:shd w:val="clear" w:color="auto" w:fill="auto"/>
            <w:hideMark/>
          </w:tcPr>
          <w:p w:rsidR="00B100BF" w:rsidRPr="00F93A87" w:rsidRDefault="00B100BF" w:rsidP="004C0905">
            <w:pPr>
              <w:spacing w:line="240" w:lineRule="auto"/>
              <w:rPr>
                <w:color w:val="000000"/>
                <w:lang w:val="fr-FR" w:eastAsia="en-AU"/>
              </w:rPr>
            </w:pPr>
            <w:r w:rsidRPr="00F93A87">
              <w:rPr>
                <w:color w:val="000000"/>
                <w:lang w:val="fr-FR" w:eastAsia="en-AU"/>
              </w:rPr>
              <w:t xml:space="preserve">palonosetron 0.5 mg </w:t>
            </w:r>
            <w:r w:rsidR="0067312A" w:rsidRPr="00F93A87">
              <w:rPr>
                <w:color w:val="000000"/>
                <w:lang w:val="fr-FR" w:eastAsia="en-AU"/>
              </w:rPr>
              <w:t>versus</w:t>
            </w:r>
            <w:r w:rsidR="00DB6405" w:rsidRPr="00F93A87">
              <w:rPr>
                <w:color w:val="000000"/>
                <w:lang w:val="fr-FR" w:eastAsia="en-AU"/>
              </w:rPr>
              <w:t xml:space="preserve"> 1 dose IV palonosetron 0.25 mg </w:t>
            </w:r>
            <w:r w:rsidRPr="00F93A87">
              <w:rPr>
                <w:color w:val="000000"/>
                <w:lang w:eastAsia="en-AU"/>
              </w:rPr>
              <w:t>HEC; single cycle</w:t>
            </w:r>
          </w:p>
        </w:tc>
      </w:tr>
      <w:tr w:rsidR="00B100BF" w:rsidRPr="00F93A87" w:rsidTr="004C0905">
        <w:trPr>
          <w:trHeight w:val="823"/>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PALO-03-13</w:t>
            </w:r>
          </w:p>
        </w:tc>
        <w:tc>
          <w:tcPr>
            <w:tcW w:w="1559" w:type="dxa"/>
            <w:shd w:val="clear" w:color="auto" w:fill="auto"/>
            <w:hideMark/>
          </w:tcPr>
          <w:p w:rsidR="00B100BF" w:rsidRPr="00F93A87" w:rsidRDefault="000403F6" w:rsidP="004C0905">
            <w:pPr>
              <w:spacing w:line="240" w:lineRule="auto"/>
              <w:rPr>
                <w:color w:val="000000"/>
                <w:lang w:eastAsia="en-AU"/>
              </w:rPr>
            </w:pPr>
            <w:r w:rsidRPr="00F93A87">
              <w:rPr>
                <w:color w:val="000000"/>
                <w:lang w:eastAsia="en-AU"/>
              </w:rPr>
              <w:t>dose finding</w:t>
            </w:r>
            <w:r w:rsidR="00DB6405" w:rsidRPr="00F93A87">
              <w:rPr>
                <w:color w:val="000000"/>
                <w:lang w:eastAsia="en-AU"/>
              </w:rPr>
              <w:t xml:space="preserve"> </w:t>
            </w:r>
            <w:r w:rsidR="00B100BF" w:rsidRPr="00F93A87">
              <w:rPr>
                <w:color w:val="000000"/>
                <w:lang w:eastAsia="en-AU"/>
              </w:rPr>
              <w:t>bridging</w:t>
            </w:r>
          </w:p>
        </w:tc>
        <w:tc>
          <w:tcPr>
            <w:tcW w:w="5512" w:type="dxa"/>
            <w:shd w:val="clear" w:color="auto" w:fill="auto"/>
            <w:hideMark/>
          </w:tcPr>
          <w:p w:rsidR="00B100BF" w:rsidRPr="00F93A87" w:rsidRDefault="00B100BF" w:rsidP="004C0905">
            <w:pPr>
              <w:spacing w:line="240" w:lineRule="auto"/>
              <w:rPr>
                <w:color w:val="000000"/>
                <w:lang w:val="fr-FR" w:eastAsia="en-AU"/>
              </w:rPr>
            </w:pPr>
            <w:r w:rsidRPr="00F93A87">
              <w:rPr>
                <w:color w:val="000000"/>
                <w:lang w:val="fr-FR" w:eastAsia="en-AU"/>
              </w:rPr>
              <w:t xml:space="preserve">oral palonosetron 0.25 </w:t>
            </w:r>
            <w:r w:rsidR="0067312A" w:rsidRPr="00F93A87">
              <w:rPr>
                <w:color w:val="000000"/>
                <w:lang w:val="fr-FR" w:eastAsia="en-AU"/>
              </w:rPr>
              <w:t>versus</w:t>
            </w:r>
            <w:r w:rsidRPr="00F93A87">
              <w:rPr>
                <w:color w:val="000000"/>
                <w:lang w:val="fr-FR" w:eastAsia="en-AU"/>
              </w:rPr>
              <w:t xml:space="preserve"> 0.5 </w:t>
            </w:r>
            <w:r w:rsidR="0067312A" w:rsidRPr="00F93A87">
              <w:rPr>
                <w:color w:val="000000"/>
                <w:lang w:val="fr-FR" w:eastAsia="en-AU"/>
              </w:rPr>
              <w:t>versus</w:t>
            </w:r>
            <w:r w:rsidRPr="00F93A87">
              <w:rPr>
                <w:color w:val="000000"/>
                <w:lang w:val="fr-FR" w:eastAsia="en-AU"/>
              </w:rPr>
              <w:t xml:space="preserve"> 0.75 mg </w:t>
            </w:r>
            <w:r w:rsidR="0067312A" w:rsidRPr="00F93A87">
              <w:rPr>
                <w:color w:val="000000"/>
                <w:lang w:val="fr-FR" w:eastAsia="en-AU"/>
              </w:rPr>
              <w:t>versus</w:t>
            </w:r>
            <w:r w:rsidR="00DB6405" w:rsidRPr="00F93A87">
              <w:rPr>
                <w:color w:val="000000"/>
                <w:lang w:val="fr-FR" w:eastAsia="en-AU"/>
              </w:rPr>
              <w:t xml:space="preserve"> IV 0.25 mg </w:t>
            </w:r>
            <w:r w:rsidRPr="00F93A87">
              <w:rPr>
                <w:color w:val="000000"/>
                <w:lang w:eastAsia="en-AU"/>
              </w:rPr>
              <w:t>MEC; single cycle</w:t>
            </w:r>
          </w:p>
        </w:tc>
      </w:tr>
      <w:tr w:rsidR="00B100BF" w:rsidRPr="00F93A87" w:rsidTr="004C0905">
        <w:trPr>
          <w:trHeight w:val="1052"/>
        </w:trPr>
        <w:tc>
          <w:tcPr>
            <w:tcW w:w="1398"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PALO-03-14</w:t>
            </w:r>
          </w:p>
        </w:tc>
        <w:tc>
          <w:tcPr>
            <w:tcW w:w="1559" w:type="dxa"/>
            <w:shd w:val="clear" w:color="auto" w:fill="auto"/>
            <w:hideMark/>
          </w:tcPr>
          <w:p w:rsidR="00B100BF" w:rsidRPr="00F93A87" w:rsidRDefault="00DB6405" w:rsidP="004C0905">
            <w:pPr>
              <w:spacing w:line="240" w:lineRule="auto"/>
              <w:rPr>
                <w:color w:val="000000"/>
                <w:lang w:eastAsia="en-AU"/>
              </w:rPr>
            </w:pPr>
            <w:r w:rsidRPr="00F93A87">
              <w:rPr>
                <w:color w:val="000000"/>
                <w:lang w:eastAsia="en-AU"/>
              </w:rPr>
              <w:t xml:space="preserve">efficacy and safety </w:t>
            </w:r>
            <w:r w:rsidR="00B100BF" w:rsidRPr="00F93A87">
              <w:rPr>
                <w:color w:val="000000"/>
                <w:lang w:eastAsia="en-AU"/>
              </w:rPr>
              <w:t>bridging</w:t>
            </w:r>
          </w:p>
        </w:tc>
        <w:tc>
          <w:tcPr>
            <w:tcW w:w="5512" w:type="dxa"/>
            <w:shd w:val="clear" w:color="auto" w:fill="auto"/>
            <w:hideMark/>
          </w:tcPr>
          <w:p w:rsidR="00B100BF" w:rsidRPr="00F93A87" w:rsidRDefault="00DB6405" w:rsidP="004C0905">
            <w:pPr>
              <w:spacing w:line="240" w:lineRule="auto"/>
              <w:rPr>
                <w:color w:val="000000"/>
                <w:lang w:val="fr-FR" w:eastAsia="en-AU"/>
              </w:rPr>
            </w:pPr>
            <w:r w:rsidRPr="00F93A87">
              <w:rPr>
                <w:color w:val="000000"/>
                <w:lang w:val="fr-FR" w:eastAsia="en-AU"/>
              </w:rPr>
              <w:t xml:space="preserve">oral palonosetron 0.75 mg </w:t>
            </w:r>
            <w:r w:rsidR="00A90D0A" w:rsidRPr="00F93A87">
              <w:rPr>
                <w:color w:val="000000"/>
                <w:lang w:val="fr-FR" w:eastAsia="en-AU"/>
              </w:rPr>
              <w:t>MEC; multiple cycles</w:t>
            </w:r>
          </w:p>
        </w:tc>
      </w:tr>
      <w:tr w:rsidR="00B100BF" w:rsidRPr="00F93A87" w:rsidTr="004C0905">
        <w:trPr>
          <w:trHeight w:val="1166"/>
        </w:trPr>
        <w:tc>
          <w:tcPr>
            <w:tcW w:w="1398" w:type="dxa"/>
            <w:shd w:val="clear" w:color="auto" w:fill="auto"/>
            <w:hideMark/>
          </w:tcPr>
          <w:p w:rsidR="00B100BF" w:rsidRPr="00F93A87" w:rsidRDefault="00F51E23" w:rsidP="004C0905">
            <w:pPr>
              <w:spacing w:line="240" w:lineRule="auto"/>
              <w:rPr>
                <w:color w:val="000000"/>
                <w:lang w:eastAsia="en-AU"/>
              </w:rPr>
            </w:pPr>
            <w:proofErr w:type="spellStart"/>
            <w:r w:rsidRPr="00F93A87">
              <w:rPr>
                <w:color w:val="000000"/>
                <w:lang w:eastAsia="en-AU"/>
              </w:rPr>
              <w:t>Misc</w:t>
            </w:r>
            <w:proofErr w:type="spellEnd"/>
          </w:p>
        </w:tc>
        <w:tc>
          <w:tcPr>
            <w:tcW w:w="1559"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other indications</w:t>
            </w:r>
          </w:p>
        </w:tc>
        <w:tc>
          <w:tcPr>
            <w:tcW w:w="5512"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NETU-08-03 (netupitant in overactive bladder)</w:t>
            </w:r>
          </w:p>
          <w:p w:rsidR="00B100BF" w:rsidRPr="00F93A87" w:rsidRDefault="00471C25" w:rsidP="004C0905">
            <w:pPr>
              <w:spacing w:line="240" w:lineRule="auto"/>
              <w:rPr>
                <w:color w:val="000000"/>
                <w:lang w:eastAsia="en-AU"/>
              </w:rPr>
            </w:pPr>
            <w:r w:rsidRPr="00F93A87">
              <w:rPr>
                <w:color w:val="000000"/>
                <w:lang w:eastAsia="en-AU"/>
              </w:rPr>
              <w:t>NETU-09-11 (netupitant/p</w:t>
            </w:r>
            <w:r w:rsidR="00B100BF" w:rsidRPr="00F93A87">
              <w:rPr>
                <w:color w:val="000000"/>
                <w:lang w:eastAsia="en-AU"/>
              </w:rPr>
              <w:t>alonosetron FDC in acute pain)</w:t>
            </w:r>
          </w:p>
          <w:p w:rsidR="00B100BF" w:rsidRPr="00F93A87" w:rsidRDefault="00B100BF" w:rsidP="004C0905">
            <w:pPr>
              <w:spacing w:line="240" w:lineRule="auto"/>
              <w:rPr>
                <w:color w:val="000000"/>
                <w:lang w:eastAsia="en-AU"/>
              </w:rPr>
            </w:pPr>
            <w:r w:rsidRPr="00F93A87">
              <w:rPr>
                <w:color w:val="000000"/>
                <w:lang w:eastAsia="en-AU"/>
              </w:rPr>
              <w:t>not evaluated in CER</w:t>
            </w:r>
          </w:p>
        </w:tc>
      </w:tr>
      <w:tr w:rsidR="00B100BF" w:rsidRPr="00F93A87" w:rsidTr="004C0905">
        <w:trPr>
          <w:trHeight w:val="480"/>
        </w:trPr>
        <w:tc>
          <w:tcPr>
            <w:tcW w:w="1398" w:type="dxa"/>
            <w:shd w:val="clear" w:color="auto" w:fill="auto"/>
            <w:hideMark/>
          </w:tcPr>
          <w:p w:rsidR="00B100BF" w:rsidRPr="00F93A87" w:rsidRDefault="00F51E23" w:rsidP="004C0905">
            <w:pPr>
              <w:spacing w:line="240" w:lineRule="auto"/>
              <w:rPr>
                <w:color w:val="000000"/>
                <w:lang w:eastAsia="en-AU"/>
              </w:rPr>
            </w:pPr>
            <w:proofErr w:type="spellStart"/>
            <w:r w:rsidRPr="00F93A87">
              <w:rPr>
                <w:color w:val="000000"/>
                <w:lang w:eastAsia="en-AU"/>
              </w:rPr>
              <w:t>Misc</w:t>
            </w:r>
            <w:proofErr w:type="spellEnd"/>
          </w:p>
        </w:tc>
        <w:tc>
          <w:tcPr>
            <w:tcW w:w="1559"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IV palonosetron</w:t>
            </w:r>
          </w:p>
        </w:tc>
        <w:tc>
          <w:tcPr>
            <w:tcW w:w="5512"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 xml:space="preserve">PALO-99-03, PALO-99-04, PALO-99-05 (IV palonosetron </w:t>
            </w:r>
            <w:r w:rsidR="0067312A" w:rsidRPr="00F93A87">
              <w:rPr>
                <w:color w:val="000000"/>
                <w:lang w:eastAsia="en-AU"/>
              </w:rPr>
              <w:t>versus</w:t>
            </w:r>
            <w:r w:rsidRPr="00F93A87">
              <w:rPr>
                <w:color w:val="000000"/>
                <w:lang w:eastAsia="en-AU"/>
              </w:rPr>
              <w:t xml:space="preserve"> other </w:t>
            </w:r>
            <w:r w:rsidR="000C31A3" w:rsidRPr="00F93A87">
              <w:rPr>
                <w:color w:val="000000"/>
                <w:lang w:eastAsia="en-AU"/>
              </w:rPr>
              <w:t>5-HT</w:t>
            </w:r>
            <w:r w:rsidR="000C31A3" w:rsidRPr="00F93A87">
              <w:rPr>
                <w:color w:val="000000"/>
                <w:vertAlign w:val="subscript"/>
                <w:lang w:eastAsia="en-AU"/>
              </w:rPr>
              <w:t>3</w:t>
            </w:r>
            <w:r w:rsidR="00E7463E" w:rsidRPr="00F93A87">
              <w:rPr>
                <w:color w:val="000000"/>
                <w:lang w:eastAsia="en-AU"/>
              </w:rPr>
              <w:t xml:space="preserve">R antagonists) </w:t>
            </w:r>
            <w:r w:rsidRPr="00F93A87">
              <w:rPr>
                <w:color w:val="000000"/>
                <w:lang w:eastAsia="en-AU"/>
              </w:rPr>
              <w:t>not evaluated in CER</w:t>
            </w:r>
          </w:p>
        </w:tc>
      </w:tr>
      <w:tr w:rsidR="00B100BF" w:rsidRPr="00F93A87" w:rsidTr="004C0905">
        <w:trPr>
          <w:trHeight w:val="143"/>
        </w:trPr>
        <w:tc>
          <w:tcPr>
            <w:tcW w:w="1398" w:type="dxa"/>
            <w:shd w:val="clear" w:color="auto" w:fill="auto"/>
            <w:hideMark/>
          </w:tcPr>
          <w:p w:rsidR="00B100BF" w:rsidRPr="00F93A87" w:rsidRDefault="00F51E23" w:rsidP="004C0905">
            <w:pPr>
              <w:spacing w:line="240" w:lineRule="auto"/>
              <w:rPr>
                <w:color w:val="000000"/>
                <w:lang w:eastAsia="en-AU"/>
              </w:rPr>
            </w:pPr>
            <w:proofErr w:type="spellStart"/>
            <w:r w:rsidRPr="00F93A87">
              <w:rPr>
                <w:color w:val="000000"/>
                <w:lang w:eastAsia="en-AU"/>
              </w:rPr>
              <w:t>Misc</w:t>
            </w:r>
            <w:proofErr w:type="spellEnd"/>
          </w:p>
        </w:tc>
        <w:tc>
          <w:tcPr>
            <w:tcW w:w="1559"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pharmacology</w:t>
            </w:r>
          </w:p>
        </w:tc>
        <w:tc>
          <w:tcPr>
            <w:tcW w:w="5512"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23 clinical pharmacology studies (2</w:t>
            </w:r>
            <w:r w:rsidR="00E7463E" w:rsidRPr="00F93A87">
              <w:rPr>
                <w:color w:val="000000"/>
                <w:lang w:eastAsia="en-AU"/>
              </w:rPr>
              <w:t xml:space="preserve">0 with PK data; 4 with PD data) </w:t>
            </w:r>
            <w:r w:rsidRPr="00F93A87">
              <w:rPr>
                <w:color w:val="000000"/>
                <w:lang w:eastAsia="en-AU"/>
              </w:rPr>
              <w:t>1 population PK/PD analysis</w:t>
            </w:r>
          </w:p>
        </w:tc>
      </w:tr>
    </w:tbl>
    <w:p w:rsidR="00B100BF" w:rsidRPr="00166326" w:rsidRDefault="00B100BF" w:rsidP="00166326">
      <w:r w:rsidRPr="00166326">
        <w:t>There were no paediatric data.</w:t>
      </w:r>
    </w:p>
    <w:p w:rsidR="00B100BF" w:rsidRPr="00166326" w:rsidRDefault="00B100BF" w:rsidP="00166326">
      <w:pPr>
        <w:pStyle w:val="Heading4"/>
      </w:pPr>
      <w:r w:rsidRPr="00166326">
        <w:t>Formulation</w:t>
      </w:r>
    </w:p>
    <w:p w:rsidR="00B100BF" w:rsidRPr="00166326" w:rsidRDefault="00E96281" w:rsidP="00166326">
      <w:r w:rsidRPr="00166326">
        <w:t>Akynzeo</w:t>
      </w:r>
      <w:r w:rsidR="00B100BF" w:rsidRPr="00166326">
        <w:t xml:space="preserve"> is a hard </w:t>
      </w:r>
      <w:proofErr w:type="spellStart"/>
      <w:r w:rsidR="00B100BF" w:rsidRPr="00166326">
        <w:t>gelatin</w:t>
      </w:r>
      <w:proofErr w:type="spellEnd"/>
      <w:r w:rsidR="00B100BF" w:rsidRPr="00166326">
        <w:t xml:space="preserve"> capsule (containing 3 </w:t>
      </w:r>
      <w:r w:rsidR="00F51E23">
        <w:t>times</w:t>
      </w:r>
      <w:r w:rsidR="00B100BF" w:rsidRPr="00166326">
        <w:t xml:space="preserve"> 100 mg netupitant i</w:t>
      </w:r>
      <w:r w:rsidR="00F51E23">
        <w:t>mmediate release tablets and one</w:t>
      </w:r>
      <w:r w:rsidR="00B100BF" w:rsidRPr="00166326">
        <w:t xml:space="preserve"> 0.5 mg </w:t>
      </w:r>
      <w:proofErr w:type="spellStart"/>
      <w:r w:rsidR="00B100BF" w:rsidRPr="00166326">
        <w:t>palonosetron</w:t>
      </w:r>
      <w:proofErr w:type="spellEnd"/>
      <w:r w:rsidR="00B100BF" w:rsidRPr="00166326">
        <w:t xml:space="preserve"> soft </w:t>
      </w:r>
      <w:proofErr w:type="spellStart"/>
      <w:r w:rsidR="00B100BF" w:rsidRPr="00166326">
        <w:t>gelatin</w:t>
      </w:r>
      <w:proofErr w:type="spellEnd"/>
      <w:r w:rsidR="00B100BF" w:rsidRPr="00166326">
        <w:t xml:space="preserve"> capsule)</w:t>
      </w:r>
      <w:r w:rsidR="00471C25" w:rsidRPr="00166326">
        <w:t>, that is, a fixed dose combination</w:t>
      </w:r>
      <w:r w:rsidR="00B100BF" w:rsidRPr="00166326">
        <w:t>.</w:t>
      </w:r>
    </w:p>
    <w:p w:rsidR="00B100BF" w:rsidRPr="00166326" w:rsidRDefault="00B100BF" w:rsidP="00166326">
      <w:r w:rsidRPr="00166326">
        <w:t>The outer capsule is described as Size 0, which indicates a largish tablet with ‘locked length’ 21.7 mm and external diameter 7.65 mm.</w:t>
      </w:r>
      <w:r w:rsidR="005F7FE0" w:rsidRPr="00166326">
        <w:t xml:space="preserve"> </w:t>
      </w:r>
      <w:r w:rsidRPr="00166326">
        <w:t xml:space="preserve">The large size might be problematic in patients with dysphagia, or upper </w:t>
      </w:r>
      <w:r w:rsidR="00471C25" w:rsidRPr="00166326">
        <w:t>gastrointestinal (</w:t>
      </w:r>
      <w:r w:rsidRPr="00166326">
        <w:t>GI</w:t>
      </w:r>
      <w:r w:rsidR="00471C25" w:rsidRPr="00166326">
        <w:t>)</w:t>
      </w:r>
      <w:r w:rsidRPr="00166326">
        <w:t xml:space="preserve"> mucositis from </w:t>
      </w:r>
      <w:r w:rsidR="00F51E23">
        <w:t>earlier cycles of chemotherapy;</w:t>
      </w:r>
      <w:r w:rsidRPr="00166326">
        <w:t xml:space="preserve"> no data indicate this was a practical problem in the reported clinical trials, but this aspect may not be well reported.</w:t>
      </w:r>
    </w:p>
    <w:p w:rsidR="00B100BF" w:rsidRPr="00166326" w:rsidRDefault="00CE0692" w:rsidP="00166326">
      <w:pPr>
        <w:pStyle w:val="Heading4"/>
      </w:pPr>
      <w:r>
        <w:t>Pharmacokinetics</w:t>
      </w:r>
    </w:p>
    <w:p w:rsidR="00B100BF" w:rsidRPr="00166326" w:rsidRDefault="00471C25" w:rsidP="00166326">
      <w:r w:rsidRPr="00166326">
        <w:t>The clinical evaluation r</w:t>
      </w:r>
      <w:r w:rsidR="00B100BF" w:rsidRPr="00166326">
        <w:t xml:space="preserve">eport discusses PK </w:t>
      </w:r>
      <w:r w:rsidRPr="00166326">
        <w:t xml:space="preserve">and </w:t>
      </w:r>
      <w:r w:rsidR="00B100BF" w:rsidRPr="00166326">
        <w:t xml:space="preserve">summarises PK studies; the </w:t>
      </w:r>
      <w:r w:rsidR="00142EBA" w:rsidRPr="00166326">
        <w:t>evaluator</w:t>
      </w:r>
      <w:r w:rsidR="00B100BF" w:rsidRPr="00166326">
        <w:t xml:space="preserve">’s views about PK issues (limitations of the PK characterisation of </w:t>
      </w:r>
      <w:r w:rsidR="00E96281" w:rsidRPr="00166326">
        <w:t>Akynzeo</w:t>
      </w:r>
      <w:r w:rsidR="00B100BF" w:rsidRPr="00166326">
        <w:t>)</w:t>
      </w:r>
      <w:r w:rsidRPr="00166326">
        <w:t xml:space="preserve"> a</w:t>
      </w:r>
      <w:r w:rsidR="00F51E23">
        <w:t>re discussed under the heading e</w:t>
      </w:r>
      <w:r w:rsidRPr="00166326">
        <w:t>valuator’s conclusions on pharmacokinetics</w:t>
      </w:r>
      <w:r w:rsidR="00B100BF" w:rsidRPr="00166326">
        <w:t>.</w:t>
      </w:r>
    </w:p>
    <w:p w:rsidR="00B100BF" w:rsidRPr="00166326" w:rsidRDefault="00B100BF" w:rsidP="00166326">
      <w:pPr>
        <w:pStyle w:val="Heading5"/>
      </w:pPr>
      <w:r w:rsidRPr="00166326">
        <w:t>Netupitant</w:t>
      </w:r>
    </w:p>
    <w:p w:rsidR="00B100BF" w:rsidRPr="00166326" w:rsidRDefault="00B100BF" w:rsidP="00166326">
      <w:r w:rsidRPr="00166326">
        <w:t>Key PK characteristics of netupitant are:</w:t>
      </w:r>
    </w:p>
    <w:p w:rsidR="00B100BF" w:rsidRPr="00166326" w:rsidRDefault="00660F61" w:rsidP="00166326">
      <w:pPr>
        <w:pStyle w:val="ListBullet"/>
      </w:pPr>
      <w:r w:rsidRPr="00166326">
        <w:t>molecular weight is 332.87</w:t>
      </w:r>
    </w:p>
    <w:p w:rsidR="00B100BF" w:rsidRPr="00166326" w:rsidRDefault="000403F6" w:rsidP="00166326">
      <w:pPr>
        <w:pStyle w:val="ListBullet"/>
      </w:pPr>
      <w:proofErr w:type="spellStart"/>
      <w:r w:rsidRPr="00C01898">
        <w:t>T</w:t>
      </w:r>
      <w:r w:rsidRPr="000403F6">
        <w:rPr>
          <w:vertAlign w:val="subscript"/>
        </w:rPr>
        <w:t>max</w:t>
      </w:r>
      <w:proofErr w:type="spellEnd"/>
      <w:r w:rsidR="00B100BF" w:rsidRPr="00166326">
        <w:t xml:space="preserve"> is 5</w:t>
      </w:r>
      <w:r w:rsidR="009B02FF">
        <w:t xml:space="preserve"> hours </w:t>
      </w:r>
      <w:r w:rsidR="00B100BF" w:rsidRPr="00166326">
        <w:t>in he</w:t>
      </w:r>
      <w:r w:rsidR="00F51E23">
        <w:t>althy subjects (from NETU-11-02</w:t>
      </w:r>
      <w:r w:rsidR="00B100BF" w:rsidRPr="00166326">
        <w:t xml:space="preserve">); the median </w:t>
      </w:r>
      <w:proofErr w:type="spellStart"/>
      <w:r w:rsidRPr="00C01898">
        <w:t>T</w:t>
      </w:r>
      <w:r w:rsidRPr="000403F6">
        <w:rPr>
          <w:vertAlign w:val="subscript"/>
        </w:rPr>
        <w:t>max</w:t>
      </w:r>
      <w:proofErr w:type="spellEnd"/>
      <w:r w:rsidR="00A07FE5" w:rsidRPr="00166326">
        <w:t xml:space="preserve"> </w:t>
      </w:r>
      <w:r w:rsidR="00CE0692">
        <w:t xml:space="preserve">in </w:t>
      </w:r>
      <w:proofErr w:type="spellStart"/>
      <w:r w:rsidR="00CE0692">
        <w:t>Pop</w:t>
      </w:r>
      <w:r w:rsidR="00B100BF" w:rsidRPr="00166326">
        <w:t>PK</w:t>
      </w:r>
      <w:proofErr w:type="spellEnd"/>
      <w:r w:rsidR="00B100BF" w:rsidRPr="00166326">
        <w:t xml:space="preserve"> </w:t>
      </w:r>
      <w:r w:rsidR="00F73FE3" w:rsidRPr="00166326">
        <w:t>Study NETU</w:t>
      </w:r>
      <w:r w:rsidR="006A6C35" w:rsidRPr="00166326">
        <w:t>-10-02 in patients was 3.6 h</w:t>
      </w:r>
      <w:r w:rsidR="00F51E23">
        <w:t>ours</w:t>
      </w:r>
    </w:p>
    <w:p w:rsidR="00B100BF" w:rsidRPr="00166326" w:rsidRDefault="00B100BF" w:rsidP="00166326">
      <w:pPr>
        <w:pStyle w:val="ListBullet"/>
      </w:pPr>
      <w:r w:rsidRPr="00166326">
        <w:lastRenderedPageBreak/>
        <w:t xml:space="preserve">half-life in healthy subjects is 77 </w:t>
      </w:r>
      <w:r w:rsidR="00D37B27" w:rsidRPr="00166326">
        <w:t>h</w:t>
      </w:r>
      <w:r w:rsidR="00F51E23">
        <w:t xml:space="preserve">ours </w:t>
      </w:r>
      <w:r w:rsidRPr="00166326">
        <w:t>(from NETU-11-02); 88</w:t>
      </w:r>
      <w:r w:rsidR="009B02FF">
        <w:t xml:space="preserve"> hours </w:t>
      </w:r>
      <w:r w:rsidRPr="00166326">
        <w:t>was estimated in cancer p</w:t>
      </w:r>
      <w:r w:rsidR="00CE0692">
        <w:t xml:space="preserve">atients (NETU-10-02, </w:t>
      </w:r>
      <w:proofErr w:type="spellStart"/>
      <w:r w:rsidR="00CE0692">
        <w:t>Pop</w:t>
      </w:r>
      <w:r w:rsidRPr="00166326">
        <w:t>PK</w:t>
      </w:r>
      <w:proofErr w:type="spellEnd"/>
      <w:r w:rsidRPr="00166326">
        <w:t xml:space="preserve"> analysis)</w:t>
      </w:r>
    </w:p>
    <w:p w:rsidR="0035257D" w:rsidRPr="00166326" w:rsidRDefault="00B100BF" w:rsidP="00166326">
      <w:pPr>
        <w:pStyle w:val="ListBullet"/>
      </w:pPr>
      <w:r w:rsidRPr="00166326">
        <w:t>absolute bioavailability is estimated to be &gt;</w:t>
      </w:r>
      <w:r w:rsidR="00F51E23">
        <w:t xml:space="preserve"> </w:t>
      </w:r>
      <w:r w:rsidRPr="00166326">
        <w:t>60</w:t>
      </w:r>
      <w:r w:rsidR="000403F6">
        <w:t>%</w:t>
      </w:r>
      <w:r w:rsidRPr="00166326">
        <w:t xml:space="preserve">, up to </w:t>
      </w:r>
      <w:r w:rsidR="003A581C" w:rsidRPr="00166326">
        <w:t>approximately</w:t>
      </w:r>
      <w:r w:rsidR="008D5592">
        <w:t xml:space="preserve"> </w:t>
      </w:r>
      <w:r w:rsidRPr="00166326">
        <w:t>87</w:t>
      </w:r>
      <w:r w:rsidR="000403F6">
        <w:t>%</w:t>
      </w:r>
    </w:p>
    <w:p w:rsidR="00B100BF" w:rsidRPr="00166326" w:rsidRDefault="00B100BF" w:rsidP="00166326">
      <w:pPr>
        <w:pStyle w:val="ListBullet"/>
      </w:pPr>
      <w:r w:rsidRPr="00166326">
        <w:t>exposure is higher in the fed state (</w:t>
      </w:r>
      <w:proofErr w:type="spellStart"/>
      <w:r w:rsidR="0018634D" w:rsidRPr="005B2EAC">
        <w:t>C</w:t>
      </w:r>
      <w:r w:rsidR="0018634D" w:rsidRPr="0018634D">
        <w:rPr>
          <w:vertAlign w:val="subscript"/>
        </w:rPr>
        <w:t>max</w:t>
      </w:r>
      <w:proofErr w:type="spellEnd"/>
      <w:r w:rsidRPr="00166326">
        <w:t xml:space="preserve"> hig</w:t>
      </w:r>
      <w:r w:rsidR="00F51E23">
        <w:t xml:space="preserve">her by 18 to </w:t>
      </w:r>
      <w:r w:rsidRPr="00166326">
        <w:t>89</w:t>
      </w:r>
      <w:r w:rsidR="000403F6">
        <w:t>%</w:t>
      </w:r>
      <w:r w:rsidRPr="00166326">
        <w:t xml:space="preserve"> depending on study; </w:t>
      </w:r>
      <w:r w:rsidR="000403F6" w:rsidRPr="00C01898">
        <w:t>AUC</w:t>
      </w:r>
      <w:r w:rsidR="000403F6" w:rsidRPr="000403F6">
        <w:rPr>
          <w:vertAlign w:val="subscript"/>
        </w:rPr>
        <w:t>0-∞</w:t>
      </w:r>
      <w:r w:rsidR="00F51E23">
        <w:t xml:space="preserve"> higher by 16 to </w:t>
      </w:r>
      <w:r w:rsidRPr="00166326">
        <w:t>53</w:t>
      </w:r>
      <w:r w:rsidR="000403F6">
        <w:t>%</w:t>
      </w:r>
      <w:r w:rsidRPr="00166326">
        <w:t xml:space="preserve"> depending on study); </w:t>
      </w:r>
      <w:r w:rsidR="00F73FE3" w:rsidRPr="00166326">
        <w:t>Study NETU</w:t>
      </w:r>
      <w:r w:rsidRPr="00166326">
        <w:t xml:space="preserve">-10-12 analysed 22 subjects and used the final FDC formulation, and in that study </w:t>
      </w:r>
      <w:proofErr w:type="spellStart"/>
      <w:r w:rsidR="0018634D" w:rsidRPr="005B2EAC">
        <w:t>C</w:t>
      </w:r>
      <w:r w:rsidR="0018634D" w:rsidRPr="0018634D">
        <w:rPr>
          <w:vertAlign w:val="subscript"/>
        </w:rPr>
        <w:t>max</w:t>
      </w:r>
      <w:proofErr w:type="spellEnd"/>
      <w:r w:rsidRPr="00166326">
        <w:t xml:space="preserve"> was 18</w:t>
      </w:r>
      <w:r w:rsidR="000403F6">
        <w:t>%</w:t>
      </w:r>
      <w:r w:rsidRPr="00166326">
        <w:t xml:space="preserve"> and </w:t>
      </w:r>
      <w:r w:rsidR="000403F6" w:rsidRPr="00C01898">
        <w:t>AUC</w:t>
      </w:r>
      <w:r w:rsidR="00F51E23">
        <w:rPr>
          <w:vertAlign w:val="subscript"/>
        </w:rPr>
        <w:t>0</w:t>
      </w:r>
      <w:r w:rsidR="00F51E23">
        <w:rPr>
          <w:vertAlign w:val="subscript"/>
        </w:rPr>
        <w:noBreakHyphen/>
      </w:r>
      <w:r w:rsidR="000403F6" w:rsidRPr="000403F6">
        <w:rPr>
          <w:vertAlign w:val="subscript"/>
        </w:rPr>
        <w:t>∞</w:t>
      </w:r>
      <w:r w:rsidRPr="00166326">
        <w:t xml:space="preserve"> 16</w:t>
      </w:r>
      <w:r w:rsidR="000403F6">
        <w:t>%</w:t>
      </w:r>
      <w:r w:rsidR="00F51E23">
        <w:t xml:space="preserve"> higher in the fed state</w:t>
      </w:r>
    </w:p>
    <w:p w:rsidR="00B100BF" w:rsidRPr="00166326" w:rsidRDefault="00B100BF" w:rsidP="00166326">
      <w:pPr>
        <w:pStyle w:val="ListBullet"/>
      </w:pPr>
      <w:r w:rsidRPr="00166326">
        <w:t>apparent volume of distribution is high, suggesting widespread tissue distribution</w:t>
      </w:r>
    </w:p>
    <w:p w:rsidR="00B100BF" w:rsidRPr="00166326" w:rsidRDefault="00B100BF" w:rsidP="00166326">
      <w:pPr>
        <w:pStyle w:val="ListBullet"/>
      </w:pPr>
      <w:r w:rsidRPr="00166326">
        <w:t>netupitant is highly bound to plasma proteins, with only 0.33</w:t>
      </w:r>
      <w:r w:rsidR="000403F6">
        <w:t>%</w:t>
      </w:r>
      <w:r w:rsidRPr="00166326">
        <w:t xml:space="preserve"> of drug being free drug</w:t>
      </w:r>
    </w:p>
    <w:p w:rsidR="00B100BF" w:rsidRPr="00166326" w:rsidRDefault="00B100BF" w:rsidP="00166326">
      <w:pPr>
        <w:pStyle w:val="ListBullet"/>
      </w:pPr>
      <w:r w:rsidRPr="00166326">
        <w:t>clearance</w:t>
      </w:r>
      <w:r w:rsidR="0035257D" w:rsidRPr="00166326">
        <w:t xml:space="preserve"> is predominantly hepatic/</w:t>
      </w:r>
      <w:r w:rsidRPr="00166326">
        <w:t>biliary (</w:t>
      </w:r>
      <w:r w:rsidR="004B70D8" w:rsidRPr="00166326">
        <w:t>for example,</w:t>
      </w:r>
      <w:r w:rsidRPr="00166326">
        <w:t xml:space="preserve"> NETU-09-21 showed that by 696 </w:t>
      </w:r>
      <w:r w:rsidR="0035257D" w:rsidRPr="00166326">
        <w:t>h</w:t>
      </w:r>
      <w:r w:rsidR="00F51E23">
        <w:t>ours</w:t>
      </w:r>
      <w:r w:rsidRPr="00166326">
        <w:t>, 71</w:t>
      </w:r>
      <w:r w:rsidR="000403F6">
        <w:t>%</w:t>
      </w:r>
      <w:r w:rsidRPr="00166326">
        <w:t xml:space="preserve"> of radioactivity was recovered in faeces; &lt;</w:t>
      </w:r>
      <w:r w:rsidR="00F51E23">
        <w:t xml:space="preserve"> </w:t>
      </w:r>
      <w:r w:rsidRPr="00166326">
        <w:t>5</w:t>
      </w:r>
      <w:r w:rsidR="000403F6">
        <w:t>%</w:t>
      </w:r>
      <w:r w:rsidRPr="00166326">
        <w:t xml:space="preserve"> was recovered in urine)</w:t>
      </w:r>
    </w:p>
    <w:p w:rsidR="00B100BF" w:rsidRPr="00166326" w:rsidRDefault="00B100BF" w:rsidP="00166326">
      <w:pPr>
        <w:pStyle w:val="ListBullet"/>
      </w:pPr>
      <w:r w:rsidRPr="00166326">
        <w:t>CYP3A4 produces 3 metabolites (M1, M2, M3, all active to an extent); M4 has also been detected at lower levels</w:t>
      </w:r>
    </w:p>
    <w:p w:rsidR="00B100BF" w:rsidRPr="00166326" w:rsidRDefault="00F51E23" w:rsidP="00166326">
      <w:pPr>
        <w:pStyle w:val="ListBullet"/>
      </w:pPr>
      <w:proofErr w:type="spellStart"/>
      <w:r>
        <w:t>Inter</w:t>
      </w:r>
      <w:r w:rsidR="00B100BF" w:rsidRPr="00166326">
        <w:t>subject</w:t>
      </w:r>
      <w:proofErr w:type="spellEnd"/>
      <w:r w:rsidR="00B100BF" w:rsidRPr="00166326">
        <w:t xml:space="preserve"> PK variabi</w:t>
      </w:r>
      <w:r>
        <w:t xml:space="preserve">lity was high in NETU-07-20 (42 to </w:t>
      </w:r>
      <w:r w:rsidR="00B100BF" w:rsidRPr="00166326">
        <w:t>47</w:t>
      </w:r>
      <w:r w:rsidR="000403F6">
        <w:t>%</w:t>
      </w:r>
      <w:r w:rsidR="00B100BF" w:rsidRPr="00166326">
        <w:t xml:space="preserve"> for </w:t>
      </w:r>
      <w:r w:rsidR="00B765DE" w:rsidRPr="00C01898">
        <w:t>AUC</w:t>
      </w:r>
      <w:r w:rsidR="00B765DE" w:rsidRPr="00B765DE">
        <w:rPr>
          <w:vertAlign w:val="subscript"/>
        </w:rPr>
        <w:t>0-t</w:t>
      </w:r>
      <w:r w:rsidR="008914E3" w:rsidRPr="00166326">
        <w:t xml:space="preserve"> and 48 to </w:t>
      </w:r>
      <w:r w:rsidR="00B100BF" w:rsidRPr="00166326">
        <w:t>56</w:t>
      </w:r>
      <w:r w:rsidR="000403F6">
        <w:t>%</w:t>
      </w:r>
      <w:r w:rsidR="00B100BF" w:rsidRPr="00166326">
        <w:t xml:space="preserve"> for </w:t>
      </w:r>
      <w:proofErr w:type="spellStart"/>
      <w:r w:rsidR="0018634D" w:rsidRPr="005B2EAC">
        <w:t>C</w:t>
      </w:r>
      <w:r w:rsidR="0018634D" w:rsidRPr="0018634D">
        <w:rPr>
          <w:vertAlign w:val="subscript"/>
        </w:rPr>
        <w:t>max</w:t>
      </w:r>
      <w:proofErr w:type="spellEnd"/>
      <w:r w:rsidR="00B100BF" w:rsidRPr="00166326">
        <w:t>); variability was higher again in patients with hepatic impairment</w:t>
      </w:r>
    </w:p>
    <w:p w:rsidR="00B100BF" w:rsidRPr="00166326" w:rsidRDefault="00B100BF" w:rsidP="00166326">
      <w:pPr>
        <w:pStyle w:val="ListBullet"/>
      </w:pPr>
      <w:r w:rsidRPr="00166326">
        <w:t>Exposure was modestly higher with mild hepatic impairment (11</w:t>
      </w:r>
      <w:r w:rsidR="000403F6">
        <w:t>%</w:t>
      </w:r>
      <w:r w:rsidRPr="00166326">
        <w:t xml:space="preserve"> higher for </w:t>
      </w:r>
      <w:proofErr w:type="spellStart"/>
      <w:r w:rsidR="0018634D" w:rsidRPr="005B2EAC">
        <w:t>C</w:t>
      </w:r>
      <w:r w:rsidR="0018634D" w:rsidRPr="0018634D">
        <w:rPr>
          <w:vertAlign w:val="subscript"/>
        </w:rPr>
        <w:t>max</w:t>
      </w:r>
      <w:proofErr w:type="spellEnd"/>
      <w:r w:rsidRPr="00166326">
        <w:t>; 19</w:t>
      </w:r>
      <w:r w:rsidR="000403F6">
        <w:t>%</w:t>
      </w:r>
      <w:r w:rsidRPr="00166326">
        <w:t xml:space="preserve"> higher for </w:t>
      </w:r>
      <w:r w:rsidR="000403F6" w:rsidRPr="00C01898">
        <w:t>AUC</w:t>
      </w:r>
      <w:r w:rsidR="000403F6" w:rsidRPr="000403F6">
        <w:rPr>
          <w:vertAlign w:val="subscript"/>
        </w:rPr>
        <w:t>0-∞</w:t>
      </w:r>
      <w:r w:rsidRPr="00166326">
        <w:t>); exposure was significantly higher with moderate hepatic impairment (70</w:t>
      </w:r>
      <w:r w:rsidR="000403F6">
        <w:t>%</w:t>
      </w:r>
      <w:r w:rsidRPr="00166326">
        <w:t xml:space="preserve"> higher for </w:t>
      </w:r>
      <w:proofErr w:type="spellStart"/>
      <w:r w:rsidR="0018634D" w:rsidRPr="005B2EAC">
        <w:t>C</w:t>
      </w:r>
      <w:r w:rsidR="0018634D" w:rsidRPr="0018634D">
        <w:rPr>
          <w:vertAlign w:val="subscript"/>
        </w:rPr>
        <w:t>max</w:t>
      </w:r>
      <w:proofErr w:type="spellEnd"/>
      <w:r w:rsidRPr="00166326">
        <w:t>; 143</w:t>
      </w:r>
      <w:r w:rsidR="000403F6">
        <w:t>%</w:t>
      </w:r>
      <w:r w:rsidRPr="00166326">
        <w:t xml:space="preserve"> higher for </w:t>
      </w:r>
      <w:r w:rsidR="000403F6" w:rsidRPr="00C01898">
        <w:t>AUC</w:t>
      </w:r>
      <w:r w:rsidR="000403F6" w:rsidRPr="000403F6">
        <w:rPr>
          <w:vertAlign w:val="subscript"/>
        </w:rPr>
        <w:t>0-∞</w:t>
      </w:r>
      <w:r w:rsidRPr="00166326">
        <w:t>); only 2 subjects with severe hepatic impairment were studied</w:t>
      </w:r>
    </w:p>
    <w:p w:rsidR="00B100BF" w:rsidRPr="00166326" w:rsidRDefault="00B100BF" w:rsidP="00166326">
      <w:pPr>
        <w:pStyle w:val="ListBullet"/>
      </w:pPr>
      <w:r w:rsidRPr="00166326">
        <w:t>In NETU-10-12, there was evidence older subjects (</w:t>
      </w:r>
      <w:r w:rsidR="000403F6">
        <w:t>≥ 6</w:t>
      </w:r>
      <w:r w:rsidRPr="00166326">
        <w:t>5 y</w:t>
      </w:r>
      <w:r w:rsidR="008914E3" w:rsidRPr="00166326">
        <w:t>ea</w:t>
      </w:r>
      <w:r w:rsidRPr="00166326">
        <w:t xml:space="preserve">rs) had higher exposure to </w:t>
      </w:r>
      <w:proofErr w:type="spellStart"/>
      <w:r w:rsidRPr="00166326">
        <w:t>netupitant</w:t>
      </w:r>
      <w:proofErr w:type="spellEnd"/>
      <w:r w:rsidRPr="00166326">
        <w:t xml:space="preserve"> (36</w:t>
      </w:r>
      <w:r w:rsidR="000403F6">
        <w:t>%</w:t>
      </w:r>
      <w:r w:rsidRPr="00166326">
        <w:t xml:space="preserve"> higher </w:t>
      </w:r>
      <w:proofErr w:type="spellStart"/>
      <w:r w:rsidR="0018634D" w:rsidRPr="005B2EAC">
        <w:t>C</w:t>
      </w:r>
      <w:r w:rsidR="0018634D" w:rsidRPr="0018634D">
        <w:rPr>
          <w:vertAlign w:val="subscript"/>
        </w:rPr>
        <w:t>max</w:t>
      </w:r>
      <w:proofErr w:type="spellEnd"/>
      <w:r w:rsidRPr="00166326">
        <w:t>; 25</w:t>
      </w:r>
      <w:r w:rsidR="000403F6">
        <w:t>%</w:t>
      </w:r>
      <w:r w:rsidRPr="00166326">
        <w:t xml:space="preserve"> higher </w:t>
      </w:r>
      <w:r w:rsidR="000403F6" w:rsidRPr="00C01898">
        <w:t>AUC</w:t>
      </w:r>
      <w:r w:rsidR="000403F6" w:rsidRPr="000403F6">
        <w:rPr>
          <w:vertAlign w:val="subscript"/>
        </w:rPr>
        <w:t>0-∞</w:t>
      </w:r>
      <w:r w:rsidR="008914E3" w:rsidRPr="00166326">
        <w:t xml:space="preserve">) than younger subjects (18 to </w:t>
      </w:r>
      <w:r w:rsidRPr="00166326">
        <w:t xml:space="preserve">45 </w:t>
      </w:r>
      <w:r w:rsidR="008914E3" w:rsidRPr="00166326">
        <w:t>years</w:t>
      </w:r>
      <w:r w:rsidRPr="00166326">
        <w:t>); this was not confirmed in th</w:t>
      </w:r>
      <w:r w:rsidR="00F51E23">
        <w:t xml:space="preserve">e </w:t>
      </w:r>
      <w:proofErr w:type="spellStart"/>
      <w:r w:rsidR="00CE0692">
        <w:t>PopPK</w:t>
      </w:r>
      <w:proofErr w:type="spellEnd"/>
      <w:r w:rsidR="003C47FA" w:rsidRPr="00166326">
        <w:t xml:space="preserve"> report but the c</w:t>
      </w:r>
      <w:r w:rsidRPr="00166326">
        <w:t xml:space="preserve">linical </w:t>
      </w:r>
      <w:r w:rsidR="00142EBA" w:rsidRPr="00166326">
        <w:t>evaluator</w:t>
      </w:r>
      <w:r w:rsidRPr="00166326">
        <w:t xml:space="preserve"> was not con</w:t>
      </w:r>
      <w:r w:rsidR="00F51E23">
        <w:t xml:space="preserve">vinced about the design of the </w:t>
      </w:r>
      <w:proofErr w:type="spellStart"/>
      <w:r w:rsidR="00CE0692">
        <w:t>PopPK</w:t>
      </w:r>
      <w:proofErr w:type="spellEnd"/>
      <w:r w:rsidR="003C47FA" w:rsidRPr="00166326">
        <w:t xml:space="preserve"> study</w:t>
      </w:r>
    </w:p>
    <w:p w:rsidR="00B100BF" w:rsidRPr="00166326" w:rsidRDefault="00B100BF" w:rsidP="00166326">
      <w:pPr>
        <w:pStyle w:val="ListBullet"/>
      </w:pPr>
      <w:r w:rsidRPr="00166326">
        <w:t>Netupitant exposure increased (by 140</w:t>
      </w:r>
      <w:r w:rsidR="000403F6">
        <w:t>%</w:t>
      </w:r>
      <w:r w:rsidRPr="00166326">
        <w:t xml:space="preserve"> for </w:t>
      </w:r>
      <w:r w:rsidR="000403F6" w:rsidRPr="00C01898">
        <w:t>AUC</w:t>
      </w:r>
      <w:r w:rsidR="000403F6" w:rsidRPr="000403F6">
        <w:rPr>
          <w:vertAlign w:val="subscript"/>
        </w:rPr>
        <w:t>0-∞</w:t>
      </w:r>
      <w:r w:rsidRPr="00166326">
        <w:t>) with concomitant ketoconazole (a strong inhibitor of CYP3A4), and decreased (by 62</w:t>
      </w:r>
      <w:r w:rsidR="000403F6">
        <w:t>%</w:t>
      </w:r>
      <w:r w:rsidRPr="00166326">
        <w:t xml:space="preserve"> for </w:t>
      </w:r>
      <w:proofErr w:type="spellStart"/>
      <w:r w:rsidR="0018634D" w:rsidRPr="005B2EAC">
        <w:t>C</w:t>
      </w:r>
      <w:r w:rsidR="0018634D" w:rsidRPr="0018634D">
        <w:rPr>
          <w:vertAlign w:val="subscript"/>
        </w:rPr>
        <w:t>max</w:t>
      </w:r>
      <w:proofErr w:type="spellEnd"/>
      <w:r w:rsidRPr="00166326">
        <w:t xml:space="preserve"> and 83</w:t>
      </w:r>
      <w:r w:rsidR="000403F6">
        <w:t>%</w:t>
      </w:r>
      <w:r w:rsidRPr="00166326">
        <w:t xml:space="preserve"> for </w:t>
      </w:r>
      <w:r w:rsidR="000403F6" w:rsidRPr="00C01898">
        <w:t>AUC</w:t>
      </w:r>
      <w:r w:rsidR="000403F6" w:rsidRPr="000403F6">
        <w:rPr>
          <w:vertAlign w:val="subscript"/>
        </w:rPr>
        <w:t>0-∞</w:t>
      </w:r>
      <w:r w:rsidRPr="00166326">
        <w:t>) with concomitant rifampicin</w:t>
      </w:r>
    </w:p>
    <w:p w:rsidR="00B100BF" w:rsidRPr="00166326" w:rsidRDefault="00B100BF" w:rsidP="00166326">
      <w:pPr>
        <w:pStyle w:val="ListBullet"/>
      </w:pPr>
      <w:r w:rsidRPr="00166326">
        <w:t>Exposure to midazolam (a CYP3A4 substrate) was increased with concomitant 150 mg netupitant (144</w:t>
      </w:r>
      <w:r w:rsidR="000403F6">
        <w:t>%</w:t>
      </w:r>
      <w:r w:rsidR="003C47FA" w:rsidRPr="00166326">
        <w:t xml:space="preserve"> increase, that is,</w:t>
      </w:r>
      <w:r w:rsidR="00F51E23">
        <w:t xml:space="preserve"> 2.4 </w:t>
      </w:r>
      <w:r w:rsidRPr="00166326">
        <w:t xml:space="preserve">fold higher, for </w:t>
      </w:r>
      <w:r w:rsidR="000403F6" w:rsidRPr="00C01898">
        <w:t>AUC</w:t>
      </w:r>
      <w:r w:rsidR="000403F6" w:rsidRPr="000403F6">
        <w:rPr>
          <w:vertAlign w:val="subscript"/>
        </w:rPr>
        <w:t>0-∞</w:t>
      </w:r>
      <w:r w:rsidRPr="00166326">
        <w:t>); likewise, exposure to erythromycin</w:t>
      </w:r>
      <w:r w:rsidR="00F51E23">
        <w:t xml:space="preserve"> rose</w:t>
      </w:r>
    </w:p>
    <w:p w:rsidR="00B100BF" w:rsidRPr="00166326" w:rsidRDefault="00B100BF" w:rsidP="00166326">
      <w:pPr>
        <w:pStyle w:val="ListBullet"/>
      </w:pPr>
      <w:r w:rsidRPr="00166326">
        <w:t>Co-administration with palonosetron (0.75 mg) did not affect netupitant (450 mg) exposure, but increased palonosetron exposure modestly (15</w:t>
      </w:r>
      <w:r w:rsidR="000403F6">
        <w:t>%</w:t>
      </w:r>
      <w:r w:rsidRPr="00166326">
        <w:t xml:space="preserve"> for </w:t>
      </w:r>
      <w:proofErr w:type="spellStart"/>
      <w:r w:rsidR="0018634D" w:rsidRPr="005B2EAC">
        <w:t>C</w:t>
      </w:r>
      <w:r w:rsidR="0018634D" w:rsidRPr="0018634D">
        <w:rPr>
          <w:vertAlign w:val="subscript"/>
        </w:rPr>
        <w:t>max</w:t>
      </w:r>
      <w:proofErr w:type="spellEnd"/>
      <w:r w:rsidRPr="00166326">
        <w:t xml:space="preserve"> and 10</w:t>
      </w:r>
      <w:r w:rsidR="000403F6">
        <w:t>%</w:t>
      </w:r>
      <w:r w:rsidRPr="00166326">
        <w:t xml:space="preserve"> for </w:t>
      </w:r>
      <w:r w:rsidR="000403F6" w:rsidRPr="00C01898">
        <w:t>AUC</w:t>
      </w:r>
      <w:r w:rsidR="000403F6" w:rsidRPr="000403F6">
        <w:rPr>
          <w:vertAlign w:val="subscript"/>
        </w:rPr>
        <w:t>0-∞</w:t>
      </w:r>
      <w:r w:rsidRPr="00166326">
        <w:t>)</w:t>
      </w:r>
    </w:p>
    <w:p w:rsidR="00B100BF" w:rsidRPr="00166326" w:rsidRDefault="00B100BF" w:rsidP="00166326">
      <w:pPr>
        <w:pStyle w:val="ListBullet"/>
      </w:pPr>
      <w:r w:rsidRPr="00166326">
        <w:t>Co-administration with dexamethasone (a CYP3A4 substrate) resulted in increased dexamethasone exposure (by 70</w:t>
      </w:r>
      <w:r w:rsidR="000403F6">
        <w:t>%</w:t>
      </w:r>
      <w:r w:rsidRPr="00166326">
        <w:t xml:space="preserve"> for AUC</w:t>
      </w:r>
      <w:r w:rsidR="003802E6">
        <w:rPr>
          <w:vertAlign w:val="subscript"/>
        </w:rPr>
        <w:t xml:space="preserve">0-24h </w:t>
      </w:r>
      <w:r w:rsidR="00F51E23">
        <w:t>at 300 mg netupitant dosing on D</w:t>
      </w:r>
      <w:r w:rsidRPr="00166326">
        <w:t>ay 1, and by 140</w:t>
      </w:r>
      <w:r w:rsidR="000403F6">
        <w:t>%</w:t>
      </w:r>
      <w:r w:rsidR="00F51E23">
        <w:t xml:space="preserve"> on D</w:t>
      </w:r>
      <w:r w:rsidRPr="00166326">
        <w:t xml:space="preserve">ay 2; </w:t>
      </w:r>
      <w:proofErr w:type="spellStart"/>
      <w:r w:rsidR="0018634D" w:rsidRPr="005B2EAC">
        <w:t>C</w:t>
      </w:r>
      <w:r w:rsidR="0018634D" w:rsidRPr="0018634D">
        <w:rPr>
          <w:vertAlign w:val="subscript"/>
        </w:rPr>
        <w:t>max</w:t>
      </w:r>
      <w:proofErr w:type="spellEnd"/>
      <w:r w:rsidRPr="00166326">
        <w:t xml:space="preserve"> was affected to a lesser extent but </w:t>
      </w:r>
      <w:proofErr w:type="spellStart"/>
      <w:r w:rsidRPr="00166326">
        <w:t>C</w:t>
      </w:r>
      <w:r w:rsidRPr="00F51E23">
        <w:rPr>
          <w:vertAlign w:val="subscript"/>
        </w:rPr>
        <w:t>min</w:t>
      </w:r>
      <w:proofErr w:type="spellEnd"/>
      <w:r w:rsidRPr="00166326">
        <w:t xml:space="preserve"> was affected to a greater extent).</w:t>
      </w:r>
      <w:r w:rsidR="005F7FE0" w:rsidRPr="00166326">
        <w:t xml:space="preserve"> </w:t>
      </w:r>
      <w:r w:rsidRPr="00166326">
        <w:t>Se</w:t>
      </w:r>
      <w:r w:rsidR="004C07F5">
        <w:t>e next section for more details</w:t>
      </w:r>
    </w:p>
    <w:p w:rsidR="00B100BF" w:rsidRPr="00166326" w:rsidRDefault="00F51E23" w:rsidP="00166326">
      <w:pPr>
        <w:pStyle w:val="ListBullet"/>
      </w:pPr>
      <w:r>
        <w:t xml:space="preserve">Cross </w:t>
      </w:r>
      <w:r w:rsidR="00B100BF" w:rsidRPr="00166326">
        <w:t>study comparison suggested a reduction in netupitant exposure with co-administratio</w:t>
      </w:r>
      <w:r w:rsidR="003C47FA" w:rsidRPr="00166326">
        <w:t>n of dexamethasone</w:t>
      </w:r>
      <w:r w:rsidR="00B100BF" w:rsidRPr="00166326">
        <w:t xml:space="preserve"> but a study has not been conducted to confirm this.</w:t>
      </w:r>
      <w:r w:rsidR="005F7FE0" w:rsidRPr="00166326">
        <w:t xml:space="preserve"> </w:t>
      </w:r>
      <w:r w:rsidR="00B100BF" w:rsidRPr="00166326">
        <w:t>Also, NP16603 studied only 4 su</w:t>
      </w:r>
      <w:r w:rsidR="003C47FA" w:rsidRPr="00166326">
        <w:t>bjects per arm</w:t>
      </w:r>
      <w:r>
        <w:t xml:space="preserve">, making this cross </w:t>
      </w:r>
      <w:r w:rsidR="004C07F5">
        <w:t>study comparison unreliable</w:t>
      </w:r>
    </w:p>
    <w:p w:rsidR="00B100BF" w:rsidRPr="00166326" w:rsidRDefault="00B100BF" w:rsidP="00166326">
      <w:pPr>
        <w:pStyle w:val="ListBullet"/>
      </w:pPr>
      <w:r w:rsidRPr="00166326">
        <w:t>Netupitant appears to increase exposure to docetaxel (by 49</w:t>
      </w:r>
      <w:r w:rsidR="000403F6">
        <w:t>%</w:t>
      </w:r>
      <w:r w:rsidRPr="00166326">
        <w:t xml:space="preserve"> for </w:t>
      </w:r>
      <w:proofErr w:type="spellStart"/>
      <w:r w:rsidR="0018634D" w:rsidRPr="005B2EAC">
        <w:t>C</w:t>
      </w:r>
      <w:r w:rsidR="0018634D" w:rsidRPr="0018634D">
        <w:rPr>
          <w:vertAlign w:val="subscript"/>
        </w:rPr>
        <w:t>max</w:t>
      </w:r>
      <w:proofErr w:type="spellEnd"/>
      <w:r w:rsidRPr="00166326">
        <w:t>, 35</w:t>
      </w:r>
      <w:r w:rsidR="000403F6">
        <w:t>%</w:t>
      </w:r>
      <w:r w:rsidRPr="00166326">
        <w:t xml:space="preserve"> for </w:t>
      </w:r>
      <w:r w:rsidR="000403F6" w:rsidRPr="00C01898">
        <w:t>AUC</w:t>
      </w:r>
      <w:r w:rsidR="00F51E23">
        <w:rPr>
          <w:vertAlign w:val="subscript"/>
        </w:rPr>
        <w:t>0</w:t>
      </w:r>
      <w:r w:rsidR="00F51E23">
        <w:rPr>
          <w:vertAlign w:val="subscript"/>
        </w:rPr>
        <w:noBreakHyphen/>
      </w:r>
      <w:r w:rsidR="000403F6" w:rsidRPr="000403F6">
        <w:rPr>
          <w:vertAlign w:val="subscript"/>
        </w:rPr>
        <w:t>∞</w:t>
      </w:r>
      <w:r w:rsidR="0047784B" w:rsidRPr="00166326">
        <w:t>)</w:t>
      </w:r>
      <w:r w:rsidRPr="00166326">
        <w:t>, and to a lesser extent etoposide and cyclophosphamide.</w:t>
      </w:r>
      <w:r w:rsidR="005F7FE0" w:rsidRPr="00166326">
        <w:t xml:space="preserve"> </w:t>
      </w:r>
      <w:r w:rsidRPr="00166326">
        <w:t>In the case of docetaxel, this increase is clinically significant (</w:t>
      </w:r>
      <w:r w:rsidR="004B70D8" w:rsidRPr="00166326">
        <w:t>for example,</w:t>
      </w:r>
      <w:r w:rsidRPr="00166326">
        <w:t xml:space="preserve"> the </w:t>
      </w:r>
      <w:proofErr w:type="spellStart"/>
      <w:r w:rsidRPr="00166326">
        <w:t>Tax</w:t>
      </w:r>
      <w:r w:rsidR="00207D84" w:rsidRPr="00166326">
        <w:t>otere</w:t>
      </w:r>
      <w:proofErr w:type="spellEnd"/>
      <w:r w:rsidR="00207D84" w:rsidRPr="00166326">
        <w:t xml:space="preserve"> PI states: </w:t>
      </w:r>
      <w:r w:rsidR="0047784B" w:rsidRPr="00166326">
        <w:t>‘a dose of 100 </w:t>
      </w:r>
      <w:r w:rsidRPr="00166326">
        <w:t>mg/</w:t>
      </w:r>
      <w:r w:rsidR="00F51E23" w:rsidRPr="00166326">
        <w:t>m</w:t>
      </w:r>
      <w:r w:rsidR="00F51E23" w:rsidRPr="00F51E23">
        <w:rPr>
          <w:vertAlign w:val="superscript"/>
        </w:rPr>
        <w:t>2</w:t>
      </w:r>
      <w:r w:rsidRPr="00166326">
        <w:t xml:space="preserve"> has been shown to result in a moderate increase in response rates compared with 75 mg/</w:t>
      </w:r>
      <w:r w:rsidR="00F51E23" w:rsidRPr="00166326">
        <w:t>m</w:t>
      </w:r>
      <w:r w:rsidR="00F51E23" w:rsidRPr="00F51E23">
        <w:rPr>
          <w:vertAlign w:val="superscript"/>
        </w:rPr>
        <w:t>2</w:t>
      </w:r>
      <w:r w:rsidRPr="00166326">
        <w:t xml:space="preserve"> but is a</w:t>
      </w:r>
      <w:r w:rsidR="0047784B" w:rsidRPr="00166326">
        <w:t>ssociated with greater toxicity’</w:t>
      </w:r>
      <w:r w:rsidRPr="00166326">
        <w:t>).</w:t>
      </w:r>
    </w:p>
    <w:p w:rsidR="00B100BF" w:rsidRPr="00166326" w:rsidRDefault="00B100BF" w:rsidP="00166326">
      <w:pPr>
        <w:pStyle w:val="Heading5"/>
      </w:pPr>
      <w:r w:rsidRPr="00166326">
        <w:lastRenderedPageBreak/>
        <w:t>NETU-06-07</w:t>
      </w:r>
    </w:p>
    <w:p w:rsidR="005E283E" w:rsidRDefault="00B100BF" w:rsidP="00F51E23">
      <w:r w:rsidRPr="00166326">
        <w:t>The interaction study with dexamethasone (NETU-06-07) is expanded upon here since its interpretation is important in the assessmen</w:t>
      </w:r>
      <w:r w:rsidR="0096573F">
        <w:t>t of the FDC</w:t>
      </w:r>
      <w:r w:rsidRPr="00166326">
        <w:t>’s clinical efficacy.</w:t>
      </w:r>
      <w:r w:rsidR="005F7FE0" w:rsidRPr="00166326">
        <w:t xml:space="preserve"> </w:t>
      </w:r>
      <w:r w:rsidRPr="00166326">
        <w:t>The key outcomes are copied below (numbers indicate the point estimate of the</w:t>
      </w:r>
      <w:r w:rsidR="005E283E" w:rsidRPr="00166326">
        <w:t xml:space="preserve"> geometric mean ratio of test/</w:t>
      </w:r>
      <w:r w:rsidRPr="00166326">
        <w:t xml:space="preserve">reference, as a percentage where 100 would indicate no </w:t>
      </w:r>
      <w:r w:rsidR="00F51E23">
        <w:t>change from test to reference) in Table 10.</w:t>
      </w:r>
    </w:p>
    <w:p w:rsidR="005E283E" w:rsidRPr="00166326" w:rsidRDefault="00F51E23" w:rsidP="00166326">
      <w:pPr>
        <w:pStyle w:val="TableTitle"/>
      </w:pPr>
      <w:proofErr w:type="gramStart"/>
      <w:r>
        <w:t>Table 1</w:t>
      </w:r>
      <w:r w:rsidR="00F5364C">
        <w:t>1</w:t>
      </w:r>
      <w:r>
        <w:t>.</w:t>
      </w:r>
      <w:proofErr w:type="gramEnd"/>
      <w:r w:rsidR="005E283E" w:rsidRPr="00166326">
        <w:t xml:space="preserve"> Key outcomes</w:t>
      </w:r>
    </w:p>
    <w:p w:rsidR="00B100BF" w:rsidRPr="00A154D7" w:rsidRDefault="00E77382" w:rsidP="008F1AE9">
      <w:pPr>
        <w:spacing w:beforeLines="60" w:before="144" w:afterLines="60" w:after="144" w:line="240" w:lineRule="auto"/>
      </w:pPr>
      <w:r>
        <w:rPr>
          <w:noProof/>
          <w:lang w:eastAsia="en-AU"/>
        </w:rPr>
        <w:drawing>
          <wp:inline distT="0" distB="0" distL="0" distR="0">
            <wp:extent cx="4584065" cy="2612390"/>
            <wp:effectExtent l="0" t="0" r="6985" b="0"/>
            <wp:docPr id="5" name="Picture 14" descr="Table 11: Ke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1: Key outco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065" cy="2612390"/>
                    </a:xfrm>
                    <a:prstGeom prst="rect">
                      <a:avLst/>
                    </a:prstGeom>
                    <a:noFill/>
                    <a:ln>
                      <a:noFill/>
                    </a:ln>
                  </pic:spPr>
                </pic:pic>
              </a:graphicData>
            </a:graphic>
          </wp:inline>
        </w:drawing>
      </w:r>
    </w:p>
    <w:p w:rsidR="00B100BF" w:rsidRPr="00166326" w:rsidRDefault="00B100BF" w:rsidP="00166326">
      <w:r w:rsidRPr="00166326">
        <w:t>There are no data beyond 4 days although an ongoing effect appears likely.</w:t>
      </w:r>
    </w:p>
    <w:p w:rsidR="00B100BF" w:rsidRPr="00166326" w:rsidRDefault="00B100BF" w:rsidP="00166326">
      <w:r w:rsidRPr="00166326">
        <w:t>The cellular mechanisms of the anti-emetic action of dexamethasone against vomiting have been reviewed recently</w:t>
      </w:r>
      <w:r w:rsidR="004C07F5">
        <w:t>.</w:t>
      </w:r>
      <w:r w:rsidR="0024420A" w:rsidRPr="00F51E23">
        <w:rPr>
          <w:vertAlign w:val="superscript"/>
        </w:rPr>
        <w:footnoteReference w:id="23"/>
      </w:r>
      <w:r w:rsidR="005F7FE0" w:rsidRPr="00166326">
        <w:t xml:space="preserve"> </w:t>
      </w:r>
      <w:r w:rsidRPr="00166326">
        <w:t>Multiple broad pathways are implicated in dexamethasone’s efficacy in CINV.</w:t>
      </w:r>
    </w:p>
    <w:p w:rsidR="00B100BF" w:rsidRPr="00166326" w:rsidRDefault="00B100BF" w:rsidP="00166326">
      <w:r w:rsidRPr="00166326">
        <w:t>A review of the PK and PD of systemically administered glucocorticoids</w:t>
      </w:r>
      <w:r w:rsidR="004D5BD9" w:rsidRPr="00F51E23">
        <w:rPr>
          <w:vertAlign w:val="superscript"/>
        </w:rPr>
        <w:footnoteReference w:id="24"/>
      </w:r>
      <w:r w:rsidRPr="00166326">
        <w:t xml:space="preserve"> </w:t>
      </w:r>
      <w:r w:rsidR="004D5BD9" w:rsidRPr="00166326">
        <w:t>s</w:t>
      </w:r>
      <w:r w:rsidRPr="00166326">
        <w:t>tates that PK parameters such as elimination half-life and PD parameters such as the concentration producing half-maximal effect determine duration and intensity of glucocorticoid effects.</w:t>
      </w:r>
    </w:p>
    <w:p w:rsidR="00B100BF" w:rsidRPr="00166326" w:rsidRDefault="004D5BD9" w:rsidP="00166326">
      <w:r w:rsidRPr="00166326">
        <w:t>In the Delegate’s</w:t>
      </w:r>
      <w:r w:rsidR="00B100BF" w:rsidRPr="00166326">
        <w:t xml:space="preserve"> opinion it is lik</w:t>
      </w:r>
      <w:r w:rsidR="00F51E23">
        <w:t xml:space="preserve">ely that AUC or, potentially, </w:t>
      </w:r>
      <w:proofErr w:type="spellStart"/>
      <w:r w:rsidR="00F51E23">
        <w:t>C</w:t>
      </w:r>
      <w:r w:rsidR="00B100BF" w:rsidRPr="00F51E23">
        <w:rPr>
          <w:vertAlign w:val="subscript"/>
        </w:rPr>
        <w:t>min</w:t>
      </w:r>
      <w:proofErr w:type="spellEnd"/>
      <w:r w:rsidR="00B100BF" w:rsidRPr="00166326">
        <w:t xml:space="preserve">, are more closely correlated with anti-emetic efficacy of dexamethasone than </w:t>
      </w:r>
      <w:proofErr w:type="spellStart"/>
      <w:r w:rsidR="0018634D" w:rsidRPr="005B2EAC">
        <w:t>C</w:t>
      </w:r>
      <w:r w:rsidR="0018634D" w:rsidRPr="0018634D">
        <w:rPr>
          <w:vertAlign w:val="subscript"/>
        </w:rPr>
        <w:t>max</w:t>
      </w:r>
      <w:proofErr w:type="spellEnd"/>
      <w:r w:rsidR="00B100BF" w:rsidRPr="00166326">
        <w:t xml:space="preserve"> (given that in some settings, it is given as a single dose yet exerts an effect for days).</w:t>
      </w:r>
      <w:r w:rsidR="005F7FE0" w:rsidRPr="00166326">
        <w:t xml:space="preserve"> </w:t>
      </w:r>
      <w:r w:rsidR="00B100BF" w:rsidRPr="00166326">
        <w:t xml:space="preserve">Of AUC and </w:t>
      </w:r>
      <w:proofErr w:type="spellStart"/>
      <w:r w:rsidR="00B100BF" w:rsidRPr="00166326">
        <w:t>C</w:t>
      </w:r>
      <w:r w:rsidR="00B100BF" w:rsidRPr="003802E6">
        <w:rPr>
          <w:vertAlign w:val="subscript"/>
        </w:rPr>
        <w:t>min</w:t>
      </w:r>
      <w:proofErr w:type="spellEnd"/>
      <w:r w:rsidR="00B100BF" w:rsidRPr="00166326">
        <w:t xml:space="preserve">, </w:t>
      </w:r>
      <w:proofErr w:type="spellStart"/>
      <w:r w:rsidR="003802E6" w:rsidRPr="00166326">
        <w:t>C</w:t>
      </w:r>
      <w:r w:rsidR="003802E6" w:rsidRPr="003802E6">
        <w:rPr>
          <w:vertAlign w:val="subscript"/>
        </w:rPr>
        <w:t>min</w:t>
      </w:r>
      <w:proofErr w:type="spellEnd"/>
      <w:r w:rsidR="00B100BF" w:rsidRPr="00166326">
        <w:t xml:space="preserve"> is more strongly influenced by </w:t>
      </w:r>
      <w:proofErr w:type="spellStart"/>
      <w:r w:rsidR="00B100BF" w:rsidRPr="00166326">
        <w:t>netupitant’s</w:t>
      </w:r>
      <w:proofErr w:type="spellEnd"/>
      <w:r w:rsidR="00B100BF" w:rsidRPr="00166326">
        <w:t xml:space="preserve"> inhibition of dexamethasone metabolism.</w:t>
      </w:r>
    </w:p>
    <w:p w:rsidR="00B100BF" w:rsidRPr="00166326" w:rsidRDefault="004D5BD9" w:rsidP="00166326">
      <w:r w:rsidRPr="00166326">
        <w:t xml:space="preserve">The </w:t>
      </w:r>
      <w:r w:rsidR="00C952C9">
        <w:t>clinical study report</w:t>
      </w:r>
      <w:r w:rsidR="00C952C9" w:rsidRPr="00166326">
        <w:t xml:space="preserve"> </w:t>
      </w:r>
      <w:r w:rsidRPr="00166326">
        <w:t>also notes that ‘</w:t>
      </w:r>
      <w:r w:rsidR="00B100BF" w:rsidRPr="00166326">
        <w:t xml:space="preserve">the smaller effect on </w:t>
      </w:r>
      <w:proofErr w:type="spellStart"/>
      <w:r w:rsidR="0018634D" w:rsidRPr="005B2EAC">
        <w:t>C</w:t>
      </w:r>
      <w:r w:rsidR="0018634D" w:rsidRPr="0018634D">
        <w:rPr>
          <w:vertAlign w:val="subscript"/>
        </w:rPr>
        <w:t>max</w:t>
      </w:r>
      <w:proofErr w:type="spellEnd"/>
      <w:r w:rsidR="00B100BF" w:rsidRPr="00166326">
        <w:t xml:space="preserve"> compared to AUC and the prolonged </w:t>
      </w:r>
      <w:r w:rsidR="003818B7" w:rsidRPr="00C01898">
        <w:t>t</w:t>
      </w:r>
      <w:r w:rsidR="003818B7">
        <w:t>½</w:t>
      </w:r>
      <w:r w:rsidR="00B100BF" w:rsidRPr="00166326">
        <w:t>z of dexamethasone may indicate that the major part of the inhibition is related to systemic clearance and that th</w:t>
      </w:r>
      <w:r w:rsidRPr="00166326">
        <w:t>e effect on first-pass is minor’</w:t>
      </w:r>
      <w:r w:rsidR="00B100BF" w:rsidRPr="00166326">
        <w:t>.</w:t>
      </w:r>
    </w:p>
    <w:p w:rsidR="00B100BF" w:rsidRPr="00166326" w:rsidRDefault="00B100BF" w:rsidP="00166326">
      <w:pPr>
        <w:pStyle w:val="Heading5"/>
      </w:pPr>
      <w:r w:rsidRPr="00166326">
        <w:t>Palonosetron</w:t>
      </w:r>
    </w:p>
    <w:p w:rsidR="00B100BF" w:rsidRPr="00166326" w:rsidRDefault="00B100BF" w:rsidP="00166326">
      <w:r w:rsidRPr="00166326">
        <w:t>Key PK characteristics of palonosetron are:</w:t>
      </w:r>
    </w:p>
    <w:p w:rsidR="00B100BF" w:rsidRPr="00166326" w:rsidRDefault="00F51E23" w:rsidP="00166326">
      <w:pPr>
        <w:pStyle w:val="ListBullet"/>
      </w:pPr>
      <w:r>
        <w:t>molecular weight is 578.61</w:t>
      </w:r>
    </w:p>
    <w:p w:rsidR="00B100BF" w:rsidRPr="00166326" w:rsidRDefault="000403F6" w:rsidP="00166326">
      <w:pPr>
        <w:pStyle w:val="ListBullet"/>
      </w:pPr>
      <w:proofErr w:type="spellStart"/>
      <w:r w:rsidRPr="00C01898">
        <w:t>T</w:t>
      </w:r>
      <w:r w:rsidRPr="000403F6">
        <w:rPr>
          <w:vertAlign w:val="subscript"/>
        </w:rPr>
        <w:t>max</w:t>
      </w:r>
      <w:proofErr w:type="spellEnd"/>
      <w:r w:rsidR="00B100BF" w:rsidRPr="00166326">
        <w:t xml:space="preserve"> is 3</w:t>
      </w:r>
      <w:r w:rsidR="009B02FF">
        <w:t xml:space="preserve"> hours </w:t>
      </w:r>
      <w:r w:rsidR="00B100BF" w:rsidRPr="00166326">
        <w:t>in healthy subject</w:t>
      </w:r>
      <w:r w:rsidR="004D5BD9" w:rsidRPr="00166326">
        <w:t>s (from NETU-11-02</w:t>
      </w:r>
      <w:r w:rsidR="00B100BF" w:rsidRPr="00166326">
        <w:t xml:space="preserve">); the median </w:t>
      </w:r>
      <w:proofErr w:type="spellStart"/>
      <w:r w:rsidRPr="00C01898">
        <w:t>T</w:t>
      </w:r>
      <w:r w:rsidRPr="000403F6">
        <w:rPr>
          <w:vertAlign w:val="subscript"/>
        </w:rPr>
        <w:t>max</w:t>
      </w:r>
      <w:proofErr w:type="spellEnd"/>
      <w:r w:rsidR="00B100BF" w:rsidRPr="00166326">
        <w:t xml:space="preserve"> in Population PK </w:t>
      </w:r>
      <w:r w:rsidR="00F73FE3" w:rsidRPr="00166326">
        <w:t>Study NETU</w:t>
      </w:r>
      <w:r w:rsidR="00B100BF" w:rsidRPr="00166326">
        <w:t xml:space="preserve">-10-02 in patients was 2.3 </w:t>
      </w:r>
      <w:r w:rsidR="0035257D" w:rsidRPr="00166326">
        <w:t>h</w:t>
      </w:r>
      <w:r w:rsidR="00F51E23">
        <w:t>ours</w:t>
      </w:r>
    </w:p>
    <w:p w:rsidR="00B100BF" w:rsidRPr="00166326" w:rsidRDefault="00B100BF" w:rsidP="00166326">
      <w:pPr>
        <w:pStyle w:val="ListBullet"/>
      </w:pPr>
      <w:r w:rsidRPr="00166326">
        <w:t xml:space="preserve">half-life in healthy subjects is 37 </w:t>
      </w:r>
      <w:r w:rsidR="00D37B27" w:rsidRPr="00166326">
        <w:t>h</w:t>
      </w:r>
      <w:r w:rsidR="00F51E23">
        <w:t xml:space="preserve">ours </w:t>
      </w:r>
      <w:r w:rsidR="004D5BD9" w:rsidRPr="00166326">
        <w:t>(from NETU-11-02)</w:t>
      </w:r>
    </w:p>
    <w:p w:rsidR="00B100BF" w:rsidRPr="00166326" w:rsidRDefault="00B100BF" w:rsidP="00166326">
      <w:pPr>
        <w:pStyle w:val="ListBullet"/>
      </w:pPr>
      <w:r w:rsidRPr="00166326">
        <w:lastRenderedPageBreak/>
        <w:t>absolute bioavailability is 97</w:t>
      </w:r>
      <w:r w:rsidR="000403F6">
        <w:t>%</w:t>
      </w:r>
    </w:p>
    <w:p w:rsidR="00B100BF" w:rsidRPr="00166326" w:rsidRDefault="00B100BF" w:rsidP="00166326">
      <w:pPr>
        <w:pStyle w:val="ListBullet"/>
      </w:pPr>
      <w:r w:rsidRPr="00166326">
        <w:t xml:space="preserve">exposure does not vary in fed </w:t>
      </w:r>
      <w:r w:rsidR="0067312A" w:rsidRPr="00166326">
        <w:t>versus</w:t>
      </w:r>
      <w:r w:rsidRPr="00166326">
        <w:t xml:space="preserve"> fasting states</w:t>
      </w:r>
    </w:p>
    <w:p w:rsidR="00B100BF" w:rsidRPr="00166326" w:rsidRDefault="00B100BF" w:rsidP="00166326">
      <w:pPr>
        <w:pStyle w:val="ListBullet"/>
      </w:pPr>
      <w:r w:rsidRPr="00166326">
        <w:t xml:space="preserve">the </w:t>
      </w:r>
      <w:proofErr w:type="spellStart"/>
      <w:r w:rsidR="00E31465" w:rsidRPr="00166326">
        <w:t>Aloxi</w:t>
      </w:r>
      <w:proofErr w:type="spellEnd"/>
      <w:r w:rsidRPr="00166326">
        <w:t xml:space="preserve"> PI indicates that CYP2D6 and, to a lesser extent, CYP3A and CYP1A2 are invo</w:t>
      </w:r>
      <w:r w:rsidR="00F51E23">
        <w:t>lved in metabolism</w:t>
      </w:r>
    </w:p>
    <w:p w:rsidR="00B100BF" w:rsidRPr="00166326" w:rsidRDefault="00B100BF" w:rsidP="00166326">
      <w:pPr>
        <w:pStyle w:val="ListBullet"/>
      </w:pPr>
      <w:r w:rsidRPr="00166326">
        <w:t>the P</w:t>
      </w:r>
      <w:r w:rsidR="00F51E23">
        <w:t xml:space="preserve">I also indicates that in a mass </w:t>
      </w:r>
      <w:r w:rsidRPr="00166326">
        <w:t>balance study, 80</w:t>
      </w:r>
      <w:r w:rsidR="000403F6">
        <w:t>%</w:t>
      </w:r>
      <w:r w:rsidRPr="00166326">
        <w:t xml:space="preserve"> of the administered dose of radioactivity is recovered within 144</w:t>
      </w:r>
      <w:r w:rsidR="009B02FF">
        <w:t xml:space="preserve"> hours </w:t>
      </w:r>
      <w:r w:rsidRPr="00166326">
        <w:t>in urine, with palonosetron representing 40</w:t>
      </w:r>
      <w:r w:rsidR="000403F6">
        <w:t>%</w:t>
      </w:r>
      <w:r w:rsidRPr="00166326">
        <w:t xml:space="preserve"> of the dose</w:t>
      </w:r>
    </w:p>
    <w:p w:rsidR="00B100BF" w:rsidRPr="00166326" w:rsidRDefault="00B100BF" w:rsidP="00166326">
      <w:pPr>
        <w:pStyle w:val="ListBullet"/>
      </w:pPr>
      <w:r w:rsidRPr="00166326">
        <w:t xml:space="preserve">inter-subject variability is not high, at </w:t>
      </w:r>
      <w:r w:rsidR="003A581C" w:rsidRPr="00166326">
        <w:t>approximately</w:t>
      </w:r>
      <w:r w:rsidR="008D5592">
        <w:t xml:space="preserve"> </w:t>
      </w:r>
      <w:r w:rsidR="004D5BD9" w:rsidRPr="00166326">
        <w:t xml:space="preserve">20 to </w:t>
      </w:r>
      <w:r w:rsidRPr="00166326">
        <w:t>30</w:t>
      </w:r>
      <w:r w:rsidR="000403F6">
        <w:t>%</w:t>
      </w:r>
      <w:r w:rsidRPr="00166326">
        <w:t xml:space="preserve"> across </w:t>
      </w:r>
      <w:r w:rsidR="00B765DE" w:rsidRPr="00C01898">
        <w:t>AUC</w:t>
      </w:r>
      <w:r w:rsidR="00B765DE" w:rsidRPr="00B765DE">
        <w:rPr>
          <w:vertAlign w:val="subscript"/>
        </w:rPr>
        <w:t>0-t</w:t>
      </w:r>
      <w:r w:rsidRPr="00166326">
        <w:t xml:space="preserve"> and </w:t>
      </w:r>
      <w:proofErr w:type="spellStart"/>
      <w:r w:rsidR="0018634D" w:rsidRPr="005B2EAC">
        <w:t>C</w:t>
      </w:r>
      <w:r w:rsidR="0018634D" w:rsidRPr="0018634D">
        <w:rPr>
          <w:vertAlign w:val="subscript"/>
        </w:rPr>
        <w:t>max</w:t>
      </w:r>
      <w:proofErr w:type="spellEnd"/>
      <w:r w:rsidRPr="00166326">
        <w:t xml:space="preserve"> (NETU-07-20)</w:t>
      </w:r>
    </w:p>
    <w:p w:rsidR="00B100BF" w:rsidRPr="00166326" w:rsidRDefault="00B100BF" w:rsidP="00166326">
      <w:pPr>
        <w:pStyle w:val="ListBullet"/>
      </w:pPr>
      <w:r w:rsidRPr="00166326">
        <w:t>Exposure was moderately higher with mild hepatic impairment (14</w:t>
      </w:r>
      <w:r w:rsidR="000403F6">
        <w:t>%</w:t>
      </w:r>
      <w:r w:rsidRPr="00166326">
        <w:t xml:space="preserve"> higher for </w:t>
      </w:r>
      <w:proofErr w:type="spellStart"/>
      <w:r w:rsidR="0018634D" w:rsidRPr="005B2EAC">
        <w:t>C</w:t>
      </w:r>
      <w:r w:rsidR="0018634D" w:rsidRPr="0018634D">
        <w:rPr>
          <w:vertAlign w:val="subscript"/>
        </w:rPr>
        <w:t>max</w:t>
      </w:r>
      <w:proofErr w:type="spellEnd"/>
      <w:r w:rsidRPr="00166326">
        <w:t>; 33</w:t>
      </w:r>
      <w:r w:rsidR="000403F6">
        <w:t>%</w:t>
      </w:r>
      <w:r w:rsidRPr="00166326">
        <w:t xml:space="preserve"> higher for </w:t>
      </w:r>
      <w:r w:rsidR="000403F6" w:rsidRPr="00C01898">
        <w:t>AUC</w:t>
      </w:r>
      <w:r w:rsidR="000403F6" w:rsidRPr="000403F6">
        <w:rPr>
          <w:vertAlign w:val="subscript"/>
        </w:rPr>
        <w:t>0-∞</w:t>
      </w:r>
      <w:r w:rsidRPr="00166326">
        <w:t xml:space="preserve">); exposure was significantly higher with moderate hepatic impairment (little difference for </w:t>
      </w:r>
      <w:proofErr w:type="spellStart"/>
      <w:r w:rsidR="0018634D" w:rsidRPr="005B2EAC">
        <w:t>C</w:t>
      </w:r>
      <w:r w:rsidR="0018634D" w:rsidRPr="0018634D">
        <w:rPr>
          <w:vertAlign w:val="subscript"/>
        </w:rPr>
        <w:t>max</w:t>
      </w:r>
      <w:proofErr w:type="spellEnd"/>
      <w:r w:rsidRPr="00166326">
        <w:t xml:space="preserve"> but 62</w:t>
      </w:r>
      <w:r w:rsidR="000403F6">
        <w:t>%</w:t>
      </w:r>
      <w:r w:rsidRPr="00166326">
        <w:t xml:space="preserve"> higher for </w:t>
      </w:r>
      <w:r w:rsidR="000403F6" w:rsidRPr="00C01898">
        <w:t>AUC</w:t>
      </w:r>
      <w:r w:rsidR="000403F6" w:rsidRPr="000403F6">
        <w:rPr>
          <w:vertAlign w:val="subscript"/>
        </w:rPr>
        <w:t>0-∞</w:t>
      </w:r>
      <w:r w:rsidRPr="00166326">
        <w:t>); only 2 subjects with severe hepatic impairment were studied</w:t>
      </w:r>
    </w:p>
    <w:p w:rsidR="00B100BF" w:rsidRPr="00166326" w:rsidRDefault="00B100BF" w:rsidP="00166326">
      <w:pPr>
        <w:pStyle w:val="ListBullet"/>
      </w:pPr>
      <w:r w:rsidRPr="00166326">
        <w:t xml:space="preserve">The </w:t>
      </w:r>
      <w:proofErr w:type="spellStart"/>
      <w:r w:rsidR="00E31465" w:rsidRPr="00166326">
        <w:t>Aloxi</w:t>
      </w:r>
      <w:proofErr w:type="spellEnd"/>
      <w:r w:rsidRPr="00166326">
        <w:t xml:space="preserve"> PI states that hepatic impairment does not significantly affect total body clearance of palonosetron</w:t>
      </w:r>
    </w:p>
    <w:p w:rsidR="00B100BF" w:rsidRPr="00166326" w:rsidRDefault="00B100BF" w:rsidP="00166326">
      <w:pPr>
        <w:pStyle w:val="ListBullet"/>
      </w:pPr>
      <w:r w:rsidRPr="00166326">
        <w:t xml:space="preserve">the </w:t>
      </w:r>
      <w:proofErr w:type="spellStart"/>
      <w:r w:rsidR="00E31465" w:rsidRPr="00166326">
        <w:t>Aloxi</w:t>
      </w:r>
      <w:proofErr w:type="spellEnd"/>
      <w:r w:rsidRPr="00166326">
        <w:t xml:space="preserve"> PI states that mild to moderate renal impairment does not affect palonosetron PK parameters, while total systemic exposure increased by 28</w:t>
      </w:r>
      <w:r w:rsidR="000403F6">
        <w:t>%</w:t>
      </w:r>
      <w:r w:rsidRPr="00166326">
        <w:t xml:space="preserve"> in severe renal impairment relative to healthy subjects</w:t>
      </w:r>
    </w:p>
    <w:p w:rsidR="00B100BF" w:rsidRPr="00166326" w:rsidRDefault="00B100BF" w:rsidP="00166326">
      <w:pPr>
        <w:pStyle w:val="ListBullet"/>
      </w:pPr>
      <w:r w:rsidRPr="00166326">
        <w:t>In NETU-10-12, there was evidence that older subjects (</w:t>
      </w:r>
      <w:r w:rsidR="000403F6">
        <w:t>≥ 6</w:t>
      </w:r>
      <w:r w:rsidRPr="00166326">
        <w:t xml:space="preserve">5 </w:t>
      </w:r>
      <w:r w:rsidR="008914E3" w:rsidRPr="00166326">
        <w:t>years</w:t>
      </w:r>
      <w:r w:rsidRPr="00166326">
        <w:t xml:space="preserve">) had higher exposure to </w:t>
      </w:r>
      <w:proofErr w:type="spellStart"/>
      <w:r w:rsidRPr="00166326">
        <w:t>palonosetron</w:t>
      </w:r>
      <w:proofErr w:type="spellEnd"/>
      <w:r w:rsidRPr="00166326">
        <w:t xml:space="preserve"> (10</w:t>
      </w:r>
      <w:r w:rsidR="000403F6">
        <w:t>%</w:t>
      </w:r>
      <w:r w:rsidRPr="00166326">
        <w:t xml:space="preserve"> higher </w:t>
      </w:r>
      <w:proofErr w:type="spellStart"/>
      <w:r w:rsidR="0018634D" w:rsidRPr="005B2EAC">
        <w:t>C</w:t>
      </w:r>
      <w:r w:rsidR="0018634D" w:rsidRPr="0018634D">
        <w:rPr>
          <w:vertAlign w:val="subscript"/>
        </w:rPr>
        <w:t>max</w:t>
      </w:r>
      <w:proofErr w:type="spellEnd"/>
      <w:r w:rsidRPr="00166326">
        <w:t>; 37</w:t>
      </w:r>
      <w:r w:rsidR="000403F6">
        <w:t>%</w:t>
      </w:r>
      <w:r w:rsidRPr="00166326">
        <w:t xml:space="preserve"> higher </w:t>
      </w:r>
      <w:r w:rsidR="000403F6" w:rsidRPr="00C01898">
        <w:t>AUC</w:t>
      </w:r>
      <w:r w:rsidR="000403F6" w:rsidRPr="000403F6">
        <w:rPr>
          <w:vertAlign w:val="subscript"/>
        </w:rPr>
        <w:t>0-∞</w:t>
      </w:r>
      <w:r w:rsidR="00F51E23">
        <w:t xml:space="preserve">) than younger subjects (18 to </w:t>
      </w:r>
      <w:r w:rsidRPr="00166326">
        <w:t xml:space="preserve">45 </w:t>
      </w:r>
      <w:r w:rsidR="008914E3" w:rsidRPr="00166326">
        <w:t>years</w:t>
      </w:r>
      <w:r w:rsidRPr="00166326">
        <w:t>);</w:t>
      </w:r>
      <w:r w:rsidR="00F51E23">
        <w:t xml:space="preserve"> this was not confirmed in the </w:t>
      </w:r>
      <w:proofErr w:type="spellStart"/>
      <w:r w:rsidR="00CE0692">
        <w:t>PopPK</w:t>
      </w:r>
      <w:proofErr w:type="spellEnd"/>
      <w:r w:rsidRPr="00166326">
        <w:t xml:space="preserve"> report</w:t>
      </w:r>
    </w:p>
    <w:p w:rsidR="00B100BF" w:rsidRPr="00166326" w:rsidRDefault="00B100BF" w:rsidP="00166326">
      <w:pPr>
        <w:pStyle w:val="ListBullet"/>
      </w:pPr>
      <w:r w:rsidRPr="00166326">
        <w:t xml:space="preserve">Palonosetron exposure was not much affected by concomitant ketoconazole, although </w:t>
      </w:r>
      <w:r w:rsidR="000403F6" w:rsidRPr="00C01898">
        <w:t>AUC</w:t>
      </w:r>
      <w:r w:rsidR="000403F6" w:rsidRPr="000403F6">
        <w:rPr>
          <w:vertAlign w:val="subscript"/>
        </w:rPr>
        <w:t>0-∞</w:t>
      </w:r>
      <w:r w:rsidRPr="00166326">
        <w:t xml:space="preserve"> declined 19</w:t>
      </w:r>
      <w:r w:rsidR="000403F6">
        <w:t>%</w:t>
      </w:r>
      <w:r w:rsidRPr="00166326">
        <w:t xml:space="preserve"> with concomitant rifampicin</w:t>
      </w:r>
      <w:r w:rsidR="00F51E23">
        <w:t>.</w:t>
      </w:r>
    </w:p>
    <w:p w:rsidR="00B100BF" w:rsidRPr="00166326" w:rsidRDefault="00B100BF" w:rsidP="00166326">
      <w:pPr>
        <w:pStyle w:val="Heading5"/>
      </w:pPr>
      <w:r w:rsidRPr="00166326">
        <w:t>Other findings</w:t>
      </w:r>
    </w:p>
    <w:p w:rsidR="00B100BF" w:rsidRPr="00166326" w:rsidRDefault="00B100BF" w:rsidP="00166326">
      <w:r w:rsidRPr="00166326">
        <w:t>Bioequivalence was establish</w:t>
      </w:r>
      <w:r w:rsidR="004D5BD9" w:rsidRPr="00166326">
        <w:t xml:space="preserve">ed in NETU-11-02 </w:t>
      </w:r>
      <w:r w:rsidRPr="00166326">
        <w:t>between the FDC formula</w:t>
      </w:r>
      <w:r w:rsidR="004D5BD9" w:rsidRPr="00166326">
        <w:t>tion used in ‘late Phase I and Phase III</w:t>
      </w:r>
      <w:r w:rsidR="00F51E23">
        <w:t xml:space="preserve"> studies’</w:t>
      </w:r>
      <w:r w:rsidRPr="00166326">
        <w:t xml:space="preserve"> and the commercial formulation.</w:t>
      </w:r>
    </w:p>
    <w:p w:rsidR="00B100BF" w:rsidRPr="00166326" w:rsidRDefault="00B100BF" w:rsidP="00166326">
      <w:pPr>
        <w:pStyle w:val="Heading5"/>
      </w:pPr>
      <w:r w:rsidRPr="00166326">
        <w:t>Conclusions about pharmacokinetics</w:t>
      </w:r>
    </w:p>
    <w:p w:rsidR="00B100BF" w:rsidRPr="00166326" w:rsidRDefault="00B100BF" w:rsidP="00166326">
      <w:r w:rsidRPr="00166326">
        <w:t xml:space="preserve">Key limitations of the PK characterisation of </w:t>
      </w:r>
      <w:r w:rsidR="00E96281" w:rsidRPr="00166326">
        <w:t>Akynzeo</w:t>
      </w:r>
      <w:r w:rsidRPr="00166326">
        <w:t xml:space="preserve"> are:</w:t>
      </w:r>
    </w:p>
    <w:p w:rsidR="00B100BF" w:rsidRPr="00166326" w:rsidRDefault="00CE0692" w:rsidP="00166326">
      <w:pPr>
        <w:pStyle w:val="ListBullet"/>
      </w:pPr>
      <w:r>
        <w:t xml:space="preserve">the </w:t>
      </w:r>
      <w:proofErr w:type="spellStart"/>
      <w:r>
        <w:t>Pop</w:t>
      </w:r>
      <w:r w:rsidR="00B100BF" w:rsidRPr="00166326">
        <w:t>PK</w:t>
      </w:r>
      <w:proofErr w:type="spellEnd"/>
      <w:r w:rsidR="00B100BF" w:rsidRPr="00166326">
        <w:t xml:space="preserve"> study was pr</w:t>
      </w:r>
      <w:r w:rsidR="004D5BD9" w:rsidRPr="00166326">
        <w:t>imarily in females</w:t>
      </w:r>
    </w:p>
    <w:p w:rsidR="00B100BF" w:rsidRPr="00166326" w:rsidRDefault="00B100BF" w:rsidP="00166326">
      <w:pPr>
        <w:pStyle w:val="ListBullet"/>
      </w:pPr>
      <w:r w:rsidRPr="00166326">
        <w:t>too few subjects were studied to understand the influence of severe hepatic impairment on PK of either netupitant or palonosetron</w:t>
      </w:r>
    </w:p>
    <w:p w:rsidR="00B100BF" w:rsidRPr="00166326" w:rsidRDefault="00B100BF" w:rsidP="00166326">
      <w:pPr>
        <w:pStyle w:val="ListBullet"/>
      </w:pPr>
      <w:r w:rsidRPr="00166326">
        <w:t>no studies examined variation in netupitant exposure with renal impairment (based on the low excretion of netupitant into urine in the mass balance study, an effect of impaired renal function may be less likely; however, chronic renal failure reduces the non-renal clearance and alters bioavailability of drugs mainly metabolised by the liver and intestine)</w:t>
      </w:r>
      <w:r w:rsidR="001E2377">
        <w:t>.</w:t>
      </w:r>
    </w:p>
    <w:p w:rsidR="00B100BF" w:rsidRPr="00166326" w:rsidRDefault="00B100BF" w:rsidP="00166326">
      <w:r w:rsidRPr="00166326">
        <w:t>Key PK issues are:</w:t>
      </w:r>
    </w:p>
    <w:p w:rsidR="00B100BF" w:rsidRPr="00166326" w:rsidRDefault="00B100BF" w:rsidP="00166326">
      <w:pPr>
        <w:pStyle w:val="ListBullet"/>
      </w:pPr>
      <w:r w:rsidRPr="00166326">
        <w:t>there is hepatic metabolism via CYP3A4 with netupitant, with attendant drug-drug interaction effects (some quite pronounced)</w:t>
      </w:r>
    </w:p>
    <w:p w:rsidR="00B100BF" w:rsidRPr="00166326" w:rsidRDefault="00B100BF" w:rsidP="00166326">
      <w:pPr>
        <w:pStyle w:val="ListBullet"/>
      </w:pPr>
      <w:r w:rsidRPr="00166326">
        <w:t>netupitant is also a mo</w:t>
      </w:r>
      <w:r w:rsidR="004D5BD9" w:rsidRPr="00166326">
        <w:t>derate inhibitor of CYP3A4 (that is,</w:t>
      </w:r>
      <w:r w:rsidRPr="00166326">
        <w:t xml:space="preserve"> substrate and inhibitor)</w:t>
      </w:r>
    </w:p>
    <w:p w:rsidR="00B100BF" w:rsidRPr="00166326" w:rsidRDefault="00B100BF" w:rsidP="00166326">
      <w:pPr>
        <w:pStyle w:val="ListBullet"/>
      </w:pPr>
      <w:r w:rsidRPr="00166326">
        <w:t>there is a significant effect of moderate hepatic impairment on netupitant exposure (and severe hepatic impairment is inadequately characterised)</w:t>
      </w:r>
    </w:p>
    <w:p w:rsidR="00B100BF" w:rsidRPr="00166326" w:rsidRDefault="00B100BF" w:rsidP="00166326">
      <w:pPr>
        <w:pStyle w:val="ListBullet"/>
      </w:pPr>
      <w:proofErr w:type="gramStart"/>
      <w:r w:rsidRPr="00166326">
        <w:t>the</w:t>
      </w:r>
      <w:proofErr w:type="gramEnd"/>
      <w:r w:rsidRPr="00166326">
        <w:t xml:space="preserve"> effect of renal impairment on netupitant exposure is unknown</w:t>
      </w:r>
      <w:r w:rsidR="00F51E23">
        <w:t>.</w:t>
      </w:r>
    </w:p>
    <w:p w:rsidR="00B100BF" w:rsidRPr="00166326" w:rsidRDefault="00BD6934" w:rsidP="00166326">
      <w:pPr>
        <w:pStyle w:val="Heading4"/>
      </w:pPr>
      <w:r>
        <w:lastRenderedPageBreak/>
        <w:t>Pharmacodynamics</w:t>
      </w:r>
    </w:p>
    <w:p w:rsidR="00B100BF" w:rsidRPr="00166326" w:rsidRDefault="004D5BD9" w:rsidP="00166326">
      <w:r w:rsidRPr="00166326">
        <w:t>The clinical evaluation r</w:t>
      </w:r>
      <w:r w:rsidR="00B100BF" w:rsidRPr="00166326">
        <w:t>eport des</w:t>
      </w:r>
      <w:r w:rsidRPr="00166326">
        <w:t xml:space="preserve">cribes </w:t>
      </w:r>
      <w:r w:rsidR="00BD6934">
        <w:t>pharmacodynamics</w:t>
      </w:r>
      <w:r w:rsidR="00BD6934" w:rsidRPr="00166326">
        <w:t xml:space="preserve"> </w:t>
      </w:r>
      <w:r w:rsidR="00BD6934">
        <w:t>(</w:t>
      </w:r>
      <w:r w:rsidRPr="00166326">
        <w:t>PD</w:t>
      </w:r>
      <w:r w:rsidR="00BD6934">
        <w:t>)</w:t>
      </w:r>
      <w:r w:rsidRPr="00166326">
        <w:t xml:space="preserve"> studies</w:t>
      </w:r>
      <w:r w:rsidR="00B100BF" w:rsidRPr="00166326">
        <w:t>.</w:t>
      </w:r>
      <w:r w:rsidR="005F7FE0" w:rsidRPr="00166326">
        <w:t xml:space="preserve"> </w:t>
      </w:r>
      <w:r w:rsidR="00F73FE3" w:rsidRPr="00166326">
        <w:t>Study NETU</w:t>
      </w:r>
      <w:r w:rsidR="00B100BF" w:rsidRPr="00166326">
        <w:t>-07-20 (QT interval) is considered under ‘Safety’ below.</w:t>
      </w:r>
      <w:r w:rsidR="005F7FE0" w:rsidRPr="00166326">
        <w:t xml:space="preserve"> </w:t>
      </w:r>
      <w:r w:rsidRPr="00166326">
        <w:t>Study NP16603 (mood/</w:t>
      </w:r>
      <w:r w:rsidR="00B100BF" w:rsidRPr="00166326">
        <w:t>sedation) is considered under ‘Safety’.</w:t>
      </w:r>
    </w:p>
    <w:p w:rsidR="00B100BF" w:rsidRPr="00166326" w:rsidRDefault="00F73FE3" w:rsidP="00166326">
      <w:r w:rsidRPr="00166326">
        <w:t>Study NETU</w:t>
      </w:r>
      <w:r w:rsidR="00B100BF" w:rsidRPr="00166326">
        <w:t xml:space="preserve">-06-08 gathered information on NK-1 receptor occupancy of netupitant, </w:t>
      </w:r>
      <w:r w:rsidR="004D5BD9" w:rsidRPr="00166326">
        <w:t xml:space="preserve">using </w:t>
      </w:r>
      <w:r w:rsidR="00CE0692">
        <w:t>positron emission tomography</w:t>
      </w:r>
      <w:r w:rsidR="00CE0692" w:rsidRPr="00166326">
        <w:t xml:space="preserve"> </w:t>
      </w:r>
      <w:r w:rsidR="00CE0692">
        <w:t>(</w:t>
      </w:r>
      <w:r w:rsidR="004D5BD9" w:rsidRPr="00166326">
        <w:t>PET</w:t>
      </w:r>
      <w:r w:rsidR="00CE0692">
        <w:t>)</w:t>
      </w:r>
      <w:r w:rsidR="004D5BD9" w:rsidRPr="00166326">
        <w:t xml:space="preserve"> scanning</w:t>
      </w:r>
      <w:r w:rsidR="00B100BF" w:rsidRPr="00166326">
        <w:t>.</w:t>
      </w:r>
      <w:r w:rsidR="005F7FE0" w:rsidRPr="00166326">
        <w:t xml:space="preserve"> </w:t>
      </w:r>
      <w:r w:rsidR="00B100BF" w:rsidRPr="00166326">
        <w:t>The information is not pivotal in nature</w:t>
      </w:r>
      <w:r w:rsidR="004D5BD9" w:rsidRPr="00166326">
        <w:t>.</w:t>
      </w:r>
    </w:p>
    <w:p w:rsidR="00B100BF" w:rsidRPr="006A5B9B" w:rsidRDefault="00B100BF" w:rsidP="006A5B9B">
      <w:pPr>
        <w:pStyle w:val="Heading5"/>
      </w:pPr>
      <w:r w:rsidRPr="006A5B9B">
        <w:t>Dose selection</w:t>
      </w:r>
    </w:p>
    <w:p w:rsidR="00B100BF" w:rsidRPr="006A5B9B" w:rsidRDefault="00B100BF" w:rsidP="006A5B9B">
      <w:r w:rsidRPr="006A5B9B">
        <w:t xml:space="preserve">The </w:t>
      </w:r>
      <w:r w:rsidR="00791AE3" w:rsidRPr="006A5B9B">
        <w:t>sponsor’s</w:t>
      </w:r>
      <w:r w:rsidRPr="006A5B9B">
        <w:t xml:space="preserve"> approach to dose selection was reasonable for the palonosetron component (</w:t>
      </w:r>
      <w:r w:rsidR="004B70D8" w:rsidRPr="006A5B9B">
        <w:t>for example,</w:t>
      </w:r>
      <w:r w:rsidRPr="006A5B9B">
        <w:t xml:space="preserve"> outcomes of PALO-03-13) and the netupitant component (</w:t>
      </w:r>
      <w:r w:rsidR="004B70D8" w:rsidRPr="006A5B9B">
        <w:t>for example,</w:t>
      </w:r>
      <w:r w:rsidRPr="006A5B9B">
        <w:t xml:space="preserve"> outcomes of NETU-07-07), although the overall approach assumes no synergy between the two components (hypothetically, palonosetron targets acute CINV and netupitant targets delayed CINV, but there was some suggestion from NET-07-07 that 300 mg netupitant contributes to efficacy in prevention</w:t>
      </w:r>
      <w:r w:rsidR="004D5BD9" w:rsidRPr="006A5B9B">
        <w:t xml:space="preserve"> of acute CINV</w:t>
      </w:r>
      <w:r w:rsidR="006B5934" w:rsidRPr="006A5B9B">
        <w:t>.</w:t>
      </w:r>
    </w:p>
    <w:p w:rsidR="00B100BF" w:rsidRPr="00A154D7" w:rsidRDefault="00B100BF" w:rsidP="006A5B9B">
      <w:pPr>
        <w:pStyle w:val="Heading4"/>
      </w:pPr>
      <w:r w:rsidRPr="00A154D7">
        <w:t>Clinical efficacy</w:t>
      </w:r>
    </w:p>
    <w:p w:rsidR="00B100BF" w:rsidRPr="006A5B9B" w:rsidRDefault="00B100BF" w:rsidP="006A5B9B">
      <w:pPr>
        <w:pStyle w:val="Heading5"/>
      </w:pPr>
      <w:r w:rsidRPr="006A5B9B">
        <w:t>NETU-08-18</w:t>
      </w:r>
    </w:p>
    <w:p w:rsidR="00B100BF" w:rsidRPr="006A5B9B" w:rsidRDefault="004D5BD9" w:rsidP="006A5B9B">
      <w:r w:rsidRPr="006A5B9B">
        <w:t xml:space="preserve">NETU-08-18 </w:t>
      </w:r>
      <w:r w:rsidR="00B100BF" w:rsidRPr="006A5B9B">
        <w:t>was a pivotal study.</w:t>
      </w:r>
      <w:r w:rsidR="005F7FE0" w:rsidRPr="006A5B9B">
        <w:t xml:space="preserve"> </w:t>
      </w:r>
      <w:r w:rsidR="00B100BF" w:rsidRPr="006A5B9B">
        <w:t xml:space="preserve">It was a randomised, </w:t>
      </w:r>
      <w:r w:rsidR="00F51E23">
        <w:t>double blind</w:t>
      </w:r>
      <w:r w:rsidR="00B100BF" w:rsidRPr="006A5B9B">
        <w:t xml:space="preserve">, </w:t>
      </w:r>
      <w:r w:rsidR="003818B7">
        <w:t>double dummy</w:t>
      </w:r>
      <w:r w:rsidR="00B100BF" w:rsidRPr="006A5B9B">
        <w:t xml:space="preserve"> study of netupit</w:t>
      </w:r>
      <w:r w:rsidRPr="006A5B9B">
        <w:t>ant / palonosetron (FDC, 300 mg</w:t>
      </w:r>
      <w:r w:rsidR="00B100BF" w:rsidRPr="006A5B9B">
        <w:t xml:space="preserve">/.5 mg) </w:t>
      </w:r>
      <w:r w:rsidR="0067312A" w:rsidRPr="006A5B9B">
        <w:t>versus</w:t>
      </w:r>
      <w:r w:rsidR="00B100BF" w:rsidRPr="006A5B9B">
        <w:t xml:space="preserve"> oral palonosetron (0.5 mg) for prevention of nausea and vomiting in patients receiving MEC.</w:t>
      </w:r>
      <w:r w:rsidR="005F7FE0" w:rsidRPr="006A5B9B">
        <w:t xml:space="preserve"> </w:t>
      </w:r>
      <w:r w:rsidR="00B100BF" w:rsidRPr="006A5B9B">
        <w:t>In both arms, patients also received oral dexamethasone; the FDC arm received 12 mg, the palonosetron arm received 20 mg.</w:t>
      </w:r>
      <w:r w:rsidR="005F7FE0" w:rsidRPr="006A5B9B">
        <w:t xml:space="preserve"> </w:t>
      </w:r>
      <w:r w:rsidR="00B100BF" w:rsidRPr="006A5B9B">
        <w:t xml:space="preserve">Treatments were given 60 minutes prior to start of </w:t>
      </w:r>
      <w:r w:rsidRPr="006A5B9B">
        <w:t>chemotherapy on D</w:t>
      </w:r>
      <w:r w:rsidR="00B100BF" w:rsidRPr="006A5B9B">
        <w:t>ay 1, except dexamethasone (30 minutes prior to chemotherapy).</w:t>
      </w:r>
    </w:p>
    <w:p w:rsidR="00B100BF" w:rsidRPr="006A5B9B" w:rsidRDefault="00B100BF" w:rsidP="006A5B9B">
      <w:r w:rsidRPr="006A5B9B">
        <w:t xml:space="preserve">The imbalance in dexamethasone dosage (12 </w:t>
      </w:r>
      <w:r w:rsidR="00660F61" w:rsidRPr="006A5B9B">
        <w:t xml:space="preserve">mg </w:t>
      </w:r>
      <w:r w:rsidR="0067312A" w:rsidRPr="006A5B9B">
        <w:t>versus</w:t>
      </w:r>
      <w:r w:rsidRPr="006A5B9B">
        <w:t xml:space="preserve"> 20 mg) was to adjust for expected drug-drug interactions.</w:t>
      </w:r>
      <w:r w:rsidR="005F7FE0" w:rsidRPr="006A5B9B">
        <w:t xml:space="preserve"> </w:t>
      </w:r>
      <w:r w:rsidRPr="006A5B9B">
        <w:t xml:space="preserve">This is a fairly standard approach in clinical studies </w:t>
      </w:r>
      <w:r w:rsidRPr="00BD6934">
        <w:t xml:space="preserve">of </w:t>
      </w:r>
      <w:r w:rsidR="00BD6934">
        <w:t>NK1 R</w:t>
      </w:r>
      <w:r w:rsidRPr="006A5B9B">
        <w:t xml:space="preserve"> inhibitors in CINV.</w:t>
      </w:r>
      <w:r w:rsidR="005F7FE0" w:rsidRPr="006A5B9B">
        <w:t xml:space="preserve"> </w:t>
      </w:r>
      <w:r w:rsidRPr="006A5B9B">
        <w:t>Dexamethasone (4 mg) tablets had a matching placebo.</w:t>
      </w:r>
    </w:p>
    <w:p w:rsidR="00B100BF" w:rsidRPr="006A5B9B" w:rsidRDefault="00B100BF" w:rsidP="006A5B9B">
      <w:r w:rsidRPr="006A5B9B">
        <w:t>Patients were adults, and not previously treated with cytotoxic chemotherapy; those with symptomatic CNS malignancy w</w:t>
      </w:r>
      <w:r w:rsidR="000B1EBE" w:rsidRPr="006A5B9B">
        <w:t>ere excluded</w:t>
      </w:r>
      <w:r w:rsidRPr="006A5B9B">
        <w:t>.</w:t>
      </w:r>
      <w:r w:rsidR="005F7FE0" w:rsidRPr="006A5B9B">
        <w:t xml:space="preserve"> </w:t>
      </w:r>
      <w:r w:rsidRPr="006A5B9B">
        <w:t>They were to receive an anthracycline and cyclophosphamide regimen to treat a malignant solid tumour.</w:t>
      </w:r>
      <w:r w:rsidR="005F7FE0" w:rsidRPr="006A5B9B">
        <w:t xml:space="preserve"> </w:t>
      </w:r>
      <w:r w:rsidRPr="006A5B9B">
        <w:t xml:space="preserve">In the multiple cycle extension phase, cycles of chemotherapy had to be </w:t>
      </w:r>
      <w:r w:rsidR="004633C5">
        <w:t>≥ 2</w:t>
      </w:r>
      <w:r w:rsidRPr="006A5B9B">
        <w:t>1 days apart.</w:t>
      </w:r>
    </w:p>
    <w:p w:rsidR="00B100BF" w:rsidRPr="006A5B9B" w:rsidRDefault="00B100BF" w:rsidP="006A5B9B">
      <w:r w:rsidRPr="006A5B9B">
        <w:t>There were 177 study sites in 15 countries; the study was conducted from April 2011 to November 2012.</w:t>
      </w:r>
    </w:p>
    <w:p w:rsidR="00B100BF" w:rsidRPr="006A5B9B" w:rsidRDefault="00B100BF" w:rsidP="006A5B9B">
      <w:r w:rsidRPr="006A5B9B">
        <w:t>Complete response was defined as no emesis and no use of rescue medications.</w:t>
      </w:r>
      <w:r w:rsidR="005F7FE0" w:rsidRPr="006A5B9B">
        <w:t xml:space="preserve"> </w:t>
      </w:r>
      <w:r w:rsidRPr="006A5B9B">
        <w:t>The primary endpoint was comp</w:t>
      </w:r>
      <w:r w:rsidR="00F51E23">
        <w:t xml:space="preserve">lete response in the 25 to </w:t>
      </w:r>
      <w:r w:rsidR="000B1EBE" w:rsidRPr="006A5B9B">
        <w:t>120</w:t>
      </w:r>
      <w:r w:rsidR="009B02FF">
        <w:t xml:space="preserve"> hours </w:t>
      </w:r>
      <w:r w:rsidRPr="006A5B9B">
        <w:t>(delayed) phase at</w:t>
      </w:r>
      <w:r w:rsidR="00F51E23">
        <w:t xml:space="preserve"> Cycle </w:t>
      </w:r>
      <w:r w:rsidR="005F7FE0" w:rsidRPr="006A5B9B">
        <w:t>1</w:t>
      </w:r>
      <w:r w:rsidRPr="006A5B9B">
        <w:t>.</w:t>
      </w:r>
      <w:r w:rsidR="005F7FE0" w:rsidRPr="006A5B9B">
        <w:t xml:space="preserve"> </w:t>
      </w:r>
      <w:r w:rsidRPr="006A5B9B">
        <w:t>The primary endpoint was tested in the full analysis set (FAS), resembling an intention-to-treat population.</w:t>
      </w:r>
      <w:r w:rsidR="005F7FE0" w:rsidRPr="006A5B9B">
        <w:t xml:space="preserve"> </w:t>
      </w:r>
      <w:r w:rsidRPr="006A5B9B">
        <w:t>The study was designed as a superiority study.</w:t>
      </w:r>
    </w:p>
    <w:p w:rsidR="00B100BF" w:rsidRPr="006A5B9B" w:rsidRDefault="000B1EBE" w:rsidP="006A5B9B">
      <w:r w:rsidRPr="006A5B9B">
        <w:t xml:space="preserve">Some </w:t>
      </w:r>
      <w:r w:rsidR="00B100BF" w:rsidRPr="006A5B9B">
        <w:t>1</w:t>
      </w:r>
      <w:r w:rsidR="00F51E23">
        <w:t>,</w:t>
      </w:r>
      <w:r w:rsidR="00B100BF" w:rsidRPr="006A5B9B">
        <w:t>455 patients were randomised: 726 to the FDC group, 729 to the palonosetron group.</w:t>
      </w:r>
      <w:r w:rsidR="005F7FE0" w:rsidRPr="006A5B9B">
        <w:t xml:space="preserve"> </w:t>
      </w:r>
      <w:r w:rsidR="00F51E23">
        <w:t xml:space="preserve">Some </w:t>
      </w:r>
      <w:r w:rsidR="00B100BF" w:rsidRPr="006A5B9B">
        <w:t>1</w:t>
      </w:r>
      <w:r w:rsidR="00F51E23">
        <w:t>,</w:t>
      </w:r>
      <w:r w:rsidR="00B100BF" w:rsidRPr="006A5B9B">
        <w:t>438 patients completed</w:t>
      </w:r>
      <w:r w:rsidR="005F7FE0" w:rsidRPr="006A5B9B">
        <w:t xml:space="preserve"> Cycle 1</w:t>
      </w:r>
      <w:r w:rsidR="00B100BF" w:rsidRPr="006A5B9B">
        <w:t>; 907 patients completed the multiple cycle extension (the maximum number of treatment cycles was 8, completed by 5 patients).</w:t>
      </w:r>
    </w:p>
    <w:p w:rsidR="00B100BF" w:rsidRPr="006A5B9B" w:rsidRDefault="00CC7F2C" w:rsidP="006A5B9B">
      <w:r w:rsidRPr="006A5B9B">
        <w:t xml:space="preserve">Some </w:t>
      </w:r>
      <w:r w:rsidR="00B100BF" w:rsidRPr="006A5B9B">
        <w:t>98</w:t>
      </w:r>
      <w:r w:rsidR="000403F6">
        <w:t>%</w:t>
      </w:r>
      <w:r w:rsidR="00B100BF" w:rsidRPr="006A5B9B">
        <w:t xml:space="preserve"> of subjects were female (</w:t>
      </w:r>
      <w:r w:rsidR="002D3239">
        <w:t>protocol specified</w:t>
      </w:r>
      <w:r w:rsidR="00B100BF" w:rsidRPr="006A5B9B">
        <w:t xml:space="preserve"> chemotherapy was mostly indicated for breast cancer); </w:t>
      </w:r>
      <w:r w:rsidR="003A581C" w:rsidRPr="006A5B9B">
        <w:t>approximately</w:t>
      </w:r>
      <w:r w:rsidR="008D5592">
        <w:t xml:space="preserve"> </w:t>
      </w:r>
      <w:r w:rsidR="00B100BF" w:rsidRPr="006A5B9B">
        <w:t>80</w:t>
      </w:r>
      <w:r w:rsidR="000403F6">
        <w:t>%</w:t>
      </w:r>
      <w:r w:rsidR="00B100BF" w:rsidRPr="006A5B9B">
        <w:t xml:space="preserve"> were </w:t>
      </w:r>
      <w:r w:rsidR="006B5934" w:rsidRPr="006A5B9B">
        <w:t>White</w:t>
      </w:r>
      <w:r w:rsidR="00B100BF" w:rsidRPr="006A5B9B">
        <w:t>.</w:t>
      </w:r>
      <w:r w:rsidR="005F7FE0" w:rsidRPr="006A5B9B">
        <w:t xml:space="preserve"> </w:t>
      </w:r>
      <w:r w:rsidR="00B100BF" w:rsidRPr="006A5B9B">
        <w:t xml:space="preserve">Mean age was </w:t>
      </w:r>
      <w:r w:rsidR="003A581C" w:rsidRPr="006A5B9B">
        <w:t>approximately</w:t>
      </w:r>
      <w:r w:rsidRPr="006A5B9B">
        <w:t xml:space="preserve"> </w:t>
      </w:r>
      <w:r w:rsidR="00B100BF" w:rsidRPr="006A5B9B">
        <w:t xml:space="preserve">54 </w:t>
      </w:r>
      <w:r w:rsidR="008914E3" w:rsidRPr="006A5B9B">
        <w:t>years</w:t>
      </w:r>
      <w:r w:rsidR="00B100BF" w:rsidRPr="006A5B9B">
        <w:t>.</w:t>
      </w:r>
      <w:r w:rsidR="005F7FE0" w:rsidRPr="006A5B9B">
        <w:t xml:space="preserve"> </w:t>
      </w:r>
      <w:r w:rsidR="00B100BF" w:rsidRPr="006A5B9B">
        <w:t>Other details of baseline characteristics</w:t>
      </w:r>
      <w:r w:rsidRPr="006A5B9B">
        <w:t xml:space="preserve"> are described in the CER (Attachment 2)</w:t>
      </w:r>
      <w:r w:rsidR="00B100BF" w:rsidRPr="006A5B9B">
        <w:t>.</w:t>
      </w:r>
      <w:r w:rsidR="005F7FE0" w:rsidRPr="006A5B9B">
        <w:t xml:space="preserve"> </w:t>
      </w:r>
      <w:r w:rsidRPr="006A5B9B">
        <w:t xml:space="preserve">97 to </w:t>
      </w:r>
      <w:r w:rsidR="00B100BF" w:rsidRPr="006A5B9B">
        <w:t>98</w:t>
      </w:r>
      <w:r w:rsidR="000403F6">
        <w:t>%</w:t>
      </w:r>
      <w:r w:rsidR="00B100BF" w:rsidRPr="006A5B9B">
        <w:t xml:space="preserve"> of patients had breast cancer and in 16</w:t>
      </w:r>
      <w:r w:rsidR="000403F6">
        <w:t>%</w:t>
      </w:r>
      <w:r w:rsidR="00B100BF" w:rsidRPr="006A5B9B">
        <w:t xml:space="preserve"> cancer was metastatic.</w:t>
      </w:r>
      <w:r w:rsidR="005F7FE0" w:rsidRPr="006A5B9B">
        <w:t xml:space="preserve"> </w:t>
      </w:r>
      <w:r w:rsidR="00B100BF" w:rsidRPr="006A5B9B">
        <w:t>Almost all patients received</w:t>
      </w:r>
      <w:r w:rsidR="00F51E23">
        <w:t xml:space="preserve"> cyclophosphamide; in about two </w:t>
      </w:r>
      <w:r w:rsidR="00B100BF" w:rsidRPr="006A5B9B">
        <w:t>thirds, do</w:t>
      </w:r>
      <w:r w:rsidR="00F51E23">
        <w:t xml:space="preserve">xorubicin was given, and in one </w:t>
      </w:r>
      <w:r w:rsidR="00B100BF" w:rsidRPr="006A5B9B">
        <w:t xml:space="preserve">third, </w:t>
      </w:r>
      <w:proofErr w:type="spellStart"/>
      <w:r w:rsidR="00B100BF" w:rsidRPr="006A5B9B">
        <w:t>epirubicin</w:t>
      </w:r>
      <w:proofErr w:type="spellEnd"/>
      <w:r w:rsidR="00B100BF" w:rsidRPr="006A5B9B">
        <w:t>.</w:t>
      </w:r>
    </w:p>
    <w:p w:rsidR="00B100BF" w:rsidRPr="006A5B9B" w:rsidRDefault="00B100BF" w:rsidP="006A5B9B">
      <w:r w:rsidRPr="006A5B9B">
        <w:t>The percent</w:t>
      </w:r>
      <w:r w:rsidR="00CC7F2C" w:rsidRPr="006A5B9B">
        <w:t xml:space="preserve">age of patients with CR over 25 to </w:t>
      </w:r>
      <w:r w:rsidRPr="006A5B9B">
        <w:t>120</w:t>
      </w:r>
      <w:r w:rsidR="009B02FF">
        <w:t xml:space="preserve"> hours </w:t>
      </w:r>
      <w:r w:rsidRPr="006A5B9B">
        <w:t>after start of MEC in</w:t>
      </w:r>
      <w:r w:rsidR="005F7FE0" w:rsidRPr="006A5B9B">
        <w:t xml:space="preserve"> Cycle 1</w:t>
      </w:r>
      <w:r w:rsidRPr="006A5B9B">
        <w:t xml:space="preserve"> was 76.9</w:t>
      </w:r>
      <w:r w:rsidR="000403F6">
        <w:t>%</w:t>
      </w:r>
      <w:r w:rsidRPr="006A5B9B">
        <w:t xml:space="preserve"> (FDC) </w:t>
      </w:r>
      <w:r w:rsidR="0067312A" w:rsidRPr="006A5B9B">
        <w:t>versus</w:t>
      </w:r>
      <w:r w:rsidRPr="006A5B9B">
        <w:t xml:space="preserve"> 69.5</w:t>
      </w:r>
      <w:r w:rsidR="000403F6">
        <w:t>%</w:t>
      </w:r>
      <w:r w:rsidRPr="006A5B9B">
        <w:t xml:space="preserve"> (palonosetron); </w:t>
      </w:r>
      <w:r w:rsidR="00027344">
        <w:t xml:space="preserve">p = </w:t>
      </w:r>
      <w:r w:rsidRPr="006A5B9B">
        <w:t>0.001.</w:t>
      </w:r>
      <w:r w:rsidR="005F7FE0" w:rsidRPr="006A5B9B">
        <w:t xml:space="preserve"> </w:t>
      </w:r>
      <w:r w:rsidRPr="006A5B9B">
        <w:t>The odds ratio in favour of FDC was 1.48 (95</w:t>
      </w:r>
      <w:r w:rsidR="000403F6">
        <w:t>%</w:t>
      </w:r>
      <w:r w:rsidRPr="006A5B9B">
        <w:t xml:space="preserve"> CI 1.16 to 1.87).</w:t>
      </w:r>
    </w:p>
    <w:p w:rsidR="00B100BF" w:rsidRPr="006A5B9B" w:rsidRDefault="00B100BF" w:rsidP="006A5B9B">
      <w:r w:rsidRPr="006A5B9B">
        <w:lastRenderedPageBreak/>
        <w:t xml:space="preserve">Results of key secondary endpoints are discussed </w:t>
      </w:r>
      <w:r w:rsidR="00CC7F2C" w:rsidRPr="006A5B9B">
        <w:t xml:space="preserve">in </w:t>
      </w:r>
      <w:r w:rsidRPr="006A5B9B">
        <w:t>the CER</w:t>
      </w:r>
      <w:r w:rsidR="00CC7F2C" w:rsidRPr="006A5B9B">
        <w:t xml:space="preserve"> (Attachment 2)</w:t>
      </w:r>
      <w:r w:rsidRPr="006A5B9B">
        <w:t>.</w:t>
      </w:r>
      <w:r w:rsidR="005F7FE0" w:rsidRPr="006A5B9B">
        <w:t xml:space="preserve"> </w:t>
      </w:r>
      <w:r w:rsidRPr="006A5B9B">
        <w:t>Efficacy in suppression of nausea (distinct from vomiting) was adequately investigated (</w:t>
      </w:r>
      <w:r w:rsidR="004B70D8" w:rsidRPr="006A5B9B">
        <w:t>for example,</w:t>
      </w:r>
      <w:r w:rsidRPr="006A5B9B">
        <w:t xml:space="preserve"> within composite endpoints such as ‘complete protection’ or ‘total protection’).</w:t>
      </w:r>
    </w:p>
    <w:p w:rsidR="00B100BF" w:rsidRPr="006A5B9B" w:rsidRDefault="00B100BF" w:rsidP="006A5B9B">
      <w:r w:rsidRPr="006A5B9B">
        <w:t>There was a slight advantage of the FDC in prevention of acute phase CINV (CR 88.4</w:t>
      </w:r>
      <w:r w:rsidR="000403F6">
        <w:t>%</w:t>
      </w:r>
      <w:r w:rsidRPr="006A5B9B">
        <w:t xml:space="preserve"> </w:t>
      </w:r>
      <w:r w:rsidR="0067312A" w:rsidRPr="006A5B9B">
        <w:t>versus</w:t>
      </w:r>
      <w:r w:rsidRPr="006A5B9B">
        <w:t xml:space="preserve"> 85.0</w:t>
      </w:r>
      <w:r w:rsidR="000403F6">
        <w:t>%</w:t>
      </w:r>
      <w:r w:rsidRPr="006A5B9B">
        <w:t>), though the statistical significance of this effect was not evident in per protocol analysis.</w:t>
      </w:r>
      <w:r w:rsidR="005F7FE0" w:rsidRPr="006A5B9B">
        <w:t xml:space="preserve"> </w:t>
      </w:r>
      <w:r w:rsidRPr="006A5B9B">
        <w:t xml:space="preserve">The number needed to treat to prevent </w:t>
      </w:r>
      <w:r w:rsidR="00F51E23">
        <w:t>one</w:t>
      </w:r>
      <w:r w:rsidRPr="006A5B9B">
        <w:t xml:space="preserve"> additional case of acute CINV, relative to the control arm, approaches 30.</w:t>
      </w:r>
    </w:p>
    <w:p w:rsidR="00B100BF" w:rsidRPr="006A5B9B" w:rsidRDefault="00B100BF" w:rsidP="006A5B9B">
      <w:r w:rsidRPr="006A5B9B">
        <w:t>There was some suggestion that most efficacy beyond that of palonosetron</w:t>
      </w:r>
      <w:r w:rsidR="00CC7F2C" w:rsidRPr="006A5B9B">
        <w:t xml:space="preserve"> was seen in younger patients</w:t>
      </w:r>
      <w:r w:rsidRPr="006A5B9B">
        <w:t>.</w:t>
      </w:r>
      <w:r w:rsidR="005F7FE0" w:rsidRPr="006A5B9B">
        <w:t xml:space="preserve"> </w:t>
      </w:r>
      <w:r w:rsidRPr="006A5B9B">
        <w:t>This is despite moderate signals from PK studies that exposure is higher for both netupitant and palonosetron in older subjects.</w:t>
      </w:r>
    </w:p>
    <w:p w:rsidR="00B100BF" w:rsidRPr="004021C4" w:rsidRDefault="00B100BF" w:rsidP="006A5B9B">
      <w:pPr>
        <w:pStyle w:val="Heading6"/>
      </w:pPr>
      <w:r w:rsidRPr="004021C4">
        <w:t>Discussion of dexamethasone exposure as a confounder</w:t>
      </w:r>
    </w:p>
    <w:p w:rsidR="00B100BF" w:rsidRPr="00A154D7" w:rsidRDefault="00B100BF" w:rsidP="008F1AE9">
      <w:pPr>
        <w:spacing w:beforeLines="60" w:before="144" w:after="60" w:line="240" w:lineRule="auto"/>
      </w:pPr>
      <w:r w:rsidRPr="00A154D7">
        <w:t>The overall impression is that efficacy of the FDC is modestly improved over that of oral palonosetron, and that most of the improvement is in prevention of delayed phase CINV (but even here, the effect size relative to palonosetron was not great).</w:t>
      </w:r>
    </w:p>
    <w:p w:rsidR="00B100BF" w:rsidRPr="00A154D7" w:rsidRDefault="00B100BF" w:rsidP="008F1AE9">
      <w:pPr>
        <w:spacing w:beforeLines="60" w:before="144" w:afterLines="60" w:after="144" w:line="240" w:lineRule="auto"/>
      </w:pPr>
      <w:r w:rsidRPr="00A154D7">
        <w:t xml:space="preserve">Dexamethasone exposure in the FDC arm (where patients were given 12 mg) may in fact </w:t>
      </w:r>
      <w:r w:rsidRPr="00CC7F2C">
        <w:t>be higher tha</w:t>
      </w:r>
      <w:r w:rsidRPr="00A154D7">
        <w:t>n in the palonosetron arm (where patients were given 20 mg).</w:t>
      </w:r>
    </w:p>
    <w:p w:rsidR="00B100BF" w:rsidRPr="00A154D7" w:rsidRDefault="00B100BF" w:rsidP="008F1AE9">
      <w:pPr>
        <w:spacing w:beforeLines="60" w:before="144" w:afterLines="60" w:after="144" w:line="240" w:lineRule="auto"/>
      </w:pPr>
      <w:r w:rsidRPr="00A154D7">
        <w:t>Patients on 12 mg dexamethasone receiving netupitant would have about twice as high a trough concentration of dexamethasone as patients on 20 mg not receiving netupitant.</w:t>
      </w:r>
    </w:p>
    <w:p w:rsidR="00B100BF" w:rsidRPr="00A154D7" w:rsidRDefault="00B100BF" w:rsidP="008F1AE9">
      <w:pPr>
        <w:spacing w:beforeLines="60" w:before="144" w:afterLines="60" w:after="144" w:line="240" w:lineRule="auto"/>
      </w:pPr>
      <w:r w:rsidRPr="00A154D7">
        <w:t xml:space="preserve">If </w:t>
      </w:r>
      <w:proofErr w:type="spellStart"/>
      <w:r w:rsidRPr="00A154D7">
        <w:t>C</w:t>
      </w:r>
      <w:r w:rsidRPr="00A154D7">
        <w:rPr>
          <w:vertAlign w:val="subscript"/>
        </w:rPr>
        <w:t>min</w:t>
      </w:r>
      <w:proofErr w:type="spellEnd"/>
      <w:r w:rsidRPr="00A154D7">
        <w:t xml:space="preserve"> is correlated with an anti-emetic effect of dexamethasone, this level of increased exposure might, potentially, account for the additive efficacy seen in the FDC arm.</w:t>
      </w:r>
    </w:p>
    <w:p w:rsidR="00B100BF" w:rsidRPr="00A154D7" w:rsidRDefault="00B100BF" w:rsidP="008F1AE9">
      <w:pPr>
        <w:spacing w:beforeLines="60" w:before="144" w:afterLines="60" w:after="144" w:line="240" w:lineRule="auto"/>
      </w:pPr>
      <w:r w:rsidRPr="00A154D7">
        <w:t xml:space="preserve">There is evidence from one study for a </w:t>
      </w:r>
      <w:r w:rsidR="00027344">
        <w:t>dose response</w:t>
      </w:r>
      <w:r w:rsidRPr="00A154D7">
        <w:t xml:space="preserve"> with dexamethasone</w:t>
      </w:r>
      <w:bookmarkStart w:id="150" w:name="_Ref461546332"/>
      <w:r w:rsidR="001E2377">
        <w:t>,</w:t>
      </w:r>
      <w:r w:rsidRPr="00A154D7">
        <w:rPr>
          <w:rStyle w:val="FootnoteReference"/>
        </w:rPr>
        <w:footnoteReference w:id="25"/>
      </w:r>
      <w:bookmarkEnd w:id="150"/>
      <w:r w:rsidRPr="00A154D7">
        <w:t xml:space="preserve"> although the evidence from another is in conflict</w:t>
      </w:r>
      <w:r w:rsidR="00F51E23">
        <w:t>.</w:t>
      </w:r>
      <w:r w:rsidRPr="00A154D7">
        <w:rPr>
          <w:rStyle w:val="FootnoteReference"/>
        </w:rPr>
        <w:footnoteReference w:id="26"/>
      </w:r>
    </w:p>
    <w:p w:rsidR="00B100BF" w:rsidRPr="00A154D7" w:rsidRDefault="00B100BF" w:rsidP="008F1AE9">
      <w:pPr>
        <w:spacing w:beforeLines="60" w:before="144" w:afterLines="60" w:after="144" w:line="240" w:lineRule="auto"/>
      </w:pPr>
      <w:r w:rsidRPr="00A154D7">
        <w:t xml:space="preserve">The </w:t>
      </w:r>
      <w:r w:rsidR="00791AE3">
        <w:t>sponsor’s</w:t>
      </w:r>
      <w:r w:rsidR="00CC7F2C">
        <w:t xml:space="preserve"> population PK/</w:t>
      </w:r>
      <w:r w:rsidRPr="00A154D7">
        <w:t>PD analysis did not consider variation across individuals in exposure to dexamethasone.</w:t>
      </w:r>
    </w:p>
    <w:p w:rsidR="00B100BF" w:rsidRPr="006A5B9B" w:rsidRDefault="00B100BF" w:rsidP="006A5B9B">
      <w:pPr>
        <w:pStyle w:val="Heading6"/>
      </w:pPr>
      <w:r w:rsidRPr="006A5B9B">
        <w:t>Other issues arising from NETU-08-18</w:t>
      </w:r>
    </w:p>
    <w:p w:rsidR="00B100BF" w:rsidRPr="006A5B9B" w:rsidRDefault="00B100BF" w:rsidP="006A5B9B">
      <w:r w:rsidRPr="006A5B9B">
        <w:t>The choice of comparator is not strictly appropriate in Australia, as palonosetron is only registered for IV use here (but in comparable markets oral palonosetron is registered).</w:t>
      </w:r>
      <w:r w:rsidR="005F7FE0" w:rsidRPr="006A5B9B">
        <w:t xml:space="preserve"> </w:t>
      </w:r>
      <w:r w:rsidRPr="006A5B9B">
        <w:t xml:space="preserve">The </w:t>
      </w:r>
      <w:r w:rsidR="00791AE3" w:rsidRPr="006A5B9B">
        <w:t>sponsor</w:t>
      </w:r>
      <w:r w:rsidR="00CC7F2C" w:rsidRPr="006A5B9B">
        <w:t xml:space="preserve"> provided studies</w:t>
      </w:r>
      <w:r w:rsidRPr="006A5B9B">
        <w:t xml:space="preserve"> that aimed to bridge evidence of benefit for parenteral and oral palonosetron.</w:t>
      </w:r>
    </w:p>
    <w:p w:rsidR="00B100BF" w:rsidRPr="006A5B9B" w:rsidRDefault="00B100BF" w:rsidP="006A5B9B">
      <w:r w:rsidRPr="006A5B9B">
        <w:t xml:space="preserve">In updated </w:t>
      </w:r>
      <w:r w:rsidR="00CC7F2C" w:rsidRPr="006A5B9B">
        <w:t>American Society of Clinical Oncology (</w:t>
      </w:r>
      <w:r w:rsidRPr="006A5B9B">
        <w:t>ASCO</w:t>
      </w:r>
      <w:r w:rsidR="00CC7F2C" w:rsidRPr="006A5B9B">
        <w:t>)</w:t>
      </w:r>
      <w:r w:rsidRPr="006A5B9B">
        <w:t xml:space="preserve"> antiemetic guidelines, combined anthracycline and cyclophosphamide regimens have been reclassified as highly emetic</w:t>
      </w:r>
      <w:r w:rsidR="001E2377">
        <w:t>.</w:t>
      </w:r>
      <w:r w:rsidRPr="00F51E23">
        <w:rPr>
          <w:vertAlign w:val="superscript"/>
        </w:rPr>
        <w:footnoteReference w:id="27"/>
      </w:r>
      <w:r w:rsidR="005F7FE0" w:rsidRPr="006A5B9B">
        <w:t xml:space="preserve"> </w:t>
      </w:r>
      <w:r w:rsidRPr="006A5B9B">
        <w:t xml:space="preserve">This approach is endorsed by </w:t>
      </w:r>
      <w:proofErr w:type="spellStart"/>
      <w:r w:rsidRPr="006A5B9B">
        <w:t>EviQ</w:t>
      </w:r>
      <w:proofErr w:type="spellEnd"/>
      <w:r w:rsidR="001E2377">
        <w:t>,</w:t>
      </w:r>
      <w:r w:rsidR="00D75AC9">
        <w:rPr>
          <w:rStyle w:val="FootnoteReference"/>
        </w:rPr>
        <w:footnoteReference w:id="28"/>
      </w:r>
      <w:r w:rsidRPr="006A5B9B">
        <w:t xml:space="preserve"> which states that IV cyclophosphamide with anthracycline in breast cancer is HEC.</w:t>
      </w:r>
    </w:p>
    <w:p w:rsidR="00B100BF" w:rsidRPr="006A5B9B" w:rsidRDefault="00B100BF" w:rsidP="006A5B9B">
      <w:r w:rsidRPr="006A5B9B">
        <w:t xml:space="preserve">There is also a role for the maintenance </w:t>
      </w:r>
      <w:r w:rsidR="00CC7F2C" w:rsidRPr="006A5B9B">
        <w:t>of glucocorticoid dosing after D</w:t>
      </w:r>
      <w:r w:rsidRPr="006A5B9B">
        <w:t>ay 1, but this was not implemented in NETU-08-18.</w:t>
      </w:r>
    </w:p>
    <w:p w:rsidR="00B100BF" w:rsidRPr="006A5B9B" w:rsidRDefault="00B100BF" w:rsidP="006A5B9B">
      <w:r w:rsidRPr="006A5B9B">
        <w:lastRenderedPageBreak/>
        <w:t>Up-to-date</w:t>
      </w:r>
      <w:r w:rsidR="00E5254A">
        <w:fldChar w:fldCharType="begin"/>
      </w:r>
      <w:r w:rsidR="00E5254A">
        <w:instrText xml:space="preserve"> NOTEREF _Ref461546332 \h  \* MERGEFORMAT </w:instrText>
      </w:r>
      <w:r w:rsidR="00E5254A">
        <w:fldChar w:fldCharType="separate"/>
      </w:r>
      <w:r w:rsidR="000C31A3" w:rsidRPr="000C31A3">
        <w:rPr>
          <w:vertAlign w:val="superscript"/>
        </w:rPr>
        <w:t>25</w:t>
      </w:r>
      <w:r w:rsidR="00E5254A">
        <w:fldChar w:fldCharType="end"/>
      </w:r>
      <w:r w:rsidRPr="006A5B9B">
        <w:t xml:space="preserve"> </w:t>
      </w:r>
      <w:r w:rsidR="001E2377" w:rsidRPr="006A5B9B">
        <w:t>describe</w:t>
      </w:r>
      <w:r w:rsidRPr="006A5B9B">
        <w:t xml:space="preserve"> the following</w:t>
      </w:r>
      <w:r w:rsidR="00660F61" w:rsidRPr="006A5B9B">
        <w:t xml:space="preserve"> benefit of com</w:t>
      </w:r>
      <w:r w:rsidR="00BD6934">
        <w:t>bining other NK1 R</w:t>
      </w:r>
      <w:r w:rsidR="00660F61" w:rsidRPr="006A5B9B">
        <w:t xml:space="preserve"> antagonists with a </w:t>
      </w:r>
      <w:r w:rsidR="000C31A3">
        <w:rPr>
          <w:color w:val="000000"/>
          <w:lang w:eastAsia="en-AU"/>
        </w:rPr>
        <w:t>5</w:t>
      </w:r>
      <w:r w:rsidR="000C31A3">
        <w:rPr>
          <w:color w:val="000000"/>
          <w:lang w:eastAsia="en-AU"/>
        </w:rPr>
        <w:noBreakHyphen/>
      </w:r>
      <w:r w:rsidR="000C31A3" w:rsidRPr="004C0905">
        <w:rPr>
          <w:color w:val="000000"/>
          <w:lang w:eastAsia="en-AU"/>
        </w:rPr>
        <w:t>HT</w:t>
      </w:r>
      <w:r w:rsidR="000C31A3" w:rsidRPr="000C31A3">
        <w:rPr>
          <w:color w:val="000000"/>
          <w:vertAlign w:val="subscript"/>
          <w:lang w:eastAsia="en-AU"/>
        </w:rPr>
        <w:t>3</w:t>
      </w:r>
      <w:r w:rsidR="00660F61" w:rsidRPr="006A5B9B">
        <w:t xml:space="preserve"> receptor</w:t>
      </w:r>
      <w:r w:rsidRPr="006A5B9B">
        <w:t xml:space="preserve"> </w:t>
      </w:r>
      <w:r w:rsidR="00660F61" w:rsidRPr="006A5B9B">
        <w:t>(</w:t>
      </w:r>
      <w:r w:rsidR="000C31A3" w:rsidRPr="004C0905">
        <w:rPr>
          <w:color w:val="000000"/>
          <w:lang w:eastAsia="en-AU"/>
        </w:rPr>
        <w:t>5-HT</w:t>
      </w:r>
      <w:r w:rsidR="000C31A3" w:rsidRPr="000C31A3">
        <w:rPr>
          <w:color w:val="000000"/>
          <w:vertAlign w:val="subscript"/>
          <w:lang w:eastAsia="en-AU"/>
        </w:rPr>
        <w:t>3</w:t>
      </w:r>
      <w:r w:rsidR="00660F61" w:rsidRPr="006A5B9B">
        <w:t xml:space="preserve">R) </w:t>
      </w:r>
      <w:r w:rsidRPr="006A5B9B">
        <w:t>antagonist plus a glucocorticoid:</w:t>
      </w:r>
    </w:p>
    <w:p w:rsidR="00B100BF" w:rsidRPr="00D75AC9" w:rsidRDefault="001E2377" w:rsidP="006A5B9B">
      <w:pPr>
        <w:ind w:left="720"/>
      </w:pPr>
      <w:r>
        <w:t>Efficacy;</w:t>
      </w:r>
      <w:r w:rsidR="00B100BF" w:rsidRPr="00D75AC9">
        <w:t xml:space="preserve"> </w:t>
      </w:r>
      <w:r w:rsidR="00BD6934">
        <w:t>The benefit of combining an NK1 R</w:t>
      </w:r>
      <w:r w:rsidR="00B100BF" w:rsidRPr="00D75AC9">
        <w:t xml:space="preserve"> antagonist (</w:t>
      </w:r>
      <w:proofErr w:type="spellStart"/>
      <w:r w:rsidR="00580991">
        <w:fldChar w:fldCharType="begin"/>
      </w:r>
      <w:r w:rsidR="00580991">
        <w:instrText xml:space="preserve"> HYPERLINK "http://www.uptodate.com/contents/aprepitant-drug-information?source=see_link" </w:instrText>
      </w:r>
      <w:r w:rsidR="00580991">
        <w:fldChar w:fldCharType="separate"/>
      </w:r>
      <w:r w:rsidR="00B100BF" w:rsidRPr="00D75AC9">
        <w:rPr>
          <w:rStyle w:val="Hyperlink"/>
          <w:color w:val="auto"/>
          <w:u w:val="none"/>
        </w:rPr>
        <w:t>aprepitant</w:t>
      </w:r>
      <w:proofErr w:type="spellEnd"/>
      <w:r w:rsidR="00580991">
        <w:rPr>
          <w:rStyle w:val="Hyperlink"/>
          <w:color w:val="auto"/>
          <w:u w:val="none"/>
        </w:rPr>
        <w:fldChar w:fldCharType="end"/>
      </w:r>
      <w:r w:rsidR="00B100BF" w:rsidRPr="00D75AC9">
        <w:t xml:space="preserve">, </w:t>
      </w:r>
      <w:hyperlink r:id="rId19" w:history="1">
        <w:proofErr w:type="spellStart"/>
        <w:r w:rsidR="00B100BF" w:rsidRPr="00D75AC9">
          <w:rPr>
            <w:rStyle w:val="Hyperlink"/>
            <w:color w:val="auto"/>
            <w:u w:val="none"/>
          </w:rPr>
          <w:t>fosaprepitant</w:t>
        </w:r>
        <w:proofErr w:type="spellEnd"/>
      </w:hyperlink>
      <w:r w:rsidR="00BD6934">
        <w:t xml:space="preserve">, or </w:t>
      </w:r>
      <w:proofErr w:type="spellStart"/>
      <w:r w:rsidR="00BD6934">
        <w:t>casopitant</w:t>
      </w:r>
      <w:proofErr w:type="spellEnd"/>
      <w:r w:rsidR="00BD6934">
        <w:t xml:space="preserve">) with an </w:t>
      </w:r>
      <w:r w:rsidR="000C31A3" w:rsidRPr="004C0905">
        <w:rPr>
          <w:color w:val="000000"/>
          <w:lang w:eastAsia="en-AU"/>
        </w:rPr>
        <w:t>5-HT</w:t>
      </w:r>
      <w:r w:rsidR="000C31A3" w:rsidRPr="000C31A3">
        <w:rPr>
          <w:color w:val="000000"/>
          <w:vertAlign w:val="subscript"/>
          <w:lang w:eastAsia="en-AU"/>
        </w:rPr>
        <w:t>3</w:t>
      </w:r>
      <w:r w:rsidR="00BD6934">
        <w:t xml:space="preserve"> receptor</w:t>
      </w:r>
      <w:r w:rsidR="003802E6">
        <w:t xml:space="preserve"> </w:t>
      </w:r>
      <w:r w:rsidR="00B100BF" w:rsidRPr="00D75AC9">
        <w:t xml:space="preserve">antagonist plus a glucocorticoid for the prevention of acute CINV was addressed in a meta-analysis of 17 trials, </w:t>
      </w:r>
      <w:proofErr w:type="spellStart"/>
      <w:r w:rsidR="00B100BF" w:rsidRPr="00D75AC9">
        <w:t>totaling</w:t>
      </w:r>
      <w:proofErr w:type="spellEnd"/>
      <w:r w:rsidR="00B100BF" w:rsidRPr="00D75AC9">
        <w:t xml:space="preserve"> 8740 patients who were receiving highly or mode</w:t>
      </w:r>
      <w:r w:rsidR="00D75AC9" w:rsidRPr="00D75AC9">
        <w:t>rately emetogenic chemotherapy</w:t>
      </w:r>
      <w:r w:rsidR="00BD6934">
        <w:t>. The addition of a NK1 R</w:t>
      </w:r>
      <w:r w:rsidR="00B100BF" w:rsidRPr="00D75AC9">
        <w:t xml:space="preserve"> antagonist to standard antiemetic therapy significantly improved the rate of complete response (CR, absence of emesis and no need for rescue </w:t>
      </w:r>
      <w:proofErr w:type="spellStart"/>
      <w:r w:rsidR="00B100BF" w:rsidRPr="00D75AC9">
        <w:t>antiemetics</w:t>
      </w:r>
      <w:proofErr w:type="spellEnd"/>
      <w:r w:rsidR="00B100BF" w:rsidRPr="00D75AC9">
        <w:t>) in both the overall phase (during the first 120</w:t>
      </w:r>
      <w:r w:rsidR="009B02FF" w:rsidRPr="00D75AC9">
        <w:t xml:space="preserve"> hours </w:t>
      </w:r>
      <w:r w:rsidR="00B100BF" w:rsidRPr="00D75AC9">
        <w:t>of chemotherapy, 72 versus 54 percent, odds ratio [OR] 0.51, 95</w:t>
      </w:r>
      <w:r w:rsidR="000403F6" w:rsidRPr="00D75AC9">
        <w:t>%</w:t>
      </w:r>
      <w:r w:rsidR="00B100BF" w:rsidRPr="00D75AC9">
        <w:t xml:space="preserve"> CI 0.46-0.57) and in the acute (first 24 </w:t>
      </w:r>
      <w:r w:rsidR="004B70D8" w:rsidRPr="00D75AC9">
        <w:t>h</w:t>
      </w:r>
      <w:r w:rsidR="00D75AC9">
        <w:t>ours</w:t>
      </w:r>
      <w:r w:rsidR="00B100BF" w:rsidRPr="00D75AC9">
        <w:t>, OR 0.56, 95</w:t>
      </w:r>
      <w:r w:rsidR="000403F6" w:rsidRPr="00D75AC9">
        <w:t>%</w:t>
      </w:r>
      <w:r w:rsidR="00B100BF" w:rsidRPr="00D75AC9">
        <w:t xml:space="preserve"> CI 0.48-0.65) as well as delayed phase (OR 0.48, 95</w:t>
      </w:r>
      <w:r w:rsidR="000403F6" w:rsidRPr="00D75AC9">
        <w:t>%</w:t>
      </w:r>
      <w:r w:rsidR="00B100BF" w:rsidRPr="00D75AC9">
        <w:t xml:space="preserve"> CI 0.42-0.56).</w:t>
      </w:r>
    </w:p>
    <w:p w:rsidR="00B100BF" w:rsidRPr="006A5B9B" w:rsidRDefault="00B100BF" w:rsidP="006A5B9B">
      <w:r w:rsidRPr="006A5B9B">
        <w:t>CR in the overall phase in NETU-08-18 was 74.3</w:t>
      </w:r>
      <w:r w:rsidR="000403F6">
        <w:t>%</w:t>
      </w:r>
      <w:r w:rsidRPr="006A5B9B">
        <w:t xml:space="preserve"> (FDC) </w:t>
      </w:r>
      <w:r w:rsidR="0067312A" w:rsidRPr="006A5B9B">
        <w:t>versus</w:t>
      </w:r>
      <w:r w:rsidRPr="006A5B9B">
        <w:t xml:space="preserve"> 66.6</w:t>
      </w:r>
      <w:r w:rsidR="000403F6">
        <w:t>%</w:t>
      </w:r>
      <w:r w:rsidRPr="006A5B9B">
        <w:t xml:space="preserve"> (palonosetron arm), and the difference narrowed in the acute phase, so the additive efficacy of netupitant in thi</w:t>
      </w:r>
      <w:r w:rsidR="00CC7F2C" w:rsidRPr="006A5B9B">
        <w:t>s study appears relatively low.</w:t>
      </w:r>
    </w:p>
    <w:p w:rsidR="00B100BF" w:rsidRPr="00A154D7" w:rsidRDefault="00B100BF" w:rsidP="006A5B9B">
      <w:pPr>
        <w:pStyle w:val="Heading5"/>
      </w:pPr>
      <w:r w:rsidRPr="00A154D7">
        <w:t>NETU-07-07</w:t>
      </w:r>
    </w:p>
    <w:p w:rsidR="00B100BF" w:rsidRPr="006A5B9B" w:rsidRDefault="00A72929" w:rsidP="006A5B9B">
      <w:r w:rsidRPr="006A5B9B">
        <w:t>This study</w:t>
      </w:r>
      <w:r w:rsidR="00B100BF" w:rsidRPr="006A5B9B">
        <w:t xml:space="preserve"> was a randomised, </w:t>
      </w:r>
      <w:r w:rsidR="00F51E23">
        <w:t>double blind</w:t>
      </w:r>
      <w:r w:rsidR="00B100BF" w:rsidRPr="006A5B9B">
        <w:t xml:space="preserve">, </w:t>
      </w:r>
      <w:r w:rsidR="003818B7">
        <w:t>double dummy</w:t>
      </w:r>
      <w:r w:rsidR="00B100BF" w:rsidRPr="006A5B9B">
        <w:t xml:space="preserve"> study of different doses of netupitant or placebo, given with palonosetron and dexamethasone, to prevent CINV in patients receiving HEC.</w:t>
      </w:r>
      <w:r w:rsidR="005F7FE0" w:rsidRPr="006A5B9B">
        <w:t xml:space="preserve"> </w:t>
      </w:r>
      <w:r w:rsidR="00B100BF" w:rsidRPr="006A5B9B">
        <w:t>There was also an active comparator arm, included for ‘exploratory purposes’.</w:t>
      </w:r>
      <w:r w:rsidR="005F7FE0" w:rsidRPr="006A5B9B">
        <w:t xml:space="preserve"> </w:t>
      </w:r>
      <w:r w:rsidR="00B100BF" w:rsidRPr="006A5B9B">
        <w:t xml:space="preserve">Patients were randomised 1:1:1:1:1 into five arms, with the following interventions (oral unless specified; and FDC formulations were not used, </w:t>
      </w:r>
      <w:r w:rsidR="00027344">
        <w:t>that is</w:t>
      </w:r>
      <w:r w:rsidR="00B100BF" w:rsidRPr="006A5B9B">
        <w:t xml:space="preserve"> separate ta</w:t>
      </w:r>
      <w:r w:rsidR="00D75AC9">
        <w:t>blets were given concomitantly).</w:t>
      </w:r>
    </w:p>
    <w:p w:rsidR="00A72929" w:rsidRPr="00A154D7" w:rsidRDefault="00F5364C" w:rsidP="00F5364C">
      <w:pPr>
        <w:pStyle w:val="TableTitle"/>
        <w:tabs>
          <w:tab w:val="center" w:pos="4252"/>
        </w:tabs>
      </w:pPr>
      <w:proofErr w:type="gramStart"/>
      <w:r>
        <w:t>Table 12</w:t>
      </w:r>
      <w:r w:rsidR="00D75AC9">
        <w:t>.</w:t>
      </w:r>
      <w:proofErr w:type="gramEnd"/>
      <w:r w:rsidR="00D75AC9">
        <w:t xml:space="preserve"> Study d</w:t>
      </w:r>
      <w:r w:rsidR="00A72929">
        <w:t>esign</w:t>
      </w:r>
      <w:r w:rsidR="00D75AC9">
        <w:t xml:space="preserve"> </w:t>
      </w:r>
      <w:r w:rsidR="00D75AC9" w:rsidRPr="00A154D7">
        <w:t>NETU-07-07</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57"/>
        <w:gridCol w:w="2526"/>
        <w:gridCol w:w="2186"/>
        <w:gridCol w:w="2994"/>
      </w:tblGrid>
      <w:tr w:rsidR="00424B91" w:rsidRPr="00F93A87" w:rsidTr="001E2377">
        <w:trPr>
          <w:trHeight w:val="466"/>
          <w:tblHeader/>
        </w:trPr>
        <w:tc>
          <w:tcPr>
            <w:tcW w:w="640" w:type="dxa"/>
            <w:tcBorders>
              <w:top w:val="single" w:sz="8" w:space="0" w:color="000000"/>
              <w:left w:val="single" w:sz="8" w:space="0" w:color="000000"/>
              <w:bottom w:val="single" w:sz="8" w:space="0" w:color="000000"/>
              <w:right w:val="nil"/>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Arm</w:t>
            </w:r>
          </w:p>
        </w:tc>
        <w:tc>
          <w:tcPr>
            <w:tcW w:w="2526" w:type="dxa"/>
            <w:tcBorders>
              <w:top w:val="single" w:sz="8" w:space="0" w:color="000000"/>
              <w:left w:val="nil"/>
              <w:bottom w:val="single" w:sz="8" w:space="0" w:color="000000"/>
              <w:right w:val="nil"/>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NK1R antagonist</w:t>
            </w:r>
          </w:p>
        </w:tc>
        <w:tc>
          <w:tcPr>
            <w:tcW w:w="2186" w:type="dxa"/>
            <w:tcBorders>
              <w:top w:val="single" w:sz="8" w:space="0" w:color="000000"/>
              <w:left w:val="nil"/>
              <w:bottom w:val="single" w:sz="8" w:space="0" w:color="000000"/>
              <w:right w:val="nil"/>
              <w:tl2br w:val="nil"/>
              <w:tr2bl w:val="nil"/>
            </w:tcBorders>
            <w:shd w:val="clear" w:color="auto" w:fill="006DA7"/>
            <w:hideMark/>
          </w:tcPr>
          <w:p w:rsidR="00B100BF" w:rsidRPr="00F93A87" w:rsidRDefault="000C31A3" w:rsidP="004C0905">
            <w:pPr>
              <w:keepNext/>
              <w:spacing w:line="240" w:lineRule="auto"/>
              <w:rPr>
                <w:b/>
                <w:color w:val="FFFFFF" w:themeColor="background1"/>
                <w:lang w:eastAsia="en-AU"/>
              </w:rPr>
            </w:pPr>
            <w:r w:rsidRPr="00F93A87">
              <w:rPr>
                <w:color w:val="FFFFFF" w:themeColor="background1"/>
                <w:lang w:eastAsia="en-AU"/>
              </w:rPr>
              <w:t>5-HT</w:t>
            </w:r>
            <w:r w:rsidRPr="00F93A87">
              <w:rPr>
                <w:color w:val="FFFFFF" w:themeColor="background1"/>
                <w:vertAlign w:val="subscript"/>
                <w:lang w:eastAsia="en-AU"/>
              </w:rPr>
              <w:t>3</w:t>
            </w:r>
            <w:r w:rsidR="00B100BF" w:rsidRPr="00F93A87">
              <w:rPr>
                <w:b/>
                <w:color w:val="FFFFFF" w:themeColor="background1"/>
                <w:lang w:eastAsia="en-AU"/>
              </w:rPr>
              <w:t>R antagonist</w:t>
            </w:r>
          </w:p>
        </w:tc>
        <w:tc>
          <w:tcPr>
            <w:tcW w:w="2994" w:type="dxa"/>
            <w:tcBorders>
              <w:top w:val="single" w:sz="8" w:space="0" w:color="000000"/>
              <w:left w:val="nil"/>
              <w:bottom w:val="single" w:sz="8" w:space="0" w:color="000000"/>
              <w:right w:val="single" w:sz="8" w:space="0" w:color="000000"/>
              <w:tl2br w:val="nil"/>
              <w:tr2bl w:val="nil"/>
            </w:tcBorders>
            <w:shd w:val="clear" w:color="auto" w:fill="006DA7"/>
            <w:hideMark/>
          </w:tcPr>
          <w:p w:rsidR="00B100BF" w:rsidRPr="00F93A87" w:rsidRDefault="00B100BF" w:rsidP="004C0905">
            <w:pPr>
              <w:keepNext/>
              <w:spacing w:line="240" w:lineRule="auto"/>
              <w:rPr>
                <w:b/>
                <w:color w:val="FFFFFF"/>
                <w:lang w:eastAsia="en-AU"/>
              </w:rPr>
            </w:pPr>
            <w:r w:rsidRPr="00F93A87">
              <w:rPr>
                <w:b/>
                <w:color w:val="FFFFFF"/>
                <w:lang w:eastAsia="en-AU"/>
              </w:rPr>
              <w:t>Dexamethasone</w:t>
            </w:r>
          </w:p>
        </w:tc>
      </w:tr>
      <w:tr w:rsidR="00424B91" w:rsidRPr="00F93A87" w:rsidTr="001E2377">
        <w:trPr>
          <w:trHeight w:val="688"/>
        </w:trPr>
        <w:tc>
          <w:tcPr>
            <w:tcW w:w="640"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1</w:t>
            </w:r>
          </w:p>
        </w:tc>
        <w:tc>
          <w:tcPr>
            <w:tcW w:w="2526"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nil (placebo arm)</w:t>
            </w:r>
          </w:p>
        </w:tc>
        <w:tc>
          <w:tcPr>
            <w:tcW w:w="218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palonosetron 0.5 mg, D</w:t>
            </w:r>
            <w:r w:rsidR="00B100BF" w:rsidRPr="00F93A87">
              <w:rPr>
                <w:color w:val="000000"/>
                <w:lang w:eastAsia="en-AU"/>
              </w:rPr>
              <w:t>ay 1</w:t>
            </w:r>
          </w:p>
        </w:tc>
        <w:tc>
          <w:tcPr>
            <w:tcW w:w="2994"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20 mg</w:t>
            </w:r>
            <w:r w:rsidR="00A72929" w:rsidRPr="00F93A87">
              <w:rPr>
                <w:color w:val="000000"/>
                <w:lang w:eastAsia="en-AU"/>
              </w:rPr>
              <w:t xml:space="preserve"> on D</w:t>
            </w:r>
            <w:r w:rsidR="00D75AC9" w:rsidRPr="00F93A87">
              <w:rPr>
                <w:color w:val="000000"/>
                <w:lang w:eastAsia="en-AU"/>
              </w:rPr>
              <w:t xml:space="preserve">ay 1, 8 mg BD on Days 2 to </w:t>
            </w:r>
            <w:r w:rsidRPr="00F93A87">
              <w:rPr>
                <w:color w:val="000000"/>
                <w:lang w:eastAsia="en-AU"/>
              </w:rPr>
              <w:t>4</w:t>
            </w:r>
          </w:p>
        </w:tc>
      </w:tr>
      <w:tr w:rsidR="00424B91" w:rsidRPr="00F93A87" w:rsidTr="001E2377">
        <w:trPr>
          <w:trHeight w:val="699"/>
        </w:trPr>
        <w:tc>
          <w:tcPr>
            <w:tcW w:w="640"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2</w:t>
            </w:r>
          </w:p>
        </w:tc>
        <w:tc>
          <w:tcPr>
            <w:tcW w:w="252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netupitant 100 mg, D</w:t>
            </w:r>
            <w:r w:rsidR="00B100BF" w:rsidRPr="00F93A87">
              <w:rPr>
                <w:color w:val="000000"/>
                <w:lang w:eastAsia="en-AU"/>
              </w:rPr>
              <w:t>ay 1</w:t>
            </w:r>
          </w:p>
        </w:tc>
        <w:tc>
          <w:tcPr>
            <w:tcW w:w="218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palonosetron 0.5 mg, D</w:t>
            </w:r>
            <w:r w:rsidR="00B100BF" w:rsidRPr="00F93A87">
              <w:rPr>
                <w:color w:val="000000"/>
                <w:lang w:eastAsia="en-AU"/>
              </w:rPr>
              <w:t>ay 1</w:t>
            </w:r>
          </w:p>
        </w:tc>
        <w:tc>
          <w:tcPr>
            <w:tcW w:w="2994"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12 mg on day 1, 8 mg daily on D</w:t>
            </w:r>
            <w:r w:rsidR="00D75AC9" w:rsidRPr="00F93A87">
              <w:rPr>
                <w:color w:val="000000"/>
                <w:lang w:eastAsia="en-AU"/>
              </w:rPr>
              <w:t xml:space="preserve">ays 2 to </w:t>
            </w:r>
            <w:r w:rsidR="00B100BF" w:rsidRPr="00F93A87">
              <w:rPr>
                <w:color w:val="000000"/>
                <w:lang w:eastAsia="en-AU"/>
              </w:rPr>
              <w:t>4</w:t>
            </w:r>
          </w:p>
        </w:tc>
      </w:tr>
      <w:tr w:rsidR="00424B91" w:rsidRPr="00F93A87" w:rsidTr="001E2377">
        <w:trPr>
          <w:trHeight w:val="688"/>
        </w:trPr>
        <w:tc>
          <w:tcPr>
            <w:tcW w:w="640"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3</w:t>
            </w:r>
          </w:p>
        </w:tc>
        <w:tc>
          <w:tcPr>
            <w:tcW w:w="252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netupitant 200 mg, D</w:t>
            </w:r>
            <w:r w:rsidR="00B100BF" w:rsidRPr="00F93A87">
              <w:rPr>
                <w:color w:val="000000"/>
                <w:lang w:eastAsia="en-AU"/>
              </w:rPr>
              <w:t>ay 1</w:t>
            </w:r>
          </w:p>
        </w:tc>
        <w:tc>
          <w:tcPr>
            <w:tcW w:w="218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palonosetron 0.5 mg, D</w:t>
            </w:r>
            <w:r w:rsidR="00B100BF" w:rsidRPr="00F93A87">
              <w:rPr>
                <w:color w:val="000000"/>
                <w:lang w:eastAsia="en-AU"/>
              </w:rPr>
              <w:t>ay 1</w:t>
            </w:r>
          </w:p>
        </w:tc>
        <w:tc>
          <w:tcPr>
            <w:tcW w:w="2994"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 xml:space="preserve">12 mg on day 1, </w:t>
            </w:r>
            <w:r w:rsidR="00A72929" w:rsidRPr="00F93A87">
              <w:rPr>
                <w:color w:val="000000"/>
                <w:lang w:eastAsia="en-AU"/>
              </w:rPr>
              <w:t>8 mg daily on D</w:t>
            </w:r>
            <w:r w:rsidR="00D75AC9" w:rsidRPr="00F93A87">
              <w:rPr>
                <w:color w:val="000000"/>
                <w:lang w:eastAsia="en-AU"/>
              </w:rPr>
              <w:t xml:space="preserve">ays 2 to </w:t>
            </w:r>
            <w:r w:rsidRPr="00F93A87">
              <w:rPr>
                <w:color w:val="000000"/>
                <w:lang w:eastAsia="en-AU"/>
              </w:rPr>
              <w:t>4</w:t>
            </w:r>
          </w:p>
        </w:tc>
      </w:tr>
      <w:tr w:rsidR="00424B91" w:rsidRPr="00F93A87" w:rsidTr="001E2377">
        <w:trPr>
          <w:trHeight w:val="688"/>
        </w:trPr>
        <w:tc>
          <w:tcPr>
            <w:tcW w:w="640"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4</w:t>
            </w:r>
          </w:p>
        </w:tc>
        <w:tc>
          <w:tcPr>
            <w:tcW w:w="252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netupitant 300 mg, D</w:t>
            </w:r>
            <w:r w:rsidR="00B100BF" w:rsidRPr="00F93A87">
              <w:rPr>
                <w:color w:val="000000"/>
                <w:lang w:eastAsia="en-AU"/>
              </w:rPr>
              <w:t>ay 1</w:t>
            </w:r>
          </w:p>
        </w:tc>
        <w:tc>
          <w:tcPr>
            <w:tcW w:w="2186"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palonosetron 0.5 mg, D</w:t>
            </w:r>
            <w:r w:rsidR="00B100BF" w:rsidRPr="00F93A87">
              <w:rPr>
                <w:color w:val="000000"/>
                <w:lang w:eastAsia="en-AU"/>
              </w:rPr>
              <w:t>ay 1</w:t>
            </w:r>
          </w:p>
        </w:tc>
        <w:tc>
          <w:tcPr>
            <w:tcW w:w="2994"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12 mg on day 1, 8 mg daily on D</w:t>
            </w:r>
            <w:r w:rsidR="00D75AC9" w:rsidRPr="00F93A87">
              <w:rPr>
                <w:color w:val="000000"/>
                <w:lang w:eastAsia="en-AU"/>
              </w:rPr>
              <w:t xml:space="preserve">ays 2 to </w:t>
            </w:r>
            <w:r w:rsidR="00B100BF" w:rsidRPr="00F93A87">
              <w:rPr>
                <w:color w:val="000000"/>
                <w:lang w:eastAsia="en-AU"/>
              </w:rPr>
              <w:t>4</w:t>
            </w:r>
          </w:p>
        </w:tc>
      </w:tr>
      <w:tr w:rsidR="00424B91" w:rsidRPr="00F93A87" w:rsidTr="001E2377">
        <w:trPr>
          <w:trHeight w:val="709"/>
        </w:trPr>
        <w:tc>
          <w:tcPr>
            <w:tcW w:w="640"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5</w:t>
            </w:r>
          </w:p>
        </w:tc>
        <w:tc>
          <w:tcPr>
            <w:tcW w:w="2526"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aprepitant</w:t>
            </w:r>
            <w:r w:rsidR="00A72929" w:rsidRPr="00F93A87">
              <w:rPr>
                <w:color w:val="000000"/>
                <w:lang w:eastAsia="en-AU"/>
              </w:rPr>
              <w:t xml:space="preserve"> 125 mg on day 1, 80 mg on D</w:t>
            </w:r>
            <w:r w:rsidR="00D75AC9" w:rsidRPr="00F93A87">
              <w:rPr>
                <w:color w:val="000000"/>
                <w:lang w:eastAsia="en-AU"/>
              </w:rPr>
              <w:t xml:space="preserve">ays 2 to </w:t>
            </w:r>
            <w:r w:rsidRPr="00F93A87">
              <w:rPr>
                <w:color w:val="000000"/>
                <w:lang w:eastAsia="en-AU"/>
              </w:rPr>
              <w:t>3</w:t>
            </w:r>
          </w:p>
        </w:tc>
        <w:tc>
          <w:tcPr>
            <w:tcW w:w="2186" w:type="dxa"/>
            <w:shd w:val="clear" w:color="auto" w:fill="auto"/>
            <w:hideMark/>
          </w:tcPr>
          <w:p w:rsidR="00B100BF" w:rsidRPr="00F93A87" w:rsidRDefault="00B100BF" w:rsidP="004C0905">
            <w:pPr>
              <w:spacing w:line="240" w:lineRule="auto"/>
              <w:rPr>
                <w:color w:val="000000"/>
                <w:lang w:eastAsia="en-AU"/>
              </w:rPr>
            </w:pPr>
            <w:r w:rsidRPr="00F93A87">
              <w:rPr>
                <w:color w:val="000000"/>
                <w:lang w:eastAsia="en-AU"/>
              </w:rPr>
              <w:t>IV ondansetron</w:t>
            </w:r>
            <w:r w:rsidR="00A72929" w:rsidRPr="00F93A87">
              <w:rPr>
                <w:color w:val="000000"/>
                <w:lang w:eastAsia="en-AU"/>
              </w:rPr>
              <w:t>, 32 mg on D</w:t>
            </w:r>
            <w:r w:rsidRPr="00F93A87">
              <w:rPr>
                <w:color w:val="000000"/>
                <w:lang w:eastAsia="en-AU"/>
              </w:rPr>
              <w:t>ay 1</w:t>
            </w:r>
          </w:p>
        </w:tc>
        <w:tc>
          <w:tcPr>
            <w:tcW w:w="2994" w:type="dxa"/>
            <w:shd w:val="clear" w:color="auto" w:fill="auto"/>
            <w:hideMark/>
          </w:tcPr>
          <w:p w:rsidR="00B100BF" w:rsidRPr="00F93A87" w:rsidRDefault="00A72929" w:rsidP="004C0905">
            <w:pPr>
              <w:spacing w:line="240" w:lineRule="auto"/>
              <w:rPr>
                <w:color w:val="000000"/>
                <w:lang w:eastAsia="en-AU"/>
              </w:rPr>
            </w:pPr>
            <w:r w:rsidRPr="00F93A87">
              <w:rPr>
                <w:color w:val="000000"/>
                <w:lang w:eastAsia="en-AU"/>
              </w:rPr>
              <w:t>12 mg on day 1, 8 mg daily on D</w:t>
            </w:r>
            <w:r w:rsidR="00D75AC9" w:rsidRPr="00F93A87">
              <w:rPr>
                <w:color w:val="000000"/>
                <w:lang w:eastAsia="en-AU"/>
              </w:rPr>
              <w:t xml:space="preserve">ays 2 to </w:t>
            </w:r>
            <w:r w:rsidR="00B100BF" w:rsidRPr="00F93A87">
              <w:rPr>
                <w:color w:val="000000"/>
                <w:lang w:eastAsia="en-AU"/>
              </w:rPr>
              <w:t>4</w:t>
            </w:r>
          </w:p>
        </w:tc>
      </w:tr>
    </w:tbl>
    <w:p w:rsidR="00B100BF" w:rsidRPr="006A5B9B" w:rsidRDefault="00B100BF" w:rsidP="006A5B9B">
      <w:r w:rsidRPr="006A5B9B">
        <w:t xml:space="preserve">The </w:t>
      </w:r>
      <w:r w:rsidR="003818B7">
        <w:t>double dummy</w:t>
      </w:r>
      <w:r w:rsidRPr="006A5B9B">
        <w:t xml:space="preserve"> arrangement extended to using placebo ampoules of </w:t>
      </w:r>
      <w:r w:rsidR="004A5002" w:rsidRPr="006A5B9B">
        <w:t>saline (</w:t>
      </w:r>
      <w:r w:rsidRPr="006A5B9B">
        <w:t>0.9</w:t>
      </w:r>
      <w:r w:rsidR="000403F6">
        <w:t>%</w:t>
      </w:r>
      <w:r w:rsidRPr="006A5B9B">
        <w:t xml:space="preserve"> </w:t>
      </w:r>
      <w:r w:rsidR="004A5002" w:rsidRPr="006A5B9B">
        <w:t xml:space="preserve">sodium chloride </w:t>
      </w:r>
      <w:r w:rsidR="00D75AC9">
        <w:t>(</w:t>
      </w:r>
      <w:proofErr w:type="spellStart"/>
      <w:r w:rsidRPr="006A5B9B">
        <w:t>NaCl</w:t>
      </w:r>
      <w:proofErr w:type="spellEnd"/>
      <w:r w:rsidR="00D75AC9">
        <w:t>)</w:t>
      </w:r>
      <w:r w:rsidR="004A5002" w:rsidRPr="006A5B9B">
        <w:t>)</w:t>
      </w:r>
      <w:r w:rsidRPr="006A5B9B">
        <w:t xml:space="preserve">, for IV infusion (since in </w:t>
      </w:r>
      <w:r w:rsidR="0074709C" w:rsidRPr="006A5B9B">
        <w:t>Arm</w:t>
      </w:r>
      <w:r w:rsidRPr="006A5B9B">
        <w:t xml:space="preserve"> 5, ondansetron was given IV).</w:t>
      </w:r>
    </w:p>
    <w:p w:rsidR="00B100BF" w:rsidRPr="006A5B9B" w:rsidRDefault="00B100BF" w:rsidP="006A5B9B">
      <w:r w:rsidRPr="006A5B9B">
        <w:t>The study was conducted at 44 sites in 2 countries (Russia, Ukraine), from February to November 2008.</w:t>
      </w:r>
      <w:r w:rsidR="005F7FE0" w:rsidRPr="006A5B9B">
        <w:t xml:space="preserve"> </w:t>
      </w:r>
      <w:r w:rsidRPr="006A5B9B">
        <w:t>Alcohol abuse is well-recognised as protective against CINV.</w:t>
      </w:r>
      <w:r w:rsidR="005F7FE0" w:rsidRPr="006A5B9B">
        <w:t xml:space="preserve"> </w:t>
      </w:r>
      <w:r w:rsidRPr="006A5B9B">
        <w:t>Alcohol consumption was recorded a</w:t>
      </w:r>
      <w:r w:rsidR="004A5002" w:rsidRPr="006A5B9B">
        <w:t xml:space="preserve">s a baseline characteristic: 54 to </w:t>
      </w:r>
      <w:r w:rsidRPr="006A5B9B">
        <w:t>59</w:t>
      </w:r>
      <w:r w:rsidR="000403F6">
        <w:t>%</w:t>
      </w:r>
      <w:r w:rsidRPr="006A5B9B">
        <w:t xml:space="preserve"> of subjects repo</w:t>
      </w:r>
      <w:r w:rsidR="004A5002" w:rsidRPr="006A5B9B">
        <w:t xml:space="preserve">rted no alcohol consumption, 34 to </w:t>
      </w:r>
      <w:r w:rsidRPr="006A5B9B">
        <w:t>40</w:t>
      </w:r>
      <w:r w:rsidR="000403F6">
        <w:t>%</w:t>
      </w:r>
      <w:r w:rsidRPr="006A5B9B">
        <w:t xml:space="preserve"> reported</w:t>
      </w:r>
      <w:r w:rsidR="004A5002" w:rsidRPr="006A5B9B">
        <w:t xml:space="preserve"> rare alcohol consumption and 4 to </w:t>
      </w:r>
      <w:r w:rsidRPr="006A5B9B">
        <w:t>8</w:t>
      </w:r>
      <w:r w:rsidR="000403F6">
        <w:t>%</w:t>
      </w:r>
      <w:r w:rsidRPr="006A5B9B">
        <w:t xml:space="preserve"> reported occasional alcohol consumption.</w:t>
      </w:r>
      <w:r w:rsidR="005F7FE0" w:rsidRPr="006A5B9B">
        <w:t xml:space="preserve"> </w:t>
      </w:r>
      <w:r w:rsidRPr="006A5B9B">
        <w:t>Current evidence of alcohol abuse was an exclusion</w:t>
      </w:r>
      <w:r w:rsidR="00D75AC9">
        <w:t xml:space="preserve"> criterion</w:t>
      </w:r>
      <w:r w:rsidRPr="006A5B9B">
        <w:t>.</w:t>
      </w:r>
      <w:r w:rsidR="005F7FE0" w:rsidRPr="006A5B9B">
        <w:t xml:space="preserve"> </w:t>
      </w:r>
      <w:r w:rsidRPr="006A5B9B">
        <w:t>It is possible this exclusion criterion skewed enrolment towards relatively light drinkers.</w:t>
      </w:r>
      <w:r w:rsidR="005F7FE0" w:rsidRPr="006A5B9B">
        <w:t xml:space="preserve"> </w:t>
      </w:r>
      <w:r w:rsidRPr="006A5B9B">
        <w:t>It is also possible that actual alcohol consumption was not well documented.</w:t>
      </w:r>
    </w:p>
    <w:p w:rsidR="00B100BF" w:rsidRPr="006A5B9B" w:rsidRDefault="00B100BF" w:rsidP="006A5B9B">
      <w:r w:rsidRPr="006A5B9B">
        <w:t>Patients w</w:t>
      </w:r>
      <w:r w:rsidR="00D75AC9">
        <w:t xml:space="preserve">ere adult, chemotherapy </w:t>
      </w:r>
      <w:r w:rsidRPr="006A5B9B">
        <w:t>naïve, had a malignant solid tumour and were to receive cisplatin (≥</w:t>
      </w:r>
      <w:r w:rsidR="00D75AC9">
        <w:t xml:space="preserve"> </w:t>
      </w:r>
      <w:r w:rsidRPr="006A5B9B">
        <w:t>50 mg/</w:t>
      </w:r>
      <w:r w:rsidR="00F51E23" w:rsidRPr="00166326">
        <w:t>m</w:t>
      </w:r>
      <w:r w:rsidR="00F51E23" w:rsidRPr="00F51E23">
        <w:rPr>
          <w:vertAlign w:val="superscript"/>
        </w:rPr>
        <w:t>2</w:t>
      </w:r>
      <w:r w:rsidR="00D75AC9">
        <w:t xml:space="preserve"> over 1 to </w:t>
      </w:r>
      <w:r w:rsidRPr="006A5B9B">
        <w:t xml:space="preserve">4 </w:t>
      </w:r>
      <w:r w:rsidR="0035257D" w:rsidRPr="006A5B9B">
        <w:t>h</w:t>
      </w:r>
      <w:r w:rsidR="00D75AC9">
        <w:t>ours</w:t>
      </w:r>
      <w:r w:rsidR="004A5002" w:rsidRPr="006A5B9B">
        <w:t>) on D</w:t>
      </w:r>
      <w:r w:rsidRPr="006A5B9B">
        <w:t xml:space="preserve">ay 1, </w:t>
      </w:r>
      <w:r w:rsidR="00D75AC9">
        <w:t>±</w:t>
      </w:r>
      <w:r w:rsidRPr="006A5B9B">
        <w:t xml:space="preserve"> other chemotherapy.</w:t>
      </w:r>
    </w:p>
    <w:p w:rsidR="00B100BF" w:rsidRPr="006A5B9B" w:rsidRDefault="00B100BF" w:rsidP="006A5B9B">
      <w:r w:rsidRPr="006A5B9B">
        <w:lastRenderedPageBreak/>
        <w:t>The primary efficacy endpoint was the proportion of patients with complete response (no emesis, no rescue medic</w:t>
      </w:r>
      <w:r w:rsidR="004A5002" w:rsidRPr="006A5B9B">
        <w:t xml:space="preserve">ations) in the overall phase (0 to </w:t>
      </w:r>
      <w:r w:rsidRPr="006A5B9B">
        <w:t>120</w:t>
      </w:r>
      <w:r w:rsidR="009B02FF">
        <w:t xml:space="preserve"> hours </w:t>
      </w:r>
      <w:r w:rsidRPr="006A5B9B">
        <w:t>after start of HEC).</w:t>
      </w:r>
      <w:r w:rsidR="005F7FE0" w:rsidRPr="006A5B9B">
        <w:t xml:space="preserve"> </w:t>
      </w:r>
      <w:r w:rsidRPr="006A5B9B">
        <w:t>Efficacy analyses were based on the full analysis set (those randomised who received at least one dose</w:t>
      </w:r>
      <w:r w:rsidR="004A5002" w:rsidRPr="006A5B9B">
        <w:t xml:space="preserve"> of study treatment) excluding A</w:t>
      </w:r>
      <w:r w:rsidRPr="006A5B9B">
        <w:t>rm 5.</w:t>
      </w:r>
    </w:p>
    <w:p w:rsidR="00B100BF" w:rsidRPr="006A5B9B" w:rsidRDefault="00B100BF" w:rsidP="006A5B9B">
      <w:r w:rsidRPr="006A5B9B">
        <w:t xml:space="preserve">The </w:t>
      </w:r>
      <w:r w:rsidR="0096573F">
        <w:t>Food and Drug Administration</w:t>
      </w:r>
      <w:r w:rsidR="0096573F" w:rsidRPr="006A5B9B">
        <w:t xml:space="preserve"> </w:t>
      </w:r>
      <w:r w:rsidR="0096573F">
        <w:t>(</w:t>
      </w:r>
      <w:r w:rsidRPr="006A5B9B">
        <w:t>FDA</w:t>
      </w:r>
      <w:r w:rsidR="0096573F">
        <w:t>)</w:t>
      </w:r>
      <w:r w:rsidRPr="006A5B9B">
        <w:t xml:space="preserve"> mandated a post-hoc analysis where the primary efficacy endpoint became CR in the delayed </w:t>
      </w:r>
      <w:r w:rsidR="004A5002" w:rsidRPr="006A5B9B">
        <w:t>phase</w:t>
      </w:r>
      <w:r w:rsidRPr="006A5B9B">
        <w:t>.</w:t>
      </w:r>
    </w:p>
    <w:p w:rsidR="00B100BF" w:rsidRPr="006A5B9B" w:rsidRDefault="004A5002" w:rsidP="006A5B9B">
      <w:r w:rsidRPr="006A5B9B">
        <w:t xml:space="preserve">Some </w:t>
      </w:r>
      <w:r w:rsidR="00B100BF" w:rsidRPr="006A5B9B">
        <w:t>69</w:t>
      </w:r>
      <w:r w:rsidRPr="006A5B9B">
        <w:t xml:space="preserve">4 patients were randomised (135 to </w:t>
      </w:r>
      <w:r w:rsidR="00B100BF" w:rsidRPr="006A5B9B">
        <w:t>143 per arm).</w:t>
      </w:r>
      <w:r w:rsidR="005F7FE0" w:rsidRPr="006A5B9B">
        <w:t xml:space="preserve"> </w:t>
      </w:r>
      <w:r w:rsidR="00B100BF" w:rsidRPr="006A5B9B">
        <w:t>Baseline characteristics were compa</w:t>
      </w:r>
      <w:r w:rsidRPr="006A5B9B">
        <w:t>rable across arms</w:t>
      </w:r>
      <w:r w:rsidR="00D75AC9">
        <w:t xml:space="preserve">; 56 to </w:t>
      </w:r>
      <w:r w:rsidR="00B100BF" w:rsidRPr="006A5B9B">
        <w:t>58</w:t>
      </w:r>
      <w:r w:rsidR="000403F6">
        <w:t>%</w:t>
      </w:r>
      <w:r w:rsidR="00B100BF" w:rsidRPr="006A5B9B">
        <w:t xml:space="preserve"> of subj</w:t>
      </w:r>
      <w:r w:rsidRPr="006A5B9B">
        <w:t xml:space="preserve">ects were male; mean age was 54 to </w:t>
      </w:r>
      <w:r w:rsidR="00B100BF" w:rsidRPr="006A5B9B">
        <w:t xml:space="preserve">55 </w:t>
      </w:r>
      <w:r w:rsidR="008914E3" w:rsidRPr="006A5B9B">
        <w:t>years</w:t>
      </w:r>
      <w:r w:rsidR="00D75AC9">
        <w:t>; virtually all patients were W</w:t>
      </w:r>
      <w:r w:rsidR="00B100BF" w:rsidRPr="006A5B9B">
        <w:t>hite.</w:t>
      </w:r>
      <w:r w:rsidR="005F7FE0" w:rsidRPr="006A5B9B">
        <w:t xml:space="preserve"> </w:t>
      </w:r>
      <w:r w:rsidRPr="006A5B9B">
        <w:t xml:space="preserve">63 to </w:t>
      </w:r>
      <w:r w:rsidR="00B100BF" w:rsidRPr="006A5B9B">
        <w:t>65</w:t>
      </w:r>
      <w:r w:rsidR="000403F6">
        <w:t>%</w:t>
      </w:r>
      <w:r w:rsidR="00B100BF" w:rsidRPr="006A5B9B">
        <w:t xml:space="preserve"> of subjects were from Russia.</w:t>
      </w:r>
      <w:r w:rsidR="005F7FE0" w:rsidRPr="006A5B9B">
        <w:t xml:space="preserve"> </w:t>
      </w:r>
      <w:r w:rsidR="00B100BF" w:rsidRPr="006A5B9B">
        <w:t>About half of subjects had metastatic disease.</w:t>
      </w:r>
    </w:p>
    <w:p w:rsidR="00B100BF" w:rsidRPr="006A5B9B" w:rsidRDefault="004A5002" w:rsidP="006A5B9B">
      <w:r w:rsidRPr="006A5B9B">
        <w:t>With respect to</w:t>
      </w:r>
      <w:r w:rsidR="00B100BF" w:rsidRPr="006A5B9B">
        <w:t xml:space="preserve"> complete response rate in </w:t>
      </w:r>
      <w:r w:rsidRPr="006A5B9B">
        <w:t>Arms 1 to 4, A</w:t>
      </w:r>
      <w:r w:rsidR="00B100BF" w:rsidRPr="006A5B9B">
        <w:t>rm 4 had the best outcomes.</w:t>
      </w:r>
      <w:r w:rsidR="005F7FE0" w:rsidRPr="006A5B9B">
        <w:t xml:space="preserve"> </w:t>
      </w:r>
      <w:r w:rsidR="00B100BF" w:rsidRPr="006A5B9B">
        <w:t xml:space="preserve">In comparison of 300 mg netupitant, palonosetron and dexamethasone </w:t>
      </w:r>
      <w:r w:rsidR="0067312A" w:rsidRPr="006A5B9B">
        <w:t>versus</w:t>
      </w:r>
      <w:r w:rsidR="00B100BF" w:rsidRPr="006A5B9B">
        <w:t xml:space="preserve"> placebo, palonosetron and dexamethasone, the netupitant-containing arm performed better in prevention of both acute</w:t>
      </w:r>
      <w:r w:rsidRPr="006A5B9B">
        <w:t xml:space="preserve"> and delayed CINV</w:t>
      </w:r>
      <w:r w:rsidR="00B100BF" w:rsidRPr="006A5B9B">
        <w:t>.</w:t>
      </w:r>
      <w:r w:rsidR="005F7FE0" w:rsidRPr="006A5B9B">
        <w:t xml:space="preserve"> </w:t>
      </w:r>
      <w:r w:rsidR="00B100BF" w:rsidRPr="006A5B9B">
        <w:t>Arms 4 and 5 had comparable outcomes (the numerical advantage was wit</w:t>
      </w:r>
      <w:r w:rsidRPr="006A5B9B">
        <w:t>h Arm 4)</w:t>
      </w:r>
      <w:r w:rsidR="00B100BF" w:rsidRPr="006A5B9B">
        <w:t>.</w:t>
      </w:r>
    </w:p>
    <w:p w:rsidR="00B100BF" w:rsidRPr="006A5B9B" w:rsidRDefault="00D75AC9" w:rsidP="006A5B9B">
      <w:r>
        <w:t>Outcomes of sub</w:t>
      </w:r>
      <w:r w:rsidR="00B100BF" w:rsidRPr="006A5B9B">
        <w:t>group analyses by gender and cou</w:t>
      </w:r>
      <w:r w:rsidR="006B5934" w:rsidRPr="006A5B9B">
        <w:t>ntry revealed some differences</w:t>
      </w:r>
      <w:r w:rsidR="00B100BF" w:rsidRPr="006A5B9B">
        <w:t xml:space="preserve">, </w:t>
      </w:r>
      <w:r w:rsidR="004B70D8" w:rsidRPr="006A5B9B">
        <w:t>for example,</w:t>
      </w:r>
      <w:r w:rsidR="00B100BF" w:rsidRPr="006A5B9B">
        <w:t xml:space="preserve"> there was a fairly pronounced difference in CR in Arm 1 between male and female patients.</w:t>
      </w:r>
      <w:r w:rsidR="005F7FE0" w:rsidRPr="006A5B9B">
        <w:t xml:space="preserve"> </w:t>
      </w:r>
      <w:r w:rsidR="00B100BF" w:rsidRPr="006A5B9B">
        <w:t>Males had better outcomes than fe</w:t>
      </w:r>
      <w:r w:rsidR="006B5934" w:rsidRPr="006A5B9B">
        <w:t>males in Arm 4.</w:t>
      </w:r>
    </w:p>
    <w:p w:rsidR="00B100BF" w:rsidRPr="00A154D7" w:rsidRDefault="00B100BF" w:rsidP="006A5B9B">
      <w:pPr>
        <w:pStyle w:val="Heading5"/>
      </w:pPr>
      <w:r w:rsidRPr="00A154D7">
        <w:t>NETU-10-29</w:t>
      </w:r>
    </w:p>
    <w:p w:rsidR="00B100BF" w:rsidRPr="006A5B9B" w:rsidRDefault="006B5934" w:rsidP="006A5B9B">
      <w:r w:rsidRPr="006A5B9B">
        <w:t xml:space="preserve">This study </w:t>
      </w:r>
      <w:r w:rsidR="00B100BF" w:rsidRPr="006A5B9B">
        <w:t xml:space="preserve">was a randomised, </w:t>
      </w:r>
      <w:r w:rsidR="00F51E23">
        <w:t>double blind</w:t>
      </w:r>
      <w:r w:rsidR="00B100BF" w:rsidRPr="006A5B9B">
        <w:t xml:space="preserve">, </w:t>
      </w:r>
      <w:r w:rsidR="003818B7">
        <w:t>double dummy</w:t>
      </w:r>
      <w:r w:rsidR="00B100BF" w:rsidRPr="006A5B9B">
        <w:t xml:space="preserve"> study of</w:t>
      </w:r>
      <w:r w:rsidR="00D75AC9">
        <w:t xml:space="preserve"> two treatment regimens;</w:t>
      </w:r>
    </w:p>
    <w:p w:rsidR="00B100BF" w:rsidRPr="006A5B9B" w:rsidRDefault="00B100BF" w:rsidP="006A5B9B">
      <w:pPr>
        <w:pStyle w:val="ListBullet"/>
      </w:pPr>
      <w:r w:rsidRPr="006A5B9B">
        <w:t>netupitant and</w:t>
      </w:r>
      <w:r w:rsidR="006B5934" w:rsidRPr="006A5B9B">
        <w:t xml:space="preserve"> palonosetron as an FDC (300 mg/0.5 mg) on D</w:t>
      </w:r>
      <w:r w:rsidRPr="006A5B9B">
        <w:t>ay 1, wit</w:t>
      </w:r>
      <w:r w:rsidR="00D75AC9">
        <w:t>h oral dexamethasone (12 mg on D</w:t>
      </w:r>
      <w:r w:rsidRPr="006A5B9B">
        <w:t>ay 1, then,</w:t>
      </w:r>
      <w:r w:rsidR="006B5934" w:rsidRPr="006A5B9B">
        <w:t xml:space="preserve"> in HEC patients only, 8 mg on D</w:t>
      </w:r>
      <w:r w:rsidR="00372155" w:rsidRPr="006A5B9B">
        <w:t xml:space="preserve">ays 2 to </w:t>
      </w:r>
      <w:r w:rsidRPr="006A5B9B">
        <w:t>4)</w:t>
      </w:r>
    </w:p>
    <w:p w:rsidR="00B100BF" w:rsidRPr="006A5B9B" w:rsidRDefault="006B5934" w:rsidP="006A5B9B">
      <w:pPr>
        <w:pStyle w:val="ListBullet"/>
      </w:pPr>
      <w:r w:rsidRPr="006A5B9B">
        <w:t>aprepitant (125 mg on Day 1, then 80 mg on D</w:t>
      </w:r>
      <w:r w:rsidR="00B100BF" w:rsidRPr="006A5B9B">
        <w:t xml:space="preserve">ays </w:t>
      </w:r>
      <w:r w:rsidR="00372155" w:rsidRPr="006A5B9B">
        <w:t xml:space="preserve">2 to </w:t>
      </w:r>
      <w:r w:rsidRPr="006A5B9B">
        <w:t>3), palonosetron (0.50 mg on D</w:t>
      </w:r>
      <w:r w:rsidR="00B100BF" w:rsidRPr="006A5B9B">
        <w:t>ay 1) and dexamethasone (regimen as above)</w:t>
      </w:r>
      <w:r w:rsidR="00D75AC9">
        <w:t>.</w:t>
      </w:r>
    </w:p>
    <w:p w:rsidR="00B100BF" w:rsidRPr="006A5B9B" w:rsidRDefault="00B100BF" w:rsidP="006A5B9B">
      <w:r w:rsidRPr="006A5B9B">
        <w:t>Patients were adult, chemotherapy naïve, and scheduled to receive repeated course HEC or MEC for treatment of a malignant tumour.</w:t>
      </w:r>
      <w:r w:rsidR="005F7FE0" w:rsidRPr="006A5B9B">
        <w:t xml:space="preserve"> </w:t>
      </w:r>
      <w:r w:rsidRPr="006A5B9B">
        <w:t>Efficacy assessment was secondary to that of safety.</w:t>
      </w:r>
    </w:p>
    <w:p w:rsidR="00B100BF" w:rsidRPr="006A5B9B" w:rsidRDefault="00B100BF" w:rsidP="006A5B9B">
      <w:r w:rsidRPr="006A5B9B">
        <w:t>The study was conducted at 72 sites across 10 countries, from July 2011 to September 2012.</w:t>
      </w:r>
    </w:p>
    <w:p w:rsidR="00B100BF" w:rsidRPr="006A5B9B" w:rsidRDefault="006B5934" w:rsidP="006A5B9B">
      <w:r w:rsidRPr="006A5B9B">
        <w:t xml:space="preserve">Some </w:t>
      </w:r>
      <w:r w:rsidR="00B100BF" w:rsidRPr="006A5B9B">
        <w:t>413 patients were randomised: 309 to the FDC arm, 104 to the aprepitant-containing arm.</w:t>
      </w:r>
      <w:r w:rsidR="005F7FE0" w:rsidRPr="006A5B9B">
        <w:t xml:space="preserve"> </w:t>
      </w:r>
      <w:r w:rsidR="00D75AC9">
        <w:t xml:space="preserve">Three </w:t>
      </w:r>
      <w:r w:rsidR="00B100BF" w:rsidRPr="006A5B9B">
        <w:t>quarters of patients received MEC in</w:t>
      </w:r>
      <w:r w:rsidR="005F7FE0" w:rsidRPr="006A5B9B">
        <w:t xml:space="preserve"> Cycle 1</w:t>
      </w:r>
      <w:r w:rsidR="00B100BF" w:rsidRPr="006A5B9B">
        <w:t>, and a quarter HEC.</w:t>
      </w:r>
      <w:r w:rsidR="005F7FE0" w:rsidRPr="006A5B9B">
        <w:t xml:space="preserve"> </w:t>
      </w:r>
      <w:r w:rsidR="00B100BF" w:rsidRPr="006A5B9B">
        <w:t>There was no large contribution of ‘anthracycline + c</w:t>
      </w:r>
      <w:r w:rsidR="00D75AC9">
        <w:t>yclophosphamide’ to the MEC subgroup, so re</w:t>
      </w:r>
      <w:r w:rsidR="00B100BF" w:rsidRPr="006A5B9B">
        <w:t>classification of this regimen as HEC has little effect.</w:t>
      </w:r>
      <w:r w:rsidR="005F7FE0" w:rsidRPr="006A5B9B">
        <w:t xml:space="preserve"> </w:t>
      </w:r>
      <w:r w:rsidR="00B100BF" w:rsidRPr="006A5B9B">
        <w:t>40</w:t>
      </w:r>
      <w:r w:rsidR="000403F6">
        <w:t>%</w:t>
      </w:r>
      <w:r w:rsidR="00D75AC9">
        <w:t xml:space="preserve"> of subjects completed C</w:t>
      </w:r>
      <w:r w:rsidR="00B100BF" w:rsidRPr="006A5B9B">
        <w:t>ycle 6.</w:t>
      </w:r>
      <w:r w:rsidR="005F7FE0" w:rsidRPr="006A5B9B">
        <w:t xml:space="preserve"> </w:t>
      </w:r>
      <w:r w:rsidR="00B100BF" w:rsidRPr="006A5B9B">
        <w:t>Baseline demographics were compa</w:t>
      </w:r>
      <w:r w:rsidRPr="006A5B9B">
        <w:t>rable across arms</w:t>
      </w:r>
      <w:r w:rsidR="00B100BF" w:rsidRPr="006A5B9B">
        <w:t>; half of subjects were male, 84</w:t>
      </w:r>
      <w:r w:rsidR="000403F6">
        <w:t>%</w:t>
      </w:r>
      <w:r w:rsidRPr="006A5B9B">
        <w:t xml:space="preserve"> were W</w:t>
      </w:r>
      <w:r w:rsidR="00B100BF" w:rsidRPr="006A5B9B">
        <w:t xml:space="preserve">hite, mean age was 57 </w:t>
      </w:r>
      <w:r w:rsidR="008914E3" w:rsidRPr="006A5B9B">
        <w:t>years</w:t>
      </w:r>
      <w:r w:rsidR="00B100BF" w:rsidRPr="006A5B9B">
        <w:t>.</w:t>
      </w:r>
      <w:r w:rsidR="005F7FE0" w:rsidRPr="006A5B9B">
        <w:t xml:space="preserve"> </w:t>
      </w:r>
      <w:r w:rsidR="00B100BF" w:rsidRPr="006A5B9B">
        <w:t>There were imbalances in primary</w:t>
      </w:r>
      <w:r w:rsidRPr="006A5B9B">
        <w:t xml:space="preserve"> cancer diagnosis</w:t>
      </w:r>
      <w:r w:rsidR="00B100BF" w:rsidRPr="006A5B9B">
        <w:t xml:space="preserve"> and in the fraction of patients with metastases (higher in the FDC arm, 52</w:t>
      </w:r>
      <w:r w:rsidR="000403F6">
        <w:t>%</w:t>
      </w:r>
      <w:r w:rsidR="00B100BF" w:rsidRPr="006A5B9B">
        <w:t xml:space="preserve"> </w:t>
      </w:r>
      <w:r w:rsidR="0067312A" w:rsidRPr="006A5B9B">
        <w:t>versus</w:t>
      </w:r>
      <w:r w:rsidR="00B100BF" w:rsidRPr="006A5B9B">
        <w:t xml:space="preserve"> 43</w:t>
      </w:r>
      <w:r w:rsidR="000403F6">
        <w:t>%</w:t>
      </w:r>
      <w:r w:rsidR="00B100BF" w:rsidRPr="006A5B9B">
        <w:t>).</w:t>
      </w:r>
    </w:p>
    <w:p w:rsidR="00B100BF" w:rsidRPr="006A5B9B" w:rsidRDefault="00B100BF" w:rsidP="006A5B9B">
      <w:r w:rsidRPr="006A5B9B">
        <w:t>The proportion of patients with a CR in</w:t>
      </w:r>
      <w:r w:rsidR="005F7FE0" w:rsidRPr="006A5B9B">
        <w:t xml:space="preserve"> Cycle 1</w:t>
      </w:r>
      <w:r w:rsidRPr="006A5B9B">
        <w:t xml:space="preserve"> was 83.2</w:t>
      </w:r>
      <w:r w:rsidR="000403F6">
        <w:t>%</w:t>
      </w:r>
      <w:r w:rsidRPr="006A5B9B">
        <w:t xml:space="preserve"> (FDC) </w:t>
      </w:r>
      <w:r w:rsidR="0067312A" w:rsidRPr="006A5B9B">
        <w:t>versus</w:t>
      </w:r>
      <w:r w:rsidRPr="006A5B9B">
        <w:t xml:space="preserve"> 77.7</w:t>
      </w:r>
      <w:r w:rsidR="000403F6">
        <w:t>%</w:t>
      </w:r>
      <w:r w:rsidRPr="006A5B9B">
        <w:t xml:space="preserve"> (aprepitant) in the delayed phase, and 92.9</w:t>
      </w:r>
      <w:r w:rsidR="000403F6">
        <w:t>%</w:t>
      </w:r>
      <w:r w:rsidRPr="006A5B9B">
        <w:t xml:space="preserve"> </w:t>
      </w:r>
      <w:r w:rsidR="0067312A" w:rsidRPr="006A5B9B">
        <w:t>versus</w:t>
      </w:r>
      <w:r w:rsidRPr="006A5B9B">
        <w:t xml:space="preserve"> 94.2</w:t>
      </w:r>
      <w:r w:rsidR="000403F6">
        <w:t>%</w:t>
      </w:r>
      <w:r w:rsidRPr="006A5B9B">
        <w:t xml:space="preserve"> respectively in the acute phase.</w:t>
      </w:r>
      <w:r w:rsidR="005F7FE0" w:rsidRPr="006A5B9B">
        <w:t xml:space="preserve"> </w:t>
      </w:r>
      <w:r w:rsidRPr="006A5B9B">
        <w:t>This pattern con</w:t>
      </w:r>
      <w:r w:rsidR="006B5934" w:rsidRPr="006A5B9B">
        <w:t xml:space="preserve">tinued in Cycles 2 to </w:t>
      </w:r>
      <w:r w:rsidR="00207D84" w:rsidRPr="006A5B9B">
        <w:t>6</w:t>
      </w:r>
      <w:r w:rsidRPr="006A5B9B">
        <w:t>, with a tendency for differences across arms to be fairly minimal in the acute phase.</w:t>
      </w:r>
    </w:p>
    <w:p w:rsidR="00B100BF" w:rsidRPr="006A5B9B" w:rsidRDefault="00D75AC9" w:rsidP="006A5B9B">
      <w:r>
        <w:t>Results were comparable in sub</w:t>
      </w:r>
      <w:r w:rsidR="00B100BF" w:rsidRPr="006A5B9B">
        <w:t xml:space="preserve">group analysis by MEC </w:t>
      </w:r>
      <w:r w:rsidR="0067312A" w:rsidRPr="006A5B9B">
        <w:t>versus</w:t>
      </w:r>
      <w:r w:rsidR="00B100BF" w:rsidRPr="006A5B9B">
        <w:t xml:space="preserve"> HEC status; there was a much lower delayed phase CR rate in the small</w:t>
      </w:r>
      <w:r w:rsidR="005F7FE0" w:rsidRPr="006A5B9B">
        <w:t xml:space="preserve"> </w:t>
      </w:r>
      <w:r>
        <w:t>HEC sub</w:t>
      </w:r>
      <w:r w:rsidR="00B100BF" w:rsidRPr="006A5B9B">
        <w:t>group in the aprepitant arm, for</w:t>
      </w:r>
      <w:r w:rsidR="005F7FE0" w:rsidRPr="006A5B9B">
        <w:t xml:space="preserve"> Cycle 1</w:t>
      </w:r>
      <w:r w:rsidR="00B100BF" w:rsidRPr="006A5B9B">
        <w:t>, but this was not apparent in the acute phase; nor was it seen in th</w:t>
      </w:r>
      <w:r>
        <w:t>e delayed phase for the MEC sub</w:t>
      </w:r>
      <w:r w:rsidR="00B100BF" w:rsidRPr="006A5B9B">
        <w:t>group.</w:t>
      </w:r>
    </w:p>
    <w:p w:rsidR="00B100BF" w:rsidRPr="006A5B9B" w:rsidRDefault="00B100BF" w:rsidP="006A5B9B">
      <w:r w:rsidRPr="006A5B9B">
        <w:t>There was a numerical a</w:t>
      </w:r>
      <w:r w:rsidR="006B5934" w:rsidRPr="006A5B9B">
        <w:t>dvantage in males</w:t>
      </w:r>
      <w:r w:rsidRPr="006A5B9B">
        <w:t xml:space="preserve"> for CR, although not for ‘</w:t>
      </w:r>
      <w:proofErr w:type="gramStart"/>
      <w:r w:rsidRPr="006A5B9B">
        <w:t>no</w:t>
      </w:r>
      <w:proofErr w:type="gramEnd"/>
      <w:r w:rsidRPr="006A5B9B">
        <w:t xml:space="preserve"> nausea’.</w:t>
      </w:r>
    </w:p>
    <w:p w:rsidR="00B100BF" w:rsidRPr="00A154D7" w:rsidRDefault="00B100BF" w:rsidP="006A5B9B">
      <w:pPr>
        <w:pStyle w:val="Heading5"/>
      </w:pPr>
      <w:r w:rsidRPr="00A154D7">
        <w:lastRenderedPageBreak/>
        <w:t>Other studies</w:t>
      </w:r>
    </w:p>
    <w:p w:rsidR="00B100BF" w:rsidRPr="006A5B9B" w:rsidRDefault="00B100BF" w:rsidP="006A5B9B">
      <w:r w:rsidRPr="006A5B9B">
        <w:t>Other studies</w:t>
      </w:r>
      <w:r w:rsidR="006B5934" w:rsidRPr="006A5B9B">
        <w:t xml:space="preserve"> are described in</w:t>
      </w:r>
      <w:r w:rsidRPr="006A5B9B">
        <w:t xml:space="preserve"> the CER </w:t>
      </w:r>
      <w:r w:rsidR="006B5934" w:rsidRPr="006A5B9B">
        <w:t xml:space="preserve">(Attachment 2) </w:t>
      </w:r>
      <w:r w:rsidRPr="006A5B9B">
        <w:t>and are of indirect relevance, and support the use of palonosetron 0.50 mg oral formulation in pivotal studies.</w:t>
      </w:r>
    </w:p>
    <w:p w:rsidR="00B100BF" w:rsidRPr="006A5B9B" w:rsidRDefault="00B100BF" w:rsidP="006A5B9B">
      <w:pPr>
        <w:pStyle w:val="Heading4"/>
      </w:pPr>
      <w:r w:rsidRPr="006A5B9B">
        <w:t>Safety</w:t>
      </w:r>
    </w:p>
    <w:p w:rsidR="00B100BF" w:rsidRPr="00A154D7" w:rsidRDefault="00B100BF" w:rsidP="008F1AE9">
      <w:pPr>
        <w:spacing w:beforeLines="60" w:before="144" w:after="60" w:line="240" w:lineRule="auto"/>
      </w:pPr>
      <w:r w:rsidRPr="00A154D7">
        <w:t xml:space="preserve">Safety of </w:t>
      </w:r>
      <w:r w:rsidR="00E96281">
        <w:t>Akynzeo</w:t>
      </w:r>
      <w:r w:rsidR="006B5934">
        <w:t xml:space="preserve"> is described in</w:t>
      </w:r>
      <w:r w:rsidRPr="00A154D7">
        <w:t xml:space="preserve"> the CER</w:t>
      </w:r>
      <w:r w:rsidR="006B5934">
        <w:t xml:space="preserve"> (Attachment 2)</w:t>
      </w:r>
      <w:r w:rsidRPr="00A154D7">
        <w:t>.</w:t>
      </w:r>
    </w:p>
    <w:p w:rsidR="00B100BF" w:rsidRPr="006A5B9B" w:rsidRDefault="00B100BF" w:rsidP="006A5B9B">
      <w:pPr>
        <w:pStyle w:val="Heading5"/>
      </w:pPr>
      <w:r w:rsidRPr="006A5B9B">
        <w:t>Exposure</w:t>
      </w:r>
    </w:p>
    <w:p w:rsidR="00B100BF" w:rsidRPr="006A5B9B" w:rsidRDefault="006B5934" w:rsidP="006A5B9B">
      <w:r w:rsidRPr="006A5B9B">
        <w:t>I</w:t>
      </w:r>
      <w:r w:rsidR="00B100BF" w:rsidRPr="006A5B9B">
        <w:t>n NETU-08-18, there were 724 patients in the FDC group, and the median number of days on study drug was 4 (about a quarter of patients</w:t>
      </w:r>
      <w:r w:rsidRPr="006A5B9B">
        <w:t xml:space="preserve"> received 6 doses)</w:t>
      </w:r>
      <w:r w:rsidR="00B100BF" w:rsidRPr="006A5B9B">
        <w:t>.</w:t>
      </w:r>
      <w:r w:rsidR="005F7FE0" w:rsidRPr="006A5B9B">
        <w:t xml:space="preserve"> </w:t>
      </w:r>
      <w:r w:rsidR="00B100BF" w:rsidRPr="006A5B9B">
        <w:t>In NETU-10-29, a further 308 patients were exposed to the FDC and the median number of days on FDC was 5.</w:t>
      </w:r>
      <w:r w:rsidR="005F7FE0" w:rsidRPr="006A5B9B">
        <w:t xml:space="preserve"> </w:t>
      </w:r>
      <w:r w:rsidR="00B100BF" w:rsidRPr="006A5B9B">
        <w:t>Other large studies did not use the FDC.</w:t>
      </w:r>
    </w:p>
    <w:p w:rsidR="00B100BF" w:rsidRPr="006A5B9B" w:rsidRDefault="00B100BF" w:rsidP="006A5B9B">
      <w:pPr>
        <w:pStyle w:val="Heading5"/>
      </w:pPr>
      <w:r w:rsidRPr="006A5B9B">
        <w:t>Adverse event (AE) profile</w:t>
      </w:r>
    </w:p>
    <w:p w:rsidR="00B100BF" w:rsidRPr="006A5B9B" w:rsidRDefault="00B100BF" w:rsidP="006A5B9B">
      <w:r w:rsidRPr="006A5B9B">
        <w:t>In general, patients were receiving toxic chemotherapies and many AEs are attributable to chemo rather than anti-emetic therapy.</w:t>
      </w:r>
    </w:p>
    <w:p w:rsidR="00B100BF" w:rsidRPr="006A5B9B" w:rsidRDefault="00F73FE3" w:rsidP="006A5B9B">
      <w:r w:rsidRPr="006A5B9B">
        <w:t>Study NETU</w:t>
      </w:r>
      <w:r w:rsidR="00B100BF" w:rsidRPr="006A5B9B">
        <w:t>-08-18’s design is able to isolate the toxicity of netupitant.</w:t>
      </w:r>
      <w:r w:rsidR="005F7FE0" w:rsidRPr="006A5B9B">
        <w:t xml:space="preserve"> </w:t>
      </w:r>
      <w:r w:rsidR="00B100BF" w:rsidRPr="006A5B9B">
        <w:t>Severe AEs were more common with FDC than with palonosetron (13.0</w:t>
      </w:r>
      <w:r w:rsidR="000403F6">
        <w:t>%</w:t>
      </w:r>
      <w:r w:rsidR="00B100BF" w:rsidRPr="006A5B9B">
        <w:t xml:space="preserve"> </w:t>
      </w:r>
      <w:r w:rsidR="0067312A" w:rsidRPr="006A5B9B">
        <w:t>versus</w:t>
      </w:r>
      <w:r w:rsidR="00B100BF" w:rsidRPr="006A5B9B">
        <w:t xml:space="preserve"> 9.1</w:t>
      </w:r>
      <w:r w:rsidR="000403F6">
        <w:t>%</w:t>
      </w:r>
      <w:r w:rsidR="00B100BF" w:rsidRPr="006A5B9B">
        <w:t>) in</w:t>
      </w:r>
      <w:r w:rsidR="005F7FE0" w:rsidRPr="006A5B9B">
        <w:t xml:space="preserve"> Cycle 1</w:t>
      </w:r>
      <w:r w:rsidR="00B100BF" w:rsidRPr="006A5B9B">
        <w:t xml:space="preserve">, although the difference narrowed in the multiple cycle extension </w:t>
      </w:r>
      <w:proofErr w:type="gramStart"/>
      <w:r w:rsidR="00B100BF" w:rsidRPr="006A5B9B">
        <w:t>phase</w:t>
      </w:r>
      <w:proofErr w:type="gramEnd"/>
      <w:r w:rsidR="00D75AC9">
        <w:t>;</w:t>
      </w:r>
      <w:r w:rsidR="00B100BF" w:rsidRPr="006A5B9B">
        <w:t xml:space="preserve"> (15.4</w:t>
      </w:r>
      <w:r w:rsidR="000403F6">
        <w:t>%</w:t>
      </w:r>
      <w:r w:rsidR="00B100BF" w:rsidRPr="006A5B9B">
        <w:t xml:space="preserve"> </w:t>
      </w:r>
      <w:r w:rsidR="0067312A" w:rsidRPr="006A5B9B">
        <w:t>versus</w:t>
      </w:r>
      <w:r w:rsidR="00B100BF" w:rsidRPr="006A5B9B">
        <w:t xml:space="preserve"> 14.6</w:t>
      </w:r>
      <w:r w:rsidR="000403F6">
        <w:t>%</w:t>
      </w:r>
      <w:r w:rsidR="00B100BF" w:rsidRPr="006A5B9B">
        <w:t>).</w:t>
      </w:r>
      <w:r w:rsidR="005F7FE0" w:rsidRPr="006A5B9B">
        <w:t xml:space="preserve"> </w:t>
      </w:r>
      <w:r w:rsidR="00B100BF" w:rsidRPr="006A5B9B">
        <w:t>Also, a similar trend was not apparent in NETU-07-07.</w:t>
      </w:r>
    </w:p>
    <w:p w:rsidR="00B100BF" w:rsidRPr="006A5B9B" w:rsidRDefault="00B100BF" w:rsidP="006A5B9B">
      <w:r w:rsidRPr="006A5B9B">
        <w:t>Patients in the FDC arm reported more serious neutropenia / febrile neutropenia (</w:t>
      </w:r>
      <w:r w:rsidR="004B70D8" w:rsidRPr="006A5B9B">
        <w:t>for example,</w:t>
      </w:r>
      <w:r w:rsidR="005F7FE0" w:rsidRPr="006A5B9B">
        <w:t xml:space="preserve"> Cycle 1</w:t>
      </w:r>
      <w:r w:rsidRPr="006A5B9B">
        <w:t>, febrile neutropenia SAEs: 0.6</w:t>
      </w:r>
      <w:r w:rsidR="000403F6">
        <w:t>%</w:t>
      </w:r>
      <w:r w:rsidRPr="006A5B9B">
        <w:t xml:space="preserve"> for FDC </w:t>
      </w:r>
      <w:r w:rsidR="0067312A" w:rsidRPr="006A5B9B">
        <w:t>versus</w:t>
      </w:r>
      <w:r w:rsidRPr="006A5B9B">
        <w:t xml:space="preserve"> 0.4</w:t>
      </w:r>
      <w:r w:rsidR="000403F6">
        <w:t>%</w:t>
      </w:r>
      <w:r w:rsidRPr="006A5B9B">
        <w:t xml:space="preserve"> for palonosetron; extension phase, febrile neutropenia: 0.9</w:t>
      </w:r>
      <w:r w:rsidR="000403F6">
        <w:t>%</w:t>
      </w:r>
      <w:r w:rsidRPr="006A5B9B">
        <w:t xml:space="preserve"> </w:t>
      </w:r>
      <w:r w:rsidR="0067312A" w:rsidRPr="006A5B9B">
        <w:t>versus</w:t>
      </w:r>
      <w:r w:rsidRPr="006A5B9B">
        <w:t xml:space="preserve"> 0.6</w:t>
      </w:r>
      <w:r w:rsidR="000403F6">
        <w:t>%</w:t>
      </w:r>
      <w:r w:rsidRPr="006A5B9B">
        <w:t>; extension phase, neutropenia: 0.9</w:t>
      </w:r>
      <w:r w:rsidR="000403F6">
        <w:t>%</w:t>
      </w:r>
      <w:r w:rsidRPr="006A5B9B">
        <w:t xml:space="preserve"> </w:t>
      </w:r>
      <w:r w:rsidR="0067312A" w:rsidRPr="006A5B9B">
        <w:t>versus</w:t>
      </w:r>
      <w:r w:rsidRPr="006A5B9B">
        <w:t xml:space="preserve"> 0.2</w:t>
      </w:r>
      <w:r w:rsidR="000403F6">
        <w:t>%</w:t>
      </w:r>
      <w:r w:rsidRPr="006A5B9B">
        <w:t>).</w:t>
      </w:r>
      <w:r w:rsidR="005F7FE0" w:rsidRPr="006A5B9B">
        <w:t xml:space="preserve"> </w:t>
      </w:r>
      <w:r w:rsidRPr="006A5B9B">
        <w:t>However, neutropenia per se was not reported more often in</w:t>
      </w:r>
      <w:r w:rsidR="007A4A48" w:rsidRPr="006A5B9B">
        <w:t xml:space="preserve"> the FDC arm</w:t>
      </w:r>
      <w:r w:rsidRPr="006A5B9B">
        <w:t>, and t</w:t>
      </w:r>
      <w:r w:rsidR="007A4A48" w:rsidRPr="006A5B9B">
        <w:t>here was no major imbalance in Grade 3 to 4 neutropenia (that is,</w:t>
      </w:r>
      <w:r w:rsidRPr="006A5B9B">
        <w:t xml:space="preserve"> analysis of </w:t>
      </w:r>
      <w:r w:rsidR="007A4A48" w:rsidRPr="006A5B9B">
        <w:t>lab results)</w:t>
      </w:r>
      <w:r w:rsidRPr="006A5B9B">
        <w:t>.</w:t>
      </w:r>
      <w:r w:rsidR="005F7FE0" w:rsidRPr="006A5B9B">
        <w:t xml:space="preserve"> </w:t>
      </w:r>
      <w:r w:rsidRPr="006A5B9B">
        <w:t>Effects on neutrophil function were not studied.</w:t>
      </w:r>
    </w:p>
    <w:p w:rsidR="00B100BF" w:rsidRPr="006A5B9B" w:rsidRDefault="00B100BF" w:rsidP="006A5B9B">
      <w:r w:rsidRPr="006A5B9B">
        <w:t>There was an imbalance in reporting of infections in the extension phase of NETU-08-18 (11.2</w:t>
      </w:r>
      <w:r w:rsidR="000403F6">
        <w:t>%</w:t>
      </w:r>
      <w:r w:rsidRPr="006A5B9B">
        <w:t xml:space="preserve"> for FDC, 7.8</w:t>
      </w:r>
      <w:r w:rsidR="000403F6">
        <w:t>%</w:t>
      </w:r>
      <w:r w:rsidRPr="006A5B9B">
        <w:t xml:space="preserve"> for palonosetron), but there was no major imbalance in reporting of serious AEs of infection in th</w:t>
      </w:r>
      <w:r w:rsidR="007A4A48" w:rsidRPr="006A5B9B">
        <w:t>e extension phase</w:t>
      </w:r>
      <w:r w:rsidRPr="006A5B9B">
        <w:t>.</w:t>
      </w:r>
      <w:r w:rsidR="005F7FE0" w:rsidRPr="006A5B9B">
        <w:t xml:space="preserve"> </w:t>
      </w:r>
      <w:r w:rsidRPr="006A5B9B">
        <w:t>NK1R antagonists have been linked to an increased risk of severe infection, via increased dexamethasone exposure, increased chemotherapy drug exposure and / or intrinsic effects on immunity</w:t>
      </w:r>
      <w:r w:rsidR="00D75AC9">
        <w:t>.</w:t>
      </w:r>
      <w:bookmarkStart w:id="151" w:name="_Ref461547665"/>
      <w:r w:rsidR="007A4A48" w:rsidRPr="00D75AC9">
        <w:rPr>
          <w:vertAlign w:val="superscript"/>
        </w:rPr>
        <w:footnoteReference w:id="29"/>
      </w:r>
      <w:bookmarkEnd w:id="151"/>
      <w:r w:rsidR="005F7FE0" w:rsidRPr="006A5B9B">
        <w:t xml:space="preserve"> </w:t>
      </w:r>
      <w:r w:rsidRPr="006A5B9B">
        <w:t>The magnitude of increased risk suggested by dos Santos et al</w:t>
      </w:r>
      <w:r w:rsidR="00E5254A">
        <w:fldChar w:fldCharType="begin"/>
      </w:r>
      <w:r w:rsidR="00E5254A">
        <w:instrText xml:space="preserve"> NOTEREF _Ref461547665 \h  \* MERGEFORMAT </w:instrText>
      </w:r>
      <w:r w:rsidR="00E5254A">
        <w:fldChar w:fldCharType="separate"/>
      </w:r>
      <w:r w:rsidR="000C31A3" w:rsidRPr="000C31A3">
        <w:rPr>
          <w:vertAlign w:val="superscript"/>
        </w:rPr>
        <w:t>29</w:t>
      </w:r>
      <w:r w:rsidR="00E5254A">
        <w:fldChar w:fldCharType="end"/>
      </w:r>
      <w:r w:rsidRPr="00330B6E">
        <w:rPr>
          <w:vertAlign w:val="superscript"/>
        </w:rPr>
        <w:t xml:space="preserve"> </w:t>
      </w:r>
      <w:r w:rsidRPr="006A5B9B">
        <w:t>was not seen in NETU-08-18.</w:t>
      </w:r>
    </w:p>
    <w:p w:rsidR="00B100BF" w:rsidRPr="006A5B9B" w:rsidRDefault="00B100BF" w:rsidP="006A5B9B">
      <w:r w:rsidRPr="006A5B9B">
        <w:t xml:space="preserve">8 FDC patients in NETU-08-18 reported anticholinergic AEs, </w:t>
      </w:r>
      <w:r w:rsidR="0067312A" w:rsidRPr="006A5B9B">
        <w:t>versus</w:t>
      </w:r>
      <w:r w:rsidRPr="006A5B9B">
        <w:t xml:space="preserve"> 4 in the palonosetron arm, although most AEs were not considered study </w:t>
      </w:r>
      <w:r w:rsidR="002D3239">
        <w:t>drug related</w:t>
      </w:r>
      <w:r w:rsidRPr="006A5B9B">
        <w:t>.</w:t>
      </w:r>
    </w:p>
    <w:p w:rsidR="00B100BF" w:rsidRPr="006A5B9B" w:rsidRDefault="00B100BF" w:rsidP="006A5B9B">
      <w:r w:rsidRPr="006A5B9B">
        <w:t xml:space="preserve">7 FDC patients </w:t>
      </w:r>
      <w:r w:rsidR="0067312A" w:rsidRPr="006A5B9B">
        <w:t>versus</w:t>
      </w:r>
      <w:r w:rsidRPr="006A5B9B">
        <w:t xml:space="preserve"> 3 palonosetron patients in NETU-08-18 reported AEs implicated in neuroleptic malignant syndrome; only 1 (blood myoglobin </w:t>
      </w:r>
      <w:r w:rsidR="00330B6E">
        <w:t xml:space="preserve">increased) was considered study </w:t>
      </w:r>
      <w:r w:rsidRPr="006A5B9B">
        <w:t>drug related.</w:t>
      </w:r>
    </w:p>
    <w:p w:rsidR="00B100BF" w:rsidRPr="006A5B9B" w:rsidRDefault="00B100BF" w:rsidP="006A5B9B">
      <w:r w:rsidRPr="006A5B9B">
        <w:t xml:space="preserve">2 FDC patients (and no palonosetron patients) in NETU-08-18 reported extrapyramidal syndrome-linked </w:t>
      </w:r>
      <w:r w:rsidR="00330B6E">
        <w:t xml:space="preserve">AEs; no AE was considered study </w:t>
      </w:r>
      <w:r w:rsidRPr="006A5B9B">
        <w:t>drug related.</w:t>
      </w:r>
    </w:p>
    <w:p w:rsidR="00B100BF" w:rsidRPr="006A5B9B" w:rsidRDefault="00B100BF" w:rsidP="006A5B9B">
      <w:r w:rsidRPr="006A5B9B">
        <w:t xml:space="preserve">There was an indication from NETU-10-29 </w:t>
      </w:r>
      <w:r w:rsidR="00330B6E">
        <w:t xml:space="preserve">that netupitant may have a side </w:t>
      </w:r>
      <w:r w:rsidRPr="006A5B9B">
        <w:t>effect profile that differs fro</w:t>
      </w:r>
      <w:r w:rsidR="007A4A48" w:rsidRPr="006A5B9B">
        <w:t>m aprepitant</w:t>
      </w:r>
      <w:r w:rsidRPr="006A5B9B">
        <w:t>.</w:t>
      </w:r>
      <w:r w:rsidR="005F7FE0" w:rsidRPr="006A5B9B">
        <w:t xml:space="preserve"> </w:t>
      </w:r>
      <w:r w:rsidR="002D3239">
        <w:t>Drug related</w:t>
      </w:r>
      <w:r w:rsidRPr="006A5B9B">
        <w:t xml:space="preserve"> AEs were reported in 10.1</w:t>
      </w:r>
      <w:r w:rsidR="000403F6">
        <w:t>%</w:t>
      </w:r>
      <w:r w:rsidRPr="006A5B9B">
        <w:t xml:space="preserve"> in the FDC group, but 5.8</w:t>
      </w:r>
      <w:r w:rsidR="000403F6">
        <w:t>%</w:t>
      </w:r>
      <w:r w:rsidRPr="006A5B9B">
        <w:t xml:space="preserve"> in the aprepitant group.</w:t>
      </w:r>
      <w:r w:rsidR="005F7FE0" w:rsidRPr="006A5B9B">
        <w:t xml:space="preserve"> </w:t>
      </w:r>
      <w:r w:rsidRPr="006A5B9B">
        <w:t>There were 16 deaths in the FDC group (5.2</w:t>
      </w:r>
      <w:r w:rsidR="000403F6">
        <w:t>%</w:t>
      </w:r>
      <w:r w:rsidRPr="006A5B9B">
        <w:t xml:space="preserve">), </w:t>
      </w:r>
      <w:r w:rsidR="0067312A" w:rsidRPr="006A5B9B">
        <w:t>versus</w:t>
      </w:r>
      <w:r w:rsidRPr="006A5B9B">
        <w:t xml:space="preserve"> 1 death in the aprepitant group (1.0</w:t>
      </w:r>
      <w:r w:rsidR="000403F6">
        <w:t>%</w:t>
      </w:r>
      <w:r w:rsidR="007A4A48" w:rsidRPr="006A5B9B">
        <w:t>)</w:t>
      </w:r>
      <w:r w:rsidRPr="006A5B9B">
        <w:t>.</w:t>
      </w:r>
      <w:r w:rsidR="005F7FE0" w:rsidRPr="006A5B9B">
        <w:t xml:space="preserve"> </w:t>
      </w:r>
      <w:r w:rsidRPr="006A5B9B">
        <w:t xml:space="preserve">None of the deaths was considered study </w:t>
      </w:r>
      <w:r w:rsidR="002D3239">
        <w:t>drug related</w:t>
      </w:r>
      <w:r w:rsidRPr="006A5B9B">
        <w:t>.</w:t>
      </w:r>
      <w:r w:rsidR="005F7FE0" w:rsidRPr="006A5B9B">
        <w:t xml:space="preserve"> </w:t>
      </w:r>
      <w:r w:rsidRPr="006A5B9B">
        <w:t>The incidence of SAEs was comparable (16.2</w:t>
      </w:r>
      <w:r w:rsidR="000403F6">
        <w:t>%</w:t>
      </w:r>
      <w:r w:rsidRPr="006A5B9B">
        <w:t xml:space="preserve"> for FDC; 18.3</w:t>
      </w:r>
      <w:r w:rsidR="000403F6">
        <w:t>%</w:t>
      </w:r>
      <w:r w:rsidRPr="006A5B9B">
        <w:t xml:space="preserve"> for aprepitant).</w:t>
      </w:r>
      <w:r w:rsidR="005F7FE0" w:rsidRPr="006A5B9B">
        <w:t xml:space="preserve"> </w:t>
      </w:r>
      <w:r w:rsidRPr="006A5B9B">
        <w:t>The incidence of febrile neutropenia SAEs was 1.9</w:t>
      </w:r>
      <w:r w:rsidR="000403F6">
        <w:t>%</w:t>
      </w:r>
      <w:r w:rsidRPr="006A5B9B">
        <w:t xml:space="preserve"> (FDC) </w:t>
      </w:r>
      <w:r w:rsidR="0067312A" w:rsidRPr="006A5B9B">
        <w:t>versus</w:t>
      </w:r>
      <w:r w:rsidRPr="006A5B9B">
        <w:t xml:space="preserve"> 1.0</w:t>
      </w:r>
      <w:r w:rsidR="000403F6">
        <w:t>%</w:t>
      </w:r>
      <w:r w:rsidRPr="006A5B9B">
        <w:t xml:space="preserve"> (aprepitant).</w:t>
      </w:r>
      <w:r w:rsidR="005F7FE0" w:rsidRPr="006A5B9B">
        <w:t xml:space="preserve"> </w:t>
      </w:r>
      <w:r w:rsidRPr="006A5B9B">
        <w:t>Also, the rates of discontinuation were similar across arms (9.1</w:t>
      </w:r>
      <w:r w:rsidR="000403F6">
        <w:t>%</w:t>
      </w:r>
      <w:r w:rsidRPr="006A5B9B">
        <w:t xml:space="preserve"> for FDC; 12.5</w:t>
      </w:r>
      <w:r w:rsidR="000403F6">
        <w:t>%</w:t>
      </w:r>
      <w:r w:rsidRPr="006A5B9B">
        <w:t xml:space="preserve"> for aprepitant).</w:t>
      </w:r>
    </w:p>
    <w:p w:rsidR="00B100BF" w:rsidRPr="006A5B9B" w:rsidRDefault="00B100BF" w:rsidP="006A5B9B">
      <w:pPr>
        <w:pStyle w:val="Heading5"/>
      </w:pPr>
      <w:r w:rsidRPr="006A5B9B">
        <w:lastRenderedPageBreak/>
        <w:t>QT interval</w:t>
      </w:r>
    </w:p>
    <w:p w:rsidR="00B100BF" w:rsidRPr="006A5B9B" w:rsidRDefault="00F73FE3" w:rsidP="006A5B9B">
      <w:r w:rsidRPr="006A5B9B">
        <w:t>Study NETU</w:t>
      </w:r>
      <w:r w:rsidR="00B100BF" w:rsidRPr="006A5B9B">
        <w:t>-07-20 examined effects of netupitant and palonosetron on the QT interval.</w:t>
      </w:r>
      <w:r w:rsidR="005F7FE0" w:rsidRPr="006A5B9B">
        <w:t xml:space="preserve"> </w:t>
      </w:r>
      <w:r w:rsidR="00B100BF" w:rsidRPr="006A5B9B">
        <w:t>The m</w:t>
      </w:r>
      <w:r w:rsidR="00330B6E">
        <w:t xml:space="preserve">ain identified effect was a </w:t>
      </w:r>
      <w:proofErr w:type="spellStart"/>
      <w:r w:rsidR="00330B6E">
        <w:t>non dose</w:t>
      </w:r>
      <w:proofErr w:type="spellEnd"/>
      <w:r w:rsidR="00330B6E">
        <w:t xml:space="preserve"> </w:t>
      </w:r>
      <w:r w:rsidR="00B100BF" w:rsidRPr="006A5B9B">
        <w:t>related reduction in heart rate of 4 bpm.</w:t>
      </w:r>
      <w:r w:rsidR="005F7FE0" w:rsidRPr="006A5B9B">
        <w:t xml:space="preserve"> </w:t>
      </w:r>
      <w:r w:rsidR="00B100BF" w:rsidRPr="006A5B9B">
        <w:t>ECG results were also anal</w:t>
      </w:r>
      <w:r w:rsidR="007A4A48" w:rsidRPr="006A5B9B">
        <w:t>ysed in NETU-08-18</w:t>
      </w:r>
      <w:r w:rsidR="00B100BF" w:rsidRPr="006A5B9B">
        <w:t xml:space="preserve">; in both arms, the mean </w:t>
      </w:r>
      <w:proofErr w:type="spellStart"/>
      <w:r w:rsidR="00B100BF" w:rsidRPr="006A5B9B">
        <w:t>QTcF</w:t>
      </w:r>
      <w:proofErr w:type="spellEnd"/>
      <w:r w:rsidR="00B100BF" w:rsidRPr="006A5B9B">
        <w:t xml:space="preserve"> increase was around 13 </w:t>
      </w:r>
      <w:proofErr w:type="spellStart"/>
      <w:r w:rsidR="00B100BF" w:rsidRPr="006A5B9B">
        <w:t>ms</w:t>
      </w:r>
      <w:proofErr w:type="spellEnd"/>
      <w:r w:rsidR="00B100BF" w:rsidRPr="006A5B9B">
        <w:t xml:space="preserve"> in</w:t>
      </w:r>
      <w:r w:rsidR="005F7FE0" w:rsidRPr="006A5B9B">
        <w:t xml:space="preserve"> Cycle 1</w:t>
      </w:r>
      <w:r w:rsidR="00B100BF" w:rsidRPr="006A5B9B">
        <w:t xml:space="preserve"> at 5</w:t>
      </w:r>
      <w:r w:rsidR="009B02FF">
        <w:t xml:space="preserve"> hours </w:t>
      </w:r>
      <w:r w:rsidR="00330B6E">
        <w:t xml:space="preserve">post </w:t>
      </w:r>
      <w:r w:rsidR="00B100BF" w:rsidRPr="006A5B9B">
        <w:t>dose.</w:t>
      </w:r>
      <w:r w:rsidR="005F7FE0" w:rsidRPr="006A5B9B">
        <w:t xml:space="preserve"> </w:t>
      </w:r>
      <w:r w:rsidR="00B100BF" w:rsidRPr="006A5B9B">
        <w:t>There was no strong indication that netupitant caused a</w:t>
      </w:r>
      <w:r w:rsidR="007A4A48" w:rsidRPr="006A5B9B">
        <w:t>ny cardiac conduction problems.</w:t>
      </w:r>
    </w:p>
    <w:p w:rsidR="00B100BF" w:rsidRPr="006A5B9B" w:rsidRDefault="00B100BF" w:rsidP="006A5B9B">
      <w:pPr>
        <w:pStyle w:val="Heading5"/>
      </w:pPr>
      <w:r w:rsidRPr="006A5B9B">
        <w:t>Mood and sedation</w:t>
      </w:r>
    </w:p>
    <w:p w:rsidR="00B100BF" w:rsidRPr="006A5B9B" w:rsidRDefault="00B100BF" w:rsidP="006A5B9B">
      <w:r w:rsidRPr="006A5B9B">
        <w:t>Study NP16603 assessed impact of netupitant (450 mg) on mood and sedation in healthy males.</w:t>
      </w:r>
      <w:r w:rsidR="005F7FE0" w:rsidRPr="006A5B9B">
        <w:t xml:space="preserve"> </w:t>
      </w:r>
      <w:r w:rsidRPr="006A5B9B">
        <w:t>There was some suggestion of an impact on performance as assessed by tests of digit vigilanc</w:t>
      </w:r>
      <w:r w:rsidR="001E2377">
        <w:t xml:space="preserve">e, numeric working memory, </w:t>
      </w:r>
      <w:proofErr w:type="spellStart"/>
      <w:proofErr w:type="gramStart"/>
      <w:r w:rsidR="001E2377">
        <w:t>self</w:t>
      </w:r>
      <w:proofErr w:type="gramEnd"/>
      <w:r w:rsidR="001E2377">
        <w:t xml:space="preserve"> </w:t>
      </w:r>
      <w:r w:rsidR="007A4A48" w:rsidRPr="006A5B9B">
        <w:t>rated</w:t>
      </w:r>
      <w:proofErr w:type="spellEnd"/>
      <w:r w:rsidR="007A4A48" w:rsidRPr="006A5B9B">
        <w:t xml:space="preserve"> alertness and word recall/</w:t>
      </w:r>
      <w:r w:rsidRPr="006A5B9B">
        <w:t>recognition.</w:t>
      </w:r>
      <w:r w:rsidR="005F7FE0" w:rsidRPr="006A5B9B">
        <w:t xml:space="preserve"> </w:t>
      </w:r>
      <w:r w:rsidRPr="006A5B9B">
        <w:t>This was attributed to outlying effects in two subjects, but only 4 subjects were studied.</w:t>
      </w:r>
    </w:p>
    <w:p w:rsidR="00B100BF" w:rsidRPr="006A5B9B" w:rsidRDefault="00B100BF" w:rsidP="006A5B9B">
      <w:r w:rsidRPr="006A5B9B">
        <w:t>One patient in NETU-08-18 reported ‘mood alteration’ in</w:t>
      </w:r>
      <w:r w:rsidR="00DD2C7E" w:rsidRPr="006A5B9B">
        <w:t xml:space="preserve"> Cycle 2</w:t>
      </w:r>
      <w:r w:rsidRPr="006A5B9B">
        <w:t>, which resolved a</w:t>
      </w:r>
      <w:r w:rsidR="001E2377">
        <w:t>fter 13 </w:t>
      </w:r>
      <w:r w:rsidRPr="006A5B9B">
        <w:t xml:space="preserve">days without treatment; it was considered possibly study </w:t>
      </w:r>
      <w:r w:rsidR="002D3239">
        <w:t>drug related</w:t>
      </w:r>
      <w:r w:rsidRPr="006A5B9B">
        <w:t>.</w:t>
      </w:r>
    </w:p>
    <w:p w:rsidR="00B100BF" w:rsidRPr="006A5B9B" w:rsidRDefault="00B100BF" w:rsidP="006A5B9B">
      <w:r w:rsidRPr="006A5B9B">
        <w:t>One patient in NETU-10-29 experienced acute psychosis, wh</w:t>
      </w:r>
      <w:r w:rsidR="007A4A48" w:rsidRPr="006A5B9B">
        <w:t>ich was attributed to the FDC</w:t>
      </w:r>
      <w:r w:rsidRPr="006A5B9B">
        <w:t xml:space="preserve"> although dexamethasone was also being given.</w:t>
      </w:r>
    </w:p>
    <w:p w:rsidR="00B100BF" w:rsidRPr="006A5B9B" w:rsidRDefault="00B100BF" w:rsidP="006A5B9B">
      <w:r w:rsidRPr="006A5B9B">
        <w:t xml:space="preserve">The </w:t>
      </w:r>
      <w:r w:rsidR="00791AE3" w:rsidRPr="006A5B9B">
        <w:t>sponsor</w:t>
      </w:r>
      <w:r w:rsidRPr="006A5B9B">
        <w:t xml:space="preserve"> has integrated data relating t</w:t>
      </w:r>
      <w:r w:rsidR="007A4A48" w:rsidRPr="006A5B9B">
        <w:t>o mood changes</w:t>
      </w:r>
      <w:r w:rsidRPr="006A5B9B">
        <w:t>.</w:t>
      </w:r>
      <w:r w:rsidR="005F7FE0" w:rsidRPr="006A5B9B">
        <w:t xml:space="preserve"> </w:t>
      </w:r>
      <w:r w:rsidRPr="006A5B9B">
        <w:t>This did suggest a possible effect of netupitant on sleep (</w:t>
      </w:r>
      <w:r w:rsidR="004B70D8" w:rsidRPr="006A5B9B">
        <w:t>for example,</w:t>
      </w:r>
      <w:r w:rsidRPr="006A5B9B">
        <w:t xml:space="preserve"> more insomnia was reported with the FDC than with palonosetron).</w:t>
      </w:r>
      <w:r w:rsidR="005F7FE0" w:rsidRPr="006A5B9B">
        <w:t xml:space="preserve"> </w:t>
      </w:r>
      <w:r w:rsidRPr="006A5B9B">
        <w:t>Dexamethasone may cause insomnia; netupitant may increase exposure to dexamethasone.</w:t>
      </w:r>
    </w:p>
    <w:p w:rsidR="007B6132" w:rsidRPr="006A5B9B" w:rsidRDefault="007B6132" w:rsidP="006A5B9B">
      <w:pPr>
        <w:pStyle w:val="Heading4"/>
      </w:pPr>
      <w:bookmarkStart w:id="152" w:name="_Toc314842514"/>
      <w:r w:rsidRPr="006A5B9B">
        <w:t xml:space="preserve">Clinical </w:t>
      </w:r>
      <w:r w:rsidR="00142EBA" w:rsidRPr="006A5B9B">
        <w:t>evaluator</w:t>
      </w:r>
      <w:r w:rsidRPr="006A5B9B">
        <w:t>’</w:t>
      </w:r>
      <w:r w:rsidR="007A4A48" w:rsidRPr="006A5B9B">
        <w:t>s recommendation</w:t>
      </w:r>
    </w:p>
    <w:p w:rsidR="00B100BF" w:rsidRPr="006A5B9B" w:rsidRDefault="001A0E6A" w:rsidP="006A5B9B">
      <w:r w:rsidRPr="006A5B9B">
        <w:t xml:space="preserve">The clinical </w:t>
      </w:r>
      <w:r w:rsidR="00142EBA" w:rsidRPr="006A5B9B">
        <w:t>evaluator</w:t>
      </w:r>
      <w:r w:rsidR="00B100BF" w:rsidRPr="006A5B9B">
        <w:t xml:space="preserve"> recommended that the application for registration of </w:t>
      </w:r>
      <w:r w:rsidR="00E96281" w:rsidRPr="006A5B9B">
        <w:t>Akynzeo</w:t>
      </w:r>
      <w:r w:rsidR="00B100BF" w:rsidRPr="006A5B9B">
        <w:t xml:space="preserve"> for the prevention of acute and delayed nausea and vomiting associated with initial and repeat courses of highly emetogenic and moderately emetogenic cancer chemotherapy be approved.</w:t>
      </w:r>
    </w:p>
    <w:p w:rsidR="008E7846" w:rsidRPr="006A5B9B" w:rsidRDefault="00386150" w:rsidP="006A5B9B">
      <w:pPr>
        <w:pStyle w:val="Heading3"/>
      </w:pPr>
      <w:bookmarkStart w:id="153" w:name="_Toc466986553"/>
      <w:r w:rsidRPr="006A5B9B">
        <w:t>Risk m</w:t>
      </w:r>
      <w:r w:rsidR="008E7846" w:rsidRPr="006A5B9B">
        <w:t xml:space="preserve">anagement </w:t>
      </w:r>
      <w:r w:rsidRPr="006A5B9B">
        <w:t>p</w:t>
      </w:r>
      <w:r w:rsidR="008E7846" w:rsidRPr="006A5B9B">
        <w:t>lan</w:t>
      </w:r>
      <w:bookmarkEnd w:id="152"/>
      <w:bookmarkEnd w:id="153"/>
    </w:p>
    <w:p w:rsidR="00391399" w:rsidRPr="006A5B9B" w:rsidRDefault="00391399" w:rsidP="006A5B9B">
      <w:r w:rsidRPr="006A5B9B">
        <w:t>The following RMP was reviewed:</w:t>
      </w:r>
    </w:p>
    <w:p w:rsidR="00391399" w:rsidRPr="006A5B9B" w:rsidRDefault="00E96281" w:rsidP="006A5B9B">
      <w:r w:rsidRPr="006A5B9B">
        <w:t>Akynzeo</w:t>
      </w:r>
      <w:r w:rsidR="00391399" w:rsidRPr="006A5B9B">
        <w:t xml:space="preserve"> EU-RMP version 1.0 (undated; data lock point 31 August 2013) with the Australian Specific Annex version 1.0 (dated 28 February 2014)</w:t>
      </w:r>
    </w:p>
    <w:p w:rsidR="00391399" w:rsidRPr="006A5B9B" w:rsidRDefault="00391399" w:rsidP="006A5B9B">
      <w:r w:rsidRPr="006A5B9B">
        <w:t>ACSOM advice was not sought for the submission.</w:t>
      </w:r>
    </w:p>
    <w:p w:rsidR="00391399" w:rsidRPr="006A5B9B" w:rsidRDefault="00391399" w:rsidP="006A5B9B">
      <w:r w:rsidRPr="006A5B9B">
        <w:t>A proposed condition of registration was:</w:t>
      </w:r>
    </w:p>
    <w:p w:rsidR="00391399" w:rsidRPr="006A5B9B" w:rsidRDefault="00391399" w:rsidP="006A5B9B">
      <w:pPr>
        <w:ind w:left="720"/>
      </w:pPr>
      <w:r w:rsidRPr="006A5B9B">
        <w:t>Implement EU-RMP version 1.0 (undated; data lock point 31 August 2013) with the Australian Specific Annex version 1.0 (dated 28 February 2014) and any future updates as a condition of registration.</w:t>
      </w:r>
    </w:p>
    <w:p w:rsidR="00391399" w:rsidRPr="006A5B9B" w:rsidRDefault="00391399" w:rsidP="006A5B9B">
      <w:r w:rsidRPr="006A5B9B">
        <w:t xml:space="preserve">The RMP </w:t>
      </w:r>
      <w:r w:rsidR="00142EBA" w:rsidRPr="006A5B9B">
        <w:t>evaluator</w:t>
      </w:r>
      <w:r w:rsidRPr="006A5B9B">
        <w:t xml:space="preserve"> draws attention to the PI for aprepitant having a contraindication related to concomitant use of certain CYP3A4 substrates (since inhibition of CYP3A4 by aprepitant could lead to elevated plasma concentrations and serious reactions).</w:t>
      </w:r>
      <w:r w:rsidR="005F7FE0" w:rsidRPr="006A5B9B">
        <w:t xml:space="preserve"> </w:t>
      </w:r>
      <w:r w:rsidRPr="006A5B9B">
        <w:t>The contraindication is as follows:</w:t>
      </w:r>
    </w:p>
    <w:p w:rsidR="00391399" w:rsidRPr="006A5B9B" w:rsidRDefault="00691119" w:rsidP="006A5B9B">
      <w:pPr>
        <w:ind w:left="720"/>
        <w:rPr>
          <w:i/>
        </w:rPr>
      </w:pPr>
      <w:r w:rsidRPr="00F5364C">
        <w:rPr>
          <w:i/>
        </w:rPr>
        <w:t>E</w:t>
      </w:r>
      <w:r w:rsidR="00F5364C" w:rsidRPr="00F5364C">
        <w:rPr>
          <w:i/>
        </w:rPr>
        <w:t>mend</w:t>
      </w:r>
      <w:r w:rsidR="00391399" w:rsidRPr="00F5364C">
        <w:rPr>
          <w:i/>
        </w:rPr>
        <w:t xml:space="preserve"> s</w:t>
      </w:r>
      <w:r w:rsidR="00391399" w:rsidRPr="006A5B9B">
        <w:rPr>
          <w:i/>
        </w:rPr>
        <w:t xml:space="preserve">hould not be used concurrently with </w:t>
      </w:r>
      <w:proofErr w:type="spellStart"/>
      <w:r w:rsidR="00391399" w:rsidRPr="006A5B9B">
        <w:rPr>
          <w:i/>
        </w:rPr>
        <w:t>pimozide</w:t>
      </w:r>
      <w:proofErr w:type="spellEnd"/>
      <w:r w:rsidR="00391399" w:rsidRPr="006A5B9B">
        <w:rPr>
          <w:i/>
        </w:rPr>
        <w:t xml:space="preserve">, </w:t>
      </w:r>
      <w:proofErr w:type="spellStart"/>
      <w:r w:rsidR="00391399" w:rsidRPr="006A5B9B">
        <w:rPr>
          <w:i/>
        </w:rPr>
        <w:t>terfenadine</w:t>
      </w:r>
      <w:proofErr w:type="spellEnd"/>
      <w:r w:rsidR="00391399" w:rsidRPr="006A5B9B">
        <w:rPr>
          <w:i/>
        </w:rPr>
        <w:t xml:space="preserve">, </w:t>
      </w:r>
      <w:proofErr w:type="spellStart"/>
      <w:r w:rsidR="00391399" w:rsidRPr="006A5B9B">
        <w:rPr>
          <w:i/>
        </w:rPr>
        <w:t>astemizole</w:t>
      </w:r>
      <w:proofErr w:type="spellEnd"/>
      <w:r w:rsidR="00391399" w:rsidRPr="006A5B9B">
        <w:rPr>
          <w:i/>
        </w:rPr>
        <w:t xml:space="preserve">, or </w:t>
      </w:r>
      <w:proofErr w:type="spellStart"/>
      <w:r w:rsidR="00391399" w:rsidRPr="006A5B9B">
        <w:rPr>
          <w:i/>
        </w:rPr>
        <w:t>cisapride</w:t>
      </w:r>
      <w:proofErr w:type="spellEnd"/>
      <w:r w:rsidR="00391399" w:rsidRPr="006A5B9B">
        <w:rPr>
          <w:i/>
        </w:rPr>
        <w:t>. Dose-dependent inhibition of cytochrome P450 isoenzyme 3A4 (CYP3A4) by aprepitant could result in elevated plasma concentrations of these drugs, potentially causing serious or life-threatening reactions.</w:t>
      </w:r>
    </w:p>
    <w:p w:rsidR="008E7846" w:rsidRPr="006A5B9B" w:rsidRDefault="00391399" w:rsidP="006A5B9B">
      <w:r w:rsidRPr="006A5B9B">
        <w:t>This is not a contraindication that is always applied for moderate CYP3A4 inhibitors.</w:t>
      </w:r>
    </w:p>
    <w:p w:rsidR="008E7846" w:rsidRPr="006A5B9B" w:rsidRDefault="00AA0ED0" w:rsidP="006A5B9B">
      <w:pPr>
        <w:pStyle w:val="Heading3"/>
      </w:pPr>
      <w:bookmarkStart w:id="154" w:name="_Toc247691531"/>
      <w:bookmarkStart w:id="155" w:name="_Toc314842515"/>
      <w:bookmarkStart w:id="156" w:name="_Toc196046505"/>
      <w:bookmarkStart w:id="157" w:name="_Toc196046949"/>
      <w:bookmarkStart w:id="158" w:name="_Toc466986554"/>
      <w:r w:rsidRPr="006A5B9B">
        <w:lastRenderedPageBreak/>
        <w:t>Risk-benefit a</w:t>
      </w:r>
      <w:r w:rsidR="008E7846" w:rsidRPr="006A5B9B">
        <w:t>nalysis</w:t>
      </w:r>
      <w:bookmarkEnd w:id="154"/>
      <w:bookmarkEnd w:id="155"/>
      <w:bookmarkEnd w:id="158"/>
    </w:p>
    <w:p w:rsidR="00634C11" w:rsidRPr="006A5B9B" w:rsidRDefault="00125DF4" w:rsidP="006A5B9B">
      <w:pPr>
        <w:pStyle w:val="Heading4"/>
      </w:pPr>
      <w:r w:rsidRPr="006A5B9B">
        <w:t>Benefit/</w:t>
      </w:r>
      <w:r w:rsidR="00634C11" w:rsidRPr="006A5B9B">
        <w:t>risk balance</w:t>
      </w:r>
    </w:p>
    <w:p w:rsidR="00634C11" w:rsidRPr="006A5B9B" w:rsidRDefault="00634C11" w:rsidP="006A5B9B">
      <w:r w:rsidRPr="006A5B9B">
        <w:t xml:space="preserve">Some benefits of </w:t>
      </w:r>
      <w:r w:rsidR="00C51742" w:rsidRPr="006A5B9B">
        <w:t>Akynzeo</w:t>
      </w:r>
      <w:r w:rsidRPr="006A5B9B">
        <w:t xml:space="preserve"> are its potential convenience as a single tablet; and a modest gain in efficacy with the addition of netupitant, relative to oral palonosetron.</w:t>
      </w:r>
    </w:p>
    <w:p w:rsidR="00634C11" w:rsidRPr="006A5B9B" w:rsidRDefault="00634C11" w:rsidP="006A5B9B">
      <w:r w:rsidRPr="006A5B9B">
        <w:t>Some uncertainties associated with these benefits are that:</w:t>
      </w:r>
    </w:p>
    <w:p w:rsidR="00634C11" w:rsidRPr="006A5B9B" w:rsidRDefault="00634C11" w:rsidP="006A5B9B">
      <w:pPr>
        <w:pStyle w:val="ListBullet"/>
      </w:pPr>
      <w:r w:rsidRPr="006A5B9B">
        <w:t>‘convenience’ is a</w:t>
      </w:r>
      <w:r w:rsidR="00CD484A">
        <w:t>ssumed rather than demonstrated</w:t>
      </w:r>
    </w:p>
    <w:p w:rsidR="00634C11" w:rsidRPr="006A5B9B" w:rsidRDefault="00634C11" w:rsidP="006A5B9B">
      <w:pPr>
        <w:pStyle w:val="ListBullet"/>
      </w:pPr>
      <w:r w:rsidRPr="006A5B9B">
        <w:t>the mechanism by which netupit</w:t>
      </w:r>
      <w:r w:rsidR="00CD484A">
        <w:t>ant adds to efficacy is unclear</w:t>
      </w:r>
    </w:p>
    <w:p w:rsidR="00634C11" w:rsidRPr="006A5B9B" w:rsidRDefault="00634C11" w:rsidP="006A5B9B">
      <w:pPr>
        <w:pStyle w:val="ListBullet"/>
      </w:pPr>
      <w:proofErr w:type="gramStart"/>
      <w:r w:rsidRPr="006A5B9B">
        <w:t>bridging</w:t>
      </w:r>
      <w:proofErr w:type="gramEnd"/>
      <w:r w:rsidRPr="006A5B9B">
        <w:t xml:space="preserve"> is required from the chosen comparator (oral palonosetron) to estab</w:t>
      </w:r>
      <w:r w:rsidR="00CD484A">
        <w:t>lish its relevance in Australia</w:t>
      </w:r>
      <w:r w:rsidR="001E2377">
        <w:t>.</w:t>
      </w:r>
    </w:p>
    <w:p w:rsidR="00634C11" w:rsidRPr="006A5B9B" w:rsidRDefault="00634C11" w:rsidP="00680A60">
      <w:pPr>
        <w:pStyle w:val="ListBullet"/>
        <w:numPr>
          <w:ilvl w:val="0"/>
          <w:numId w:val="0"/>
        </w:numPr>
      </w:pPr>
      <w:r w:rsidRPr="006A5B9B">
        <w:t xml:space="preserve">Some risks of </w:t>
      </w:r>
      <w:r w:rsidR="00C51742" w:rsidRPr="006A5B9B">
        <w:t>Akynzeo</w:t>
      </w:r>
      <w:r w:rsidRPr="006A5B9B">
        <w:t xml:space="preserve"> (other than those linked to the uncertainties outlined above) are that:</w:t>
      </w:r>
    </w:p>
    <w:p w:rsidR="00634C11" w:rsidRPr="006A5B9B" w:rsidRDefault="00634C11" w:rsidP="006A5B9B">
      <w:pPr>
        <w:pStyle w:val="ListBullet"/>
      </w:pPr>
      <w:r w:rsidRPr="006A5B9B">
        <w:t>there may be pharmacokinetic interactions between netupitant and other CYP3A4 substrates</w:t>
      </w:r>
    </w:p>
    <w:p w:rsidR="00634C11" w:rsidRPr="006A5B9B" w:rsidRDefault="00634C11" w:rsidP="006A5B9B">
      <w:pPr>
        <w:pStyle w:val="ListBullet"/>
      </w:pPr>
      <w:proofErr w:type="gramStart"/>
      <w:r w:rsidRPr="006A5B9B">
        <w:t>netupitant</w:t>
      </w:r>
      <w:proofErr w:type="gramEnd"/>
      <w:r w:rsidRPr="006A5B9B">
        <w:t xml:space="preserve"> may be linked to an increased risk of infection, whether directly or indirectly</w:t>
      </w:r>
      <w:r w:rsidR="001E2377">
        <w:t>.</w:t>
      </w:r>
    </w:p>
    <w:p w:rsidR="00D23139" w:rsidRPr="006A5B9B" w:rsidRDefault="00CD484A" w:rsidP="006A5B9B">
      <w:pPr>
        <w:pStyle w:val="Heading4"/>
      </w:pPr>
      <w:r>
        <w:t>Delegate’s considerations</w:t>
      </w:r>
    </w:p>
    <w:p w:rsidR="00634C11" w:rsidRPr="006A5B9B" w:rsidRDefault="00634C11" w:rsidP="006A5B9B">
      <w:pPr>
        <w:pStyle w:val="Heading5"/>
      </w:pPr>
      <w:r w:rsidRPr="006A5B9B">
        <w:t>Evidence for netupitant efficacy</w:t>
      </w:r>
    </w:p>
    <w:p w:rsidR="00634C11" w:rsidRPr="006A5B9B" w:rsidRDefault="00634C11" w:rsidP="006A5B9B">
      <w:r w:rsidRPr="006A5B9B">
        <w:t xml:space="preserve">Netupitant is an </w:t>
      </w:r>
      <w:r w:rsidR="00BD6934">
        <w:t>NK1 R</w:t>
      </w:r>
      <w:r w:rsidRPr="006A5B9B">
        <w:t xml:space="preserve"> antagonist and, with its different mechanism of action, is expected to provide additive anti-emetic prophylactic e</w:t>
      </w:r>
      <w:r w:rsidR="00CD484A">
        <w:t xml:space="preserve">fficacy when used alongside a </w:t>
      </w:r>
      <w:r w:rsidR="000C31A3" w:rsidRPr="004C0905">
        <w:rPr>
          <w:color w:val="000000"/>
          <w:lang w:eastAsia="en-AU"/>
        </w:rPr>
        <w:t>5-HT</w:t>
      </w:r>
      <w:r w:rsidR="000C31A3" w:rsidRPr="000C31A3">
        <w:rPr>
          <w:color w:val="000000"/>
          <w:vertAlign w:val="subscript"/>
          <w:lang w:eastAsia="en-AU"/>
        </w:rPr>
        <w:t>3</w:t>
      </w:r>
      <w:r w:rsidR="001E2377" w:rsidRPr="001E2377">
        <w:t xml:space="preserve"> </w:t>
      </w:r>
      <w:r w:rsidRPr="001E2377">
        <w:t>R</w:t>
      </w:r>
      <w:r w:rsidR="001E2377" w:rsidRPr="001E2377">
        <w:t>A</w:t>
      </w:r>
      <w:r w:rsidRPr="006A5B9B">
        <w:t xml:space="preserve"> and dexamethasone.</w:t>
      </w:r>
      <w:r w:rsidR="005F7FE0" w:rsidRPr="006A5B9B">
        <w:t xml:space="preserve"> </w:t>
      </w:r>
      <w:r w:rsidRPr="006A5B9B">
        <w:t xml:space="preserve">This expectation aligns with the additive anti-emetic efficacy of other NK1R antagonists such </w:t>
      </w:r>
      <w:r w:rsidR="00CD484A">
        <w:t>as aprepitant and also with non</w:t>
      </w:r>
      <w:r w:rsidRPr="006A5B9B">
        <w:t xml:space="preserve">clinical evidence of </w:t>
      </w:r>
      <w:proofErr w:type="spellStart"/>
      <w:r w:rsidRPr="006A5B9B">
        <w:t>netupitant’s</w:t>
      </w:r>
      <w:proofErr w:type="spellEnd"/>
      <w:r w:rsidRPr="006A5B9B">
        <w:t xml:space="preserve"> efficacy.</w:t>
      </w:r>
    </w:p>
    <w:p w:rsidR="00634C11" w:rsidRPr="006A5B9B" w:rsidRDefault="00634C11" w:rsidP="006A5B9B">
      <w:r w:rsidRPr="006A5B9B">
        <w:t>In clinical studies in this submission, the additive anti-emetic efficacy of netupitant was modest, even for delayed phase CINV (this was more so in the more robust NETU-08-18 study than the smaller NETU-07-07 study).</w:t>
      </w:r>
    </w:p>
    <w:p w:rsidR="00634C11" w:rsidRPr="006A5B9B" w:rsidRDefault="00F73FE3" w:rsidP="006A5B9B">
      <w:r w:rsidRPr="006A5B9B">
        <w:t>Study NETU</w:t>
      </w:r>
      <w:r w:rsidR="00634C11" w:rsidRPr="006A5B9B">
        <w:t>-06-07 provides evidence of an interaction between netupitant (acting as a CYP3A4 inhibitor) and dexamethasone (acting as a CYP3A4 substrate), such that with concomitant use of netupitant, exposure to dexamethasone is considerably increased.</w:t>
      </w:r>
    </w:p>
    <w:p w:rsidR="00634C11" w:rsidRPr="006A5B9B" w:rsidRDefault="00634C11" w:rsidP="006A5B9B">
      <w:r w:rsidRPr="006A5B9B">
        <w:t xml:space="preserve">This resulted in the strategy of reducing the dexamethasone dose in arms that included netupitant, </w:t>
      </w:r>
      <w:r w:rsidR="004B70D8" w:rsidRPr="006A5B9B">
        <w:t>for example,</w:t>
      </w:r>
      <w:r w:rsidRPr="006A5B9B">
        <w:t xml:space="preserve"> in NETU-06-18 the arm without netupitant used 20 mg dexamethasone, while the netupitant arm used 12 mg.</w:t>
      </w:r>
      <w:r w:rsidR="005F7FE0" w:rsidRPr="006A5B9B">
        <w:t xml:space="preserve"> </w:t>
      </w:r>
      <w:r w:rsidRPr="006A5B9B">
        <w:t>The same approach has been used in studies of other NK1R antagonists.</w:t>
      </w:r>
    </w:p>
    <w:p w:rsidR="00634C11" w:rsidRPr="006A5B9B" w:rsidRDefault="00634C11" w:rsidP="006A5B9B">
      <w:r w:rsidRPr="006A5B9B">
        <w:t>The concern is that by most measures (</w:t>
      </w:r>
      <w:r w:rsidR="004B70D8" w:rsidRPr="006A5B9B">
        <w:t>for example,</w:t>
      </w:r>
      <w:r w:rsidRPr="006A5B9B">
        <w:t xml:space="preserve"> </w:t>
      </w:r>
      <w:proofErr w:type="spellStart"/>
      <w:r w:rsidR="0018634D" w:rsidRPr="005B2EAC">
        <w:t>C</w:t>
      </w:r>
      <w:r w:rsidR="0018634D" w:rsidRPr="0018634D">
        <w:rPr>
          <w:vertAlign w:val="subscript"/>
        </w:rPr>
        <w:t>max</w:t>
      </w:r>
      <w:proofErr w:type="spellEnd"/>
      <w:r w:rsidRPr="006A5B9B">
        <w:t xml:space="preserve"> after </w:t>
      </w:r>
      <w:r w:rsidR="00125DF4" w:rsidRPr="006A5B9B">
        <w:t>D</w:t>
      </w:r>
      <w:r w:rsidRPr="006A5B9B">
        <w:t xml:space="preserve">ay 1; AUC; </w:t>
      </w:r>
      <w:proofErr w:type="spellStart"/>
      <w:r w:rsidRPr="006A5B9B">
        <w:t>C</w:t>
      </w:r>
      <w:r w:rsidRPr="00CD484A">
        <w:rPr>
          <w:vertAlign w:val="subscript"/>
        </w:rPr>
        <w:t>min</w:t>
      </w:r>
      <w:proofErr w:type="spellEnd"/>
      <w:r w:rsidRPr="006A5B9B">
        <w:t>), the exposure to dexamethasone in the FDC arm (12 mg dexamethasone) should be considerably higher than in the palonosetron arm (20 mg dexamethasone).</w:t>
      </w:r>
    </w:p>
    <w:p w:rsidR="00634C11" w:rsidRPr="006A5B9B" w:rsidRDefault="00634C11" w:rsidP="006A5B9B">
      <w:r w:rsidRPr="006A5B9B">
        <w:t xml:space="preserve">There is some evidence of a </w:t>
      </w:r>
      <w:r w:rsidR="00027344">
        <w:t>dose response</w:t>
      </w:r>
      <w:r w:rsidRPr="006A5B9B">
        <w:t xml:space="preserve"> for dexamethasone and anti-emetic effect.</w:t>
      </w:r>
    </w:p>
    <w:p w:rsidR="00634C11" w:rsidRPr="006A5B9B" w:rsidRDefault="00634C11" w:rsidP="006A5B9B">
      <w:r w:rsidRPr="006A5B9B">
        <w:t xml:space="preserve">Therefore, imbalance across arms in exposure to dexamethasone is a confounder in the assessment of </w:t>
      </w:r>
      <w:proofErr w:type="spellStart"/>
      <w:r w:rsidRPr="006A5B9B">
        <w:t>netupitant’s</w:t>
      </w:r>
      <w:proofErr w:type="spellEnd"/>
      <w:r w:rsidRPr="006A5B9B">
        <w:t xml:space="preserve"> contribution to efficacy.</w:t>
      </w:r>
    </w:p>
    <w:p w:rsidR="00634C11" w:rsidRPr="006A5B9B" w:rsidRDefault="00634C11" w:rsidP="006A5B9B">
      <w:r w:rsidRPr="006A5B9B">
        <w:t>Thus there is doubt about the mechanism by which addition of netupitant to a backbone of palonosetron and dexamethasone results in a (modest) efficacy gain.</w:t>
      </w:r>
      <w:r w:rsidR="005F7FE0" w:rsidRPr="006A5B9B">
        <w:t xml:space="preserve"> </w:t>
      </w:r>
      <w:r w:rsidRPr="006A5B9B">
        <w:t>The proposed mechanism is NK1R antagonism; but it might be via pharmacokinetic potentiation of the role of dexamethasone.</w:t>
      </w:r>
    </w:p>
    <w:p w:rsidR="00634C11" w:rsidRPr="006A5B9B" w:rsidRDefault="00634C11" w:rsidP="006A5B9B">
      <w:r w:rsidRPr="006A5B9B">
        <w:lastRenderedPageBreak/>
        <w:t>This drug-drug interaction also incr</w:t>
      </w:r>
      <w:r w:rsidR="00CD484A">
        <w:t xml:space="preserve">eases the risk of dexamethasone </w:t>
      </w:r>
      <w:r w:rsidRPr="006A5B9B">
        <w:t>related AEs.</w:t>
      </w:r>
      <w:r w:rsidR="005F7FE0" w:rsidRPr="006A5B9B">
        <w:t xml:space="preserve"> </w:t>
      </w:r>
      <w:r w:rsidRPr="006A5B9B">
        <w:t xml:space="preserve">More broadly, </w:t>
      </w:r>
      <w:proofErr w:type="spellStart"/>
      <w:r w:rsidRPr="006A5B9B">
        <w:t>netupitant’s</w:t>
      </w:r>
      <w:proofErr w:type="spellEnd"/>
      <w:r w:rsidRPr="006A5B9B">
        <w:t xml:space="preserve"> CYP3A4 inhibition may impact on exposure to other drugs, </w:t>
      </w:r>
      <w:r w:rsidR="004B70D8" w:rsidRPr="006A5B9B">
        <w:t>for example,</w:t>
      </w:r>
      <w:r w:rsidRPr="006A5B9B">
        <w:t xml:space="preserve"> chemotherapy.</w:t>
      </w:r>
      <w:r w:rsidR="005F7FE0" w:rsidRPr="006A5B9B">
        <w:t xml:space="preserve"> </w:t>
      </w:r>
      <w:r w:rsidRPr="006A5B9B">
        <w:t xml:space="preserve">Because </w:t>
      </w:r>
      <w:r w:rsidR="00E96281" w:rsidRPr="006A5B9B">
        <w:t>Akynzeo</w:t>
      </w:r>
      <w:r w:rsidRPr="006A5B9B">
        <w:t xml:space="preserve"> is presented as a single fixed dose combination, there is no possibility of dose adjustment (except by moving to alternative treatments).</w:t>
      </w:r>
    </w:p>
    <w:p w:rsidR="00634C11" w:rsidRPr="006A5B9B" w:rsidRDefault="00634C11" w:rsidP="006A5B9B">
      <w:pPr>
        <w:pStyle w:val="Heading5"/>
      </w:pPr>
      <w:r w:rsidRPr="006A5B9B">
        <w:t>Evidence in MEC</w:t>
      </w:r>
    </w:p>
    <w:p w:rsidR="00634C11" w:rsidRPr="006A5B9B" w:rsidRDefault="00634C11" w:rsidP="006A5B9B">
      <w:r w:rsidRPr="006A5B9B">
        <w:t>The anthracycline + cyclophosphamide regimen used in NETU-08-18 is now considered highly emetogenic.</w:t>
      </w:r>
      <w:r w:rsidR="005F7FE0" w:rsidRPr="006A5B9B">
        <w:t xml:space="preserve"> </w:t>
      </w:r>
      <w:r w:rsidRPr="006A5B9B">
        <w:t>Accordingly, this study provides evidence for use in HEC.</w:t>
      </w:r>
      <w:r w:rsidR="005F7FE0" w:rsidRPr="006A5B9B">
        <w:t xml:space="preserve"> </w:t>
      </w:r>
      <w:r w:rsidRPr="006A5B9B">
        <w:t>The evidence for use in MEC is therefore from NETU-10-29, and by extrapolation from HEC.</w:t>
      </w:r>
      <w:r w:rsidR="005F7FE0" w:rsidRPr="006A5B9B">
        <w:t xml:space="preserve"> </w:t>
      </w:r>
      <w:r w:rsidR="00125DF4" w:rsidRPr="006A5B9B">
        <w:t>This evidence base is in the Delegate’s</w:t>
      </w:r>
      <w:r w:rsidRPr="006A5B9B">
        <w:t xml:space="preserve"> opinion sufficient to allow conclusions to be drawn about use in prevention of </w:t>
      </w:r>
      <w:r w:rsidR="00027344">
        <w:t>MEC induced</w:t>
      </w:r>
      <w:r w:rsidRPr="006A5B9B">
        <w:t xml:space="preserve"> nausea and vomiting.</w:t>
      </w:r>
    </w:p>
    <w:p w:rsidR="00634C11" w:rsidRPr="006A5B9B" w:rsidRDefault="00634C11" w:rsidP="006A5B9B">
      <w:pPr>
        <w:pStyle w:val="Heading5"/>
      </w:pPr>
      <w:r w:rsidRPr="006A5B9B">
        <w:t>Drug interactions</w:t>
      </w:r>
    </w:p>
    <w:p w:rsidR="00634C11" w:rsidRPr="006A5B9B" w:rsidRDefault="00634C11" w:rsidP="006A5B9B">
      <w:r w:rsidRPr="006A5B9B">
        <w:t>Netupitant is at least a moderate inhibitor of CYP3A4.</w:t>
      </w:r>
      <w:r w:rsidR="005F7FE0" w:rsidRPr="006A5B9B">
        <w:t xml:space="preserve"> </w:t>
      </w:r>
      <w:r w:rsidRPr="006A5B9B">
        <w:t xml:space="preserve">In addition to increased exposure to dexamethasone, there may be other clinically relevant consequences, </w:t>
      </w:r>
      <w:r w:rsidR="004B70D8" w:rsidRPr="006A5B9B">
        <w:t>for example,</w:t>
      </w:r>
      <w:r w:rsidRPr="006A5B9B">
        <w:t xml:space="preserve"> increased exposure to docetaxel.</w:t>
      </w:r>
      <w:r w:rsidR="005F7FE0" w:rsidRPr="006A5B9B">
        <w:t xml:space="preserve"> </w:t>
      </w:r>
      <w:r w:rsidRPr="006A5B9B">
        <w:t xml:space="preserve">Docetaxel has low </w:t>
      </w:r>
      <w:proofErr w:type="spellStart"/>
      <w:r w:rsidRPr="006A5B9B">
        <w:t>emetogenicity</w:t>
      </w:r>
      <w:proofErr w:type="spellEnd"/>
      <w:r w:rsidRPr="006A5B9B">
        <w:t>, but MEC / HEC status is based on the drug within any combination re</w:t>
      </w:r>
      <w:r w:rsidR="00207D84" w:rsidRPr="006A5B9B">
        <w:t>gime with greatest emetic risk,</w:t>
      </w:r>
      <w:r w:rsidRPr="006A5B9B">
        <w:t xml:space="preserve"> so docetaxel may be used in regimes where </w:t>
      </w:r>
      <w:r w:rsidR="00E96281" w:rsidRPr="006A5B9B">
        <w:t>Akynzeo</w:t>
      </w:r>
      <w:r w:rsidRPr="006A5B9B">
        <w:t xml:space="preserve"> is used for prevention of CINV.</w:t>
      </w:r>
    </w:p>
    <w:p w:rsidR="00634C11" w:rsidRPr="006A5B9B" w:rsidRDefault="00634C11" w:rsidP="006A5B9B">
      <w:pPr>
        <w:pStyle w:val="Heading5"/>
      </w:pPr>
      <w:r w:rsidRPr="006A5B9B">
        <w:t>Hepatic impairment</w:t>
      </w:r>
    </w:p>
    <w:p w:rsidR="00634C11" w:rsidRPr="006A5B9B" w:rsidRDefault="00634C11" w:rsidP="006A5B9B">
      <w:r w:rsidRPr="006A5B9B">
        <w:t>Exposure to netupitant was higher in moderate hepatic impairment, by 143</w:t>
      </w:r>
      <w:r w:rsidR="000403F6">
        <w:t>%</w:t>
      </w:r>
      <w:r w:rsidRPr="006A5B9B">
        <w:t xml:space="preserve"> for AUC.</w:t>
      </w:r>
      <w:r w:rsidR="005F7FE0" w:rsidRPr="006A5B9B">
        <w:t xml:space="preserve"> </w:t>
      </w:r>
      <w:r w:rsidRPr="006A5B9B">
        <w:t xml:space="preserve">There is no potential for dose adjustment with </w:t>
      </w:r>
      <w:r w:rsidR="00C51742" w:rsidRPr="006A5B9B">
        <w:t>Akynzeo</w:t>
      </w:r>
      <w:r w:rsidRPr="006A5B9B">
        <w:t>, since there is only one dose strength and only one dose is given per cycle.</w:t>
      </w:r>
      <w:r w:rsidR="005F7FE0" w:rsidRPr="006A5B9B">
        <w:t xml:space="preserve"> </w:t>
      </w:r>
      <w:r w:rsidRPr="006A5B9B">
        <w:t>The possible consequences of a more than doubling of exposure include exacerbation of drug-drug interaction issues (</w:t>
      </w:r>
      <w:r w:rsidR="004B70D8" w:rsidRPr="006A5B9B">
        <w:t>for example,</w:t>
      </w:r>
      <w:r w:rsidRPr="006A5B9B">
        <w:t xml:space="preserve"> a more pronounced increase in exposure to dexamethasone; yet there is already a</w:t>
      </w:r>
      <w:r w:rsidR="00125DF4" w:rsidRPr="006A5B9B">
        <w:t xml:space="preserve">dvice in the </w:t>
      </w:r>
      <w:proofErr w:type="spellStart"/>
      <w:r w:rsidR="00125DF4" w:rsidRPr="006A5B9B">
        <w:t>Dexmethsone</w:t>
      </w:r>
      <w:proofErr w:type="spellEnd"/>
      <w:r w:rsidR="00125DF4" w:rsidRPr="006A5B9B">
        <w:t xml:space="preserve"> PI to ‘</w:t>
      </w:r>
      <w:r w:rsidRPr="006A5B9B">
        <w:t>use with caution in patients with impaired hepatic function, a reduc</w:t>
      </w:r>
      <w:r w:rsidR="00125DF4" w:rsidRPr="006A5B9B">
        <w:t>tion of dosage may be necessary’</w:t>
      </w:r>
      <w:r w:rsidRPr="006A5B9B">
        <w:t>) a</w:t>
      </w:r>
      <w:r w:rsidR="00123301">
        <w:t xml:space="preserve">nd increased risk of netupitant </w:t>
      </w:r>
      <w:r w:rsidRPr="006A5B9B">
        <w:t>specific AEs.</w:t>
      </w:r>
    </w:p>
    <w:p w:rsidR="00D23139" w:rsidRPr="006A5B9B" w:rsidRDefault="00D23139" w:rsidP="006A5B9B">
      <w:pPr>
        <w:pStyle w:val="Heading4"/>
      </w:pPr>
      <w:r w:rsidRPr="006A5B9B">
        <w:t>Proposed action</w:t>
      </w:r>
    </w:p>
    <w:p w:rsidR="008223E4" w:rsidRPr="006A5B9B" w:rsidRDefault="008223E4" w:rsidP="006A5B9B">
      <w:r w:rsidRPr="006A5B9B">
        <w:t xml:space="preserve">The Delegate is not in a position to say, at this time, that the application for </w:t>
      </w:r>
      <w:r w:rsidR="00C51742" w:rsidRPr="006A5B9B">
        <w:t>Akynzeo</w:t>
      </w:r>
      <w:r w:rsidRPr="006A5B9B">
        <w:t xml:space="preserve"> should be approved for registration because the Delegate would like to receive advice from the ACPM, about issues discussed in the Delegate’s overview.</w:t>
      </w:r>
    </w:p>
    <w:p w:rsidR="00D23139" w:rsidRPr="006A5B9B" w:rsidRDefault="00D23139" w:rsidP="006A5B9B">
      <w:pPr>
        <w:pStyle w:val="Heading4"/>
      </w:pPr>
      <w:r w:rsidRPr="006A5B9B">
        <w:t>Request for ACPM advice</w:t>
      </w:r>
    </w:p>
    <w:p w:rsidR="00F73758" w:rsidRPr="006A5B9B" w:rsidRDefault="00F73758" w:rsidP="006A5B9B">
      <w:r w:rsidRPr="006A5B9B">
        <w:t>The committee is requested to provide advice on the following specific issues:</w:t>
      </w:r>
    </w:p>
    <w:p w:rsidR="00F73758" w:rsidRDefault="00F73758" w:rsidP="006A5B9B">
      <w:pPr>
        <w:pStyle w:val="Numberbullet0"/>
        <w:numPr>
          <w:ilvl w:val="0"/>
          <w:numId w:val="42"/>
        </w:numPr>
      </w:pPr>
      <w:r>
        <w:t>Does the ACPM consider that the anti-emetic efficacy of netupitant is confounded by the pharmacokinetic interaction with dexamethasone?</w:t>
      </w:r>
    </w:p>
    <w:p w:rsidR="00F73758" w:rsidRDefault="00123301" w:rsidP="006A5B9B">
      <w:pPr>
        <w:pStyle w:val="Numberbullet0"/>
        <w:numPr>
          <w:ilvl w:val="0"/>
          <w:numId w:val="42"/>
        </w:numPr>
      </w:pPr>
      <w:r>
        <w:t xml:space="preserve">If so, how; if at all, </w:t>
      </w:r>
      <w:r w:rsidR="00F73758">
        <w:t xml:space="preserve">does this impact on the assessment of </w:t>
      </w:r>
      <w:proofErr w:type="spellStart"/>
      <w:r w:rsidR="00E96281">
        <w:t>Akynzeo</w:t>
      </w:r>
      <w:r w:rsidR="00125DF4">
        <w:t>’s</w:t>
      </w:r>
      <w:proofErr w:type="spellEnd"/>
      <w:r w:rsidR="00125DF4">
        <w:t xml:space="preserve"> benefit/</w:t>
      </w:r>
      <w:r w:rsidR="00F73758">
        <w:t>risk profile?</w:t>
      </w:r>
    </w:p>
    <w:p w:rsidR="00F73758" w:rsidRDefault="00F73758" w:rsidP="006A5B9B">
      <w:pPr>
        <w:pStyle w:val="Numberbullet0"/>
        <w:numPr>
          <w:ilvl w:val="0"/>
          <w:numId w:val="42"/>
        </w:numPr>
      </w:pPr>
      <w:r>
        <w:t>Does the ACPM consider there is sufficient evidence of use in MEC?</w:t>
      </w:r>
    </w:p>
    <w:p w:rsidR="00F73758" w:rsidRDefault="00F73758" w:rsidP="006A5B9B">
      <w:pPr>
        <w:pStyle w:val="Numberbullet0"/>
        <w:numPr>
          <w:ilvl w:val="0"/>
          <w:numId w:val="42"/>
        </w:numPr>
      </w:pPr>
      <w:r>
        <w:t xml:space="preserve">Should there be advice in the </w:t>
      </w:r>
      <w:r w:rsidR="00C51742">
        <w:t>Akynzeo</w:t>
      </w:r>
      <w:r>
        <w:t xml:space="preserve"> PI not to use the product in patients with moderate and / or severe hepatic impairment?</w:t>
      </w:r>
    </w:p>
    <w:p w:rsidR="00F73758" w:rsidRDefault="00F73758" w:rsidP="006A5B9B">
      <w:pPr>
        <w:pStyle w:val="Numberbullet0"/>
      </w:pPr>
      <w:r>
        <w:t xml:space="preserve">Does the ACPM object to the name </w:t>
      </w:r>
      <w:r w:rsidR="00C51742">
        <w:t>Akynzeo</w:t>
      </w:r>
      <w:r>
        <w:t xml:space="preserve"> (</w:t>
      </w:r>
      <w:r w:rsidR="004B70D8">
        <w:t>for example,</w:t>
      </w:r>
      <w:r>
        <w:t xml:space="preserve"> is it too close to </w:t>
      </w:r>
      <w:proofErr w:type="spellStart"/>
      <w:r>
        <w:t>Akineton</w:t>
      </w:r>
      <w:proofErr w:type="spellEnd"/>
      <w:r>
        <w:t>?)</w:t>
      </w:r>
    </w:p>
    <w:p w:rsidR="00F73758" w:rsidRDefault="00F73758" w:rsidP="006A5B9B">
      <w:pPr>
        <w:pStyle w:val="Numberbullet0"/>
      </w:pPr>
      <w:r>
        <w:t xml:space="preserve">Does the ACPM consider that </w:t>
      </w:r>
      <w:r w:rsidR="00C51742">
        <w:t>Akynzeo</w:t>
      </w:r>
      <w:r>
        <w:t xml:space="preserve"> has a positive benefit / risk balance?</w:t>
      </w:r>
    </w:p>
    <w:p w:rsidR="00F73758" w:rsidRDefault="00F73758" w:rsidP="006A5B9B">
      <w:pPr>
        <w:pStyle w:val="Numberbullet0"/>
      </w:pPr>
      <w:r>
        <w:t xml:space="preserve">What indication in prevention of CINV does the ACPM consider is supported by the evidence for </w:t>
      </w:r>
      <w:r w:rsidR="00E96281">
        <w:t>Akynzeo</w:t>
      </w:r>
      <w:r>
        <w:t>?</w:t>
      </w:r>
    </w:p>
    <w:p w:rsidR="00F73758" w:rsidRDefault="00F73758" w:rsidP="006A5B9B">
      <w:pPr>
        <w:pStyle w:val="Numberbullet0"/>
      </w:pPr>
      <w:r>
        <w:t xml:space="preserve">Does the ACPM have any comments or suggestions about the </w:t>
      </w:r>
      <w:r w:rsidR="00C51742">
        <w:t>Akynzeo</w:t>
      </w:r>
      <w:r>
        <w:t xml:space="preserve"> PI or CMI?</w:t>
      </w:r>
    </w:p>
    <w:p w:rsidR="00F73758" w:rsidRPr="006A5B9B" w:rsidRDefault="00F73758" w:rsidP="006A5B9B">
      <w:r w:rsidRPr="006A5B9B">
        <w:t>The committee is also requested to provide advice on any other issues that it thinks may be relevant to a decision on whether or not to approve this application.</w:t>
      </w:r>
    </w:p>
    <w:p w:rsidR="00D23139" w:rsidRDefault="00D23139" w:rsidP="006A5B9B">
      <w:pPr>
        <w:pStyle w:val="Heading4"/>
      </w:pPr>
      <w:r w:rsidRPr="00D23139">
        <w:lastRenderedPageBreak/>
        <w:t xml:space="preserve">Response from </w:t>
      </w:r>
      <w:r w:rsidR="00791AE3">
        <w:t>sponsor</w:t>
      </w:r>
    </w:p>
    <w:p w:rsidR="00391AAA" w:rsidRPr="00D31F4E" w:rsidRDefault="00391AAA" w:rsidP="00D31F4E">
      <w:pPr>
        <w:pStyle w:val="Heading5"/>
      </w:pPr>
      <w:r w:rsidRPr="00D31F4E">
        <w:t>Delegate’s request to alter the proposed indication</w:t>
      </w:r>
    </w:p>
    <w:p w:rsidR="00391AAA" w:rsidRPr="00D31F4E" w:rsidRDefault="00391AAA" w:rsidP="00D31F4E">
      <w:r w:rsidRPr="00D31F4E">
        <w:t xml:space="preserve">The </w:t>
      </w:r>
      <w:r w:rsidR="00791AE3" w:rsidRPr="00D31F4E">
        <w:t>sponsor</w:t>
      </w:r>
      <w:r w:rsidRPr="00D31F4E">
        <w:t xml:space="preserve"> proposes to retain the indication submitted with the original application.</w:t>
      </w:r>
    </w:p>
    <w:p w:rsidR="00125DF4" w:rsidRPr="00D31F4E" w:rsidRDefault="00391AAA" w:rsidP="00D31F4E">
      <w:r w:rsidRPr="00D31F4E">
        <w:t xml:space="preserve">The </w:t>
      </w:r>
      <w:r w:rsidR="00791AE3" w:rsidRPr="00D31F4E">
        <w:t>sponsor</w:t>
      </w:r>
      <w:r w:rsidRPr="00D31F4E">
        <w:t xml:space="preserve"> does not agree with the </w:t>
      </w:r>
      <w:r w:rsidR="00125DF4" w:rsidRPr="00D31F4E">
        <w:t xml:space="preserve">Delegate’s statement </w:t>
      </w:r>
      <w:r w:rsidRPr="00D31F4E">
        <w:t>‘there is concern that netupitant is at least partially providing efficacy via potentiating the effect of dexamethasone</w:t>
      </w:r>
      <w:r w:rsidR="00125DF4" w:rsidRPr="00D31F4E">
        <w:t>,</w:t>
      </w:r>
      <w:r w:rsidRPr="00D31F4E">
        <w:t xml:space="preserve"> this should be reflected in the indication’</w:t>
      </w:r>
      <w:r w:rsidR="00207D84" w:rsidRPr="00D31F4E">
        <w:t>.</w:t>
      </w:r>
    </w:p>
    <w:p w:rsidR="00391AAA" w:rsidRPr="00D31F4E" w:rsidRDefault="00391AAA" w:rsidP="00D31F4E">
      <w:r w:rsidRPr="00D31F4E">
        <w:t xml:space="preserve">The </w:t>
      </w:r>
      <w:r w:rsidR="00791AE3" w:rsidRPr="00D31F4E">
        <w:t>sponsor</w:t>
      </w:r>
      <w:r w:rsidRPr="00D31F4E">
        <w:t xml:space="preserve"> acknowledges the role of dexamethasone as the backbone of preventative therapy as adopted by </w:t>
      </w:r>
      <w:proofErr w:type="spellStart"/>
      <w:r w:rsidRPr="00D31F4E">
        <w:t>EviQ</w:t>
      </w:r>
      <w:proofErr w:type="spellEnd"/>
      <w:r w:rsidRPr="00D31F4E">
        <w:t xml:space="preserve"> in the Australian clinical setting. The </w:t>
      </w:r>
      <w:r w:rsidR="00791AE3" w:rsidRPr="00D31F4E">
        <w:t>sponsor</w:t>
      </w:r>
      <w:r w:rsidRPr="00D31F4E">
        <w:t xml:space="preserve"> proposes to add reference to the use of dexamethasone within </w:t>
      </w:r>
      <w:r w:rsidR="00123301" w:rsidRPr="00D31F4E">
        <w:t xml:space="preserve">the dosage and administration </w:t>
      </w:r>
      <w:r w:rsidRPr="00D31F4E">
        <w:t>sect</w:t>
      </w:r>
      <w:r w:rsidR="00125DF4" w:rsidRPr="00D31F4E">
        <w:t>ion of the PI</w:t>
      </w:r>
      <w:r w:rsidRPr="00D31F4E">
        <w:t>.</w:t>
      </w:r>
    </w:p>
    <w:p w:rsidR="00391AAA" w:rsidRPr="00D31F4E" w:rsidRDefault="00391AAA" w:rsidP="00D31F4E">
      <w:pPr>
        <w:pStyle w:val="Heading5"/>
      </w:pPr>
      <w:r w:rsidRPr="00D31F4E">
        <w:t>Evidence for netupitant efficacy and its relationship to concomitant use of dexamethasone</w:t>
      </w:r>
    </w:p>
    <w:p w:rsidR="00391AAA" w:rsidRPr="00D31F4E" w:rsidRDefault="00391AAA" w:rsidP="00D31F4E">
      <w:r w:rsidRPr="00D31F4E">
        <w:t xml:space="preserve">The </w:t>
      </w:r>
      <w:r w:rsidR="00791AE3" w:rsidRPr="00D31F4E">
        <w:t>sponsor</w:t>
      </w:r>
      <w:r w:rsidRPr="00D31F4E">
        <w:t xml:space="preserve"> does not agree with t</w:t>
      </w:r>
      <w:r w:rsidR="00125DF4" w:rsidRPr="00D31F4E">
        <w:t>he Delegate</w:t>
      </w:r>
      <w:r w:rsidR="00123301">
        <w:t>’s</w:t>
      </w:r>
      <w:r w:rsidR="00125DF4" w:rsidRPr="00D31F4E">
        <w:t xml:space="preserve"> statement</w:t>
      </w:r>
      <w:r w:rsidRPr="00D31F4E">
        <w:t xml:space="preserve"> that </w:t>
      </w:r>
      <w:r w:rsidR="00125DF4" w:rsidRPr="00D31F4E">
        <w:t>‘</w:t>
      </w:r>
      <w:r w:rsidRPr="00123301">
        <w:rPr>
          <w:i/>
        </w:rPr>
        <w:t>the overall impression is that efficacy of the FDC is modestly improved over that of oral palonosetron, and that most of the improvement is in prevention of delayed phase CINV (but even here, the effect size relative</w:t>
      </w:r>
      <w:r w:rsidR="008078A7" w:rsidRPr="00123301">
        <w:rPr>
          <w:i/>
        </w:rPr>
        <w:t xml:space="preserve"> to palonosetron was not great)</w:t>
      </w:r>
      <w:r w:rsidR="008078A7" w:rsidRPr="00D31F4E">
        <w:t>’</w:t>
      </w:r>
      <w:r w:rsidRPr="00D31F4E">
        <w:t xml:space="preserve"> and the subsequent link to the proposed changes to the</w:t>
      </w:r>
      <w:r w:rsidR="00125DF4" w:rsidRPr="00D31F4E">
        <w:t xml:space="preserve"> indication</w:t>
      </w:r>
      <w:r w:rsidRPr="00D31F4E">
        <w:t>.</w:t>
      </w:r>
    </w:p>
    <w:p w:rsidR="00391AAA" w:rsidRPr="00D31F4E" w:rsidRDefault="00391AAA" w:rsidP="00D31F4E">
      <w:r w:rsidRPr="00D31F4E">
        <w:t xml:space="preserve">The adjustment of dexamethasone dose in the three </w:t>
      </w:r>
      <w:r w:rsidR="00C51742" w:rsidRPr="00D31F4E">
        <w:t>Akynzeo</w:t>
      </w:r>
      <w:r w:rsidRPr="00D31F4E">
        <w:t xml:space="preserve"> pivotal efficacy and safety studies NETU-07-07, NETU-08-18 and NETU-10-29 was based on the res</w:t>
      </w:r>
      <w:r w:rsidR="00123301">
        <w:t>ults of the random</w:t>
      </w:r>
      <w:r w:rsidR="00AA120C">
        <w:t>ise</w:t>
      </w:r>
      <w:r w:rsidR="00123301">
        <w:t>d, open, 3 period crossover drug – drug i</w:t>
      </w:r>
      <w:r w:rsidRPr="00D31F4E">
        <w:t xml:space="preserve">nteraction </w:t>
      </w:r>
      <w:r w:rsidR="00F73FE3" w:rsidRPr="00D31F4E">
        <w:t>Study NETU</w:t>
      </w:r>
      <w:r w:rsidRPr="00D31F4E">
        <w:t>-06-07, which investigated the effects of 3 different doses of oral ne</w:t>
      </w:r>
      <w:r w:rsidR="00123301">
        <w:t>tupitant (100mg, 300 mg and 450 </w:t>
      </w:r>
      <w:r w:rsidRPr="00D31F4E">
        <w:t xml:space="preserve">mg) on the pharmacokinetics of dexamethasone in healthy male and female subjects receiving the standard dexamethasone antiemetic regimen administered using a </w:t>
      </w:r>
      <w:r w:rsidR="000C31A3" w:rsidRPr="004C0905">
        <w:rPr>
          <w:color w:val="000000"/>
          <w:lang w:eastAsia="en-AU"/>
        </w:rPr>
        <w:t>5-HT</w:t>
      </w:r>
      <w:r w:rsidR="000C31A3" w:rsidRPr="000C31A3">
        <w:rPr>
          <w:color w:val="000000"/>
          <w:vertAlign w:val="subscript"/>
          <w:lang w:eastAsia="en-AU"/>
        </w:rPr>
        <w:t>3</w:t>
      </w:r>
      <w:r w:rsidRPr="00D31F4E">
        <w:t xml:space="preserve"> RA inhibitor alone. The reduction in dexamethasone dose on Day 1 adopted in </w:t>
      </w:r>
      <w:r w:rsidR="00C51742" w:rsidRPr="00D31F4E">
        <w:t>Akynzeo</w:t>
      </w:r>
      <w:r w:rsidRPr="00D31F4E">
        <w:t xml:space="preserve"> clinical trials was consistent with a 1.7 fold increase in exposure (AUC</w:t>
      </w:r>
      <w:r w:rsidRPr="00123301">
        <w:rPr>
          <w:vertAlign w:val="subscript"/>
        </w:rPr>
        <w:t>0-24</w:t>
      </w:r>
      <w:r w:rsidRPr="00D31F4E">
        <w:t>) for the 300 m</w:t>
      </w:r>
      <w:r w:rsidR="00123301">
        <w:t>g netupitant dose level (12 mg times</w:t>
      </w:r>
      <w:r w:rsidRPr="00D31F4E">
        <w:t xml:space="preserve"> 1.7 fold increase is approximately 20 mg) ob</w:t>
      </w:r>
      <w:r w:rsidR="00125DF4" w:rsidRPr="00D31F4E">
        <w:t xml:space="preserve">served in NETU-06-07; on Days 2 to </w:t>
      </w:r>
      <w:r w:rsidRPr="00D31F4E">
        <w:t xml:space="preserve">4, in patients receiving HEC in </w:t>
      </w:r>
      <w:r w:rsidR="00F73FE3" w:rsidRPr="00D31F4E">
        <w:t>Study NETU</w:t>
      </w:r>
      <w:r w:rsidR="00123301">
        <w:t>-07-07 and NETU</w:t>
      </w:r>
      <w:r w:rsidR="00123301">
        <w:noBreakHyphen/>
      </w:r>
      <w:r w:rsidRPr="00D31F4E">
        <w:t xml:space="preserve">10-29 the daily dexamethasone dose was halved from 8 mg </w:t>
      </w:r>
      <w:r w:rsidR="00125DF4" w:rsidRPr="00D31F4E">
        <w:t>twice daily (</w:t>
      </w:r>
      <w:r w:rsidR="003802E6">
        <w:t>B</w:t>
      </w:r>
      <w:r w:rsidRPr="00D31F4E">
        <w:t>D</w:t>
      </w:r>
      <w:r w:rsidR="00125DF4" w:rsidRPr="00D31F4E">
        <w:t>)</w:t>
      </w:r>
      <w:r w:rsidRPr="00D31F4E">
        <w:t xml:space="preserve"> to 8 mg </w:t>
      </w:r>
      <w:r w:rsidR="00125DF4" w:rsidRPr="00D31F4E">
        <w:t>once daily (</w:t>
      </w:r>
      <w:r w:rsidRPr="00D31F4E">
        <w:t>QD</w:t>
      </w:r>
      <w:r w:rsidR="00125DF4" w:rsidRPr="00D31F4E">
        <w:t xml:space="preserve">) again consistently with the 2 </w:t>
      </w:r>
      <w:r w:rsidRPr="00D31F4E">
        <w:t xml:space="preserve">fold increase in exposure observed in healthy volunteers. Information on concurrent dexamethasone dosages used in clinical studies </w:t>
      </w:r>
      <w:r w:rsidR="00C05B17" w:rsidRPr="00D31F4E">
        <w:t>is</w:t>
      </w:r>
      <w:r w:rsidRPr="00D31F4E">
        <w:t xml:space="preserve"> included in the PI.</w:t>
      </w:r>
    </w:p>
    <w:p w:rsidR="00391AAA" w:rsidRPr="00D31F4E" w:rsidRDefault="00391AAA" w:rsidP="00D31F4E">
      <w:r w:rsidRPr="00D31F4E">
        <w:t xml:space="preserve">Of note, this dexamethasone dose adjustment scheme was fully consistent with the one adopted in the clinical development of </w:t>
      </w:r>
      <w:r w:rsidR="00125DF4" w:rsidRPr="00D31F4E">
        <w:t>the 3-day oral aprepitant (</w:t>
      </w:r>
      <w:r w:rsidR="00691119" w:rsidRPr="00D31F4E">
        <w:t>Emend</w:t>
      </w:r>
      <w:r w:rsidR="00125DF4" w:rsidRPr="00D31F4E">
        <w:t>) regimen (125 mg on Day 1 and 80 mg on D</w:t>
      </w:r>
      <w:r w:rsidRPr="00D31F4E">
        <w:t>ay 2 and 3), which is also reflected in the Australian</w:t>
      </w:r>
      <w:r w:rsidR="00125DF4" w:rsidRPr="00D31F4E">
        <w:t xml:space="preserve"> </w:t>
      </w:r>
      <w:r w:rsidR="00691119" w:rsidRPr="00D31F4E">
        <w:t>Emend</w:t>
      </w:r>
      <w:r w:rsidR="00125DF4" w:rsidRPr="00D31F4E">
        <w:t xml:space="preserve"> </w:t>
      </w:r>
      <w:r w:rsidRPr="00D31F4E">
        <w:t>Product Information, Dosage And Administration. The recommended dexamethasone dose is 12 mg</w:t>
      </w:r>
      <w:r w:rsidR="00123301">
        <w:t xml:space="preserve"> on Day 1 and 8 mg QD on D</w:t>
      </w:r>
      <w:r w:rsidR="00125DF4" w:rsidRPr="00D31F4E">
        <w:t xml:space="preserve">ays 2 to </w:t>
      </w:r>
      <w:r w:rsidRPr="00D31F4E">
        <w:t xml:space="preserve">4 for the prevention of CINV associated with HEC and 12 mg on Day 1only for the prevention of CINV associated with MEC. The dose adjustment was based on the 2.2 fold increase of dexamethasone AUC observed in a </w:t>
      </w:r>
      <w:r w:rsidR="009115BA" w:rsidRPr="00D31F4E">
        <w:t xml:space="preserve">drug-drug interaction </w:t>
      </w:r>
      <w:r w:rsidRPr="00D31F4E">
        <w:t>study conducted in hea</w:t>
      </w:r>
      <w:r w:rsidR="009115BA" w:rsidRPr="00D31F4E">
        <w:t xml:space="preserve">lthy volunteers receiving the 3 </w:t>
      </w:r>
      <w:r w:rsidRPr="00D31F4E">
        <w:t>day oral aprepitant regimen and the dexamethasone antiemetic</w:t>
      </w:r>
      <w:r w:rsidR="00123301">
        <w:t xml:space="preserve"> regimen administered using a </w:t>
      </w:r>
      <w:r w:rsidR="000C31A3" w:rsidRPr="004C0905">
        <w:rPr>
          <w:color w:val="000000"/>
          <w:lang w:eastAsia="en-AU"/>
        </w:rPr>
        <w:t>5-HT</w:t>
      </w:r>
      <w:r w:rsidR="000C31A3" w:rsidRPr="000C31A3">
        <w:rPr>
          <w:color w:val="000000"/>
          <w:vertAlign w:val="subscript"/>
          <w:lang w:eastAsia="en-AU"/>
        </w:rPr>
        <w:t>3</w:t>
      </w:r>
      <w:r w:rsidRPr="00D31F4E">
        <w:t xml:space="preserve"> RA inhibitor alone.</w:t>
      </w:r>
    </w:p>
    <w:p w:rsidR="00391AAA" w:rsidRPr="00D31F4E" w:rsidRDefault="00391AAA" w:rsidP="00D31F4E">
      <w:r w:rsidRPr="00D31F4E">
        <w:t>Moreover, the Delegate</w:t>
      </w:r>
      <w:r w:rsidR="00FA4F2F">
        <w:t>’s</w:t>
      </w:r>
      <w:r w:rsidRPr="00D31F4E">
        <w:t xml:space="preserve"> statement that </w:t>
      </w:r>
      <w:proofErr w:type="spellStart"/>
      <w:r w:rsidRPr="00D31F4E">
        <w:t>C</w:t>
      </w:r>
      <w:r w:rsidRPr="00123301">
        <w:rPr>
          <w:vertAlign w:val="subscript"/>
        </w:rPr>
        <w:t>min</w:t>
      </w:r>
      <w:proofErr w:type="spellEnd"/>
      <w:r w:rsidRPr="00D31F4E">
        <w:t xml:space="preserve"> may be correlated with an anti-emetic effect of dexamethasone is purely speculative and, to the </w:t>
      </w:r>
      <w:r w:rsidR="00791AE3" w:rsidRPr="00D31F4E">
        <w:t>sponsor’s</w:t>
      </w:r>
      <w:r w:rsidRPr="00D31F4E">
        <w:t xml:space="preserve"> knowledge, is not substantiated by published literature. The outda</w:t>
      </w:r>
      <w:r w:rsidR="00B24B3B" w:rsidRPr="00D31F4E">
        <w:t>ted Italian multicentre study</w:t>
      </w:r>
      <w:r w:rsidR="00B24B3B" w:rsidRPr="00123301">
        <w:rPr>
          <w:vertAlign w:val="superscript"/>
        </w:rPr>
        <w:footnoteReference w:id="30"/>
      </w:r>
      <w:r w:rsidR="00B24B3B" w:rsidRPr="00D31F4E">
        <w:t xml:space="preserve"> </w:t>
      </w:r>
      <w:r w:rsidRPr="00D31F4E">
        <w:t xml:space="preserve">was conducted in the mid </w:t>
      </w:r>
      <w:r w:rsidR="00B24B3B" w:rsidRPr="00D31F4E">
        <w:t>19</w:t>
      </w:r>
      <w:r w:rsidRPr="00D31F4E">
        <w:t xml:space="preserve">90’s when neither palonosetron nor aprepitant were available on the market and ondansetron was used as </w:t>
      </w:r>
      <w:r w:rsidR="000C31A3" w:rsidRPr="004C0905">
        <w:rPr>
          <w:color w:val="000000"/>
          <w:lang w:eastAsia="en-AU"/>
        </w:rPr>
        <w:t>5-HT</w:t>
      </w:r>
      <w:r w:rsidR="000C31A3" w:rsidRPr="000C31A3">
        <w:rPr>
          <w:color w:val="000000"/>
          <w:vertAlign w:val="subscript"/>
          <w:lang w:eastAsia="en-AU"/>
        </w:rPr>
        <w:t>3</w:t>
      </w:r>
      <w:r w:rsidRPr="00D31F4E">
        <w:t xml:space="preserve"> receptor antagonist of reference.</w:t>
      </w:r>
    </w:p>
    <w:p w:rsidR="00391AAA" w:rsidRPr="00D31F4E" w:rsidRDefault="00391AAA" w:rsidP="00D31F4E">
      <w:r w:rsidRPr="00D31F4E">
        <w:lastRenderedPageBreak/>
        <w:t xml:space="preserve">The highest of the four dexamethasone doses tested in this study was 20 mg, which represents the currently recommended dose. Three out of the four doses tested would be considered suboptimal by today’s standards. Since doses higher than 20 mg were not tested, this study is intrinsically unable to address whether increased dexamethasone exposure after doses higher than 20 mg could lead to an improved response rate. Although the study showed that the highest dose (20 mg) of dexamethasone had greater efficacy than the lower doses (4 and 8 mg) in preventing vomiting in the acute phase, this advantage was less clear in patients receiving an intermediate dose (12 mg). The greater efficacy of the 20 mg dose of dexamethasone was limited to patients who received lower doses of cisplatin and no </w:t>
      </w:r>
      <w:r w:rsidR="00027344">
        <w:t>dose response</w:t>
      </w:r>
      <w:r w:rsidRPr="00D31F4E">
        <w:t xml:space="preserve"> was observed in patients receiving the highest doses of cisplatin. Importantly, no dose effect was observed on the number of vomiting episodes, nausea incidence and severity. Finally, no data on the prevention of nausea and vomiting in the delayed phase are available from this study, limiting the relevance of these data.</w:t>
      </w:r>
    </w:p>
    <w:p w:rsidR="00391AAA" w:rsidRPr="00D31F4E" w:rsidRDefault="00391AAA" w:rsidP="00D31F4E">
      <w:r w:rsidRPr="00D31F4E">
        <w:t xml:space="preserve">The same Italian collaborative group published six years later the results of a </w:t>
      </w:r>
      <w:proofErr w:type="spellStart"/>
      <w:r w:rsidRPr="00D31F4E">
        <w:t>multicenter</w:t>
      </w:r>
      <w:proofErr w:type="spellEnd"/>
      <w:r w:rsidRPr="00D31F4E">
        <w:t xml:space="preserve"> study in chemotherapy-naive patients scheduled to receive cyclophosphamide 600 to 1,000 mg/</w:t>
      </w:r>
      <w:r w:rsidR="00F51E23" w:rsidRPr="00166326">
        <w:t>m</w:t>
      </w:r>
      <w:r w:rsidR="00F51E23" w:rsidRPr="00F51E23">
        <w:rPr>
          <w:vertAlign w:val="superscript"/>
        </w:rPr>
        <w:t>2</w:t>
      </w:r>
      <w:r w:rsidRPr="00D31F4E">
        <w:t xml:space="preserve">, doxorubicin </w:t>
      </w:r>
      <w:r w:rsidR="005670BA">
        <w:t>&gt; 5</w:t>
      </w:r>
      <w:r w:rsidRPr="00D31F4E">
        <w:t>0 mg/</w:t>
      </w:r>
      <w:r w:rsidR="00F51E23" w:rsidRPr="00166326">
        <w:t>m</w:t>
      </w:r>
      <w:r w:rsidR="00F51E23" w:rsidRPr="00F51E23">
        <w:rPr>
          <w:vertAlign w:val="superscript"/>
        </w:rPr>
        <w:t>2</w:t>
      </w:r>
      <w:r w:rsidRPr="00D31F4E">
        <w:t xml:space="preserve">, </w:t>
      </w:r>
      <w:proofErr w:type="spellStart"/>
      <w:r w:rsidRPr="00D31F4E">
        <w:t>epirubicin</w:t>
      </w:r>
      <w:proofErr w:type="spellEnd"/>
      <w:r w:rsidRPr="00D31F4E">
        <w:t xml:space="preserve"> &gt;</w:t>
      </w:r>
      <w:r w:rsidR="00123301">
        <w:t xml:space="preserve"> </w:t>
      </w:r>
      <w:r w:rsidRPr="00D31F4E">
        <w:t>75 mg/</w:t>
      </w:r>
      <w:r w:rsidR="00F51E23" w:rsidRPr="00166326">
        <w:t>m</w:t>
      </w:r>
      <w:r w:rsidR="00F51E23" w:rsidRPr="00F51E23">
        <w:rPr>
          <w:vertAlign w:val="superscript"/>
        </w:rPr>
        <w:t>2</w:t>
      </w:r>
      <w:r w:rsidR="00C05B17">
        <w:t>, or carboplatin &gt; </w:t>
      </w:r>
      <w:r w:rsidR="00123301">
        <w:t>300 </w:t>
      </w:r>
      <w:r w:rsidRPr="00D31F4E">
        <w:t>mg/</w:t>
      </w:r>
      <w:r w:rsidR="00F51E23" w:rsidRPr="00166326">
        <w:t>m</w:t>
      </w:r>
      <w:r w:rsidR="00F51E23" w:rsidRPr="00F51E23">
        <w:rPr>
          <w:vertAlign w:val="superscript"/>
        </w:rPr>
        <w:t>2</w:t>
      </w:r>
      <w:r w:rsidRPr="00D31F4E">
        <w:t>: Patients were random</w:t>
      </w:r>
      <w:r w:rsidR="00AA120C">
        <w:t>ise</w:t>
      </w:r>
      <w:r w:rsidRPr="00D31F4E">
        <w:t>d to receive one of the following dexamethasone schem</w:t>
      </w:r>
      <w:r w:rsidR="005F2D4D" w:rsidRPr="00D31F4E">
        <w:t>e: A</w:t>
      </w:r>
      <w:r w:rsidRPr="00D31F4E">
        <w:t xml:space="preserve">rm A: one dose of 8 mg IV 30 minutes before chemotherapy and four oral doses of 4 mg every 6 </w:t>
      </w:r>
      <w:r w:rsidR="004B70D8" w:rsidRPr="00D31F4E">
        <w:t>h</w:t>
      </w:r>
      <w:r w:rsidRPr="00D31F4E">
        <w:t xml:space="preserve">; </w:t>
      </w:r>
      <w:r w:rsidR="004A5002" w:rsidRPr="00D31F4E">
        <w:t>A</w:t>
      </w:r>
      <w:r w:rsidRPr="00D31F4E">
        <w:t xml:space="preserve">rm B 24 mg IV 30 minutes before chemotherapy; </w:t>
      </w:r>
      <w:r w:rsidR="004A5002" w:rsidRPr="00D31F4E">
        <w:t>Arm</w:t>
      </w:r>
      <w:r w:rsidRPr="00D31F4E">
        <w:t xml:space="preserve"> C 8 mg IV 30 minutes before chemotherapy.</w:t>
      </w:r>
    </w:p>
    <w:p w:rsidR="00391AAA" w:rsidRPr="00D31F4E" w:rsidRDefault="00391AAA" w:rsidP="00D31F4E">
      <w:r w:rsidRPr="00D31F4E">
        <w:t>All patients received ondansetron 8 mg IV 15 minutes before chemotherapy on day 1 and oral dexamethasone 4 mg every 12</w:t>
      </w:r>
      <w:r w:rsidR="009B02FF">
        <w:t xml:space="preserve"> hours </w:t>
      </w:r>
      <w:r w:rsidR="005F2D4D" w:rsidRPr="00D31F4E">
        <w:t>on D</w:t>
      </w:r>
      <w:r w:rsidRPr="00D31F4E">
        <w:t>ays 2 to 5. During the acute phase, the rate of protection from vomiting and nausea was comparable among the three groups.</w:t>
      </w:r>
    </w:p>
    <w:p w:rsidR="00391AAA" w:rsidRPr="00D31F4E" w:rsidRDefault="00391AAA" w:rsidP="00D31F4E">
      <w:r w:rsidRPr="00D31F4E">
        <w:t xml:space="preserve">Remarkably both these Italian studies used the first generation </w:t>
      </w:r>
      <w:r w:rsidR="000C31A3" w:rsidRPr="004C0905">
        <w:rPr>
          <w:color w:val="000000"/>
          <w:lang w:eastAsia="en-AU"/>
        </w:rPr>
        <w:t>5-HT</w:t>
      </w:r>
      <w:r w:rsidR="000C31A3" w:rsidRPr="000C31A3">
        <w:rPr>
          <w:color w:val="000000"/>
          <w:vertAlign w:val="subscript"/>
          <w:lang w:eastAsia="en-AU"/>
        </w:rPr>
        <w:t>3</w:t>
      </w:r>
      <w:r w:rsidRPr="00D31F4E">
        <w:t xml:space="preserve"> RA ondansetron as a reference. Two recent studies</w:t>
      </w:r>
      <w:r w:rsidR="005F2D4D" w:rsidRPr="00123301">
        <w:rPr>
          <w:vertAlign w:val="superscript"/>
        </w:rPr>
        <w:footnoteReference w:id="31"/>
      </w:r>
      <w:r w:rsidRPr="00123301">
        <w:rPr>
          <w:vertAlign w:val="superscript"/>
        </w:rPr>
        <w:t xml:space="preserve"> </w:t>
      </w:r>
      <w:r w:rsidR="005F2D4D" w:rsidRPr="00123301">
        <w:rPr>
          <w:vertAlign w:val="superscript"/>
        </w:rPr>
        <w:footnoteReference w:id="32"/>
      </w:r>
      <w:r w:rsidRPr="00D31F4E">
        <w:t>consistently showed that when palonosetron is included in a CINV preventative regimen, comparable emesis and nausea control can be achieved with dexamethasone given on 1 day only, witho</w:t>
      </w:r>
      <w:r w:rsidR="005F2D4D" w:rsidRPr="00D31F4E">
        <w:t>ut additional dexamethasone on D</w:t>
      </w:r>
      <w:r w:rsidRPr="00D31F4E">
        <w:t xml:space="preserve">ays 2 and 3. A </w:t>
      </w:r>
      <w:r w:rsidR="00F51E23">
        <w:t>double blind</w:t>
      </w:r>
      <w:r w:rsidRPr="00D31F4E">
        <w:t>, multicentre, non-inferiority stud</w:t>
      </w:r>
      <w:r w:rsidR="00123301">
        <w:t xml:space="preserve">y was conducted in chemotherapy </w:t>
      </w:r>
      <w:r w:rsidRPr="00D31F4E">
        <w:t>naive breast cancer patients receiving 0.25 mg palonose</w:t>
      </w:r>
      <w:r w:rsidR="008078A7" w:rsidRPr="00D31F4E">
        <w:t>tron and 8 mg dexamethasone on D</w:t>
      </w:r>
      <w:r w:rsidRPr="00D31F4E">
        <w:t xml:space="preserve">ay 1, randomly assigned to receive placebo (n = 151) or 4 mg </w:t>
      </w:r>
      <w:r w:rsidR="005F2D4D" w:rsidRPr="00D31F4E">
        <w:t>twice daily (</w:t>
      </w:r>
      <w:r w:rsidR="00123301">
        <w:t>BD</w:t>
      </w:r>
      <w:r w:rsidR="005F2D4D" w:rsidRPr="00D31F4E">
        <w:t>)</w:t>
      </w:r>
      <w:r w:rsidRPr="00D31F4E">
        <w:t xml:space="preserve"> dexamethasone (n =</w:t>
      </w:r>
      <w:r w:rsidR="005F2D4D" w:rsidRPr="00D31F4E">
        <w:t xml:space="preserve"> 149) on D</w:t>
      </w:r>
      <w:r w:rsidR="00B134E3" w:rsidRPr="00D31F4E">
        <w:t xml:space="preserve">ays 2 and 3. Complete </w:t>
      </w:r>
      <w:r w:rsidRPr="00D31F4E">
        <w:t>response rate was similar in the two groups both in the acute and in the delayed phase. In the second</w:t>
      </w:r>
      <w:r w:rsidR="00B134E3" w:rsidRPr="00D31F4E">
        <w:t xml:space="preserve"> </w:t>
      </w:r>
      <w:r w:rsidRPr="00D31F4E">
        <w:t>study enrolling patients receiving 0.25 mg palonosetron prior t</w:t>
      </w:r>
      <w:r w:rsidR="00B134E3" w:rsidRPr="00D31F4E">
        <w:t xml:space="preserve">o </w:t>
      </w:r>
      <w:r w:rsidR="00B134E3" w:rsidRPr="003802E6">
        <w:t xml:space="preserve">either </w:t>
      </w:r>
      <w:r w:rsidR="003802E6">
        <w:t xml:space="preserve">anthracycline </w:t>
      </w:r>
      <w:r w:rsidR="003802E6" w:rsidRPr="003802E6">
        <w:t>cyclophosphamide</w:t>
      </w:r>
      <w:r w:rsidR="00B134E3" w:rsidRPr="003802E6">
        <w:t xml:space="preserve"> </w:t>
      </w:r>
      <w:r w:rsidR="003802E6">
        <w:t xml:space="preserve">(AC) </w:t>
      </w:r>
      <w:r w:rsidR="00B134E3" w:rsidRPr="003802E6">
        <w:t>or</w:t>
      </w:r>
      <w:r w:rsidR="00B134E3" w:rsidRPr="00D31F4E">
        <w:t xml:space="preserve"> other common MEC </w:t>
      </w:r>
      <w:r w:rsidRPr="00D31F4E">
        <w:t>regimens, the single-day dexamethasone regimen produced overall co</w:t>
      </w:r>
      <w:r w:rsidR="00B134E3" w:rsidRPr="00D31F4E">
        <w:t xml:space="preserve">mplete response rate comparable </w:t>
      </w:r>
      <w:r w:rsidR="005F2D4D" w:rsidRPr="00D31F4E">
        <w:t xml:space="preserve">to the 3 </w:t>
      </w:r>
      <w:r w:rsidRPr="00D31F4E">
        <w:t>day dexamethasone schedule.</w:t>
      </w:r>
    </w:p>
    <w:p w:rsidR="00391AAA" w:rsidRPr="00D31F4E" w:rsidRDefault="00391AAA" w:rsidP="00D31F4E">
      <w:r w:rsidRPr="00D31F4E">
        <w:t>The unique pharmacodynamics and pharmacokinetics characteristic o</w:t>
      </w:r>
      <w:r w:rsidR="00B134E3" w:rsidRPr="00D31F4E">
        <w:t xml:space="preserve">f palonosetron substantiate the </w:t>
      </w:r>
      <w:r w:rsidRPr="00D31F4E">
        <w:t>prolonged antiemetic protection observed in the delayed phase, wi</w:t>
      </w:r>
      <w:r w:rsidR="00123301">
        <w:t xml:space="preserve">thout the need for multiple </w:t>
      </w:r>
      <w:r w:rsidR="00B134E3" w:rsidRPr="00D31F4E">
        <w:t>day</w:t>
      </w:r>
      <w:r w:rsidR="00123301">
        <w:t>s of</w:t>
      </w:r>
      <w:r w:rsidR="00DA1171">
        <w:t xml:space="preserve"> </w:t>
      </w:r>
      <w:r w:rsidRPr="00D31F4E">
        <w:t>dexamethason</w:t>
      </w:r>
      <w:r w:rsidR="00123301">
        <w:t xml:space="preserve">e. In comparison with the first generation </w:t>
      </w:r>
      <w:r w:rsidR="000C31A3">
        <w:rPr>
          <w:color w:val="000000"/>
          <w:lang w:eastAsia="en-AU"/>
        </w:rPr>
        <w:t>5</w:t>
      </w:r>
      <w:r w:rsidR="000C31A3">
        <w:rPr>
          <w:color w:val="000000"/>
          <w:lang w:eastAsia="en-AU"/>
        </w:rPr>
        <w:noBreakHyphen/>
      </w:r>
      <w:r w:rsidR="000C31A3" w:rsidRPr="004C0905">
        <w:rPr>
          <w:color w:val="000000"/>
          <w:lang w:eastAsia="en-AU"/>
        </w:rPr>
        <w:t>HT</w:t>
      </w:r>
      <w:r w:rsidR="000C31A3" w:rsidRPr="000C31A3">
        <w:rPr>
          <w:color w:val="000000"/>
          <w:vertAlign w:val="subscript"/>
          <w:lang w:eastAsia="en-AU"/>
        </w:rPr>
        <w:t>3</w:t>
      </w:r>
      <w:r w:rsidRPr="00D31F4E">
        <w:t xml:space="preserve"> </w:t>
      </w:r>
      <w:r w:rsidR="003802E6">
        <w:t>RA</w:t>
      </w:r>
      <w:r w:rsidR="00B134E3" w:rsidRPr="00D31F4E">
        <w:t xml:space="preserve">, palonosetron </w:t>
      </w:r>
      <w:r w:rsidRPr="00D31F4E">
        <w:t>exhibits a higher potency, a significantly longer half-life and a differen</w:t>
      </w:r>
      <w:r w:rsidR="00B134E3" w:rsidRPr="00D31F4E">
        <w:t>t molecular interaction with 5-</w:t>
      </w:r>
      <w:r w:rsidRPr="00D31F4E">
        <w:t>HT</w:t>
      </w:r>
      <w:r w:rsidRPr="00680A60">
        <w:rPr>
          <w:vertAlign w:val="subscript"/>
        </w:rPr>
        <w:t>3</w:t>
      </w:r>
      <w:r w:rsidRPr="00D31F4E">
        <w:t xml:space="preserve"> receptors. Its 5-HT</w:t>
      </w:r>
      <w:r w:rsidRPr="00680A60">
        <w:rPr>
          <w:vertAlign w:val="subscript"/>
        </w:rPr>
        <w:t>3</w:t>
      </w:r>
      <w:r w:rsidRPr="00D31F4E">
        <w:t xml:space="preserve"> receptor </w:t>
      </w:r>
      <w:r w:rsidR="008078A7" w:rsidRPr="00D31F4E">
        <w:t xml:space="preserve">binding affinity is at least 30 </w:t>
      </w:r>
      <w:r w:rsidRPr="00D31F4E">
        <w:t xml:space="preserve">fold higher than </w:t>
      </w:r>
      <w:r w:rsidR="00B134E3" w:rsidRPr="00D31F4E">
        <w:t>other 5-HT</w:t>
      </w:r>
      <w:r w:rsidR="00B134E3" w:rsidRPr="00680A60">
        <w:rPr>
          <w:vertAlign w:val="subscript"/>
        </w:rPr>
        <w:t>3</w:t>
      </w:r>
      <w:r w:rsidR="00B134E3" w:rsidRPr="00D31F4E">
        <w:t xml:space="preserve"> </w:t>
      </w:r>
      <w:proofErr w:type="spellStart"/>
      <w:r w:rsidR="00B134E3" w:rsidRPr="00D31F4E">
        <w:t>receptor</w:t>
      </w:r>
      <w:r w:rsidRPr="00D31F4E">
        <w:t>antagonists</w:t>
      </w:r>
      <w:proofErr w:type="spellEnd"/>
      <w:r w:rsidRPr="00D31F4E">
        <w:t>. Based on the clinical efficacy studies results, palonoset</w:t>
      </w:r>
      <w:r w:rsidR="00B134E3" w:rsidRPr="00D31F4E">
        <w:t xml:space="preserve">ron has been recommended as the </w:t>
      </w:r>
      <w:r w:rsidRPr="00D31F4E">
        <w:t>preferred 5-HT</w:t>
      </w:r>
      <w:r w:rsidRPr="00680A60">
        <w:rPr>
          <w:vertAlign w:val="subscript"/>
        </w:rPr>
        <w:t>3</w:t>
      </w:r>
      <w:r w:rsidRPr="00D31F4E">
        <w:t xml:space="preserve"> receptor antagonist by multiple international antiemetic guidelines for </w:t>
      </w:r>
      <w:r w:rsidR="00B134E3" w:rsidRPr="00D31F4E">
        <w:t xml:space="preserve">the prevention </w:t>
      </w:r>
      <w:r w:rsidRPr="00D31F4E">
        <w:t>of acute nausea and vomiting associated with initial and repeat cou</w:t>
      </w:r>
      <w:r w:rsidR="00B134E3" w:rsidRPr="00D31F4E">
        <w:t xml:space="preserve">rses of MEC and HEC and for </w:t>
      </w:r>
      <w:r w:rsidR="00B134E3" w:rsidRPr="00D31F4E">
        <w:lastRenderedPageBreak/>
        <w:t xml:space="preserve">the </w:t>
      </w:r>
      <w:r w:rsidRPr="00D31F4E">
        <w:t>prevention of delayed nausea and vomiting associated with initial and repeat courses of MEC.</w:t>
      </w:r>
    </w:p>
    <w:p w:rsidR="00391AAA" w:rsidRPr="00D31F4E" w:rsidRDefault="00391AAA" w:rsidP="00D31F4E">
      <w:r w:rsidRPr="00D31F4E">
        <w:t xml:space="preserve">It is therefore particularly relevant that the efficacy of </w:t>
      </w:r>
      <w:r w:rsidR="00C51742" w:rsidRPr="00D31F4E">
        <w:t>Akynzeo</w:t>
      </w:r>
      <w:r w:rsidRPr="00D31F4E">
        <w:t xml:space="preserve"> </w:t>
      </w:r>
      <w:r w:rsidR="00930867" w:rsidRPr="00D31F4E">
        <w:t xml:space="preserve">has been established by showing </w:t>
      </w:r>
      <w:r w:rsidRPr="00D31F4E">
        <w:t>superiority to palonosetron. The selected superiority study design, i</w:t>
      </w:r>
      <w:r w:rsidR="00930867" w:rsidRPr="00D31F4E">
        <w:t>ncluding the dexamethasone dose a</w:t>
      </w:r>
      <w:r w:rsidRPr="00D31F4E">
        <w:t>djustment, comparing netupitant/palonosetron combination to palonoset</w:t>
      </w:r>
      <w:r w:rsidR="00930867" w:rsidRPr="00D31F4E">
        <w:t xml:space="preserve">ron in the two efficacy studies </w:t>
      </w:r>
      <w:r w:rsidRPr="00D31F4E">
        <w:t>NETU-07-07 and NETU-08-18 is fully adequate to isolate the therapeutic effect of the ne</w:t>
      </w:r>
      <w:r w:rsidR="00930867" w:rsidRPr="00D31F4E">
        <w:t xml:space="preserve">tupitant </w:t>
      </w:r>
      <w:r w:rsidRPr="00D31F4E">
        <w:t>component within the fixed combination and allows a robust interpretat</w:t>
      </w:r>
      <w:r w:rsidR="00930867" w:rsidRPr="00D31F4E">
        <w:t xml:space="preserve">ion of the anti-emetic clinical </w:t>
      </w:r>
      <w:r w:rsidRPr="00D31F4E">
        <w:t xml:space="preserve">effect of each component of </w:t>
      </w:r>
      <w:r w:rsidR="00C51742" w:rsidRPr="00D31F4E">
        <w:t>Akynzeo</w:t>
      </w:r>
      <w:r w:rsidRPr="00D31F4E">
        <w:t>.</w:t>
      </w:r>
    </w:p>
    <w:p w:rsidR="00391AAA" w:rsidRPr="00D31F4E" w:rsidRDefault="00391AAA" w:rsidP="00D31F4E">
      <w:r w:rsidRPr="00D31F4E">
        <w:t xml:space="preserve">It is the </w:t>
      </w:r>
      <w:r w:rsidR="00791AE3" w:rsidRPr="00D31F4E">
        <w:t>sponsor’s</w:t>
      </w:r>
      <w:r w:rsidRPr="00D31F4E">
        <w:t xml:space="preserve"> opinion that clinical relevance and statistical significance of the therapeutic benefits</w:t>
      </w:r>
      <w:r w:rsidR="00930867" w:rsidRPr="00D31F4E">
        <w:t xml:space="preserve"> </w:t>
      </w:r>
      <w:r w:rsidRPr="00D31F4E">
        <w:t>of the netupitant component is at least as meaningful as those rep</w:t>
      </w:r>
      <w:r w:rsidR="00123301">
        <w:t>orted with aprepitant in g</w:t>
      </w:r>
      <w:r w:rsidR="00930867" w:rsidRPr="00D31F4E">
        <w:t xml:space="preserve">lobal </w:t>
      </w:r>
      <w:r w:rsidRPr="00D31F4E">
        <w:t>registration studies. Both NETU-08-18 and NETU-07-07 provided compe</w:t>
      </w:r>
      <w:r w:rsidR="00930867" w:rsidRPr="00D31F4E">
        <w:t xml:space="preserve">lling statistically significant </w:t>
      </w:r>
      <w:r w:rsidRPr="00D31F4E">
        <w:t>results for primary efficacy endpoint (</w:t>
      </w:r>
      <w:r w:rsidR="00123301">
        <w:t>p = </w:t>
      </w:r>
      <w:r w:rsidRPr="00D31F4E">
        <w:t>0.001 in NETU-08-18 a</w:t>
      </w:r>
      <w:r w:rsidR="00930867" w:rsidRPr="00D31F4E">
        <w:t xml:space="preserve">nd </w:t>
      </w:r>
      <w:r w:rsidR="00027344">
        <w:t xml:space="preserve">p = </w:t>
      </w:r>
      <w:r w:rsidR="00930867" w:rsidRPr="00D31F4E">
        <w:t xml:space="preserve">0.004 in NETU-07-07). This </w:t>
      </w:r>
      <w:r w:rsidRPr="00D31F4E">
        <w:t>statistical evidence is considerably stronger than the usually req</w:t>
      </w:r>
      <w:r w:rsidR="00930867" w:rsidRPr="00D31F4E">
        <w:t xml:space="preserve">uired threshold of </w:t>
      </w:r>
      <w:r w:rsidR="004633C5">
        <w:t>p &lt; 0</w:t>
      </w:r>
      <w:r w:rsidR="00930867" w:rsidRPr="00D31F4E">
        <w:t xml:space="preserve">.050. The </w:t>
      </w:r>
      <w:r w:rsidRPr="00D31F4E">
        <w:t xml:space="preserve">differences in CR between arms for the primary endpoints were of </w:t>
      </w:r>
      <w:r w:rsidR="00930867" w:rsidRPr="00D31F4E">
        <w:t>the order of 7.4</w:t>
      </w:r>
      <w:r w:rsidR="000403F6">
        <w:t>%</w:t>
      </w:r>
      <w:r w:rsidR="00930867" w:rsidRPr="00D31F4E">
        <w:t xml:space="preserve"> and 13.2</w:t>
      </w:r>
      <w:r w:rsidR="000403F6">
        <w:t>%</w:t>
      </w:r>
      <w:r w:rsidR="00930867" w:rsidRPr="00D31F4E">
        <w:t xml:space="preserve"> for </w:t>
      </w:r>
      <w:r w:rsidRPr="00D31F4E">
        <w:t>NETU-08-18 and NETU-07-07 respectively, which are considered clinically meaningful.</w:t>
      </w:r>
    </w:p>
    <w:p w:rsidR="00391AAA" w:rsidRPr="00D31F4E" w:rsidRDefault="00391AAA" w:rsidP="00D31F4E">
      <w:r w:rsidRPr="00D31F4E">
        <w:t>Table</w:t>
      </w:r>
      <w:r w:rsidR="00F5364C">
        <w:t xml:space="preserve"> 13</w:t>
      </w:r>
      <w:r w:rsidR="00BD6934">
        <w:t xml:space="preserve"> below displays the OR</w:t>
      </w:r>
      <w:r w:rsidRPr="00D31F4E">
        <w:t xml:space="preserve"> for absence of complet</w:t>
      </w:r>
      <w:r w:rsidR="00930867" w:rsidRPr="00D31F4E">
        <w:t>e response in the overall phase</w:t>
      </w:r>
      <w:r w:rsidR="008078A7" w:rsidRPr="00D31F4E">
        <w:t xml:space="preserve"> </w:t>
      </w:r>
      <w:r w:rsidR="00413AD0" w:rsidRPr="00D31F4E">
        <w:t xml:space="preserve">(0 to </w:t>
      </w:r>
      <w:r w:rsidRPr="00D31F4E">
        <w:t xml:space="preserve">120 </w:t>
      </w:r>
      <w:r w:rsidR="000B1EBE" w:rsidRPr="00D31F4E">
        <w:t>h</w:t>
      </w:r>
      <w:r w:rsidRPr="00D31F4E">
        <w:t xml:space="preserve">) in the FDC pivotal HEC </w:t>
      </w:r>
      <w:r w:rsidR="00F73FE3" w:rsidRPr="00D31F4E">
        <w:t>Study NETU</w:t>
      </w:r>
      <w:r w:rsidRPr="00D31F4E">
        <w:t>-07-07 a</w:t>
      </w:r>
      <w:r w:rsidR="00930867" w:rsidRPr="00D31F4E">
        <w:t xml:space="preserve">nd in the MEC </w:t>
      </w:r>
      <w:r w:rsidR="00F73FE3" w:rsidRPr="00D31F4E">
        <w:t>Study NETU</w:t>
      </w:r>
      <w:r w:rsidR="00930867" w:rsidRPr="00D31F4E">
        <w:t xml:space="preserve">-08-18, </w:t>
      </w:r>
      <w:r w:rsidR="00413AD0" w:rsidRPr="00D31F4E">
        <w:t>contrasted with aprepitant HEC S</w:t>
      </w:r>
      <w:r w:rsidRPr="00D31F4E">
        <w:t xml:space="preserve">tudies 052 and 054 and the </w:t>
      </w:r>
      <w:r w:rsidR="00930867" w:rsidRPr="00D31F4E">
        <w:t xml:space="preserve">MEC 071 study, respectively. </w:t>
      </w:r>
      <w:r w:rsidR="00BD6934">
        <w:t>Odds ratio</w:t>
      </w:r>
      <w:r w:rsidR="00930867" w:rsidRPr="00D31F4E">
        <w:t xml:space="preserve"> </w:t>
      </w:r>
      <w:r w:rsidRPr="00D31F4E">
        <w:t xml:space="preserve">reduction was similar and numerically larger in FDC pivotal studies </w:t>
      </w:r>
      <w:r w:rsidR="00930867" w:rsidRPr="00D31F4E">
        <w:t xml:space="preserve">compared to aprepitant studies. </w:t>
      </w:r>
      <w:r w:rsidRPr="00D31F4E">
        <w:t>Analysis of CR in the acute and delayed phase provides consistent results.</w:t>
      </w:r>
    </w:p>
    <w:p w:rsidR="00413AD0" w:rsidRDefault="00123301" w:rsidP="00413AD0">
      <w:pPr>
        <w:pStyle w:val="TableTitle"/>
      </w:pPr>
      <w:proofErr w:type="gramStart"/>
      <w:r>
        <w:t>Table 1</w:t>
      </w:r>
      <w:r w:rsidR="00F5364C">
        <w:t>3</w:t>
      </w:r>
      <w:r>
        <w:t>.</w:t>
      </w:r>
      <w:proofErr w:type="gramEnd"/>
      <w:r w:rsidR="00413AD0">
        <w:t xml:space="preserve"> Results for </w:t>
      </w:r>
      <w:r w:rsidR="00BD6934">
        <w:t>odds ratio</w:t>
      </w:r>
      <w:r w:rsidR="00413AD0">
        <w:t xml:space="preserve"> for absence of response in the overall phase in comparator studies</w:t>
      </w:r>
    </w:p>
    <w:p w:rsidR="00930867" w:rsidRPr="006D0A2F" w:rsidRDefault="00E77382" w:rsidP="00501041">
      <w:r>
        <w:rPr>
          <w:noProof/>
          <w:lang w:eastAsia="en-AU"/>
        </w:rPr>
        <w:drawing>
          <wp:inline distT="0" distB="0" distL="0" distR="0">
            <wp:extent cx="5949315" cy="1805305"/>
            <wp:effectExtent l="0" t="0" r="0" b="4445"/>
            <wp:docPr id="6" name="Picture 6" descr="Table 13: Results for odds ratio for absence of response in the overall phase in comparato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13: Results for odds ratio for absence of response in the overall phase in comparator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1805305"/>
                    </a:xfrm>
                    <a:prstGeom prst="rect">
                      <a:avLst/>
                    </a:prstGeom>
                    <a:noFill/>
                    <a:ln>
                      <a:noFill/>
                    </a:ln>
                  </pic:spPr>
                </pic:pic>
              </a:graphicData>
            </a:graphic>
          </wp:inline>
        </w:drawing>
      </w:r>
    </w:p>
    <w:p w:rsidR="00391AAA" w:rsidRPr="00C44A23" w:rsidRDefault="00391AAA" w:rsidP="00D31F4E">
      <w:pPr>
        <w:pStyle w:val="TableDescription"/>
        <w:rPr>
          <w:lang w:val="fr-FR"/>
        </w:rPr>
      </w:pPr>
      <w:r w:rsidRPr="00C44A23">
        <w:rPr>
          <w:lang w:val="fr-FR"/>
        </w:rPr>
        <w:t>*</w:t>
      </w:r>
      <w:proofErr w:type="spellStart"/>
      <w:r w:rsidRPr="006D0A2F">
        <w:rPr>
          <w:lang w:val="fr-FR"/>
        </w:rPr>
        <w:t>Hesketh</w:t>
      </w:r>
      <w:proofErr w:type="spellEnd"/>
      <w:r w:rsidRPr="006D0A2F">
        <w:rPr>
          <w:lang w:val="fr-FR"/>
        </w:rPr>
        <w:t xml:space="preserve"> P. et</w:t>
      </w:r>
      <w:r w:rsidR="00413AD0" w:rsidRPr="006D0A2F">
        <w:rPr>
          <w:lang w:val="fr-FR"/>
        </w:rPr>
        <w:t xml:space="preserve"> al, JCO 2003</w:t>
      </w:r>
      <w:r w:rsidR="006D0A2F" w:rsidRPr="00AB09E3">
        <w:rPr>
          <w:rStyle w:val="FootnoteReference"/>
          <w:lang w:val="fr-FR"/>
        </w:rPr>
        <w:footnoteReference w:id="33"/>
      </w:r>
      <w:r w:rsidR="00413AD0" w:rsidRPr="00AB09E3">
        <w:rPr>
          <w:lang w:val="fr-FR"/>
        </w:rPr>
        <w:t xml:space="preserve">; **Poli </w:t>
      </w:r>
      <w:proofErr w:type="spellStart"/>
      <w:r w:rsidR="00413AD0" w:rsidRPr="00AB09E3">
        <w:rPr>
          <w:lang w:val="fr-FR"/>
        </w:rPr>
        <w:t>Bigelli</w:t>
      </w:r>
      <w:proofErr w:type="spellEnd"/>
      <w:r w:rsidR="00413AD0" w:rsidRPr="00AB09E3">
        <w:rPr>
          <w:lang w:val="fr-FR"/>
        </w:rPr>
        <w:t xml:space="preserve"> S</w:t>
      </w:r>
      <w:r w:rsidRPr="00AB09E3">
        <w:rPr>
          <w:lang w:val="fr-FR"/>
        </w:rPr>
        <w:t>. et al, Cancer 2003</w:t>
      </w:r>
      <w:r w:rsidR="00AB09E3" w:rsidRPr="00AB09E3">
        <w:rPr>
          <w:rStyle w:val="FootnoteReference"/>
          <w:lang w:val="fr-FR"/>
        </w:rPr>
        <w:footnoteReference w:id="34"/>
      </w:r>
      <w:r w:rsidRPr="00AB09E3">
        <w:rPr>
          <w:lang w:val="fr-FR"/>
        </w:rPr>
        <w:t>; ***</w:t>
      </w:r>
      <w:proofErr w:type="spellStart"/>
      <w:r w:rsidRPr="00AB09E3">
        <w:rPr>
          <w:lang w:val="fr-FR"/>
        </w:rPr>
        <w:t>Warr</w:t>
      </w:r>
      <w:proofErr w:type="spellEnd"/>
      <w:r w:rsidRPr="00AB09E3">
        <w:rPr>
          <w:lang w:val="fr-FR"/>
        </w:rPr>
        <w:t xml:space="preserve"> D. et al, JCO 2005</w:t>
      </w:r>
      <w:r w:rsidR="00AB09E3" w:rsidRPr="00AB09E3">
        <w:rPr>
          <w:rStyle w:val="FootnoteReference"/>
          <w:lang w:val="fr-FR"/>
        </w:rPr>
        <w:footnoteReference w:id="35"/>
      </w:r>
    </w:p>
    <w:p w:rsidR="00391AAA" w:rsidRPr="00D31F4E" w:rsidRDefault="00391AAA" w:rsidP="00D31F4E">
      <w:r w:rsidRPr="00D31F4E">
        <w:t xml:space="preserve">Moreover studies NETU-10-29 and NETU-07-07 provided efficacy data with </w:t>
      </w:r>
      <w:r w:rsidR="00C51742" w:rsidRPr="00D31F4E">
        <w:t>Akynzeo</w:t>
      </w:r>
      <w:r w:rsidRPr="00D31F4E">
        <w:t xml:space="preserve"> compared</w:t>
      </w:r>
      <w:r w:rsidR="00930867" w:rsidRPr="00D31F4E">
        <w:t xml:space="preserve"> </w:t>
      </w:r>
      <w:r w:rsidRPr="00D31F4E">
        <w:t>to a combination of the 3-day oral aprepitant regimen and a 5-HT</w:t>
      </w:r>
      <w:r w:rsidRPr="00680A60">
        <w:rPr>
          <w:vertAlign w:val="subscript"/>
        </w:rPr>
        <w:t>3</w:t>
      </w:r>
      <w:r w:rsidRPr="00D31F4E">
        <w:t xml:space="preserve"> RA. In NETU-10-29 CR rate at</w:t>
      </w:r>
      <w:r w:rsidR="005F7FE0" w:rsidRPr="00D31F4E">
        <w:t xml:space="preserve"> Cycle 1</w:t>
      </w:r>
      <w:r w:rsidRPr="00D31F4E">
        <w:t xml:space="preserve"> was numerically higher with </w:t>
      </w:r>
      <w:r w:rsidR="00C51742" w:rsidRPr="00D31F4E">
        <w:t>Akynzeo</w:t>
      </w:r>
      <w:r w:rsidRPr="00D31F4E">
        <w:t xml:space="preserve"> than in the </w:t>
      </w:r>
      <w:proofErr w:type="spellStart"/>
      <w:r w:rsidRPr="00D31F4E">
        <w:t>aprepitant+palonosetro</w:t>
      </w:r>
      <w:r w:rsidR="00930867" w:rsidRPr="00D31F4E">
        <w:t>n</w:t>
      </w:r>
      <w:proofErr w:type="spellEnd"/>
      <w:r w:rsidR="00930867" w:rsidRPr="00D31F4E">
        <w:t xml:space="preserve"> group in the </w:t>
      </w:r>
      <w:r w:rsidRPr="00D31F4E">
        <w:t xml:space="preserve">delayed and overall phases, and were similar in the acute phase. </w:t>
      </w:r>
      <w:r w:rsidR="00930867" w:rsidRPr="00D31F4E">
        <w:t xml:space="preserve">In </w:t>
      </w:r>
      <w:r w:rsidR="00F73FE3" w:rsidRPr="00D31F4E">
        <w:t>Study NETU</w:t>
      </w:r>
      <w:r w:rsidR="00930867" w:rsidRPr="00D31F4E">
        <w:t xml:space="preserve">-07-07, a post-hoc </w:t>
      </w:r>
      <w:r w:rsidRPr="00D31F4E">
        <w:t xml:space="preserve">analysis was performed to compare the efficacy of </w:t>
      </w:r>
      <w:r w:rsidR="00C51742" w:rsidRPr="00D31F4E">
        <w:t>Akynzeo</w:t>
      </w:r>
      <w:r w:rsidR="00930867" w:rsidRPr="00D31F4E">
        <w:t xml:space="preserve"> </w:t>
      </w:r>
      <w:r w:rsidR="0067312A" w:rsidRPr="00D31F4E">
        <w:t>versus</w:t>
      </w:r>
      <w:r w:rsidR="00930867" w:rsidRPr="00D31F4E">
        <w:t xml:space="preserve"> the aprepitant/ondansetron </w:t>
      </w:r>
      <w:r w:rsidRPr="00D31F4E">
        <w:t xml:space="preserve">combination. The percentage of </w:t>
      </w:r>
      <w:r w:rsidRPr="00D31F4E">
        <w:lastRenderedPageBreak/>
        <w:t>responders was numerically hi</w:t>
      </w:r>
      <w:r w:rsidR="00930867" w:rsidRPr="00D31F4E">
        <w:t xml:space="preserve">gher in the </w:t>
      </w:r>
      <w:r w:rsidR="00C51742" w:rsidRPr="00D31F4E">
        <w:t>Akynzeo</w:t>
      </w:r>
      <w:r w:rsidR="00930867" w:rsidRPr="00D31F4E">
        <w:t xml:space="preserve"> arm for all </w:t>
      </w:r>
      <w:r w:rsidRPr="00D31F4E">
        <w:t>primary and secondary efficacy endpoints in the overall, acute and delayed phase.</w:t>
      </w:r>
    </w:p>
    <w:p w:rsidR="00391AAA" w:rsidRPr="00930867" w:rsidRDefault="00391AAA" w:rsidP="00D31F4E">
      <w:pPr>
        <w:pStyle w:val="Heading5"/>
      </w:pPr>
      <w:r w:rsidRPr="00930867">
        <w:t>Evidence in MEC</w:t>
      </w:r>
    </w:p>
    <w:p w:rsidR="00391AAA" w:rsidRPr="00D31F4E" w:rsidRDefault="00391AAA" w:rsidP="00D31F4E">
      <w:r w:rsidRPr="00D31F4E">
        <w:t xml:space="preserve">The </w:t>
      </w:r>
      <w:r w:rsidR="00791AE3" w:rsidRPr="00D31F4E">
        <w:t>sponsor</w:t>
      </w:r>
      <w:r w:rsidRPr="00D31F4E">
        <w:t xml:space="preserve"> acknowledges the recent </w:t>
      </w:r>
      <w:r w:rsidRPr="003802E6">
        <w:t>reclassification of</w:t>
      </w:r>
      <w:r w:rsidR="00930867" w:rsidRPr="003802E6">
        <w:t xml:space="preserve"> </w:t>
      </w:r>
      <w:r w:rsidR="003802E6" w:rsidRPr="003802E6">
        <w:t>anthracycline-cyclophosphamide</w:t>
      </w:r>
      <w:r w:rsidR="00930867" w:rsidRPr="00D31F4E">
        <w:t xml:space="preserve"> </w:t>
      </w:r>
      <w:r w:rsidR="003802E6">
        <w:t>chemotherapy</w:t>
      </w:r>
      <w:r w:rsidRPr="00D31F4E">
        <w:t xml:space="preserve"> to HEC adopte</w:t>
      </w:r>
      <w:r w:rsidR="00123301">
        <w:t>d in the US by the ASCO</w:t>
      </w:r>
      <w:r w:rsidR="00930867" w:rsidRPr="00D31F4E">
        <w:t xml:space="preserve"> </w:t>
      </w:r>
      <w:r w:rsidRPr="00D31F4E">
        <w:t xml:space="preserve">and subsequently endorsed by </w:t>
      </w:r>
      <w:proofErr w:type="spellStart"/>
      <w:r w:rsidRPr="00D31F4E">
        <w:t>EviQ</w:t>
      </w:r>
      <w:proofErr w:type="spellEnd"/>
      <w:r w:rsidRPr="00D31F4E">
        <w:t xml:space="preserve"> in Australia.</w:t>
      </w:r>
    </w:p>
    <w:p w:rsidR="00391AAA" w:rsidRPr="00D31F4E" w:rsidRDefault="00391AAA" w:rsidP="00D31F4E">
      <w:r w:rsidRPr="00D31F4E">
        <w:t xml:space="preserve">The </w:t>
      </w:r>
      <w:r w:rsidR="00791AE3" w:rsidRPr="00D31F4E">
        <w:t>sponsor</w:t>
      </w:r>
      <w:r w:rsidRPr="00D31F4E">
        <w:t xml:space="preserve"> proposes to include the</w:t>
      </w:r>
      <w:r w:rsidR="00123301">
        <w:t xml:space="preserve"> following sentence in s</w:t>
      </w:r>
      <w:r w:rsidR="003C1128" w:rsidRPr="00D31F4E">
        <w:t>ection ‘</w:t>
      </w:r>
      <w:r w:rsidR="00123301" w:rsidRPr="00D31F4E">
        <w:t xml:space="preserve">clinical studies’ </w:t>
      </w:r>
      <w:r w:rsidR="00930867" w:rsidRPr="00D31F4E">
        <w:t xml:space="preserve">of the proposed </w:t>
      </w:r>
      <w:r w:rsidRPr="00D31F4E">
        <w:t xml:space="preserve">PI: </w:t>
      </w:r>
      <w:r w:rsidR="00413AD0" w:rsidRPr="00D31F4E">
        <w:t>‘</w:t>
      </w:r>
      <w:r w:rsidRPr="00D31F4E">
        <w:t>At the time of the study, anthracycline-cyclophosphamide</w:t>
      </w:r>
      <w:r w:rsidR="00DA1171">
        <w:t xml:space="preserve"> (AC)</w:t>
      </w:r>
      <w:r w:rsidRPr="00D31F4E">
        <w:t xml:space="preserve"> c</w:t>
      </w:r>
      <w:r w:rsidR="00930867" w:rsidRPr="00D31F4E">
        <w:t xml:space="preserve">ontaining chemotherapy regimens </w:t>
      </w:r>
      <w:r w:rsidRPr="00D31F4E">
        <w:t>were considered to be moderately emetogenic. Recent guidance has u</w:t>
      </w:r>
      <w:r w:rsidR="00930867" w:rsidRPr="00D31F4E">
        <w:t xml:space="preserve">pdated these regimens to highly </w:t>
      </w:r>
      <w:r w:rsidR="00413AD0" w:rsidRPr="00D31F4E">
        <w:t>emetogenic.’</w:t>
      </w:r>
    </w:p>
    <w:p w:rsidR="00391AAA" w:rsidRPr="00DA1171" w:rsidRDefault="00413AD0" w:rsidP="00DA1171">
      <w:r w:rsidRPr="00DA1171">
        <w:t>‘</w:t>
      </w:r>
      <w:r w:rsidR="00391AAA" w:rsidRPr="00DA1171">
        <w:t xml:space="preserve">Moreover, the </w:t>
      </w:r>
      <w:r w:rsidR="00791AE3" w:rsidRPr="00DA1171">
        <w:t>sponsor</w:t>
      </w:r>
      <w:r w:rsidRPr="00DA1171">
        <w:t xml:space="preserve"> proposes to amend the ‘</w:t>
      </w:r>
      <w:r w:rsidR="00DA1171" w:rsidRPr="00DA1171">
        <w:t xml:space="preserve">adverse effects’ </w:t>
      </w:r>
      <w:r w:rsidR="004D209E" w:rsidRPr="00DA1171">
        <w:t>section of the PI as follows</w:t>
      </w:r>
      <w:r w:rsidR="003C1128" w:rsidRPr="00DA1171">
        <w:t>’</w:t>
      </w:r>
      <w:r w:rsidR="00DA1171">
        <w:t>:</w:t>
      </w:r>
    </w:p>
    <w:p w:rsidR="00391AAA" w:rsidRPr="00DA1171" w:rsidRDefault="00413AD0" w:rsidP="00DA1171">
      <w:pPr>
        <w:ind w:left="720"/>
        <w:rPr>
          <w:i/>
        </w:rPr>
      </w:pPr>
      <w:r w:rsidRPr="00DA1171">
        <w:rPr>
          <w:i/>
        </w:rPr>
        <w:t>‘</w:t>
      </w:r>
      <w:r w:rsidR="00391AAA" w:rsidRPr="00DA1171">
        <w:rPr>
          <w:i/>
        </w:rPr>
        <w:t xml:space="preserve">The safety profile of </w:t>
      </w:r>
      <w:r w:rsidR="00C51742" w:rsidRPr="00DA1171">
        <w:rPr>
          <w:i/>
        </w:rPr>
        <w:t>Akynzeo</w:t>
      </w:r>
      <w:r w:rsidR="00391AAA" w:rsidRPr="00DA1171">
        <w:rPr>
          <w:i/>
        </w:rPr>
        <w:t xml:space="preserve"> was ev</w:t>
      </w:r>
      <w:r w:rsidR="00DA1171">
        <w:rPr>
          <w:i/>
        </w:rPr>
        <w:t xml:space="preserve">aluated in 1169 cancer patients, </w:t>
      </w:r>
      <w:r w:rsidR="004D209E" w:rsidRPr="00DA1171">
        <w:rPr>
          <w:i/>
        </w:rPr>
        <w:t xml:space="preserve">including 782 </w:t>
      </w:r>
      <w:r w:rsidR="00391AAA" w:rsidRPr="00DA1171">
        <w:rPr>
          <w:i/>
        </w:rPr>
        <w:t xml:space="preserve">exposed to </w:t>
      </w:r>
      <w:r w:rsidR="00C51742" w:rsidRPr="00DA1171">
        <w:rPr>
          <w:i/>
        </w:rPr>
        <w:t>Akynzeo</w:t>
      </w:r>
      <w:r w:rsidR="00391AAA" w:rsidRPr="00DA1171">
        <w:rPr>
          <w:i/>
        </w:rPr>
        <w:t xml:space="preserve"> for at least 4 cycles and 321 exposed for at lea</w:t>
      </w:r>
      <w:r w:rsidR="004D209E" w:rsidRPr="00DA1171">
        <w:rPr>
          <w:i/>
        </w:rPr>
        <w:t xml:space="preserve">st 6 cycles, up to a maximum of </w:t>
      </w:r>
      <w:r w:rsidRPr="00DA1171">
        <w:rPr>
          <w:i/>
        </w:rPr>
        <w:t>12 cycles of chemotherapy.’</w:t>
      </w:r>
    </w:p>
    <w:p w:rsidR="00391AAA" w:rsidRPr="00D31F4E" w:rsidRDefault="00391AAA" w:rsidP="00D31F4E">
      <w:r w:rsidRPr="00D31F4E">
        <w:t xml:space="preserve">However it is the </w:t>
      </w:r>
      <w:r w:rsidR="00791AE3" w:rsidRPr="00D31F4E">
        <w:t>sponsor’s</w:t>
      </w:r>
      <w:r w:rsidRPr="00D31F4E">
        <w:t xml:space="preserve"> opinion that whilst these guidelines on </w:t>
      </w:r>
      <w:r w:rsidR="00273F92" w:rsidRPr="00D31F4E">
        <w:t xml:space="preserve">MEC have recently changed it is </w:t>
      </w:r>
      <w:r w:rsidRPr="00D31F4E">
        <w:t xml:space="preserve">not fully accurate to conclude that the indication sought for </w:t>
      </w:r>
      <w:r w:rsidR="00C51742" w:rsidRPr="00D31F4E">
        <w:t>Akynzeo</w:t>
      </w:r>
      <w:r w:rsidR="00273F92" w:rsidRPr="00D31F4E">
        <w:t xml:space="preserve"> is only supported in the HEC </w:t>
      </w:r>
      <w:r w:rsidRPr="00D31F4E">
        <w:t>setting.</w:t>
      </w:r>
    </w:p>
    <w:p w:rsidR="00391AAA" w:rsidRPr="00D31F4E" w:rsidRDefault="00DA1171" w:rsidP="00D31F4E">
      <w:r>
        <w:t>At g</w:t>
      </w:r>
      <w:r w:rsidR="00391AAA" w:rsidRPr="00D31F4E">
        <w:t xml:space="preserve">lobal and European level, </w:t>
      </w:r>
      <w:r w:rsidR="00225281" w:rsidRPr="00D31F4E">
        <w:t>Multinational</w:t>
      </w:r>
      <w:r>
        <w:t xml:space="preserve"> </w:t>
      </w:r>
      <w:r w:rsidR="00225281" w:rsidRPr="00D31F4E">
        <w:t>Association of Supportive</w:t>
      </w:r>
      <w:r>
        <w:t xml:space="preserve"> </w:t>
      </w:r>
      <w:r w:rsidR="00225281" w:rsidRPr="00D31F4E">
        <w:t>Care in Cancer (</w:t>
      </w:r>
      <w:r w:rsidR="00391AAA" w:rsidRPr="00D31F4E">
        <w:t>MASCC</w:t>
      </w:r>
      <w:r w:rsidR="00225281" w:rsidRPr="00D31F4E">
        <w:t>)</w:t>
      </w:r>
      <w:r w:rsidR="00391AAA" w:rsidRPr="00D31F4E">
        <w:t>/</w:t>
      </w:r>
      <w:r w:rsidR="00225281" w:rsidRPr="00D31F4E">
        <w:t>European Society for Medical Oncology (</w:t>
      </w:r>
      <w:r w:rsidR="00391AAA" w:rsidRPr="00D31F4E">
        <w:t>ESMO</w:t>
      </w:r>
      <w:r w:rsidR="00225281" w:rsidRPr="00D31F4E">
        <w:t>)</w:t>
      </w:r>
      <w:r w:rsidR="00391AAA" w:rsidRPr="00D31F4E">
        <w:t xml:space="preserve"> guidelines still categorise AC che</w:t>
      </w:r>
      <w:r w:rsidR="00273F92" w:rsidRPr="00D31F4E">
        <w:t xml:space="preserve">motherapy as MEC. </w:t>
      </w:r>
      <w:r w:rsidR="00391AAA" w:rsidRPr="00D31F4E">
        <w:t>In the MEC setting, MASCC/ESMO clinical antiemetic guidelines have</w:t>
      </w:r>
      <w:r w:rsidR="00273F92" w:rsidRPr="00D31F4E">
        <w:t xml:space="preserve"> given special consideration to </w:t>
      </w:r>
      <w:r>
        <w:t xml:space="preserve">patient </w:t>
      </w:r>
      <w:r w:rsidR="00391AAA" w:rsidRPr="00D31F4E">
        <w:t xml:space="preserve">related risk factors contributing to the emetogenic potential </w:t>
      </w:r>
      <w:r w:rsidR="00273F92" w:rsidRPr="00D31F4E">
        <w:t>for patients receiving AC</w:t>
      </w:r>
      <w:r>
        <w:t xml:space="preserve"> </w:t>
      </w:r>
      <w:r w:rsidR="00273F92" w:rsidRPr="00D31F4E">
        <w:t xml:space="preserve">based </w:t>
      </w:r>
      <w:r w:rsidR="00391AAA" w:rsidRPr="00D31F4E">
        <w:t>chemotherapy. While historically guidance has been based sol</w:t>
      </w:r>
      <w:r w:rsidR="00273F92" w:rsidRPr="00D31F4E">
        <w:t xml:space="preserve">ely on the </w:t>
      </w:r>
      <w:proofErr w:type="spellStart"/>
      <w:r w:rsidR="00273F92" w:rsidRPr="00D31F4E">
        <w:t>emetogenicity</w:t>
      </w:r>
      <w:proofErr w:type="spellEnd"/>
      <w:r w:rsidR="00273F92" w:rsidRPr="00D31F4E">
        <w:t xml:space="preserve"> of the </w:t>
      </w:r>
      <w:r w:rsidR="00391AAA" w:rsidRPr="00D31F4E">
        <w:t xml:space="preserve">chemotherapy, committees have acknowledged that the young age and </w:t>
      </w:r>
      <w:r w:rsidR="00273F92" w:rsidRPr="00D31F4E">
        <w:t xml:space="preserve">female gender of the population </w:t>
      </w:r>
      <w:r w:rsidR="00391AAA" w:rsidRPr="00D31F4E">
        <w:t>t</w:t>
      </w:r>
      <w:r w:rsidR="00DE1229" w:rsidRPr="00D31F4E">
        <w:t xml:space="preserve">ypically receiving AC </w:t>
      </w:r>
      <w:r w:rsidR="00391AAA" w:rsidRPr="00D31F4E">
        <w:t>based chemotherapy puts this group at a higher risk for CINV.</w:t>
      </w:r>
    </w:p>
    <w:p w:rsidR="00391AAA" w:rsidRPr="00D31F4E" w:rsidRDefault="00391AAA" w:rsidP="00D31F4E">
      <w:r w:rsidRPr="00D31F4E">
        <w:t>From a regulatory view point, since the development of oral ondansetro</w:t>
      </w:r>
      <w:r w:rsidR="00273F92" w:rsidRPr="00D31F4E">
        <w:t xml:space="preserve">n up to the recent registration </w:t>
      </w:r>
      <w:r w:rsidRPr="00D31F4E">
        <w:t xml:space="preserve">of </w:t>
      </w:r>
      <w:r w:rsidR="00DE1229" w:rsidRPr="00D31F4E">
        <w:t>Emend</w:t>
      </w:r>
      <w:r w:rsidRPr="00D31F4E">
        <w:t xml:space="preserve"> and </w:t>
      </w:r>
      <w:proofErr w:type="spellStart"/>
      <w:r w:rsidR="00DE1229" w:rsidRPr="00D31F4E">
        <w:t>Aloxi</w:t>
      </w:r>
      <w:proofErr w:type="spellEnd"/>
      <w:r w:rsidRPr="00D31F4E">
        <w:t>, AC chemotherapy has served as</w:t>
      </w:r>
      <w:r w:rsidR="00DA1171">
        <w:t xml:space="preserve"> the ‘worst </w:t>
      </w:r>
      <w:r w:rsidR="00413AD0" w:rsidRPr="00D31F4E">
        <w:t>case’</w:t>
      </w:r>
      <w:r w:rsidR="00273F92" w:rsidRPr="00D31F4E">
        <w:t xml:space="preserve"> </w:t>
      </w:r>
      <w:proofErr w:type="spellStart"/>
      <w:r w:rsidR="00273F92" w:rsidRPr="00D31F4E">
        <w:t>emetogenicity</w:t>
      </w:r>
      <w:proofErr w:type="spellEnd"/>
      <w:r w:rsidR="00273F92" w:rsidRPr="00D31F4E">
        <w:t xml:space="preserve"> </w:t>
      </w:r>
      <w:r w:rsidRPr="00D31F4E">
        <w:t>representative for MEC chemotherapy: the AC regimen has represented the gold standard of the</w:t>
      </w:r>
      <w:r w:rsidR="00273F92" w:rsidRPr="00D31F4E">
        <w:t xml:space="preserve"> MEC </w:t>
      </w:r>
      <w:r w:rsidRPr="00D31F4E">
        <w:t>regimen in antiemetic efficacy pivotal trials and this model is familiar t</w:t>
      </w:r>
      <w:r w:rsidR="00273F92" w:rsidRPr="00D31F4E">
        <w:t xml:space="preserve">o clinicians for use to prevent </w:t>
      </w:r>
      <w:r w:rsidRPr="00D31F4E">
        <w:t>CINV induced by MEC. The patient population of the MEC registr</w:t>
      </w:r>
      <w:r w:rsidR="00413AD0" w:rsidRPr="00D31F4E">
        <w:t xml:space="preserve">ation Study 071 with </w:t>
      </w:r>
      <w:proofErr w:type="gramStart"/>
      <w:r w:rsidR="00691119" w:rsidRPr="00D31F4E">
        <w:t>Emend</w:t>
      </w:r>
      <w:r w:rsidR="00273F92" w:rsidRPr="00D31F4E">
        <w:t>,</w:t>
      </w:r>
      <w:proofErr w:type="gramEnd"/>
      <w:r w:rsidR="00273F92" w:rsidRPr="00D31F4E">
        <w:t xml:space="preserve"> was </w:t>
      </w:r>
      <w:r w:rsidRPr="00D31F4E">
        <w:t>represented almost exclusively by patients scheduled to rec</w:t>
      </w:r>
      <w:r w:rsidR="00273F92" w:rsidRPr="00D31F4E">
        <w:t xml:space="preserve">eive AC. Also the US and EU MEC </w:t>
      </w:r>
      <w:r w:rsidRPr="00D31F4E">
        <w:t>registration of oral palonosetron 0.50 mg (</w:t>
      </w:r>
      <w:proofErr w:type="spellStart"/>
      <w:r w:rsidR="00E31465" w:rsidRPr="00D31F4E">
        <w:t>Aloxi</w:t>
      </w:r>
      <w:proofErr w:type="spellEnd"/>
      <w:r w:rsidRPr="00D31F4E">
        <w:t>), was fou</w:t>
      </w:r>
      <w:r w:rsidR="00273F92" w:rsidRPr="00D31F4E">
        <w:t xml:space="preserve">nded on </w:t>
      </w:r>
      <w:r w:rsidR="00747202" w:rsidRPr="00D31F4E">
        <w:t>Study PALO-03-13</w:t>
      </w:r>
      <w:r w:rsidR="00273F92" w:rsidRPr="00D31F4E">
        <w:t xml:space="preserve">, which </w:t>
      </w:r>
      <w:r w:rsidRPr="00D31F4E">
        <w:t>predominantly enrolled patients scheduled to receive AC based chemotherapy.</w:t>
      </w:r>
    </w:p>
    <w:p w:rsidR="00391AAA" w:rsidRPr="00D31F4E" w:rsidRDefault="00391AAA" w:rsidP="00D31F4E">
      <w:r w:rsidRPr="00D31F4E">
        <w:t xml:space="preserve">It is the </w:t>
      </w:r>
      <w:r w:rsidR="00791AE3" w:rsidRPr="00D31F4E">
        <w:t>sponsor’s</w:t>
      </w:r>
      <w:r w:rsidRPr="00D31F4E">
        <w:t xml:space="preserve"> opinion the role of NETU-08-18 as the pivotal s</w:t>
      </w:r>
      <w:r w:rsidR="00273F92" w:rsidRPr="00D31F4E">
        <w:t xml:space="preserve">tudy supporting the efficacy of </w:t>
      </w:r>
      <w:r w:rsidR="00C51742" w:rsidRPr="00D31F4E">
        <w:t>Akynzeo</w:t>
      </w:r>
      <w:r w:rsidRPr="00D31F4E">
        <w:t xml:space="preserve"> in preventing CINV induced by MEC, represents the</w:t>
      </w:r>
      <w:r w:rsidR="00273F92" w:rsidRPr="00D31F4E">
        <w:t xml:space="preserve"> worst case scenario in the MEC </w:t>
      </w:r>
      <w:r w:rsidRPr="00D31F4E">
        <w:t>setting and supports the indication proposed in MEC.</w:t>
      </w:r>
    </w:p>
    <w:p w:rsidR="00391AAA" w:rsidRPr="00D31F4E" w:rsidRDefault="00391AAA" w:rsidP="00D31F4E">
      <w:pPr>
        <w:pStyle w:val="Heading5"/>
      </w:pPr>
      <w:r w:rsidRPr="00D31F4E">
        <w:t>Hepatic Impairment</w:t>
      </w:r>
    </w:p>
    <w:p w:rsidR="00391AAA" w:rsidRPr="00D31F4E" w:rsidRDefault="00391AAA" w:rsidP="00D31F4E">
      <w:r w:rsidRPr="00D31F4E">
        <w:t xml:space="preserve">It is the </w:t>
      </w:r>
      <w:r w:rsidR="00791AE3" w:rsidRPr="00D31F4E">
        <w:t>sponsor’s</w:t>
      </w:r>
      <w:r w:rsidRPr="00D31F4E">
        <w:t xml:space="preserve"> opinion that increased exposures to netupitant</w:t>
      </w:r>
      <w:r w:rsidR="00273F92" w:rsidRPr="00D31F4E">
        <w:t xml:space="preserve"> in moderate hepatic impairment </w:t>
      </w:r>
      <w:r w:rsidRPr="00D31F4E">
        <w:t xml:space="preserve">observed in </w:t>
      </w:r>
      <w:r w:rsidR="00F73FE3" w:rsidRPr="00D31F4E">
        <w:t>Study NETU</w:t>
      </w:r>
      <w:r w:rsidRPr="00D31F4E">
        <w:t>-10-12 should not be considered clinically r</w:t>
      </w:r>
      <w:r w:rsidR="00273F92" w:rsidRPr="00D31F4E">
        <w:t xml:space="preserve">elevant. The </w:t>
      </w:r>
      <w:r w:rsidR="00791AE3" w:rsidRPr="00D31F4E">
        <w:t>sponsor</w:t>
      </w:r>
      <w:r w:rsidR="00273F92" w:rsidRPr="00D31F4E">
        <w:t xml:space="preserve"> refers the </w:t>
      </w:r>
      <w:r w:rsidR="00413AD0" w:rsidRPr="00D31F4E">
        <w:t>ACPM to</w:t>
      </w:r>
      <w:r w:rsidRPr="00D31F4E">
        <w:t xml:space="preserve"> furthe</w:t>
      </w:r>
      <w:r w:rsidR="00DA1171">
        <w:t>r comments regarding this point</w:t>
      </w:r>
      <w:r w:rsidR="00413AD0" w:rsidRPr="00D31F4E">
        <w:t xml:space="preserve"> </w:t>
      </w:r>
      <w:r w:rsidRPr="00D31F4E">
        <w:t xml:space="preserve">leading </w:t>
      </w:r>
      <w:r w:rsidR="00273F92" w:rsidRPr="00D31F4E">
        <w:t xml:space="preserve">to the conclusion that moderate </w:t>
      </w:r>
      <w:r w:rsidRPr="00D31F4E">
        <w:t>hepatic impairment does not necessitate any dose reduction and no sp</w:t>
      </w:r>
      <w:r w:rsidR="00273F92" w:rsidRPr="00D31F4E">
        <w:t xml:space="preserve">ecific cautionary statement for </w:t>
      </w:r>
      <w:r w:rsidRPr="00D31F4E">
        <w:t>use in these patients should be included in the PI.</w:t>
      </w:r>
    </w:p>
    <w:p w:rsidR="00391AAA" w:rsidRPr="00D31F4E" w:rsidRDefault="00391AAA" w:rsidP="00D31F4E">
      <w:r w:rsidRPr="00D31F4E">
        <w:t>Regarding severe hepatic impairment, limited data (</w:t>
      </w:r>
      <w:r w:rsidR="00DA1171">
        <w:t>n</w:t>
      </w:r>
      <w:r w:rsidR="002D3239">
        <w:t xml:space="preserve"> = </w:t>
      </w:r>
      <w:r w:rsidRPr="00D31F4E">
        <w:t>2) do not allow drawing conclusions for this</w:t>
      </w:r>
      <w:r w:rsidR="00273F92" w:rsidRPr="00D31F4E">
        <w:t xml:space="preserve"> </w:t>
      </w:r>
      <w:r w:rsidRPr="00D31F4E">
        <w:t>population. Lack of specific data does not constitute per se a reason for</w:t>
      </w:r>
      <w:r w:rsidR="00273F92" w:rsidRPr="00D31F4E">
        <w:t xml:space="preserve"> contraindication, consistently </w:t>
      </w:r>
      <w:r w:rsidR="00413AD0" w:rsidRPr="00D31F4E">
        <w:t xml:space="preserve">with the case for </w:t>
      </w:r>
      <w:r w:rsidR="00691119" w:rsidRPr="00D31F4E">
        <w:t>Emend</w:t>
      </w:r>
      <w:r w:rsidRPr="00D31F4E">
        <w:t>. Although no data were available wit</w:t>
      </w:r>
      <w:r w:rsidR="00691119" w:rsidRPr="00D31F4E">
        <w:t>h Emend</w:t>
      </w:r>
      <w:r w:rsidR="00273F92" w:rsidRPr="00D31F4E">
        <w:t xml:space="preserve"> in patients with severe </w:t>
      </w:r>
      <w:r w:rsidRPr="00D31F4E">
        <w:t>hepatic impairment, the product has not been contraindicated and no cautionar</w:t>
      </w:r>
      <w:r w:rsidR="00273F92" w:rsidRPr="00D31F4E">
        <w:t xml:space="preserve">y statement has been </w:t>
      </w:r>
      <w:r w:rsidRPr="00D31F4E">
        <w:t xml:space="preserve">included in its PI, which </w:t>
      </w:r>
      <w:r w:rsidRPr="00D31F4E">
        <w:lastRenderedPageBreak/>
        <w:t>inc</w:t>
      </w:r>
      <w:r w:rsidR="00691119" w:rsidRPr="00D31F4E">
        <w:t>ludes the following statement: ‘</w:t>
      </w:r>
      <w:r w:rsidRPr="00D31F4E">
        <w:t>There are</w:t>
      </w:r>
      <w:r w:rsidR="00273F92" w:rsidRPr="00D31F4E">
        <w:t xml:space="preserve"> no clinical or pharmacokinetic </w:t>
      </w:r>
      <w:r w:rsidRPr="00D31F4E">
        <w:t xml:space="preserve">data (with </w:t>
      </w:r>
      <w:r w:rsidR="00691119" w:rsidRPr="00D31F4E">
        <w:t>Emend</w:t>
      </w:r>
      <w:r w:rsidRPr="00D31F4E">
        <w:t>) in patients with severe hepatic insu</w:t>
      </w:r>
      <w:r w:rsidR="00691119" w:rsidRPr="00D31F4E">
        <w:t xml:space="preserve">fficiency (Child-Pugh score </w:t>
      </w:r>
      <w:r w:rsidR="000403F6">
        <w:t>&gt; 9</w:t>
      </w:r>
      <w:r w:rsidR="00691119" w:rsidRPr="00D31F4E">
        <w:t>)’</w:t>
      </w:r>
      <w:r w:rsidRPr="00D31F4E">
        <w:t>.</w:t>
      </w:r>
    </w:p>
    <w:p w:rsidR="00391AAA" w:rsidRPr="00D31F4E" w:rsidRDefault="00391AAA" w:rsidP="00D31F4E">
      <w:r w:rsidRPr="00D31F4E">
        <w:t xml:space="preserve">Therefore the </w:t>
      </w:r>
      <w:r w:rsidR="00791AE3" w:rsidRPr="00D31F4E">
        <w:t>sponsor</w:t>
      </w:r>
      <w:r w:rsidRPr="00D31F4E">
        <w:t xml:space="preserve"> considers that the current sentence in the </w:t>
      </w:r>
      <w:r w:rsidR="00C51742" w:rsidRPr="00D31F4E">
        <w:t>Akynzeo</w:t>
      </w:r>
      <w:r w:rsidRPr="00D31F4E">
        <w:t xml:space="preserve"> PI:</w:t>
      </w:r>
      <w:r w:rsidR="00691119" w:rsidRPr="00D31F4E">
        <w:t xml:space="preserve"> ‘</w:t>
      </w:r>
      <w:r w:rsidR="00273F92" w:rsidRPr="00D31F4E">
        <w:t xml:space="preserve">No dosage </w:t>
      </w:r>
      <w:r w:rsidRPr="00D31F4E">
        <w:t>adjustment is necessary for patients with mild or moderate hepat</w:t>
      </w:r>
      <w:r w:rsidR="00273F92" w:rsidRPr="00D31F4E">
        <w:t>ic impairment (Child-Pugh score</w:t>
      </w:r>
      <w:r w:rsidR="00DA1171">
        <w:t xml:space="preserve">5 to </w:t>
      </w:r>
      <w:r w:rsidRPr="00D31F4E">
        <w:t>8). Limited data exist in patients with severe hepatic impairment (Child Pugh</w:t>
      </w:r>
      <w:r w:rsidR="00273F92" w:rsidRPr="00D31F4E">
        <w:t xml:space="preserve"> score ≥ 9). </w:t>
      </w:r>
      <w:proofErr w:type="spellStart"/>
      <w:r w:rsidR="00273F92" w:rsidRPr="00D31F4E">
        <w:t>Therefore</w:t>
      </w:r>
      <w:r w:rsidR="00C51742" w:rsidRPr="00D31F4E">
        <w:t>Akynzeo</w:t>
      </w:r>
      <w:proofErr w:type="spellEnd"/>
      <w:r w:rsidRPr="00D31F4E">
        <w:t xml:space="preserve"> should be used </w:t>
      </w:r>
      <w:r w:rsidR="00691119" w:rsidRPr="00D31F4E">
        <w:t xml:space="preserve">with caution in these </w:t>
      </w:r>
      <w:proofErr w:type="spellStart"/>
      <w:r w:rsidR="00691119" w:rsidRPr="00D31F4E">
        <w:t>patients.’</w:t>
      </w:r>
      <w:r w:rsidRPr="00D31F4E">
        <w:t>is</w:t>
      </w:r>
      <w:proofErr w:type="spellEnd"/>
      <w:r w:rsidRPr="00D31F4E">
        <w:t xml:space="preserve"> adequate.</w:t>
      </w:r>
    </w:p>
    <w:p w:rsidR="00391AAA" w:rsidRPr="00D31F4E" w:rsidRDefault="00391AAA" w:rsidP="00D31F4E">
      <w:pPr>
        <w:pStyle w:val="Heading5"/>
      </w:pPr>
      <w:r w:rsidRPr="00D31F4E">
        <w:t>Safety concerns linked to the pharmacokinetic interactio</w:t>
      </w:r>
      <w:r w:rsidR="00273F92" w:rsidRPr="00D31F4E">
        <w:t xml:space="preserve">ns between netupitant and other </w:t>
      </w:r>
      <w:r w:rsidRPr="00D31F4E">
        <w:t>CYP3A4 substrates and potential increased risk of infections.</w:t>
      </w:r>
    </w:p>
    <w:p w:rsidR="00391AAA" w:rsidRPr="00D31F4E" w:rsidRDefault="00391AAA" w:rsidP="00D31F4E">
      <w:r w:rsidRPr="00D31F4E">
        <w:t>Data analysis on the subpopulation of cancer patients from the four</w:t>
      </w:r>
      <w:r w:rsidR="00691119" w:rsidRPr="00D31F4E">
        <w:t xml:space="preserve"> Phase II/III</w:t>
      </w:r>
      <w:r w:rsidR="00273F92" w:rsidRPr="00D31F4E">
        <w:t xml:space="preserve"> clinical studies was </w:t>
      </w:r>
      <w:r w:rsidRPr="00D31F4E">
        <w:t>performed to investigate the potential of safety concerns related to th</w:t>
      </w:r>
      <w:r w:rsidR="00273F92" w:rsidRPr="00D31F4E">
        <w:t xml:space="preserve">e concomitant administration of </w:t>
      </w:r>
      <w:r w:rsidRPr="00D31F4E">
        <w:t>the chemotherapeutic agents</w:t>
      </w:r>
      <w:r w:rsidR="00DA1171">
        <w:t>;</w:t>
      </w:r>
      <w:r w:rsidRPr="00D31F4E">
        <w:t xml:space="preserve"> docetaxel, etoposide and cyclophosphamid</w:t>
      </w:r>
      <w:r w:rsidR="00273F92" w:rsidRPr="00D31F4E">
        <w:t>e metabol</w:t>
      </w:r>
      <w:r w:rsidR="00AA120C">
        <w:t>ise</w:t>
      </w:r>
      <w:r w:rsidR="00273F92" w:rsidRPr="00D31F4E">
        <w:t>d by CYP3A4</w:t>
      </w:r>
      <w:r w:rsidR="00DA1171">
        <w:t>,</w:t>
      </w:r>
      <w:r w:rsidR="00273F92" w:rsidRPr="00D31F4E">
        <w:t xml:space="preserve"> and </w:t>
      </w:r>
      <w:r w:rsidR="00C51742" w:rsidRPr="00D31F4E">
        <w:t>Akynzeo</w:t>
      </w:r>
      <w:r w:rsidRPr="00D31F4E">
        <w:t xml:space="preserve">. Serious events suggestive of </w:t>
      </w:r>
      <w:proofErr w:type="spellStart"/>
      <w:r w:rsidRPr="00D31F4E">
        <w:t>hematological</w:t>
      </w:r>
      <w:proofErr w:type="spellEnd"/>
      <w:r w:rsidRPr="00D31F4E">
        <w:t xml:space="preserve"> toxicities</w:t>
      </w:r>
      <w:r w:rsidR="00273F92" w:rsidRPr="00D31F4E">
        <w:t xml:space="preserve"> and of diarrhoea and any event </w:t>
      </w:r>
      <w:r w:rsidRPr="00D31F4E">
        <w:t>with the preferred term (PT) within the system organ class (SOC) “</w:t>
      </w:r>
      <w:r w:rsidR="00DA1171" w:rsidRPr="00D31F4E">
        <w:t>infections and infestations</w:t>
      </w:r>
      <w:r w:rsidR="00273F92" w:rsidRPr="00D31F4E">
        <w:t xml:space="preserve">” were </w:t>
      </w:r>
      <w:r w:rsidRPr="00D31F4E">
        <w:t>considered.</w:t>
      </w:r>
    </w:p>
    <w:p w:rsidR="00391AAA" w:rsidRDefault="00F5364C" w:rsidP="00D31F4E">
      <w:r>
        <w:t>In Tables 14 to 16</w:t>
      </w:r>
      <w:r w:rsidR="00AD6AF2">
        <w:t xml:space="preserve"> t</w:t>
      </w:r>
      <w:r w:rsidR="00391AAA" w:rsidRPr="00D31F4E">
        <w:t xml:space="preserve">he </w:t>
      </w:r>
      <w:r w:rsidR="00AD6AF2">
        <w:t>numbers</w:t>
      </w:r>
      <w:r w:rsidR="00DA1171" w:rsidRPr="00D31F4E">
        <w:t xml:space="preserve"> of patients by chemotherapy treatment and by study were</w:t>
      </w:r>
      <w:r w:rsidR="00273F92" w:rsidRPr="00D31F4E">
        <w:t xml:space="preserve"> </w:t>
      </w:r>
      <w:r w:rsidR="00391AAA" w:rsidRPr="00D31F4E">
        <w:t>presented. A total of 1</w:t>
      </w:r>
      <w:r w:rsidR="00DA1171">
        <w:t>,</w:t>
      </w:r>
      <w:r w:rsidR="00391AAA" w:rsidRPr="00D31F4E">
        <w:t>765 (53.8</w:t>
      </w:r>
      <w:r w:rsidR="000403F6">
        <w:t>%</w:t>
      </w:r>
      <w:r w:rsidR="00391AAA" w:rsidRPr="00D31F4E">
        <w:t>) out of 3</w:t>
      </w:r>
      <w:r w:rsidR="00DA1171">
        <w:t>,</w:t>
      </w:r>
      <w:r w:rsidR="00391AAA" w:rsidRPr="00D31F4E">
        <w:t>280 patients receive</w:t>
      </w:r>
      <w:r w:rsidR="00273F92" w:rsidRPr="00D31F4E">
        <w:t>d cyclophosphamide, 311 (9.5</w:t>
      </w:r>
      <w:r w:rsidR="000403F6">
        <w:t>%</w:t>
      </w:r>
      <w:r w:rsidR="00273F92" w:rsidRPr="00D31F4E">
        <w:t xml:space="preserve">) </w:t>
      </w:r>
      <w:r w:rsidR="00391AAA" w:rsidRPr="00D31F4E">
        <w:t>etoposide and 106 (3.2</w:t>
      </w:r>
      <w:r w:rsidR="000403F6">
        <w:t>%</w:t>
      </w:r>
      <w:r w:rsidR="00391AAA" w:rsidRPr="00D31F4E">
        <w:t>) docetaxel. The percentage of patients ex</w:t>
      </w:r>
      <w:r w:rsidR="00273F92" w:rsidRPr="00D31F4E">
        <w:t xml:space="preserve">periencing at least one SAE was </w:t>
      </w:r>
      <w:r w:rsidR="00391AAA" w:rsidRPr="00D31F4E">
        <w:t>3.8</w:t>
      </w:r>
      <w:r w:rsidR="000403F6">
        <w:t>%</w:t>
      </w:r>
      <w:r w:rsidR="00391AAA" w:rsidRPr="00D31F4E">
        <w:t xml:space="preserve"> (67</w:t>
      </w:r>
      <w:r w:rsidR="00027344">
        <w:t xml:space="preserve"> out of </w:t>
      </w:r>
      <w:r w:rsidR="00391AAA" w:rsidRPr="00D31F4E">
        <w:t>1</w:t>
      </w:r>
      <w:r w:rsidR="00DA1171">
        <w:t>,</w:t>
      </w:r>
      <w:r w:rsidR="00391AAA" w:rsidRPr="00D31F4E">
        <w:t>765) among patients administered cyclophosphamide, 8.0</w:t>
      </w:r>
      <w:r w:rsidR="000403F6">
        <w:t>%</w:t>
      </w:r>
      <w:r w:rsidR="00391AAA" w:rsidRPr="00D31F4E">
        <w:t xml:space="preserve"> (25</w:t>
      </w:r>
      <w:r w:rsidR="00027344">
        <w:t xml:space="preserve"> out of </w:t>
      </w:r>
      <w:r w:rsidR="00391AAA" w:rsidRPr="00D31F4E">
        <w:t>311) a</w:t>
      </w:r>
      <w:r w:rsidR="00273F92" w:rsidRPr="00D31F4E">
        <w:t xml:space="preserve">mong patients </w:t>
      </w:r>
      <w:r w:rsidR="00391AAA" w:rsidRPr="00D31F4E">
        <w:t>administered etoposide and 18.9</w:t>
      </w:r>
      <w:r w:rsidR="000403F6">
        <w:t>%</w:t>
      </w:r>
      <w:r w:rsidR="00391AAA" w:rsidRPr="00D31F4E">
        <w:t xml:space="preserve"> (20</w:t>
      </w:r>
      <w:r w:rsidR="00027344">
        <w:t xml:space="preserve"> out of </w:t>
      </w:r>
      <w:r w:rsidR="00391AAA" w:rsidRPr="00D31F4E">
        <w:t>106) of patients adm</w:t>
      </w:r>
      <w:r w:rsidR="00691119" w:rsidRPr="00D31F4E">
        <w:t xml:space="preserve">inistered docetaxel. A summary of </w:t>
      </w:r>
      <w:r w:rsidR="00391AAA" w:rsidRPr="00D31F4E">
        <w:t>patients with SAEs and any selecte</w:t>
      </w:r>
      <w:r w:rsidR="00691119" w:rsidRPr="00D31F4E">
        <w:t>d TEAE for c</w:t>
      </w:r>
      <w:r w:rsidR="00273F92" w:rsidRPr="00D31F4E">
        <w:t xml:space="preserve">yclophosphamide, or </w:t>
      </w:r>
      <w:r w:rsidR="00691119" w:rsidRPr="00D31F4E">
        <w:t>etoposide or d</w:t>
      </w:r>
      <w:r w:rsidR="00391AAA" w:rsidRPr="00D31F4E">
        <w:t xml:space="preserve">ocetaxel subpopulation for palonosetron 0.25 IV, </w:t>
      </w:r>
      <w:r w:rsidR="00C02473">
        <w:t xml:space="preserve">oral </w:t>
      </w:r>
      <w:r w:rsidR="00391AAA" w:rsidRPr="00D31F4E">
        <w:t>pa</w:t>
      </w:r>
      <w:r w:rsidR="00C05B17">
        <w:t>lonosetron 0.5</w:t>
      </w:r>
      <w:r w:rsidR="00273F92" w:rsidRPr="00D31F4E">
        <w:t xml:space="preserve">, the </w:t>
      </w:r>
      <w:r w:rsidR="00C51742" w:rsidRPr="00D31F4E">
        <w:t>Akynzeo</w:t>
      </w:r>
      <w:r w:rsidR="00273F92" w:rsidRPr="00D31F4E">
        <w:t xml:space="preserve"> </w:t>
      </w:r>
      <w:r w:rsidR="00391AAA" w:rsidRPr="00D31F4E">
        <w:t>and aprepitant/palonosetron groups</w:t>
      </w:r>
      <w:r w:rsidR="00691119" w:rsidRPr="00D31F4E">
        <w:t xml:space="preserve"> was presented</w:t>
      </w:r>
      <w:r w:rsidR="00391AAA" w:rsidRPr="00D31F4E">
        <w:t>.</w:t>
      </w:r>
    </w:p>
    <w:p w:rsidR="00AD6AF2" w:rsidRDefault="00AD6AF2" w:rsidP="00AD6AF2">
      <w:pPr>
        <w:pStyle w:val="TableTitle"/>
      </w:pPr>
      <w:proofErr w:type="gramStart"/>
      <w:r>
        <w:t>Table 1</w:t>
      </w:r>
      <w:r w:rsidR="00F5364C">
        <w:t>4</w:t>
      </w:r>
      <w:r>
        <w:t>.</w:t>
      </w:r>
      <w:proofErr w:type="gramEnd"/>
      <w:r>
        <w:t xml:space="preserve"> Cyclophosphamide population</w:t>
      </w:r>
    </w:p>
    <w:p w:rsidR="00AD6AF2" w:rsidRDefault="00E77382" w:rsidP="00D31F4E">
      <w:r>
        <w:rPr>
          <w:noProof/>
          <w:lang w:eastAsia="en-AU"/>
        </w:rPr>
        <w:drawing>
          <wp:inline distT="0" distB="0" distL="0" distR="0">
            <wp:extent cx="5225415" cy="1983105"/>
            <wp:effectExtent l="0" t="0" r="0" b="0"/>
            <wp:docPr id="7" name="Picture 1" descr="Table 14: Cyclophosphamid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4: Cyclophosphamide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5415" cy="1983105"/>
                    </a:xfrm>
                    <a:prstGeom prst="rect">
                      <a:avLst/>
                    </a:prstGeom>
                    <a:noFill/>
                    <a:ln>
                      <a:noFill/>
                    </a:ln>
                  </pic:spPr>
                </pic:pic>
              </a:graphicData>
            </a:graphic>
          </wp:inline>
        </w:drawing>
      </w:r>
    </w:p>
    <w:p w:rsidR="00AD6AF2" w:rsidRDefault="00F5364C" w:rsidP="00AD6AF2">
      <w:pPr>
        <w:pStyle w:val="TableTitle"/>
      </w:pPr>
      <w:proofErr w:type="gramStart"/>
      <w:r>
        <w:lastRenderedPageBreak/>
        <w:t>Table 15</w:t>
      </w:r>
      <w:r w:rsidR="00AD6AF2">
        <w:t>.</w:t>
      </w:r>
      <w:proofErr w:type="gramEnd"/>
      <w:r w:rsidR="00AD6AF2">
        <w:t xml:space="preserve"> Etoposide subpopulation</w:t>
      </w:r>
    </w:p>
    <w:p w:rsidR="00AD6AF2" w:rsidRDefault="00E77382" w:rsidP="00D31F4E">
      <w:r>
        <w:rPr>
          <w:noProof/>
          <w:lang w:eastAsia="en-AU"/>
        </w:rPr>
        <w:drawing>
          <wp:inline distT="0" distB="0" distL="0" distR="0">
            <wp:extent cx="5391150" cy="2197100"/>
            <wp:effectExtent l="0" t="0" r="0" b="0"/>
            <wp:docPr id="8" name="Picture 2" descr="Table 15: Etoposide sub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5: Etoposide subpopu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2197100"/>
                    </a:xfrm>
                    <a:prstGeom prst="rect">
                      <a:avLst/>
                    </a:prstGeom>
                    <a:noFill/>
                    <a:ln>
                      <a:noFill/>
                    </a:ln>
                  </pic:spPr>
                </pic:pic>
              </a:graphicData>
            </a:graphic>
          </wp:inline>
        </w:drawing>
      </w:r>
    </w:p>
    <w:p w:rsidR="00AD6AF2" w:rsidRDefault="00F5364C" w:rsidP="00AD6AF2">
      <w:pPr>
        <w:pStyle w:val="TableTitle"/>
      </w:pPr>
      <w:proofErr w:type="gramStart"/>
      <w:r>
        <w:t>Table 16</w:t>
      </w:r>
      <w:r w:rsidR="00AD6AF2">
        <w:t>.</w:t>
      </w:r>
      <w:proofErr w:type="gramEnd"/>
      <w:r w:rsidR="00AD6AF2">
        <w:t xml:space="preserve"> Docetaxel subpopulation</w:t>
      </w:r>
    </w:p>
    <w:p w:rsidR="00AD6AF2" w:rsidRPr="00D31F4E" w:rsidRDefault="00E77382" w:rsidP="00D31F4E">
      <w:r>
        <w:rPr>
          <w:noProof/>
          <w:lang w:eastAsia="en-AU"/>
        </w:rPr>
        <w:drawing>
          <wp:inline distT="0" distB="0" distL="0" distR="0">
            <wp:extent cx="5403215" cy="2007235"/>
            <wp:effectExtent l="0" t="0" r="6985" b="0"/>
            <wp:docPr id="9" name="Picture 3" descr="Table 16: Docetaxel sub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6: Docetaxel subpop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2007235"/>
                    </a:xfrm>
                    <a:prstGeom prst="rect">
                      <a:avLst/>
                    </a:prstGeom>
                    <a:noFill/>
                    <a:ln>
                      <a:noFill/>
                    </a:ln>
                  </pic:spPr>
                </pic:pic>
              </a:graphicData>
            </a:graphic>
          </wp:inline>
        </w:drawing>
      </w:r>
    </w:p>
    <w:p w:rsidR="00D31F4E" w:rsidRPr="00D31F4E" w:rsidRDefault="00AD6AF2" w:rsidP="00D31F4E">
      <w:pPr>
        <w:pStyle w:val="Heading6"/>
      </w:pPr>
      <w:r>
        <w:t>Cyclophosphamide subpopulation</w:t>
      </w:r>
    </w:p>
    <w:p w:rsidR="00391AAA" w:rsidRPr="00D31F4E" w:rsidRDefault="00391AAA" w:rsidP="00D31F4E">
      <w:r w:rsidRPr="00D31F4E">
        <w:t>Four patients died, 2 (0.3</w:t>
      </w:r>
      <w:r w:rsidR="000403F6">
        <w:t>%</w:t>
      </w:r>
      <w:r w:rsidRPr="00D31F4E">
        <w:t>) patie</w:t>
      </w:r>
      <w:r w:rsidR="00273F92" w:rsidRPr="00D31F4E">
        <w:t xml:space="preserve">nts in the </w:t>
      </w:r>
      <w:r w:rsidR="00C02473">
        <w:t xml:space="preserve">oral </w:t>
      </w:r>
      <w:r w:rsidR="00273F92" w:rsidRPr="00D31F4E">
        <w:t xml:space="preserve">palonosetron 0.50 mg </w:t>
      </w:r>
      <w:r w:rsidRPr="00D31F4E">
        <w:t>and 2 (0.2</w:t>
      </w:r>
      <w:r w:rsidR="000403F6">
        <w:t>%</w:t>
      </w:r>
      <w:r w:rsidRPr="00D31F4E">
        <w:t xml:space="preserve">) in the </w:t>
      </w:r>
      <w:r w:rsidR="00C51742" w:rsidRPr="00D31F4E">
        <w:t>Akynzeo</w:t>
      </w:r>
      <w:r w:rsidRPr="00D31F4E">
        <w:t xml:space="preserve"> groups, respectively. The percentage of patients with at lea</w:t>
      </w:r>
      <w:r w:rsidR="00273F92" w:rsidRPr="00D31F4E">
        <w:t xml:space="preserve">st one </w:t>
      </w:r>
      <w:r w:rsidRPr="00D31F4E">
        <w:t>SAE ranged from 3.3</w:t>
      </w:r>
      <w:r w:rsidR="000403F6">
        <w:t>%</w:t>
      </w:r>
      <w:r w:rsidRPr="00D31F4E">
        <w:t xml:space="preserve"> in both palonosetron groups to 7.1</w:t>
      </w:r>
      <w:r w:rsidR="000403F6">
        <w:t>%</w:t>
      </w:r>
      <w:r w:rsidRPr="00D31F4E">
        <w:t xml:space="preserve"> in the apre</w:t>
      </w:r>
      <w:r w:rsidR="00273F92" w:rsidRPr="00D31F4E">
        <w:t xml:space="preserve">pitant plus palonosetron group. </w:t>
      </w:r>
      <w:r w:rsidRPr="00D31F4E">
        <w:t xml:space="preserve">In the </w:t>
      </w:r>
      <w:r w:rsidR="00C51742" w:rsidRPr="00D31F4E">
        <w:t>Akynzeo</w:t>
      </w:r>
      <w:r w:rsidRPr="00D31F4E">
        <w:t xml:space="preserve"> group, the rate was 4.8</w:t>
      </w:r>
      <w:r w:rsidR="000403F6">
        <w:t>%</w:t>
      </w:r>
      <w:r w:rsidRPr="00D31F4E">
        <w:t>. No serious events of diar</w:t>
      </w:r>
      <w:r w:rsidR="00273F92" w:rsidRPr="00D31F4E">
        <w:t xml:space="preserve">rhoea were reported to occur in </w:t>
      </w:r>
      <w:r w:rsidRPr="00D31F4E">
        <w:t xml:space="preserve">any treatment group. </w:t>
      </w:r>
      <w:proofErr w:type="gramStart"/>
      <w:r w:rsidRPr="00D31F4E">
        <w:t>The very limited number of patients and cyc</w:t>
      </w:r>
      <w:r w:rsidR="00273F92" w:rsidRPr="00D31F4E">
        <w:t xml:space="preserve">les in the aprepitant group and </w:t>
      </w:r>
      <w:r w:rsidR="00E56F6E" w:rsidRPr="00D31F4E">
        <w:t>palonosetron 0.25 mg IV</w:t>
      </w:r>
      <w:r w:rsidRPr="00D31F4E">
        <w:t>.</w:t>
      </w:r>
      <w:proofErr w:type="gramEnd"/>
      <w:r w:rsidRPr="00D31F4E">
        <w:t xml:space="preserve"> </w:t>
      </w:r>
      <w:proofErr w:type="gramStart"/>
      <w:r w:rsidRPr="00D31F4E">
        <w:t>do</w:t>
      </w:r>
      <w:proofErr w:type="gramEnd"/>
      <w:r w:rsidRPr="00D31F4E">
        <w:t xml:space="preserve"> not allow a meaningful comparison wi</w:t>
      </w:r>
      <w:r w:rsidR="00273F92" w:rsidRPr="00D31F4E">
        <w:t xml:space="preserve">th the other treatments for the </w:t>
      </w:r>
      <w:r w:rsidRPr="00D31F4E">
        <w:t xml:space="preserve">events of </w:t>
      </w:r>
      <w:proofErr w:type="spellStart"/>
      <w:r w:rsidRPr="00D31F4E">
        <w:t>hematological</w:t>
      </w:r>
      <w:proofErr w:type="spellEnd"/>
      <w:r w:rsidRPr="00D31F4E">
        <w:t xml:space="preserve"> </w:t>
      </w:r>
      <w:r w:rsidR="00E56F6E" w:rsidRPr="00D31F4E">
        <w:t>a</w:t>
      </w:r>
      <w:r w:rsidRPr="00D31F4E">
        <w:t>etiology.</w:t>
      </w:r>
    </w:p>
    <w:p w:rsidR="00D31F4E" w:rsidRDefault="00AD6AF2" w:rsidP="00D31F4E">
      <w:pPr>
        <w:pStyle w:val="Heading6"/>
      </w:pPr>
      <w:r>
        <w:t>Etoposide subpopulation</w:t>
      </w:r>
    </w:p>
    <w:p w:rsidR="00391AAA" w:rsidRPr="00D31F4E" w:rsidRDefault="00391AAA" w:rsidP="00D31F4E">
      <w:r w:rsidRPr="00D31F4E">
        <w:t>Eight patients died, 3 (6.7</w:t>
      </w:r>
      <w:r w:rsidR="000403F6">
        <w:t>%</w:t>
      </w:r>
      <w:r w:rsidRPr="00D31F4E">
        <w:t>) patients in the palonosetr</w:t>
      </w:r>
      <w:r w:rsidR="00273F92" w:rsidRPr="00D31F4E">
        <w:t xml:space="preserve">on 0.25 mg IV, 1 </w:t>
      </w:r>
      <w:r w:rsidRPr="00D31F4E">
        <w:t>(1.2</w:t>
      </w:r>
      <w:r w:rsidR="000403F6">
        <w:t>%</w:t>
      </w:r>
      <w:r w:rsidRPr="00D31F4E">
        <w:t xml:space="preserve">) patient in the </w:t>
      </w:r>
      <w:r w:rsidR="00C02473">
        <w:t xml:space="preserve">oral </w:t>
      </w:r>
      <w:r w:rsidRPr="00D31F4E">
        <w:t>palonosetron 0.50 mg and 4 (4.5</w:t>
      </w:r>
      <w:r w:rsidR="000403F6">
        <w:t>%</w:t>
      </w:r>
      <w:r w:rsidRPr="00D31F4E">
        <w:t>) in th</w:t>
      </w:r>
      <w:r w:rsidR="00273F92" w:rsidRPr="00D31F4E">
        <w:t xml:space="preserve">e </w:t>
      </w:r>
      <w:r w:rsidR="00C51742" w:rsidRPr="00D31F4E">
        <w:t>Akynzeo</w:t>
      </w:r>
      <w:r w:rsidR="00273F92" w:rsidRPr="00D31F4E">
        <w:t xml:space="preserve"> groups, respectively. </w:t>
      </w:r>
      <w:r w:rsidRPr="00D31F4E">
        <w:t>The frequency of patients with SAE ranged from 9</w:t>
      </w:r>
      <w:r w:rsidR="000403F6">
        <w:t>%</w:t>
      </w:r>
      <w:r w:rsidRPr="00D31F4E">
        <w:t xml:space="preserve"> in the </w:t>
      </w:r>
      <w:r w:rsidR="00C51742" w:rsidRPr="00D31F4E">
        <w:t>Akynzeo</w:t>
      </w:r>
      <w:r w:rsidR="00273F92" w:rsidRPr="00D31F4E">
        <w:t xml:space="preserve"> group to 25</w:t>
      </w:r>
      <w:r w:rsidR="000403F6">
        <w:t>%</w:t>
      </w:r>
      <w:r w:rsidR="00273F92" w:rsidRPr="00D31F4E">
        <w:t xml:space="preserve"> in the aprepitant </w:t>
      </w:r>
      <w:r w:rsidRPr="00D31F4E">
        <w:t>plus palonosetron group. No serious events of diarrhoea occurred in any treatment group.</w:t>
      </w:r>
    </w:p>
    <w:p w:rsidR="00D31F4E" w:rsidRDefault="00391AAA" w:rsidP="00D31F4E">
      <w:pPr>
        <w:pStyle w:val="Heading6"/>
      </w:pPr>
      <w:r w:rsidRPr="00691119">
        <w:t>Docetaxel subpopulation</w:t>
      </w:r>
    </w:p>
    <w:p w:rsidR="00391AAA" w:rsidRPr="00D31F4E" w:rsidRDefault="00391AAA" w:rsidP="00D31F4E">
      <w:r w:rsidRPr="00D31F4E">
        <w:t>Five patients died, 3 (23.1</w:t>
      </w:r>
      <w:r w:rsidR="000403F6">
        <w:t>%</w:t>
      </w:r>
      <w:r w:rsidRPr="00D31F4E">
        <w:t>) patients in</w:t>
      </w:r>
      <w:r w:rsidR="00273F92" w:rsidRPr="00D31F4E">
        <w:t xml:space="preserve"> the palonosetron 0.25 mg IV, 1 </w:t>
      </w:r>
      <w:r w:rsidRPr="00D31F4E">
        <w:t>(2.7</w:t>
      </w:r>
      <w:r w:rsidR="000403F6">
        <w:t>%</w:t>
      </w:r>
      <w:r w:rsidRPr="00D31F4E">
        <w:t xml:space="preserve">) in the </w:t>
      </w:r>
      <w:r w:rsidR="00C02473">
        <w:t xml:space="preserve">oral </w:t>
      </w:r>
      <w:r w:rsidRPr="00D31F4E">
        <w:t>palonosetron 0.50 mg and 1 (2</w:t>
      </w:r>
      <w:r w:rsidR="000403F6">
        <w:t>%</w:t>
      </w:r>
      <w:r w:rsidRPr="00D31F4E">
        <w:t xml:space="preserve">) in the </w:t>
      </w:r>
      <w:r w:rsidR="00C51742" w:rsidRPr="00D31F4E">
        <w:t>Akynzeo</w:t>
      </w:r>
      <w:r w:rsidRPr="00D31F4E">
        <w:t xml:space="preserve"> g</w:t>
      </w:r>
      <w:r w:rsidR="00273F92" w:rsidRPr="00D31F4E">
        <w:t xml:space="preserve">roup. The rate of patients with </w:t>
      </w:r>
      <w:r w:rsidRPr="00D31F4E">
        <w:t>SAE ranged from 13.5</w:t>
      </w:r>
      <w:r w:rsidR="000403F6">
        <w:t>%</w:t>
      </w:r>
      <w:r w:rsidRPr="00D31F4E">
        <w:t xml:space="preserve"> in the </w:t>
      </w:r>
      <w:r w:rsidR="00C02473">
        <w:t xml:space="preserve">oral </w:t>
      </w:r>
      <w:r w:rsidRPr="00D31F4E">
        <w:t>palonosetron 0.50 mg group to 30</w:t>
      </w:r>
      <w:r w:rsidR="00273F92" w:rsidRPr="00D31F4E">
        <w:t>.8</w:t>
      </w:r>
      <w:r w:rsidR="000403F6">
        <w:t>%</w:t>
      </w:r>
      <w:r w:rsidR="00273F92" w:rsidRPr="00D31F4E">
        <w:t xml:space="preserve"> in the palonosetron 0.25 mg </w:t>
      </w:r>
      <w:r w:rsidRPr="00D31F4E">
        <w:t xml:space="preserve">IV group. In the </w:t>
      </w:r>
      <w:r w:rsidR="00C51742" w:rsidRPr="00D31F4E">
        <w:t>Akynzeo</w:t>
      </w:r>
      <w:r w:rsidRPr="00D31F4E">
        <w:t xml:space="preserve"> group, SAEs occurred in 10 patients (20</w:t>
      </w:r>
      <w:r w:rsidR="00273F92" w:rsidRPr="00D31F4E">
        <w:t>.4</w:t>
      </w:r>
      <w:r w:rsidR="000403F6">
        <w:t>%</w:t>
      </w:r>
      <w:r w:rsidR="00273F92" w:rsidRPr="00D31F4E">
        <w:t xml:space="preserve">). The frequency of patients </w:t>
      </w:r>
      <w:r w:rsidRPr="00D31F4E">
        <w:t xml:space="preserve">with at least one SAE and of patients with any selected TEAE in this subpopulation </w:t>
      </w:r>
      <w:r w:rsidR="00273F92" w:rsidRPr="00D31F4E">
        <w:t xml:space="preserve">across treatment </w:t>
      </w:r>
      <w:r w:rsidRPr="00D31F4E">
        <w:t>groups is higher compared to the subpopulation who received other c</w:t>
      </w:r>
      <w:r w:rsidR="00273F92" w:rsidRPr="00D31F4E">
        <w:t xml:space="preserve">hemotherapeutic agents. This is </w:t>
      </w:r>
      <w:r w:rsidRPr="00D31F4E">
        <w:t xml:space="preserve">probably attributable to docetaxel specific </w:t>
      </w:r>
      <w:r w:rsidRPr="00D31F4E">
        <w:lastRenderedPageBreak/>
        <w:t>toxicity (myelosuppression</w:t>
      </w:r>
      <w:r w:rsidR="00273F92" w:rsidRPr="00D31F4E">
        <w:t xml:space="preserve">) and other confounders such as </w:t>
      </w:r>
      <w:r w:rsidRPr="00D31F4E">
        <w:t>patients’ demographics, cancer diagnosis and stage, concomitant chem</w:t>
      </w:r>
      <w:r w:rsidR="00273F92" w:rsidRPr="00D31F4E">
        <w:t xml:space="preserve">otherapeutic agents. Therefore, </w:t>
      </w:r>
      <w:r w:rsidRPr="00D31F4E">
        <w:t xml:space="preserve">the increased frequency of patients with TEAEs observed in the </w:t>
      </w:r>
      <w:r w:rsidR="00C51742" w:rsidRPr="00D31F4E">
        <w:t>Akynzeo</w:t>
      </w:r>
      <w:r w:rsidRPr="00D31F4E">
        <w:t xml:space="preserve"> group might be</w:t>
      </w:r>
      <w:r w:rsidR="00273F92" w:rsidRPr="00D31F4E">
        <w:t xml:space="preserve"> </w:t>
      </w:r>
      <w:r w:rsidRPr="00D31F4E">
        <w:t>reasonably explained by the repeated exposure to chemotherapy cycles with this antineoplastic agent.</w:t>
      </w:r>
    </w:p>
    <w:p w:rsidR="00391AAA" w:rsidRPr="00C03646" w:rsidRDefault="00391AAA" w:rsidP="00D31F4E">
      <w:pPr>
        <w:pStyle w:val="Heading6"/>
      </w:pPr>
      <w:r w:rsidRPr="00C03646">
        <w:t>Chemotherapy regimen dose adjustment</w:t>
      </w:r>
    </w:p>
    <w:p w:rsidR="00391AAA" w:rsidRPr="00D31F4E" w:rsidRDefault="00391AAA" w:rsidP="00D31F4E">
      <w:r w:rsidRPr="00D31F4E">
        <w:t>Listings with details of chemotherapy over cycles, including</w:t>
      </w:r>
      <w:r w:rsidR="00C03646" w:rsidRPr="00D31F4E">
        <w:t xml:space="preserve"> the doses, we</w:t>
      </w:r>
      <w:r w:rsidR="00273F92" w:rsidRPr="00D31F4E">
        <w:t>re provided</w:t>
      </w:r>
      <w:r w:rsidRPr="00D31F4E">
        <w:t>. Decreases in chemotherapy actual dose</w:t>
      </w:r>
      <w:r w:rsidR="00273F92" w:rsidRPr="00D31F4E">
        <w:t xml:space="preserve"> are observed in a very limited </w:t>
      </w:r>
      <w:r w:rsidRPr="00D31F4E">
        <w:t>number of patients, in all treatment groups and a</w:t>
      </w:r>
      <w:r w:rsidR="00273F92" w:rsidRPr="00D31F4E">
        <w:t xml:space="preserve">re small adjustments in nature. Often a concomitant </w:t>
      </w:r>
      <w:r w:rsidRPr="00D31F4E">
        <w:t xml:space="preserve">decrease in body weight is observed in these patients. It is </w:t>
      </w:r>
      <w:r w:rsidR="00791AE3" w:rsidRPr="00D31F4E">
        <w:t>sponsor’s</w:t>
      </w:r>
      <w:r w:rsidR="00273F92" w:rsidRPr="00D31F4E">
        <w:t xml:space="preserve"> opinion that most of these </w:t>
      </w:r>
      <w:r w:rsidRPr="00D31F4E">
        <w:t>chemotherapy dose changes are not to be considered dose adjustments due to safety reasons.</w:t>
      </w:r>
    </w:p>
    <w:p w:rsidR="00391AAA" w:rsidRPr="00C03646" w:rsidRDefault="00391AAA" w:rsidP="00D31F4E">
      <w:pPr>
        <w:pStyle w:val="Heading6"/>
      </w:pPr>
      <w:r w:rsidRPr="00C03646">
        <w:t>Netupitant and risk of infections</w:t>
      </w:r>
    </w:p>
    <w:p w:rsidR="00391AAA" w:rsidRPr="00D31F4E" w:rsidRDefault="00391AAA" w:rsidP="00D31F4E">
      <w:r w:rsidRPr="00D31F4E">
        <w:t>Integrated Summary Safet</w:t>
      </w:r>
      <w:r w:rsidR="00C03646" w:rsidRPr="00D31F4E">
        <w:t>y tables of all cycles for the P</w:t>
      </w:r>
      <w:r w:rsidRPr="00D31F4E">
        <w:t>hase</w:t>
      </w:r>
      <w:r w:rsidR="00C03646" w:rsidRPr="00D31F4E">
        <w:t xml:space="preserve"> II</w:t>
      </w:r>
      <w:r w:rsidRPr="00D31F4E">
        <w:t>/</w:t>
      </w:r>
      <w:r w:rsidR="00C03646" w:rsidRPr="00D31F4E">
        <w:t>III</w:t>
      </w:r>
      <w:r w:rsidRPr="00D31F4E">
        <w:t xml:space="preserve"> c</w:t>
      </w:r>
      <w:r w:rsidR="00273F92" w:rsidRPr="00D31F4E">
        <w:t xml:space="preserve">ancer patients were reviewed to </w:t>
      </w:r>
      <w:r w:rsidRPr="00D31F4E">
        <w:t>eva</w:t>
      </w:r>
      <w:r w:rsidR="00C03646" w:rsidRPr="00D31F4E">
        <w:t>luate the incidence of TEAEs</w:t>
      </w:r>
      <w:r w:rsidRPr="00D31F4E">
        <w:t xml:space="preserve"> and</w:t>
      </w:r>
      <w:r w:rsidR="00273F92" w:rsidRPr="00D31F4E">
        <w:t xml:space="preserve"> Serious TEAEs</w:t>
      </w:r>
      <w:r w:rsidRPr="00D31F4E">
        <w:t xml:space="preserve"> in the </w:t>
      </w:r>
      <w:r w:rsidR="00717EB6">
        <w:t>SOC</w:t>
      </w:r>
      <w:r w:rsidR="00C03646" w:rsidRPr="00D31F4E">
        <w:t xml:space="preserve"> ‘</w:t>
      </w:r>
      <w:r w:rsidR="00717EB6" w:rsidRPr="00D31F4E">
        <w:t>infections and infestations</w:t>
      </w:r>
      <w:r w:rsidR="00C03646" w:rsidRPr="00D31F4E">
        <w:t>’</w:t>
      </w:r>
      <w:r w:rsidR="00273F92" w:rsidRPr="00D31F4E">
        <w:t xml:space="preserve">. </w:t>
      </w:r>
      <w:r w:rsidRPr="00D31F4E">
        <w:t>The present analysis considers either the total number of pati</w:t>
      </w:r>
      <w:r w:rsidR="00273F92" w:rsidRPr="00D31F4E">
        <w:t xml:space="preserve">ents exposed to netupitant plus </w:t>
      </w:r>
      <w:r w:rsidRPr="00D31F4E">
        <w:t>palonosetron, regardless of dosage (</w:t>
      </w:r>
      <w:r w:rsidR="00717EB6">
        <w:t>n</w:t>
      </w:r>
      <w:r w:rsidR="002D3239">
        <w:t xml:space="preserve"> =</w:t>
      </w:r>
      <w:r w:rsidR="00DA1171">
        <w:t xml:space="preserve"> </w:t>
      </w:r>
      <w:r w:rsidR="003818B7">
        <w:t>1</w:t>
      </w:r>
      <w:r w:rsidR="00717EB6">
        <w:t>,</w:t>
      </w:r>
      <w:r w:rsidRPr="00D31F4E">
        <w:t>442) or the patients exp</w:t>
      </w:r>
      <w:r w:rsidR="00273F92" w:rsidRPr="00D31F4E">
        <w:t xml:space="preserve">osed to the active comparators, </w:t>
      </w:r>
      <w:r w:rsidRPr="00D31F4E">
        <w:t>palonosetron (</w:t>
      </w:r>
      <w:r w:rsidR="00717EB6">
        <w:t>n</w:t>
      </w:r>
      <w:r w:rsidR="002D3239">
        <w:t xml:space="preserve"> =</w:t>
      </w:r>
      <w:r w:rsidR="00DA1171">
        <w:t xml:space="preserve"> </w:t>
      </w:r>
      <w:r w:rsidR="003818B7">
        <w:t>1</w:t>
      </w:r>
      <w:r w:rsidR="00717EB6">
        <w:t>,</w:t>
      </w:r>
      <w:r w:rsidRPr="00D31F4E">
        <w:t>600) and aprepitant plus a 5-HT</w:t>
      </w:r>
      <w:r w:rsidRPr="00C05B17">
        <w:rPr>
          <w:vertAlign w:val="subscript"/>
        </w:rPr>
        <w:t>3</w:t>
      </w:r>
      <w:r w:rsidRPr="00D31F4E">
        <w:t xml:space="preserve"> RA (</w:t>
      </w:r>
      <w:r w:rsidR="00717EB6">
        <w:t>n = </w:t>
      </w:r>
      <w:r w:rsidRPr="00D31F4E">
        <w:t>238). A</w:t>
      </w:r>
      <w:r w:rsidR="00273F92" w:rsidRPr="00D31F4E">
        <w:t xml:space="preserve">ll these patients concomitantly </w:t>
      </w:r>
      <w:r w:rsidRPr="00D31F4E">
        <w:t>received dexamethasone.</w:t>
      </w:r>
    </w:p>
    <w:p w:rsidR="00391AAA" w:rsidRPr="00D31F4E" w:rsidRDefault="00C03646" w:rsidP="00D31F4E">
      <w:r w:rsidRPr="00D31F4E">
        <w:t>In the SOC ‘</w:t>
      </w:r>
      <w:r w:rsidR="00717EB6" w:rsidRPr="00D31F4E">
        <w:t xml:space="preserve">infections and infestations’ </w:t>
      </w:r>
      <w:r w:rsidR="00391AAA" w:rsidRPr="00D31F4E">
        <w:t>a total of 154 (10.7</w:t>
      </w:r>
      <w:r w:rsidR="000403F6">
        <w:t>%</w:t>
      </w:r>
      <w:r w:rsidR="00391AAA" w:rsidRPr="00D31F4E">
        <w:t xml:space="preserve">) patients </w:t>
      </w:r>
      <w:r w:rsidR="00273F92" w:rsidRPr="00D31F4E">
        <w:t xml:space="preserve">reported any type of infections </w:t>
      </w:r>
      <w:r w:rsidR="00391AAA" w:rsidRPr="00D31F4E">
        <w:t>in the netupitant/palonosetron group, 94 (5.9</w:t>
      </w:r>
      <w:r w:rsidR="000403F6">
        <w:t>%</w:t>
      </w:r>
      <w:r w:rsidR="00391AAA" w:rsidRPr="00D31F4E">
        <w:t>) in the palonose</w:t>
      </w:r>
      <w:r w:rsidR="00273F92" w:rsidRPr="00D31F4E">
        <w:t>tron group and 20 (8.4</w:t>
      </w:r>
      <w:r w:rsidR="000403F6">
        <w:t>%</w:t>
      </w:r>
      <w:r w:rsidR="00273F92" w:rsidRPr="00D31F4E">
        <w:t xml:space="preserve">) in the </w:t>
      </w:r>
      <w:r w:rsidR="00391AAA" w:rsidRPr="00D31F4E">
        <w:t xml:space="preserve">aprepitant treated patients. At </w:t>
      </w:r>
      <w:r w:rsidR="00717EB6">
        <w:t xml:space="preserve">the preferred term </w:t>
      </w:r>
      <w:r w:rsidR="00391AAA" w:rsidRPr="00D31F4E">
        <w:t>level the percent</w:t>
      </w:r>
      <w:r w:rsidR="00273F92" w:rsidRPr="00D31F4E">
        <w:t xml:space="preserve">age of patients with events was </w:t>
      </w:r>
      <w:r w:rsidR="00391AAA" w:rsidRPr="00D31F4E">
        <w:t>very low and does not exceed 1.5</w:t>
      </w:r>
      <w:r w:rsidR="000403F6">
        <w:t>%</w:t>
      </w:r>
      <w:r w:rsidR="00391AAA" w:rsidRPr="00D31F4E">
        <w:t xml:space="preserve"> and 0.5</w:t>
      </w:r>
      <w:r w:rsidR="000403F6">
        <w:t>%</w:t>
      </w:r>
      <w:r w:rsidR="00391AAA" w:rsidRPr="00D31F4E">
        <w:t xml:space="preserve"> for nasopharyngi</w:t>
      </w:r>
      <w:r w:rsidR="00273F92" w:rsidRPr="00D31F4E">
        <w:t xml:space="preserve">tis in the netupitant group and </w:t>
      </w:r>
      <w:r w:rsidR="00391AAA" w:rsidRPr="00D31F4E">
        <w:t>palonosetron group, respectively, while for aprepitant group the highest rate (1.7</w:t>
      </w:r>
      <w:r w:rsidR="000403F6">
        <w:t>%</w:t>
      </w:r>
      <w:r w:rsidR="00391AAA" w:rsidRPr="00D31F4E">
        <w:t>) was found fo</w:t>
      </w:r>
      <w:r w:rsidR="00273F92" w:rsidRPr="00D31F4E">
        <w:t xml:space="preserve">r </w:t>
      </w:r>
      <w:r w:rsidR="00391AAA" w:rsidRPr="00D31F4E">
        <w:t>patients with cystitis.</w:t>
      </w:r>
    </w:p>
    <w:p w:rsidR="00391AAA" w:rsidRPr="00D31F4E" w:rsidRDefault="00391AAA" w:rsidP="00D31F4E">
      <w:r w:rsidRPr="00D31F4E">
        <w:t xml:space="preserve">The frequency of </w:t>
      </w:r>
      <w:r w:rsidR="00717EB6" w:rsidRPr="00D31F4E">
        <w:t>s</w:t>
      </w:r>
      <w:r w:rsidRPr="00D31F4E">
        <w:t>erious TEAEs was 1</w:t>
      </w:r>
      <w:r w:rsidR="000403F6">
        <w:t>%</w:t>
      </w:r>
      <w:r w:rsidRPr="00D31F4E">
        <w:t xml:space="preserve"> in 15 patients in the netupit</w:t>
      </w:r>
      <w:r w:rsidR="00273F92" w:rsidRPr="00D31F4E">
        <w:t xml:space="preserve">ant and palonosetron group. The </w:t>
      </w:r>
      <w:r w:rsidRPr="00D31F4E">
        <w:t>type of reported SAEs is attributable to complications commonly ob</w:t>
      </w:r>
      <w:r w:rsidR="00273F92" w:rsidRPr="00D31F4E">
        <w:t xml:space="preserve">served in the setting of cancer </w:t>
      </w:r>
      <w:r w:rsidRPr="00D31F4E">
        <w:t>patients such as catheter site infection, device related infection,</w:t>
      </w:r>
      <w:r w:rsidR="00273F92" w:rsidRPr="00D31F4E">
        <w:t xml:space="preserve"> pneumonia or respiratory tract </w:t>
      </w:r>
      <w:r w:rsidRPr="00D31F4E">
        <w:t>infection in lung cancer. A similar picture was observed for palono</w:t>
      </w:r>
      <w:r w:rsidR="00273F92" w:rsidRPr="00D31F4E">
        <w:t>setron treated group where 0.6</w:t>
      </w:r>
      <w:r w:rsidR="000403F6">
        <w:t>%</w:t>
      </w:r>
      <w:r w:rsidR="00273F92" w:rsidRPr="00D31F4E">
        <w:t xml:space="preserve"> </w:t>
      </w:r>
      <w:r w:rsidRPr="00D31F4E">
        <w:t xml:space="preserve">(10 patients) had </w:t>
      </w:r>
      <w:r w:rsidR="00717EB6" w:rsidRPr="00D31F4E">
        <w:t>s</w:t>
      </w:r>
      <w:r w:rsidRPr="00D31F4E">
        <w:t>erious TEAEs. Again pneumonia was the most frequent reported event accou</w:t>
      </w:r>
      <w:r w:rsidR="00273F92" w:rsidRPr="00D31F4E">
        <w:t xml:space="preserve">nting </w:t>
      </w:r>
      <w:r w:rsidRPr="00D31F4E">
        <w:t>for 5 patients (0.3</w:t>
      </w:r>
      <w:r w:rsidR="000403F6">
        <w:t>%</w:t>
      </w:r>
      <w:r w:rsidRPr="00D31F4E">
        <w:t>). In the aprepitant group a total of 4 patients</w:t>
      </w:r>
      <w:r w:rsidR="00A460EA" w:rsidRPr="00D31F4E">
        <w:t xml:space="preserve"> (1.7</w:t>
      </w:r>
      <w:r w:rsidR="000403F6">
        <w:t>%</w:t>
      </w:r>
      <w:r w:rsidR="00A460EA" w:rsidRPr="00D31F4E">
        <w:t xml:space="preserve">) reported serious TEAEs. </w:t>
      </w:r>
      <w:r w:rsidRPr="00D31F4E">
        <w:t>These results are not suggestive of any increased risk of infection associated with netupitant.</w:t>
      </w:r>
    </w:p>
    <w:p w:rsidR="00391AAA" w:rsidRPr="00D31F4E" w:rsidRDefault="00391AAA" w:rsidP="00D31F4E">
      <w:r w:rsidRPr="00D31F4E">
        <w:t>I</w:t>
      </w:r>
      <w:r w:rsidR="00717EB6">
        <w:t xml:space="preserve">n summary, for any of the above </w:t>
      </w:r>
      <w:r w:rsidRPr="00D31F4E">
        <w:t>mentioned chemotherapeutic age</w:t>
      </w:r>
      <w:r w:rsidR="00A460EA" w:rsidRPr="00D31F4E">
        <w:t xml:space="preserve">nts, there is no evidence of an </w:t>
      </w:r>
      <w:r w:rsidRPr="00D31F4E">
        <w:t>increased frequency in SAEs (including death) and sele</w:t>
      </w:r>
      <w:r w:rsidR="00A460EA" w:rsidRPr="00D31F4E">
        <w:t xml:space="preserve">cted TEAEs in the </w:t>
      </w:r>
      <w:r w:rsidR="00C51742" w:rsidRPr="00D31F4E">
        <w:t>Akynzeo</w:t>
      </w:r>
      <w:r w:rsidR="00A460EA" w:rsidRPr="00D31F4E">
        <w:t xml:space="preserve"> group </w:t>
      </w:r>
      <w:r w:rsidRPr="00D31F4E">
        <w:t>compared to the other treatment groups. This is consistent with the pha</w:t>
      </w:r>
      <w:r w:rsidR="00A460EA" w:rsidRPr="00D31F4E">
        <w:t xml:space="preserve">rmacological consideration that </w:t>
      </w:r>
      <w:r w:rsidRPr="00D31F4E">
        <w:t xml:space="preserve">the netupitant component of </w:t>
      </w:r>
      <w:r w:rsidR="00C51742" w:rsidRPr="00D31F4E">
        <w:t>Akynzeo</w:t>
      </w:r>
      <w:r w:rsidRPr="00D31F4E">
        <w:t xml:space="preserve"> may qualify as a mild inhib</w:t>
      </w:r>
      <w:r w:rsidR="00A460EA" w:rsidRPr="00D31F4E">
        <w:t xml:space="preserve">itor of CYP3A4 when considering </w:t>
      </w:r>
      <w:r w:rsidRPr="00D31F4E">
        <w:t>these chemotherapeutic agents. Overall, the sparse events of infectio</w:t>
      </w:r>
      <w:r w:rsidR="00A460EA" w:rsidRPr="00D31F4E">
        <w:t xml:space="preserve">ns supports the </w:t>
      </w:r>
      <w:r w:rsidR="00791AE3" w:rsidRPr="00D31F4E">
        <w:t>sponsor</w:t>
      </w:r>
      <w:r w:rsidR="00A460EA" w:rsidRPr="00D31F4E">
        <w:t xml:space="preserve"> opinion </w:t>
      </w:r>
      <w:r w:rsidRPr="00D31F4E">
        <w:t>that netupitant has implicated neither directly nor indirectly in their development, r</w:t>
      </w:r>
      <w:r w:rsidR="00A460EA" w:rsidRPr="00D31F4E">
        <w:t xml:space="preserve">ather multiple </w:t>
      </w:r>
      <w:r w:rsidRPr="00D31F4E">
        <w:t>factors may predispose patients to the risk of opportunistic infection or facilitate the infectious process.</w:t>
      </w:r>
    </w:p>
    <w:p w:rsidR="00391AAA" w:rsidRPr="00A460EA" w:rsidRDefault="00391AAA" w:rsidP="00D31F4E">
      <w:pPr>
        <w:pStyle w:val="Heading6"/>
      </w:pPr>
      <w:r w:rsidRPr="00A460EA">
        <w:t xml:space="preserve">Similarity of </w:t>
      </w:r>
      <w:proofErr w:type="spellStart"/>
      <w:r w:rsidR="00C51742">
        <w:t>Akynzeo</w:t>
      </w:r>
      <w:proofErr w:type="spellEnd"/>
      <w:r w:rsidRPr="00A460EA">
        <w:t xml:space="preserve"> Tradename to </w:t>
      </w:r>
      <w:proofErr w:type="spellStart"/>
      <w:r w:rsidRPr="00A460EA">
        <w:t>iconazole</w:t>
      </w:r>
      <w:proofErr w:type="spellEnd"/>
      <w:r w:rsidRPr="00A460EA">
        <w:t xml:space="preserve"> or </w:t>
      </w:r>
      <w:proofErr w:type="spellStart"/>
      <w:r w:rsidRPr="00A460EA">
        <w:t>Akineton</w:t>
      </w:r>
      <w:proofErr w:type="spellEnd"/>
    </w:p>
    <w:p w:rsidR="00391AAA" w:rsidRPr="00D31F4E" w:rsidRDefault="00391AAA" w:rsidP="00D31F4E">
      <w:r w:rsidRPr="00D31F4E">
        <w:t xml:space="preserve">The </w:t>
      </w:r>
      <w:r w:rsidR="00791AE3" w:rsidRPr="00D31F4E">
        <w:t>sponsor</w:t>
      </w:r>
      <w:r w:rsidRPr="00D31F4E">
        <w:t xml:space="preserve"> requests that </w:t>
      </w:r>
      <w:r w:rsidR="00C51742" w:rsidRPr="00D31F4E">
        <w:t>Akynzeo</w:t>
      </w:r>
      <w:r w:rsidRPr="00D31F4E">
        <w:t xml:space="preserve"> be retained as an appropriate proposed pr</w:t>
      </w:r>
      <w:r w:rsidR="00A460EA" w:rsidRPr="00D31F4E">
        <w:t xml:space="preserve">oprietary name. </w:t>
      </w:r>
      <w:r w:rsidRPr="00D31F4E">
        <w:t>Reasons are summarised below:</w:t>
      </w:r>
    </w:p>
    <w:p w:rsidR="00391AAA" w:rsidRPr="00D31F4E" w:rsidRDefault="00C03646" w:rsidP="00D31F4E">
      <w:pPr>
        <w:pStyle w:val="Heading7"/>
        <w:rPr>
          <w:szCs w:val="20"/>
        </w:rPr>
      </w:pPr>
      <w:r w:rsidRPr="00D31F4E">
        <w:rPr>
          <w:szCs w:val="20"/>
        </w:rPr>
        <w:t>Trade/</w:t>
      </w:r>
      <w:r w:rsidR="00391AAA" w:rsidRPr="00D31F4E">
        <w:rPr>
          <w:szCs w:val="20"/>
        </w:rPr>
        <w:t>Brand Name</w:t>
      </w:r>
    </w:p>
    <w:p w:rsidR="00391AAA" w:rsidRPr="00D31F4E" w:rsidRDefault="00C51742" w:rsidP="00D31F4E">
      <w:pPr>
        <w:pStyle w:val="ListBullet"/>
      </w:pPr>
      <w:r w:rsidRPr="00D31F4E">
        <w:t>Akynzeo</w:t>
      </w:r>
      <w:r w:rsidR="00391AAA" w:rsidRPr="00D31F4E">
        <w:t xml:space="preserve"> is the globa</w:t>
      </w:r>
      <w:r w:rsidR="00C03646" w:rsidRPr="00D31F4E">
        <w:t>l brand name for the netupitant</w:t>
      </w:r>
      <w:r w:rsidR="00391AAA" w:rsidRPr="00D31F4E">
        <w:t>/</w:t>
      </w:r>
      <w:r w:rsidR="00A460EA" w:rsidRPr="00D31F4E">
        <w:t xml:space="preserve">palonosetron combination under </w:t>
      </w:r>
      <w:r w:rsidR="00391AAA" w:rsidRPr="00D31F4E">
        <w:t xml:space="preserve">evaluation by regulatory agencies worldwide. No other trade name can be used </w:t>
      </w:r>
      <w:r w:rsidR="00A460EA" w:rsidRPr="00D31F4E">
        <w:lastRenderedPageBreak/>
        <w:t xml:space="preserve">currently. To </w:t>
      </w:r>
      <w:r w:rsidR="00391AAA" w:rsidRPr="00D31F4E">
        <w:t>identify and trademark an alternative name would take at least two years.</w:t>
      </w:r>
    </w:p>
    <w:p w:rsidR="00391AAA" w:rsidRPr="00D31F4E" w:rsidRDefault="00391AAA" w:rsidP="00D31F4E">
      <w:pPr>
        <w:pStyle w:val="ListBullet"/>
      </w:pPr>
      <w:r w:rsidRPr="00D31F4E">
        <w:t xml:space="preserve">The US </w:t>
      </w:r>
      <w:r w:rsidR="00C03646" w:rsidRPr="00D31F4E">
        <w:t>FDA has approved the netupitant/</w:t>
      </w:r>
      <w:r w:rsidRPr="00D31F4E">
        <w:t xml:space="preserve">palonosetron </w:t>
      </w:r>
      <w:r w:rsidR="00A460EA" w:rsidRPr="00D31F4E">
        <w:t xml:space="preserve">combination with </w:t>
      </w:r>
      <w:r w:rsidR="00C51742" w:rsidRPr="00D31F4E">
        <w:t>Akynzeo</w:t>
      </w:r>
      <w:r w:rsidR="00A460EA" w:rsidRPr="00D31F4E">
        <w:t xml:space="preserve"> as the </w:t>
      </w:r>
      <w:r w:rsidRPr="00D31F4E">
        <w:t xml:space="preserve">product brand name, even though </w:t>
      </w:r>
      <w:proofErr w:type="spellStart"/>
      <w:r w:rsidRPr="00D31F4E">
        <w:t>Akineton</w:t>
      </w:r>
      <w:proofErr w:type="spellEnd"/>
      <w:r w:rsidRPr="00D31F4E">
        <w:t xml:space="preserve"> is also available in the US market. A s</w:t>
      </w:r>
      <w:r w:rsidR="00A460EA" w:rsidRPr="00D31F4E">
        <w:t xml:space="preserve">imilar query has </w:t>
      </w:r>
      <w:r w:rsidRPr="00D31F4E">
        <w:t>been successfully addressed with EU authorities.</w:t>
      </w:r>
    </w:p>
    <w:p w:rsidR="00391AAA" w:rsidRPr="00D31F4E" w:rsidRDefault="00C51742" w:rsidP="00D31F4E">
      <w:pPr>
        <w:pStyle w:val="ListBullet"/>
      </w:pPr>
      <w:r w:rsidRPr="00D31F4E">
        <w:t>Akynzeo</w:t>
      </w:r>
      <w:r w:rsidR="00391AAA" w:rsidRPr="00D31F4E">
        <w:t xml:space="preserve"> has been used as the product name in the</w:t>
      </w:r>
      <w:r w:rsidR="00C03646" w:rsidRPr="00D31F4E">
        <w:t xml:space="preserve"> Pharmaceutical Benefits Scheme (</w:t>
      </w:r>
      <w:r w:rsidR="00391AAA" w:rsidRPr="00D31F4E">
        <w:t>PBS</w:t>
      </w:r>
      <w:r w:rsidR="00C03646" w:rsidRPr="00D31F4E">
        <w:t>)</w:t>
      </w:r>
      <w:r w:rsidR="00391AAA" w:rsidRPr="00D31F4E">
        <w:t xml:space="preserve"> submis</w:t>
      </w:r>
      <w:r w:rsidR="00A460EA" w:rsidRPr="00D31F4E">
        <w:t xml:space="preserve">sion currently under evaluation </w:t>
      </w:r>
      <w:r w:rsidR="00391AAA" w:rsidRPr="00D31F4E">
        <w:t xml:space="preserve">by the </w:t>
      </w:r>
      <w:r w:rsidR="00C03646" w:rsidRPr="00D31F4E">
        <w:t>Pharmaceutical Benefits Advisory Committee (</w:t>
      </w:r>
      <w:r w:rsidR="00391AAA" w:rsidRPr="00D31F4E">
        <w:t>PBAC</w:t>
      </w:r>
      <w:r w:rsidR="00C03646" w:rsidRPr="00D31F4E">
        <w:t>)</w:t>
      </w:r>
      <w:r w:rsidR="00391AAA" w:rsidRPr="00D31F4E">
        <w:t xml:space="preserve"> and no objection has been received to date.</w:t>
      </w:r>
    </w:p>
    <w:p w:rsidR="00391AAA" w:rsidRPr="00D31F4E" w:rsidRDefault="00391AAA" w:rsidP="00D31F4E">
      <w:pPr>
        <w:pStyle w:val="ListBullet"/>
      </w:pPr>
      <w:proofErr w:type="spellStart"/>
      <w:r w:rsidRPr="00D31F4E">
        <w:t>Akineton</w:t>
      </w:r>
      <w:proofErr w:type="spellEnd"/>
      <w:r w:rsidRPr="00D31F4E">
        <w:t xml:space="preserve"> has been available commercially in Australia since</w:t>
      </w:r>
      <w:r w:rsidR="00C03646" w:rsidRPr="00D31F4E">
        <w:t xml:space="preserve"> 2008, that is,</w:t>
      </w:r>
      <w:r w:rsidR="00A460EA" w:rsidRPr="00D31F4E">
        <w:t xml:space="preserve"> before the trademark </w:t>
      </w:r>
      <w:r w:rsidRPr="00D31F4E">
        <w:t xml:space="preserve">application for </w:t>
      </w:r>
      <w:r w:rsidR="00C51742" w:rsidRPr="00D31F4E">
        <w:t>Akynzeo</w:t>
      </w:r>
      <w:r w:rsidRPr="00D31F4E">
        <w:t xml:space="preserve"> was submitted. </w:t>
      </w:r>
      <w:r w:rsidR="00C51742" w:rsidRPr="00D31F4E">
        <w:t>Akynzeo</w:t>
      </w:r>
      <w:r w:rsidRPr="00D31F4E">
        <w:t xml:space="preserve"> has b</w:t>
      </w:r>
      <w:r w:rsidR="00A460EA" w:rsidRPr="00D31F4E">
        <w:t xml:space="preserve">een granted global trademarking </w:t>
      </w:r>
      <w:r w:rsidRPr="00D31F4E">
        <w:t>(including Australia), with no objections/oppositions/challen</w:t>
      </w:r>
      <w:r w:rsidR="00A460EA" w:rsidRPr="00D31F4E">
        <w:t xml:space="preserve">ges being received by </w:t>
      </w:r>
      <w:r w:rsidR="00282817" w:rsidRPr="00D31F4E">
        <w:t xml:space="preserve">trademark offices </w:t>
      </w:r>
      <w:r w:rsidRPr="00D31F4E">
        <w:t xml:space="preserve">or third parties. Likewise, no objections were raised by the </w:t>
      </w:r>
      <w:r w:rsidR="00A460EA" w:rsidRPr="00D31F4E">
        <w:t xml:space="preserve">manufacturers of </w:t>
      </w:r>
      <w:proofErr w:type="spellStart"/>
      <w:r w:rsidR="00A460EA" w:rsidRPr="00D31F4E">
        <w:t>Akineton</w:t>
      </w:r>
      <w:proofErr w:type="spellEnd"/>
      <w:r w:rsidR="00A460EA" w:rsidRPr="00D31F4E">
        <w:t xml:space="preserve">, with </w:t>
      </w:r>
      <w:r w:rsidRPr="00D31F4E">
        <w:t>the implication that they do not consider the trademarks to be confusingly similar.</w:t>
      </w:r>
    </w:p>
    <w:p w:rsidR="00391AAA" w:rsidRPr="00D31F4E" w:rsidRDefault="00391AAA" w:rsidP="00D31F4E">
      <w:pPr>
        <w:pStyle w:val="Heading6"/>
      </w:pPr>
      <w:r w:rsidRPr="00D31F4E">
        <w:t>Medication Errors</w:t>
      </w:r>
    </w:p>
    <w:p w:rsidR="00391AAA" w:rsidRPr="00D31F4E" w:rsidRDefault="00C51742" w:rsidP="00D31F4E">
      <w:proofErr w:type="spellStart"/>
      <w:r w:rsidRPr="00D31F4E">
        <w:t>Akynzeo</w:t>
      </w:r>
      <w:proofErr w:type="spellEnd"/>
      <w:r w:rsidR="00391AAA" w:rsidRPr="00D31F4E">
        <w:t xml:space="preserve"> and </w:t>
      </w:r>
      <w:proofErr w:type="spellStart"/>
      <w:r w:rsidR="00391AAA" w:rsidRPr="00D31F4E">
        <w:t>Akineton</w:t>
      </w:r>
      <w:proofErr w:type="spellEnd"/>
      <w:r w:rsidR="00391AAA" w:rsidRPr="00D31F4E">
        <w:t xml:space="preserve"> share a common route of administratio</w:t>
      </w:r>
      <w:r w:rsidR="00A460EA" w:rsidRPr="00D31F4E">
        <w:t xml:space="preserve">n, however, the product profile </w:t>
      </w:r>
      <w:r w:rsidR="00391AAA" w:rsidRPr="00D31F4E">
        <w:t>differences are significant with respect to posology, frequency of admin</w:t>
      </w:r>
      <w:r w:rsidR="00A460EA" w:rsidRPr="00D31F4E">
        <w:t xml:space="preserve">istration, usual dose, strength </w:t>
      </w:r>
      <w:r w:rsidR="00391AAA" w:rsidRPr="00D31F4E">
        <w:t>type, dosage strength and form, and indications, and would minimise a</w:t>
      </w:r>
      <w:r w:rsidR="00A460EA" w:rsidRPr="00D31F4E">
        <w:t xml:space="preserve">ny concern of medication errors </w:t>
      </w:r>
      <w:r w:rsidR="00391AAA" w:rsidRPr="00D31F4E">
        <w:t>between the two products.</w:t>
      </w:r>
    </w:p>
    <w:p w:rsidR="00391AAA" w:rsidRPr="00C03646" w:rsidRDefault="00391AAA" w:rsidP="00D31F4E">
      <w:pPr>
        <w:pStyle w:val="Heading6"/>
      </w:pPr>
      <w:r w:rsidRPr="00C03646">
        <w:t>Other</w:t>
      </w:r>
    </w:p>
    <w:p w:rsidR="00391AAA" w:rsidRPr="00D31F4E" w:rsidRDefault="00391AAA" w:rsidP="00D31F4E">
      <w:proofErr w:type="spellStart"/>
      <w:r w:rsidRPr="00D31F4E">
        <w:t>Iconazole</w:t>
      </w:r>
      <w:proofErr w:type="spellEnd"/>
      <w:r w:rsidRPr="00D31F4E">
        <w:t xml:space="preserve"> is not included in the ARTG as an active ingredient in any reg</w:t>
      </w:r>
      <w:r w:rsidR="00A460EA" w:rsidRPr="00D31F4E">
        <w:t xml:space="preserve">istered medicine. It is unclear </w:t>
      </w:r>
      <w:r w:rsidRPr="00D31F4E">
        <w:t xml:space="preserve">why the Delegate has requested ACPM’s advice on the similarity between </w:t>
      </w:r>
      <w:proofErr w:type="spellStart"/>
      <w:r w:rsidR="00C51742" w:rsidRPr="00D31F4E">
        <w:t>Akynzeo</w:t>
      </w:r>
      <w:proofErr w:type="spellEnd"/>
      <w:r w:rsidRPr="00D31F4E">
        <w:t xml:space="preserve"> and </w:t>
      </w:r>
      <w:proofErr w:type="spellStart"/>
      <w:r w:rsidRPr="00D31F4E">
        <w:t>iconazole</w:t>
      </w:r>
      <w:proofErr w:type="spellEnd"/>
      <w:r w:rsidRPr="00D31F4E">
        <w:t>.</w:t>
      </w:r>
    </w:p>
    <w:p w:rsidR="008E7846" w:rsidRPr="00D31F4E" w:rsidRDefault="008E7846" w:rsidP="00D31F4E">
      <w:pPr>
        <w:pStyle w:val="Heading4"/>
      </w:pPr>
      <w:r w:rsidRPr="00D31F4E">
        <w:t>Advisory Committee Considerations</w:t>
      </w:r>
    </w:p>
    <w:p w:rsidR="005A4269" w:rsidRPr="00D31F4E" w:rsidRDefault="005A4269" w:rsidP="00D31F4E">
      <w:r w:rsidRPr="00D31F4E">
        <w:t>The submission seeks to register a new chemical entit</w:t>
      </w:r>
      <w:r w:rsidR="00282817">
        <w:t>y and a fixed dose combination.</w:t>
      </w:r>
    </w:p>
    <w:p w:rsidR="000F3694" w:rsidRPr="00D31F4E" w:rsidRDefault="000F3694" w:rsidP="00D31F4E">
      <w:r w:rsidRPr="00D31F4E">
        <w:t xml:space="preserve">The ACPM, taking into account the submitted evidence of pharmaceutical quality, safety and efficacy advised that </w:t>
      </w:r>
      <w:proofErr w:type="spellStart"/>
      <w:r w:rsidR="00C51742" w:rsidRPr="00D31F4E">
        <w:t>Akynzeo</w:t>
      </w:r>
      <w:proofErr w:type="spellEnd"/>
      <w:r w:rsidRPr="00D31F4E">
        <w:t xml:space="preserve"> hard </w:t>
      </w:r>
      <w:proofErr w:type="spellStart"/>
      <w:r w:rsidRPr="00D31F4E">
        <w:t>gelatin</w:t>
      </w:r>
      <w:proofErr w:type="spellEnd"/>
      <w:r w:rsidRPr="00D31F4E">
        <w:t xml:space="preserve"> capsule, containing 3 x 100 mg netupitant immediate release tablets and 1 x 0.5 mg </w:t>
      </w:r>
      <w:proofErr w:type="spellStart"/>
      <w:r w:rsidRPr="00D31F4E">
        <w:t>palonosetron</w:t>
      </w:r>
      <w:proofErr w:type="spellEnd"/>
      <w:r w:rsidRPr="00D31F4E">
        <w:t xml:space="preserve"> soft </w:t>
      </w:r>
      <w:proofErr w:type="spellStart"/>
      <w:r w:rsidRPr="00D31F4E">
        <w:t>gelatin</w:t>
      </w:r>
      <w:proofErr w:type="spellEnd"/>
      <w:r w:rsidRPr="00D31F4E">
        <w:t xml:space="preserve"> capsule, has an overall positive benefit–risk profile for the following indication:</w:t>
      </w:r>
    </w:p>
    <w:p w:rsidR="000F3694" w:rsidRPr="00A51EE9" w:rsidRDefault="00C51742" w:rsidP="00A51EE9">
      <w:pPr>
        <w:pStyle w:val="ColorfulList-Accent11"/>
        <w:rPr>
          <w:rFonts w:ascii="Cambria" w:hAnsi="Cambria"/>
          <w:i/>
          <w:lang w:eastAsia="en-AU"/>
        </w:rPr>
      </w:pPr>
      <w:r w:rsidRPr="00A51EE9">
        <w:rPr>
          <w:rFonts w:ascii="Cambria" w:hAnsi="Cambria"/>
          <w:i/>
          <w:lang w:eastAsia="en-AU"/>
        </w:rPr>
        <w:t>Akynzeo</w:t>
      </w:r>
      <w:r w:rsidR="000F3694" w:rsidRPr="00A51EE9">
        <w:rPr>
          <w:rFonts w:ascii="Cambria" w:hAnsi="Cambria"/>
          <w:i/>
          <w:lang w:eastAsia="en-AU"/>
        </w:rPr>
        <w:t xml:space="preserve"> is indicated in adult patients for:</w:t>
      </w:r>
    </w:p>
    <w:p w:rsidR="000F3694" w:rsidRPr="00A51EE9" w:rsidRDefault="000F3694" w:rsidP="00A51EE9">
      <w:pPr>
        <w:pStyle w:val="ColorfulList-Accent11"/>
        <w:rPr>
          <w:rFonts w:ascii="Cambria" w:hAnsi="Cambria"/>
          <w:i/>
          <w:lang w:eastAsia="en-AU"/>
        </w:rPr>
      </w:pPr>
      <w:r w:rsidRPr="00A51EE9">
        <w:rPr>
          <w:rFonts w:ascii="Cambria" w:hAnsi="Cambria"/>
          <w:i/>
          <w:lang w:eastAsia="en-AU"/>
        </w:rPr>
        <w:t>Prevention of acute and delayed nausea and vomiting associated with initial and repeat courses of highly emetogenic cancer chemotherapy.</w:t>
      </w:r>
    </w:p>
    <w:p w:rsidR="000F3694" w:rsidRPr="00A51EE9" w:rsidRDefault="000F3694" w:rsidP="00A51EE9">
      <w:pPr>
        <w:pStyle w:val="ColorfulList-Accent11"/>
        <w:rPr>
          <w:rFonts w:ascii="Cambria" w:hAnsi="Cambria"/>
          <w:i/>
          <w:lang w:eastAsia="en-AU"/>
        </w:rPr>
      </w:pPr>
      <w:r w:rsidRPr="00A51EE9">
        <w:rPr>
          <w:rFonts w:ascii="Cambria" w:hAnsi="Cambria"/>
          <w:i/>
          <w:lang w:eastAsia="en-AU"/>
        </w:rPr>
        <w:t>Prevention of acute and delayed nausea and vomiting associated with initial and repeat courses of moderately emetogenic cancer chemotherapy.</w:t>
      </w:r>
    </w:p>
    <w:p w:rsidR="005A4269" w:rsidRPr="00965E73" w:rsidRDefault="005A4269" w:rsidP="00D31F4E">
      <w:pPr>
        <w:pStyle w:val="Heading5"/>
        <w:rPr>
          <w:rFonts w:eastAsia="MS Mincho"/>
          <w:lang w:eastAsia="ja-JP"/>
        </w:rPr>
      </w:pPr>
      <w:r w:rsidRPr="00965E73">
        <w:rPr>
          <w:lang w:eastAsia="en-AU"/>
        </w:rPr>
        <w:t>Proposed conditions of registration</w:t>
      </w:r>
    </w:p>
    <w:p w:rsidR="005A4269" w:rsidRPr="00D31F4E" w:rsidRDefault="005A4269" w:rsidP="00D31F4E">
      <w:r w:rsidRPr="00D31F4E">
        <w:t xml:space="preserve">The ACPM agreed with the </w:t>
      </w:r>
      <w:r w:rsidR="00324E8F" w:rsidRPr="00D31F4E">
        <w:t>D</w:t>
      </w:r>
      <w:r w:rsidRPr="00D31F4E">
        <w:t>elegate on the proposed conditions of registration.</w:t>
      </w:r>
    </w:p>
    <w:p w:rsidR="005A4269" w:rsidRPr="00965E73" w:rsidRDefault="005A4269" w:rsidP="00D31F4E">
      <w:pPr>
        <w:pStyle w:val="Heading5"/>
        <w:rPr>
          <w:rFonts w:eastAsia="MS Mincho"/>
          <w:lang w:eastAsia="ja-JP"/>
        </w:rPr>
      </w:pPr>
      <w:r w:rsidRPr="00965E73">
        <w:rPr>
          <w:rFonts w:eastAsia="MS Mincho"/>
          <w:lang w:eastAsia="ja-JP"/>
        </w:rPr>
        <w:t xml:space="preserve">Proposed Product Information </w:t>
      </w:r>
      <w:r w:rsidR="00282817">
        <w:rPr>
          <w:rFonts w:eastAsia="MS Mincho"/>
          <w:lang w:eastAsia="ja-JP"/>
        </w:rPr>
        <w:t xml:space="preserve">and </w:t>
      </w:r>
      <w:r w:rsidRPr="00965E73">
        <w:rPr>
          <w:rFonts w:eastAsia="MS Mincho"/>
          <w:lang w:eastAsia="ja-JP"/>
        </w:rPr>
        <w:t>Consumer Medicine Information amendments</w:t>
      </w:r>
    </w:p>
    <w:p w:rsidR="005A4269" w:rsidRPr="00D31F4E" w:rsidRDefault="005A4269" w:rsidP="00D31F4E">
      <w:r w:rsidRPr="00D31F4E">
        <w:t>The ACPM specifically advised on the inclusion of the following in the PI:</w:t>
      </w:r>
    </w:p>
    <w:p w:rsidR="005A4269" w:rsidRPr="00D31F4E" w:rsidRDefault="005A4269" w:rsidP="00D31F4E">
      <w:pPr>
        <w:pStyle w:val="ListBullet"/>
      </w:pPr>
      <w:r w:rsidRPr="00D31F4E">
        <w:t xml:space="preserve">Provision of very clear information regarding the interaction of </w:t>
      </w:r>
      <w:r w:rsidR="00C51742" w:rsidRPr="00D31F4E">
        <w:t>Akynzeo</w:t>
      </w:r>
      <w:r w:rsidRPr="00D31F4E">
        <w:t xml:space="preserve"> with dexamethasone and other drugs.</w:t>
      </w:r>
    </w:p>
    <w:p w:rsidR="005A4269" w:rsidRPr="00D31F4E" w:rsidRDefault="005A4269" w:rsidP="00D31F4E">
      <w:pPr>
        <w:pStyle w:val="ListBullet"/>
      </w:pPr>
      <w:r w:rsidRPr="00D31F4E">
        <w:t xml:space="preserve">Include under </w:t>
      </w:r>
      <w:r w:rsidR="00282817">
        <w:t>‘</w:t>
      </w:r>
      <w:r w:rsidR="00282817" w:rsidRPr="00D31F4E">
        <w:t>precautions</w:t>
      </w:r>
      <w:r w:rsidR="00282817">
        <w:t>’</w:t>
      </w:r>
      <w:r w:rsidRPr="00D31F4E">
        <w:t>, information about use in combination with docetaxel and in patients with liver impairment.</w:t>
      </w:r>
    </w:p>
    <w:p w:rsidR="005A4269" w:rsidRPr="00D31F4E" w:rsidRDefault="005A4269" w:rsidP="00D31F4E">
      <w:pPr>
        <w:pStyle w:val="ListBullet"/>
      </w:pPr>
      <w:r w:rsidRPr="00D31F4E">
        <w:t xml:space="preserve">The ACPM did not agree that the addition of ‘in combination with dexamethasone’ was necessary to be included in the indication for </w:t>
      </w:r>
      <w:r w:rsidR="00C51742" w:rsidRPr="00D31F4E">
        <w:t>Akynzeo</w:t>
      </w:r>
      <w:r w:rsidRPr="00D31F4E">
        <w:t>.</w:t>
      </w:r>
    </w:p>
    <w:p w:rsidR="005A4269" w:rsidRPr="00965E73" w:rsidRDefault="005A4269" w:rsidP="00D31F4E">
      <w:pPr>
        <w:pStyle w:val="Heading5"/>
        <w:rPr>
          <w:rFonts w:eastAsia="MS Mincho"/>
          <w:lang w:eastAsia="ja-JP"/>
        </w:rPr>
      </w:pPr>
      <w:r w:rsidRPr="00965E73">
        <w:rPr>
          <w:lang w:eastAsia="en-AU"/>
        </w:rPr>
        <w:lastRenderedPageBreak/>
        <w:t>Specific advice</w:t>
      </w:r>
    </w:p>
    <w:p w:rsidR="005A4269" w:rsidRPr="00D31F4E" w:rsidRDefault="005A4269" w:rsidP="00D31F4E">
      <w:r w:rsidRPr="00D31F4E">
        <w:t>The ACPM advised the following in response to t</w:t>
      </w:r>
      <w:r w:rsidR="00282817">
        <w:t>he specific D</w:t>
      </w:r>
      <w:r w:rsidRPr="00D31F4E">
        <w:t>elegate’s questions on this submission:</w:t>
      </w:r>
    </w:p>
    <w:p w:rsidR="005A4269" w:rsidRPr="00D31F4E" w:rsidRDefault="005A4269" w:rsidP="00D31F4E">
      <w:pPr>
        <w:pStyle w:val="Numberbullet0"/>
        <w:numPr>
          <w:ilvl w:val="0"/>
          <w:numId w:val="43"/>
        </w:numPr>
        <w:rPr>
          <w:i/>
        </w:rPr>
      </w:pPr>
      <w:r w:rsidRPr="00D31F4E">
        <w:rPr>
          <w:i/>
        </w:rPr>
        <w:t xml:space="preserve">Does the ACPM consider that the anti-emetic efficacy of netupitant is confounded by the pharmacokinetic interaction </w:t>
      </w:r>
      <w:r w:rsidR="00282817">
        <w:rPr>
          <w:i/>
        </w:rPr>
        <w:t>with dexamethasone? If so, how if at all</w:t>
      </w:r>
      <w:r w:rsidRPr="00D31F4E">
        <w:rPr>
          <w:i/>
        </w:rPr>
        <w:t xml:space="preserve"> does this impact on the assessment of </w:t>
      </w:r>
      <w:proofErr w:type="spellStart"/>
      <w:r w:rsidR="00C51742" w:rsidRPr="00D31F4E">
        <w:rPr>
          <w:i/>
        </w:rPr>
        <w:t>Akynzeo</w:t>
      </w:r>
      <w:r w:rsidR="00F17241" w:rsidRPr="00D31F4E">
        <w:rPr>
          <w:i/>
        </w:rPr>
        <w:t>’s</w:t>
      </w:r>
      <w:proofErr w:type="spellEnd"/>
      <w:r w:rsidRPr="00D31F4E">
        <w:rPr>
          <w:i/>
        </w:rPr>
        <w:t xml:space="preserve"> benefit / risk profile?</w:t>
      </w:r>
    </w:p>
    <w:p w:rsidR="005A4269" w:rsidRPr="00D31F4E" w:rsidRDefault="005A4269" w:rsidP="00D31F4E">
      <w:r w:rsidRPr="00D31F4E">
        <w:t xml:space="preserve">The ACPM considered it was theoretically possible that concurrent dexamethasone had an impact on </w:t>
      </w:r>
      <w:r w:rsidR="00C51742" w:rsidRPr="00D31F4E">
        <w:t>Akynzeo</w:t>
      </w:r>
      <w:r w:rsidRPr="00D31F4E">
        <w:t xml:space="preserve"> efficacy but the extent of the interaction on efficacy would be difficult to ascertain with any certainty. In addition, the ACPM noted that the current standard of care includes use of </w:t>
      </w:r>
      <w:r w:rsidR="003802E6" w:rsidRPr="00F5364C">
        <w:t>5-HT</w:t>
      </w:r>
      <w:r w:rsidR="003802E6" w:rsidRPr="00C05B17">
        <w:rPr>
          <w:vertAlign w:val="subscript"/>
        </w:rPr>
        <w:t>3</w:t>
      </w:r>
      <w:r w:rsidRPr="00D31F4E">
        <w:t xml:space="preserve"> antagonists in combination with </w:t>
      </w:r>
      <w:r w:rsidR="00BD6934">
        <w:t>NK1 R</w:t>
      </w:r>
      <w:r w:rsidRPr="00D31F4E">
        <w:t xml:space="preserve"> antagonists and therefore it would be difficult to conduct a clinical trial without using dexamethasone. The ACPM agreed with the </w:t>
      </w:r>
      <w:r w:rsidR="00791AE3" w:rsidRPr="00D31F4E">
        <w:t>sponsor’s</w:t>
      </w:r>
      <w:r w:rsidRPr="00D31F4E">
        <w:t xml:space="preserve"> pr</w:t>
      </w:r>
      <w:r w:rsidR="00282817">
        <w:t xml:space="preserve">e </w:t>
      </w:r>
      <w:r w:rsidRPr="00D31F4E">
        <w:t xml:space="preserve">ACPM response which stated that there is no evidence in the literature to support that the </w:t>
      </w:r>
      <w:proofErr w:type="spellStart"/>
      <w:r w:rsidRPr="00D31F4E">
        <w:t>C</w:t>
      </w:r>
      <w:r w:rsidRPr="00282817">
        <w:rPr>
          <w:vertAlign w:val="subscript"/>
        </w:rPr>
        <w:t>min</w:t>
      </w:r>
      <w:proofErr w:type="spellEnd"/>
      <w:r w:rsidRPr="00D31F4E">
        <w:t xml:space="preserve"> of </w:t>
      </w:r>
      <w:proofErr w:type="spellStart"/>
      <w:r w:rsidR="00C51742" w:rsidRPr="00D31F4E">
        <w:t>Akynzeo</w:t>
      </w:r>
      <w:proofErr w:type="spellEnd"/>
      <w:r w:rsidRPr="00D31F4E">
        <w:t xml:space="preserve"> is correlated with an anti-</w:t>
      </w:r>
      <w:r w:rsidR="00282817">
        <w:t>emetic effect of dexamethasone.</w:t>
      </w:r>
    </w:p>
    <w:p w:rsidR="005A4269" w:rsidRPr="00D31F4E" w:rsidRDefault="005A4269" w:rsidP="00D31F4E">
      <w:pPr>
        <w:pStyle w:val="Numberbullet0"/>
        <w:rPr>
          <w:i/>
        </w:rPr>
      </w:pPr>
      <w:r w:rsidRPr="00D31F4E">
        <w:rPr>
          <w:i/>
        </w:rPr>
        <w:t>Does the ACPM consider there is sufficient evidence of use in MEC?</w:t>
      </w:r>
    </w:p>
    <w:p w:rsidR="005A4269" w:rsidRPr="00D31F4E" w:rsidRDefault="005A4269" w:rsidP="00D31F4E">
      <w:r w:rsidRPr="00D31F4E">
        <w:t xml:space="preserve">The ACPM noted the </w:t>
      </w:r>
      <w:r w:rsidR="00791AE3" w:rsidRPr="00D31F4E">
        <w:t>sponsor’s</w:t>
      </w:r>
      <w:r w:rsidR="00282817">
        <w:t xml:space="preserve"> pre </w:t>
      </w:r>
      <w:r w:rsidRPr="00D31F4E">
        <w:t>ACPM response with regards to the re-categorisation of combination AC (doxorubicin/cyclophosphamide) chemotherapy from MEC to HEC. The ACPM advised that the extrapolation of the data for AC regimen for use in MEC is reasonable.</w:t>
      </w:r>
    </w:p>
    <w:p w:rsidR="005A4269" w:rsidRPr="00D31F4E" w:rsidRDefault="005A4269" w:rsidP="00D31F4E">
      <w:pPr>
        <w:pStyle w:val="Numberbullet0"/>
        <w:rPr>
          <w:i/>
        </w:rPr>
      </w:pPr>
      <w:r w:rsidRPr="00D31F4E">
        <w:rPr>
          <w:i/>
        </w:rPr>
        <w:t xml:space="preserve">Should there be advice in the </w:t>
      </w:r>
      <w:r w:rsidR="00C51742" w:rsidRPr="00D31F4E">
        <w:rPr>
          <w:i/>
        </w:rPr>
        <w:t>Akynzeo</w:t>
      </w:r>
      <w:r w:rsidRPr="00D31F4E">
        <w:rPr>
          <w:i/>
        </w:rPr>
        <w:t xml:space="preserve"> PI not to use the produc</w:t>
      </w:r>
      <w:r w:rsidR="00256A33" w:rsidRPr="00D31F4E">
        <w:rPr>
          <w:i/>
        </w:rPr>
        <w:t>t in patients with moderate and/</w:t>
      </w:r>
      <w:r w:rsidRPr="00D31F4E">
        <w:rPr>
          <w:i/>
        </w:rPr>
        <w:t>or severe hepatic impairment?</w:t>
      </w:r>
    </w:p>
    <w:p w:rsidR="005A4269" w:rsidRPr="00D31F4E" w:rsidRDefault="005A4269" w:rsidP="00D31F4E">
      <w:r w:rsidRPr="00D31F4E">
        <w:t xml:space="preserve">The ACPM advised that information regarding the risk of use in patients with severe hepatic impairment should be included in the </w:t>
      </w:r>
      <w:r w:rsidR="00282817">
        <w:t>‘</w:t>
      </w:r>
      <w:r w:rsidR="00282817" w:rsidRPr="00D31F4E">
        <w:t>precautions</w:t>
      </w:r>
      <w:r w:rsidR="00282817">
        <w:t>’</w:t>
      </w:r>
      <w:r w:rsidRPr="00D31F4E">
        <w:t xml:space="preserve"> section of the PI.</w:t>
      </w:r>
    </w:p>
    <w:p w:rsidR="005A4269" w:rsidRPr="00D31F4E" w:rsidRDefault="005A4269" w:rsidP="00D31F4E">
      <w:pPr>
        <w:pStyle w:val="Numberbullet0"/>
        <w:rPr>
          <w:i/>
        </w:rPr>
      </w:pPr>
      <w:r w:rsidRPr="00D31F4E">
        <w:rPr>
          <w:i/>
        </w:rPr>
        <w:t xml:space="preserve">Does the ACPM object to the name </w:t>
      </w:r>
      <w:r w:rsidR="00C51742" w:rsidRPr="00D31F4E">
        <w:rPr>
          <w:i/>
        </w:rPr>
        <w:t>Akynzeo</w:t>
      </w:r>
      <w:r w:rsidRPr="00D31F4E">
        <w:rPr>
          <w:i/>
        </w:rPr>
        <w:t xml:space="preserve"> (</w:t>
      </w:r>
      <w:r w:rsidR="004B70D8" w:rsidRPr="00D31F4E">
        <w:rPr>
          <w:i/>
        </w:rPr>
        <w:t>for example,</w:t>
      </w:r>
      <w:r w:rsidRPr="00D31F4E">
        <w:rPr>
          <w:i/>
        </w:rPr>
        <w:t xml:space="preserve"> is it too close to </w:t>
      </w:r>
      <w:proofErr w:type="spellStart"/>
      <w:r w:rsidRPr="00D31F4E">
        <w:rPr>
          <w:i/>
        </w:rPr>
        <w:t>Akineton</w:t>
      </w:r>
      <w:proofErr w:type="spellEnd"/>
      <w:r w:rsidRPr="00D31F4E">
        <w:rPr>
          <w:i/>
        </w:rPr>
        <w:t>?)</w:t>
      </w:r>
    </w:p>
    <w:p w:rsidR="005A4269" w:rsidRPr="00D31F4E" w:rsidRDefault="005A4269" w:rsidP="00D31F4E">
      <w:r w:rsidRPr="00D31F4E">
        <w:t xml:space="preserve">The ACPM had no objections to the product name, </w:t>
      </w:r>
      <w:r w:rsidR="00C51742" w:rsidRPr="00D31F4E">
        <w:t>Akynzeo</w:t>
      </w:r>
      <w:r w:rsidR="00282817">
        <w:t>.</w:t>
      </w:r>
    </w:p>
    <w:p w:rsidR="005A4269" w:rsidRPr="00D31F4E" w:rsidRDefault="005A4269" w:rsidP="00D31F4E">
      <w:pPr>
        <w:pStyle w:val="Numberbullet0"/>
        <w:rPr>
          <w:i/>
        </w:rPr>
      </w:pPr>
      <w:r w:rsidRPr="00D31F4E">
        <w:rPr>
          <w:i/>
        </w:rPr>
        <w:t xml:space="preserve">Does the ACPM consider that </w:t>
      </w:r>
      <w:r w:rsidR="00C51742" w:rsidRPr="00D31F4E">
        <w:rPr>
          <w:i/>
        </w:rPr>
        <w:t>Akynzeo</w:t>
      </w:r>
      <w:r w:rsidRPr="00D31F4E">
        <w:rPr>
          <w:i/>
        </w:rPr>
        <w:t xml:space="preserve"> has a positive benefit-risk balance?</w:t>
      </w:r>
    </w:p>
    <w:p w:rsidR="005A4269" w:rsidRPr="00D31F4E" w:rsidRDefault="005A4269" w:rsidP="00D31F4E">
      <w:r w:rsidRPr="00D31F4E">
        <w:t xml:space="preserve">The ACPM advised that the evidence submitted support a positive benefit-risk balance </w:t>
      </w:r>
      <w:r w:rsidR="00C51742" w:rsidRPr="00D31F4E">
        <w:t>Akynzeo</w:t>
      </w:r>
      <w:r w:rsidRPr="00D31F4E">
        <w:t xml:space="preserve">. In addition, the advantages of a single oral dose compared to IV administration for the patient and for nursing staff in convenience and time are clear. The ACPM noted that compliance with administration of parenteral anti-emetics is not generally a major </w:t>
      </w:r>
      <w:r w:rsidR="00282817" w:rsidRPr="00D31F4E">
        <w:t>issue;</w:t>
      </w:r>
      <w:r w:rsidRPr="00D31F4E">
        <w:t xml:space="preserve"> however, the committee further noted that the capsule was rather large and may be difficult to swallow for some patients.</w:t>
      </w:r>
    </w:p>
    <w:p w:rsidR="005A4269" w:rsidRPr="00D31F4E" w:rsidRDefault="005A4269" w:rsidP="00D31F4E">
      <w:pPr>
        <w:pStyle w:val="Numberbullet0"/>
        <w:rPr>
          <w:i/>
        </w:rPr>
      </w:pPr>
      <w:r w:rsidRPr="00D31F4E">
        <w:rPr>
          <w:i/>
        </w:rPr>
        <w:t xml:space="preserve">What indication in prevention of CINV does the ACPM consider is supported by the evidence for </w:t>
      </w:r>
      <w:r w:rsidR="00C51742" w:rsidRPr="00D31F4E">
        <w:rPr>
          <w:i/>
        </w:rPr>
        <w:t>Akynzeo</w:t>
      </w:r>
      <w:r w:rsidRPr="00D31F4E">
        <w:rPr>
          <w:i/>
        </w:rPr>
        <w:t>?</w:t>
      </w:r>
    </w:p>
    <w:p w:rsidR="005A4269" w:rsidRPr="00D31F4E" w:rsidRDefault="005A4269" w:rsidP="00D31F4E">
      <w:r w:rsidRPr="00D31F4E">
        <w:t xml:space="preserve">The ACPM considered that </w:t>
      </w:r>
      <w:r w:rsidR="00C51742" w:rsidRPr="00D31F4E">
        <w:t>Akynzeo</w:t>
      </w:r>
      <w:r w:rsidRPr="00D31F4E">
        <w:t xml:space="preserve"> will most likely be used in combination with dexamethasone but noted that neither </w:t>
      </w:r>
      <w:r w:rsidR="00256A33" w:rsidRPr="00D31F4E">
        <w:t>Emend</w:t>
      </w:r>
      <w:r w:rsidRPr="00D31F4E">
        <w:t xml:space="preserve"> (</w:t>
      </w:r>
      <w:proofErr w:type="spellStart"/>
      <w:r w:rsidRPr="00D31F4E">
        <w:t>aprepitant</w:t>
      </w:r>
      <w:proofErr w:type="spellEnd"/>
      <w:r w:rsidRPr="00D31F4E">
        <w:t xml:space="preserve">) </w:t>
      </w:r>
      <w:r w:rsidR="00282817">
        <w:t>n</w:t>
      </w:r>
      <w:r w:rsidRPr="00D31F4E">
        <w:t xml:space="preserve">or </w:t>
      </w:r>
      <w:proofErr w:type="spellStart"/>
      <w:r w:rsidR="00256A33" w:rsidRPr="00D31F4E">
        <w:t>Aloxi</w:t>
      </w:r>
      <w:proofErr w:type="spellEnd"/>
      <w:r w:rsidRPr="00D31F4E">
        <w:t xml:space="preserve"> (</w:t>
      </w:r>
      <w:proofErr w:type="spellStart"/>
      <w:r w:rsidRPr="00D31F4E">
        <w:t>palonosetron</w:t>
      </w:r>
      <w:proofErr w:type="spellEnd"/>
      <w:r w:rsidRPr="00D31F4E">
        <w:t>) specify use with dexamethasone in the indication. The ACPM noted that there are a few paediatric cancers where dexamethasone is contraindicated for use for the treatm</w:t>
      </w:r>
      <w:r w:rsidR="00282817">
        <w:t xml:space="preserve">ent of nausea, noting; however </w:t>
      </w:r>
      <w:r w:rsidRPr="00D31F4E">
        <w:t xml:space="preserve">that </w:t>
      </w:r>
      <w:r w:rsidR="00C51742" w:rsidRPr="00D31F4E">
        <w:t>Akynzeo</w:t>
      </w:r>
      <w:r w:rsidRPr="00D31F4E">
        <w:t xml:space="preserve"> will be limited to use in the adult population. The ACPM therefore advised that the indication for </w:t>
      </w:r>
      <w:r w:rsidR="00C51742" w:rsidRPr="00D31F4E">
        <w:t>Akynzeo</w:t>
      </w:r>
      <w:r w:rsidRPr="00D31F4E">
        <w:t xml:space="preserve"> need not specify use in combination with dexamethasone.</w:t>
      </w:r>
    </w:p>
    <w:p w:rsidR="005A4269" w:rsidRPr="00D31F4E" w:rsidRDefault="005A4269" w:rsidP="00D31F4E">
      <w:pPr>
        <w:pStyle w:val="Numberbullet0"/>
        <w:rPr>
          <w:i/>
        </w:rPr>
      </w:pPr>
      <w:r w:rsidRPr="00D31F4E">
        <w:rPr>
          <w:i/>
        </w:rPr>
        <w:t xml:space="preserve">Does the ACPM have any comments or suggestions about the </w:t>
      </w:r>
      <w:r w:rsidR="00C51742" w:rsidRPr="00D31F4E">
        <w:rPr>
          <w:i/>
        </w:rPr>
        <w:t>Akynzeo</w:t>
      </w:r>
      <w:r w:rsidRPr="00D31F4E">
        <w:rPr>
          <w:i/>
        </w:rPr>
        <w:t xml:space="preserve"> PI or CMI?</w:t>
      </w:r>
    </w:p>
    <w:p w:rsidR="005A4269" w:rsidRPr="00D31F4E" w:rsidRDefault="005A4269" w:rsidP="00D31F4E">
      <w:r w:rsidRPr="00D31F4E">
        <w:t xml:space="preserve">The ACPM considered that information regarding </w:t>
      </w:r>
      <w:r w:rsidR="00C51742" w:rsidRPr="00D31F4E">
        <w:t>Akynzeo</w:t>
      </w:r>
      <w:r w:rsidRPr="00D31F4E">
        <w:t xml:space="preserve"> use in patients with liver impairment and use in combination with docetaxel should be included under </w:t>
      </w:r>
      <w:r w:rsidR="00282817">
        <w:t>‘</w:t>
      </w:r>
      <w:r w:rsidR="00282817" w:rsidRPr="00D31F4E">
        <w:t>precautions</w:t>
      </w:r>
      <w:r w:rsidR="00282817">
        <w:t>’</w:t>
      </w:r>
      <w:r w:rsidRPr="00D31F4E">
        <w:t xml:space="preserve"> to highlight the risk of liver toxicity. The PI should also clearly explain the interaction of </w:t>
      </w:r>
      <w:r w:rsidR="00C51742" w:rsidRPr="00D31F4E">
        <w:t>Akynzeo</w:t>
      </w:r>
      <w:r w:rsidRPr="00D31F4E">
        <w:t xml:space="preserve"> with dexamethasone and other drugs.</w:t>
      </w:r>
    </w:p>
    <w:p w:rsidR="005A4269" w:rsidRPr="00D31F4E" w:rsidRDefault="005A4269" w:rsidP="00D31F4E">
      <w:r w:rsidRPr="00D31F4E">
        <w:lastRenderedPageBreak/>
        <w:t xml:space="preserve">The ACPM advised that implementation by the </w:t>
      </w:r>
      <w:r w:rsidR="00791AE3" w:rsidRPr="00D31F4E">
        <w:t>sponsor</w:t>
      </w:r>
      <w:r w:rsidRPr="00D31F4E">
        <w:t xml:space="preserve"> of the recommendations outlined above to the satisfaction of the TGA, in addition to the evidence of efficacy and safety provided would support the safe and effective use of this product.</w:t>
      </w:r>
    </w:p>
    <w:p w:rsidR="008E7846" w:rsidRPr="00D31F4E" w:rsidRDefault="008E7846" w:rsidP="00D31F4E">
      <w:pPr>
        <w:pStyle w:val="Heading4"/>
      </w:pPr>
      <w:bookmarkStart w:id="159" w:name="_Toc247691532"/>
      <w:bookmarkStart w:id="160" w:name="_Toc314842516"/>
      <w:bookmarkEnd w:id="113"/>
      <w:bookmarkEnd w:id="156"/>
      <w:bookmarkEnd w:id="157"/>
      <w:r w:rsidRPr="00D31F4E">
        <w:t>Outcome</w:t>
      </w:r>
      <w:bookmarkEnd w:id="159"/>
      <w:bookmarkEnd w:id="160"/>
    </w:p>
    <w:p w:rsidR="00D23139" w:rsidRPr="00D31F4E" w:rsidRDefault="00D23139" w:rsidP="00D31F4E">
      <w:bookmarkStart w:id="161" w:name="_Toc247691533"/>
      <w:bookmarkStart w:id="162" w:name="_Toc314842517"/>
      <w:r w:rsidRPr="00D31F4E">
        <w:t xml:space="preserve">Based on a review of quality, safety and efficacy, TGA approved the registration of </w:t>
      </w:r>
      <w:r w:rsidR="00C51742" w:rsidRPr="00D31F4E">
        <w:t>Akynzeo</w:t>
      </w:r>
      <w:r w:rsidR="00F90198" w:rsidRPr="00D31F4E">
        <w:t xml:space="preserve"> netupitant/palonosetron (</w:t>
      </w:r>
      <w:r w:rsidR="00F71C1F" w:rsidRPr="00D31F4E">
        <w:t>as hydrochloride) 300 mg/0.5 mg</w:t>
      </w:r>
      <w:r w:rsidR="00F90198" w:rsidRPr="00D31F4E">
        <w:t xml:space="preserve"> capsule blister pack</w:t>
      </w:r>
      <w:r w:rsidR="00344EBB" w:rsidRPr="00D31F4E">
        <w:t xml:space="preserve"> </w:t>
      </w:r>
      <w:r w:rsidRPr="00D31F4E">
        <w:t>indicated for:</w:t>
      </w:r>
    </w:p>
    <w:p w:rsidR="00F90198" w:rsidRPr="00F90198" w:rsidRDefault="00F90198" w:rsidP="00F90198">
      <w:pPr>
        <w:ind w:left="720"/>
        <w:rPr>
          <w:i/>
        </w:rPr>
      </w:pPr>
      <w:r w:rsidRPr="00F90198">
        <w:rPr>
          <w:i/>
        </w:rPr>
        <w:t>Prevention of acute and delayed nausea and vomiting associated with initial and repeat courses of highly emetogenic cancer chemotherapy.</w:t>
      </w:r>
    </w:p>
    <w:p w:rsidR="00D23139" w:rsidRPr="00F90198" w:rsidRDefault="00F90198" w:rsidP="00F90198">
      <w:pPr>
        <w:ind w:left="720"/>
        <w:rPr>
          <w:i/>
        </w:rPr>
      </w:pPr>
      <w:r w:rsidRPr="00F90198">
        <w:rPr>
          <w:i/>
        </w:rPr>
        <w:t>Prevention of acute and delayed nausea and vomiting associated with initial and repeat courses of moderately emetogenic cancer chemotherapy.</w:t>
      </w:r>
    </w:p>
    <w:p w:rsidR="00D23139" w:rsidRPr="00D31F4E" w:rsidRDefault="00D23139" w:rsidP="00D31F4E">
      <w:pPr>
        <w:pStyle w:val="Heading4"/>
      </w:pPr>
      <w:r w:rsidRPr="00D31F4E">
        <w:t>Specific conditions of registration applying to these goods</w:t>
      </w:r>
    </w:p>
    <w:p w:rsidR="009752A5" w:rsidRPr="00D31F4E" w:rsidRDefault="00344EBB" w:rsidP="00D31F4E">
      <w:r w:rsidRPr="00D31F4E">
        <w:t xml:space="preserve">The Akynzeo (netupitant/palonosetron) Risk Management Plan (RMP), EU-RMP version 1.0 (undated; </w:t>
      </w:r>
      <w:proofErr w:type="spellStart"/>
      <w:r w:rsidRPr="00D31F4E">
        <w:t>datalock</w:t>
      </w:r>
      <w:proofErr w:type="spellEnd"/>
      <w:r w:rsidRPr="00D31F4E">
        <w:t xml:space="preserve"> point 31 August 2013) with the Australian Specific Annex version 1.0 (dated 28 February 2014) and any future updates as agreed with the TGA will be implemented in Australia.</w:t>
      </w:r>
    </w:p>
    <w:p w:rsidR="008E7846" w:rsidRDefault="00A80B5B" w:rsidP="00D23139">
      <w:pPr>
        <w:pStyle w:val="Heading2"/>
      </w:pPr>
      <w:bookmarkStart w:id="163" w:name="_Toc466986555"/>
      <w:proofErr w:type="gramStart"/>
      <w:r>
        <w:t>Attachment 1.</w:t>
      </w:r>
      <w:proofErr w:type="gramEnd"/>
      <w:r>
        <w:t xml:space="preserve"> </w:t>
      </w:r>
      <w:r w:rsidR="008E7846">
        <w:t xml:space="preserve">Product </w:t>
      </w:r>
      <w:r w:rsidR="00AA0ED0">
        <w:t>I</w:t>
      </w:r>
      <w:r w:rsidR="008E7846">
        <w:t>nformation</w:t>
      </w:r>
      <w:bookmarkEnd w:id="161"/>
      <w:bookmarkEnd w:id="162"/>
      <w:bookmarkEnd w:id="163"/>
    </w:p>
    <w:p w:rsidR="00C80137" w:rsidRDefault="009B02FF" w:rsidP="00C80137">
      <w:pPr>
        <w:rPr>
          <w:color w:val="000000"/>
          <w:lang w:eastAsia="en-AU"/>
        </w:rPr>
      </w:pPr>
      <w:r w:rsidRPr="009B02FF">
        <w:t xml:space="preserve">The PI for Akynzeo approved </w:t>
      </w:r>
      <w:r>
        <w:t xml:space="preserve">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24" w:history="1">
        <w:r w:rsidRPr="007C6B9B">
          <w:rPr>
            <w:rStyle w:val="Hyperlink"/>
          </w:rPr>
          <w:t>https://www.tga.gov.au/product-information-pi</w:t>
        </w:r>
      </w:hyperlink>
      <w:r>
        <w:t>&gt;.</w:t>
      </w:r>
    </w:p>
    <w:p w:rsidR="00C80137" w:rsidRDefault="00C80137" w:rsidP="00C80137">
      <w:pPr>
        <w:pStyle w:val="Heading2"/>
        <w:rPr>
          <w:lang w:eastAsia="en-AU"/>
        </w:rPr>
      </w:pPr>
      <w:bookmarkStart w:id="164" w:name="_Toc466986556"/>
      <w:proofErr w:type="gramStart"/>
      <w:r>
        <w:rPr>
          <w:lang w:eastAsia="en-AU"/>
        </w:rPr>
        <w:t>Attachment 2.</w:t>
      </w:r>
      <w:proofErr w:type="gramEnd"/>
      <w:r w:rsidR="00A80B5B">
        <w:rPr>
          <w:lang w:eastAsia="en-AU"/>
        </w:rPr>
        <w:t xml:space="preserve"> </w:t>
      </w:r>
      <w:r>
        <w:rPr>
          <w:lang w:eastAsia="en-AU"/>
        </w:rPr>
        <w:t>Extract from the Clinical Evaluation Report</w:t>
      </w:r>
      <w:bookmarkEnd w:id="164"/>
    </w:p>
    <w:p w:rsidR="00C80137" w:rsidRPr="001D043B" w:rsidRDefault="00C80137" w:rsidP="00C05B17">
      <w:pPr>
        <w:autoSpaceDE w:val="0"/>
        <w:autoSpaceDN w:val="0"/>
        <w:adjustRightInd w:val="0"/>
        <w:spacing w:after="0"/>
        <w:rPr>
          <w:lang w:eastAsia="ja-JP"/>
        </w:rPr>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005F7FE0">
              <w:t xml:space="preserve"> </w:t>
            </w:r>
            <w:r w:rsidRPr="00487162">
              <w:t>Phone: 1800 020 653</w:t>
            </w:r>
            <w:r w:rsidR="005F7FE0">
              <w:t xml:space="preserve"> </w:t>
            </w:r>
            <w:r w:rsidRPr="00487162">
              <w:t>Fax: 02 6232 8605</w:t>
            </w:r>
          </w:p>
          <w:p w:rsidR="001C32CD" w:rsidRPr="004C239D" w:rsidRDefault="00580991"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991" w:rsidRDefault="00580991" w:rsidP="00C40A36">
      <w:pPr>
        <w:spacing w:after="0"/>
      </w:pPr>
      <w:r>
        <w:separator/>
      </w:r>
    </w:p>
  </w:endnote>
  <w:endnote w:type="continuationSeparator" w:id="0">
    <w:p w:rsidR="00580991" w:rsidRDefault="0058099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ＭＳ 明朝"/>
    <w:panose1 w:val="00000000000000000000"/>
    <w:charset w:val="80"/>
    <w:family w:val="auto"/>
    <w:notTrueType/>
    <w:pitch w:val="default"/>
    <w:sig w:usb0="00000003" w:usb1="08070000" w:usb2="00000010" w:usb3="00000000" w:csb0="00020001" w:csb1="00000000"/>
  </w:font>
  <w:font w:name="AdvHelNeu-LC">
    <w:altName w:val="Cambria"/>
    <w:panose1 w:val="00000000000000000000"/>
    <w:charset w:val="00"/>
    <w:family w:val="swiss"/>
    <w:notTrueType/>
    <w:pitch w:val="default"/>
    <w:sig w:usb0="00000003" w:usb1="00000000" w:usb2="00000000" w:usb3="00000000" w:csb0="00000001" w:csb1="00000000"/>
  </w:font>
  <w:font w:name="No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80991" w:rsidRPr="00487162" w:rsidTr="007E520B">
      <w:trPr>
        <w:trHeight w:val="269"/>
      </w:trPr>
      <w:tc>
        <w:tcPr>
          <w:tcW w:w="7371" w:type="dxa"/>
          <w:tcMar>
            <w:top w:w="142" w:type="dxa"/>
            <w:bottom w:w="0" w:type="dxa"/>
          </w:tcMar>
        </w:tcPr>
        <w:p w:rsidR="00580991" w:rsidRPr="00487162" w:rsidRDefault="00580991" w:rsidP="00835038">
          <w:pPr>
            <w:pStyle w:val="Footer"/>
          </w:pPr>
          <w:proofErr w:type="spellStart"/>
          <w:r w:rsidRPr="00487162">
            <w:t>AusPA</w:t>
          </w:r>
          <w:r>
            <w:t>R</w:t>
          </w:r>
          <w:proofErr w:type="spellEnd"/>
          <w:r>
            <w:t xml:space="preserve"> </w:t>
          </w:r>
          <w:proofErr w:type="spellStart"/>
          <w:r>
            <w:t>Akynzeo</w:t>
          </w:r>
          <w:proofErr w:type="spellEnd"/>
          <w:r>
            <w:t xml:space="preserve"> </w:t>
          </w:r>
          <w:proofErr w:type="spellStart"/>
          <w:r>
            <w:t>Netupitant</w:t>
          </w:r>
          <w:proofErr w:type="spellEnd"/>
          <w:r>
            <w:t>/</w:t>
          </w:r>
          <w:proofErr w:type="spellStart"/>
          <w:r>
            <w:t>palonosetron</w:t>
          </w:r>
          <w:proofErr w:type="spellEnd"/>
          <w:r>
            <w:t xml:space="preserve"> Specialised Therapeutics Australia Pty Ltd </w:t>
          </w:r>
          <w:r w:rsidR="0079492A">
            <w:br/>
          </w:r>
          <w:r w:rsidRPr="004C0905">
            <w:rPr>
              <w:rFonts w:cs="Arial"/>
              <w:szCs w:val="17"/>
            </w:rPr>
            <w:t>PM-2014-00341-1-4</w:t>
          </w:r>
          <w:r>
            <w:t xml:space="preserve"> Final 28 October 2016</w:t>
          </w:r>
        </w:p>
      </w:tc>
      <w:tc>
        <w:tcPr>
          <w:tcW w:w="1490" w:type="dxa"/>
          <w:tcMar>
            <w:top w:w="142" w:type="dxa"/>
            <w:bottom w:w="0" w:type="dxa"/>
          </w:tcMar>
        </w:tcPr>
        <w:p w:rsidR="00580991" w:rsidRPr="00487162" w:rsidRDefault="00580991" w:rsidP="00DB750B">
          <w:pPr>
            <w:pStyle w:val="Footer"/>
            <w:jc w:val="right"/>
          </w:pPr>
          <w:r w:rsidRPr="00487162">
            <w:t xml:space="preserve">Page </w:t>
          </w:r>
          <w:r>
            <w:fldChar w:fldCharType="begin"/>
          </w:r>
          <w:r>
            <w:instrText xml:space="preserve"> PAGE  \* Arabic </w:instrText>
          </w:r>
          <w:r>
            <w:fldChar w:fldCharType="separate"/>
          </w:r>
          <w:r w:rsidR="00EA0905">
            <w:rPr>
              <w:noProof/>
            </w:rPr>
            <w:t>6</w:t>
          </w:r>
          <w:r>
            <w:fldChar w:fldCharType="end"/>
          </w:r>
          <w:r w:rsidRPr="00487162">
            <w:t xml:space="preserve"> of </w:t>
          </w:r>
          <w:r>
            <w:fldChar w:fldCharType="begin"/>
          </w:r>
          <w:r>
            <w:instrText xml:space="preserve"> NUMPAGES  \* Arabic </w:instrText>
          </w:r>
          <w:r>
            <w:fldChar w:fldCharType="separate"/>
          </w:r>
          <w:r w:rsidR="00EA0905">
            <w:rPr>
              <w:noProof/>
            </w:rPr>
            <w:t>88</w:t>
          </w:r>
          <w:r>
            <w:rPr>
              <w:noProof/>
            </w:rPr>
            <w:fldChar w:fldCharType="end"/>
          </w:r>
        </w:p>
      </w:tc>
    </w:tr>
  </w:tbl>
  <w:p w:rsidR="00580991" w:rsidRDefault="0058099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80991" w:rsidRPr="00487162" w:rsidTr="00E45619">
      <w:trPr>
        <w:trHeight w:val="269"/>
      </w:trPr>
      <w:tc>
        <w:tcPr>
          <w:tcW w:w="4519" w:type="dxa"/>
          <w:tcBorders>
            <w:top w:val="single" w:sz="4" w:space="0" w:color="auto"/>
          </w:tcBorders>
          <w:tcMar>
            <w:top w:w="142" w:type="dxa"/>
            <w:bottom w:w="0" w:type="dxa"/>
          </w:tcMar>
        </w:tcPr>
        <w:p w:rsidR="00580991" w:rsidRPr="00487162" w:rsidRDefault="00580991" w:rsidP="00FE1DEE">
          <w:pPr>
            <w:pStyle w:val="Footer"/>
          </w:pPr>
          <w:r w:rsidRPr="00487162">
            <w:t>Document title, Part #, Section # - Section title</w:t>
          </w:r>
        </w:p>
        <w:p w:rsidR="00580991" w:rsidRPr="00487162" w:rsidRDefault="00580991" w:rsidP="00FE1DEE">
          <w:pPr>
            <w:pStyle w:val="Footer"/>
          </w:pPr>
          <w:r w:rsidRPr="00487162">
            <w:t>V1.0 October 2010</w:t>
          </w:r>
        </w:p>
      </w:tc>
      <w:tc>
        <w:tcPr>
          <w:tcW w:w="4342" w:type="dxa"/>
          <w:tcBorders>
            <w:top w:val="single" w:sz="4" w:space="0" w:color="auto"/>
          </w:tcBorders>
          <w:tcMar>
            <w:top w:w="142" w:type="dxa"/>
            <w:bottom w:w="0" w:type="dxa"/>
          </w:tcMar>
        </w:tcPr>
        <w:p w:rsidR="00580991" w:rsidRPr="00487162" w:rsidRDefault="0058099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86</w:t>
          </w:r>
          <w:r>
            <w:rPr>
              <w:noProof/>
            </w:rPr>
            <w:fldChar w:fldCharType="end"/>
          </w:r>
        </w:p>
      </w:tc>
    </w:tr>
  </w:tbl>
  <w:p w:rsidR="00580991" w:rsidRDefault="005809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Pr="001C32CD" w:rsidRDefault="0058099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80991" w:rsidTr="0010601F">
      <w:trPr>
        <w:trHeight w:val="108"/>
      </w:trPr>
      <w:tc>
        <w:tcPr>
          <w:tcW w:w="8875" w:type="dxa"/>
          <w:gridSpan w:val="2"/>
          <w:tcBorders>
            <w:bottom w:val="single" w:sz="4" w:space="0" w:color="auto"/>
          </w:tcBorders>
          <w:tcMar>
            <w:right w:w="284" w:type="dxa"/>
          </w:tcMar>
        </w:tcPr>
        <w:p w:rsidR="00580991" w:rsidRDefault="00580991" w:rsidP="006E08B3">
          <w:pPr>
            <w:pStyle w:val="Heading3"/>
          </w:pPr>
          <w:r>
            <w:t>Copyright</w:t>
          </w:r>
        </w:p>
        <w:p w:rsidR="00580991" w:rsidRDefault="00580991" w:rsidP="006E08B3">
          <w:r>
            <w:rPr>
              <w:rFonts w:cs="Arial"/>
            </w:rPr>
            <w:t>©</w:t>
          </w:r>
          <w:r>
            <w:t xml:space="preserve"> Commonwealth of Australia [add year]</w:t>
          </w:r>
        </w:p>
        <w:p w:rsidR="00580991" w:rsidRDefault="00580991" w:rsidP="006E08B3"/>
        <w:p w:rsidR="00580991" w:rsidRDefault="0058099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80991" w:rsidRDefault="00580991" w:rsidP="006E08B3"/>
        <w:p w:rsidR="00580991" w:rsidRDefault="00580991" w:rsidP="006E08B3">
          <w:pPr>
            <w:pStyle w:val="Heading3"/>
          </w:pPr>
          <w:r>
            <w:t>Confidentiality</w:t>
          </w:r>
        </w:p>
        <w:p w:rsidR="00580991" w:rsidRDefault="0058099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80991" w:rsidRDefault="00580991" w:rsidP="006E08B3"/>
        <w:p w:rsidR="00580991" w:rsidRDefault="00580991" w:rsidP="006E08B3">
          <w:r>
            <w:t>For submission made by individuals, all personal details, other than your name, will be removed from your submission before it is published on the TGA’s Internet site.</w:t>
          </w:r>
        </w:p>
        <w:p w:rsidR="00580991" w:rsidRDefault="00580991" w:rsidP="006E08B3"/>
        <w:p w:rsidR="00580991" w:rsidRDefault="0058099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80991" w:rsidTr="0010601F">
      <w:trPr>
        <w:trHeight w:val="417"/>
      </w:trPr>
      <w:tc>
        <w:tcPr>
          <w:tcW w:w="4519" w:type="dxa"/>
          <w:tcBorders>
            <w:top w:val="single" w:sz="4" w:space="0" w:color="auto"/>
          </w:tcBorders>
          <w:tcMar>
            <w:top w:w="142" w:type="dxa"/>
            <w:bottom w:w="0" w:type="dxa"/>
          </w:tcMar>
        </w:tcPr>
        <w:p w:rsidR="00580991" w:rsidRDefault="00580991" w:rsidP="006E08B3">
          <w:r>
            <w:t>Document title, Part #, Section # - Section title</w:t>
          </w:r>
        </w:p>
        <w:p w:rsidR="00580991" w:rsidRDefault="00580991" w:rsidP="006E08B3">
          <w:r>
            <w:t>V1.0 October 2010</w:t>
          </w:r>
        </w:p>
      </w:tc>
      <w:tc>
        <w:tcPr>
          <w:tcW w:w="4356" w:type="dxa"/>
          <w:tcBorders>
            <w:top w:val="single" w:sz="4" w:space="0" w:color="auto"/>
          </w:tcBorders>
          <w:tcMar>
            <w:top w:w="142" w:type="dxa"/>
            <w:bottom w:w="0" w:type="dxa"/>
          </w:tcMar>
        </w:tcPr>
        <w:p w:rsidR="00580991" w:rsidRDefault="0058099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86</w:t>
          </w:r>
          <w:r>
            <w:rPr>
              <w:noProof/>
            </w:rPr>
            <w:fldChar w:fldCharType="end"/>
          </w:r>
          <w:r>
            <w:t xml:space="preserve"> </w:t>
          </w:r>
        </w:p>
      </w:tc>
    </w:tr>
  </w:tbl>
  <w:p w:rsidR="00580991" w:rsidRDefault="005809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991" w:rsidRDefault="00580991" w:rsidP="00C40A36">
      <w:pPr>
        <w:spacing w:after="0"/>
      </w:pPr>
      <w:r>
        <w:separator/>
      </w:r>
    </w:p>
  </w:footnote>
  <w:footnote w:type="continuationSeparator" w:id="0">
    <w:p w:rsidR="00580991" w:rsidRDefault="00580991" w:rsidP="00C40A36">
      <w:pPr>
        <w:spacing w:after="0"/>
      </w:pPr>
      <w:r>
        <w:continuationSeparator/>
      </w:r>
    </w:p>
  </w:footnote>
  <w:footnote w:id="1">
    <w:p w:rsidR="00580991" w:rsidRPr="00742B5D" w:rsidRDefault="00580991">
      <w:pPr>
        <w:pStyle w:val="FootnoteText"/>
        <w:rPr>
          <w:lang w:val="en-US"/>
        </w:rPr>
      </w:pPr>
      <w:r>
        <w:rPr>
          <w:rStyle w:val="FootnoteReference"/>
        </w:rPr>
        <w:footnoteRef/>
      </w:r>
      <w:r>
        <w:t xml:space="preserve"> Post registration the sponsorship for Akynzeo has changed to </w:t>
      </w:r>
      <w:proofErr w:type="spellStart"/>
      <w:r>
        <w:t>Mundipharma</w:t>
      </w:r>
      <w:proofErr w:type="spellEnd"/>
      <w:r>
        <w:t xml:space="preserve"> Pty Ltd, GPO Box 5214, </w:t>
      </w:r>
      <w:proofErr w:type="gramStart"/>
      <w:r>
        <w:t>Sydney</w:t>
      </w:r>
      <w:proofErr w:type="gramEnd"/>
      <w:r>
        <w:t xml:space="preserve"> NSW 2001.</w:t>
      </w:r>
    </w:p>
  </w:footnote>
  <w:footnote w:id="2">
    <w:p w:rsidR="00580991" w:rsidRPr="002C3187" w:rsidRDefault="00580991">
      <w:pPr>
        <w:pStyle w:val="FootnoteText"/>
        <w:rPr>
          <w:lang w:val="en-US"/>
        </w:rPr>
      </w:pPr>
      <w:r>
        <w:rPr>
          <w:rStyle w:val="FootnoteReference"/>
        </w:rPr>
        <w:footnoteRef/>
      </w:r>
      <w:r>
        <w:t xml:space="preserve"> Post registration the sponsorship for Akynzeo has changed to </w:t>
      </w:r>
      <w:proofErr w:type="spellStart"/>
      <w:r>
        <w:t>Mundipharma</w:t>
      </w:r>
      <w:proofErr w:type="spellEnd"/>
      <w:r>
        <w:t xml:space="preserve"> Pty Ltd, GPO Box 5214, </w:t>
      </w:r>
      <w:proofErr w:type="gramStart"/>
      <w:r>
        <w:t>Sydney</w:t>
      </w:r>
      <w:proofErr w:type="gramEnd"/>
      <w:r>
        <w:t xml:space="preserve"> NSW 2001.</w:t>
      </w:r>
    </w:p>
  </w:footnote>
  <w:footnote w:id="3">
    <w:p w:rsidR="00580991" w:rsidRPr="00680A60" w:rsidRDefault="00580991">
      <w:pPr>
        <w:pStyle w:val="FootnoteText"/>
        <w:rPr>
          <w:lang w:val="en-US"/>
        </w:rPr>
      </w:pPr>
      <w:r>
        <w:rPr>
          <w:rStyle w:val="FootnoteReference"/>
        </w:rPr>
        <w:footnoteRef/>
      </w:r>
      <w:r>
        <w:t xml:space="preserve"> </w:t>
      </w:r>
      <w:r w:rsidRPr="005B2EAC">
        <w:t>Based on the stability presented for both the primary and supportive stability studies, a storage condition of ‘Store below 25°C’ is supported by the data.</w:t>
      </w:r>
    </w:p>
  </w:footnote>
  <w:footnote w:id="4">
    <w:p w:rsidR="00580991" w:rsidRDefault="00580991" w:rsidP="00BE4661">
      <w:pPr>
        <w:pStyle w:val="FootnoteText"/>
      </w:pPr>
      <w:r>
        <w:rPr>
          <w:rStyle w:val="FootnoteReference"/>
        </w:rPr>
        <w:footnoteRef/>
      </w:r>
      <w:r>
        <w:t xml:space="preserve"> </w:t>
      </w:r>
      <w:r>
        <w:rPr>
          <w:noProof/>
          <w:kern w:val="2"/>
        </w:rPr>
        <w:t>Cartwright, M.E. et al. Phospholipidosis in neurons caused by posaconazole, without evidence for functional neurologic effects.</w:t>
      </w:r>
      <w:r w:rsidRPr="00C34E90">
        <w:rPr>
          <w:noProof/>
          <w:kern w:val="2"/>
        </w:rPr>
        <w:t xml:space="preserve"> </w:t>
      </w:r>
      <w:r w:rsidRPr="005670BA">
        <w:rPr>
          <w:i/>
          <w:noProof/>
          <w:kern w:val="2"/>
        </w:rPr>
        <w:t>Toxicologic Pathology</w:t>
      </w:r>
      <w:r>
        <w:rPr>
          <w:noProof/>
          <w:kern w:val="2"/>
        </w:rPr>
        <w:t xml:space="preserve"> 2009;</w:t>
      </w:r>
      <w:r w:rsidRPr="00C34E90">
        <w:rPr>
          <w:noProof/>
          <w:kern w:val="2"/>
        </w:rPr>
        <w:t xml:space="preserve"> 3</w:t>
      </w:r>
      <w:r>
        <w:rPr>
          <w:noProof/>
          <w:kern w:val="2"/>
        </w:rPr>
        <w:t>7: 902-910.</w:t>
      </w:r>
    </w:p>
  </w:footnote>
  <w:footnote w:id="5">
    <w:p w:rsidR="00580991" w:rsidRDefault="00580991" w:rsidP="00BE4661">
      <w:pPr>
        <w:pStyle w:val="FootnoteText"/>
      </w:pPr>
      <w:r>
        <w:rPr>
          <w:rStyle w:val="FootnoteReference"/>
        </w:rPr>
        <w:footnoteRef/>
      </w:r>
      <w:r>
        <w:t xml:space="preserve"> </w:t>
      </w:r>
      <w:proofErr w:type="spellStart"/>
      <w:r>
        <w:t>Mesens</w:t>
      </w:r>
      <w:proofErr w:type="spellEnd"/>
      <w:r>
        <w:t xml:space="preserve">, N. </w:t>
      </w:r>
      <w:proofErr w:type="spellStart"/>
      <w:r>
        <w:t>Phospholipidosis</w:t>
      </w:r>
      <w:proofErr w:type="spellEnd"/>
      <w:r>
        <w:t xml:space="preserve"> in rats treated with amiodarone: serum biochemistry and whole genome micro-array analysis supporting the lipid traffic jam hypothesis and the subsequent rise of the biomarker B</w:t>
      </w:r>
      <w:r w:rsidRPr="000553EA">
        <w:t xml:space="preserve">MP. </w:t>
      </w:r>
      <w:proofErr w:type="spellStart"/>
      <w:r w:rsidRPr="005670BA">
        <w:rPr>
          <w:i/>
        </w:rPr>
        <w:t>Toxicologic</w:t>
      </w:r>
      <w:proofErr w:type="spellEnd"/>
      <w:r w:rsidRPr="005670BA">
        <w:rPr>
          <w:i/>
        </w:rPr>
        <w:t xml:space="preserve"> Pathology</w:t>
      </w:r>
      <w:r>
        <w:t xml:space="preserve"> 2012;</w:t>
      </w:r>
      <w:r w:rsidRPr="000553EA">
        <w:t xml:space="preserve"> </w:t>
      </w:r>
      <w:r>
        <w:t>40: 491-503.</w:t>
      </w:r>
    </w:p>
  </w:footnote>
  <w:footnote w:id="6">
    <w:p w:rsidR="00580991" w:rsidRPr="000553EA" w:rsidRDefault="00580991" w:rsidP="00BE4661">
      <w:pPr>
        <w:pStyle w:val="FootnoteText"/>
      </w:pPr>
      <w:r>
        <w:rPr>
          <w:rStyle w:val="FootnoteReference"/>
        </w:rPr>
        <w:footnoteRef/>
      </w:r>
      <w:r>
        <w:t xml:space="preserve"> </w:t>
      </w:r>
      <w:r>
        <w:rPr>
          <w:noProof/>
          <w:kern w:val="2"/>
        </w:rPr>
        <w:t>Zambelli, A. et al.</w:t>
      </w:r>
      <w:r w:rsidRPr="000553EA">
        <w:rPr>
          <w:noProof/>
          <w:kern w:val="2"/>
        </w:rPr>
        <w:t xml:space="preserve"> Seizure associated with palonosetron. </w:t>
      </w:r>
      <w:r w:rsidRPr="00DF2B7B">
        <w:rPr>
          <w:i/>
          <w:noProof/>
          <w:kern w:val="2"/>
        </w:rPr>
        <w:t>Support Care Cancer</w:t>
      </w:r>
      <w:r w:rsidRPr="000553EA">
        <w:rPr>
          <w:noProof/>
          <w:kern w:val="2"/>
        </w:rPr>
        <w:t xml:space="preserve"> </w:t>
      </w:r>
      <w:r>
        <w:rPr>
          <w:noProof/>
          <w:kern w:val="2"/>
        </w:rPr>
        <w:t xml:space="preserve">2009; </w:t>
      </w:r>
      <w:r w:rsidRPr="000553EA">
        <w:rPr>
          <w:noProof/>
          <w:kern w:val="2"/>
        </w:rPr>
        <w:t>17: 217.</w:t>
      </w:r>
    </w:p>
  </w:footnote>
  <w:footnote w:id="7">
    <w:p w:rsidR="00580991" w:rsidRDefault="00580991" w:rsidP="00BE4661">
      <w:pPr>
        <w:pStyle w:val="FootnoteText"/>
      </w:pPr>
      <w:r w:rsidRPr="000553EA">
        <w:rPr>
          <w:rStyle w:val="FootnoteReference"/>
        </w:rPr>
        <w:footnoteRef/>
      </w:r>
      <w:r w:rsidRPr="000553EA">
        <w:t xml:space="preserve"> </w:t>
      </w:r>
      <w:r w:rsidRPr="000553EA">
        <w:rPr>
          <w:noProof/>
          <w:kern w:val="2"/>
        </w:rPr>
        <w:t>Park, P-G. et al. Seizure developed after palonosetron intravenous injection during re</w:t>
      </w:r>
      <w:r>
        <w:rPr>
          <w:noProof/>
          <w:kern w:val="2"/>
        </w:rPr>
        <w:t>covery from general anesthesia</w:t>
      </w:r>
      <w:r w:rsidRPr="000553EA">
        <w:rPr>
          <w:noProof/>
          <w:kern w:val="2"/>
        </w:rPr>
        <w:t xml:space="preserve">, A case report. </w:t>
      </w:r>
      <w:r w:rsidRPr="00DF2B7B">
        <w:rPr>
          <w:i/>
          <w:noProof/>
          <w:kern w:val="2"/>
        </w:rPr>
        <w:t>Korean J Anesthesiol</w:t>
      </w:r>
      <w:r w:rsidRPr="000553EA">
        <w:rPr>
          <w:noProof/>
          <w:kern w:val="2"/>
        </w:rPr>
        <w:t>.</w:t>
      </w:r>
      <w:r>
        <w:rPr>
          <w:noProof/>
          <w:kern w:val="2"/>
        </w:rPr>
        <w:t xml:space="preserve"> 2012; 63(2): 173–176.</w:t>
      </w:r>
    </w:p>
  </w:footnote>
  <w:footnote w:id="8">
    <w:p w:rsidR="00580991" w:rsidRPr="0036331C" w:rsidRDefault="00580991" w:rsidP="0036331C">
      <w:pPr>
        <w:spacing w:before="0" w:after="0" w:line="240" w:lineRule="auto"/>
        <w:rPr>
          <w:rStyle w:val="FootnoteTextChar"/>
        </w:rPr>
      </w:pPr>
      <w:r>
        <w:rPr>
          <w:rStyle w:val="FootnoteReference"/>
        </w:rPr>
        <w:footnoteRef/>
      </w:r>
      <w:r>
        <w:t xml:space="preserve"> </w:t>
      </w:r>
      <w:r w:rsidRPr="0036331C">
        <w:rPr>
          <w:rStyle w:val="FootnoteTextChar"/>
        </w:rPr>
        <w:t>Pregnancy Category B2: 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9">
    <w:p w:rsidR="00580991" w:rsidRPr="0036331C" w:rsidRDefault="00580991" w:rsidP="0036331C">
      <w:pPr>
        <w:pStyle w:val="FootnoteText"/>
        <w:rPr>
          <w:lang w:eastAsia="en-AU"/>
        </w:rPr>
      </w:pPr>
      <w:r>
        <w:rPr>
          <w:rStyle w:val="FootnoteReference"/>
        </w:rPr>
        <w:footnoteRef/>
      </w:r>
      <w:r>
        <w:t xml:space="preserve"> </w:t>
      </w:r>
      <w:proofErr w:type="spellStart"/>
      <w:r>
        <w:rPr>
          <w:lang w:val="en-US"/>
        </w:rPr>
        <w:t>Preganacy</w:t>
      </w:r>
      <w:proofErr w:type="spellEnd"/>
      <w:r>
        <w:rPr>
          <w:lang w:val="en-US"/>
        </w:rPr>
        <w:t xml:space="preserve"> Category B1:</w:t>
      </w:r>
      <w:r w:rsidRPr="0036331C">
        <w:t xml:space="preserve"> </w:t>
      </w:r>
      <w:r w:rsidRPr="0036331C">
        <w:rPr>
          <w:lang w:eastAsia="en-AU"/>
        </w:rPr>
        <w:t>Drugs which have been taken by only a limited number of pregnant women and women of childbearing age, without an increase in the frequency of malformation or other direct or indirect harmful effects on the human fetus having been observed.</w:t>
      </w:r>
      <w:r>
        <w:rPr>
          <w:lang w:eastAsia="en-AU"/>
        </w:rPr>
        <w:t xml:space="preserve"> </w:t>
      </w:r>
      <w:r w:rsidRPr="0036331C">
        <w:rPr>
          <w:lang w:eastAsia="en-AU"/>
        </w:rPr>
        <w:t>Studies in animals have not shown evidence of an increased occurrence of fetal damage.</w:t>
      </w:r>
    </w:p>
  </w:footnote>
  <w:footnote w:id="10">
    <w:p w:rsidR="00580991" w:rsidRDefault="00580991" w:rsidP="00C72A00">
      <w:pPr>
        <w:pStyle w:val="FootnoteText"/>
      </w:pPr>
      <w:r>
        <w:rPr>
          <w:rStyle w:val="FootnoteReference"/>
        </w:rPr>
        <w:footnoteRef/>
      </w:r>
      <w:r>
        <w:t xml:space="preserve"> </w:t>
      </w:r>
      <w:r w:rsidRPr="0036331C">
        <w:rPr>
          <w:rStyle w:val="FootnoteTextChar"/>
        </w:rPr>
        <w:t>Pregnancy</w:t>
      </w:r>
      <w:r>
        <w:t xml:space="preserve"> Category B3: Drugs which have been taken by only a limited number of pregnant women and women of childbearing age, without an increase in the frequency of malformation or other direct or indirect harmful effects on the human fetus having been observed.</w:t>
      </w:r>
    </w:p>
    <w:p w:rsidR="00580991" w:rsidRDefault="00580991" w:rsidP="00C72A00">
      <w:pPr>
        <w:pStyle w:val="FootnoteText"/>
      </w:pPr>
      <w:r>
        <w:t>Studies in animals have shown evidence of an increased occurrence of fetal damage, the significance of which is considered uncertain in humans.</w:t>
      </w:r>
    </w:p>
  </w:footnote>
  <w:footnote w:id="11">
    <w:p w:rsidR="00580991" w:rsidRPr="000403F6" w:rsidRDefault="00580991">
      <w:pPr>
        <w:pStyle w:val="FootnoteText"/>
        <w:rPr>
          <w:lang w:val="en-US"/>
        </w:rPr>
      </w:pPr>
      <w:r>
        <w:rPr>
          <w:rStyle w:val="FootnoteReference"/>
        </w:rPr>
        <w:footnoteRef/>
      </w:r>
      <w:r>
        <w:t xml:space="preserve"> </w:t>
      </w:r>
      <w:r w:rsidRPr="00F02C1E">
        <w:t>CPMP/ICH/135/95 Note for Guidance on Good Clinical Practice</w:t>
      </w:r>
    </w:p>
  </w:footnote>
  <w:footnote w:id="12">
    <w:p w:rsidR="00580991" w:rsidRPr="003818B7" w:rsidRDefault="00580991">
      <w:pPr>
        <w:pStyle w:val="FootnoteText"/>
        <w:rPr>
          <w:lang w:val="en-US"/>
        </w:rPr>
      </w:pPr>
      <w:r>
        <w:rPr>
          <w:rStyle w:val="FootnoteReference"/>
        </w:rPr>
        <w:footnoteRef/>
      </w:r>
      <w:r>
        <w:t xml:space="preserve"> </w:t>
      </w:r>
      <w:r w:rsidRPr="00C01898">
        <w:t>CHMP/EWP/185990/06</w:t>
      </w:r>
      <w:r>
        <w:t xml:space="preserve"> </w:t>
      </w:r>
      <w:r w:rsidRPr="00C01898">
        <w:t>Guideline on Reporting the Results of popu</w:t>
      </w:r>
      <w:r>
        <w:t>lation Pharmacokinetic Analyses</w:t>
      </w:r>
    </w:p>
  </w:footnote>
  <w:footnote w:id="13">
    <w:p w:rsidR="00580991" w:rsidRPr="003818B7" w:rsidRDefault="00580991">
      <w:pPr>
        <w:pStyle w:val="FootnoteText"/>
        <w:rPr>
          <w:lang w:val="en-US"/>
        </w:rPr>
      </w:pPr>
      <w:r>
        <w:rPr>
          <w:rStyle w:val="FootnoteReference"/>
        </w:rPr>
        <w:footnoteRef/>
      </w:r>
      <w:r>
        <w:t xml:space="preserve"> </w:t>
      </w:r>
      <w:r w:rsidRPr="005B491A">
        <w:t xml:space="preserve">Shah </w:t>
      </w:r>
      <w:proofErr w:type="gramStart"/>
      <w:r w:rsidRPr="005B491A">
        <w:t>et</w:t>
      </w:r>
      <w:proofErr w:type="gramEnd"/>
      <w:r w:rsidRPr="005B491A">
        <w:t xml:space="preserve">. </w:t>
      </w:r>
      <w:proofErr w:type="gramStart"/>
      <w:r w:rsidRPr="005B491A">
        <w:t>al</w:t>
      </w:r>
      <w:proofErr w:type="gramEnd"/>
      <w:r w:rsidRPr="005B491A">
        <w:t xml:space="preserve">. </w:t>
      </w:r>
      <w:r>
        <w:t xml:space="preserve">Pharmacokinetic evaluation and safety profile of a 15-minute versus 30-second infusion of palonosetron in healthy subjects </w:t>
      </w:r>
      <w:r w:rsidRPr="00680A60">
        <w:rPr>
          <w:i/>
        </w:rPr>
        <w:t xml:space="preserve">J </w:t>
      </w:r>
      <w:proofErr w:type="spellStart"/>
      <w:r w:rsidRPr="00680A60">
        <w:rPr>
          <w:i/>
        </w:rPr>
        <w:t>Clin</w:t>
      </w:r>
      <w:proofErr w:type="spellEnd"/>
      <w:r w:rsidRPr="00680A60">
        <w:rPr>
          <w:i/>
        </w:rPr>
        <w:t xml:space="preserve"> </w:t>
      </w:r>
      <w:proofErr w:type="spellStart"/>
      <w:r w:rsidRPr="00680A60">
        <w:rPr>
          <w:i/>
        </w:rPr>
        <w:t>Pharmacol</w:t>
      </w:r>
      <w:proofErr w:type="spellEnd"/>
      <w:r>
        <w:t xml:space="preserve"> 2006; 46: 1139-1145.</w:t>
      </w:r>
    </w:p>
  </w:footnote>
  <w:footnote w:id="14">
    <w:p w:rsidR="00580991" w:rsidRDefault="00580991" w:rsidP="00B06E3D">
      <w:pPr>
        <w:pStyle w:val="FootnoteText"/>
        <w:rPr>
          <w:i/>
          <w:kern w:val="16"/>
          <w:sz w:val="16"/>
          <w:szCs w:val="16"/>
        </w:rPr>
      </w:pPr>
      <w:r>
        <w:rPr>
          <w:rStyle w:val="FootnoteReference"/>
          <w:i/>
          <w:sz w:val="16"/>
          <w:szCs w:val="16"/>
        </w:rPr>
        <w:footnoteRef/>
      </w:r>
      <w:r>
        <w:rPr>
          <w:i/>
          <w:sz w:val="16"/>
          <w:szCs w:val="16"/>
        </w:rPr>
        <w:t xml:space="preserve"> </w:t>
      </w:r>
      <w:proofErr w:type="gramStart"/>
      <w:r w:rsidRPr="00205F7F">
        <w:rPr>
          <w:sz w:val="16"/>
          <w:szCs w:val="16"/>
        </w:rPr>
        <w:t>defined</w:t>
      </w:r>
      <w:proofErr w:type="gramEnd"/>
      <w:r w:rsidRPr="00205F7F">
        <w:rPr>
          <w:sz w:val="16"/>
          <w:szCs w:val="16"/>
        </w:rPr>
        <w:t xml:space="preserve"> as no emesis and no rescue medication use.</w:t>
      </w:r>
    </w:p>
  </w:footnote>
  <w:footnote w:id="15">
    <w:p w:rsidR="00580991" w:rsidRPr="00027344" w:rsidRDefault="00580991" w:rsidP="00B06E3D">
      <w:pPr>
        <w:pStyle w:val="FootnoteText"/>
        <w:rPr>
          <w:sz w:val="16"/>
          <w:szCs w:val="16"/>
        </w:rPr>
      </w:pPr>
      <w:r>
        <w:rPr>
          <w:rStyle w:val="FootnoteReference"/>
          <w:i/>
          <w:sz w:val="16"/>
          <w:szCs w:val="16"/>
        </w:rPr>
        <w:footnoteRef/>
      </w:r>
      <w:r>
        <w:rPr>
          <w:i/>
          <w:sz w:val="16"/>
          <w:szCs w:val="16"/>
        </w:rPr>
        <w:t xml:space="preserve"> </w:t>
      </w:r>
      <w:r w:rsidRPr="00027344">
        <w:rPr>
          <w:sz w:val="16"/>
          <w:szCs w:val="16"/>
        </w:rPr>
        <w:t>Defined as no emesis, no rescue medication and no significant nausea</w:t>
      </w:r>
    </w:p>
  </w:footnote>
  <w:footnote w:id="16">
    <w:p w:rsidR="00580991" w:rsidRPr="00C952C9" w:rsidRDefault="00580991">
      <w:pPr>
        <w:pStyle w:val="FootnoteText"/>
        <w:rPr>
          <w:lang w:val="en-US"/>
        </w:rPr>
      </w:pPr>
      <w:r>
        <w:rPr>
          <w:rStyle w:val="FootnoteReference"/>
        </w:rPr>
        <w:footnoteRef/>
      </w:r>
      <w:r>
        <w:t xml:space="preserve"> The </w:t>
      </w:r>
      <w:r w:rsidRPr="00C952C9">
        <w:rPr>
          <w:bCs/>
        </w:rPr>
        <w:t>CPK-MB test</w:t>
      </w:r>
      <w:r>
        <w:t xml:space="preserve"> is a </w:t>
      </w:r>
      <w:hyperlink r:id="rId1" w:tooltip="Cardiac marker" w:history="1">
        <w:r w:rsidRPr="00C952C9">
          <w:rPr>
            <w:rStyle w:val="Hyperlink"/>
            <w:color w:val="auto"/>
            <w:u w:val="none"/>
          </w:rPr>
          <w:t>cardiac marker</w:t>
        </w:r>
      </w:hyperlink>
      <w:r w:rsidRPr="00C952C9">
        <w:t xml:space="preserve"> </w:t>
      </w:r>
      <w:r>
        <w:t xml:space="preserve">used to assist diagnoses of an acute </w:t>
      </w:r>
      <w:hyperlink r:id="rId2" w:tooltip="Acute myocardial infarction" w:history="1">
        <w:r w:rsidRPr="00C952C9">
          <w:rPr>
            <w:rStyle w:val="Hyperlink"/>
            <w:color w:val="auto"/>
            <w:u w:val="none"/>
          </w:rPr>
          <w:t>myocardial infarction</w:t>
        </w:r>
      </w:hyperlink>
      <w:r w:rsidRPr="00C952C9">
        <w:t xml:space="preserve">. </w:t>
      </w:r>
      <w:r>
        <w:t>It measures the blood level of CK-MB, the bound combination of two variants (</w:t>
      </w:r>
      <w:r w:rsidRPr="00C952C9">
        <w:t xml:space="preserve">isoenzymes </w:t>
      </w:r>
      <w:hyperlink r:id="rId3" w:tooltip="CKM (gene)" w:history="1">
        <w:r w:rsidRPr="00C952C9">
          <w:rPr>
            <w:rStyle w:val="Hyperlink"/>
            <w:color w:val="auto"/>
            <w:u w:val="none"/>
          </w:rPr>
          <w:t>CKM</w:t>
        </w:r>
      </w:hyperlink>
      <w:r w:rsidRPr="00C952C9">
        <w:t xml:space="preserve"> and </w:t>
      </w:r>
      <w:hyperlink r:id="rId4" w:tooltip="CKB (gene)" w:history="1">
        <w:r w:rsidRPr="00C952C9">
          <w:rPr>
            <w:rStyle w:val="Hyperlink"/>
            <w:color w:val="auto"/>
            <w:u w:val="none"/>
          </w:rPr>
          <w:t>CKB</w:t>
        </w:r>
      </w:hyperlink>
      <w:r w:rsidRPr="00C952C9">
        <w:t xml:space="preserve">) </w:t>
      </w:r>
      <w:r>
        <w:t xml:space="preserve">of the enzyme </w:t>
      </w:r>
      <w:hyperlink r:id="rId5" w:tooltip="Phosphocreatine kinase" w:history="1">
        <w:r w:rsidRPr="00C952C9">
          <w:rPr>
            <w:rStyle w:val="Hyperlink"/>
            <w:color w:val="auto"/>
            <w:u w:val="none"/>
          </w:rPr>
          <w:t>phosphocreatine kinase</w:t>
        </w:r>
      </w:hyperlink>
      <w:r w:rsidRPr="00C952C9">
        <w:t>.</w:t>
      </w:r>
    </w:p>
  </w:footnote>
  <w:footnote w:id="17">
    <w:p w:rsidR="00580991" w:rsidRDefault="00580991" w:rsidP="009B7F80">
      <w:pPr>
        <w:pStyle w:val="FootnoteText"/>
      </w:pPr>
      <w:r>
        <w:rPr>
          <w:rStyle w:val="FootnoteReference"/>
        </w:rPr>
        <w:footnoteRef/>
      </w:r>
      <w:r>
        <w:t xml:space="preserve"> Abramson N and Melton B. </w:t>
      </w:r>
      <w:proofErr w:type="spellStart"/>
      <w:r>
        <w:t>Leukocytosis</w:t>
      </w:r>
      <w:proofErr w:type="spellEnd"/>
      <w:r>
        <w:t xml:space="preserve">: Basics of clinical assessment. </w:t>
      </w:r>
      <w:r w:rsidRPr="009A17E5">
        <w:rPr>
          <w:i/>
        </w:rPr>
        <w:t xml:space="preserve">Am </w:t>
      </w:r>
      <w:proofErr w:type="gramStart"/>
      <w:r w:rsidRPr="009A17E5">
        <w:rPr>
          <w:i/>
        </w:rPr>
        <w:t>Fam</w:t>
      </w:r>
      <w:proofErr w:type="gramEnd"/>
      <w:r w:rsidRPr="009A17E5">
        <w:rPr>
          <w:i/>
        </w:rPr>
        <w:t xml:space="preserve"> Physician</w:t>
      </w:r>
      <w:r>
        <w:t xml:space="preserve">. </w:t>
      </w:r>
      <w:proofErr w:type="gramStart"/>
      <w:r>
        <w:t>2000; 62: 2053-2060.</w:t>
      </w:r>
      <w:proofErr w:type="gramEnd"/>
    </w:p>
  </w:footnote>
  <w:footnote w:id="18">
    <w:p w:rsidR="00580991" w:rsidRDefault="00580991" w:rsidP="009B7F80">
      <w:pPr>
        <w:pStyle w:val="FootnoteText"/>
      </w:pPr>
      <w:r>
        <w:rPr>
          <w:rStyle w:val="FootnoteReference"/>
        </w:rPr>
        <w:footnoteRef/>
      </w:r>
      <w:r>
        <w:t xml:space="preserve"> Nakagawa M et al. Glucocorticoid-Induced </w:t>
      </w:r>
      <w:proofErr w:type="spellStart"/>
      <w:r>
        <w:t>Granulocytosis</w:t>
      </w:r>
      <w:proofErr w:type="spellEnd"/>
      <w:r>
        <w:t xml:space="preserve">. Contribution </w:t>
      </w:r>
      <w:proofErr w:type="gramStart"/>
      <w:r>
        <w:t>Of</w:t>
      </w:r>
      <w:proofErr w:type="gramEnd"/>
      <w:r>
        <w:t xml:space="preserve"> Marrow Release And </w:t>
      </w:r>
      <w:proofErr w:type="spellStart"/>
      <w:r>
        <w:t>Demargination</w:t>
      </w:r>
      <w:proofErr w:type="spellEnd"/>
      <w:r>
        <w:t xml:space="preserve"> Of Intravascular Granulocytes. </w:t>
      </w:r>
      <w:proofErr w:type="gramStart"/>
      <w:r w:rsidRPr="009A17E5">
        <w:rPr>
          <w:i/>
        </w:rPr>
        <w:t>Circulation</w:t>
      </w:r>
      <w:r>
        <w:t xml:space="preserve"> 1998; 98: 2307-2313.</w:t>
      </w:r>
      <w:proofErr w:type="gramEnd"/>
    </w:p>
  </w:footnote>
  <w:footnote w:id="19">
    <w:p w:rsidR="00580991" w:rsidRPr="00A90D0A" w:rsidRDefault="00580991">
      <w:pPr>
        <w:pStyle w:val="FootnoteText"/>
        <w:rPr>
          <w:lang w:val="en-US"/>
        </w:rPr>
      </w:pPr>
      <w:r>
        <w:rPr>
          <w:rStyle w:val="FootnoteReference"/>
        </w:rPr>
        <w:footnoteRef/>
      </w:r>
      <w:r>
        <w:t xml:space="preserve"> </w:t>
      </w:r>
      <w:r w:rsidRPr="00166326">
        <w:rPr>
          <w:sz w:val="20"/>
        </w:rPr>
        <w:t xml:space="preserve">ICH </w:t>
      </w:r>
      <w:proofErr w:type="gramStart"/>
      <w:r w:rsidRPr="00166326">
        <w:rPr>
          <w:sz w:val="20"/>
        </w:rPr>
        <w:t>E7(</w:t>
      </w:r>
      <w:proofErr w:type="gramEnd"/>
      <w:r w:rsidRPr="00166326">
        <w:rPr>
          <w:sz w:val="20"/>
        </w:rPr>
        <w:t>R1): Studies in Support of Special Populations: Geriatrics.</w:t>
      </w:r>
    </w:p>
  </w:footnote>
  <w:footnote w:id="20">
    <w:p w:rsidR="00580991" w:rsidRPr="00DB6405" w:rsidRDefault="00580991">
      <w:pPr>
        <w:pStyle w:val="FootnoteText"/>
      </w:pPr>
      <w:r w:rsidRPr="00DB6405">
        <w:rPr>
          <w:vertAlign w:val="superscript"/>
        </w:rPr>
        <w:footnoteRef/>
      </w:r>
      <w:r>
        <w:t xml:space="preserve"> </w:t>
      </w:r>
      <w:r w:rsidRPr="00DB6405">
        <w:t>http://www.hc-sc.gc.ca/dhp-mps/medeff/advisories-avis/review-examen/serotonin-eng.php</w:t>
      </w:r>
    </w:p>
  </w:footnote>
  <w:footnote w:id="21">
    <w:p w:rsidR="00580991" w:rsidRPr="00DB6405" w:rsidRDefault="00580991">
      <w:pPr>
        <w:pStyle w:val="FootnoteText"/>
      </w:pPr>
      <w:r w:rsidRPr="00DB6405">
        <w:rPr>
          <w:vertAlign w:val="superscript"/>
        </w:rPr>
        <w:footnoteRef/>
      </w:r>
      <w:r>
        <w:t xml:space="preserve"> </w:t>
      </w:r>
      <w:r w:rsidRPr="00DB6405">
        <w:t>http://tga.gov.au/safety/alerts-medicine-serotonin-140922.htm#.VCIx0PmSx8E</w:t>
      </w:r>
    </w:p>
  </w:footnote>
  <w:footnote w:id="22">
    <w:p w:rsidR="00580991" w:rsidRPr="00680A60" w:rsidRDefault="00580991">
      <w:pPr>
        <w:pStyle w:val="FootnoteText"/>
        <w:rPr>
          <w:lang w:val="en-US"/>
        </w:rPr>
      </w:pPr>
      <w:r>
        <w:rPr>
          <w:rStyle w:val="FootnoteReference"/>
        </w:rPr>
        <w:footnoteRef/>
      </w:r>
      <w:r>
        <w:t xml:space="preserve"> The Delegate did not subsequently request for this recommendation to be implemented</w:t>
      </w:r>
    </w:p>
  </w:footnote>
  <w:footnote w:id="23">
    <w:p w:rsidR="00580991" w:rsidRDefault="00580991" w:rsidP="00D848DE">
      <w:pPr>
        <w:pStyle w:val="FootnoteText"/>
      </w:pPr>
      <w:r w:rsidRPr="00D848DE">
        <w:rPr>
          <w:rStyle w:val="FootnoteReference"/>
        </w:rPr>
        <w:footnoteRef/>
      </w:r>
      <w:r w:rsidRPr="00C44A23">
        <w:rPr>
          <w:lang w:val="fr-FR"/>
        </w:rPr>
        <w:t xml:space="preserve"> </w:t>
      </w:r>
      <w:proofErr w:type="spellStart"/>
      <w:r w:rsidRPr="00C44A23">
        <w:rPr>
          <w:lang w:val="fr-FR"/>
        </w:rPr>
        <w:t>Chin-Chen</w:t>
      </w:r>
      <w:proofErr w:type="spellEnd"/>
      <w:r w:rsidRPr="00C44A23">
        <w:rPr>
          <w:lang w:val="fr-FR"/>
        </w:rPr>
        <w:t xml:space="preserve"> Chu et al. </w:t>
      </w:r>
      <w:r w:rsidRPr="00D848DE">
        <w:t>The cellular mechanisms of the antiemetic action of dexamethasone and related glucocorticoids against vomiting</w:t>
      </w:r>
      <w:r>
        <w:t xml:space="preserve">, </w:t>
      </w:r>
      <w:r w:rsidRPr="00F51E23">
        <w:rPr>
          <w:i/>
        </w:rPr>
        <w:t>European Journal of Pharmacology</w:t>
      </w:r>
      <w:r>
        <w:t xml:space="preserve">, </w:t>
      </w:r>
      <w:r w:rsidRPr="00D848DE">
        <w:t>2014</w:t>
      </w:r>
      <w:r>
        <w:t>; 722:48–54.</w:t>
      </w:r>
    </w:p>
  </w:footnote>
  <w:footnote w:id="24">
    <w:p w:rsidR="00580991" w:rsidRPr="004C0905" w:rsidRDefault="00580991" w:rsidP="00D848DE">
      <w:pPr>
        <w:pStyle w:val="FootnoteText"/>
      </w:pPr>
      <w:r>
        <w:rPr>
          <w:rStyle w:val="FootnoteReference"/>
        </w:rPr>
        <w:footnoteRef/>
      </w:r>
      <w:r>
        <w:t xml:space="preserve"> </w:t>
      </w:r>
      <w:proofErr w:type="spellStart"/>
      <w:proofErr w:type="gramStart"/>
      <w:r w:rsidRPr="004C0905">
        <w:t>Czock</w:t>
      </w:r>
      <w:proofErr w:type="spellEnd"/>
      <w:r w:rsidRPr="004C0905">
        <w:t xml:space="preserve"> et al. Pharmacokinetics and Pharmacodynamics of Systemically Administered Glucocorticoids.</w:t>
      </w:r>
      <w:proofErr w:type="gramEnd"/>
      <w:r w:rsidRPr="004C0905">
        <w:t xml:space="preserve"> </w:t>
      </w:r>
      <w:proofErr w:type="spellStart"/>
      <w:r w:rsidRPr="004C0905">
        <w:rPr>
          <w:i/>
        </w:rPr>
        <w:t>Clin</w:t>
      </w:r>
      <w:proofErr w:type="spellEnd"/>
      <w:r w:rsidRPr="004C0905">
        <w:rPr>
          <w:i/>
        </w:rPr>
        <w:t xml:space="preserve"> </w:t>
      </w:r>
      <w:proofErr w:type="spellStart"/>
      <w:r w:rsidRPr="004C0905">
        <w:rPr>
          <w:i/>
        </w:rPr>
        <w:t>Pharmacokinet</w:t>
      </w:r>
      <w:proofErr w:type="spellEnd"/>
      <w:r w:rsidRPr="004C0905">
        <w:t xml:space="preserve"> 2005; 44: 61-98.</w:t>
      </w:r>
    </w:p>
  </w:footnote>
  <w:footnote w:id="25">
    <w:p w:rsidR="00580991" w:rsidRPr="004C0905" w:rsidRDefault="00580991" w:rsidP="00B100BF">
      <w:pPr>
        <w:pStyle w:val="FootnoteText"/>
        <w:rPr>
          <w:rFonts w:cs="Arial"/>
          <w:sz w:val="20"/>
        </w:rPr>
      </w:pPr>
      <w:r w:rsidRPr="004C0905">
        <w:rPr>
          <w:rStyle w:val="FootnoteReference"/>
        </w:rPr>
        <w:footnoteRef/>
      </w:r>
      <w:r w:rsidRPr="004C0905">
        <w:t xml:space="preserve"> http://www.uptodate.com/contents/prevention-and-treatment-of-chemotherapy-induced-nausea-and-vomiting: </w:t>
      </w:r>
      <w:r w:rsidRPr="004C0905">
        <w:rPr>
          <w:rFonts w:cs="Arial"/>
        </w:rPr>
        <w:t xml:space="preserve">The impact of glucocorticoid dose was explored in a double-blind trial that randomly assigned 531 patients receiving </w:t>
      </w:r>
      <w:hyperlink r:id="rId6" w:history="1">
        <w:r w:rsidRPr="004C0905">
          <w:rPr>
            <w:rStyle w:val="Hyperlink"/>
            <w:rFonts w:cs="Arial"/>
            <w:color w:val="auto"/>
            <w:u w:val="none"/>
          </w:rPr>
          <w:t>cisplatin</w:t>
        </w:r>
      </w:hyperlink>
      <w:r w:rsidRPr="004C0905">
        <w:rPr>
          <w:rFonts w:cs="Arial"/>
        </w:rPr>
        <w:t xml:space="preserve"> ≥ 50 </w:t>
      </w:r>
      <w:r w:rsidRPr="004C0905">
        <w:rPr>
          <w:rStyle w:val="nowrap1"/>
          <w:rFonts w:cs="Arial"/>
        </w:rPr>
        <w:t>mg/m</w:t>
      </w:r>
      <w:r w:rsidRPr="004C0905">
        <w:rPr>
          <w:rStyle w:val="nowrap1"/>
          <w:rFonts w:cs="Arial"/>
          <w:vertAlign w:val="superscript"/>
        </w:rPr>
        <w:t>2</w:t>
      </w:r>
      <w:r w:rsidRPr="004C0905">
        <w:rPr>
          <w:rFonts w:cs="Arial"/>
        </w:rPr>
        <w:t xml:space="preserve"> to one of four intravenous doses of </w:t>
      </w:r>
      <w:hyperlink r:id="rId7" w:history="1">
        <w:r w:rsidRPr="004C0905">
          <w:rPr>
            <w:rStyle w:val="Hyperlink"/>
            <w:rFonts w:cs="Arial"/>
            <w:color w:val="auto"/>
            <w:u w:val="none"/>
          </w:rPr>
          <w:t>dexamethasone</w:t>
        </w:r>
      </w:hyperlink>
      <w:r w:rsidRPr="004C0905">
        <w:rPr>
          <w:rFonts w:cs="Arial"/>
        </w:rPr>
        <w:t xml:space="preserve"> administered by a 15 minute infusion prior to cisplatin administration*. All patients received 8 mg of </w:t>
      </w:r>
      <w:hyperlink r:id="rId8" w:history="1">
        <w:r w:rsidRPr="004C0905">
          <w:rPr>
            <w:rStyle w:val="Hyperlink"/>
            <w:rFonts w:cs="Arial"/>
            <w:color w:val="auto"/>
            <w:u w:val="none"/>
          </w:rPr>
          <w:t>ondansetron</w:t>
        </w:r>
      </w:hyperlink>
      <w:r w:rsidRPr="004C0905">
        <w:rPr>
          <w:rFonts w:cs="Arial"/>
        </w:rPr>
        <w:t xml:space="preserve"> as well. At doses of 20, 12, 8, and 4 mg, complete protection from vomiting was achieved in 83, 79, 69, and 69 percent of patients, respectively, and nausea was prevented in 71, 67, 61, and 61 percent.</w:t>
      </w:r>
    </w:p>
    <w:p w:rsidR="00580991" w:rsidRPr="004C0905" w:rsidRDefault="00580991" w:rsidP="00B100BF">
      <w:pPr>
        <w:autoSpaceDE w:val="0"/>
        <w:autoSpaceDN w:val="0"/>
        <w:spacing w:before="0" w:after="0" w:line="240" w:lineRule="auto"/>
        <w:rPr>
          <w:rFonts w:cs="AdvHelNeu-LC"/>
          <w:sz w:val="18"/>
          <w:szCs w:val="18"/>
        </w:rPr>
      </w:pPr>
      <w:r w:rsidRPr="004C0905">
        <w:rPr>
          <w:rFonts w:cs="AdvHelNeu-LC"/>
          <w:sz w:val="18"/>
          <w:szCs w:val="18"/>
        </w:rPr>
        <w:t xml:space="preserve">*Italian Group for Antiemetic Research. </w:t>
      </w:r>
      <w:proofErr w:type="gramStart"/>
      <w:r w:rsidRPr="004C0905">
        <w:rPr>
          <w:rFonts w:cs="AdvHelNeu-LC"/>
          <w:sz w:val="18"/>
          <w:szCs w:val="18"/>
        </w:rPr>
        <w:t>Double-blind, dose-finding study of four intravenous doses of dexamethasone in the prevention of cisplatin-induced acute emesis</w:t>
      </w:r>
      <w:r w:rsidRPr="004C0905">
        <w:rPr>
          <w:rFonts w:cs="AdvHelNeu-LC"/>
          <w:i/>
          <w:sz w:val="18"/>
          <w:szCs w:val="18"/>
        </w:rPr>
        <w:t>.</w:t>
      </w:r>
      <w:proofErr w:type="gramEnd"/>
      <w:r w:rsidRPr="004C0905">
        <w:rPr>
          <w:rFonts w:cs="AdvHelNeu-LC"/>
          <w:i/>
          <w:sz w:val="18"/>
          <w:szCs w:val="18"/>
        </w:rPr>
        <w:t xml:space="preserve"> </w:t>
      </w:r>
      <w:proofErr w:type="gramStart"/>
      <w:r w:rsidRPr="004C0905">
        <w:rPr>
          <w:rFonts w:cs="AdvHelNeu-LC"/>
          <w:i/>
          <w:sz w:val="18"/>
          <w:szCs w:val="18"/>
        </w:rPr>
        <w:t xml:space="preserve">J </w:t>
      </w:r>
      <w:proofErr w:type="spellStart"/>
      <w:r w:rsidRPr="004C0905">
        <w:rPr>
          <w:rFonts w:cs="AdvHelNeu-LC"/>
          <w:i/>
          <w:sz w:val="18"/>
          <w:szCs w:val="18"/>
        </w:rPr>
        <w:t>Clin</w:t>
      </w:r>
      <w:proofErr w:type="spellEnd"/>
      <w:r w:rsidRPr="004C0905">
        <w:rPr>
          <w:rFonts w:cs="AdvHelNeu-LC"/>
          <w:i/>
          <w:sz w:val="18"/>
          <w:szCs w:val="18"/>
        </w:rPr>
        <w:t xml:space="preserve"> </w:t>
      </w:r>
      <w:proofErr w:type="spellStart"/>
      <w:r w:rsidRPr="004C0905">
        <w:rPr>
          <w:rFonts w:cs="AdvHelNeu-LC"/>
          <w:i/>
          <w:sz w:val="18"/>
          <w:szCs w:val="18"/>
        </w:rPr>
        <w:t>Oncol</w:t>
      </w:r>
      <w:proofErr w:type="spellEnd"/>
      <w:r w:rsidRPr="004C0905">
        <w:rPr>
          <w:rFonts w:cs="AdvHelNeu-LC"/>
          <w:sz w:val="18"/>
          <w:szCs w:val="18"/>
        </w:rPr>
        <w:t xml:space="preserve"> 1998; 16: 2937–2942.</w:t>
      </w:r>
      <w:proofErr w:type="gramEnd"/>
    </w:p>
  </w:footnote>
  <w:footnote w:id="26">
    <w:p w:rsidR="00580991" w:rsidRPr="004C0905" w:rsidRDefault="00580991" w:rsidP="00B100BF">
      <w:pPr>
        <w:autoSpaceDE w:val="0"/>
        <w:autoSpaceDN w:val="0"/>
        <w:spacing w:before="0" w:after="0" w:line="240" w:lineRule="auto"/>
        <w:rPr>
          <w:rFonts w:ascii="AdvHelNeu-LC" w:hAnsi="AdvHelNeu-LC" w:cs="AdvHelNeu-LC"/>
          <w:sz w:val="18"/>
          <w:szCs w:val="18"/>
        </w:rPr>
      </w:pPr>
      <w:r w:rsidRPr="004C0905">
        <w:rPr>
          <w:rStyle w:val="FootnoteReference"/>
          <w:sz w:val="18"/>
          <w:szCs w:val="18"/>
        </w:rPr>
        <w:footnoteRef/>
      </w:r>
      <w:r w:rsidRPr="004C0905">
        <w:rPr>
          <w:sz w:val="18"/>
          <w:szCs w:val="18"/>
        </w:rPr>
        <w:t xml:space="preserve"> </w:t>
      </w:r>
      <w:proofErr w:type="gramStart"/>
      <w:r w:rsidRPr="004C0905">
        <w:rPr>
          <w:rFonts w:cs="AdvHelNeu-LC"/>
          <w:sz w:val="18"/>
          <w:szCs w:val="18"/>
        </w:rPr>
        <w:t>Italian Group for Antiemetic Research.</w:t>
      </w:r>
      <w:proofErr w:type="gramEnd"/>
      <w:r w:rsidRPr="004C0905">
        <w:rPr>
          <w:rFonts w:cs="AdvHelNeu-LC"/>
          <w:sz w:val="18"/>
          <w:szCs w:val="18"/>
        </w:rPr>
        <w:t xml:space="preserve"> Random</w:t>
      </w:r>
      <w:r>
        <w:rPr>
          <w:rFonts w:cs="AdvHelNeu-LC"/>
          <w:sz w:val="18"/>
          <w:szCs w:val="18"/>
        </w:rPr>
        <w:t>ise</w:t>
      </w:r>
      <w:r w:rsidRPr="004C0905">
        <w:rPr>
          <w:rFonts w:cs="AdvHelNeu-LC"/>
          <w:sz w:val="18"/>
          <w:szCs w:val="18"/>
        </w:rPr>
        <w:t>d, double-blind, dose-finding study of dexamethasone in preventing acute emesis induced by anthracyclines, carboplatin, or cyclophosphamide</w:t>
      </w:r>
      <w:r w:rsidRPr="004C0905">
        <w:rPr>
          <w:rFonts w:cs="AdvHelNeu-LC"/>
          <w:i/>
          <w:sz w:val="18"/>
          <w:szCs w:val="18"/>
        </w:rPr>
        <w:t xml:space="preserve">. J </w:t>
      </w:r>
      <w:proofErr w:type="spellStart"/>
      <w:r w:rsidRPr="004C0905">
        <w:rPr>
          <w:rFonts w:cs="AdvHelNeu-LC"/>
          <w:i/>
          <w:sz w:val="18"/>
          <w:szCs w:val="18"/>
        </w:rPr>
        <w:t>Clin</w:t>
      </w:r>
      <w:proofErr w:type="spellEnd"/>
      <w:r w:rsidRPr="004C0905">
        <w:rPr>
          <w:rFonts w:cs="AdvHelNeu-LC"/>
          <w:i/>
          <w:sz w:val="18"/>
          <w:szCs w:val="18"/>
        </w:rPr>
        <w:t xml:space="preserve"> </w:t>
      </w:r>
      <w:proofErr w:type="spellStart"/>
      <w:r w:rsidRPr="004C0905">
        <w:rPr>
          <w:rFonts w:cs="AdvHelNeu-LC"/>
          <w:i/>
          <w:sz w:val="18"/>
          <w:szCs w:val="18"/>
        </w:rPr>
        <w:t>Oncol</w:t>
      </w:r>
      <w:proofErr w:type="spellEnd"/>
      <w:r w:rsidRPr="004C0905">
        <w:rPr>
          <w:rFonts w:cs="AdvHelNeu-LC"/>
          <w:sz w:val="18"/>
          <w:szCs w:val="18"/>
        </w:rPr>
        <w:t xml:space="preserve"> 2004; 22: 725–729.</w:t>
      </w:r>
    </w:p>
  </w:footnote>
  <w:footnote w:id="27">
    <w:p w:rsidR="00580991" w:rsidRDefault="00580991" w:rsidP="00B100BF">
      <w:pPr>
        <w:pStyle w:val="FootnoteText"/>
        <w:rPr>
          <w:rFonts w:eastAsia="MS Mincho"/>
          <w:sz w:val="20"/>
          <w:lang w:eastAsia="ja-JP"/>
        </w:rPr>
      </w:pPr>
      <w:r>
        <w:rPr>
          <w:rStyle w:val="FootnoteReference"/>
        </w:rPr>
        <w:footnoteRef/>
      </w:r>
      <w:r>
        <w:t xml:space="preserve"> </w:t>
      </w:r>
      <w:proofErr w:type="spellStart"/>
      <w:r>
        <w:t>Basch</w:t>
      </w:r>
      <w:proofErr w:type="spellEnd"/>
      <w:r>
        <w:t xml:space="preserve"> E et al. </w:t>
      </w:r>
      <w:proofErr w:type="spellStart"/>
      <w:r>
        <w:t>Antiemetics</w:t>
      </w:r>
      <w:proofErr w:type="spellEnd"/>
      <w:r>
        <w:t xml:space="preserve">: American Society of Clinical Oncology clinical practice guideline update. </w:t>
      </w:r>
      <w:r w:rsidRPr="00D75AC9">
        <w:rPr>
          <w:i/>
        </w:rPr>
        <w:t xml:space="preserve">JCO </w:t>
      </w:r>
      <w:r>
        <w:t>2011; 29: 4189</w:t>
      </w:r>
    </w:p>
  </w:footnote>
  <w:footnote w:id="28">
    <w:p w:rsidR="00580991" w:rsidRPr="00D75AC9" w:rsidRDefault="00580991">
      <w:pPr>
        <w:pStyle w:val="FootnoteText"/>
        <w:rPr>
          <w:lang w:val="en-US"/>
        </w:rPr>
      </w:pPr>
      <w:r>
        <w:rPr>
          <w:rStyle w:val="FootnoteReference"/>
        </w:rPr>
        <w:footnoteRef/>
      </w:r>
      <w:r>
        <w:t xml:space="preserve"> </w:t>
      </w:r>
      <w:r>
        <w:rPr>
          <w:lang w:val="en-US"/>
        </w:rPr>
        <w:t>An online service of the Cancer Institute of NSW (Australia)</w:t>
      </w:r>
    </w:p>
  </w:footnote>
  <w:footnote w:id="29">
    <w:p w:rsidR="00580991" w:rsidRDefault="00580991">
      <w:pPr>
        <w:pStyle w:val="FootnoteText"/>
      </w:pPr>
      <w:r>
        <w:rPr>
          <w:rStyle w:val="FootnoteReference"/>
        </w:rPr>
        <w:footnoteRef/>
      </w:r>
      <w:r>
        <w:t xml:space="preserve"> </w:t>
      </w:r>
      <w:proofErr w:type="gramStart"/>
      <w:r>
        <w:t>dos</w:t>
      </w:r>
      <w:proofErr w:type="gramEnd"/>
      <w:r>
        <w:t xml:space="preserve"> Santos et al.: </w:t>
      </w:r>
      <w:r w:rsidRPr="00E56335">
        <w:t>Neurokinin-1 receptor antagonists for chemotherapy-induced nausea and vomiting: a systematic review</w:t>
      </w:r>
      <w:r>
        <w:t xml:space="preserve">, </w:t>
      </w:r>
      <w:r w:rsidRPr="00330B6E">
        <w:rPr>
          <w:i/>
        </w:rPr>
        <w:t>J Natl Cancer Inst.</w:t>
      </w:r>
      <w:r>
        <w:t xml:space="preserve"> 2012; 104</w:t>
      </w:r>
      <w:r w:rsidRPr="00E56335">
        <w:t>:1280-</w:t>
      </w:r>
      <w:r>
        <w:t>12</w:t>
      </w:r>
      <w:r w:rsidRPr="00E56335">
        <w:t>92</w:t>
      </w:r>
      <w:r>
        <w:t>.</w:t>
      </w:r>
    </w:p>
  </w:footnote>
  <w:footnote w:id="30">
    <w:p w:rsidR="00580991" w:rsidRDefault="00580991">
      <w:pPr>
        <w:pStyle w:val="FootnoteText"/>
      </w:pPr>
      <w:r>
        <w:rPr>
          <w:rStyle w:val="FootnoteReference"/>
        </w:rPr>
        <w:footnoteRef/>
      </w:r>
      <w:r>
        <w:t xml:space="preserve"> </w:t>
      </w:r>
      <w:proofErr w:type="gramStart"/>
      <w:r w:rsidRPr="00123301">
        <w:t>Italian Group for Antiemetic Research.</w:t>
      </w:r>
      <w:proofErr w:type="gramEnd"/>
      <w:r w:rsidRPr="00123301">
        <w:rPr>
          <w:rStyle w:val="st1"/>
          <w:rFonts w:ascii="Arial" w:hAnsi="Arial" w:cs="Arial"/>
          <w:color w:val="545454"/>
        </w:rPr>
        <w:t xml:space="preserve"> </w:t>
      </w:r>
      <w:r w:rsidRPr="00123301">
        <w:t>Double</w:t>
      </w:r>
      <w:r>
        <w:t xml:space="preserve">-blind, dose-finding study of four intravenous doses of dexamethasone in the prevention of cisplatin-induced acute emesis J </w:t>
      </w:r>
      <w:proofErr w:type="spellStart"/>
      <w:r>
        <w:t>Clin</w:t>
      </w:r>
      <w:proofErr w:type="spellEnd"/>
      <w:r>
        <w:t xml:space="preserve"> </w:t>
      </w:r>
      <w:proofErr w:type="spellStart"/>
      <w:r>
        <w:t>Oncol</w:t>
      </w:r>
      <w:proofErr w:type="spellEnd"/>
      <w:r>
        <w:t xml:space="preserve"> 1998; 16: 2937-2942</w:t>
      </w:r>
    </w:p>
  </w:footnote>
  <w:footnote w:id="31">
    <w:p w:rsidR="00580991" w:rsidRPr="002C45CB" w:rsidRDefault="00580991" w:rsidP="009C19FF">
      <w:pPr>
        <w:pStyle w:val="FootnoteText"/>
        <w:rPr>
          <w:lang w:val="it-CH"/>
        </w:rPr>
      </w:pPr>
      <w:r>
        <w:rPr>
          <w:rStyle w:val="FootnoteReference"/>
        </w:rPr>
        <w:footnoteRef/>
      </w:r>
      <w:proofErr w:type="spellStart"/>
      <w:r>
        <w:t>Aapro</w:t>
      </w:r>
      <w:proofErr w:type="spellEnd"/>
      <w:r>
        <w:t xml:space="preserve"> M, et al. Double-blind, randomised, controlled study of the efficacy and tolerability of palonosetron plus dexamethasone for 1 day with or without dexamethasone on days 2 and 3 in the prevention of nausea and vomiting induced by moderately emetogenic chemotherapy. </w:t>
      </w:r>
      <w:r w:rsidRPr="00680A60">
        <w:rPr>
          <w:i/>
          <w:lang w:val="it-CH"/>
        </w:rPr>
        <w:t>Ann Oncol</w:t>
      </w:r>
      <w:r w:rsidRPr="002C45CB">
        <w:rPr>
          <w:lang w:val="it-CH"/>
        </w:rPr>
        <w:t>. 2010; 21:1083-</w:t>
      </w:r>
      <w:r>
        <w:rPr>
          <w:lang w:val="it-CH"/>
        </w:rPr>
        <w:t>108</w:t>
      </w:r>
      <w:r w:rsidRPr="002C45CB">
        <w:rPr>
          <w:lang w:val="it-CH"/>
        </w:rPr>
        <w:t>8.</w:t>
      </w:r>
    </w:p>
  </w:footnote>
  <w:footnote w:id="32">
    <w:p w:rsidR="00580991" w:rsidRDefault="00580991" w:rsidP="009C19FF">
      <w:pPr>
        <w:pStyle w:val="FootnoteText"/>
      </w:pPr>
      <w:r>
        <w:rPr>
          <w:rStyle w:val="FootnoteReference"/>
        </w:rPr>
        <w:footnoteRef/>
      </w:r>
      <w:r w:rsidRPr="002C45CB">
        <w:rPr>
          <w:lang w:val="it-CH"/>
        </w:rPr>
        <w:t xml:space="preserve"> Celio L, </w:t>
      </w:r>
      <w:r>
        <w:rPr>
          <w:lang w:val="it-CH"/>
        </w:rPr>
        <w:t>et al</w:t>
      </w:r>
      <w:r w:rsidRPr="002C45CB">
        <w:rPr>
          <w:lang w:val="it-CH"/>
        </w:rPr>
        <w:t xml:space="preserve"> Italian Trials in Medical Oncology Group. </w:t>
      </w:r>
      <w:r>
        <w:t xml:space="preserve">Palonosetron in combination with 1-day versus 3-day dexamethasone for prevention of nausea and vomiting following moderately emetogenic chemotherapy: a randomised, </w:t>
      </w:r>
      <w:proofErr w:type="spellStart"/>
      <w:r>
        <w:t>multicenter</w:t>
      </w:r>
      <w:proofErr w:type="spellEnd"/>
      <w:r>
        <w:t xml:space="preserve">, phase III trial. </w:t>
      </w:r>
      <w:r w:rsidRPr="00680A60">
        <w:rPr>
          <w:i/>
        </w:rPr>
        <w:t>Support Care Cancer</w:t>
      </w:r>
      <w:r>
        <w:t xml:space="preserve">. </w:t>
      </w:r>
      <w:proofErr w:type="gramStart"/>
      <w:r>
        <w:t>2011; 19:1217-1225.</w:t>
      </w:r>
      <w:proofErr w:type="gramEnd"/>
    </w:p>
  </w:footnote>
  <w:footnote w:id="33">
    <w:p w:rsidR="00580991" w:rsidRPr="006D0A2F" w:rsidRDefault="00580991" w:rsidP="006D0A2F">
      <w:pPr>
        <w:pStyle w:val="FootnoteText"/>
      </w:pPr>
      <w:r w:rsidRPr="00AB09E3">
        <w:rPr>
          <w:vertAlign w:val="superscript"/>
        </w:rPr>
        <w:footnoteRef/>
      </w:r>
      <w:r w:rsidRPr="006D0A2F">
        <w:t xml:space="preserve"> </w:t>
      </w:r>
      <w:proofErr w:type="spellStart"/>
      <w:r w:rsidRPr="00AB09E3">
        <w:t>Hesketh</w:t>
      </w:r>
      <w:proofErr w:type="spellEnd"/>
      <w:r w:rsidRPr="00AB09E3">
        <w:t xml:space="preserve"> P. et al, The Oral Neurokinin-1 Antagonist Aprepitant for the Prevention of Chemotherapy-Induced Nausea and Vomiting: A Multinational, Randomized, Double-Blind, Placebo-Controlled Trial in Patients Receiving High-Dose</w:t>
      </w:r>
      <w:r w:rsidRPr="00AB09E3">
        <w:rPr>
          <w:lang w:eastAsia="en-AU"/>
        </w:rPr>
        <w:t xml:space="preserve"> Cisplatin—The</w:t>
      </w:r>
      <w:r w:rsidRPr="00AB09E3">
        <w:t xml:space="preserve"> Aprepitant Protocol 052 Study Group. </w:t>
      </w:r>
      <w:r w:rsidRPr="00AB09E3">
        <w:rPr>
          <w:i/>
        </w:rPr>
        <w:t>JCO</w:t>
      </w:r>
      <w:r w:rsidRPr="00AB09E3">
        <w:t xml:space="preserve"> 2003; 21</w:t>
      </w:r>
      <w:r>
        <w:t>: 4112-4119.</w:t>
      </w:r>
    </w:p>
  </w:footnote>
  <w:footnote w:id="34">
    <w:p w:rsidR="00580991" w:rsidRPr="00AB09E3" w:rsidRDefault="00580991">
      <w:pPr>
        <w:pStyle w:val="FootnoteText"/>
        <w:rPr>
          <w:lang w:val="en-US"/>
        </w:rPr>
      </w:pPr>
      <w:r>
        <w:rPr>
          <w:rStyle w:val="FootnoteReference"/>
        </w:rPr>
        <w:footnoteRef/>
      </w:r>
      <w:r>
        <w:t xml:space="preserve"> </w:t>
      </w:r>
      <w:r w:rsidRPr="00AB09E3">
        <w:rPr>
          <w:lang w:val="fr-FR"/>
        </w:rPr>
        <w:t xml:space="preserve">Poli </w:t>
      </w:r>
      <w:proofErr w:type="spellStart"/>
      <w:r w:rsidRPr="00AB09E3">
        <w:rPr>
          <w:lang w:val="fr-FR"/>
        </w:rPr>
        <w:t>Bigelli</w:t>
      </w:r>
      <w:proofErr w:type="spellEnd"/>
      <w:r w:rsidRPr="00AB09E3">
        <w:rPr>
          <w:lang w:val="fr-FR"/>
        </w:rPr>
        <w:t xml:space="preserve"> S. et al</w:t>
      </w:r>
      <w:r w:rsidRPr="00AB09E3">
        <w:t xml:space="preserve">Addition of the neurokinin 1 receptor antagonist aprepitant to standard antiemetic therapy improves control of chemotherapy-induced nausea and vomiting. Results from a randomized, double-blind, placebo-controlled trial in Latin America. </w:t>
      </w:r>
      <w:r w:rsidRPr="00AB09E3">
        <w:rPr>
          <w:lang w:val="fr-FR"/>
        </w:rPr>
        <w:t xml:space="preserve">, </w:t>
      </w:r>
      <w:r w:rsidRPr="00AB09E3">
        <w:rPr>
          <w:i/>
          <w:lang w:val="fr-FR"/>
        </w:rPr>
        <w:t>Cancer</w:t>
      </w:r>
      <w:r w:rsidRPr="00AB09E3">
        <w:rPr>
          <w:lang w:val="fr-FR"/>
        </w:rPr>
        <w:t xml:space="preserve"> 2003; 97 : 3090-3098</w:t>
      </w:r>
    </w:p>
  </w:footnote>
  <w:footnote w:id="35">
    <w:p w:rsidR="00580991" w:rsidRPr="00AB09E3" w:rsidRDefault="00580991">
      <w:pPr>
        <w:pStyle w:val="FootnoteText"/>
        <w:rPr>
          <w:lang w:val="en-US"/>
        </w:rPr>
      </w:pPr>
      <w:r>
        <w:rPr>
          <w:rStyle w:val="FootnoteReference"/>
        </w:rPr>
        <w:footnoteRef/>
      </w:r>
      <w:r>
        <w:t xml:space="preserve"> </w:t>
      </w:r>
      <w:proofErr w:type="spellStart"/>
      <w:r w:rsidRPr="00DB6405">
        <w:rPr>
          <w:lang w:val="fr-FR"/>
        </w:rPr>
        <w:t>Warr</w:t>
      </w:r>
      <w:proofErr w:type="spellEnd"/>
      <w:r w:rsidRPr="00DB6405">
        <w:rPr>
          <w:lang w:val="fr-FR"/>
        </w:rPr>
        <w:t xml:space="preserve"> D. et al. </w:t>
      </w:r>
      <w:r w:rsidRPr="00DB6405">
        <w:rPr>
          <w:rFonts w:ascii="Noto Sans" w:hAnsi="Noto Sans"/>
          <w:lang w:val="en"/>
        </w:rPr>
        <w:t xml:space="preserve">Efficacy and Tolerability of Aprepitant for the Prevention of Chemotherapy-Induced Nausea and Vomiting in Patients </w:t>
      </w:r>
      <w:proofErr w:type="gramStart"/>
      <w:r w:rsidRPr="00DB6405">
        <w:rPr>
          <w:rFonts w:ascii="Noto Sans" w:hAnsi="Noto Sans"/>
          <w:lang w:val="en"/>
        </w:rPr>
        <w:t>With</w:t>
      </w:r>
      <w:proofErr w:type="gramEnd"/>
      <w:r w:rsidRPr="00DB6405">
        <w:rPr>
          <w:rFonts w:ascii="Noto Sans" w:hAnsi="Noto Sans"/>
          <w:lang w:val="en"/>
        </w:rPr>
        <w:t xml:space="preserve"> Breast Cancer After Moderately Emetogenic Chemotherapy. </w:t>
      </w:r>
      <w:r w:rsidRPr="00DB6405">
        <w:rPr>
          <w:i/>
          <w:lang w:val="fr-FR"/>
        </w:rPr>
        <w:t>JCO</w:t>
      </w:r>
      <w:r w:rsidRPr="00DB6405">
        <w:rPr>
          <w:lang w:val="fr-FR"/>
        </w:rPr>
        <w:t xml:space="preserve"> 2005;23: 2822-2830</w:t>
      </w:r>
      <w:r>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E7738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-1151255</wp:posOffset>
          </wp:positionH>
          <wp:positionV relativeFrom="paragraph">
            <wp:posOffset>-589915</wp:posOffset>
          </wp:positionV>
          <wp:extent cx="7671435" cy="10793730"/>
          <wp:effectExtent l="0" t="0" r="5715" b="7620"/>
          <wp:wrapNone/>
          <wp:docPr id="1" name="Picture 0" descr="Description: 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l="1677" t="1025" r="1840"/>
                  <a:stretch>
                    <a:fillRect/>
                  </a:stretch>
                </pic:blipFill>
                <pic:spPr bwMode="auto">
                  <a:xfrm>
                    <a:off x="0" y="0"/>
                    <a:ext cx="7671435" cy="10793730"/>
                  </a:xfrm>
                  <a:prstGeom prst="rect">
                    <a:avLst/>
                  </a:prstGeom>
                  <a:noFill/>
                </pic:spPr>
              </pic:pic>
            </a:graphicData>
          </a:graphic>
          <wp14:sizeRelH relativeFrom="page">
            <wp14:pctWidth>0</wp14:pctWidth>
          </wp14:sizeRelH>
          <wp14:sizeRelV relativeFrom="page">
            <wp14:pctHeight>0</wp14:pctHeight>
          </wp14:sizeRelV>
        </wp:anchor>
      </w:drawing>
    </w:r>
  </w:p>
  <w:p w:rsidR="00580991" w:rsidRDefault="00E77382" w:rsidP="00593AD1">
    <w:pPr>
      <w:pStyle w:val="HeaderNoLine"/>
    </w:pPr>
    <w:r>
      <w:rPr>
        <w:noProof/>
        <w:lang w:eastAsia="en-AU"/>
      </w:rPr>
      <w:drawing>
        <wp:inline distT="0" distB="0" distL="0" distR="0">
          <wp:extent cx="5403215" cy="7635875"/>
          <wp:effectExtent l="0" t="0" r="6985" b="3175"/>
          <wp:docPr id="44" name="Picture 22" descr="Description: 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215" cy="763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91" w:rsidRDefault="00580991" w:rsidP="006E08B3">
    <w:r>
      <w:t>Therapeutic Goods Administration</w:t>
    </w:r>
  </w:p>
  <w:p w:rsidR="00580991" w:rsidRDefault="0058099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007C62"/>
    <w:lvl w:ilvl="0">
      <w:start w:val="1"/>
      <w:numFmt w:val="decimal"/>
      <w:lvlText w:val="%1."/>
      <w:lvlJc w:val="left"/>
      <w:pPr>
        <w:tabs>
          <w:tab w:val="num" w:pos="1492"/>
        </w:tabs>
        <w:ind w:left="1492" w:hanging="360"/>
      </w:pPr>
    </w:lvl>
  </w:abstractNum>
  <w:abstractNum w:abstractNumId="1">
    <w:nsid w:val="FFFFFF7D"/>
    <w:multiLevelType w:val="singleLevel"/>
    <w:tmpl w:val="8B64FE16"/>
    <w:lvl w:ilvl="0">
      <w:start w:val="1"/>
      <w:numFmt w:val="decimal"/>
      <w:lvlText w:val="%1."/>
      <w:lvlJc w:val="left"/>
      <w:pPr>
        <w:tabs>
          <w:tab w:val="num" w:pos="1209"/>
        </w:tabs>
        <w:ind w:left="1209" w:hanging="360"/>
      </w:pPr>
    </w:lvl>
  </w:abstractNum>
  <w:abstractNum w:abstractNumId="2">
    <w:nsid w:val="FFFFFF7E"/>
    <w:multiLevelType w:val="singleLevel"/>
    <w:tmpl w:val="1E58607C"/>
    <w:lvl w:ilvl="0">
      <w:start w:val="1"/>
      <w:numFmt w:val="decimal"/>
      <w:lvlText w:val="%1."/>
      <w:lvlJc w:val="left"/>
      <w:pPr>
        <w:tabs>
          <w:tab w:val="num" w:pos="926"/>
        </w:tabs>
        <w:ind w:left="926" w:hanging="360"/>
      </w:pPr>
    </w:lvl>
  </w:abstractNum>
  <w:abstractNum w:abstractNumId="3">
    <w:nsid w:val="FFFFFF7F"/>
    <w:multiLevelType w:val="singleLevel"/>
    <w:tmpl w:val="0DB09CBE"/>
    <w:lvl w:ilvl="0">
      <w:start w:val="1"/>
      <w:numFmt w:val="decimal"/>
      <w:lvlText w:val="%1."/>
      <w:lvlJc w:val="left"/>
      <w:pPr>
        <w:tabs>
          <w:tab w:val="num" w:pos="643"/>
        </w:tabs>
        <w:ind w:left="643" w:hanging="360"/>
      </w:pPr>
    </w:lvl>
  </w:abstractNum>
  <w:abstractNum w:abstractNumId="4">
    <w:nsid w:val="FFFFFF80"/>
    <w:multiLevelType w:val="singleLevel"/>
    <w:tmpl w:val="97D663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B6E5E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FD880F2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134"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24935A2"/>
    <w:multiLevelType w:val="hybridMultilevel"/>
    <w:tmpl w:val="E9808EB2"/>
    <w:lvl w:ilvl="0" w:tplc="38F8D8C8">
      <w:numFmt w:val="bullet"/>
      <w:lvlText w:val="-"/>
      <w:lvlJc w:val="left"/>
      <w:pPr>
        <w:ind w:left="360" w:hanging="36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A8473C8"/>
    <w:multiLevelType w:val="hybridMultilevel"/>
    <w:tmpl w:val="22CC3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BCF57AC"/>
    <w:multiLevelType w:val="hybridMultilevel"/>
    <w:tmpl w:val="79F2A5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0031F29"/>
    <w:multiLevelType w:val="hybridMultilevel"/>
    <w:tmpl w:val="B9FEDD6C"/>
    <w:lvl w:ilvl="0" w:tplc="69600D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8">
    <w:nsid w:val="3AC02909"/>
    <w:multiLevelType w:val="hybridMultilevel"/>
    <w:tmpl w:val="13A26A30"/>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9">
    <w:nsid w:val="40595B0A"/>
    <w:multiLevelType w:val="hybridMultilevel"/>
    <w:tmpl w:val="01FC8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nsid w:val="4DD10104"/>
    <w:multiLevelType w:val="hybridMultilevel"/>
    <w:tmpl w:val="44665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4F3723CD"/>
    <w:multiLevelType w:val="hybridMultilevel"/>
    <w:tmpl w:val="35DCC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5246E5"/>
    <w:multiLevelType w:val="hybridMultilevel"/>
    <w:tmpl w:val="DE422B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0"/>
  </w:num>
  <w:num w:numId="29">
    <w:abstractNumId w:val="17"/>
  </w:num>
  <w:num w:numId="30">
    <w:abstractNumId w:val="1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2"/>
  </w:num>
  <w:num w:numId="36">
    <w:abstractNumId w:val="12"/>
  </w:num>
  <w:num w:numId="37">
    <w:abstractNumId w:val="21"/>
  </w:num>
  <w:num w:numId="38">
    <w:abstractNumId w:val="16"/>
  </w:num>
  <w:num w:numId="39">
    <w:abstractNumId w:val="23"/>
  </w:num>
  <w:num w:numId="40">
    <w:abstractNumId w:val="22"/>
  </w:num>
  <w:num w:numId="41">
    <w:abstractNumId w:val="14"/>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61"/>
    <w:rsid w:val="00002031"/>
    <w:rsid w:val="00002D8D"/>
    <w:rsid w:val="00004734"/>
    <w:rsid w:val="00006B22"/>
    <w:rsid w:val="0001276A"/>
    <w:rsid w:val="000246AE"/>
    <w:rsid w:val="00025C67"/>
    <w:rsid w:val="00027344"/>
    <w:rsid w:val="000366DF"/>
    <w:rsid w:val="00036968"/>
    <w:rsid w:val="000403F6"/>
    <w:rsid w:val="00042035"/>
    <w:rsid w:val="00043792"/>
    <w:rsid w:val="00043C72"/>
    <w:rsid w:val="00044772"/>
    <w:rsid w:val="000474B0"/>
    <w:rsid w:val="000553EA"/>
    <w:rsid w:val="0005559E"/>
    <w:rsid w:val="000567CB"/>
    <w:rsid w:val="000604D6"/>
    <w:rsid w:val="00065667"/>
    <w:rsid w:val="000734D8"/>
    <w:rsid w:val="00077775"/>
    <w:rsid w:val="000821A0"/>
    <w:rsid w:val="00086870"/>
    <w:rsid w:val="00090471"/>
    <w:rsid w:val="00096AA7"/>
    <w:rsid w:val="000A3133"/>
    <w:rsid w:val="000A3AED"/>
    <w:rsid w:val="000B1EBE"/>
    <w:rsid w:val="000B3532"/>
    <w:rsid w:val="000B3A75"/>
    <w:rsid w:val="000B5CEE"/>
    <w:rsid w:val="000C00C2"/>
    <w:rsid w:val="000C31A3"/>
    <w:rsid w:val="000C690F"/>
    <w:rsid w:val="000D1295"/>
    <w:rsid w:val="000D1F34"/>
    <w:rsid w:val="000D391B"/>
    <w:rsid w:val="000D3D6D"/>
    <w:rsid w:val="000D4FC7"/>
    <w:rsid w:val="000E6196"/>
    <w:rsid w:val="000F3694"/>
    <w:rsid w:val="000F4869"/>
    <w:rsid w:val="000F5B42"/>
    <w:rsid w:val="000F6E6F"/>
    <w:rsid w:val="0010601F"/>
    <w:rsid w:val="0010788A"/>
    <w:rsid w:val="00107A31"/>
    <w:rsid w:val="00110EA5"/>
    <w:rsid w:val="001129FF"/>
    <w:rsid w:val="00112F56"/>
    <w:rsid w:val="00117784"/>
    <w:rsid w:val="00123301"/>
    <w:rsid w:val="00125318"/>
    <w:rsid w:val="00125DF4"/>
    <w:rsid w:val="001305A2"/>
    <w:rsid w:val="00133238"/>
    <w:rsid w:val="00133A1B"/>
    <w:rsid w:val="001351A1"/>
    <w:rsid w:val="001361F4"/>
    <w:rsid w:val="00136800"/>
    <w:rsid w:val="0014197B"/>
    <w:rsid w:val="00142571"/>
    <w:rsid w:val="00142EBA"/>
    <w:rsid w:val="001447CD"/>
    <w:rsid w:val="0014520E"/>
    <w:rsid w:val="0014758F"/>
    <w:rsid w:val="001516B1"/>
    <w:rsid w:val="00154EBB"/>
    <w:rsid w:val="0015524A"/>
    <w:rsid w:val="00156316"/>
    <w:rsid w:val="0016080C"/>
    <w:rsid w:val="00160BCE"/>
    <w:rsid w:val="00161181"/>
    <w:rsid w:val="00162D14"/>
    <w:rsid w:val="00164C3D"/>
    <w:rsid w:val="00165389"/>
    <w:rsid w:val="00166326"/>
    <w:rsid w:val="001767F1"/>
    <w:rsid w:val="0017693F"/>
    <w:rsid w:val="0018110E"/>
    <w:rsid w:val="00181684"/>
    <w:rsid w:val="00182A05"/>
    <w:rsid w:val="001843C6"/>
    <w:rsid w:val="001850E0"/>
    <w:rsid w:val="0018634D"/>
    <w:rsid w:val="001A0E6A"/>
    <w:rsid w:val="001A10C2"/>
    <w:rsid w:val="001A2158"/>
    <w:rsid w:val="001A525F"/>
    <w:rsid w:val="001B09F9"/>
    <w:rsid w:val="001B5C90"/>
    <w:rsid w:val="001B6448"/>
    <w:rsid w:val="001C32CD"/>
    <w:rsid w:val="001D05DD"/>
    <w:rsid w:val="001D15FE"/>
    <w:rsid w:val="001D21D0"/>
    <w:rsid w:val="001D2984"/>
    <w:rsid w:val="001D3D06"/>
    <w:rsid w:val="001D506D"/>
    <w:rsid w:val="001E07CF"/>
    <w:rsid w:val="001E2377"/>
    <w:rsid w:val="001E59F1"/>
    <w:rsid w:val="001E6120"/>
    <w:rsid w:val="001E695A"/>
    <w:rsid w:val="001F2CEE"/>
    <w:rsid w:val="001F49EB"/>
    <w:rsid w:val="001F6CBA"/>
    <w:rsid w:val="00201D4E"/>
    <w:rsid w:val="00205F7F"/>
    <w:rsid w:val="002076C9"/>
    <w:rsid w:val="00207D84"/>
    <w:rsid w:val="002128C4"/>
    <w:rsid w:val="00220B8A"/>
    <w:rsid w:val="00225281"/>
    <w:rsid w:val="002257F3"/>
    <w:rsid w:val="0022738F"/>
    <w:rsid w:val="00233456"/>
    <w:rsid w:val="002339A5"/>
    <w:rsid w:val="0024267B"/>
    <w:rsid w:val="0024420A"/>
    <w:rsid w:val="00245279"/>
    <w:rsid w:val="00256A33"/>
    <w:rsid w:val="00257848"/>
    <w:rsid w:val="00262C56"/>
    <w:rsid w:val="0027084A"/>
    <w:rsid w:val="00273F92"/>
    <w:rsid w:val="0028078F"/>
    <w:rsid w:val="00282817"/>
    <w:rsid w:val="00286434"/>
    <w:rsid w:val="00286C59"/>
    <w:rsid w:val="00291957"/>
    <w:rsid w:val="002942D1"/>
    <w:rsid w:val="0029501A"/>
    <w:rsid w:val="0029567A"/>
    <w:rsid w:val="002A2211"/>
    <w:rsid w:val="002A3721"/>
    <w:rsid w:val="002B1638"/>
    <w:rsid w:val="002B2B31"/>
    <w:rsid w:val="002B3624"/>
    <w:rsid w:val="002C1E2E"/>
    <w:rsid w:val="002C3187"/>
    <w:rsid w:val="002C45CB"/>
    <w:rsid w:val="002D0952"/>
    <w:rsid w:val="002D0EB6"/>
    <w:rsid w:val="002D3239"/>
    <w:rsid w:val="002E40B3"/>
    <w:rsid w:val="002E4C9A"/>
    <w:rsid w:val="002F11F8"/>
    <w:rsid w:val="002F3F56"/>
    <w:rsid w:val="002F44B5"/>
    <w:rsid w:val="003004FE"/>
    <w:rsid w:val="00303E1E"/>
    <w:rsid w:val="00311AC0"/>
    <w:rsid w:val="003149C0"/>
    <w:rsid w:val="00323BEB"/>
    <w:rsid w:val="00324E8F"/>
    <w:rsid w:val="0032583B"/>
    <w:rsid w:val="00327883"/>
    <w:rsid w:val="00327C3D"/>
    <w:rsid w:val="00330B6E"/>
    <w:rsid w:val="003322D9"/>
    <w:rsid w:val="00332ED5"/>
    <w:rsid w:val="00335504"/>
    <w:rsid w:val="0033623E"/>
    <w:rsid w:val="00340C18"/>
    <w:rsid w:val="003442FD"/>
    <w:rsid w:val="00344EBB"/>
    <w:rsid w:val="00345E00"/>
    <w:rsid w:val="00347824"/>
    <w:rsid w:val="00350567"/>
    <w:rsid w:val="003521E8"/>
    <w:rsid w:val="0035257D"/>
    <w:rsid w:val="00357DC7"/>
    <w:rsid w:val="0036331C"/>
    <w:rsid w:val="0036657B"/>
    <w:rsid w:val="003677A1"/>
    <w:rsid w:val="00370CE3"/>
    <w:rsid w:val="00372155"/>
    <w:rsid w:val="003728F3"/>
    <w:rsid w:val="0037496E"/>
    <w:rsid w:val="003802E6"/>
    <w:rsid w:val="003818B7"/>
    <w:rsid w:val="00383221"/>
    <w:rsid w:val="00386150"/>
    <w:rsid w:val="003874CE"/>
    <w:rsid w:val="0038764D"/>
    <w:rsid w:val="00390900"/>
    <w:rsid w:val="00391399"/>
    <w:rsid w:val="00391AAA"/>
    <w:rsid w:val="0039233B"/>
    <w:rsid w:val="003949D9"/>
    <w:rsid w:val="003A1738"/>
    <w:rsid w:val="003A2531"/>
    <w:rsid w:val="003A3562"/>
    <w:rsid w:val="003A581C"/>
    <w:rsid w:val="003A7F6C"/>
    <w:rsid w:val="003B4D60"/>
    <w:rsid w:val="003B7E39"/>
    <w:rsid w:val="003C1128"/>
    <w:rsid w:val="003C47FA"/>
    <w:rsid w:val="003C58DC"/>
    <w:rsid w:val="003D1E62"/>
    <w:rsid w:val="003D47EF"/>
    <w:rsid w:val="003E0B99"/>
    <w:rsid w:val="003E2486"/>
    <w:rsid w:val="003E3208"/>
    <w:rsid w:val="003F0B04"/>
    <w:rsid w:val="0040134E"/>
    <w:rsid w:val="00401656"/>
    <w:rsid w:val="004021C4"/>
    <w:rsid w:val="00402D8B"/>
    <w:rsid w:val="004035E1"/>
    <w:rsid w:val="00412D73"/>
    <w:rsid w:val="00413AD0"/>
    <w:rsid w:val="0042179D"/>
    <w:rsid w:val="00422777"/>
    <w:rsid w:val="00424823"/>
    <w:rsid w:val="00424B91"/>
    <w:rsid w:val="00431926"/>
    <w:rsid w:val="004334C7"/>
    <w:rsid w:val="00440A2D"/>
    <w:rsid w:val="00441C3F"/>
    <w:rsid w:val="00454043"/>
    <w:rsid w:val="0045631A"/>
    <w:rsid w:val="004564A7"/>
    <w:rsid w:val="004576B4"/>
    <w:rsid w:val="00461026"/>
    <w:rsid w:val="00461639"/>
    <w:rsid w:val="004617BF"/>
    <w:rsid w:val="004633C5"/>
    <w:rsid w:val="00463658"/>
    <w:rsid w:val="004637A0"/>
    <w:rsid w:val="00471C25"/>
    <w:rsid w:val="004722CC"/>
    <w:rsid w:val="004736A6"/>
    <w:rsid w:val="00477427"/>
    <w:rsid w:val="0047784B"/>
    <w:rsid w:val="00481487"/>
    <w:rsid w:val="00481A62"/>
    <w:rsid w:val="004936E4"/>
    <w:rsid w:val="00494E60"/>
    <w:rsid w:val="00496397"/>
    <w:rsid w:val="00497487"/>
    <w:rsid w:val="004A0EAA"/>
    <w:rsid w:val="004A2E2E"/>
    <w:rsid w:val="004A3580"/>
    <w:rsid w:val="004A3AAA"/>
    <w:rsid w:val="004A44A5"/>
    <w:rsid w:val="004A4666"/>
    <w:rsid w:val="004A5002"/>
    <w:rsid w:val="004A6189"/>
    <w:rsid w:val="004A7390"/>
    <w:rsid w:val="004B00B1"/>
    <w:rsid w:val="004B59CF"/>
    <w:rsid w:val="004B70D8"/>
    <w:rsid w:val="004B7B76"/>
    <w:rsid w:val="004C07F5"/>
    <w:rsid w:val="004C0905"/>
    <w:rsid w:val="004C239D"/>
    <w:rsid w:val="004C2DCA"/>
    <w:rsid w:val="004C61D2"/>
    <w:rsid w:val="004C6FE0"/>
    <w:rsid w:val="004D209E"/>
    <w:rsid w:val="004D5BD9"/>
    <w:rsid w:val="004F0C4A"/>
    <w:rsid w:val="004F0F38"/>
    <w:rsid w:val="004F41BA"/>
    <w:rsid w:val="004F47D6"/>
    <w:rsid w:val="004F7DD3"/>
    <w:rsid w:val="00500236"/>
    <w:rsid w:val="00501041"/>
    <w:rsid w:val="00501921"/>
    <w:rsid w:val="0050351C"/>
    <w:rsid w:val="00506775"/>
    <w:rsid w:val="00520DB8"/>
    <w:rsid w:val="00530354"/>
    <w:rsid w:val="0053625B"/>
    <w:rsid w:val="005434C6"/>
    <w:rsid w:val="00543B39"/>
    <w:rsid w:val="00546154"/>
    <w:rsid w:val="00546211"/>
    <w:rsid w:val="00550096"/>
    <w:rsid w:val="00555280"/>
    <w:rsid w:val="00557FF9"/>
    <w:rsid w:val="00562327"/>
    <w:rsid w:val="00566CC2"/>
    <w:rsid w:val="005670BA"/>
    <w:rsid w:val="005711D5"/>
    <w:rsid w:val="005742F7"/>
    <w:rsid w:val="00576378"/>
    <w:rsid w:val="00577130"/>
    <w:rsid w:val="00577945"/>
    <w:rsid w:val="00577E38"/>
    <w:rsid w:val="00580991"/>
    <w:rsid w:val="00580FF7"/>
    <w:rsid w:val="00581720"/>
    <w:rsid w:val="00585322"/>
    <w:rsid w:val="005857C6"/>
    <w:rsid w:val="00592F6E"/>
    <w:rsid w:val="00593AD1"/>
    <w:rsid w:val="005A4269"/>
    <w:rsid w:val="005A68B6"/>
    <w:rsid w:val="005B2EAC"/>
    <w:rsid w:val="005B491A"/>
    <w:rsid w:val="005B5204"/>
    <w:rsid w:val="005B6459"/>
    <w:rsid w:val="005C229C"/>
    <w:rsid w:val="005C5570"/>
    <w:rsid w:val="005C79A4"/>
    <w:rsid w:val="005C79B4"/>
    <w:rsid w:val="005D2F04"/>
    <w:rsid w:val="005D5442"/>
    <w:rsid w:val="005E283E"/>
    <w:rsid w:val="005E32E4"/>
    <w:rsid w:val="005E5186"/>
    <w:rsid w:val="005E59C8"/>
    <w:rsid w:val="005F2D4D"/>
    <w:rsid w:val="005F4AC5"/>
    <w:rsid w:val="005F7FE0"/>
    <w:rsid w:val="00603F32"/>
    <w:rsid w:val="006043A8"/>
    <w:rsid w:val="00605AD4"/>
    <w:rsid w:val="006109AF"/>
    <w:rsid w:val="0061227D"/>
    <w:rsid w:val="00622EAC"/>
    <w:rsid w:val="00625A6E"/>
    <w:rsid w:val="00626B7F"/>
    <w:rsid w:val="00632137"/>
    <w:rsid w:val="00632398"/>
    <w:rsid w:val="00634C11"/>
    <w:rsid w:val="00640FC3"/>
    <w:rsid w:val="00642020"/>
    <w:rsid w:val="00642839"/>
    <w:rsid w:val="0065322D"/>
    <w:rsid w:val="0065337B"/>
    <w:rsid w:val="0065419D"/>
    <w:rsid w:val="006547E0"/>
    <w:rsid w:val="006604D8"/>
    <w:rsid w:val="00660F61"/>
    <w:rsid w:val="00664A5B"/>
    <w:rsid w:val="0066735C"/>
    <w:rsid w:val="00673027"/>
    <w:rsid w:val="0067312A"/>
    <w:rsid w:val="0067494A"/>
    <w:rsid w:val="00675389"/>
    <w:rsid w:val="006763D2"/>
    <w:rsid w:val="00680A60"/>
    <w:rsid w:val="00680C08"/>
    <w:rsid w:val="00691119"/>
    <w:rsid w:val="006916A0"/>
    <w:rsid w:val="006931B1"/>
    <w:rsid w:val="00696AEB"/>
    <w:rsid w:val="006A0D8A"/>
    <w:rsid w:val="006A1178"/>
    <w:rsid w:val="006A15C0"/>
    <w:rsid w:val="006A4FB8"/>
    <w:rsid w:val="006A5B9B"/>
    <w:rsid w:val="006A6099"/>
    <w:rsid w:val="006A6C35"/>
    <w:rsid w:val="006B5934"/>
    <w:rsid w:val="006C0C01"/>
    <w:rsid w:val="006C0DF6"/>
    <w:rsid w:val="006C1D53"/>
    <w:rsid w:val="006C3E2A"/>
    <w:rsid w:val="006C642F"/>
    <w:rsid w:val="006D03E5"/>
    <w:rsid w:val="006D071B"/>
    <w:rsid w:val="006D0A2F"/>
    <w:rsid w:val="006D5D3E"/>
    <w:rsid w:val="006E08B3"/>
    <w:rsid w:val="006E640F"/>
    <w:rsid w:val="006E6CE1"/>
    <w:rsid w:val="006F17AC"/>
    <w:rsid w:val="006F25B8"/>
    <w:rsid w:val="006F572E"/>
    <w:rsid w:val="007041CC"/>
    <w:rsid w:val="007046D6"/>
    <w:rsid w:val="00704A17"/>
    <w:rsid w:val="00705DB0"/>
    <w:rsid w:val="00713BEE"/>
    <w:rsid w:val="00717EB6"/>
    <w:rsid w:val="00722B57"/>
    <w:rsid w:val="00727538"/>
    <w:rsid w:val="00730F8A"/>
    <w:rsid w:val="00735A8C"/>
    <w:rsid w:val="0074253D"/>
    <w:rsid w:val="00742B5D"/>
    <w:rsid w:val="0074429B"/>
    <w:rsid w:val="00746ADA"/>
    <w:rsid w:val="0074709C"/>
    <w:rsid w:val="00747202"/>
    <w:rsid w:val="007615BC"/>
    <w:rsid w:val="00762F05"/>
    <w:rsid w:val="00764D2D"/>
    <w:rsid w:val="007652FF"/>
    <w:rsid w:val="00770CAC"/>
    <w:rsid w:val="00770EF1"/>
    <w:rsid w:val="00773EF7"/>
    <w:rsid w:val="00774E1D"/>
    <w:rsid w:val="007765D8"/>
    <w:rsid w:val="007766C0"/>
    <w:rsid w:val="0077675A"/>
    <w:rsid w:val="00780355"/>
    <w:rsid w:val="007819FD"/>
    <w:rsid w:val="00782699"/>
    <w:rsid w:val="0078548B"/>
    <w:rsid w:val="00785717"/>
    <w:rsid w:val="00785721"/>
    <w:rsid w:val="00791AE3"/>
    <w:rsid w:val="00793477"/>
    <w:rsid w:val="00793A59"/>
    <w:rsid w:val="0079492A"/>
    <w:rsid w:val="00797447"/>
    <w:rsid w:val="007A0228"/>
    <w:rsid w:val="007A4A48"/>
    <w:rsid w:val="007A52E2"/>
    <w:rsid w:val="007A7951"/>
    <w:rsid w:val="007B6132"/>
    <w:rsid w:val="007B6E9F"/>
    <w:rsid w:val="007C1216"/>
    <w:rsid w:val="007C1AF7"/>
    <w:rsid w:val="007C6B9B"/>
    <w:rsid w:val="007D2E91"/>
    <w:rsid w:val="007D30AA"/>
    <w:rsid w:val="007E0844"/>
    <w:rsid w:val="007E30F5"/>
    <w:rsid w:val="007E520B"/>
    <w:rsid w:val="007F0438"/>
    <w:rsid w:val="007F248A"/>
    <w:rsid w:val="00802EEF"/>
    <w:rsid w:val="00805214"/>
    <w:rsid w:val="00805D27"/>
    <w:rsid w:val="00805FC3"/>
    <w:rsid w:val="00806DCB"/>
    <w:rsid w:val="008078A7"/>
    <w:rsid w:val="00814AF2"/>
    <w:rsid w:val="00815BB5"/>
    <w:rsid w:val="0082008C"/>
    <w:rsid w:val="00821776"/>
    <w:rsid w:val="008223E4"/>
    <w:rsid w:val="00823AF2"/>
    <w:rsid w:val="008321F5"/>
    <w:rsid w:val="00832369"/>
    <w:rsid w:val="00834660"/>
    <w:rsid w:val="00835038"/>
    <w:rsid w:val="00836187"/>
    <w:rsid w:val="00836BC2"/>
    <w:rsid w:val="0085156D"/>
    <w:rsid w:val="0085641B"/>
    <w:rsid w:val="00857136"/>
    <w:rsid w:val="00861B2A"/>
    <w:rsid w:val="00881DF1"/>
    <w:rsid w:val="00884DCC"/>
    <w:rsid w:val="00885B11"/>
    <w:rsid w:val="00886B33"/>
    <w:rsid w:val="00886D15"/>
    <w:rsid w:val="00887DD8"/>
    <w:rsid w:val="008914E3"/>
    <w:rsid w:val="00891BA9"/>
    <w:rsid w:val="00896018"/>
    <w:rsid w:val="008960DD"/>
    <w:rsid w:val="0089635C"/>
    <w:rsid w:val="008A0FE1"/>
    <w:rsid w:val="008A2B9D"/>
    <w:rsid w:val="008A3D9F"/>
    <w:rsid w:val="008A5E0B"/>
    <w:rsid w:val="008A6D59"/>
    <w:rsid w:val="008B4B03"/>
    <w:rsid w:val="008B596F"/>
    <w:rsid w:val="008C159F"/>
    <w:rsid w:val="008C1623"/>
    <w:rsid w:val="008C1850"/>
    <w:rsid w:val="008C51A9"/>
    <w:rsid w:val="008C72F4"/>
    <w:rsid w:val="008D4079"/>
    <w:rsid w:val="008D5592"/>
    <w:rsid w:val="008E5259"/>
    <w:rsid w:val="008E7846"/>
    <w:rsid w:val="008F02E5"/>
    <w:rsid w:val="008F1AE9"/>
    <w:rsid w:val="008F1CCC"/>
    <w:rsid w:val="008F2967"/>
    <w:rsid w:val="008F6943"/>
    <w:rsid w:val="00902A21"/>
    <w:rsid w:val="0091024D"/>
    <w:rsid w:val="009115BA"/>
    <w:rsid w:val="0091586C"/>
    <w:rsid w:val="00920330"/>
    <w:rsid w:val="009219D7"/>
    <w:rsid w:val="00922D53"/>
    <w:rsid w:val="00923B70"/>
    <w:rsid w:val="00924482"/>
    <w:rsid w:val="00925E7F"/>
    <w:rsid w:val="00930237"/>
    <w:rsid w:val="00930867"/>
    <w:rsid w:val="00934FBF"/>
    <w:rsid w:val="00937C17"/>
    <w:rsid w:val="00940171"/>
    <w:rsid w:val="00940A89"/>
    <w:rsid w:val="009420FC"/>
    <w:rsid w:val="00943FC6"/>
    <w:rsid w:val="00946EA5"/>
    <w:rsid w:val="00950A6D"/>
    <w:rsid w:val="009516FC"/>
    <w:rsid w:val="00957BD6"/>
    <w:rsid w:val="00963C08"/>
    <w:rsid w:val="0096573F"/>
    <w:rsid w:val="00970727"/>
    <w:rsid w:val="009752A5"/>
    <w:rsid w:val="0098585A"/>
    <w:rsid w:val="009A08DC"/>
    <w:rsid w:val="009A17E5"/>
    <w:rsid w:val="009A2E11"/>
    <w:rsid w:val="009A4CED"/>
    <w:rsid w:val="009A4DFE"/>
    <w:rsid w:val="009A5EC8"/>
    <w:rsid w:val="009A690D"/>
    <w:rsid w:val="009B02FF"/>
    <w:rsid w:val="009B0BDB"/>
    <w:rsid w:val="009B1D12"/>
    <w:rsid w:val="009B416B"/>
    <w:rsid w:val="009B7F80"/>
    <w:rsid w:val="009C19FF"/>
    <w:rsid w:val="009C3A49"/>
    <w:rsid w:val="009C3F47"/>
    <w:rsid w:val="009C4BD5"/>
    <w:rsid w:val="009D1973"/>
    <w:rsid w:val="009D2751"/>
    <w:rsid w:val="009D7B77"/>
    <w:rsid w:val="009E0BB0"/>
    <w:rsid w:val="009E3FBB"/>
    <w:rsid w:val="009F43A2"/>
    <w:rsid w:val="009F44A1"/>
    <w:rsid w:val="009F7353"/>
    <w:rsid w:val="00A04F85"/>
    <w:rsid w:val="00A05FA4"/>
    <w:rsid w:val="00A07FE5"/>
    <w:rsid w:val="00A102E4"/>
    <w:rsid w:val="00A10679"/>
    <w:rsid w:val="00A12C42"/>
    <w:rsid w:val="00A14DF7"/>
    <w:rsid w:val="00A154D7"/>
    <w:rsid w:val="00A2420D"/>
    <w:rsid w:val="00A3246D"/>
    <w:rsid w:val="00A35516"/>
    <w:rsid w:val="00A36FA7"/>
    <w:rsid w:val="00A41A3E"/>
    <w:rsid w:val="00A44DDB"/>
    <w:rsid w:val="00A460EA"/>
    <w:rsid w:val="00A47416"/>
    <w:rsid w:val="00A475B7"/>
    <w:rsid w:val="00A47AF7"/>
    <w:rsid w:val="00A47C3E"/>
    <w:rsid w:val="00A50226"/>
    <w:rsid w:val="00A51EE9"/>
    <w:rsid w:val="00A53E58"/>
    <w:rsid w:val="00A53EA0"/>
    <w:rsid w:val="00A543AE"/>
    <w:rsid w:val="00A60BAD"/>
    <w:rsid w:val="00A66B1F"/>
    <w:rsid w:val="00A72929"/>
    <w:rsid w:val="00A7385B"/>
    <w:rsid w:val="00A7766F"/>
    <w:rsid w:val="00A80B5B"/>
    <w:rsid w:val="00A824E7"/>
    <w:rsid w:val="00A84E36"/>
    <w:rsid w:val="00A8544C"/>
    <w:rsid w:val="00A90D0A"/>
    <w:rsid w:val="00A91604"/>
    <w:rsid w:val="00A9498A"/>
    <w:rsid w:val="00A964D1"/>
    <w:rsid w:val="00AA04DA"/>
    <w:rsid w:val="00AA0ED0"/>
    <w:rsid w:val="00AA120C"/>
    <w:rsid w:val="00AA4302"/>
    <w:rsid w:val="00AB09E3"/>
    <w:rsid w:val="00AC2B40"/>
    <w:rsid w:val="00AC2BB2"/>
    <w:rsid w:val="00AC2C3C"/>
    <w:rsid w:val="00AC4457"/>
    <w:rsid w:val="00AC512D"/>
    <w:rsid w:val="00AD0083"/>
    <w:rsid w:val="00AD05DE"/>
    <w:rsid w:val="00AD2251"/>
    <w:rsid w:val="00AD3935"/>
    <w:rsid w:val="00AD6AF2"/>
    <w:rsid w:val="00AE418B"/>
    <w:rsid w:val="00AE65EB"/>
    <w:rsid w:val="00AE67A7"/>
    <w:rsid w:val="00AF1D94"/>
    <w:rsid w:val="00AF48A5"/>
    <w:rsid w:val="00AF534E"/>
    <w:rsid w:val="00AF60C5"/>
    <w:rsid w:val="00B009C6"/>
    <w:rsid w:val="00B01548"/>
    <w:rsid w:val="00B06E3D"/>
    <w:rsid w:val="00B07F9C"/>
    <w:rsid w:val="00B100BF"/>
    <w:rsid w:val="00B10A0D"/>
    <w:rsid w:val="00B111D7"/>
    <w:rsid w:val="00B134E3"/>
    <w:rsid w:val="00B13EBD"/>
    <w:rsid w:val="00B14A9D"/>
    <w:rsid w:val="00B202B7"/>
    <w:rsid w:val="00B21D29"/>
    <w:rsid w:val="00B23CCE"/>
    <w:rsid w:val="00B24B3B"/>
    <w:rsid w:val="00B25034"/>
    <w:rsid w:val="00B3214A"/>
    <w:rsid w:val="00B33588"/>
    <w:rsid w:val="00B33863"/>
    <w:rsid w:val="00B342FE"/>
    <w:rsid w:val="00B361E8"/>
    <w:rsid w:val="00B37D17"/>
    <w:rsid w:val="00B4175E"/>
    <w:rsid w:val="00B452CE"/>
    <w:rsid w:val="00B54C25"/>
    <w:rsid w:val="00B57A66"/>
    <w:rsid w:val="00B6225F"/>
    <w:rsid w:val="00B67F7F"/>
    <w:rsid w:val="00B765DE"/>
    <w:rsid w:val="00B76B91"/>
    <w:rsid w:val="00B77EB1"/>
    <w:rsid w:val="00B811C6"/>
    <w:rsid w:val="00B855B0"/>
    <w:rsid w:val="00B91FCA"/>
    <w:rsid w:val="00B92E08"/>
    <w:rsid w:val="00B94D33"/>
    <w:rsid w:val="00B965B5"/>
    <w:rsid w:val="00BA5918"/>
    <w:rsid w:val="00BC622A"/>
    <w:rsid w:val="00BC6BC4"/>
    <w:rsid w:val="00BD6934"/>
    <w:rsid w:val="00BE0A78"/>
    <w:rsid w:val="00BE4661"/>
    <w:rsid w:val="00BE5699"/>
    <w:rsid w:val="00BE79F0"/>
    <w:rsid w:val="00BF046D"/>
    <w:rsid w:val="00BF1190"/>
    <w:rsid w:val="00BF11AF"/>
    <w:rsid w:val="00BF26D1"/>
    <w:rsid w:val="00BF47AF"/>
    <w:rsid w:val="00BF5D04"/>
    <w:rsid w:val="00BF76E4"/>
    <w:rsid w:val="00C009AA"/>
    <w:rsid w:val="00C01898"/>
    <w:rsid w:val="00C02473"/>
    <w:rsid w:val="00C03646"/>
    <w:rsid w:val="00C05B17"/>
    <w:rsid w:val="00C1164D"/>
    <w:rsid w:val="00C16861"/>
    <w:rsid w:val="00C23E8F"/>
    <w:rsid w:val="00C247D2"/>
    <w:rsid w:val="00C247EB"/>
    <w:rsid w:val="00C25AE0"/>
    <w:rsid w:val="00C346AB"/>
    <w:rsid w:val="00C34E90"/>
    <w:rsid w:val="00C35723"/>
    <w:rsid w:val="00C404A6"/>
    <w:rsid w:val="00C40A36"/>
    <w:rsid w:val="00C44419"/>
    <w:rsid w:val="00C44A23"/>
    <w:rsid w:val="00C45E7B"/>
    <w:rsid w:val="00C471B1"/>
    <w:rsid w:val="00C51742"/>
    <w:rsid w:val="00C6316B"/>
    <w:rsid w:val="00C634A9"/>
    <w:rsid w:val="00C64586"/>
    <w:rsid w:val="00C70D53"/>
    <w:rsid w:val="00C72A00"/>
    <w:rsid w:val="00C73D0B"/>
    <w:rsid w:val="00C772FF"/>
    <w:rsid w:val="00C80137"/>
    <w:rsid w:val="00C801AF"/>
    <w:rsid w:val="00C80256"/>
    <w:rsid w:val="00C85AEE"/>
    <w:rsid w:val="00C94CD4"/>
    <w:rsid w:val="00C952C9"/>
    <w:rsid w:val="00C9747E"/>
    <w:rsid w:val="00CB3A9E"/>
    <w:rsid w:val="00CB6BC0"/>
    <w:rsid w:val="00CB74A9"/>
    <w:rsid w:val="00CC1B7C"/>
    <w:rsid w:val="00CC400D"/>
    <w:rsid w:val="00CC724B"/>
    <w:rsid w:val="00CC727F"/>
    <w:rsid w:val="00CC7F2C"/>
    <w:rsid w:val="00CD38DB"/>
    <w:rsid w:val="00CD484A"/>
    <w:rsid w:val="00CD5B32"/>
    <w:rsid w:val="00CE0692"/>
    <w:rsid w:val="00CE4F19"/>
    <w:rsid w:val="00CF15C3"/>
    <w:rsid w:val="00CF2B6F"/>
    <w:rsid w:val="00CF2F3E"/>
    <w:rsid w:val="00CF58B6"/>
    <w:rsid w:val="00CF5BF9"/>
    <w:rsid w:val="00D0062D"/>
    <w:rsid w:val="00D017ED"/>
    <w:rsid w:val="00D040D3"/>
    <w:rsid w:val="00D04C65"/>
    <w:rsid w:val="00D13C20"/>
    <w:rsid w:val="00D145F4"/>
    <w:rsid w:val="00D201D2"/>
    <w:rsid w:val="00D224FE"/>
    <w:rsid w:val="00D23139"/>
    <w:rsid w:val="00D26EA3"/>
    <w:rsid w:val="00D27FC0"/>
    <w:rsid w:val="00D31F4E"/>
    <w:rsid w:val="00D337D2"/>
    <w:rsid w:val="00D357B2"/>
    <w:rsid w:val="00D37B27"/>
    <w:rsid w:val="00D37E09"/>
    <w:rsid w:val="00D425BB"/>
    <w:rsid w:val="00D4356D"/>
    <w:rsid w:val="00D57988"/>
    <w:rsid w:val="00D613EF"/>
    <w:rsid w:val="00D6493E"/>
    <w:rsid w:val="00D64C5F"/>
    <w:rsid w:val="00D7195D"/>
    <w:rsid w:val="00D7301E"/>
    <w:rsid w:val="00D75AC9"/>
    <w:rsid w:val="00D76481"/>
    <w:rsid w:val="00D81B67"/>
    <w:rsid w:val="00D83AE1"/>
    <w:rsid w:val="00D83F96"/>
    <w:rsid w:val="00D844D2"/>
    <w:rsid w:val="00D848DE"/>
    <w:rsid w:val="00D855D4"/>
    <w:rsid w:val="00D86DE4"/>
    <w:rsid w:val="00D902C9"/>
    <w:rsid w:val="00D93466"/>
    <w:rsid w:val="00DA1124"/>
    <w:rsid w:val="00DA1171"/>
    <w:rsid w:val="00DA16A7"/>
    <w:rsid w:val="00DB1044"/>
    <w:rsid w:val="00DB1BF1"/>
    <w:rsid w:val="00DB58EC"/>
    <w:rsid w:val="00DB6124"/>
    <w:rsid w:val="00DB6405"/>
    <w:rsid w:val="00DB6CC4"/>
    <w:rsid w:val="00DB750B"/>
    <w:rsid w:val="00DB75B7"/>
    <w:rsid w:val="00DB788D"/>
    <w:rsid w:val="00DC6B23"/>
    <w:rsid w:val="00DC6E02"/>
    <w:rsid w:val="00DC7180"/>
    <w:rsid w:val="00DD28CD"/>
    <w:rsid w:val="00DD2C7E"/>
    <w:rsid w:val="00DD5690"/>
    <w:rsid w:val="00DE02AE"/>
    <w:rsid w:val="00DE0B33"/>
    <w:rsid w:val="00DE1229"/>
    <w:rsid w:val="00DE277D"/>
    <w:rsid w:val="00DF1D7F"/>
    <w:rsid w:val="00DF2B7B"/>
    <w:rsid w:val="00DF4BE4"/>
    <w:rsid w:val="00DF720C"/>
    <w:rsid w:val="00E02FB4"/>
    <w:rsid w:val="00E13FC7"/>
    <w:rsid w:val="00E20571"/>
    <w:rsid w:val="00E235F7"/>
    <w:rsid w:val="00E23659"/>
    <w:rsid w:val="00E239D4"/>
    <w:rsid w:val="00E26130"/>
    <w:rsid w:val="00E31465"/>
    <w:rsid w:val="00E32F7F"/>
    <w:rsid w:val="00E40B22"/>
    <w:rsid w:val="00E4432D"/>
    <w:rsid w:val="00E44ED1"/>
    <w:rsid w:val="00E45619"/>
    <w:rsid w:val="00E4588F"/>
    <w:rsid w:val="00E46DA3"/>
    <w:rsid w:val="00E50309"/>
    <w:rsid w:val="00E51BB1"/>
    <w:rsid w:val="00E5254A"/>
    <w:rsid w:val="00E53F32"/>
    <w:rsid w:val="00E56335"/>
    <w:rsid w:val="00E56F6E"/>
    <w:rsid w:val="00E624A5"/>
    <w:rsid w:val="00E64BA4"/>
    <w:rsid w:val="00E70AFE"/>
    <w:rsid w:val="00E7344E"/>
    <w:rsid w:val="00E7463E"/>
    <w:rsid w:val="00E756BE"/>
    <w:rsid w:val="00E7664A"/>
    <w:rsid w:val="00E77382"/>
    <w:rsid w:val="00E810D6"/>
    <w:rsid w:val="00E82665"/>
    <w:rsid w:val="00E863F9"/>
    <w:rsid w:val="00E86C86"/>
    <w:rsid w:val="00E96281"/>
    <w:rsid w:val="00EA0905"/>
    <w:rsid w:val="00EA5F9B"/>
    <w:rsid w:val="00EB044F"/>
    <w:rsid w:val="00EB0798"/>
    <w:rsid w:val="00EB29D2"/>
    <w:rsid w:val="00EB40AD"/>
    <w:rsid w:val="00EB586E"/>
    <w:rsid w:val="00EB5B18"/>
    <w:rsid w:val="00EB5FC8"/>
    <w:rsid w:val="00EB7D7A"/>
    <w:rsid w:val="00EC463D"/>
    <w:rsid w:val="00EC7A85"/>
    <w:rsid w:val="00ED2922"/>
    <w:rsid w:val="00ED3CAD"/>
    <w:rsid w:val="00ED5A41"/>
    <w:rsid w:val="00EE1DE8"/>
    <w:rsid w:val="00EE2313"/>
    <w:rsid w:val="00EE27C2"/>
    <w:rsid w:val="00EF3E9E"/>
    <w:rsid w:val="00EF4537"/>
    <w:rsid w:val="00EF4BAD"/>
    <w:rsid w:val="00F025E8"/>
    <w:rsid w:val="00F02C1E"/>
    <w:rsid w:val="00F02D10"/>
    <w:rsid w:val="00F033EC"/>
    <w:rsid w:val="00F04F68"/>
    <w:rsid w:val="00F10C1A"/>
    <w:rsid w:val="00F12670"/>
    <w:rsid w:val="00F142D4"/>
    <w:rsid w:val="00F14B27"/>
    <w:rsid w:val="00F17241"/>
    <w:rsid w:val="00F239E2"/>
    <w:rsid w:val="00F257E7"/>
    <w:rsid w:val="00F302ED"/>
    <w:rsid w:val="00F3148D"/>
    <w:rsid w:val="00F31E8E"/>
    <w:rsid w:val="00F325C5"/>
    <w:rsid w:val="00F32FE0"/>
    <w:rsid w:val="00F33189"/>
    <w:rsid w:val="00F35298"/>
    <w:rsid w:val="00F47333"/>
    <w:rsid w:val="00F47E37"/>
    <w:rsid w:val="00F51E23"/>
    <w:rsid w:val="00F5364C"/>
    <w:rsid w:val="00F53C07"/>
    <w:rsid w:val="00F543DA"/>
    <w:rsid w:val="00F54B65"/>
    <w:rsid w:val="00F62028"/>
    <w:rsid w:val="00F640B6"/>
    <w:rsid w:val="00F66DF2"/>
    <w:rsid w:val="00F71C1F"/>
    <w:rsid w:val="00F73758"/>
    <w:rsid w:val="00F73FE3"/>
    <w:rsid w:val="00F7502A"/>
    <w:rsid w:val="00F80565"/>
    <w:rsid w:val="00F80E40"/>
    <w:rsid w:val="00F8351B"/>
    <w:rsid w:val="00F848D9"/>
    <w:rsid w:val="00F87773"/>
    <w:rsid w:val="00F90198"/>
    <w:rsid w:val="00F938DE"/>
    <w:rsid w:val="00F93A87"/>
    <w:rsid w:val="00FA1B25"/>
    <w:rsid w:val="00FA4D02"/>
    <w:rsid w:val="00FA4F2F"/>
    <w:rsid w:val="00FA5B82"/>
    <w:rsid w:val="00FA639E"/>
    <w:rsid w:val="00FC1FCA"/>
    <w:rsid w:val="00FC25E4"/>
    <w:rsid w:val="00FC4EF7"/>
    <w:rsid w:val="00FC5751"/>
    <w:rsid w:val="00FC7166"/>
    <w:rsid w:val="00FD0824"/>
    <w:rsid w:val="00FD119B"/>
    <w:rsid w:val="00FD18DA"/>
    <w:rsid w:val="00FD1EDC"/>
    <w:rsid w:val="00FD455E"/>
    <w:rsid w:val="00FE1DEE"/>
    <w:rsid w:val="00FE756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uiPriority w:val="1"/>
    <w:qFormat/>
    <w:rsid w:val="005E518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qFormat/>
    <w:rsid w:val="00B06E3D"/>
    <w:pPr>
      <w:keepNext/>
      <w:keepLines/>
      <w:spacing w:before="200" w:after="0"/>
      <w:outlineLvl w:val="7"/>
    </w:pPr>
    <w:rPr>
      <w:rFonts w:ascii="Arial" w:eastAsia="PMingLiU" w:hAnsi="Arial"/>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770CAC"/>
    <w:rPr>
      <w:rFonts w:ascii="Cambria" w:eastAsia="Times New Roman" w:hAnsi="Cambria" w:cs="Times New Roman"/>
      <w:bCs/>
      <w:sz w:val="20"/>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MediumGrid3-Accent2">
    <w:name w:val="Medium Grid 3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Shading1-Accent6">
    <w:name w:val="Medium Shading 1 Accent 6"/>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ind w:left="1276"/>
    </w:pPr>
  </w:style>
  <w:style w:type="numbering" w:customStyle="1" w:styleId="NumberBullet">
    <w:name w:val="NumberBullet"/>
    <w:uiPriority w:val="99"/>
    <w:locked/>
    <w:rsid w:val="00F3148D"/>
    <w:pPr>
      <w:numPr>
        <w:numId w:val="8"/>
      </w:numPr>
    </w:pPr>
  </w:style>
  <w:style w:type="character" w:customStyle="1" w:styleId="MediumGrid11">
    <w:name w:val="Medium Grid 11"/>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Symbol" w:hAnsi="Symbol"/>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Symbol" w:hAnsi="Symbol"/>
        <w:b/>
        <w:color w:val="FFFFFF"/>
        <w:sz w:val="22"/>
      </w:rPr>
      <w:tblPr/>
      <w:tcPr>
        <w:shd w:val="clear" w:color="auto" w:fill="000000"/>
      </w:tcPr>
    </w:tblStylePr>
    <w:tblStylePr w:type="lastRow">
      <w:rPr>
        <w:b w:val="0"/>
      </w:rPr>
    </w:tblStylePr>
    <w:tblStylePr w:type="neCell">
      <w:rPr>
        <w:b w:val="0"/>
        <w:i w:val="0"/>
      </w:rPr>
    </w:tblStylePr>
    <w:tblStylePr w:type="nwCell">
      <w:rPr>
        <w:rFonts w:ascii="Symbol" w:hAnsi="Symbol"/>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PMingLiU"/>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link w:val="EndnoteText"/>
    <w:uiPriority w:val="99"/>
    <w:semiHidden/>
    <w:rsid w:val="000E6196"/>
    <w:rPr>
      <w:rFonts w:ascii="Cambria" w:eastAsia="Cambria" w:hAnsi="Cambria" w:cs="Times New Roman"/>
      <w:sz w:val="20"/>
      <w:szCs w:val="20"/>
    </w:rPr>
  </w:style>
  <w:style w:type="character" w:styleId="EndnoteReference">
    <w:name w:val="endnote reference"/>
    <w:uiPriority w:val="99"/>
    <w:semiHidden/>
    <w:unhideWhenUsed/>
    <w:rsid w:val="000E6196"/>
    <w:rPr>
      <w:vertAlign w:val="superscript"/>
    </w:rPr>
  </w:style>
  <w:style w:type="character" w:styleId="CommentReference">
    <w:name w:val="annotation reference"/>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link w:val="CommentSubject"/>
    <w:uiPriority w:val="99"/>
    <w:semiHidden/>
    <w:rsid w:val="00EC463D"/>
    <w:rPr>
      <w:rFonts w:ascii="Cambria" w:eastAsia="Cambria" w:hAnsi="Cambria" w:cs="Times New Roman"/>
      <w:b/>
      <w:bCs/>
      <w:sz w:val="20"/>
      <w:szCs w:val="20"/>
    </w:rPr>
  </w:style>
  <w:style w:type="paragraph" w:customStyle="1" w:styleId="ColorfulShading-Accent11">
    <w:name w:val="Colorful Shading - Accent 11"/>
    <w:hidden/>
    <w:uiPriority w:val="99"/>
    <w:semiHidden/>
    <w:rsid w:val="003442FD"/>
    <w:rPr>
      <w:sz w:val="22"/>
      <w:szCs w:val="22"/>
      <w:lang w:eastAsia="en-US"/>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link w:val="Standard"/>
    <w:locked/>
    <w:rsid w:val="00BE4661"/>
    <w:rPr>
      <w:rFonts w:ascii="Cambria" w:eastAsia="Times New Roman" w:hAnsi="Cambria" w:cs="Times New Roman"/>
      <w:kern w:val="16"/>
      <w:szCs w:val="24"/>
    </w:rPr>
  </w:style>
  <w:style w:type="paragraph" w:customStyle="1" w:styleId="Standard">
    <w:name w:val="Standard"/>
    <w:basedOn w:val="Normal"/>
    <w:link w:val="StandardChar"/>
    <w:rsid w:val="00BE4661"/>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BE4661"/>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BE4661"/>
    <w:pPr>
      <w:keepNext/>
      <w:spacing w:after="110"/>
      <w:outlineLvl w:val="2"/>
    </w:pPr>
    <w:rPr>
      <w:b/>
      <w:i/>
    </w:rPr>
  </w:style>
  <w:style w:type="character" w:customStyle="1" w:styleId="TabletextChar">
    <w:name w:val="Table text Char"/>
    <w:link w:val="Tabletext"/>
    <w:locked/>
    <w:rsid w:val="00BE4661"/>
    <w:rPr>
      <w:rFonts w:ascii="Cambria" w:eastAsia="Cambria" w:hAnsi="Cambria" w:cs="Times New Roman"/>
      <w:sz w:val="19"/>
    </w:rPr>
  </w:style>
  <w:style w:type="character" w:customStyle="1" w:styleId="WhiteSpaceChar">
    <w:name w:val="White Space Char"/>
    <w:link w:val="WhiteSpace"/>
    <w:locked/>
    <w:rsid w:val="00BE4661"/>
    <w:rPr>
      <w:rFonts w:ascii="Cambria" w:eastAsia="Cambria" w:hAnsi="Cambria" w:cs="Times New Roman"/>
      <w:sz w:val="16"/>
      <w:szCs w:val="16"/>
    </w:rPr>
  </w:style>
  <w:style w:type="paragraph" w:customStyle="1" w:styleId="WhiteSpace">
    <w:name w:val="White Space"/>
    <w:basedOn w:val="Standard"/>
    <w:next w:val="Standard"/>
    <w:link w:val="WhiteSpaceChar"/>
    <w:rsid w:val="00BE4661"/>
    <w:pPr>
      <w:spacing w:after="0"/>
    </w:pPr>
    <w:rPr>
      <w:rFonts w:eastAsia="Cambria"/>
      <w:kern w:val="0"/>
      <w:sz w:val="16"/>
      <w:szCs w:val="16"/>
    </w:rPr>
  </w:style>
  <w:style w:type="paragraph" w:customStyle="1" w:styleId="AssessmentSubsection2">
    <w:name w:val="Assessment Subsection 2"/>
    <w:basedOn w:val="AssessmentSubsection"/>
    <w:next w:val="Standard"/>
    <w:rsid w:val="00BE4661"/>
    <w:pPr>
      <w:outlineLvl w:val="3"/>
    </w:pPr>
    <w:rPr>
      <w:b w:val="0"/>
    </w:rPr>
  </w:style>
  <w:style w:type="paragraph" w:customStyle="1" w:styleId="TableHeader">
    <w:name w:val="Table Header"/>
    <w:basedOn w:val="Normal"/>
    <w:rsid w:val="00BE4661"/>
    <w:pPr>
      <w:keepNext/>
      <w:keepLines/>
      <w:widowControl w:val="0"/>
      <w:spacing w:before="60" w:after="60" w:line="200" w:lineRule="exact"/>
      <w:jc w:val="center"/>
    </w:pPr>
    <w:rPr>
      <w:rFonts w:eastAsia="MS Mincho"/>
      <w:b/>
      <w:kern w:val="2"/>
      <w:sz w:val="19"/>
      <w:szCs w:val="19"/>
    </w:rPr>
  </w:style>
  <w:style w:type="paragraph" w:customStyle="1" w:styleId="TabletextPKvalues">
    <w:name w:val="Table text (PK values)"/>
    <w:basedOn w:val="Tabletext"/>
    <w:rsid w:val="00BE4661"/>
    <w:pPr>
      <w:snapToGrid w:val="0"/>
      <w:spacing w:before="0" w:after="0" w:line="200" w:lineRule="exact"/>
      <w:jc w:val="center"/>
    </w:pPr>
    <w:rPr>
      <w:rFonts w:eastAsia="Times New Roman"/>
      <w:kern w:val="16"/>
      <w:sz w:val="18"/>
      <w:szCs w:val="19"/>
    </w:rPr>
  </w:style>
  <w:style w:type="character" w:customStyle="1" w:styleId="TableTitleChar">
    <w:name w:val="Table Title Char"/>
    <w:link w:val="TableTitle"/>
    <w:locked/>
    <w:rsid w:val="00BE4661"/>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BE4661"/>
    <w:pPr>
      <w:spacing w:before="60" w:after="440" w:line="215" w:lineRule="exact"/>
      <w:ind w:left="170"/>
    </w:pPr>
    <w:rPr>
      <w:sz w:val="18"/>
      <w:szCs w:val="19"/>
    </w:rPr>
  </w:style>
  <w:style w:type="character" w:customStyle="1" w:styleId="TableCaptionChar">
    <w:name w:val="Table Caption Char"/>
    <w:link w:val="TableCaption"/>
    <w:locked/>
    <w:rsid w:val="00BE4661"/>
    <w:rPr>
      <w:rFonts w:ascii="Cambria" w:eastAsia="Times New Roman" w:hAnsi="Cambria" w:cs="Times New Roman"/>
      <w:kern w:val="16"/>
      <w:sz w:val="18"/>
      <w:szCs w:val="19"/>
    </w:rPr>
  </w:style>
  <w:style w:type="character" w:customStyle="1" w:styleId="SectionHeadingCharChar">
    <w:name w:val="Section Heading Char Char"/>
    <w:link w:val="SectionHeading"/>
    <w:locked/>
    <w:rsid w:val="00BE4661"/>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BE4661"/>
    <w:pPr>
      <w:keepNext/>
      <w:outlineLvl w:val="0"/>
    </w:pPr>
    <w:rPr>
      <w:b/>
      <w:caps/>
      <w:sz w:val="24"/>
    </w:rPr>
  </w:style>
  <w:style w:type="paragraph" w:customStyle="1" w:styleId="Bulletpoint">
    <w:name w:val="Bullet point"/>
    <w:basedOn w:val="Standard"/>
    <w:rsid w:val="00BE4661"/>
    <w:pPr>
      <w:numPr>
        <w:numId w:val="28"/>
      </w:numPr>
      <w:tabs>
        <w:tab w:val="clear" w:pos="369"/>
        <w:tab w:val="left" w:pos="397"/>
        <w:tab w:val="num" w:pos="511"/>
      </w:tabs>
      <w:spacing w:after="180"/>
      <w:ind w:left="0" w:firstLine="0"/>
    </w:pPr>
  </w:style>
  <w:style w:type="paragraph" w:customStyle="1" w:styleId="Bullet1">
    <w:name w:val="Bullet 1"/>
    <w:basedOn w:val="Normal"/>
    <w:rsid w:val="002A2211"/>
    <w:pPr>
      <w:numPr>
        <w:numId w:val="29"/>
      </w:numPr>
      <w:spacing w:after="0" w:line="240" w:lineRule="auto"/>
    </w:pPr>
    <w:rPr>
      <w:rFonts w:eastAsia="Times New Roman"/>
      <w:kern w:val="24"/>
      <w:szCs w:val="24"/>
      <w:lang w:eastAsia="en-AU"/>
    </w:rPr>
  </w:style>
  <w:style w:type="paragraph" w:customStyle="1" w:styleId="Bullet2">
    <w:name w:val="Bullet 2"/>
    <w:basedOn w:val="Bullet1"/>
    <w:rsid w:val="002A2211"/>
    <w:pPr>
      <w:numPr>
        <w:numId w:val="30"/>
      </w:numPr>
    </w:pPr>
  </w:style>
  <w:style w:type="paragraph" w:customStyle="1" w:styleId="ColorfulList-Accent11">
    <w:name w:val="Colorful List - Accent 11"/>
    <w:basedOn w:val="Normal"/>
    <w:uiPriority w:val="34"/>
    <w:qFormat/>
    <w:rsid w:val="004A44A5"/>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4A44A5"/>
  </w:style>
  <w:style w:type="character" w:customStyle="1" w:styleId="Heading8Char">
    <w:name w:val="Heading 8 Char"/>
    <w:link w:val="Heading8"/>
    <w:uiPriority w:val="9"/>
    <w:semiHidden/>
    <w:rsid w:val="00B06E3D"/>
    <w:rPr>
      <w:rFonts w:ascii="Arial" w:eastAsia="PMingLiU" w:hAnsi="Arial" w:cs="Times New Roman"/>
      <w:color w:val="404040"/>
      <w:sz w:val="20"/>
      <w:szCs w:val="20"/>
    </w:rPr>
  </w:style>
  <w:style w:type="paragraph" w:customStyle="1" w:styleId="Default">
    <w:name w:val="Default"/>
    <w:rsid w:val="00B06E3D"/>
    <w:pPr>
      <w:autoSpaceDE w:val="0"/>
      <w:autoSpaceDN w:val="0"/>
      <w:adjustRightInd w:val="0"/>
    </w:pPr>
    <w:rPr>
      <w:rFonts w:ascii="Times New Roman" w:eastAsia="Calibri" w:hAnsi="Times New Roman"/>
      <w:color w:val="000000"/>
      <w:sz w:val="24"/>
      <w:szCs w:val="24"/>
      <w:lang w:eastAsia="en-US"/>
    </w:rPr>
  </w:style>
  <w:style w:type="character" w:customStyle="1" w:styleId="h32">
    <w:name w:val="h32"/>
    <w:rsid w:val="00B100BF"/>
    <w:rPr>
      <w:b/>
      <w:bCs/>
    </w:rPr>
  </w:style>
  <w:style w:type="character" w:customStyle="1" w:styleId="nowrap1">
    <w:name w:val="nowrap1"/>
    <w:basedOn w:val="DefaultParagraphFont"/>
    <w:rsid w:val="00B100BF"/>
  </w:style>
  <w:style w:type="paragraph" w:customStyle="1" w:styleId="TableParagraph">
    <w:name w:val="Table Paragraph"/>
    <w:basedOn w:val="Normal"/>
    <w:uiPriority w:val="1"/>
    <w:qFormat/>
    <w:rsid w:val="00930867"/>
    <w:pPr>
      <w:autoSpaceDE w:val="0"/>
      <w:autoSpaceDN w:val="0"/>
      <w:adjustRightInd w:val="0"/>
      <w:spacing w:before="0" w:after="0" w:line="240" w:lineRule="auto"/>
    </w:pPr>
    <w:rPr>
      <w:rFonts w:ascii="Times New Roman" w:hAnsi="Times New Roman"/>
      <w:sz w:val="24"/>
      <w:szCs w:val="24"/>
    </w:rPr>
  </w:style>
  <w:style w:type="character" w:customStyle="1" w:styleId="st">
    <w:name w:val="st"/>
    <w:rsid w:val="005B5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uiPriority w:val="1"/>
    <w:qFormat/>
    <w:rsid w:val="005E518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qFormat/>
    <w:rsid w:val="00B06E3D"/>
    <w:pPr>
      <w:keepNext/>
      <w:keepLines/>
      <w:spacing w:before="200" w:after="0"/>
      <w:outlineLvl w:val="7"/>
    </w:pPr>
    <w:rPr>
      <w:rFonts w:ascii="Arial" w:eastAsia="PMingLiU" w:hAnsi="Arial"/>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770CAC"/>
    <w:rPr>
      <w:rFonts w:ascii="Cambria" w:eastAsia="Times New Roman" w:hAnsi="Cambria" w:cs="Times New Roman"/>
      <w:bCs/>
      <w:sz w:val="20"/>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MediumGrid3-Accent2">
    <w:name w:val="Medium Grid 3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Shading1-Accent6">
    <w:name w:val="Medium Shading 1 Accent 6"/>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ind w:left="1276"/>
    </w:pPr>
  </w:style>
  <w:style w:type="numbering" w:customStyle="1" w:styleId="NumberBullet">
    <w:name w:val="NumberBullet"/>
    <w:uiPriority w:val="99"/>
    <w:locked/>
    <w:rsid w:val="00F3148D"/>
    <w:pPr>
      <w:numPr>
        <w:numId w:val="8"/>
      </w:numPr>
    </w:pPr>
  </w:style>
  <w:style w:type="character" w:customStyle="1" w:styleId="MediumGrid11">
    <w:name w:val="Medium Grid 11"/>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Symbol" w:hAnsi="Symbol"/>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Symbol" w:hAnsi="Symbol"/>
        <w:b/>
        <w:color w:val="FFFFFF"/>
        <w:sz w:val="22"/>
      </w:rPr>
      <w:tblPr/>
      <w:tcPr>
        <w:shd w:val="clear" w:color="auto" w:fill="000000"/>
      </w:tcPr>
    </w:tblStylePr>
    <w:tblStylePr w:type="lastRow">
      <w:rPr>
        <w:b w:val="0"/>
      </w:rPr>
    </w:tblStylePr>
    <w:tblStylePr w:type="neCell">
      <w:rPr>
        <w:b w:val="0"/>
        <w:i w:val="0"/>
      </w:rPr>
    </w:tblStylePr>
    <w:tblStylePr w:type="nwCell">
      <w:rPr>
        <w:rFonts w:ascii="Symbol" w:hAnsi="Symbol"/>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PMingLiU"/>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link w:val="EndnoteText"/>
    <w:uiPriority w:val="99"/>
    <w:semiHidden/>
    <w:rsid w:val="000E6196"/>
    <w:rPr>
      <w:rFonts w:ascii="Cambria" w:eastAsia="Cambria" w:hAnsi="Cambria" w:cs="Times New Roman"/>
      <w:sz w:val="20"/>
      <w:szCs w:val="20"/>
    </w:rPr>
  </w:style>
  <w:style w:type="character" w:styleId="EndnoteReference">
    <w:name w:val="endnote reference"/>
    <w:uiPriority w:val="99"/>
    <w:semiHidden/>
    <w:unhideWhenUsed/>
    <w:rsid w:val="000E6196"/>
    <w:rPr>
      <w:vertAlign w:val="superscript"/>
    </w:rPr>
  </w:style>
  <w:style w:type="character" w:styleId="CommentReference">
    <w:name w:val="annotation reference"/>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link w:val="CommentSubject"/>
    <w:uiPriority w:val="99"/>
    <w:semiHidden/>
    <w:rsid w:val="00EC463D"/>
    <w:rPr>
      <w:rFonts w:ascii="Cambria" w:eastAsia="Cambria" w:hAnsi="Cambria" w:cs="Times New Roman"/>
      <w:b/>
      <w:bCs/>
      <w:sz w:val="20"/>
      <w:szCs w:val="20"/>
    </w:rPr>
  </w:style>
  <w:style w:type="paragraph" w:customStyle="1" w:styleId="ColorfulShading-Accent11">
    <w:name w:val="Colorful Shading - Accent 11"/>
    <w:hidden/>
    <w:uiPriority w:val="99"/>
    <w:semiHidden/>
    <w:rsid w:val="003442FD"/>
    <w:rPr>
      <w:sz w:val="22"/>
      <w:szCs w:val="22"/>
      <w:lang w:eastAsia="en-US"/>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link w:val="Standard"/>
    <w:locked/>
    <w:rsid w:val="00BE4661"/>
    <w:rPr>
      <w:rFonts w:ascii="Cambria" w:eastAsia="Times New Roman" w:hAnsi="Cambria" w:cs="Times New Roman"/>
      <w:kern w:val="16"/>
      <w:szCs w:val="24"/>
    </w:rPr>
  </w:style>
  <w:style w:type="paragraph" w:customStyle="1" w:styleId="Standard">
    <w:name w:val="Standard"/>
    <w:basedOn w:val="Normal"/>
    <w:link w:val="StandardChar"/>
    <w:rsid w:val="00BE4661"/>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BE4661"/>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BE4661"/>
    <w:pPr>
      <w:keepNext/>
      <w:spacing w:after="110"/>
      <w:outlineLvl w:val="2"/>
    </w:pPr>
    <w:rPr>
      <w:b/>
      <w:i/>
    </w:rPr>
  </w:style>
  <w:style w:type="character" w:customStyle="1" w:styleId="TabletextChar">
    <w:name w:val="Table text Char"/>
    <w:link w:val="Tabletext"/>
    <w:locked/>
    <w:rsid w:val="00BE4661"/>
    <w:rPr>
      <w:rFonts w:ascii="Cambria" w:eastAsia="Cambria" w:hAnsi="Cambria" w:cs="Times New Roman"/>
      <w:sz w:val="19"/>
    </w:rPr>
  </w:style>
  <w:style w:type="character" w:customStyle="1" w:styleId="WhiteSpaceChar">
    <w:name w:val="White Space Char"/>
    <w:link w:val="WhiteSpace"/>
    <w:locked/>
    <w:rsid w:val="00BE4661"/>
    <w:rPr>
      <w:rFonts w:ascii="Cambria" w:eastAsia="Cambria" w:hAnsi="Cambria" w:cs="Times New Roman"/>
      <w:sz w:val="16"/>
      <w:szCs w:val="16"/>
    </w:rPr>
  </w:style>
  <w:style w:type="paragraph" w:customStyle="1" w:styleId="WhiteSpace">
    <w:name w:val="White Space"/>
    <w:basedOn w:val="Standard"/>
    <w:next w:val="Standard"/>
    <w:link w:val="WhiteSpaceChar"/>
    <w:rsid w:val="00BE4661"/>
    <w:pPr>
      <w:spacing w:after="0"/>
    </w:pPr>
    <w:rPr>
      <w:rFonts w:eastAsia="Cambria"/>
      <w:kern w:val="0"/>
      <w:sz w:val="16"/>
      <w:szCs w:val="16"/>
    </w:rPr>
  </w:style>
  <w:style w:type="paragraph" w:customStyle="1" w:styleId="AssessmentSubsection2">
    <w:name w:val="Assessment Subsection 2"/>
    <w:basedOn w:val="AssessmentSubsection"/>
    <w:next w:val="Standard"/>
    <w:rsid w:val="00BE4661"/>
    <w:pPr>
      <w:outlineLvl w:val="3"/>
    </w:pPr>
    <w:rPr>
      <w:b w:val="0"/>
    </w:rPr>
  </w:style>
  <w:style w:type="paragraph" w:customStyle="1" w:styleId="TableHeader">
    <w:name w:val="Table Header"/>
    <w:basedOn w:val="Normal"/>
    <w:rsid w:val="00BE4661"/>
    <w:pPr>
      <w:keepNext/>
      <w:keepLines/>
      <w:widowControl w:val="0"/>
      <w:spacing w:before="60" w:after="60" w:line="200" w:lineRule="exact"/>
      <w:jc w:val="center"/>
    </w:pPr>
    <w:rPr>
      <w:rFonts w:eastAsia="MS Mincho"/>
      <w:b/>
      <w:kern w:val="2"/>
      <w:sz w:val="19"/>
      <w:szCs w:val="19"/>
    </w:rPr>
  </w:style>
  <w:style w:type="paragraph" w:customStyle="1" w:styleId="TabletextPKvalues">
    <w:name w:val="Table text (PK values)"/>
    <w:basedOn w:val="Tabletext"/>
    <w:rsid w:val="00BE4661"/>
    <w:pPr>
      <w:snapToGrid w:val="0"/>
      <w:spacing w:before="0" w:after="0" w:line="200" w:lineRule="exact"/>
      <w:jc w:val="center"/>
    </w:pPr>
    <w:rPr>
      <w:rFonts w:eastAsia="Times New Roman"/>
      <w:kern w:val="16"/>
      <w:sz w:val="18"/>
      <w:szCs w:val="19"/>
    </w:rPr>
  </w:style>
  <w:style w:type="character" w:customStyle="1" w:styleId="TableTitleChar">
    <w:name w:val="Table Title Char"/>
    <w:link w:val="TableTitle"/>
    <w:locked/>
    <w:rsid w:val="00BE4661"/>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BE4661"/>
    <w:pPr>
      <w:spacing w:before="60" w:after="440" w:line="215" w:lineRule="exact"/>
      <w:ind w:left="170"/>
    </w:pPr>
    <w:rPr>
      <w:sz w:val="18"/>
      <w:szCs w:val="19"/>
    </w:rPr>
  </w:style>
  <w:style w:type="character" w:customStyle="1" w:styleId="TableCaptionChar">
    <w:name w:val="Table Caption Char"/>
    <w:link w:val="TableCaption"/>
    <w:locked/>
    <w:rsid w:val="00BE4661"/>
    <w:rPr>
      <w:rFonts w:ascii="Cambria" w:eastAsia="Times New Roman" w:hAnsi="Cambria" w:cs="Times New Roman"/>
      <w:kern w:val="16"/>
      <w:sz w:val="18"/>
      <w:szCs w:val="19"/>
    </w:rPr>
  </w:style>
  <w:style w:type="character" w:customStyle="1" w:styleId="SectionHeadingCharChar">
    <w:name w:val="Section Heading Char Char"/>
    <w:link w:val="SectionHeading"/>
    <w:locked/>
    <w:rsid w:val="00BE4661"/>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BE4661"/>
    <w:pPr>
      <w:keepNext/>
      <w:outlineLvl w:val="0"/>
    </w:pPr>
    <w:rPr>
      <w:b/>
      <w:caps/>
      <w:sz w:val="24"/>
    </w:rPr>
  </w:style>
  <w:style w:type="paragraph" w:customStyle="1" w:styleId="Bulletpoint">
    <w:name w:val="Bullet point"/>
    <w:basedOn w:val="Standard"/>
    <w:rsid w:val="00BE4661"/>
    <w:pPr>
      <w:numPr>
        <w:numId w:val="28"/>
      </w:numPr>
      <w:tabs>
        <w:tab w:val="clear" w:pos="369"/>
        <w:tab w:val="left" w:pos="397"/>
        <w:tab w:val="num" w:pos="511"/>
      </w:tabs>
      <w:spacing w:after="180"/>
      <w:ind w:left="0" w:firstLine="0"/>
    </w:pPr>
  </w:style>
  <w:style w:type="paragraph" w:customStyle="1" w:styleId="Bullet1">
    <w:name w:val="Bullet 1"/>
    <w:basedOn w:val="Normal"/>
    <w:rsid w:val="002A2211"/>
    <w:pPr>
      <w:numPr>
        <w:numId w:val="29"/>
      </w:numPr>
      <w:spacing w:after="0" w:line="240" w:lineRule="auto"/>
    </w:pPr>
    <w:rPr>
      <w:rFonts w:eastAsia="Times New Roman"/>
      <w:kern w:val="24"/>
      <w:szCs w:val="24"/>
      <w:lang w:eastAsia="en-AU"/>
    </w:rPr>
  </w:style>
  <w:style w:type="paragraph" w:customStyle="1" w:styleId="Bullet2">
    <w:name w:val="Bullet 2"/>
    <w:basedOn w:val="Bullet1"/>
    <w:rsid w:val="002A2211"/>
    <w:pPr>
      <w:numPr>
        <w:numId w:val="30"/>
      </w:numPr>
    </w:pPr>
  </w:style>
  <w:style w:type="paragraph" w:customStyle="1" w:styleId="ColorfulList-Accent11">
    <w:name w:val="Colorful List - Accent 11"/>
    <w:basedOn w:val="Normal"/>
    <w:uiPriority w:val="34"/>
    <w:qFormat/>
    <w:rsid w:val="004A44A5"/>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4A44A5"/>
  </w:style>
  <w:style w:type="character" w:customStyle="1" w:styleId="Heading8Char">
    <w:name w:val="Heading 8 Char"/>
    <w:link w:val="Heading8"/>
    <w:uiPriority w:val="9"/>
    <w:semiHidden/>
    <w:rsid w:val="00B06E3D"/>
    <w:rPr>
      <w:rFonts w:ascii="Arial" w:eastAsia="PMingLiU" w:hAnsi="Arial" w:cs="Times New Roman"/>
      <w:color w:val="404040"/>
      <w:sz w:val="20"/>
      <w:szCs w:val="20"/>
    </w:rPr>
  </w:style>
  <w:style w:type="paragraph" w:customStyle="1" w:styleId="Default">
    <w:name w:val="Default"/>
    <w:rsid w:val="00B06E3D"/>
    <w:pPr>
      <w:autoSpaceDE w:val="0"/>
      <w:autoSpaceDN w:val="0"/>
      <w:adjustRightInd w:val="0"/>
    </w:pPr>
    <w:rPr>
      <w:rFonts w:ascii="Times New Roman" w:eastAsia="Calibri" w:hAnsi="Times New Roman"/>
      <w:color w:val="000000"/>
      <w:sz w:val="24"/>
      <w:szCs w:val="24"/>
      <w:lang w:eastAsia="en-US"/>
    </w:rPr>
  </w:style>
  <w:style w:type="character" w:customStyle="1" w:styleId="h32">
    <w:name w:val="h32"/>
    <w:rsid w:val="00B100BF"/>
    <w:rPr>
      <w:b/>
      <w:bCs/>
    </w:rPr>
  </w:style>
  <w:style w:type="character" w:customStyle="1" w:styleId="nowrap1">
    <w:name w:val="nowrap1"/>
    <w:basedOn w:val="DefaultParagraphFont"/>
    <w:rsid w:val="00B100BF"/>
  </w:style>
  <w:style w:type="paragraph" w:customStyle="1" w:styleId="TableParagraph">
    <w:name w:val="Table Paragraph"/>
    <w:basedOn w:val="Normal"/>
    <w:uiPriority w:val="1"/>
    <w:qFormat/>
    <w:rsid w:val="00930867"/>
    <w:pPr>
      <w:autoSpaceDE w:val="0"/>
      <w:autoSpaceDN w:val="0"/>
      <w:adjustRightInd w:val="0"/>
      <w:spacing w:before="0" w:after="0" w:line="240" w:lineRule="auto"/>
    </w:pPr>
    <w:rPr>
      <w:rFonts w:ascii="Times New Roman" w:hAnsi="Times New Roman"/>
      <w:sz w:val="24"/>
      <w:szCs w:val="24"/>
    </w:rPr>
  </w:style>
  <w:style w:type="character" w:customStyle="1" w:styleId="st">
    <w:name w:val="st"/>
    <w:rsid w:val="005B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403">
      <w:bodyDiv w:val="1"/>
      <w:marLeft w:val="0"/>
      <w:marRight w:val="0"/>
      <w:marTop w:val="0"/>
      <w:marBottom w:val="0"/>
      <w:divBdr>
        <w:top w:val="none" w:sz="0" w:space="0" w:color="auto"/>
        <w:left w:val="none" w:sz="0" w:space="0" w:color="auto"/>
        <w:bottom w:val="none" w:sz="0" w:space="0" w:color="auto"/>
        <w:right w:val="none" w:sz="0" w:space="0" w:color="auto"/>
      </w:divBdr>
    </w:div>
    <w:div w:id="209733896">
      <w:bodyDiv w:val="1"/>
      <w:marLeft w:val="0"/>
      <w:marRight w:val="0"/>
      <w:marTop w:val="0"/>
      <w:marBottom w:val="0"/>
      <w:divBdr>
        <w:top w:val="none" w:sz="0" w:space="0" w:color="auto"/>
        <w:left w:val="none" w:sz="0" w:space="0" w:color="auto"/>
        <w:bottom w:val="none" w:sz="0" w:space="0" w:color="auto"/>
        <w:right w:val="none" w:sz="0" w:space="0" w:color="auto"/>
      </w:divBdr>
    </w:div>
    <w:div w:id="277100898">
      <w:bodyDiv w:val="1"/>
      <w:marLeft w:val="0"/>
      <w:marRight w:val="0"/>
      <w:marTop w:val="0"/>
      <w:marBottom w:val="0"/>
      <w:divBdr>
        <w:top w:val="none" w:sz="0" w:space="0" w:color="auto"/>
        <w:left w:val="none" w:sz="0" w:space="0" w:color="auto"/>
        <w:bottom w:val="none" w:sz="0" w:space="0" w:color="auto"/>
        <w:right w:val="none" w:sz="0" w:space="0" w:color="auto"/>
      </w:divBdr>
    </w:div>
    <w:div w:id="356934453">
      <w:bodyDiv w:val="1"/>
      <w:marLeft w:val="0"/>
      <w:marRight w:val="0"/>
      <w:marTop w:val="0"/>
      <w:marBottom w:val="0"/>
      <w:divBdr>
        <w:top w:val="none" w:sz="0" w:space="0" w:color="auto"/>
        <w:left w:val="none" w:sz="0" w:space="0" w:color="auto"/>
        <w:bottom w:val="none" w:sz="0" w:space="0" w:color="auto"/>
        <w:right w:val="none" w:sz="0" w:space="0" w:color="auto"/>
      </w:divBdr>
      <w:divsChild>
        <w:div w:id="1867408845">
          <w:marLeft w:val="0"/>
          <w:marRight w:val="0"/>
          <w:marTop w:val="0"/>
          <w:marBottom w:val="0"/>
          <w:divBdr>
            <w:top w:val="single" w:sz="2" w:space="0" w:color="2E2E2E"/>
            <w:left w:val="single" w:sz="2" w:space="0" w:color="2E2E2E"/>
            <w:bottom w:val="single" w:sz="2" w:space="0" w:color="2E2E2E"/>
            <w:right w:val="single" w:sz="2" w:space="0" w:color="2E2E2E"/>
          </w:divBdr>
          <w:divsChild>
            <w:div w:id="1833371721">
              <w:marLeft w:val="0"/>
              <w:marRight w:val="0"/>
              <w:marTop w:val="0"/>
              <w:marBottom w:val="0"/>
              <w:divBdr>
                <w:top w:val="single" w:sz="6" w:space="0" w:color="C9C9C9"/>
                <w:left w:val="none" w:sz="0" w:space="0" w:color="auto"/>
                <w:bottom w:val="none" w:sz="0" w:space="0" w:color="auto"/>
                <w:right w:val="none" w:sz="0" w:space="0" w:color="auto"/>
              </w:divBdr>
              <w:divsChild>
                <w:div w:id="579800865">
                  <w:marLeft w:val="0"/>
                  <w:marRight w:val="0"/>
                  <w:marTop w:val="0"/>
                  <w:marBottom w:val="0"/>
                  <w:divBdr>
                    <w:top w:val="none" w:sz="0" w:space="0" w:color="auto"/>
                    <w:left w:val="none" w:sz="0" w:space="0" w:color="auto"/>
                    <w:bottom w:val="none" w:sz="0" w:space="0" w:color="auto"/>
                    <w:right w:val="none" w:sz="0" w:space="0" w:color="auto"/>
                  </w:divBdr>
                  <w:divsChild>
                    <w:div w:id="1255165671">
                      <w:marLeft w:val="0"/>
                      <w:marRight w:val="0"/>
                      <w:marTop w:val="0"/>
                      <w:marBottom w:val="0"/>
                      <w:divBdr>
                        <w:top w:val="none" w:sz="0" w:space="0" w:color="auto"/>
                        <w:left w:val="none" w:sz="0" w:space="0" w:color="auto"/>
                        <w:bottom w:val="none" w:sz="0" w:space="0" w:color="auto"/>
                        <w:right w:val="none" w:sz="0" w:space="0" w:color="auto"/>
                      </w:divBdr>
                      <w:divsChild>
                        <w:div w:id="864637092">
                          <w:marLeft w:val="0"/>
                          <w:marRight w:val="0"/>
                          <w:marTop w:val="225"/>
                          <w:marBottom w:val="180"/>
                          <w:divBdr>
                            <w:top w:val="single" w:sz="6" w:space="0" w:color="D7D7D7"/>
                            <w:left w:val="single" w:sz="2" w:space="0" w:color="D7D7D7"/>
                            <w:bottom w:val="single" w:sz="6" w:space="0" w:color="D7D7D7"/>
                            <w:right w:val="single" w:sz="2" w:space="0" w:color="D7D7D7"/>
                          </w:divBdr>
                          <w:divsChild>
                            <w:div w:id="1698851505">
                              <w:marLeft w:val="0"/>
                              <w:marRight w:val="0"/>
                              <w:marTop w:val="0"/>
                              <w:marBottom w:val="0"/>
                              <w:divBdr>
                                <w:top w:val="none" w:sz="0" w:space="0" w:color="auto"/>
                                <w:left w:val="none" w:sz="0" w:space="0" w:color="auto"/>
                                <w:bottom w:val="none" w:sz="0" w:space="0" w:color="auto"/>
                                <w:right w:val="none" w:sz="0" w:space="0" w:color="auto"/>
                              </w:divBdr>
                              <w:divsChild>
                                <w:div w:id="19907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765621">
      <w:bodyDiv w:val="1"/>
      <w:marLeft w:val="0"/>
      <w:marRight w:val="0"/>
      <w:marTop w:val="0"/>
      <w:marBottom w:val="0"/>
      <w:divBdr>
        <w:top w:val="none" w:sz="0" w:space="0" w:color="auto"/>
        <w:left w:val="none" w:sz="0" w:space="0" w:color="auto"/>
        <w:bottom w:val="none" w:sz="0" w:space="0" w:color="auto"/>
        <w:right w:val="none" w:sz="0" w:space="0" w:color="auto"/>
      </w:divBdr>
    </w:div>
    <w:div w:id="421341773">
      <w:bodyDiv w:val="1"/>
      <w:marLeft w:val="0"/>
      <w:marRight w:val="0"/>
      <w:marTop w:val="0"/>
      <w:marBottom w:val="0"/>
      <w:divBdr>
        <w:top w:val="none" w:sz="0" w:space="0" w:color="auto"/>
        <w:left w:val="none" w:sz="0" w:space="0" w:color="auto"/>
        <w:bottom w:val="none" w:sz="0" w:space="0" w:color="auto"/>
        <w:right w:val="none" w:sz="0" w:space="0" w:color="auto"/>
      </w:divBdr>
    </w:div>
    <w:div w:id="468058394">
      <w:bodyDiv w:val="1"/>
      <w:marLeft w:val="0"/>
      <w:marRight w:val="0"/>
      <w:marTop w:val="0"/>
      <w:marBottom w:val="0"/>
      <w:divBdr>
        <w:top w:val="none" w:sz="0" w:space="0" w:color="auto"/>
        <w:left w:val="none" w:sz="0" w:space="0" w:color="auto"/>
        <w:bottom w:val="none" w:sz="0" w:space="0" w:color="auto"/>
        <w:right w:val="none" w:sz="0" w:space="0" w:color="auto"/>
      </w:divBdr>
      <w:divsChild>
        <w:div w:id="662709621">
          <w:marLeft w:val="0"/>
          <w:marRight w:val="0"/>
          <w:marTop w:val="0"/>
          <w:marBottom w:val="0"/>
          <w:divBdr>
            <w:top w:val="none" w:sz="0" w:space="0" w:color="auto"/>
            <w:left w:val="none" w:sz="0" w:space="0" w:color="auto"/>
            <w:bottom w:val="none" w:sz="0" w:space="0" w:color="auto"/>
            <w:right w:val="none" w:sz="0" w:space="0" w:color="auto"/>
          </w:divBdr>
          <w:divsChild>
            <w:div w:id="962732883">
              <w:marLeft w:val="0"/>
              <w:marRight w:val="0"/>
              <w:marTop w:val="0"/>
              <w:marBottom w:val="0"/>
              <w:divBdr>
                <w:top w:val="none" w:sz="0" w:space="0" w:color="auto"/>
                <w:left w:val="none" w:sz="0" w:space="0" w:color="auto"/>
                <w:bottom w:val="none" w:sz="0" w:space="0" w:color="auto"/>
                <w:right w:val="none" w:sz="0" w:space="0" w:color="auto"/>
              </w:divBdr>
              <w:divsChild>
                <w:div w:id="1133869329">
                  <w:marLeft w:val="0"/>
                  <w:marRight w:val="0"/>
                  <w:marTop w:val="0"/>
                  <w:marBottom w:val="0"/>
                  <w:divBdr>
                    <w:top w:val="none" w:sz="0" w:space="0" w:color="auto"/>
                    <w:left w:val="none" w:sz="0" w:space="0" w:color="auto"/>
                    <w:bottom w:val="none" w:sz="0" w:space="0" w:color="auto"/>
                    <w:right w:val="none" w:sz="0" w:space="0" w:color="auto"/>
                  </w:divBdr>
                  <w:divsChild>
                    <w:div w:id="173736245">
                      <w:marLeft w:val="0"/>
                      <w:marRight w:val="0"/>
                      <w:marTop w:val="0"/>
                      <w:marBottom w:val="0"/>
                      <w:divBdr>
                        <w:top w:val="none" w:sz="0" w:space="0" w:color="auto"/>
                        <w:left w:val="none" w:sz="0" w:space="0" w:color="auto"/>
                        <w:bottom w:val="none" w:sz="0" w:space="0" w:color="auto"/>
                        <w:right w:val="none" w:sz="0" w:space="0" w:color="auto"/>
                      </w:divBdr>
                      <w:divsChild>
                        <w:div w:id="253166846">
                          <w:marLeft w:val="0"/>
                          <w:marRight w:val="0"/>
                          <w:marTop w:val="0"/>
                          <w:marBottom w:val="0"/>
                          <w:divBdr>
                            <w:top w:val="none" w:sz="0" w:space="0" w:color="auto"/>
                            <w:left w:val="none" w:sz="0" w:space="0" w:color="auto"/>
                            <w:bottom w:val="none" w:sz="0" w:space="0" w:color="auto"/>
                            <w:right w:val="none" w:sz="0" w:space="0" w:color="auto"/>
                          </w:divBdr>
                          <w:divsChild>
                            <w:div w:id="18349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603809">
      <w:bodyDiv w:val="1"/>
      <w:marLeft w:val="0"/>
      <w:marRight w:val="0"/>
      <w:marTop w:val="0"/>
      <w:marBottom w:val="0"/>
      <w:divBdr>
        <w:top w:val="none" w:sz="0" w:space="0" w:color="auto"/>
        <w:left w:val="none" w:sz="0" w:space="0" w:color="auto"/>
        <w:bottom w:val="none" w:sz="0" w:space="0" w:color="auto"/>
        <w:right w:val="none" w:sz="0" w:space="0" w:color="auto"/>
      </w:divBdr>
    </w:div>
    <w:div w:id="641693461">
      <w:bodyDiv w:val="1"/>
      <w:marLeft w:val="0"/>
      <w:marRight w:val="0"/>
      <w:marTop w:val="0"/>
      <w:marBottom w:val="0"/>
      <w:divBdr>
        <w:top w:val="none" w:sz="0" w:space="0" w:color="auto"/>
        <w:left w:val="none" w:sz="0" w:space="0" w:color="auto"/>
        <w:bottom w:val="none" w:sz="0" w:space="0" w:color="auto"/>
        <w:right w:val="none" w:sz="0" w:space="0" w:color="auto"/>
      </w:divBdr>
    </w:div>
    <w:div w:id="693195815">
      <w:bodyDiv w:val="1"/>
      <w:marLeft w:val="0"/>
      <w:marRight w:val="0"/>
      <w:marTop w:val="0"/>
      <w:marBottom w:val="0"/>
      <w:divBdr>
        <w:top w:val="none" w:sz="0" w:space="0" w:color="auto"/>
        <w:left w:val="none" w:sz="0" w:space="0" w:color="auto"/>
        <w:bottom w:val="none" w:sz="0" w:space="0" w:color="auto"/>
        <w:right w:val="none" w:sz="0" w:space="0" w:color="auto"/>
      </w:divBdr>
    </w:div>
    <w:div w:id="829059666">
      <w:bodyDiv w:val="1"/>
      <w:marLeft w:val="0"/>
      <w:marRight w:val="0"/>
      <w:marTop w:val="0"/>
      <w:marBottom w:val="0"/>
      <w:divBdr>
        <w:top w:val="none" w:sz="0" w:space="0" w:color="auto"/>
        <w:left w:val="none" w:sz="0" w:space="0" w:color="auto"/>
        <w:bottom w:val="none" w:sz="0" w:space="0" w:color="auto"/>
        <w:right w:val="none" w:sz="0" w:space="0" w:color="auto"/>
      </w:divBdr>
    </w:div>
    <w:div w:id="837305159">
      <w:bodyDiv w:val="1"/>
      <w:marLeft w:val="0"/>
      <w:marRight w:val="0"/>
      <w:marTop w:val="0"/>
      <w:marBottom w:val="0"/>
      <w:divBdr>
        <w:top w:val="none" w:sz="0" w:space="0" w:color="auto"/>
        <w:left w:val="none" w:sz="0" w:space="0" w:color="auto"/>
        <w:bottom w:val="none" w:sz="0" w:space="0" w:color="auto"/>
        <w:right w:val="none" w:sz="0" w:space="0" w:color="auto"/>
      </w:divBdr>
    </w:div>
    <w:div w:id="888416317">
      <w:bodyDiv w:val="1"/>
      <w:marLeft w:val="0"/>
      <w:marRight w:val="0"/>
      <w:marTop w:val="0"/>
      <w:marBottom w:val="0"/>
      <w:divBdr>
        <w:top w:val="none" w:sz="0" w:space="0" w:color="auto"/>
        <w:left w:val="none" w:sz="0" w:space="0" w:color="auto"/>
        <w:bottom w:val="none" w:sz="0" w:space="0" w:color="auto"/>
        <w:right w:val="none" w:sz="0" w:space="0" w:color="auto"/>
      </w:divBdr>
    </w:div>
    <w:div w:id="898521330">
      <w:bodyDiv w:val="1"/>
      <w:marLeft w:val="0"/>
      <w:marRight w:val="0"/>
      <w:marTop w:val="0"/>
      <w:marBottom w:val="0"/>
      <w:divBdr>
        <w:top w:val="none" w:sz="0" w:space="0" w:color="auto"/>
        <w:left w:val="none" w:sz="0" w:space="0" w:color="auto"/>
        <w:bottom w:val="none" w:sz="0" w:space="0" w:color="auto"/>
        <w:right w:val="none" w:sz="0" w:space="0" w:color="auto"/>
      </w:divBdr>
      <w:divsChild>
        <w:div w:id="1901553369">
          <w:marLeft w:val="0"/>
          <w:marRight w:val="0"/>
          <w:marTop w:val="0"/>
          <w:marBottom w:val="0"/>
          <w:divBdr>
            <w:top w:val="none" w:sz="0" w:space="0" w:color="auto"/>
            <w:left w:val="none" w:sz="0" w:space="0" w:color="auto"/>
            <w:bottom w:val="none" w:sz="0" w:space="0" w:color="auto"/>
            <w:right w:val="none" w:sz="0" w:space="0" w:color="auto"/>
          </w:divBdr>
          <w:divsChild>
            <w:div w:id="195126332">
              <w:marLeft w:val="0"/>
              <w:marRight w:val="0"/>
              <w:marTop w:val="0"/>
              <w:marBottom w:val="0"/>
              <w:divBdr>
                <w:top w:val="none" w:sz="0" w:space="0" w:color="auto"/>
                <w:left w:val="none" w:sz="0" w:space="0" w:color="auto"/>
                <w:bottom w:val="none" w:sz="0" w:space="0" w:color="auto"/>
                <w:right w:val="none" w:sz="0" w:space="0" w:color="auto"/>
              </w:divBdr>
              <w:divsChild>
                <w:div w:id="738988250">
                  <w:marLeft w:val="0"/>
                  <w:marRight w:val="0"/>
                  <w:marTop w:val="0"/>
                  <w:marBottom w:val="0"/>
                  <w:divBdr>
                    <w:top w:val="none" w:sz="0" w:space="0" w:color="auto"/>
                    <w:left w:val="none" w:sz="0" w:space="0" w:color="auto"/>
                    <w:bottom w:val="none" w:sz="0" w:space="0" w:color="auto"/>
                    <w:right w:val="none" w:sz="0" w:space="0" w:color="auto"/>
                  </w:divBdr>
                  <w:divsChild>
                    <w:div w:id="1533422729">
                      <w:marLeft w:val="0"/>
                      <w:marRight w:val="0"/>
                      <w:marTop w:val="0"/>
                      <w:marBottom w:val="0"/>
                      <w:divBdr>
                        <w:top w:val="none" w:sz="0" w:space="0" w:color="auto"/>
                        <w:left w:val="none" w:sz="0" w:space="0" w:color="auto"/>
                        <w:bottom w:val="none" w:sz="0" w:space="0" w:color="auto"/>
                        <w:right w:val="none" w:sz="0" w:space="0" w:color="auto"/>
                      </w:divBdr>
                      <w:divsChild>
                        <w:div w:id="362291188">
                          <w:marLeft w:val="0"/>
                          <w:marRight w:val="0"/>
                          <w:marTop w:val="0"/>
                          <w:marBottom w:val="0"/>
                          <w:divBdr>
                            <w:top w:val="none" w:sz="0" w:space="0" w:color="auto"/>
                            <w:left w:val="none" w:sz="0" w:space="0" w:color="auto"/>
                            <w:bottom w:val="none" w:sz="0" w:space="0" w:color="auto"/>
                            <w:right w:val="none" w:sz="0" w:space="0" w:color="auto"/>
                          </w:divBdr>
                          <w:divsChild>
                            <w:div w:id="3956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613019">
      <w:bodyDiv w:val="1"/>
      <w:marLeft w:val="0"/>
      <w:marRight w:val="0"/>
      <w:marTop w:val="0"/>
      <w:marBottom w:val="0"/>
      <w:divBdr>
        <w:top w:val="none" w:sz="0" w:space="0" w:color="auto"/>
        <w:left w:val="none" w:sz="0" w:space="0" w:color="auto"/>
        <w:bottom w:val="none" w:sz="0" w:space="0" w:color="auto"/>
        <w:right w:val="none" w:sz="0" w:space="0" w:color="auto"/>
      </w:divBdr>
    </w:div>
    <w:div w:id="964653633">
      <w:bodyDiv w:val="1"/>
      <w:marLeft w:val="0"/>
      <w:marRight w:val="0"/>
      <w:marTop w:val="0"/>
      <w:marBottom w:val="0"/>
      <w:divBdr>
        <w:top w:val="none" w:sz="0" w:space="0" w:color="auto"/>
        <w:left w:val="none" w:sz="0" w:space="0" w:color="auto"/>
        <w:bottom w:val="none" w:sz="0" w:space="0" w:color="auto"/>
        <w:right w:val="none" w:sz="0" w:space="0" w:color="auto"/>
      </w:divBdr>
    </w:div>
    <w:div w:id="1069156162">
      <w:bodyDiv w:val="1"/>
      <w:marLeft w:val="0"/>
      <w:marRight w:val="0"/>
      <w:marTop w:val="0"/>
      <w:marBottom w:val="0"/>
      <w:divBdr>
        <w:top w:val="none" w:sz="0" w:space="0" w:color="auto"/>
        <w:left w:val="none" w:sz="0" w:space="0" w:color="auto"/>
        <w:bottom w:val="none" w:sz="0" w:space="0" w:color="auto"/>
        <w:right w:val="none" w:sz="0" w:space="0" w:color="auto"/>
      </w:divBdr>
    </w:div>
    <w:div w:id="1111163175">
      <w:bodyDiv w:val="1"/>
      <w:marLeft w:val="0"/>
      <w:marRight w:val="0"/>
      <w:marTop w:val="0"/>
      <w:marBottom w:val="0"/>
      <w:divBdr>
        <w:top w:val="none" w:sz="0" w:space="0" w:color="auto"/>
        <w:left w:val="none" w:sz="0" w:space="0" w:color="auto"/>
        <w:bottom w:val="none" w:sz="0" w:space="0" w:color="auto"/>
        <w:right w:val="none" w:sz="0" w:space="0" w:color="auto"/>
      </w:divBdr>
    </w:div>
    <w:div w:id="1115058254">
      <w:bodyDiv w:val="1"/>
      <w:marLeft w:val="0"/>
      <w:marRight w:val="0"/>
      <w:marTop w:val="0"/>
      <w:marBottom w:val="0"/>
      <w:divBdr>
        <w:top w:val="none" w:sz="0" w:space="0" w:color="auto"/>
        <w:left w:val="none" w:sz="0" w:space="0" w:color="auto"/>
        <w:bottom w:val="none" w:sz="0" w:space="0" w:color="auto"/>
        <w:right w:val="none" w:sz="0" w:space="0" w:color="auto"/>
      </w:divBdr>
    </w:div>
    <w:div w:id="1135026575">
      <w:bodyDiv w:val="1"/>
      <w:marLeft w:val="0"/>
      <w:marRight w:val="0"/>
      <w:marTop w:val="0"/>
      <w:marBottom w:val="0"/>
      <w:divBdr>
        <w:top w:val="none" w:sz="0" w:space="0" w:color="auto"/>
        <w:left w:val="none" w:sz="0" w:space="0" w:color="auto"/>
        <w:bottom w:val="none" w:sz="0" w:space="0" w:color="auto"/>
        <w:right w:val="none" w:sz="0" w:space="0" w:color="auto"/>
      </w:divBdr>
    </w:div>
    <w:div w:id="1137408700">
      <w:bodyDiv w:val="1"/>
      <w:marLeft w:val="0"/>
      <w:marRight w:val="0"/>
      <w:marTop w:val="0"/>
      <w:marBottom w:val="0"/>
      <w:divBdr>
        <w:top w:val="none" w:sz="0" w:space="0" w:color="auto"/>
        <w:left w:val="none" w:sz="0" w:space="0" w:color="auto"/>
        <w:bottom w:val="none" w:sz="0" w:space="0" w:color="auto"/>
        <w:right w:val="none" w:sz="0" w:space="0" w:color="auto"/>
      </w:divBdr>
    </w:div>
    <w:div w:id="1221399756">
      <w:bodyDiv w:val="1"/>
      <w:marLeft w:val="0"/>
      <w:marRight w:val="0"/>
      <w:marTop w:val="0"/>
      <w:marBottom w:val="0"/>
      <w:divBdr>
        <w:top w:val="none" w:sz="0" w:space="0" w:color="auto"/>
        <w:left w:val="none" w:sz="0" w:space="0" w:color="auto"/>
        <w:bottom w:val="none" w:sz="0" w:space="0" w:color="auto"/>
        <w:right w:val="none" w:sz="0" w:space="0" w:color="auto"/>
      </w:divBdr>
    </w:div>
    <w:div w:id="1338078319">
      <w:bodyDiv w:val="1"/>
      <w:marLeft w:val="0"/>
      <w:marRight w:val="0"/>
      <w:marTop w:val="0"/>
      <w:marBottom w:val="0"/>
      <w:divBdr>
        <w:top w:val="none" w:sz="0" w:space="0" w:color="auto"/>
        <w:left w:val="none" w:sz="0" w:space="0" w:color="auto"/>
        <w:bottom w:val="none" w:sz="0" w:space="0" w:color="auto"/>
        <w:right w:val="none" w:sz="0" w:space="0" w:color="auto"/>
      </w:divBdr>
    </w:div>
    <w:div w:id="1379091017">
      <w:bodyDiv w:val="1"/>
      <w:marLeft w:val="0"/>
      <w:marRight w:val="0"/>
      <w:marTop w:val="0"/>
      <w:marBottom w:val="0"/>
      <w:divBdr>
        <w:top w:val="none" w:sz="0" w:space="0" w:color="auto"/>
        <w:left w:val="none" w:sz="0" w:space="0" w:color="auto"/>
        <w:bottom w:val="none" w:sz="0" w:space="0" w:color="auto"/>
        <w:right w:val="none" w:sz="0" w:space="0" w:color="auto"/>
      </w:divBdr>
    </w:div>
    <w:div w:id="1457210712">
      <w:bodyDiv w:val="1"/>
      <w:marLeft w:val="0"/>
      <w:marRight w:val="0"/>
      <w:marTop w:val="0"/>
      <w:marBottom w:val="0"/>
      <w:divBdr>
        <w:top w:val="none" w:sz="0" w:space="0" w:color="auto"/>
        <w:left w:val="none" w:sz="0" w:space="0" w:color="auto"/>
        <w:bottom w:val="none" w:sz="0" w:space="0" w:color="auto"/>
        <w:right w:val="none" w:sz="0" w:space="0" w:color="auto"/>
      </w:divBdr>
    </w:div>
    <w:div w:id="1484663591">
      <w:bodyDiv w:val="1"/>
      <w:marLeft w:val="0"/>
      <w:marRight w:val="0"/>
      <w:marTop w:val="0"/>
      <w:marBottom w:val="0"/>
      <w:divBdr>
        <w:top w:val="none" w:sz="0" w:space="0" w:color="auto"/>
        <w:left w:val="none" w:sz="0" w:space="0" w:color="auto"/>
        <w:bottom w:val="none" w:sz="0" w:space="0" w:color="auto"/>
        <w:right w:val="none" w:sz="0" w:space="0" w:color="auto"/>
      </w:divBdr>
    </w:div>
    <w:div w:id="1550071917">
      <w:bodyDiv w:val="1"/>
      <w:marLeft w:val="0"/>
      <w:marRight w:val="0"/>
      <w:marTop w:val="0"/>
      <w:marBottom w:val="0"/>
      <w:divBdr>
        <w:top w:val="none" w:sz="0" w:space="0" w:color="auto"/>
        <w:left w:val="none" w:sz="0" w:space="0" w:color="auto"/>
        <w:bottom w:val="none" w:sz="0" w:space="0" w:color="auto"/>
        <w:right w:val="none" w:sz="0" w:space="0" w:color="auto"/>
      </w:divBdr>
    </w:div>
    <w:div w:id="1603341839">
      <w:bodyDiv w:val="1"/>
      <w:marLeft w:val="0"/>
      <w:marRight w:val="0"/>
      <w:marTop w:val="0"/>
      <w:marBottom w:val="0"/>
      <w:divBdr>
        <w:top w:val="none" w:sz="0" w:space="0" w:color="auto"/>
        <w:left w:val="none" w:sz="0" w:space="0" w:color="auto"/>
        <w:bottom w:val="none" w:sz="0" w:space="0" w:color="auto"/>
        <w:right w:val="none" w:sz="0" w:space="0" w:color="auto"/>
      </w:divBdr>
    </w:div>
    <w:div w:id="1677148322">
      <w:bodyDiv w:val="1"/>
      <w:marLeft w:val="0"/>
      <w:marRight w:val="0"/>
      <w:marTop w:val="0"/>
      <w:marBottom w:val="0"/>
      <w:divBdr>
        <w:top w:val="none" w:sz="0" w:space="0" w:color="auto"/>
        <w:left w:val="none" w:sz="0" w:space="0" w:color="auto"/>
        <w:bottom w:val="none" w:sz="0" w:space="0" w:color="auto"/>
        <w:right w:val="none" w:sz="0" w:space="0" w:color="auto"/>
      </w:divBdr>
    </w:div>
    <w:div w:id="1677995894">
      <w:bodyDiv w:val="1"/>
      <w:marLeft w:val="0"/>
      <w:marRight w:val="0"/>
      <w:marTop w:val="0"/>
      <w:marBottom w:val="0"/>
      <w:divBdr>
        <w:top w:val="none" w:sz="0" w:space="0" w:color="auto"/>
        <w:left w:val="none" w:sz="0" w:space="0" w:color="auto"/>
        <w:bottom w:val="none" w:sz="0" w:space="0" w:color="auto"/>
        <w:right w:val="none" w:sz="0" w:space="0" w:color="auto"/>
      </w:divBdr>
    </w:div>
    <w:div w:id="1727148530">
      <w:bodyDiv w:val="1"/>
      <w:marLeft w:val="0"/>
      <w:marRight w:val="0"/>
      <w:marTop w:val="0"/>
      <w:marBottom w:val="0"/>
      <w:divBdr>
        <w:top w:val="none" w:sz="0" w:space="0" w:color="auto"/>
        <w:left w:val="none" w:sz="0" w:space="0" w:color="auto"/>
        <w:bottom w:val="none" w:sz="0" w:space="0" w:color="auto"/>
        <w:right w:val="none" w:sz="0" w:space="0" w:color="auto"/>
      </w:divBdr>
    </w:div>
    <w:div w:id="1809280643">
      <w:bodyDiv w:val="1"/>
      <w:marLeft w:val="0"/>
      <w:marRight w:val="0"/>
      <w:marTop w:val="0"/>
      <w:marBottom w:val="0"/>
      <w:divBdr>
        <w:top w:val="none" w:sz="0" w:space="0" w:color="auto"/>
        <w:left w:val="none" w:sz="0" w:space="0" w:color="auto"/>
        <w:bottom w:val="none" w:sz="0" w:space="0" w:color="auto"/>
        <w:right w:val="none" w:sz="0" w:space="0" w:color="auto"/>
      </w:divBdr>
    </w:div>
    <w:div w:id="1813592921">
      <w:bodyDiv w:val="1"/>
      <w:marLeft w:val="0"/>
      <w:marRight w:val="0"/>
      <w:marTop w:val="0"/>
      <w:marBottom w:val="0"/>
      <w:divBdr>
        <w:top w:val="none" w:sz="0" w:space="0" w:color="auto"/>
        <w:left w:val="none" w:sz="0" w:space="0" w:color="auto"/>
        <w:bottom w:val="none" w:sz="0" w:space="0" w:color="auto"/>
        <w:right w:val="none" w:sz="0" w:space="0" w:color="auto"/>
      </w:divBdr>
    </w:div>
    <w:div w:id="1880121208">
      <w:bodyDiv w:val="1"/>
      <w:marLeft w:val="0"/>
      <w:marRight w:val="0"/>
      <w:marTop w:val="0"/>
      <w:marBottom w:val="0"/>
      <w:divBdr>
        <w:top w:val="none" w:sz="0" w:space="0" w:color="auto"/>
        <w:left w:val="none" w:sz="0" w:space="0" w:color="auto"/>
        <w:bottom w:val="none" w:sz="0" w:space="0" w:color="auto"/>
        <w:right w:val="none" w:sz="0" w:space="0" w:color="auto"/>
      </w:divBdr>
    </w:div>
    <w:div w:id="1925602670">
      <w:bodyDiv w:val="1"/>
      <w:marLeft w:val="0"/>
      <w:marRight w:val="0"/>
      <w:marTop w:val="0"/>
      <w:marBottom w:val="0"/>
      <w:divBdr>
        <w:top w:val="none" w:sz="0" w:space="0" w:color="auto"/>
        <w:left w:val="none" w:sz="0" w:space="0" w:color="auto"/>
        <w:bottom w:val="none" w:sz="0" w:space="0" w:color="auto"/>
        <w:right w:val="none" w:sz="0" w:space="0" w:color="auto"/>
      </w:divBdr>
    </w:div>
    <w:div w:id="2038463378">
      <w:bodyDiv w:val="1"/>
      <w:marLeft w:val="0"/>
      <w:marRight w:val="0"/>
      <w:marTop w:val="0"/>
      <w:marBottom w:val="0"/>
      <w:divBdr>
        <w:top w:val="none" w:sz="0" w:space="0" w:color="auto"/>
        <w:left w:val="none" w:sz="0" w:space="0" w:color="auto"/>
        <w:bottom w:val="none" w:sz="0" w:space="0" w:color="auto"/>
        <w:right w:val="none" w:sz="0" w:space="0" w:color="auto"/>
      </w:divBdr>
    </w:div>
    <w:div w:id="210294494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hyperlink" Target="http://www.uptodate.com/contents/fosaprepitant-intravenous-aprepitant-drug-information?source=see_link" TargetMode="Externa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uptodate.com/contents/ondansetron-drug-information?source=see_link" TargetMode="External"/><Relationship Id="rId3" Type="http://schemas.openxmlformats.org/officeDocument/2006/relationships/hyperlink" Target="https://en.wikipedia.org/wiki/CKM_(gene)" TargetMode="External"/><Relationship Id="rId7" Type="http://schemas.openxmlformats.org/officeDocument/2006/relationships/hyperlink" Target="http://www.uptodate.com/contents/dexamethasone-drug-information?source=see_link" TargetMode="External"/><Relationship Id="rId2" Type="http://schemas.openxmlformats.org/officeDocument/2006/relationships/hyperlink" Target="https://en.wikipedia.org/wiki/Acute_myocardial_infarction" TargetMode="External"/><Relationship Id="rId1" Type="http://schemas.openxmlformats.org/officeDocument/2006/relationships/hyperlink" Target="https://en.wikipedia.org/wiki/Cardiac_marker" TargetMode="External"/><Relationship Id="rId6" Type="http://schemas.openxmlformats.org/officeDocument/2006/relationships/hyperlink" Target="http://www.uptodate.com/contents/cisplatin-drug-information?source=see_link" TargetMode="External"/><Relationship Id="rId5" Type="http://schemas.openxmlformats.org/officeDocument/2006/relationships/hyperlink" Target="https://en.wikipedia.org/wiki/Phosphocreatine_kinase" TargetMode="External"/><Relationship Id="rId4" Type="http://schemas.openxmlformats.org/officeDocument/2006/relationships/hyperlink" Target="https://en.wikipedia.org/wiki/CKB_(gen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72\R12%20926607%20%20AusPA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98E2-55D4-4372-97AF-D156D312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TotalTime>
  <Pages>88</Pages>
  <Words>34126</Words>
  <Characters>194523</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Australian Public Assessment Report for Netupitant / palonosetron (as hydrochloride)</vt:lpstr>
    </vt:vector>
  </TitlesOfParts>
  <Company>Department of Health Therapeutic Goods Administration</Company>
  <LinksUpToDate>false</LinksUpToDate>
  <CharactersWithSpaces>228193</CharactersWithSpaces>
  <SharedDoc>false</SharedDoc>
  <HLinks>
    <vt:vector size="372" baseType="variant">
      <vt:variant>
        <vt:i4>3473445</vt:i4>
      </vt:variant>
      <vt:variant>
        <vt:i4>309</vt:i4>
      </vt:variant>
      <vt:variant>
        <vt:i4>0</vt:i4>
      </vt:variant>
      <vt:variant>
        <vt:i4>5</vt:i4>
      </vt:variant>
      <vt:variant>
        <vt:lpwstr>https://www.tga.gov.au/</vt:lpwstr>
      </vt:variant>
      <vt:variant>
        <vt:lpwstr/>
      </vt:variant>
      <vt:variant>
        <vt:i4>5242926</vt:i4>
      </vt:variant>
      <vt:variant>
        <vt:i4>306</vt:i4>
      </vt:variant>
      <vt:variant>
        <vt:i4>0</vt:i4>
      </vt:variant>
      <vt:variant>
        <vt:i4>5</vt:i4>
      </vt:variant>
      <vt:variant>
        <vt:lpwstr>mailto:info@tga.gov.au</vt:lpwstr>
      </vt:variant>
      <vt:variant>
        <vt:lpwstr/>
      </vt:variant>
      <vt:variant>
        <vt:i4>4194312</vt:i4>
      </vt:variant>
      <vt:variant>
        <vt:i4>303</vt:i4>
      </vt:variant>
      <vt:variant>
        <vt:i4>0</vt:i4>
      </vt:variant>
      <vt:variant>
        <vt:i4>5</vt:i4>
      </vt:variant>
      <vt:variant>
        <vt:lpwstr>https://www.tga.gov.au/product-information-pi</vt:lpwstr>
      </vt:variant>
      <vt:variant>
        <vt:lpwstr/>
      </vt:variant>
      <vt:variant>
        <vt:i4>1114208</vt:i4>
      </vt:variant>
      <vt:variant>
        <vt:i4>297</vt:i4>
      </vt:variant>
      <vt:variant>
        <vt:i4>0</vt:i4>
      </vt:variant>
      <vt:variant>
        <vt:i4>5</vt:i4>
      </vt:variant>
      <vt:variant>
        <vt:lpwstr>http://www.uptodate.com/contents/fosaprepitant-intravenous-aprepitant-drug-information?source=see_link</vt:lpwstr>
      </vt:variant>
      <vt:variant>
        <vt:lpwstr/>
      </vt:variant>
      <vt:variant>
        <vt:i4>6815751</vt:i4>
      </vt:variant>
      <vt:variant>
        <vt:i4>294</vt:i4>
      </vt:variant>
      <vt:variant>
        <vt:i4>0</vt:i4>
      </vt:variant>
      <vt:variant>
        <vt:i4>5</vt:i4>
      </vt:variant>
      <vt:variant>
        <vt:lpwstr>http://www.uptodate.com/contents/aprepitant-drug-information?source=see_link</vt:lpwstr>
      </vt:variant>
      <vt:variant>
        <vt:lpwstr/>
      </vt:variant>
      <vt:variant>
        <vt:i4>4194312</vt:i4>
      </vt:variant>
      <vt:variant>
        <vt:i4>285</vt:i4>
      </vt:variant>
      <vt:variant>
        <vt:i4>0</vt:i4>
      </vt:variant>
      <vt:variant>
        <vt:i4>5</vt:i4>
      </vt:variant>
      <vt:variant>
        <vt:lpwstr>https://www.tga.gov.au/product-information-pi</vt:lpwstr>
      </vt:variant>
      <vt:variant>
        <vt:lpwstr/>
      </vt:variant>
      <vt:variant>
        <vt:i4>1441845</vt:i4>
      </vt:variant>
      <vt:variant>
        <vt:i4>278</vt:i4>
      </vt:variant>
      <vt:variant>
        <vt:i4>0</vt:i4>
      </vt:variant>
      <vt:variant>
        <vt:i4>5</vt:i4>
      </vt:variant>
      <vt:variant>
        <vt:lpwstr/>
      </vt:variant>
      <vt:variant>
        <vt:lpwstr>_Toc461699980</vt:lpwstr>
      </vt:variant>
      <vt:variant>
        <vt:i4>1638453</vt:i4>
      </vt:variant>
      <vt:variant>
        <vt:i4>272</vt:i4>
      </vt:variant>
      <vt:variant>
        <vt:i4>0</vt:i4>
      </vt:variant>
      <vt:variant>
        <vt:i4>5</vt:i4>
      </vt:variant>
      <vt:variant>
        <vt:lpwstr/>
      </vt:variant>
      <vt:variant>
        <vt:lpwstr>_Toc461699979</vt:lpwstr>
      </vt:variant>
      <vt:variant>
        <vt:i4>1638453</vt:i4>
      </vt:variant>
      <vt:variant>
        <vt:i4>266</vt:i4>
      </vt:variant>
      <vt:variant>
        <vt:i4>0</vt:i4>
      </vt:variant>
      <vt:variant>
        <vt:i4>5</vt:i4>
      </vt:variant>
      <vt:variant>
        <vt:lpwstr/>
      </vt:variant>
      <vt:variant>
        <vt:lpwstr>_Toc461699978</vt:lpwstr>
      </vt:variant>
      <vt:variant>
        <vt:i4>1638453</vt:i4>
      </vt:variant>
      <vt:variant>
        <vt:i4>260</vt:i4>
      </vt:variant>
      <vt:variant>
        <vt:i4>0</vt:i4>
      </vt:variant>
      <vt:variant>
        <vt:i4>5</vt:i4>
      </vt:variant>
      <vt:variant>
        <vt:lpwstr/>
      </vt:variant>
      <vt:variant>
        <vt:lpwstr>_Toc461699977</vt:lpwstr>
      </vt:variant>
      <vt:variant>
        <vt:i4>1638453</vt:i4>
      </vt:variant>
      <vt:variant>
        <vt:i4>254</vt:i4>
      </vt:variant>
      <vt:variant>
        <vt:i4>0</vt:i4>
      </vt:variant>
      <vt:variant>
        <vt:i4>5</vt:i4>
      </vt:variant>
      <vt:variant>
        <vt:lpwstr/>
      </vt:variant>
      <vt:variant>
        <vt:lpwstr>_Toc461699976</vt:lpwstr>
      </vt:variant>
      <vt:variant>
        <vt:i4>1638453</vt:i4>
      </vt:variant>
      <vt:variant>
        <vt:i4>248</vt:i4>
      </vt:variant>
      <vt:variant>
        <vt:i4>0</vt:i4>
      </vt:variant>
      <vt:variant>
        <vt:i4>5</vt:i4>
      </vt:variant>
      <vt:variant>
        <vt:lpwstr/>
      </vt:variant>
      <vt:variant>
        <vt:lpwstr>_Toc461699975</vt:lpwstr>
      </vt:variant>
      <vt:variant>
        <vt:i4>1638453</vt:i4>
      </vt:variant>
      <vt:variant>
        <vt:i4>242</vt:i4>
      </vt:variant>
      <vt:variant>
        <vt:i4>0</vt:i4>
      </vt:variant>
      <vt:variant>
        <vt:i4>5</vt:i4>
      </vt:variant>
      <vt:variant>
        <vt:lpwstr/>
      </vt:variant>
      <vt:variant>
        <vt:lpwstr>_Toc461699974</vt:lpwstr>
      </vt:variant>
      <vt:variant>
        <vt:i4>1638453</vt:i4>
      </vt:variant>
      <vt:variant>
        <vt:i4>236</vt:i4>
      </vt:variant>
      <vt:variant>
        <vt:i4>0</vt:i4>
      </vt:variant>
      <vt:variant>
        <vt:i4>5</vt:i4>
      </vt:variant>
      <vt:variant>
        <vt:lpwstr/>
      </vt:variant>
      <vt:variant>
        <vt:lpwstr>_Toc461699973</vt:lpwstr>
      </vt:variant>
      <vt:variant>
        <vt:i4>1638453</vt:i4>
      </vt:variant>
      <vt:variant>
        <vt:i4>230</vt:i4>
      </vt:variant>
      <vt:variant>
        <vt:i4>0</vt:i4>
      </vt:variant>
      <vt:variant>
        <vt:i4>5</vt:i4>
      </vt:variant>
      <vt:variant>
        <vt:lpwstr/>
      </vt:variant>
      <vt:variant>
        <vt:lpwstr>_Toc461699972</vt:lpwstr>
      </vt:variant>
      <vt:variant>
        <vt:i4>1638453</vt:i4>
      </vt:variant>
      <vt:variant>
        <vt:i4>224</vt:i4>
      </vt:variant>
      <vt:variant>
        <vt:i4>0</vt:i4>
      </vt:variant>
      <vt:variant>
        <vt:i4>5</vt:i4>
      </vt:variant>
      <vt:variant>
        <vt:lpwstr/>
      </vt:variant>
      <vt:variant>
        <vt:lpwstr>_Toc461699971</vt:lpwstr>
      </vt:variant>
      <vt:variant>
        <vt:i4>1638453</vt:i4>
      </vt:variant>
      <vt:variant>
        <vt:i4>218</vt:i4>
      </vt:variant>
      <vt:variant>
        <vt:i4>0</vt:i4>
      </vt:variant>
      <vt:variant>
        <vt:i4>5</vt:i4>
      </vt:variant>
      <vt:variant>
        <vt:lpwstr/>
      </vt:variant>
      <vt:variant>
        <vt:lpwstr>_Toc461699970</vt:lpwstr>
      </vt:variant>
      <vt:variant>
        <vt:i4>1572917</vt:i4>
      </vt:variant>
      <vt:variant>
        <vt:i4>212</vt:i4>
      </vt:variant>
      <vt:variant>
        <vt:i4>0</vt:i4>
      </vt:variant>
      <vt:variant>
        <vt:i4>5</vt:i4>
      </vt:variant>
      <vt:variant>
        <vt:lpwstr/>
      </vt:variant>
      <vt:variant>
        <vt:lpwstr>_Toc461699969</vt:lpwstr>
      </vt:variant>
      <vt:variant>
        <vt:i4>1572917</vt:i4>
      </vt:variant>
      <vt:variant>
        <vt:i4>206</vt:i4>
      </vt:variant>
      <vt:variant>
        <vt:i4>0</vt:i4>
      </vt:variant>
      <vt:variant>
        <vt:i4>5</vt:i4>
      </vt:variant>
      <vt:variant>
        <vt:lpwstr/>
      </vt:variant>
      <vt:variant>
        <vt:lpwstr>_Toc461699968</vt:lpwstr>
      </vt:variant>
      <vt:variant>
        <vt:i4>1572917</vt:i4>
      </vt:variant>
      <vt:variant>
        <vt:i4>200</vt:i4>
      </vt:variant>
      <vt:variant>
        <vt:i4>0</vt:i4>
      </vt:variant>
      <vt:variant>
        <vt:i4>5</vt:i4>
      </vt:variant>
      <vt:variant>
        <vt:lpwstr/>
      </vt:variant>
      <vt:variant>
        <vt:lpwstr>_Toc461699967</vt:lpwstr>
      </vt:variant>
      <vt:variant>
        <vt:i4>1572917</vt:i4>
      </vt:variant>
      <vt:variant>
        <vt:i4>194</vt:i4>
      </vt:variant>
      <vt:variant>
        <vt:i4>0</vt:i4>
      </vt:variant>
      <vt:variant>
        <vt:i4>5</vt:i4>
      </vt:variant>
      <vt:variant>
        <vt:lpwstr/>
      </vt:variant>
      <vt:variant>
        <vt:lpwstr>_Toc461699966</vt:lpwstr>
      </vt:variant>
      <vt:variant>
        <vt:i4>1572917</vt:i4>
      </vt:variant>
      <vt:variant>
        <vt:i4>188</vt:i4>
      </vt:variant>
      <vt:variant>
        <vt:i4>0</vt:i4>
      </vt:variant>
      <vt:variant>
        <vt:i4>5</vt:i4>
      </vt:variant>
      <vt:variant>
        <vt:lpwstr/>
      </vt:variant>
      <vt:variant>
        <vt:lpwstr>_Toc461699965</vt:lpwstr>
      </vt:variant>
      <vt:variant>
        <vt:i4>1572917</vt:i4>
      </vt:variant>
      <vt:variant>
        <vt:i4>182</vt:i4>
      </vt:variant>
      <vt:variant>
        <vt:i4>0</vt:i4>
      </vt:variant>
      <vt:variant>
        <vt:i4>5</vt:i4>
      </vt:variant>
      <vt:variant>
        <vt:lpwstr/>
      </vt:variant>
      <vt:variant>
        <vt:lpwstr>_Toc461699964</vt:lpwstr>
      </vt:variant>
      <vt:variant>
        <vt:i4>1572917</vt:i4>
      </vt:variant>
      <vt:variant>
        <vt:i4>176</vt:i4>
      </vt:variant>
      <vt:variant>
        <vt:i4>0</vt:i4>
      </vt:variant>
      <vt:variant>
        <vt:i4>5</vt:i4>
      </vt:variant>
      <vt:variant>
        <vt:lpwstr/>
      </vt:variant>
      <vt:variant>
        <vt:lpwstr>_Toc461699963</vt:lpwstr>
      </vt:variant>
      <vt:variant>
        <vt:i4>1572917</vt:i4>
      </vt:variant>
      <vt:variant>
        <vt:i4>170</vt:i4>
      </vt:variant>
      <vt:variant>
        <vt:i4>0</vt:i4>
      </vt:variant>
      <vt:variant>
        <vt:i4>5</vt:i4>
      </vt:variant>
      <vt:variant>
        <vt:lpwstr/>
      </vt:variant>
      <vt:variant>
        <vt:lpwstr>_Toc461699962</vt:lpwstr>
      </vt:variant>
      <vt:variant>
        <vt:i4>1572917</vt:i4>
      </vt:variant>
      <vt:variant>
        <vt:i4>164</vt:i4>
      </vt:variant>
      <vt:variant>
        <vt:i4>0</vt:i4>
      </vt:variant>
      <vt:variant>
        <vt:i4>5</vt:i4>
      </vt:variant>
      <vt:variant>
        <vt:lpwstr/>
      </vt:variant>
      <vt:variant>
        <vt:lpwstr>_Toc461699961</vt:lpwstr>
      </vt:variant>
      <vt:variant>
        <vt:i4>1572917</vt:i4>
      </vt:variant>
      <vt:variant>
        <vt:i4>158</vt:i4>
      </vt:variant>
      <vt:variant>
        <vt:i4>0</vt:i4>
      </vt:variant>
      <vt:variant>
        <vt:i4>5</vt:i4>
      </vt:variant>
      <vt:variant>
        <vt:lpwstr/>
      </vt:variant>
      <vt:variant>
        <vt:lpwstr>_Toc461699960</vt:lpwstr>
      </vt:variant>
      <vt:variant>
        <vt:i4>1769525</vt:i4>
      </vt:variant>
      <vt:variant>
        <vt:i4>152</vt:i4>
      </vt:variant>
      <vt:variant>
        <vt:i4>0</vt:i4>
      </vt:variant>
      <vt:variant>
        <vt:i4>5</vt:i4>
      </vt:variant>
      <vt:variant>
        <vt:lpwstr/>
      </vt:variant>
      <vt:variant>
        <vt:lpwstr>_Toc461699959</vt:lpwstr>
      </vt:variant>
      <vt:variant>
        <vt:i4>1769525</vt:i4>
      </vt:variant>
      <vt:variant>
        <vt:i4>146</vt:i4>
      </vt:variant>
      <vt:variant>
        <vt:i4>0</vt:i4>
      </vt:variant>
      <vt:variant>
        <vt:i4>5</vt:i4>
      </vt:variant>
      <vt:variant>
        <vt:lpwstr/>
      </vt:variant>
      <vt:variant>
        <vt:lpwstr>_Toc461699958</vt:lpwstr>
      </vt:variant>
      <vt:variant>
        <vt:i4>1769525</vt:i4>
      </vt:variant>
      <vt:variant>
        <vt:i4>140</vt:i4>
      </vt:variant>
      <vt:variant>
        <vt:i4>0</vt:i4>
      </vt:variant>
      <vt:variant>
        <vt:i4>5</vt:i4>
      </vt:variant>
      <vt:variant>
        <vt:lpwstr/>
      </vt:variant>
      <vt:variant>
        <vt:lpwstr>_Toc461699957</vt:lpwstr>
      </vt:variant>
      <vt:variant>
        <vt:i4>1769525</vt:i4>
      </vt:variant>
      <vt:variant>
        <vt:i4>134</vt:i4>
      </vt:variant>
      <vt:variant>
        <vt:i4>0</vt:i4>
      </vt:variant>
      <vt:variant>
        <vt:i4>5</vt:i4>
      </vt:variant>
      <vt:variant>
        <vt:lpwstr/>
      </vt:variant>
      <vt:variant>
        <vt:lpwstr>_Toc461699956</vt:lpwstr>
      </vt:variant>
      <vt:variant>
        <vt:i4>1769525</vt:i4>
      </vt:variant>
      <vt:variant>
        <vt:i4>128</vt:i4>
      </vt:variant>
      <vt:variant>
        <vt:i4>0</vt:i4>
      </vt:variant>
      <vt:variant>
        <vt:i4>5</vt:i4>
      </vt:variant>
      <vt:variant>
        <vt:lpwstr/>
      </vt:variant>
      <vt:variant>
        <vt:lpwstr>_Toc461699955</vt:lpwstr>
      </vt:variant>
      <vt:variant>
        <vt:i4>1769525</vt:i4>
      </vt:variant>
      <vt:variant>
        <vt:i4>122</vt:i4>
      </vt:variant>
      <vt:variant>
        <vt:i4>0</vt:i4>
      </vt:variant>
      <vt:variant>
        <vt:i4>5</vt:i4>
      </vt:variant>
      <vt:variant>
        <vt:lpwstr/>
      </vt:variant>
      <vt:variant>
        <vt:lpwstr>_Toc461699954</vt:lpwstr>
      </vt:variant>
      <vt:variant>
        <vt:i4>1769525</vt:i4>
      </vt:variant>
      <vt:variant>
        <vt:i4>116</vt:i4>
      </vt:variant>
      <vt:variant>
        <vt:i4>0</vt:i4>
      </vt:variant>
      <vt:variant>
        <vt:i4>5</vt:i4>
      </vt:variant>
      <vt:variant>
        <vt:lpwstr/>
      </vt:variant>
      <vt:variant>
        <vt:lpwstr>_Toc461699953</vt:lpwstr>
      </vt:variant>
      <vt:variant>
        <vt:i4>1769525</vt:i4>
      </vt:variant>
      <vt:variant>
        <vt:i4>110</vt:i4>
      </vt:variant>
      <vt:variant>
        <vt:i4>0</vt:i4>
      </vt:variant>
      <vt:variant>
        <vt:i4>5</vt:i4>
      </vt:variant>
      <vt:variant>
        <vt:lpwstr/>
      </vt:variant>
      <vt:variant>
        <vt:lpwstr>_Toc461699952</vt:lpwstr>
      </vt:variant>
      <vt:variant>
        <vt:i4>1769525</vt:i4>
      </vt:variant>
      <vt:variant>
        <vt:i4>104</vt:i4>
      </vt:variant>
      <vt:variant>
        <vt:i4>0</vt:i4>
      </vt:variant>
      <vt:variant>
        <vt:i4>5</vt:i4>
      </vt:variant>
      <vt:variant>
        <vt:lpwstr/>
      </vt:variant>
      <vt:variant>
        <vt:lpwstr>_Toc461699951</vt:lpwstr>
      </vt:variant>
      <vt:variant>
        <vt:i4>1769525</vt:i4>
      </vt:variant>
      <vt:variant>
        <vt:i4>98</vt:i4>
      </vt:variant>
      <vt:variant>
        <vt:i4>0</vt:i4>
      </vt:variant>
      <vt:variant>
        <vt:i4>5</vt:i4>
      </vt:variant>
      <vt:variant>
        <vt:lpwstr/>
      </vt:variant>
      <vt:variant>
        <vt:lpwstr>_Toc461699950</vt:lpwstr>
      </vt:variant>
      <vt:variant>
        <vt:i4>1703989</vt:i4>
      </vt:variant>
      <vt:variant>
        <vt:i4>92</vt:i4>
      </vt:variant>
      <vt:variant>
        <vt:i4>0</vt:i4>
      </vt:variant>
      <vt:variant>
        <vt:i4>5</vt:i4>
      </vt:variant>
      <vt:variant>
        <vt:lpwstr/>
      </vt:variant>
      <vt:variant>
        <vt:lpwstr>_Toc461699949</vt:lpwstr>
      </vt:variant>
      <vt:variant>
        <vt:i4>1703989</vt:i4>
      </vt:variant>
      <vt:variant>
        <vt:i4>86</vt:i4>
      </vt:variant>
      <vt:variant>
        <vt:i4>0</vt:i4>
      </vt:variant>
      <vt:variant>
        <vt:i4>5</vt:i4>
      </vt:variant>
      <vt:variant>
        <vt:lpwstr/>
      </vt:variant>
      <vt:variant>
        <vt:lpwstr>_Toc461699948</vt:lpwstr>
      </vt:variant>
      <vt:variant>
        <vt:i4>1703989</vt:i4>
      </vt:variant>
      <vt:variant>
        <vt:i4>80</vt:i4>
      </vt:variant>
      <vt:variant>
        <vt:i4>0</vt:i4>
      </vt:variant>
      <vt:variant>
        <vt:i4>5</vt:i4>
      </vt:variant>
      <vt:variant>
        <vt:lpwstr/>
      </vt:variant>
      <vt:variant>
        <vt:lpwstr>_Toc461699947</vt:lpwstr>
      </vt:variant>
      <vt:variant>
        <vt:i4>1703989</vt:i4>
      </vt:variant>
      <vt:variant>
        <vt:i4>74</vt:i4>
      </vt:variant>
      <vt:variant>
        <vt:i4>0</vt:i4>
      </vt:variant>
      <vt:variant>
        <vt:i4>5</vt:i4>
      </vt:variant>
      <vt:variant>
        <vt:lpwstr/>
      </vt:variant>
      <vt:variant>
        <vt:lpwstr>_Toc461699946</vt:lpwstr>
      </vt:variant>
      <vt:variant>
        <vt:i4>1703989</vt:i4>
      </vt:variant>
      <vt:variant>
        <vt:i4>68</vt:i4>
      </vt:variant>
      <vt:variant>
        <vt:i4>0</vt:i4>
      </vt:variant>
      <vt:variant>
        <vt:i4>5</vt:i4>
      </vt:variant>
      <vt:variant>
        <vt:lpwstr/>
      </vt:variant>
      <vt:variant>
        <vt:lpwstr>_Toc461699945</vt:lpwstr>
      </vt:variant>
      <vt:variant>
        <vt:i4>1703989</vt:i4>
      </vt:variant>
      <vt:variant>
        <vt:i4>62</vt:i4>
      </vt:variant>
      <vt:variant>
        <vt:i4>0</vt:i4>
      </vt:variant>
      <vt:variant>
        <vt:i4>5</vt:i4>
      </vt:variant>
      <vt:variant>
        <vt:lpwstr/>
      </vt:variant>
      <vt:variant>
        <vt:lpwstr>_Toc461699944</vt:lpwstr>
      </vt:variant>
      <vt:variant>
        <vt:i4>1703989</vt:i4>
      </vt:variant>
      <vt:variant>
        <vt:i4>56</vt:i4>
      </vt:variant>
      <vt:variant>
        <vt:i4>0</vt:i4>
      </vt:variant>
      <vt:variant>
        <vt:i4>5</vt:i4>
      </vt:variant>
      <vt:variant>
        <vt:lpwstr/>
      </vt:variant>
      <vt:variant>
        <vt:lpwstr>_Toc461699943</vt:lpwstr>
      </vt:variant>
      <vt:variant>
        <vt:i4>1703989</vt:i4>
      </vt:variant>
      <vt:variant>
        <vt:i4>50</vt:i4>
      </vt:variant>
      <vt:variant>
        <vt:i4>0</vt:i4>
      </vt:variant>
      <vt:variant>
        <vt:i4>5</vt:i4>
      </vt:variant>
      <vt:variant>
        <vt:lpwstr/>
      </vt:variant>
      <vt:variant>
        <vt:lpwstr>_Toc461699942</vt:lpwstr>
      </vt:variant>
      <vt:variant>
        <vt:i4>1703989</vt:i4>
      </vt:variant>
      <vt:variant>
        <vt:i4>44</vt:i4>
      </vt:variant>
      <vt:variant>
        <vt:i4>0</vt:i4>
      </vt:variant>
      <vt:variant>
        <vt:i4>5</vt:i4>
      </vt:variant>
      <vt:variant>
        <vt:lpwstr/>
      </vt:variant>
      <vt:variant>
        <vt:lpwstr>_Toc461699941</vt:lpwstr>
      </vt:variant>
      <vt:variant>
        <vt:i4>1703989</vt:i4>
      </vt:variant>
      <vt:variant>
        <vt:i4>38</vt:i4>
      </vt:variant>
      <vt:variant>
        <vt:i4>0</vt:i4>
      </vt:variant>
      <vt:variant>
        <vt:i4>5</vt:i4>
      </vt:variant>
      <vt:variant>
        <vt:lpwstr/>
      </vt:variant>
      <vt:variant>
        <vt:lpwstr>_Toc461699940</vt:lpwstr>
      </vt:variant>
      <vt:variant>
        <vt:i4>1900597</vt:i4>
      </vt:variant>
      <vt:variant>
        <vt:i4>32</vt:i4>
      </vt:variant>
      <vt:variant>
        <vt:i4>0</vt:i4>
      </vt:variant>
      <vt:variant>
        <vt:i4>5</vt:i4>
      </vt:variant>
      <vt:variant>
        <vt:lpwstr/>
      </vt:variant>
      <vt:variant>
        <vt:lpwstr>_Toc461699939</vt:lpwstr>
      </vt:variant>
      <vt:variant>
        <vt:i4>1900597</vt:i4>
      </vt:variant>
      <vt:variant>
        <vt:i4>26</vt:i4>
      </vt:variant>
      <vt:variant>
        <vt:i4>0</vt:i4>
      </vt:variant>
      <vt:variant>
        <vt:i4>5</vt:i4>
      </vt:variant>
      <vt:variant>
        <vt:lpwstr/>
      </vt:variant>
      <vt:variant>
        <vt:lpwstr>_Toc461699938</vt:lpwstr>
      </vt:variant>
      <vt:variant>
        <vt:i4>1900597</vt:i4>
      </vt:variant>
      <vt:variant>
        <vt:i4>20</vt:i4>
      </vt:variant>
      <vt:variant>
        <vt:i4>0</vt:i4>
      </vt:variant>
      <vt:variant>
        <vt:i4>5</vt:i4>
      </vt:variant>
      <vt:variant>
        <vt:lpwstr/>
      </vt:variant>
      <vt:variant>
        <vt:lpwstr>_Toc461699937</vt:lpwstr>
      </vt:variant>
      <vt:variant>
        <vt:i4>1900597</vt:i4>
      </vt:variant>
      <vt:variant>
        <vt:i4>14</vt:i4>
      </vt:variant>
      <vt:variant>
        <vt:i4>0</vt:i4>
      </vt:variant>
      <vt:variant>
        <vt:i4>5</vt:i4>
      </vt:variant>
      <vt:variant>
        <vt:lpwstr/>
      </vt:variant>
      <vt:variant>
        <vt:lpwstr>_Toc461699936</vt:lpwstr>
      </vt:variant>
      <vt:variant>
        <vt:i4>1900597</vt:i4>
      </vt:variant>
      <vt:variant>
        <vt:i4>8</vt:i4>
      </vt:variant>
      <vt:variant>
        <vt:i4>0</vt:i4>
      </vt:variant>
      <vt:variant>
        <vt:i4>5</vt:i4>
      </vt:variant>
      <vt:variant>
        <vt:lpwstr/>
      </vt:variant>
      <vt:variant>
        <vt:lpwstr>_Toc461699935</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ariant>
        <vt:i4>5636153</vt:i4>
      </vt:variant>
      <vt:variant>
        <vt:i4>21</vt:i4>
      </vt:variant>
      <vt:variant>
        <vt:i4>0</vt:i4>
      </vt:variant>
      <vt:variant>
        <vt:i4>5</vt:i4>
      </vt:variant>
      <vt:variant>
        <vt:lpwstr>http://www.uptodate.com/contents/ondansetron-drug-information?source=see_link</vt:lpwstr>
      </vt:variant>
      <vt:variant>
        <vt:lpwstr/>
      </vt:variant>
      <vt:variant>
        <vt:i4>2359370</vt:i4>
      </vt:variant>
      <vt:variant>
        <vt:i4>18</vt:i4>
      </vt:variant>
      <vt:variant>
        <vt:i4>0</vt:i4>
      </vt:variant>
      <vt:variant>
        <vt:i4>5</vt:i4>
      </vt:variant>
      <vt:variant>
        <vt:lpwstr>http://www.uptodate.com/contents/dexamethasone-drug-information?source=see_link</vt:lpwstr>
      </vt:variant>
      <vt:variant>
        <vt:lpwstr/>
      </vt:variant>
      <vt:variant>
        <vt:i4>2883663</vt:i4>
      </vt:variant>
      <vt:variant>
        <vt:i4>15</vt:i4>
      </vt:variant>
      <vt:variant>
        <vt:i4>0</vt:i4>
      </vt:variant>
      <vt:variant>
        <vt:i4>5</vt:i4>
      </vt:variant>
      <vt:variant>
        <vt:lpwstr>http://www.uptodate.com/contents/cisplatin-drug-information?source=see_link</vt:lpwstr>
      </vt:variant>
      <vt:variant>
        <vt:lpwstr/>
      </vt:variant>
      <vt:variant>
        <vt:i4>7340061</vt:i4>
      </vt:variant>
      <vt:variant>
        <vt:i4>12</vt:i4>
      </vt:variant>
      <vt:variant>
        <vt:i4>0</vt:i4>
      </vt:variant>
      <vt:variant>
        <vt:i4>5</vt:i4>
      </vt:variant>
      <vt:variant>
        <vt:lpwstr>https://en.wikipedia.org/wiki/Phosphocreatine_kinase</vt:lpwstr>
      </vt:variant>
      <vt:variant>
        <vt:lpwstr/>
      </vt:variant>
      <vt:variant>
        <vt:i4>3735645</vt:i4>
      </vt:variant>
      <vt:variant>
        <vt:i4>9</vt:i4>
      </vt:variant>
      <vt:variant>
        <vt:i4>0</vt:i4>
      </vt:variant>
      <vt:variant>
        <vt:i4>5</vt:i4>
      </vt:variant>
      <vt:variant>
        <vt:lpwstr>https://en.wikipedia.org/wiki/CKB_(gene)</vt:lpwstr>
      </vt:variant>
      <vt:variant>
        <vt:lpwstr/>
      </vt:variant>
      <vt:variant>
        <vt:i4>3735634</vt:i4>
      </vt:variant>
      <vt:variant>
        <vt:i4>6</vt:i4>
      </vt:variant>
      <vt:variant>
        <vt:i4>0</vt:i4>
      </vt:variant>
      <vt:variant>
        <vt:i4>5</vt:i4>
      </vt:variant>
      <vt:variant>
        <vt:lpwstr>https://en.wikipedia.org/wiki/CKM_(gene)</vt:lpwstr>
      </vt:variant>
      <vt:variant>
        <vt:lpwstr/>
      </vt:variant>
      <vt:variant>
        <vt:i4>7209017</vt:i4>
      </vt:variant>
      <vt:variant>
        <vt:i4>3</vt:i4>
      </vt:variant>
      <vt:variant>
        <vt:i4>0</vt:i4>
      </vt:variant>
      <vt:variant>
        <vt:i4>5</vt:i4>
      </vt:variant>
      <vt:variant>
        <vt:lpwstr>https://en.wikipedia.org/wiki/Acute_myocardial_infarction</vt:lpwstr>
      </vt:variant>
      <vt:variant>
        <vt:lpwstr/>
      </vt:variant>
      <vt:variant>
        <vt:i4>7208981</vt:i4>
      </vt:variant>
      <vt:variant>
        <vt:i4>0</vt:i4>
      </vt:variant>
      <vt:variant>
        <vt:i4>0</vt:i4>
      </vt:variant>
      <vt:variant>
        <vt:i4>5</vt:i4>
      </vt:variant>
      <vt:variant>
        <vt:lpwstr>https://en.wikipedia.org/wiki/Cardiac_marker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Netupitant / palonosetron (as hydrochloride)</dc:title>
  <dc:subject>Prescription medicines</dc:subject>
  <dc:creator>Therapeutic Goods Administration</dc:creator>
  <cp:keywords>AusPARs</cp:keywords>
  <cp:lastModifiedBy>STARKEY, Paige</cp:lastModifiedBy>
  <cp:revision>3</cp:revision>
  <cp:lastPrinted>2016-10-27T01:45:00Z</cp:lastPrinted>
  <dcterms:created xsi:type="dcterms:W3CDTF">2016-11-15T04:18:00Z</dcterms:created>
  <dcterms:modified xsi:type="dcterms:W3CDTF">2016-11-15T04:20:00Z</dcterms:modified>
</cp:coreProperties>
</file>