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ED8E" w14:textId="038A74A4" w:rsidR="00A64B76" w:rsidRDefault="00A64B76" w:rsidP="00A64B76">
      <w:pPr>
        <w:pStyle w:val="PIHeading1"/>
        <w:spacing w:after="120"/>
      </w:pPr>
      <w:bookmarkStart w:id="0" w:name="_GoBack"/>
      <w:bookmarkEnd w:id="0"/>
      <w:r>
        <w:t>AUSTRALIAN PRODUCT INFORMATION – OFEV</w:t>
      </w:r>
      <w:r w:rsidRPr="00126A1D">
        <w:rPr>
          <w:vertAlign w:val="superscript"/>
        </w:rPr>
        <w:t>®</w:t>
      </w:r>
      <w:r>
        <w:t xml:space="preserve"> </w:t>
      </w:r>
      <w:proofErr w:type="spellStart"/>
      <w:r>
        <w:rPr>
          <w:caps w:val="0"/>
        </w:rPr>
        <w:t>nintedanib</w:t>
      </w:r>
      <w:proofErr w:type="spellEnd"/>
      <w:r>
        <w:rPr>
          <w:caps w:val="0"/>
        </w:rPr>
        <w:t xml:space="preserve"> (as </w:t>
      </w:r>
      <w:proofErr w:type="spellStart"/>
      <w:r>
        <w:rPr>
          <w:caps w:val="0"/>
        </w:rPr>
        <w:t>esilate</w:t>
      </w:r>
      <w:proofErr w:type="spellEnd"/>
      <w:r>
        <w:rPr>
          <w:caps w:val="0"/>
        </w:rPr>
        <w:t>)</w:t>
      </w:r>
      <w:r w:rsidR="00AC684F">
        <w:rPr>
          <w:caps w:val="0"/>
        </w:rPr>
        <w:t xml:space="preserve"> capsules</w:t>
      </w:r>
    </w:p>
    <w:p w14:paraId="08902A7F" w14:textId="77777777" w:rsidR="00A64B76" w:rsidRPr="00A04414" w:rsidRDefault="00A64B76" w:rsidP="00A64B76">
      <w:pPr>
        <w:pStyle w:val="PIHeading1"/>
        <w:spacing w:after="120"/>
      </w:pPr>
      <w:r>
        <w:t xml:space="preserve">1 </w:t>
      </w:r>
      <w:r w:rsidRPr="00A04414">
        <w:t>NAME OF THE MEDICINE</w:t>
      </w:r>
    </w:p>
    <w:p w14:paraId="2E9159FC" w14:textId="1DBB0003" w:rsidR="007B16E1" w:rsidRPr="00360554" w:rsidRDefault="00392B62" w:rsidP="001A7050">
      <w:pPr>
        <w:pStyle w:val="TextPI"/>
        <w:rPr>
          <w:rFonts w:cs="Arial"/>
          <w:color w:val="000000" w:themeColor="text1"/>
        </w:rPr>
      </w:pPr>
      <w:proofErr w:type="spellStart"/>
      <w:r w:rsidRPr="00360554">
        <w:rPr>
          <w:rFonts w:cs="Arial"/>
          <w:color w:val="000000" w:themeColor="text1"/>
        </w:rPr>
        <w:t>nintedanib</w:t>
      </w:r>
      <w:proofErr w:type="spellEnd"/>
      <w:r w:rsidR="0072391C" w:rsidRPr="00360554">
        <w:rPr>
          <w:rFonts w:cs="Arial"/>
          <w:color w:val="000000" w:themeColor="text1"/>
        </w:rPr>
        <w:t xml:space="preserve"> </w:t>
      </w:r>
      <w:proofErr w:type="spellStart"/>
      <w:r w:rsidRPr="00360554">
        <w:rPr>
          <w:rFonts w:cs="Arial"/>
          <w:color w:val="000000" w:themeColor="text1"/>
        </w:rPr>
        <w:t>esilate</w:t>
      </w:r>
      <w:proofErr w:type="spellEnd"/>
    </w:p>
    <w:p w14:paraId="7F33F415" w14:textId="77777777" w:rsidR="00A64B76" w:rsidRPr="00B55DB5" w:rsidRDefault="00A64B76" w:rsidP="00A64B76">
      <w:pPr>
        <w:pStyle w:val="PIHeading1"/>
        <w:spacing w:after="120"/>
        <w:rPr>
          <w:rFonts w:cs="Arial"/>
        </w:rPr>
      </w:pPr>
      <w:r>
        <w:rPr>
          <w:rFonts w:cs="Arial"/>
        </w:rPr>
        <w:t>2 QUALITATIVE AND QUANTITATIVE COMPOSITION</w:t>
      </w:r>
    </w:p>
    <w:p w14:paraId="3E898954" w14:textId="77777777" w:rsidR="008C6CF5" w:rsidRDefault="00092CC4" w:rsidP="00F41769">
      <w:pPr>
        <w:pStyle w:val="TextPI"/>
        <w:rPr>
          <w:color w:val="000000" w:themeColor="text1"/>
        </w:rPr>
      </w:pPr>
      <w:r>
        <w:rPr>
          <w:color w:val="000000" w:themeColor="text1"/>
        </w:rPr>
        <w:t>OFEV</w:t>
      </w:r>
      <w:r w:rsidR="00F41769" w:rsidRPr="00B77478">
        <w:rPr>
          <w:color w:val="000000" w:themeColor="text1"/>
        </w:rPr>
        <w:t xml:space="preserve"> </w:t>
      </w:r>
      <w:r w:rsidR="00B77478" w:rsidRPr="00B77478">
        <w:rPr>
          <w:color w:val="000000" w:themeColor="text1"/>
        </w:rPr>
        <w:t xml:space="preserve">are soft </w:t>
      </w:r>
      <w:proofErr w:type="spellStart"/>
      <w:r w:rsidR="00B77478" w:rsidRPr="00B77478">
        <w:rPr>
          <w:color w:val="000000" w:themeColor="text1"/>
        </w:rPr>
        <w:t>gelatin</w:t>
      </w:r>
      <w:proofErr w:type="spellEnd"/>
      <w:r w:rsidR="00B77478" w:rsidRPr="00B77478">
        <w:rPr>
          <w:color w:val="000000" w:themeColor="text1"/>
        </w:rPr>
        <w:t xml:space="preserve"> capsu</w:t>
      </w:r>
      <w:r w:rsidR="00B77478">
        <w:rPr>
          <w:color w:val="000000" w:themeColor="text1"/>
        </w:rPr>
        <w:t xml:space="preserve">les </w:t>
      </w:r>
      <w:r w:rsidR="00FF207C">
        <w:rPr>
          <w:color w:val="000000" w:themeColor="text1"/>
        </w:rPr>
        <w:t xml:space="preserve">for oral administration </w:t>
      </w:r>
      <w:r w:rsidR="00B77478">
        <w:rPr>
          <w:color w:val="000000" w:themeColor="text1"/>
        </w:rPr>
        <w:t xml:space="preserve">containing 100 mg or 150 mg </w:t>
      </w:r>
      <w:proofErr w:type="spellStart"/>
      <w:r w:rsidR="00B77478">
        <w:rPr>
          <w:color w:val="000000" w:themeColor="text1"/>
        </w:rPr>
        <w:t>nintedanib</w:t>
      </w:r>
      <w:proofErr w:type="spellEnd"/>
      <w:r w:rsidR="00B77478">
        <w:rPr>
          <w:color w:val="000000" w:themeColor="text1"/>
        </w:rPr>
        <w:t xml:space="preserve"> </w:t>
      </w:r>
      <w:r w:rsidR="0076317D">
        <w:rPr>
          <w:color w:val="000000" w:themeColor="text1"/>
        </w:rPr>
        <w:t xml:space="preserve">(as </w:t>
      </w:r>
      <w:proofErr w:type="spellStart"/>
      <w:r w:rsidR="0076317D">
        <w:rPr>
          <w:color w:val="000000" w:themeColor="text1"/>
        </w:rPr>
        <w:t>nintedanib</w:t>
      </w:r>
      <w:proofErr w:type="spellEnd"/>
      <w:r w:rsidR="0076317D">
        <w:rPr>
          <w:color w:val="000000" w:themeColor="text1"/>
        </w:rPr>
        <w:t xml:space="preserve"> </w:t>
      </w:r>
      <w:proofErr w:type="spellStart"/>
      <w:r w:rsidR="0076317D">
        <w:rPr>
          <w:color w:val="000000" w:themeColor="text1"/>
        </w:rPr>
        <w:t>esilate</w:t>
      </w:r>
      <w:proofErr w:type="spellEnd"/>
      <w:r w:rsidR="0076317D">
        <w:rPr>
          <w:color w:val="000000" w:themeColor="text1"/>
        </w:rPr>
        <w:t>)</w:t>
      </w:r>
      <w:r w:rsidR="00B77478">
        <w:rPr>
          <w:color w:val="000000" w:themeColor="text1"/>
        </w:rPr>
        <w:t>.</w:t>
      </w:r>
    </w:p>
    <w:p w14:paraId="2E915A09" w14:textId="44BF78AE" w:rsidR="00B107C9" w:rsidRDefault="008C6CF5" w:rsidP="00F41769">
      <w:pPr>
        <w:pStyle w:val="TextPI"/>
        <w:rPr>
          <w:color w:val="000000" w:themeColor="text1"/>
          <w:u w:val="single"/>
        </w:rPr>
      </w:pPr>
      <w:r w:rsidRPr="001C2F19">
        <w:rPr>
          <w:color w:val="000000" w:themeColor="text1"/>
          <w:u w:val="single"/>
        </w:rPr>
        <w:t>Excipients with known effect:</w:t>
      </w:r>
    </w:p>
    <w:p w14:paraId="4C65F24B" w14:textId="52EF259E" w:rsidR="004C217C" w:rsidRDefault="004C217C" w:rsidP="004C217C">
      <w:pPr>
        <w:pStyle w:val="TextPI"/>
        <w:rPr>
          <w:rFonts w:eastAsia="MS Mincho"/>
        </w:rPr>
      </w:pPr>
      <w:r w:rsidRPr="00351D7F">
        <w:rPr>
          <w:rFonts w:eastAsia="MS Mincho"/>
        </w:rPr>
        <w:t>Each OFEV 100 mg capsule co</w:t>
      </w:r>
      <w:r w:rsidR="00216867">
        <w:rPr>
          <w:rFonts w:eastAsia="MS Mincho"/>
        </w:rPr>
        <w:t>ntains 1.2 mg of soya lecithin.</w:t>
      </w:r>
    </w:p>
    <w:p w14:paraId="7E0D098C" w14:textId="21B55EFD" w:rsidR="004C217C" w:rsidRDefault="004C217C" w:rsidP="00216867">
      <w:pPr>
        <w:pStyle w:val="TextPIBullet"/>
        <w:numPr>
          <w:ilvl w:val="0"/>
          <w:numId w:val="0"/>
        </w:numPr>
        <w:spacing w:after="120"/>
        <w:rPr>
          <w:rFonts w:eastAsia="MS Mincho"/>
        </w:rPr>
      </w:pPr>
      <w:r w:rsidRPr="00351D7F">
        <w:rPr>
          <w:rFonts w:eastAsia="MS Mincho"/>
        </w:rPr>
        <w:t>Each OFEV 150 mg capsule co</w:t>
      </w:r>
      <w:r w:rsidR="00216867">
        <w:rPr>
          <w:rFonts w:eastAsia="MS Mincho"/>
        </w:rPr>
        <w:t>ntains 1.8 mg of soya lecithin.</w:t>
      </w:r>
    </w:p>
    <w:p w14:paraId="1C3784F9" w14:textId="77777777" w:rsidR="00A64B76" w:rsidRDefault="00A64B76" w:rsidP="00A64B76">
      <w:pPr>
        <w:pStyle w:val="TextPIBullet"/>
        <w:numPr>
          <w:ilvl w:val="0"/>
          <w:numId w:val="0"/>
        </w:numPr>
      </w:pPr>
      <w:r w:rsidRPr="004A5B3E">
        <w:t>For the full list of excipients, see Section 6.1 List of excipients</w:t>
      </w:r>
      <w:r>
        <w:t>.</w:t>
      </w:r>
    </w:p>
    <w:p w14:paraId="48C58CE4" w14:textId="77777777" w:rsidR="00A64B76" w:rsidRPr="00D829CE" w:rsidRDefault="00A64B76" w:rsidP="00A64B76">
      <w:pPr>
        <w:pStyle w:val="PIHeading1"/>
        <w:spacing w:after="120"/>
        <w:rPr>
          <w:rFonts w:cs="Arial"/>
        </w:rPr>
      </w:pPr>
      <w:r w:rsidRPr="00D829CE">
        <w:rPr>
          <w:rFonts w:cs="Arial"/>
        </w:rPr>
        <w:t>3 PHARMACEUTICAL FORM</w:t>
      </w:r>
    </w:p>
    <w:p w14:paraId="0B90977C" w14:textId="2BF33B84" w:rsidR="00A64B76" w:rsidRPr="00A64B76" w:rsidRDefault="00A64B76" w:rsidP="00A64B76">
      <w:pPr>
        <w:pStyle w:val="TextPI"/>
        <w:rPr>
          <w:color w:val="000000" w:themeColor="text1"/>
        </w:rPr>
      </w:pPr>
      <w:r>
        <w:t xml:space="preserve">OFEV 100 mg capsules are peach-coloured, opaque, oblong, soft </w:t>
      </w:r>
      <w:proofErr w:type="spellStart"/>
      <w:r w:rsidRPr="00A64B76">
        <w:rPr>
          <w:color w:val="000000" w:themeColor="text1"/>
        </w:rPr>
        <w:t>gelatin</w:t>
      </w:r>
      <w:proofErr w:type="spellEnd"/>
      <w:r w:rsidRPr="00A64B76">
        <w:rPr>
          <w:color w:val="000000" w:themeColor="text1"/>
        </w:rPr>
        <w:t xml:space="preserve"> capsules imprinted in black on one side with the Boehringer Ingelheim company logo and “100”. The capsules contain a br</w:t>
      </w:r>
      <w:r w:rsidR="00216867">
        <w:rPr>
          <w:color w:val="000000" w:themeColor="text1"/>
        </w:rPr>
        <w:t>ight yellow viscous suspension.</w:t>
      </w:r>
    </w:p>
    <w:p w14:paraId="5DBAD26E" w14:textId="45101E81" w:rsidR="00A64B76" w:rsidRPr="00A64B76" w:rsidRDefault="00A64B76" w:rsidP="00A64B76">
      <w:pPr>
        <w:pStyle w:val="TextPI"/>
        <w:rPr>
          <w:color w:val="000000" w:themeColor="text1"/>
        </w:rPr>
      </w:pPr>
      <w:r w:rsidRPr="00A64B76">
        <w:rPr>
          <w:color w:val="000000" w:themeColor="text1"/>
        </w:rPr>
        <w:t xml:space="preserve">OFEV 150 mg capsules are brown-coloured, opaque, oblong, soft </w:t>
      </w:r>
      <w:proofErr w:type="spellStart"/>
      <w:r w:rsidRPr="00A64B76">
        <w:rPr>
          <w:color w:val="000000" w:themeColor="text1"/>
        </w:rPr>
        <w:t>gelatin</w:t>
      </w:r>
      <w:proofErr w:type="spellEnd"/>
      <w:r w:rsidRPr="00A64B76">
        <w:rPr>
          <w:color w:val="000000" w:themeColor="text1"/>
        </w:rPr>
        <w:t xml:space="preserve"> capsules imprinted in black on one side with the Boehringer Ingelheim company logo and “150”. The capsules contain a bright yellow viscous suspension.</w:t>
      </w:r>
    </w:p>
    <w:p w14:paraId="1AD2B941" w14:textId="77777777" w:rsidR="00A64B76" w:rsidRPr="00D829CE" w:rsidRDefault="00A64B76" w:rsidP="00A64B76">
      <w:pPr>
        <w:pStyle w:val="PIHeading1"/>
        <w:spacing w:after="120"/>
        <w:rPr>
          <w:rFonts w:cs="Arial"/>
        </w:rPr>
      </w:pPr>
      <w:r w:rsidRPr="00D829CE">
        <w:rPr>
          <w:rFonts w:cs="Arial"/>
        </w:rPr>
        <w:t>4 CLINICAL PARTICULARS</w:t>
      </w:r>
    </w:p>
    <w:p w14:paraId="2119C363" w14:textId="77777777" w:rsidR="00A64B76" w:rsidRPr="005E09DF" w:rsidRDefault="00A64B76" w:rsidP="005E09DF">
      <w:pPr>
        <w:pStyle w:val="PIheading2"/>
        <w:rPr>
          <w:caps/>
        </w:rPr>
      </w:pPr>
      <w:r w:rsidRPr="005E09DF">
        <w:rPr>
          <w:caps/>
        </w:rPr>
        <w:t>4.1 THERAPEUTIC INDICATIONS</w:t>
      </w:r>
    </w:p>
    <w:p w14:paraId="07F2F156" w14:textId="77777777" w:rsidR="00A64B76" w:rsidRDefault="00A64B76" w:rsidP="00A64B76">
      <w:pPr>
        <w:pStyle w:val="TextPI"/>
      </w:pPr>
      <w:r>
        <w:t>OFEV</w:t>
      </w:r>
      <w:r w:rsidRPr="00D952B5">
        <w:t xml:space="preserve"> is indicated in combination with docetaxel for the treatment of patients with locally advanced, metastatic or recurrent non-small cell lung cancer (NSCLC) of adenocarcinoma tumour histology after </w:t>
      </w:r>
      <w:r>
        <w:t xml:space="preserve">failure of </w:t>
      </w:r>
      <w:r w:rsidRPr="00D952B5">
        <w:t>first line chemotherapy.</w:t>
      </w:r>
    </w:p>
    <w:p w14:paraId="0E2119C1" w14:textId="7B361CDC" w:rsidR="00A64B76" w:rsidRDefault="00A64B76" w:rsidP="00A64B76">
      <w:pPr>
        <w:pStyle w:val="TextPI"/>
      </w:pPr>
      <w:r>
        <w:t>OFEV</w:t>
      </w:r>
      <w:r w:rsidRPr="008D763A">
        <w:t xml:space="preserve"> is</w:t>
      </w:r>
      <w:r>
        <w:t xml:space="preserve"> </w:t>
      </w:r>
      <w:r w:rsidRPr="008D763A">
        <w:t>indicated for the treatment of Idiopathic Pulmonary Fibrosis (IPF).</w:t>
      </w:r>
    </w:p>
    <w:p w14:paraId="65FE14B0" w14:textId="0A896851" w:rsidR="00F016E4" w:rsidRDefault="00F016E4" w:rsidP="00A64B76">
      <w:pPr>
        <w:pStyle w:val="TextPI"/>
      </w:pPr>
      <w:r w:rsidRPr="0004793D">
        <w:t xml:space="preserve">OFEV </w:t>
      </w:r>
      <w:r>
        <w:t>is also indicated for the treatment of other chronic fibrosing Interstitial Lung Diseases (ILDs) with a progressive phenotype.</w:t>
      </w:r>
    </w:p>
    <w:p w14:paraId="3B85C9D4" w14:textId="32FB18ED" w:rsidR="0030676A" w:rsidRPr="00D952B5" w:rsidRDefault="0030676A" w:rsidP="00A64B76">
      <w:pPr>
        <w:pStyle w:val="TextPI"/>
      </w:pPr>
      <w:r>
        <w:t>OFEV</w:t>
      </w:r>
      <w:r w:rsidRPr="00037714">
        <w:t xml:space="preserve"> is indicated for </w:t>
      </w:r>
      <w:r w:rsidR="002A4894">
        <w:t>slowing the rate of decline in pulmonary function in patients with sy</w:t>
      </w:r>
      <w:r w:rsidRPr="00037714">
        <w:t xml:space="preserve">stemic </w:t>
      </w:r>
      <w:r w:rsidR="002A4894">
        <w:t>s</w:t>
      </w:r>
      <w:r w:rsidRPr="00037714">
        <w:t>clerosis</w:t>
      </w:r>
      <w:r w:rsidR="002A4894">
        <w:t>-</w:t>
      </w:r>
      <w:r w:rsidRPr="00037714">
        <w:t xml:space="preserve">associated </w:t>
      </w:r>
      <w:r w:rsidR="002A4894">
        <w:t>i</w:t>
      </w:r>
      <w:r w:rsidRPr="00037714">
        <w:t xml:space="preserve">nterstitial </w:t>
      </w:r>
      <w:r w:rsidR="002A4894">
        <w:t>l</w:t>
      </w:r>
      <w:r w:rsidRPr="00037714">
        <w:t xml:space="preserve">ung </w:t>
      </w:r>
      <w:r w:rsidR="002A4894">
        <w:t>d</w:t>
      </w:r>
      <w:r w:rsidRPr="00037714">
        <w:t>isease (</w:t>
      </w:r>
      <w:proofErr w:type="spellStart"/>
      <w:r w:rsidRPr="00037714">
        <w:t>SSc</w:t>
      </w:r>
      <w:proofErr w:type="spellEnd"/>
      <w:r w:rsidRPr="00037714">
        <w:t>-ILD)</w:t>
      </w:r>
      <w:r>
        <w:t>.</w:t>
      </w:r>
    </w:p>
    <w:p w14:paraId="58EB6CE2" w14:textId="2664D201" w:rsidR="00A64B76" w:rsidRPr="00D67486" w:rsidRDefault="00A64B76" w:rsidP="005E09DF">
      <w:pPr>
        <w:pStyle w:val="PIheading2"/>
      </w:pPr>
      <w:r w:rsidRPr="00D67486">
        <w:t xml:space="preserve">4.2 DOSE AND </w:t>
      </w:r>
      <w:r w:rsidR="00D67486">
        <w:t>METHOD OF</w:t>
      </w:r>
      <w:r w:rsidRPr="00D67486">
        <w:t xml:space="preserve"> ADMINISTRATION</w:t>
      </w:r>
    </w:p>
    <w:p w14:paraId="2B7A27D4" w14:textId="77777777" w:rsidR="00A353E2" w:rsidRPr="00CA10D0" w:rsidRDefault="00A353E2" w:rsidP="005D33C9">
      <w:pPr>
        <w:pStyle w:val="PIheading30"/>
        <w:ind w:left="0" w:right="0" w:firstLine="0"/>
        <w:rPr>
          <w:b/>
          <w:bCs/>
          <w:u w:val="none"/>
        </w:rPr>
      </w:pPr>
      <w:r w:rsidRPr="00CA10D0">
        <w:rPr>
          <w:b/>
          <w:bCs/>
          <w:u w:val="none"/>
        </w:rPr>
        <w:t>Method of administration</w:t>
      </w:r>
    </w:p>
    <w:p w14:paraId="19616FA3" w14:textId="77777777" w:rsidR="00A64B76" w:rsidRDefault="00A64B76" w:rsidP="00A64B76">
      <w:pPr>
        <w:pStyle w:val="TextPI"/>
      </w:pPr>
      <w:r>
        <w:t>OFEV</w:t>
      </w:r>
      <w:r w:rsidRPr="005E52EF">
        <w:t xml:space="preserve"> capsules should be taken </w:t>
      </w:r>
      <w:r>
        <w:t xml:space="preserve">orally, preferably </w:t>
      </w:r>
      <w:r w:rsidRPr="005E52EF">
        <w:t>with food, swallowed whole with water, and should not be chewed or crushed.</w:t>
      </w:r>
    </w:p>
    <w:p w14:paraId="4A047F87" w14:textId="77777777" w:rsidR="00A64B76" w:rsidRPr="005E52EF" w:rsidRDefault="00A64B76" w:rsidP="00A64B76">
      <w:pPr>
        <w:pStyle w:val="TextPI"/>
      </w:pPr>
      <w:r>
        <w:t>If a dose is missed, administration should resume at the next scheduled time at the recommended dose. If a dose is missed, the patient should not be given an additional dose.</w:t>
      </w:r>
    </w:p>
    <w:p w14:paraId="299D4A8A" w14:textId="77777777" w:rsidR="00A64B76" w:rsidRPr="005E09DF" w:rsidRDefault="00A64B76" w:rsidP="005D33C9">
      <w:pPr>
        <w:pStyle w:val="PIheading30"/>
        <w:ind w:left="0" w:right="0" w:firstLine="0"/>
        <w:rPr>
          <w:b/>
          <w:bCs/>
          <w:u w:val="none"/>
        </w:rPr>
      </w:pPr>
      <w:r w:rsidRPr="005E09DF">
        <w:rPr>
          <w:b/>
          <w:bCs/>
          <w:u w:val="none"/>
        </w:rPr>
        <w:t xml:space="preserve">NSCLC </w:t>
      </w:r>
    </w:p>
    <w:p w14:paraId="12416A93" w14:textId="77777777" w:rsidR="00A64B76" w:rsidRPr="00071E32" w:rsidRDefault="00A64B76" w:rsidP="00A64B76">
      <w:pPr>
        <w:pStyle w:val="TextPI"/>
        <w:rPr>
          <w:rFonts w:eastAsia="MS Mincho"/>
          <w:bCs/>
          <w:iCs/>
          <w:lang w:val="en-GB" w:eastAsia="de-DE"/>
        </w:rPr>
      </w:pPr>
      <w:r w:rsidRPr="00071E32">
        <w:rPr>
          <w:rFonts w:eastAsia="MS Mincho"/>
          <w:bCs/>
          <w:iCs/>
          <w:lang w:val="en-GB" w:eastAsia="de-DE"/>
        </w:rPr>
        <w:t xml:space="preserve">Treatment with </w:t>
      </w:r>
      <w:r>
        <w:rPr>
          <w:rFonts w:eastAsia="MS Mincho"/>
          <w:bCs/>
          <w:iCs/>
          <w:lang w:val="en-GB" w:eastAsia="de-DE"/>
        </w:rPr>
        <w:t>OFEV</w:t>
      </w:r>
      <w:r w:rsidRPr="00071E32">
        <w:rPr>
          <w:rFonts w:eastAsia="MS Mincho"/>
          <w:bCs/>
          <w:iCs/>
          <w:lang w:val="en-GB" w:eastAsia="de-DE"/>
        </w:rPr>
        <w:t xml:space="preserve"> should be initiated and supervised by a physician experienced in the use of anticancer therapies.</w:t>
      </w:r>
    </w:p>
    <w:p w14:paraId="72A24617" w14:textId="77777777" w:rsidR="00A64B76" w:rsidRPr="00071E32" w:rsidRDefault="00A64B76" w:rsidP="00A64B76">
      <w:pPr>
        <w:pStyle w:val="TextPI"/>
        <w:rPr>
          <w:rFonts w:eastAsia="MS Mincho"/>
          <w:bCs/>
          <w:iCs/>
          <w:lang w:val="en-GB" w:eastAsia="de-DE"/>
        </w:rPr>
      </w:pPr>
      <w:r w:rsidRPr="00071E32">
        <w:rPr>
          <w:rFonts w:eastAsia="MS Mincho"/>
          <w:bCs/>
          <w:iCs/>
          <w:lang w:val="en-GB" w:eastAsia="de-DE"/>
        </w:rPr>
        <w:lastRenderedPageBreak/>
        <w:t xml:space="preserve">The recommended dose of </w:t>
      </w:r>
      <w:r>
        <w:rPr>
          <w:rFonts w:eastAsia="MS Mincho"/>
          <w:bCs/>
          <w:iCs/>
          <w:lang w:val="en-GB" w:eastAsia="de-DE"/>
        </w:rPr>
        <w:t>OFEV</w:t>
      </w:r>
      <w:r w:rsidRPr="00071E32">
        <w:rPr>
          <w:rFonts w:eastAsia="MS Mincho"/>
          <w:bCs/>
          <w:iCs/>
          <w:lang w:val="en-GB" w:eastAsia="de-DE"/>
        </w:rPr>
        <w:t xml:space="preserve"> is 200 mg twice daily administered approximately 12</w:t>
      </w:r>
      <w:r>
        <w:rPr>
          <w:rFonts w:eastAsia="MS Mincho"/>
          <w:bCs/>
          <w:iCs/>
          <w:lang w:val="en-GB" w:eastAsia="de-DE"/>
        </w:rPr>
        <w:t> </w:t>
      </w:r>
      <w:r w:rsidRPr="00071E32">
        <w:rPr>
          <w:rFonts w:eastAsia="MS Mincho"/>
          <w:bCs/>
          <w:iCs/>
          <w:lang w:val="en-GB" w:eastAsia="de-DE"/>
        </w:rPr>
        <w:t>hours apart, on days 2 to 21 of a standard 21</w:t>
      </w:r>
      <w:r>
        <w:rPr>
          <w:rFonts w:eastAsia="MS Mincho"/>
          <w:bCs/>
          <w:iCs/>
          <w:lang w:val="en-GB" w:eastAsia="de-DE"/>
        </w:rPr>
        <w:t>-day docetaxel treatment cycle.</w:t>
      </w:r>
    </w:p>
    <w:p w14:paraId="5667E581" w14:textId="77777777" w:rsidR="00A64B76" w:rsidRDefault="00A64B76" w:rsidP="00A64B76">
      <w:pPr>
        <w:pStyle w:val="TextPI"/>
        <w:rPr>
          <w:rFonts w:eastAsia="MS Mincho"/>
          <w:bCs/>
          <w:iCs/>
          <w:lang w:val="en-GB" w:eastAsia="de-DE"/>
        </w:rPr>
      </w:pPr>
      <w:r>
        <w:rPr>
          <w:rFonts w:eastAsia="MS Mincho"/>
          <w:bCs/>
          <w:iCs/>
          <w:lang w:val="en-GB" w:eastAsia="de-DE"/>
        </w:rPr>
        <w:t>OFEV</w:t>
      </w:r>
      <w:r w:rsidRPr="00071E32">
        <w:rPr>
          <w:rFonts w:eastAsia="MS Mincho"/>
          <w:bCs/>
          <w:iCs/>
          <w:lang w:val="en-GB" w:eastAsia="de-DE"/>
        </w:rPr>
        <w:t xml:space="preserve"> must not be taken </w:t>
      </w:r>
      <w:r w:rsidRPr="00071E32">
        <w:rPr>
          <w:rFonts w:eastAsia="MS Mincho"/>
          <w:bCs/>
          <w:iCs/>
          <w:noProof/>
          <w:lang w:val="en-GB" w:eastAsia="de-DE"/>
        </w:rPr>
        <w:t>o</w:t>
      </w:r>
      <w:r w:rsidRPr="00071E32">
        <w:rPr>
          <w:rFonts w:eastAsia="MS Mincho"/>
          <w:bCs/>
          <w:iCs/>
          <w:lang w:val="en-GB" w:eastAsia="de-DE"/>
        </w:rPr>
        <w:t>n the same day of docetaxel chemotherapy administration (= day 1).</w:t>
      </w:r>
    </w:p>
    <w:p w14:paraId="6ADC5728" w14:textId="77777777" w:rsidR="00A64B76" w:rsidRPr="00C968DE" w:rsidRDefault="00A64B76" w:rsidP="00A64B76">
      <w:pPr>
        <w:pStyle w:val="TextPI"/>
        <w:rPr>
          <w:lang w:val="en-GB" w:eastAsia="de-DE"/>
        </w:rPr>
      </w:pPr>
      <w:r w:rsidRPr="00C968DE">
        <w:rPr>
          <w:lang w:val="en-GB" w:eastAsia="de-DE"/>
        </w:rPr>
        <w:t>The recommended maximum daily dose of 400 mg should not be exceeded.</w:t>
      </w:r>
    </w:p>
    <w:p w14:paraId="22089CCF" w14:textId="77777777" w:rsidR="00A64B76" w:rsidRDefault="00A64B76" w:rsidP="00A64B76">
      <w:pPr>
        <w:pStyle w:val="TextPI"/>
        <w:rPr>
          <w:lang w:val="en-GB" w:eastAsia="de-DE"/>
        </w:rPr>
      </w:pPr>
      <w:r w:rsidRPr="00C968DE">
        <w:rPr>
          <w:lang w:val="en-GB" w:eastAsia="de-DE"/>
        </w:rPr>
        <w:t xml:space="preserve">Patients may continue therapy with </w:t>
      </w:r>
      <w:r>
        <w:rPr>
          <w:bCs/>
          <w:iCs/>
          <w:lang w:val="en-GB" w:eastAsia="de-DE"/>
        </w:rPr>
        <w:t>OFEV</w:t>
      </w:r>
      <w:r w:rsidRPr="00C968DE">
        <w:rPr>
          <w:b/>
          <w:i/>
          <w:iCs/>
          <w:vertAlign w:val="superscript"/>
          <w:lang w:val="en-GB" w:eastAsia="de-DE"/>
        </w:rPr>
        <w:t xml:space="preserve"> </w:t>
      </w:r>
      <w:r w:rsidRPr="00C968DE">
        <w:rPr>
          <w:lang w:val="en-GB" w:eastAsia="de-DE"/>
        </w:rPr>
        <w:t>after discontinuation of docetaxel for as long as clinical benefit is observed or until unacceptable toxicity occurs.</w:t>
      </w:r>
    </w:p>
    <w:p w14:paraId="3F746DAB" w14:textId="77777777" w:rsidR="00A64B76" w:rsidRPr="005E52EF" w:rsidRDefault="00A64B76" w:rsidP="00A64B76">
      <w:pPr>
        <w:pStyle w:val="TextPI"/>
        <w:rPr>
          <w:lang w:eastAsia="de-DE"/>
        </w:rPr>
      </w:pPr>
      <w:r w:rsidRPr="00515ABC">
        <w:t xml:space="preserve">For </w:t>
      </w:r>
      <w:r>
        <w:t>dosage</w:t>
      </w:r>
      <w:r w:rsidRPr="00515ABC">
        <w:t>, method of administration and dose modifications of docetaxel, please refer to the corresponding product information for docetaxel.</w:t>
      </w:r>
    </w:p>
    <w:p w14:paraId="70A002FF" w14:textId="2C634627" w:rsidR="00A64B76" w:rsidRPr="005E09DF" w:rsidRDefault="00A64B76" w:rsidP="005D33C9">
      <w:pPr>
        <w:pStyle w:val="PIheading30"/>
        <w:ind w:left="0" w:right="0" w:firstLine="0"/>
        <w:rPr>
          <w:b/>
          <w:bCs/>
          <w:u w:val="none"/>
        </w:rPr>
      </w:pPr>
      <w:r w:rsidRPr="005E09DF">
        <w:rPr>
          <w:b/>
          <w:bCs/>
          <w:u w:val="none"/>
        </w:rPr>
        <w:t>IPF</w:t>
      </w:r>
      <w:r w:rsidR="00793359">
        <w:rPr>
          <w:b/>
          <w:bCs/>
          <w:u w:val="none"/>
        </w:rPr>
        <w:t xml:space="preserve">, </w:t>
      </w:r>
      <w:r w:rsidR="00793359" w:rsidRPr="00022561">
        <w:rPr>
          <w:b/>
          <w:bCs/>
          <w:u w:val="none"/>
          <w:lang w:eastAsia="de-DE"/>
        </w:rPr>
        <w:t>other chronic fibrosing ILDs with a progressive phenotype</w:t>
      </w:r>
      <w:r w:rsidR="00793359">
        <w:rPr>
          <w:b/>
          <w:bCs/>
          <w:u w:val="none"/>
          <w:lang w:eastAsia="de-DE"/>
        </w:rPr>
        <w:t>,</w:t>
      </w:r>
      <w:r w:rsidR="00861C24">
        <w:rPr>
          <w:b/>
          <w:bCs/>
          <w:u w:val="none"/>
        </w:rPr>
        <w:t xml:space="preserve"> and </w:t>
      </w:r>
      <w:proofErr w:type="spellStart"/>
      <w:r w:rsidR="00861C24">
        <w:rPr>
          <w:b/>
          <w:bCs/>
          <w:u w:val="none"/>
        </w:rPr>
        <w:t>SSc</w:t>
      </w:r>
      <w:proofErr w:type="spellEnd"/>
      <w:r w:rsidR="00861C24">
        <w:rPr>
          <w:b/>
          <w:bCs/>
          <w:u w:val="none"/>
        </w:rPr>
        <w:t>-ILD</w:t>
      </w:r>
      <w:r w:rsidRPr="005E09DF">
        <w:rPr>
          <w:b/>
          <w:bCs/>
          <w:u w:val="none"/>
        </w:rPr>
        <w:t xml:space="preserve"> </w:t>
      </w:r>
    </w:p>
    <w:p w14:paraId="459FF496" w14:textId="7B684D03" w:rsidR="00A64B76" w:rsidRDefault="00A64B76" w:rsidP="00A64B76">
      <w:pPr>
        <w:pStyle w:val="TextPI"/>
      </w:pPr>
      <w:r>
        <w:t xml:space="preserve">Treatment should be initiated by physicians experienced in the diagnosis and treatment of </w:t>
      </w:r>
      <w:r w:rsidR="005766F9">
        <w:t>conditions for which OFEV is indicated</w:t>
      </w:r>
      <w:r>
        <w:t xml:space="preserve">. </w:t>
      </w:r>
    </w:p>
    <w:p w14:paraId="2476F363" w14:textId="77777777" w:rsidR="00A64B76" w:rsidRDefault="00A64B76" w:rsidP="00A64B76">
      <w:pPr>
        <w:pStyle w:val="TextPI"/>
      </w:pPr>
      <w:r>
        <w:t>The recommended dose of OFEV is 150 mg twice daily administered approximately 12 hours apart.</w:t>
      </w:r>
    </w:p>
    <w:p w14:paraId="0263EF17" w14:textId="77777777" w:rsidR="00A64B76" w:rsidRDefault="00A64B76" w:rsidP="00A64B76">
      <w:pPr>
        <w:pStyle w:val="TextPI"/>
      </w:pPr>
      <w:r w:rsidRPr="00D656D0">
        <w:t>The recommended maximum daily dose of 300 mg should not be exceeded.</w:t>
      </w:r>
    </w:p>
    <w:p w14:paraId="4ED7FBD4" w14:textId="77777777" w:rsidR="00A64B76" w:rsidRPr="005E09DF" w:rsidRDefault="00A64B76" w:rsidP="005D33C9">
      <w:pPr>
        <w:pStyle w:val="PIheading30"/>
        <w:ind w:left="0" w:right="0" w:firstLine="0"/>
        <w:rPr>
          <w:b/>
          <w:bCs/>
          <w:u w:val="none"/>
        </w:rPr>
      </w:pPr>
      <w:r w:rsidRPr="005E09DF">
        <w:rPr>
          <w:b/>
          <w:bCs/>
          <w:u w:val="none"/>
        </w:rPr>
        <w:t>Dose adjustments</w:t>
      </w:r>
    </w:p>
    <w:p w14:paraId="4EE4CFE1" w14:textId="77777777" w:rsidR="00A64B76" w:rsidRPr="00EE086C" w:rsidRDefault="00A64B76" w:rsidP="007D2ECA">
      <w:pPr>
        <w:pStyle w:val="TextPI"/>
        <w:rPr>
          <w:u w:val="single"/>
          <w:lang w:val="en-GB" w:eastAsia="de-DE"/>
        </w:rPr>
      </w:pPr>
      <w:r w:rsidRPr="00EE086C">
        <w:rPr>
          <w:u w:val="single"/>
          <w:lang w:val="en-GB" w:eastAsia="de-DE"/>
        </w:rPr>
        <w:t>NSCLC</w:t>
      </w:r>
    </w:p>
    <w:p w14:paraId="3B07CFBE" w14:textId="7DA2560E" w:rsidR="00A64B76" w:rsidRDefault="00A64B76" w:rsidP="00A64B76">
      <w:pPr>
        <w:pStyle w:val="TextPI"/>
        <w:rPr>
          <w:lang w:val="en-GB" w:eastAsia="de-DE"/>
        </w:rPr>
      </w:pPr>
      <w:r w:rsidRPr="00182861">
        <w:rPr>
          <w:lang w:val="en-GB" w:eastAsia="de-DE"/>
        </w:rPr>
        <w:t xml:space="preserve">As initial measure for the management of adverse reactions (see </w:t>
      </w:r>
      <w:r>
        <w:rPr>
          <w:bCs/>
          <w:iCs/>
          <w:lang w:val="en-GB" w:eastAsia="de-DE"/>
        </w:rPr>
        <w:t>Table 1 and Table 2</w:t>
      </w:r>
      <w:r w:rsidRPr="00182861">
        <w:rPr>
          <w:i/>
          <w:lang w:val="en-GB" w:eastAsia="de-DE"/>
        </w:rPr>
        <w:t>)</w:t>
      </w:r>
      <w:r w:rsidRPr="00182861">
        <w:rPr>
          <w:lang w:val="en-GB" w:eastAsia="de-DE"/>
        </w:rPr>
        <w:t xml:space="preserve"> treatment with </w:t>
      </w:r>
      <w:r w:rsidRPr="00182861">
        <w:rPr>
          <w:bCs/>
          <w:iCs/>
          <w:lang w:val="en-GB" w:eastAsia="de-DE"/>
        </w:rPr>
        <w:t>OFEV</w:t>
      </w:r>
      <w:r w:rsidRPr="00182861">
        <w:rPr>
          <w:b/>
          <w:i/>
          <w:iCs/>
          <w:vertAlign w:val="superscript"/>
          <w:lang w:val="en-GB" w:eastAsia="de-DE"/>
        </w:rPr>
        <w:t xml:space="preserve"> </w:t>
      </w:r>
      <w:r w:rsidRPr="00182861">
        <w:rPr>
          <w:lang w:val="en-GB" w:eastAsia="de-DE"/>
        </w:rPr>
        <w:t xml:space="preserve">should be temporarily interrupted until the specific adverse reaction has resolved to levels that allow continuation of </w:t>
      </w:r>
      <w:r w:rsidRPr="00645B1C">
        <w:rPr>
          <w:lang w:val="en-GB" w:eastAsia="de-DE"/>
        </w:rPr>
        <w:t>therapy</w:t>
      </w:r>
      <w:r>
        <w:rPr>
          <w:lang w:val="en-GB" w:eastAsia="de-DE"/>
        </w:rPr>
        <w:t xml:space="preserve"> (to grade 1 or baseline)</w:t>
      </w:r>
      <w:r w:rsidRPr="00645B1C">
        <w:rPr>
          <w:lang w:val="en-GB" w:eastAsia="de-DE"/>
        </w:rPr>
        <w:t>.</w:t>
      </w:r>
      <w:r w:rsidRPr="001E7CD1">
        <w:rPr>
          <w:lang w:val="en-GB" w:eastAsia="de-DE"/>
        </w:rPr>
        <w:t xml:space="preserve"> </w:t>
      </w:r>
      <w:r>
        <w:rPr>
          <w:lang w:val="en-GB" w:eastAsia="de-DE"/>
        </w:rPr>
        <w:t xml:space="preserve"> </w:t>
      </w:r>
      <w:r>
        <w:rPr>
          <w:bCs/>
          <w:iCs/>
          <w:lang w:val="en-GB" w:eastAsia="de-DE"/>
        </w:rPr>
        <w:t>OFEV</w:t>
      </w:r>
      <w:r w:rsidRPr="001E7CD1">
        <w:rPr>
          <w:b/>
          <w:i/>
          <w:iCs/>
          <w:vertAlign w:val="superscript"/>
          <w:lang w:val="en-GB" w:eastAsia="de-DE"/>
        </w:rPr>
        <w:t xml:space="preserve"> </w:t>
      </w:r>
      <w:r w:rsidRPr="001E7CD1">
        <w:rPr>
          <w:lang w:val="en-GB" w:eastAsia="de-DE"/>
        </w:rPr>
        <w:t>treatment may be resumed at a reduced dose.</w:t>
      </w:r>
      <w:r>
        <w:rPr>
          <w:lang w:val="en-GB" w:eastAsia="de-DE"/>
        </w:rPr>
        <w:t xml:space="preserve"> </w:t>
      </w:r>
      <w:r w:rsidRPr="001E7CD1">
        <w:rPr>
          <w:lang w:val="en-GB" w:eastAsia="de-DE"/>
        </w:rPr>
        <w:t xml:space="preserve"> Dose adjustments in 100</w:t>
      </w:r>
      <w:r>
        <w:rPr>
          <w:lang w:val="en-GB" w:eastAsia="de-DE"/>
        </w:rPr>
        <w:t> </w:t>
      </w:r>
      <w:r w:rsidRPr="001E7CD1">
        <w:rPr>
          <w:lang w:val="en-GB" w:eastAsia="de-DE"/>
        </w:rPr>
        <w:t xml:space="preserve">mg steps per day (i.e. a 50 mg reduction per dosing) based on individual safety and tolerability </w:t>
      </w:r>
      <w:proofErr w:type="gramStart"/>
      <w:r w:rsidRPr="001E7CD1">
        <w:rPr>
          <w:lang w:val="en-GB" w:eastAsia="de-DE"/>
        </w:rPr>
        <w:t>are recommended</w:t>
      </w:r>
      <w:proofErr w:type="gramEnd"/>
      <w:r w:rsidRPr="001E7CD1">
        <w:rPr>
          <w:lang w:val="en-GB" w:eastAsia="de-DE"/>
        </w:rPr>
        <w:t xml:space="preserve"> as described in </w:t>
      </w:r>
      <w:r w:rsidRPr="00645B1C">
        <w:rPr>
          <w:bCs/>
          <w:lang w:val="en-GB" w:eastAsia="de-DE"/>
        </w:rPr>
        <w:t xml:space="preserve">Table </w:t>
      </w:r>
      <w:r>
        <w:rPr>
          <w:bCs/>
          <w:lang w:val="en-GB" w:eastAsia="de-DE"/>
        </w:rPr>
        <w:t>1 and Table 2</w:t>
      </w:r>
      <w:r w:rsidRPr="00645B1C">
        <w:rPr>
          <w:lang w:val="en-GB" w:eastAsia="de-DE"/>
        </w:rPr>
        <w:t>.</w:t>
      </w:r>
    </w:p>
    <w:p w14:paraId="35B9802B" w14:textId="77777777" w:rsidR="00A64B76" w:rsidRDefault="00A64B76" w:rsidP="00A64B76">
      <w:pPr>
        <w:pStyle w:val="TextPI"/>
        <w:rPr>
          <w:lang w:val="en-GB" w:eastAsia="de-DE"/>
        </w:rPr>
      </w:pPr>
      <w:r w:rsidRPr="001E7CD1">
        <w:rPr>
          <w:lang w:val="en-GB" w:eastAsia="de-DE"/>
        </w:rPr>
        <w:t>In case of further persistence of the adverse reaction(s), i.e. if a patient does not tolerate 100</w:t>
      </w:r>
      <w:r>
        <w:rPr>
          <w:lang w:val="en-GB" w:eastAsia="de-DE"/>
        </w:rPr>
        <w:t> </w:t>
      </w:r>
      <w:r w:rsidRPr="001E7CD1">
        <w:rPr>
          <w:lang w:val="en-GB" w:eastAsia="de-DE"/>
        </w:rPr>
        <w:t xml:space="preserve">mg twice daily, treatment with </w:t>
      </w:r>
      <w:r>
        <w:rPr>
          <w:bCs/>
          <w:iCs/>
          <w:lang w:val="en-GB" w:eastAsia="de-DE"/>
        </w:rPr>
        <w:t>OFEV</w:t>
      </w:r>
      <w:r w:rsidRPr="001E7CD1">
        <w:rPr>
          <w:b/>
          <w:i/>
          <w:iCs/>
          <w:vertAlign w:val="superscript"/>
          <w:lang w:val="en-GB" w:eastAsia="de-DE"/>
        </w:rPr>
        <w:t xml:space="preserve"> </w:t>
      </w:r>
      <w:r w:rsidRPr="00645B1C">
        <w:rPr>
          <w:lang w:val="en-GB" w:eastAsia="de-DE"/>
        </w:rPr>
        <w:t>should be permanently</w:t>
      </w:r>
      <w:r>
        <w:rPr>
          <w:lang w:val="en-GB" w:eastAsia="de-DE"/>
        </w:rPr>
        <w:t xml:space="preserve"> </w:t>
      </w:r>
      <w:r w:rsidRPr="001E7CD1">
        <w:rPr>
          <w:lang w:val="en-GB" w:eastAsia="de-DE"/>
        </w:rPr>
        <w:t>discontinued.</w:t>
      </w:r>
    </w:p>
    <w:p w14:paraId="2876CACA" w14:textId="463F0F6B" w:rsidR="00A64B76" w:rsidRDefault="00A64B76" w:rsidP="00A64B76">
      <w:pPr>
        <w:pStyle w:val="TextPI"/>
        <w:rPr>
          <w:lang w:val="en-GB" w:eastAsia="de-DE"/>
        </w:rPr>
      </w:pPr>
      <w:r>
        <w:rPr>
          <w:lang w:val="en-GB" w:eastAsia="de-DE"/>
        </w:rPr>
        <w:t xml:space="preserve">In case of specific elevations of AST/ALT values to &gt; 3 x upper limit normal (ULN) in conjunction with an increase of total bilirubin to </w:t>
      </w:r>
      <w:r>
        <w:rPr>
          <w:rFonts w:cs="Arial"/>
          <w:lang w:val="en-GB" w:eastAsia="de-DE"/>
        </w:rPr>
        <w:t>≥</w:t>
      </w:r>
      <w:r>
        <w:rPr>
          <w:lang w:val="en-GB" w:eastAsia="de-DE"/>
        </w:rPr>
        <w:t xml:space="preserve"> 2 x UL</w:t>
      </w:r>
      <w:r w:rsidR="00FC1BA7">
        <w:rPr>
          <w:lang w:val="en-GB" w:eastAsia="de-DE"/>
        </w:rPr>
        <w:t xml:space="preserve">N and ALP &lt; 2 x ULN (see Table </w:t>
      </w:r>
      <w:r>
        <w:rPr>
          <w:lang w:val="en-GB" w:eastAsia="de-DE"/>
        </w:rPr>
        <w:t>2) treatment with OFEV should be interrupted.  Unless there is an alternative cause established</w:t>
      </w:r>
      <w:proofErr w:type="gramStart"/>
      <w:r>
        <w:rPr>
          <w:lang w:val="en-GB" w:eastAsia="de-DE"/>
        </w:rPr>
        <w:t>,</w:t>
      </w:r>
      <w:proofErr w:type="gramEnd"/>
      <w:r>
        <w:rPr>
          <w:lang w:val="en-GB" w:eastAsia="de-DE"/>
        </w:rPr>
        <w:t xml:space="preserve"> OFEV should be permanently discontinued (see </w:t>
      </w:r>
      <w:r w:rsidR="00FC1BA7">
        <w:rPr>
          <w:lang w:val="en-GB" w:eastAsia="de-DE"/>
        </w:rPr>
        <w:t>Section 4.4 Special Warnings and Precautions for Use</w:t>
      </w:r>
      <w:r w:rsidR="00216867">
        <w:rPr>
          <w:lang w:val="en-GB" w:eastAsia="de-DE"/>
        </w:rPr>
        <w:t>, Hepatic function).</w:t>
      </w:r>
    </w:p>
    <w:p w14:paraId="704E60B3" w14:textId="2E49FE71" w:rsidR="00A64B76" w:rsidRPr="003D0546" w:rsidRDefault="00A64B76" w:rsidP="00A64B76">
      <w:pPr>
        <w:pStyle w:val="CaptionTable"/>
        <w:ind w:left="1134" w:hanging="1134"/>
        <w:rPr>
          <w:rFonts w:ascii="Arial" w:hAnsi="Arial" w:cs="Arial"/>
          <w:b/>
          <w:bCs/>
          <w:sz w:val="20"/>
        </w:rPr>
      </w:pPr>
      <w:r w:rsidRPr="003D0546">
        <w:rPr>
          <w:rFonts w:ascii="Arial" w:hAnsi="Arial" w:cs="Arial"/>
          <w:b/>
          <w:bCs/>
          <w:sz w:val="20"/>
        </w:rPr>
        <w:lastRenderedPageBreak/>
        <w:t xml:space="preserve">Table </w:t>
      </w:r>
      <w:r>
        <w:rPr>
          <w:rFonts w:ascii="Arial" w:hAnsi="Arial" w:cs="Arial"/>
          <w:b/>
          <w:bCs/>
          <w:sz w:val="20"/>
        </w:rPr>
        <w:t>1</w:t>
      </w:r>
      <w:r w:rsidRPr="003D0546">
        <w:rPr>
          <w:rFonts w:ascii="Arial" w:hAnsi="Arial" w:cs="Arial"/>
          <w:b/>
          <w:bCs/>
          <w:sz w:val="20"/>
        </w:rPr>
        <w:t>:</w:t>
      </w:r>
      <w:r w:rsidRPr="003D0546">
        <w:rPr>
          <w:rFonts w:ascii="Arial" w:hAnsi="Arial" w:cs="Arial"/>
          <w:b/>
          <w:bCs/>
          <w:sz w:val="20"/>
        </w:rPr>
        <w:tab/>
        <w:t xml:space="preserve">Recommended dose adjustments for </w:t>
      </w:r>
      <w:r w:rsidRPr="007F5EC8">
        <w:rPr>
          <w:rFonts w:ascii="Arial" w:hAnsi="Arial" w:cs="Arial"/>
          <w:b/>
          <w:bCs/>
          <w:sz w:val="20"/>
        </w:rPr>
        <w:t xml:space="preserve">OFEV in case of </w:t>
      </w:r>
      <w:proofErr w:type="spellStart"/>
      <w:r w:rsidRPr="007F5EC8">
        <w:rPr>
          <w:rFonts w:ascii="Arial" w:hAnsi="Arial" w:cs="Arial"/>
          <w:b/>
          <w:bCs/>
          <w:sz w:val="20"/>
        </w:rPr>
        <w:t>diarrhoea</w:t>
      </w:r>
      <w:proofErr w:type="spellEnd"/>
      <w:r w:rsidRPr="007F5EC8">
        <w:rPr>
          <w:rFonts w:ascii="Arial" w:hAnsi="Arial" w:cs="Arial"/>
          <w:b/>
          <w:bCs/>
          <w:sz w:val="20"/>
        </w:rPr>
        <w:t>, vomiting and other non-</w:t>
      </w:r>
      <w:proofErr w:type="spellStart"/>
      <w:r w:rsidRPr="007F5EC8">
        <w:rPr>
          <w:rFonts w:ascii="Arial" w:hAnsi="Arial" w:cs="Arial"/>
          <w:b/>
          <w:bCs/>
          <w:sz w:val="20"/>
        </w:rPr>
        <w:t>haematological</w:t>
      </w:r>
      <w:proofErr w:type="spellEnd"/>
      <w:r w:rsidRPr="007F5EC8">
        <w:rPr>
          <w:rFonts w:ascii="Arial" w:hAnsi="Arial" w:cs="Arial"/>
          <w:b/>
          <w:bCs/>
          <w:sz w:val="20"/>
        </w:rPr>
        <w:t xml:space="preserve"> or </w:t>
      </w:r>
      <w:proofErr w:type="spellStart"/>
      <w:r w:rsidRPr="007F5EC8">
        <w:rPr>
          <w:rFonts w:ascii="Arial" w:hAnsi="Arial" w:cs="Arial"/>
          <w:b/>
          <w:bCs/>
          <w:sz w:val="20"/>
        </w:rPr>
        <w:t>haematological</w:t>
      </w:r>
      <w:proofErr w:type="spellEnd"/>
      <w:r w:rsidRPr="007F5EC8">
        <w:rPr>
          <w:rFonts w:ascii="Arial" w:hAnsi="Arial" w:cs="Arial"/>
          <w:b/>
          <w:bCs/>
          <w:sz w:val="20"/>
        </w:rPr>
        <w:t xml:space="preserve"> adverse reactions except live</w:t>
      </w:r>
      <w:r w:rsidR="00FC1BA7">
        <w:rPr>
          <w:rFonts w:ascii="Arial" w:hAnsi="Arial" w:cs="Arial"/>
          <w:b/>
          <w:bCs/>
          <w:sz w:val="20"/>
        </w:rPr>
        <w:t xml:space="preserve">r enzyme elevations (see Table </w:t>
      </w:r>
      <w:r w:rsidRPr="007F5EC8">
        <w:rPr>
          <w:rFonts w:ascii="Arial" w:hAnsi="Arial" w:cs="Arial"/>
          <w:b/>
          <w:bCs/>
          <w:sz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13"/>
      </w:tblGrid>
      <w:tr w:rsidR="00A64B76" w:rsidRPr="003D0546" w14:paraId="734551B6" w14:textId="77777777" w:rsidTr="00A64B76">
        <w:tc>
          <w:tcPr>
            <w:tcW w:w="4606" w:type="dxa"/>
            <w:shd w:val="clear" w:color="auto" w:fill="auto"/>
          </w:tcPr>
          <w:p w14:paraId="09E0B183" w14:textId="77777777" w:rsidR="00A64B76" w:rsidRPr="003D0546" w:rsidRDefault="00A64B76" w:rsidP="00A64B76">
            <w:pPr>
              <w:keepNext/>
              <w:keepLines/>
              <w:spacing w:before="60" w:after="60"/>
              <w:jc w:val="center"/>
              <w:rPr>
                <w:rFonts w:ascii="Arial" w:hAnsi="Arial" w:cs="Arial"/>
                <w:b/>
                <w:sz w:val="20"/>
                <w:lang w:val="en-GB" w:eastAsia="de-DE"/>
              </w:rPr>
            </w:pPr>
            <w:r w:rsidRPr="003D0546">
              <w:rPr>
                <w:rFonts w:ascii="Arial" w:hAnsi="Arial" w:cs="Arial"/>
                <w:b/>
                <w:sz w:val="20"/>
                <w:lang w:val="en-GB" w:eastAsia="de-DE"/>
              </w:rPr>
              <w:t>CTCAE* Adverse reaction</w:t>
            </w:r>
          </w:p>
        </w:tc>
        <w:tc>
          <w:tcPr>
            <w:tcW w:w="4606" w:type="dxa"/>
            <w:shd w:val="clear" w:color="auto" w:fill="auto"/>
          </w:tcPr>
          <w:p w14:paraId="0C069315" w14:textId="77777777" w:rsidR="00A64B76" w:rsidRPr="003D0546" w:rsidRDefault="00A64B76" w:rsidP="00A64B76">
            <w:pPr>
              <w:keepNext/>
              <w:keepLines/>
              <w:spacing w:before="60" w:after="60"/>
              <w:jc w:val="center"/>
              <w:rPr>
                <w:rFonts w:ascii="Arial" w:hAnsi="Arial" w:cs="Arial"/>
                <w:b/>
                <w:sz w:val="20"/>
                <w:lang w:val="en-GB" w:eastAsia="de-DE"/>
              </w:rPr>
            </w:pPr>
            <w:r w:rsidRPr="003D0546">
              <w:rPr>
                <w:rFonts w:ascii="Arial" w:hAnsi="Arial" w:cs="Arial"/>
                <w:b/>
                <w:sz w:val="20"/>
                <w:lang w:val="en-GB" w:eastAsia="de-DE"/>
              </w:rPr>
              <w:t>Dose adjustment</w:t>
            </w:r>
          </w:p>
        </w:tc>
      </w:tr>
      <w:tr w:rsidR="00A64B76" w:rsidRPr="003D0546" w14:paraId="30439A4A" w14:textId="77777777" w:rsidTr="00A64B76">
        <w:tc>
          <w:tcPr>
            <w:tcW w:w="4606" w:type="dxa"/>
            <w:shd w:val="clear" w:color="auto" w:fill="auto"/>
          </w:tcPr>
          <w:p w14:paraId="455C9F17" w14:textId="77777777" w:rsidR="00A64B76" w:rsidRPr="003D0546" w:rsidRDefault="00A64B76" w:rsidP="00A64B76">
            <w:pPr>
              <w:keepNext/>
              <w:keepLines/>
              <w:autoSpaceDE w:val="0"/>
              <w:autoSpaceDN w:val="0"/>
              <w:adjustRightInd w:val="0"/>
              <w:spacing w:beforeLines="40" w:before="96" w:afterLines="20" w:after="48"/>
              <w:jc w:val="both"/>
              <w:rPr>
                <w:rFonts w:ascii="Arial" w:eastAsia="MS Mincho" w:hAnsi="Arial" w:cs="Arial"/>
                <w:sz w:val="20"/>
                <w:lang w:val="en-GB" w:eastAsia="ja-JP"/>
              </w:rPr>
            </w:pPr>
            <w:r w:rsidRPr="003D0546">
              <w:rPr>
                <w:rFonts w:ascii="Arial" w:eastAsia="MS Mincho" w:hAnsi="Arial" w:cs="Arial"/>
                <w:sz w:val="20"/>
                <w:lang w:val="en-GB" w:eastAsia="ja-JP"/>
              </w:rPr>
              <w:t xml:space="preserve">Diarrhoea </w:t>
            </w:r>
            <w:r w:rsidRPr="004279BC">
              <w:rPr>
                <w:rFonts w:ascii="Arial" w:eastAsia="MS Mincho" w:hAnsi="Arial" w:cs="Arial"/>
                <w:sz w:val="20"/>
                <w:lang w:val="en-GB" w:eastAsia="ja-JP"/>
              </w:rPr>
              <w:t>equal to</w:t>
            </w:r>
            <w:r w:rsidRPr="003D0546">
              <w:rPr>
                <w:rFonts w:ascii="Arial" w:eastAsia="MS Mincho" w:hAnsi="Arial" w:cs="Arial"/>
                <w:sz w:val="20"/>
                <w:lang w:val="en-GB" w:eastAsia="ja-JP"/>
              </w:rPr>
              <w:t xml:space="preserve"> grade 2 for more than 7 consecutive days despi</w:t>
            </w:r>
            <w:r>
              <w:rPr>
                <w:rFonts w:ascii="Arial" w:eastAsia="MS Mincho" w:hAnsi="Arial" w:cs="Arial"/>
                <w:sz w:val="20"/>
                <w:lang w:val="en-GB" w:eastAsia="ja-JP"/>
              </w:rPr>
              <w:t>te anti-diarrhoeal treatment**</w:t>
            </w:r>
          </w:p>
          <w:p w14:paraId="0D500575" w14:textId="77777777" w:rsidR="00A64B76" w:rsidRPr="003D0546" w:rsidRDefault="00A64B76" w:rsidP="00A64B76">
            <w:pPr>
              <w:keepNext/>
              <w:keepLines/>
              <w:autoSpaceDE w:val="0"/>
              <w:autoSpaceDN w:val="0"/>
              <w:adjustRightInd w:val="0"/>
              <w:spacing w:beforeLines="40" w:before="96" w:afterLines="20" w:after="48"/>
              <w:jc w:val="both"/>
              <w:rPr>
                <w:rFonts w:ascii="Arial" w:eastAsia="MS Mincho" w:hAnsi="Arial" w:cs="Arial"/>
                <w:b/>
                <w:i/>
                <w:sz w:val="20"/>
                <w:lang w:val="en-GB" w:eastAsia="ja-JP"/>
              </w:rPr>
            </w:pPr>
            <w:r w:rsidRPr="003D0546">
              <w:rPr>
                <w:rFonts w:ascii="Arial" w:eastAsia="MS Mincho" w:hAnsi="Arial" w:cs="Arial"/>
                <w:b/>
                <w:i/>
                <w:sz w:val="20"/>
                <w:lang w:val="en-GB" w:eastAsia="ja-JP"/>
              </w:rPr>
              <w:t>OR</w:t>
            </w:r>
          </w:p>
          <w:p w14:paraId="51EE13A6" w14:textId="77777777" w:rsidR="00A64B76" w:rsidRPr="003D0546" w:rsidRDefault="00A64B76" w:rsidP="00A64B76">
            <w:pPr>
              <w:keepNext/>
              <w:keepLines/>
              <w:jc w:val="both"/>
              <w:rPr>
                <w:rFonts w:ascii="Arial" w:eastAsia="MS Mincho" w:hAnsi="Arial" w:cs="Arial"/>
                <w:sz w:val="20"/>
                <w:lang w:val="en-GB" w:eastAsia="ja-JP"/>
              </w:rPr>
            </w:pPr>
            <w:r>
              <w:rPr>
                <w:rFonts w:ascii="Arial" w:eastAsia="MS Mincho" w:hAnsi="Arial" w:cs="Arial"/>
                <w:sz w:val="20"/>
                <w:lang w:val="en-GB" w:eastAsia="ja-JP"/>
              </w:rPr>
              <w:t>D</w:t>
            </w:r>
            <w:r w:rsidRPr="003D0546">
              <w:rPr>
                <w:rFonts w:ascii="Arial" w:eastAsia="MS Mincho" w:hAnsi="Arial" w:cs="Arial"/>
                <w:sz w:val="20"/>
                <w:lang w:val="en-GB" w:eastAsia="ja-JP"/>
              </w:rPr>
              <w:t xml:space="preserve">iarrhoea </w:t>
            </w:r>
            <w:r w:rsidRPr="003D0546">
              <w:rPr>
                <w:rFonts w:ascii="Arial" w:eastAsia="MS Mincho" w:hAnsi="Arial" w:cs="Arial"/>
                <w:sz w:val="20"/>
                <w:u w:val="single"/>
                <w:lang w:val="en-GB" w:eastAsia="ja-JP"/>
              </w:rPr>
              <w:t>&gt;</w:t>
            </w:r>
            <w:r w:rsidRPr="003D0546">
              <w:rPr>
                <w:rFonts w:ascii="Arial" w:eastAsia="MS Mincho" w:hAnsi="Arial" w:cs="Arial"/>
                <w:sz w:val="20"/>
                <w:lang w:val="en-GB" w:eastAsia="ja-JP"/>
              </w:rPr>
              <w:t xml:space="preserve"> grade 3</w:t>
            </w:r>
          </w:p>
          <w:p w14:paraId="35749F59" w14:textId="77777777" w:rsidR="00A64B76" w:rsidRPr="003D0546" w:rsidRDefault="00A64B76" w:rsidP="00A64B76">
            <w:pPr>
              <w:keepNext/>
              <w:keepLines/>
              <w:spacing w:after="120"/>
              <w:jc w:val="both"/>
              <w:rPr>
                <w:rFonts w:ascii="Arial" w:hAnsi="Arial" w:cs="Arial"/>
                <w:sz w:val="20"/>
                <w:lang w:val="en-GB" w:eastAsia="de-DE"/>
              </w:rPr>
            </w:pPr>
            <w:r w:rsidRPr="003D0546">
              <w:rPr>
                <w:rFonts w:ascii="Arial" w:eastAsia="MS Mincho" w:hAnsi="Arial" w:cs="Arial"/>
                <w:sz w:val="20"/>
                <w:lang w:val="en-GB" w:eastAsia="ja-JP"/>
              </w:rPr>
              <w:t>despite anti-diarrhoeal treatment**</w:t>
            </w:r>
          </w:p>
        </w:tc>
        <w:tc>
          <w:tcPr>
            <w:tcW w:w="4606" w:type="dxa"/>
            <w:vMerge w:val="restart"/>
            <w:shd w:val="clear" w:color="auto" w:fill="auto"/>
          </w:tcPr>
          <w:p w14:paraId="5611DD37" w14:textId="77777777" w:rsidR="00A64B76" w:rsidRPr="003D0546" w:rsidRDefault="00A64B76" w:rsidP="00A64B76">
            <w:pPr>
              <w:keepNext/>
              <w:keepLines/>
              <w:jc w:val="both"/>
              <w:rPr>
                <w:rFonts w:ascii="Arial" w:hAnsi="Arial" w:cs="Arial"/>
                <w:sz w:val="20"/>
                <w:lang w:val="en-GB" w:eastAsia="de-DE"/>
              </w:rPr>
            </w:pPr>
          </w:p>
          <w:p w14:paraId="0660768D" w14:textId="77777777" w:rsidR="00A64B76" w:rsidRPr="003D0546" w:rsidRDefault="00A64B76" w:rsidP="00A64B76">
            <w:pPr>
              <w:keepNext/>
              <w:keepLines/>
              <w:jc w:val="both"/>
              <w:rPr>
                <w:rFonts w:ascii="Arial" w:hAnsi="Arial" w:cs="Arial"/>
                <w:sz w:val="20"/>
                <w:lang w:val="en-GB" w:eastAsia="de-DE"/>
              </w:rPr>
            </w:pPr>
          </w:p>
          <w:p w14:paraId="3DB0C475" w14:textId="77777777" w:rsidR="00A64B76" w:rsidRPr="003D0546" w:rsidRDefault="00A64B76" w:rsidP="00A64B76">
            <w:pPr>
              <w:keepNext/>
              <w:keepLines/>
              <w:jc w:val="both"/>
              <w:rPr>
                <w:rFonts w:ascii="Arial" w:hAnsi="Arial" w:cs="Arial"/>
                <w:sz w:val="20"/>
                <w:lang w:val="en-GB" w:eastAsia="de-DE"/>
              </w:rPr>
            </w:pPr>
          </w:p>
          <w:p w14:paraId="416D900D" w14:textId="77777777" w:rsidR="00A64B76" w:rsidRPr="003D0546" w:rsidRDefault="00A64B76" w:rsidP="00A64B76">
            <w:pPr>
              <w:keepNext/>
              <w:keepLines/>
              <w:jc w:val="both"/>
              <w:rPr>
                <w:rFonts w:ascii="Arial" w:hAnsi="Arial" w:cs="Arial"/>
                <w:sz w:val="20"/>
                <w:lang w:val="en-GB" w:eastAsia="de-DE"/>
              </w:rPr>
            </w:pPr>
          </w:p>
          <w:p w14:paraId="233C0A82" w14:textId="77777777" w:rsidR="00A64B76" w:rsidRPr="003D0546" w:rsidRDefault="00A64B76" w:rsidP="00A64B76">
            <w:pPr>
              <w:keepNext/>
              <w:keepLines/>
              <w:jc w:val="both"/>
              <w:rPr>
                <w:rFonts w:ascii="Arial" w:hAnsi="Arial" w:cs="Arial"/>
                <w:sz w:val="20"/>
                <w:lang w:val="en-GB" w:eastAsia="de-DE"/>
              </w:rPr>
            </w:pPr>
          </w:p>
          <w:p w14:paraId="516BD127" w14:textId="77777777" w:rsidR="00A64B76" w:rsidRPr="003D0546" w:rsidRDefault="00A64B76" w:rsidP="00A64B76">
            <w:pPr>
              <w:keepNext/>
              <w:keepLines/>
              <w:ind w:left="72"/>
              <w:jc w:val="both"/>
              <w:rPr>
                <w:rFonts w:ascii="Arial" w:hAnsi="Arial" w:cs="Arial"/>
                <w:sz w:val="20"/>
                <w:lang w:val="en-GB" w:eastAsia="de-DE"/>
              </w:rPr>
            </w:pPr>
            <w:r>
              <w:rPr>
                <w:rFonts w:ascii="Arial" w:hAnsi="Arial" w:cs="Arial"/>
                <w:sz w:val="20"/>
                <w:lang w:val="en-GB" w:eastAsia="de-DE"/>
              </w:rPr>
              <w:t>After treatment interruption and recovery to grade 1 or baseline, dose reduction</w:t>
            </w:r>
            <w:r w:rsidRPr="003D0546">
              <w:rPr>
                <w:rFonts w:ascii="Arial" w:hAnsi="Arial" w:cs="Arial"/>
                <w:sz w:val="20"/>
                <w:lang w:val="en-GB" w:eastAsia="de-DE"/>
              </w:rPr>
              <w:t xml:space="preserve"> from 200 mg twice daily to 150 mg twice daily and – if a 2</w:t>
            </w:r>
            <w:r w:rsidRPr="003D0546">
              <w:rPr>
                <w:rFonts w:ascii="Arial" w:hAnsi="Arial" w:cs="Arial"/>
                <w:sz w:val="20"/>
                <w:vertAlign w:val="superscript"/>
                <w:lang w:val="en-GB" w:eastAsia="de-DE"/>
              </w:rPr>
              <w:t>nd</w:t>
            </w:r>
            <w:r w:rsidRPr="003D0546">
              <w:rPr>
                <w:rFonts w:ascii="Arial" w:hAnsi="Arial" w:cs="Arial"/>
                <w:sz w:val="20"/>
                <w:lang w:val="en-GB" w:eastAsia="de-DE"/>
              </w:rPr>
              <w:t xml:space="preserve"> dose reduction is considered necessary - from 150 mg twice daily to 100 mg twice daily.</w:t>
            </w:r>
          </w:p>
        </w:tc>
      </w:tr>
      <w:tr w:rsidR="00A64B76" w:rsidRPr="003D0546" w14:paraId="3D8DE5B6" w14:textId="77777777" w:rsidTr="00A64B76">
        <w:tc>
          <w:tcPr>
            <w:tcW w:w="4606" w:type="dxa"/>
            <w:shd w:val="clear" w:color="auto" w:fill="auto"/>
          </w:tcPr>
          <w:p w14:paraId="2C82C98C" w14:textId="77777777" w:rsidR="00A64B76" w:rsidRPr="003D0546" w:rsidRDefault="00A64B76" w:rsidP="00A64B76">
            <w:pPr>
              <w:keepNext/>
              <w:keepLines/>
              <w:autoSpaceDE w:val="0"/>
              <w:autoSpaceDN w:val="0"/>
              <w:adjustRightInd w:val="0"/>
              <w:spacing w:beforeLines="40" w:before="96" w:afterLines="20" w:after="48"/>
              <w:jc w:val="both"/>
              <w:rPr>
                <w:rFonts w:ascii="Arial" w:eastAsia="MS Mincho" w:hAnsi="Arial" w:cs="Arial"/>
                <w:sz w:val="20"/>
                <w:lang w:val="en-GB" w:eastAsia="ja-JP"/>
              </w:rPr>
            </w:pPr>
            <w:r w:rsidRPr="003D0546">
              <w:rPr>
                <w:rFonts w:ascii="Arial" w:eastAsia="MS Mincho" w:hAnsi="Arial" w:cs="Arial"/>
                <w:sz w:val="20"/>
                <w:lang w:val="en-GB" w:eastAsia="ja-JP"/>
              </w:rPr>
              <w:t xml:space="preserve">Vomiting ** </w:t>
            </w:r>
            <w:r w:rsidRPr="003D0546">
              <w:rPr>
                <w:rFonts w:ascii="Arial" w:eastAsia="MS Mincho" w:hAnsi="Arial" w:cs="Arial"/>
                <w:sz w:val="20"/>
                <w:u w:val="single"/>
                <w:lang w:val="en-GB" w:eastAsia="ja-JP"/>
              </w:rPr>
              <w:t>&gt;</w:t>
            </w:r>
            <w:r>
              <w:rPr>
                <w:rFonts w:ascii="Arial" w:eastAsia="MS Mincho" w:hAnsi="Arial" w:cs="Arial"/>
                <w:sz w:val="20"/>
                <w:lang w:val="en-GB" w:eastAsia="ja-JP"/>
              </w:rPr>
              <w:t xml:space="preserve"> grade 2</w:t>
            </w:r>
          </w:p>
          <w:p w14:paraId="307AD055" w14:textId="77777777" w:rsidR="00A64B76" w:rsidRPr="003D0546" w:rsidRDefault="00A64B76" w:rsidP="00A64B76">
            <w:pPr>
              <w:keepNext/>
              <w:keepLines/>
              <w:autoSpaceDE w:val="0"/>
              <w:autoSpaceDN w:val="0"/>
              <w:adjustRightInd w:val="0"/>
              <w:spacing w:beforeLines="40" w:before="96" w:afterLines="20" w:after="48"/>
              <w:jc w:val="both"/>
              <w:rPr>
                <w:rFonts w:ascii="Arial" w:eastAsia="MS Mincho" w:hAnsi="Arial" w:cs="Arial"/>
                <w:b/>
                <w:i/>
                <w:sz w:val="20"/>
                <w:lang w:val="en-GB" w:eastAsia="ja-JP"/>
              </w:rPr>
            </w:pPr>
            <w:r w:rsidRPr="003D0546">
              <w:rPr>
                <w:rFonts w:ascii="Arial" w:eastAsia="MS Mincho" w:hAnsi="Arial" w:cs="Arial"/>
                <w:b/>
                <w:i/>
                <w:sz w:val="20"/>
                <w:lang w:val="en-GB" w:eastAsia="ja-JP"/>
              </w:rPr>
              <w:t>AND/OR</w:t>
            </w:r>
          </w:p>
          <w:p w14:paraId="729729DD" w14:textId="77777777" w:rsidR="00A64B76" w:rsidRPr="003D0546" w:rsidRDefault="00A64B76" w:rsidP="00A64B76">
            <w:pPr>
              <w:keepNext/>
              <w:keepLines/>
              <w:jc w:val="both"/>
              <w:rPr>
                <w:rFonts w:ascii="Arial" w:eastAsia="MS Mincho" w:hAnsi="Arial" w:cs="Arial"/>
                <w:sz w:val="20"/>
                <w:lang w:val="en-GB" w:eastAsia="ja-JP"/>
              </w:rPr>
            </w:pPr>
            <w:r w:rsidRPr="003D0546">
              <w:rPr>
                <w:rFonts w:ascii="Arial" w:eastAsia="MS Mincho" w:hAnsi="Arial" w:cs="Arial"/>
                <w:sz w:val="20"/>
                <w:lang w:val="en-GB" w:eastAsia="ja-JP"/>
              </w:rPr>
              <w:t xml:space="preserve">Nausea </w:t>
            </w:r>
            <w:r w:rsidRPr="003D0546">
              <w:rPr>
                <w:rFonts w:ascii="Arial" w:eastAsia="MS Mincho" w:hAnsi="Arial" w:cs="Arial"/>
                <w:sz w:val="20"/>
                <w:u w:val="single"/>
                <w:lang w:val="en-GB" w:eastAsia="ja-JP"/>
              </w:rPr>
              <w:t>&gt;</w:t>
            </w:r>
            <w:r>
              <w:rPr>
                <w:rFonts w:ascii="Arial" w:eastAsia="MS Mincho" w:hAnsi="Arial" w:cs="Arial"/>
                <w:sz w:val="20"/>
                <w:lang w:val="en-GB" w:eastAsia="ja-JP"/>
              </w:rPr>
              <w:t xml:space="preserve"> grade 3</w:t>
            </w:r>
          </w:p>
          <w:p w14:paraId="2C2DED16" w14:textId="77777777" w:rsidR="00A64B76" w:rsidRPr="003D0546" w:rsidRDefault="00A64B76" w:rsidP="00A64B76">
            <w:pPr>
              <w:keepNext/>
              <w:keepLines/>
              <w:spacing w:after="120"/>
              <w:jc w:val="both"/>
              <w:rPr>
                <w:rFonts w:ascii="Arial" w:eastAsia="MS Mincho" w:hAnsi="Arial" w:cs="Arial"/>
                <w:sz w:val="20"/>
                <w:lang w:val="en-GB" w:eastAsia="ja-JP"/>
              </w:rPr>
            </w:pPr>
            <w:r w:rsidRPr="003D0546">
              <w:rPr>
                <w:rFonts w:ascii="Arial" w:eastAsia="MS Mincho" w:hAnsi="Arial" w:cs="Arial"/>
                <w:sz w:val="20"/>
                <w:lang w:val="en-GB" w:eastAsia="ja-JP"/>
              </w:rPr>
              <w:t>despite anti-emetic treatment**</w:t>
            </w:r>
          </w:p>
        </w:tc>
        <w:tc>
          <w:tcPr>
            <w:tcW w:w="4606" w:type="dxa"/>
            <w:vMerge/>
            <w:shd w:val="clear" w:color="auto" w:fill="auto"/>
          </w:tcPr>
          <w:p w14:paraId="78ED2ABF" w14:textId="77777777" w:rsidR="00A64B76" w:rsidRPr="003D0546" w:rsidRDefault="00A64B76" w:rsidP="00A64B76">
            <w:pPr>
              <w:keepNext/>
              <w:keepLines/>
              <w:jc w:val="both"/>
              <w:rPr>
                <w:rFonts w:ascii="Arial" w:hAnsi="Arial" w:cs="Arial"/>
                <w:sz w:val="20"/>
                <w:lang w:val="en-GB" w:eastAsia="de-DE"/>
              </w:rPr>
            </w:pPr>
          </w:p>
        </w:tc>
      </w:tr>
      <w:tr w:rsidR="00A64B76" w:rsidRPr="003D0546" w14:paraId="1B0AD6B4" w14:textId="77777777" w:rsidTr="00A64B76">
        <w:tc>
          <w:tcPr>
            <w:tcW w:w="4606" w:type="dxa"/>
            <w:shd w:val="clear" w:color="auto" w:fill="auto"/>
          </w:tcPr>
          <w:p w14:paraId="07B2486B" w14:textId="77777777" w:rsidR="00A64B76" w:rsidRPr="00FA24AE" w:rsidRDefault="00A64B76" w:rsidP="00A64B76">
            <w:pPr>
              <w:keepNext/>
              <w:keepLines/>
              <w:spacing w:after="120"/>
              <w:jc w:val="both"/>
              <w:rPr>
                <w:rFonts w:ascii="Arial" w:eastAsia="MS Mincho" w:hAnsi="Arial" w:cs="Arial"/>
                <w:sz w:val="20"/>
                <w:lang w:val="en-GB" w:eastAsia="ja-JP"/>
              </w:rPr>
            </w:pPr>
            <w:r w:rsidRPr="003D0546">
              <w:rPr>
                <w:rFonts w:ascii="Arial" w:hAnsi="Arial" w:cs="Arial"/>
                <w:sz w:val="20"/>
                <w:lang w:val="en-GB" w:eastAsia="de-DE"/>
              </w:rPr>
              <w:t xml:space="preserve">Other non-haematological or haematological adverse reaction of </w:t>
            </w:r>
            <w:r w:rsidRPr="003D0546">
              <w:rPr>
                <w:rFonts w:ascii="Arial" w:hAnsi="Arial" w:cs="Arial"/>
                <w:sz w:val="20"/>
                <w:u w:val="single"/>
                <w:lang w:val="en-GB" w:eastAsia="de-DE"/>
              </w:rPr>
              <w:t>&gt;</w:t>
            </w:r>
            <w:r w:rsidRPr="003D0546">
              <w:rPr>
                <w:rFonts w:ascii="Arial" w:hAnsi="Arial" w:cs="Arial"/>
                <w:sz w:val="20"/>
                <w:lang w:val="en-GB" w:eastAsia="de-DE"/>
              </w:rPr>
              <w:t xml:space="preserve"> grade 3</w:t>
            </w:r>
          </w:p>
        </w:tc>
        <w:tc>
          <w:tcPr>
            <w:tcW w:w="4606" w:type="dxa"/>
            <w:vMerge/>
            <w:shd w:val="clear" w:color="auto" w:fill="auto"/>
          </w:tcPr>
          <w:p w14:paraId="5D90E76B" w14:textId="77777777" w:rsidR="00A64B76" w:rsidRPr="003D0546" w:rsidRDefault="00A64B76" w:rsidP="00A64B76">
            <w:pPr>
              <w:keepNext/>
              <w:keepLines/>
              <w:jc w:val="both"/>
              <w:rPr>
                <w:rFonts w:ascii="Arial" w:hAnsi="Arial" w:cs="Arial"/>
                <w:sz w:val="20"/>
                <w:lang w:val="en-GB" w:eastAsia="de-DE"/>
              </w:rPr>
            </w:pPr>
          </w:p>
        </w:tc>
      </w:tr>
    </w:tbl>
    <w:p w14:paraId="09DB8146" w14:textId="77777777" w:rsidR="00A64B76" w:rsidRPr="003D0546" w:rsidRDefault="00A64B76" w:rsidP="00A64B76">
      <w:pPr>
        <w:keepNext/>
        <w:keepLines/>
        <w:spacing w:before="120"/>
        <w:jc w:val="both"/>
        <w:rPr>
          <w:rFonts w:ascii="Arial" w:hAnsi="Arial" w:cs="Arial"/>
          <w:sz w:val="20"/>
          <w:lang w:val="en-GB" w:eastAsia="de-DE"/>
        </w:rPr>
      </w:pPr>
      <w:r w:rsidRPr="003D0546">
        <w:rPr>
          <w:rFonts w:ascii="Arial" w:hAnsi="Arial" w:cs="Arial"/>
          <w:sz w:val="20"/>
          <w:lang w:val="en-GB" w:eastAsia="de-DE"/>
        </w:rPr>
        <w:t>*CTCAE: Common Terminology Criteria for Adverse Events</w:t>
      </w:r>
    </w:p>
    <w:p w14:paraId="44FB11A7" w14:textId="47C38732" w:rsidR="00A64B76" w:rsidRDefault="00A64B76" w:rsidP="00216867">
      <w:pPr>
        <w:keepNext/>
        <w:keepLines/>
        <w:spacing w:after="120"/>
        <w:ind w:left="1123" w:hanging="1123"/>
        <w:jc w:val="both"/>
        <w:rPr>
          <w:rFonts w:ascii="Arial" w:eastAsia="MS Mincho" w:hAnsi="Arial" w:cs="Arial"/>
          <w:b/>
          <w:iCs/>
          <w:sz w:val="20"/>
          <w:lang w:val="en-GB" w:eastAsia="ja-JP"/>
        </w:rPr>
      </w:pPr>
      <w:r w:rsidRPr="003D0546">
        <w:rPr>
          <w:rFonts w:ascii="Arial" w:hAnsi="Arial" w:cs="Arial"/>
          <w:sz w:val="20"/>
          <w:lang w:val="en-GB" w:eastAsia="de-DE"/>
        </w:rPr>
        <w:t xml:space="preserve">** </w:t>
      </w:r>
      <w:r w:rsidRPr="003D0546">
        <w:rPr>
          <w:rFonts w:ascii="Arial" w:eastAsia="MS Mincho" w:hAnsi="Arial" w:cs="Arial"/>
          <w:sz w:val="20"/>
          <w:lang w:val="en-GB" w:eastAsia="ja-JP"/>
        </w:rPr>
        <w:t xml:space="preserve">see also </w:t>
      </w:r>
      <w:r w:rsidR="00C06C54">
        <w:rPr>
          <w:rFonts w:ascii="Arial" w:eastAsia="MS Mincho" w:hAnsi="Arial" w:cs="Arial"/>
          <w:sz w:val="20"/>
          <w:lang w:val="en-GB" w:eastAsia="ja-JP"/>
        </w:rPr>
        <w:t>Section 4.4 Special Warnings and Precautions for Use</w:t>
      </w:r>
    </w:p>
    <w:p w14:paraId="4A0F6E90" w14:textId="67B2F616" w:rsidR="00A64B76" w:rsidRPr="003D0546" w:rsidRDefault="00A64B76" w:rsidP="00A50827">
      <w:pPr>
        <w:pStyle w:val="CaptionTable"/>
        <w:ind w:left="1134" w:hanging="1134"/>
        <w:rPr>
          <w:rFonts w:ascii="Arial" w:hAnsi="Arial" w:cs="Arial"/>
          <w:b/>
          <w:bCs/>
          <w:sz w:val="20"/>
        </w:rPr>
      </w:pPr>
      <w:r w:rsidRPr="003D0546">
        <w:rPr>
          <w:rFonts w:ascii="Arial" w:hAnsi="Arial" w:cs="Arial"/>
          <w:b/>
          <w:bCs/>
          <w:sz w:val="20"/>
        </w:rPr>
        <w:t xml:space="preserve">Table </w:t>
      </w:r>
      <w:r>
        <w:rPr>
          <w:rFonts w:ascii="Arial" w:hAnsi="Arial" w:cs="Arial"/>
          <w:b/>
          <w:bCs/>
          <w:sz w:val="20"/>
        </w:rPr>
        <w:t>2</w:t>
      </w:r>
      <w:r w:rsidRPr="003D0546">
        <w:rPr>
          <w:rFonts w:ascii="Arial" w:hAnsi="Arial" w:cs="Arial"/>
          <w:b/>
          <w:bCs/>
          <w:sz w:val="20"/>
        </w:rPr>
        <w:t>:</w:t>
      </w:r>
      <w:r w:rsidRPr="003D0546">
        <w:rPr>
          <w:rFonts w:ascii="Arial" w:hAnsi="Arial" w:cs="Arial"/>
          <w:b/>
          <w:bCs/>
          <w:sz w:val="20"/>
        </w:rPr>
        <w:tab/>
        <w:t xml:space="preserve">Recommended dose adjustments for </w:t>
      </w:r>
      <w:r w:rsidRPr="007F5EC8">
        <w:rPr>
          <w:rFonts w:ascii="Arial" w:hAnsi="Arial" w:cs="Arial"/>
          <w:b/>
          <w:bCs/>
          <w:sz w:val="20"/>
        </w:rPr>
        <w:t>OFEV in case of AST and/or ALT and bilirubin elevations</w:t>
      </w:r>
    </w:p>
    <w:tbl>
      <w:tblPr>
        <w:tblStyle w:val="TableGrid"/>
        <w:tblW w:w="0" w:type="auto"/>
        <w:tblLook w:val="04A0" w:firstRow="1" w:lastRow="0" w:firstColumn="1" w:lastColumn="0" w:noHBand="0" w:noVBand="1"/>
      </w:tblPr>
      <w:tblGrid>
        <w:gridCol w:w="4513"/>
        <w:gridCol w:w="4520"/>
      </w:tblGrid>
      <w:tr w:rsidR="00A64B76" w:rsidRPr="00354633" w14:paraId="05EDB001" w14:textId="77777777" w:rsidTr="00A64B76">
        <w:tc>
          <w:tcPr>
            <w:tcW w:w="4629" w:type="dxa"/>
          </w:tcPr>
          <w:p w14:paraId="4D116B58" w14:textId="77777777" w:rsidR="00A64B76" w:rsidRPr="00354633" w:rsidRDefault="00A64B76" w:rsidP="00A50827">
            <w:pPr>
              <w:keepNext/>
              <w:spacing w:before="40" w:after="40"/>
              <w:jc w:val="center"/>
              <w:rPr>
                <w:rFonts w:ascii="Arial" w:eastAsia="MS Mincho" w:hAnsi="Arial" w:cs="Arial"/>
                <w:b/>
                <w:iCs/>
                <w:sz w:val="20"/>
                <w:lang w:val="en-GB" w:eastAsia="ja-JP"/>
              </w:rPr>
            </w:pPr>
            <w:r w:rsidRPr="00354633">
              <w:rPr>
                <w:rFonts w:ascii="Arial" w:eastAsia="MS Mincho" w:hAnsi="Arial" w:cs="Arial"/>
                <w:b/>
                <w:iCs/>
                <w:sz w:val="20"/>
                <w:lang w:val="en-GB" w:eastAsia="ja-JP"/>
              </w:rPr>
              <w:t>AST / ALT and bilirubin elevations</w:t>
            </w:r>
          </w:p>
        </w:tc>
        <w:tc>
          <w:tcPr>
            <w:tcW w:w="4630" w:type="dxa"/>
          </w:tcPr>
          <w:p w14:paraId="304FF16D" w14:textId="77777777" w:rsidR="00A64B76" w:rsidRPr="00354633" w:rsidRDefault="00A64B76" w:rsidP="00A50827">
            <w:pPr>
              <w:keepNext/>
              <w:spacing w:before="40" w:after="40"/>
              <w:jc w:val="center"/>
              <w:rPr>
                <w:rFonts w:ascii="Arial" w:eastAsia="MS Mincho" w:hAnsi="Arial" w:cs="Arial"/>
                <w:b/>
                <w:iCs/>
                <w:sz w:val="20"/>
                <w:lang w:val="en-GB" w:eastAsia="ja-JP"/>
              </w:rPr>
            </w:pPr>
            <w:r w:rsidRPr="00354633">
              <w:rPr>
                <w:rFonts w:ascii="Arial" w:eastAsia="MS Mincho" w:hAnsi="Arial" w:cs="Arial"/>
                <w:b/>
                <w:iCs/>
                <w:sz w:val="20"/>
                <w:lang w:val="en-GB" w:eastAsia="ja-JP"/>
              </w:rPr>
              <w:t>Dose adjustment</w:t>
            </w:r>
          </w:p>
        </w:tc>
      </w:tr>
      <w:tr w:rsidR="00A64B76" w14:paraId="02A6463A" w14:textId="77777777" w:rsidTr="00A64B76">
        <w:tc>
          <w:tcPr>
            <w:tcW w:w="4629" w:type="dxa"/>
          </w:tcPr>
          <w:p w14:paraId="0A85BBD5" w14:textId="77777777" w:rsidR="00A64B76" w:rsidRDefault="00A64B76" w:rsidP="00A50827">
            <w:pPr>
              <w:keepNext/>
              <w:spacing w:before="40" w:after="40"/>
              <w:rPr>
                <w:rFonts w:ascii="Arial" w:eastAsia="MS Mincho" w:hAnsi="Arial" w:cs="Arial"/>
                <w:bCs/>
                <w:iCs/>
                <w:sz w:val="20"/>
                <w:lang w:val="en-GB" w:eastAsia="ja-JP"/>
              </w:rPr>
            </w:pPr>
            <w:r>
              <w:rPr>
                <w:rFonts w:ascii="Arial" w:eastAsia="MS Mincho" w:hAnsi="Arial" w:cs="Arial"/>
                <w:bCs/>
                <w:iCs/>
                <w:sz w:val="20"/>
                <w:lang w:val="en-GB" w:eastAsia="ja-JP"/>
              </w:rPr>
              <w:t>Elevation of AST and/or ALT values to &gt; 2.5 x ULN in conjunction with total bilirubin elevation to ≥ 1.5 x ULN</w:t>
            </w:r>
          </w:p>
          <w:p w14:paraId="478386F6" w14:textId="77777777" w:rsidR="00A64B76" w:rsidRDefault="00A64B76" w:rsidP="00A50827">
            <w:pPr>
              <w:keepNext/>
              <w:spacing w:before="40" w:after="40"/>
              <w:rPr>
                <w:rFonts w:ascii="Arial" w:eastAsia="MS Mincho" w:hAnsi="Arial" w:cs="Arial"/>
                <w:bCs/>
                <w:iCs/>
                <w:sz w:val="20"/>
                <w:lang w:val="en-GB" w:eastAsia="ja-JP"/>
              </w:rPr>
            </w:pPr>
            <w:r>
              <w:rPr>
                <w:rFonts w:ascii="Arial" w:eastAsia="MS Mincho" w:hAnsi="Arial" w:cs="Arial"/>
                <w:bCs/>
                <w:iCs/>
                <w:sz w:val="20"/>
                <w:lang w:val="en-GB" w:eastAsia="ja-JP"/>
              </w:rPr>
              <w:t>OR</w:t>
            </w:r>
          </w:p>
          <w:p w14:paraId="1BDD6822" w14:textId="77777777" w:rsidR="00A64B76" w:rsidRPr="00354633" w:rsidRDefault="00A64B76" w:rsidP="00A50827">
            <w:pPr>
              <w:keepNext/>
              <w:spacing w:before="40" w:after="40"/>
              <w:rPr>
                <w:rFonts w:ascii="Arial" w:eastAsia="MS Mincho" w:hAnsi="Arial" w:cs="Arial"/>
                <w:bCs/>
                <w:iCs/>
                <w:sz w:val="20"/>
                <w:lang w:val="en-GB" w:eastAsia="ja-JP"/>
              </w:rPr>
            </w:pPr>
            <w:r>
              <w:rPr>
                <w:rFonts w:ascii="Arial" w:eastAsia="MS Mincho" w:hAnsi="Arial" w:cs="Arial"/>
                <w:bCs/>
                <w:iCs/>
                <w:sz w:val="20"/>
                <w:lang w:val="en-GB" w:eastAsia="ja-JP"/>
              </w:rPr>
              <w:t>Elevation of AST and/or ALT values to &gt; 5 x ULN</w:t>
            </w:r>
          </w:p>
        </w:tc>
        <w:tc>
          <w:tcPr>
            <w:tcW w:w="4630" w:type="dxa"/>
          </w:tcPr>
          <w:p w14:paraId="17F08EE3" w14:textId="77777777" w:rsidR="00A64B76" w:rsidRPr="00354633" w:rsidRDefault="00A64B76" w:rsidP="00A50827">
            <w:pPr>
              <w:keepNext/>
              <w:spacing w:before="40" w:after="40"/>
              <w:rPr>
                <w:rFonts w:ascii="Arial" w:eastAsia="MS Mincho" w:hAnsi="Arial" w:cs="Arial"/>
                <w:bCs/>
                <w:iCs/>
                <w:sz w:val="20"/>
                <w:lang w:val="en-GB" w:eastAsia="ja-JP"/>
              </w:rPr>
            </w:pPr>
            <w:r>
              <w:rPr>
                <w:rFonts w:ascii="Arial" w:eastAsia="MS Mincho" w:hAnsi="Arial" w:cs="Arial"/>
                <w:bCs/>
                <w:iCs/>
                <w:sz w:val="20"/>
                <w:lang w:val="en-GB" w:eastAsia="ja-JP"/>
              </w:rPr>
              <w:t>After treatment interruption and recovery of transaminase values to ≤ 2.5 x ULN in conjunction with bilirubin to normal, dose reduction from 200 mg twice daily to 150 mg twice daily and, if a 2</w:t>
            </w:r>
            <w:r w:rsidRPr="00354633">
              <w:rPr>
                <w:rFonts w:ascii="Arial" w:eastAsia="MS Mincho" w:hAnsi="Arial" w:cs="Arial"/>
                <w:bCs/>
                <w:iCs/>
                <w:sz w:val="20"/>
                <w:vertAlign w:val="superscript"/>
                <w:lang w:val="en-GB" w:eastAsia="ja-JP"/>
              </w:rPr>
              <w:t>nd</w:t>
            </w:r>
            <w:r>
              <w:rPr>
                <w:rFonts w:ascii="Arial" w:eastAsia="MS Mincho" w:hAnsi="Arial" w:cs="Arial"/>
                <w:bCs/>
                <w:iCs/>
                <w:sz w:val="20"/>
                <w:lang w:val="en-GB" w:eastAsia="ja-JP"/>
              </w:rPr>
              <w:t xml:space="preserve"> dose reduction is considered necessary, from 150 mg twice daily to 100 mg twice daily. </w:t>
            </w:r>
          </w:p>
        </w:tc>
      </w:tr>
      <w:tr w:rsidR="00A64B76" w14:paraId="063FDB6E" w14:textId="77777777" w:rsidTr="00A64B76">
        <w:tc>
          <w:tcPr>
            <w:tcW w:w="4629" w:type="dxa"/>
          </w:tcPr>
          <w:p w14:paraId="3FE0D58B" w14:textId="77777777" w:rsidR="00A64B76" w:rsidRPr="00354633" w:rsidRDefault="00A64B76" w:rsidP="00A50827">
            <w:pPr>
              <w:keepNext/>
              <w:spacing w:before="40" w:after="40"/>
              <w:rPr>
                <w:rFonts w:ascii="Arial" w:eastAsia="MS Mincho" w:hAnsi="Arial" w:cs="Arial"/>
                <w:bCs/>
                <w:iCs/>
                <w:sz w:val="20"/>
                <w:lang w:val="en-GB" w:eastAsia="ja-JP"/>
              </w:rPr>
            </w:pPr>
            <w:r>
              <w:rPr>
                <w:rFonts w:ascii="Arial" w:eastAsia="MS Mincho" w:hAnsi="Arial" w:cs="Arial"/>
                <w:bCs/>
                <w:iCs/>
                <w:sz w:val="20"/>
                <w:lang w:val="en-GB" w:eastAsia="ja-JP"/>
              </w:rPr>
              <w:t>Elevation of AST and/or ALT values to &gt; 3 x ULN in conjunction with an increase of total bilirubin to ≥ 2 x ULN and ALP &lt; 2 x ULN</w:t>
            </w:r>
          </w:p>
        </w:tc>
        <w:tc>
          <w:tcPr>
            <w:tcW w:w="4630" w:type="dxa"/>
          </w:tcPr>
          <w:p w14:paraId="2F6D115D" w14:textId="77777777" w:rsidR="00A64B76" w:rsidRPr="00354633" w:rsidRDefault="00A64B76" w:rsidP="00A50827">
            <w:pPr>
              <w:keepNext/>
              <w:spacing w:before="40" w:after="40"/>
              <w:rPr>
                <w:rFonts w:ascii="Arial" w:eastAsia="MS Mincho" w:hAnsi="Arial" w:cs="Arial"/>
                <w:bCs/>
                <w:iCs/>
                <w:sz w:val="20"/>
                <w:lang w:val="en-GB" w:eastAsia="ja-JP"/>
              </w:rPr>
            </w:pPr>
            <w:r>
              <w:rPr>
                <w:rFonts w:ascii="Arial" w:eastAsia="MS Mincho" w:hAnsi="Arial" w:cs="Arial"/>
                <w:bCs/>
                <w:iCs/>
                <w:sz w:val="20"/>
                <w:lang w:val="en-GB" w:eastAsia="ja-JP"/>
              </w:rPr>
              <w:t>Unless there is an alternative cause established, OFEV should be permanently discontinued.</w:t>
            </w:r>
          </w:p>
        </w:tc>
      </w:tr>
    </w:tbl>
    <w:p w14:paraId="5AD1B8BE" w14:textId="77777777" w:rsidR="00A64B76" w:rsidRDefault="00A64B76" w:rsidP="00A64B76">
      <w:pPr>
        <w:spacing w:before="120"/>
        <w:jc w:val="both"/>
        <w:rPr>
          <w:rFonts w:ascii="Arial" w:hAnsi="Arial" w:cs="Arial"/>
          <w:sz w:val="20"/>
          <w:lang w:val="en-GB" w:eastAsia="de-DE"/>
        </w:rPr>
      </w:pPr>
      <w:r w:rsidRPr="00354633">
        <w:rPr>
          <w:rFonts w:ascii="Arial" w:hAnsi="Arial" w:cs="Arial"/>
          <w:sz w:val="20"/>
          <w:lang w:val="en-GB" w:eastAsia="de-DE"/>
        </w:rPr>
        <w:t xml:space="preserve">AST: Aspartate aminotransferase; ALT: Alanine aminotransferase; </w:t>
      </w:r>
    </w:p>
    <w:p w14:paraId="3AA92A30" w14:textId="4E39B844" w:rsidR="00A64B76" w:rsidRDefault="00A64B76" w:rsidP="00216867">
      <w:pPr>
        <w:spacing w:before="40" w:after="120"/>
        <w:jc w:val="both"/>
        <w:rPr>
          <w:rFonts w:ascii="Arial" w:hAnsi="Arial" w:cs="Arial"/>
          <w:sz w:val="20"/>
          <w:lang w:val="en-GB" w:eastAsia="de-DE"/>
        </w:rPr>
      </w:pPr>
      <w:r w:rsidRPr="00354633">
        <w:rPr>
          <w:rFonts w:ascii="Arial" w:hAnsi="Arial" w:cs="Arial"/>
          <w:sz w:val="20"/>
          <w:lang w:val="en-GB" w:eastAsia="de-DE"/>
        </w:rPr>
        <w:t xml:space="preserve">ALP: Alkaline phosphatase; </w:t>
      </w:r>
      <w:r w:rsidRPr="00124B5F">
        <w:rPr>
          <w:rFonts w:ascii="Arial" w:hAnsi="Arial" w:cs="Arial"/>
          <w:sz w:val="20"/>
          <w:lang w:val="en-GB" w:eastAsia="de-DE"/>
        </w:rPr>
        <w:t>ULN: Upper limit normal</w:t>
      </w:r>
    </w:p>
    <w:p w14:paraId="06C45320" w14:textId="6D5ED03F" w:rsidR="00A64B76" w:rsidRPr="007D2ECA" w:rsidRDefault="00A64B76" w:rsidP="007D2ECA">
      <w:pPr>
        <w:rPr>
          <w:rFonts w:ascii="Arial" w:hAnsi="Arial"/>
          <w:sz w:val="22"/>
          <w:szCs w:val="22"/>
          <w:u w:val="single"/>
          <w:lang w:val="en-GB"/>
        </w:rPr>
      </w:pPr>
      <w:r w:rsidRPr="007D2ECA">
        <w:rPr>
          <w:rFonts w:ascii="Arial" w:hAnsi="Arial"/>
          <w:sz w:val="22"/>
          <w:szCs w:val="22"/>
          <w:u w:val="single"/>
          <w:lang w:val="en-GB"/>
        </w:rPr>
        <w:t>IPF</w:t>
      </w:r>
      <w:r w:rsidR="00A05120">
        <w:rPr>
          <w:rFonts w:ascii="Arial" w:hAnsi="Arial"/>
          <w:sz w:val="22"/>
          <w:szCs w:val="22"/>
          <w:u w:val="single"/>
          <w:lang w:val="en-GB"/>
        </w:rPr>
        <w:t xml:space="preserve">, </w:t>
      </w:r>
      <w:r w:rsidR="00A05120" w:rsidRPr="0088328A">
        <w:rPr>
          <w:rFonts w:ascii="Arial" w:hAnsi="Arial"/>
          <w:sz w:val="22"/>
          <w:szCs w:val="22"/>
          <w:u w:val="single"/>
          <w:lang w:val="en-GB"/>
        </w:rPr>
        <w:t xml:space="preserve">other chronic </w:t>
      </w:r>
      <w:proofErr w:type="spellStart"/>
      <w:r w:rsidR="00A05120" w:rsidRPr="0088328A">
        <w:rPr>
          <w:rFonts w:ascii="Arial" w:hAnsi="Arial"/>
          <w:sz w:val="22"/>
          <w:szCs w:val="22"/>
          <w:u w:val="single"/>
          <w:lang w:val="en-GB"/>
        </w:rPr>
        <w:t>fibrosing</w:t>
      </w:r>
      <w:proofErr w:type="spellEnd"/>
      <w:r w:rsidR="00A05120" w:rsidRPr="0088328A">
        <w:rPr>
          <w:rFonts w:ascii="Arial" w:hAnsi="Arial"/>
          <w:sz w:val="22"/>
          <w:szCs w:val="22"/>
          <w:u w:val="single"/>
          <w:lang w:val="en-GB"/>
        </w:rPr>
        <w:t xml:space="preserve"> ILDs with a progressive phenotype</w:t>
      </w:r>
      <w:r w:rsidR="00A05120">
        <w:rPr>
          <w:rFonts w:ascii="Arial" w:hAnsi="Arial"/>
          <w:sz w:val="22"/>
          <w:szCs w:val="22"/>
          <w:u w:val="single"/>
          <w:lang w:val="en-GB"/>
        </w:rPr>
        <w:t>,</w:t>
      </w:r>
      <w:r w:rsidR="00A9357F">
        <w:rPr>
          <w:rFonts w:ascii="Arial" w:hAnsi="Arial"/>
          <w:sz w:val="22"/>
          <w:szCs w:val="22"/>
          <w:u w:val="single"/>
          <w:lang w:val="en-GB"/>
        </w:rPr>
        <w:t xml:space="preserve"> and </w:t>
      </w:r>
      <w:proofErr w:type="spellStart"/>
      <w:r w:rsidR="00A9357F">
        <w:rPr>
          <w:rFonts w:ascii="Arial" w:hAnsi="Arial"/>
          <w:sz w:val="22"/>
          <w:szCs w:val="22"/>
          <w:u w:val="single"/>
          <w:lang w:val="en-GB"/>
        </w:rPr>
        <w:t>SSc</w:t>
      </w:r>
      <w:proofErr w:type="spellEnd"/>
      <w:r w:rsidR="00A9357F">
        <w:rPr>
          <w:rFonts w:ascii="Arial" w:hAnsi="Arial"/>
          <w:sz w:val="22"/>
          <w:szCs w:val="22"/>
          <w:u w:val="single"/>
          <w:lang w:val="en-GB"/>
        </w:rPr>
        <w:t>-ILD</w:t>
      </w:r>
    </w:p>
    <w:p w14:paraId="34B5A461" w14:textId="18F09085" w:rsidR="00A64B76" w:rsidRPr="00D656D0" w:rsidRDefault="00A64B76" w:rsidP="00A64B76">
      <w:pPr>
        <w:pStyle w:val="TextPI"/>
        <w:rPr>
          <w:lang w:val="en-GB"/>
        </w:rPr>
      </w:pPr>
      <w:r w:rsidRPr="00D656D0">
        <w:rPr>
          <w:lang w:val="en-GB"/>
        </w:rPr>
        <w:t>In addition to symptomatic treatment if applicable, the managem</w:t>
      </w:r>
      <w:r>
        <w:rPr>
          <w:lang w:val="en-GB"/>
        </w:rPr>
        <w:t xml:space="preserve">ent of </w:t>
      </w:r>
      <w:r w:rsidR="00336C5A">
        <w:rPr>
          <w:lang w:val="en-GB"/>
        </w:rPr>
        <w:t>adverse reactions</w:t>
      </w:r>
      <w:r>
        <w:rPr>
          <w:lang w:val="en-GB"/>
        </w:rPr>
        <w:t xml:space="preserve"> (see </w:t>
      </w:r>
      <w:r w:rsidR="00FC1BA7">
        <w:rPr>
          <w:lang w:val="en-GB"/>
        </w:rPr>
        <w:t>Sections 4.4 Special Warnings and Precautions for Use and 4.8 Adverse Effects</w:t>
      </w:r>
      <w:r w:rsidR="00336C5A">
        <w:rPr>
          <w:lang w:val="en-GB"/>
        </w:rPr>
        <w:t xml:space="preserve"> (Undesirable Effects)</w:t>
      </w:r>
      <w:r w:rsidRPr="00D656D0">
        <w:rPr>
          <w:lang w:val="en-GB"/>
        </w:rPr>
        <w:t xml:space="preserve">) of </w:t>
      </w:r>
      <w:r>
        <w:rPr>
          <w:lang w:val="en-GB"/>
        </w:rPr>
        <w:t>OFEV</w:t>
      </w:r>
      <w:r w:rsidRPr="00D656D0">
        <w:rPr>
          <w:lang w:val="en-GB"/>
        </w:rPr>
        <w:t xml:space="preserve"> could include dose reduction and temporary interruption until the specific adverse reaction has resolved to levels that allow continuation of therapy. </w:t>
      </w:r>
      <w:r>
        <w:rPr>
          <w:lang w:val="en-GB"/>
        </w:rPr>
        <w:t>OFEV</w:t>
      </w:r>
      <w:r w:rsidRPr="00D656D0">
        <w:rPr>
          <w:lang w:val="en-GB"/>
        </w:rPr>
        <w:t xml:space="preserve"> treatment may be resumed at the full dose (150 mg twice daily) or a reduced dose (100 mg twice daily). If a patient does not tolerate 100 mg twice daily, treatment with </w:t>
      </w:r>
      <w:r>
        <w:rPr>
          <w:lang w:val="en-GB"/>
        </w:rPr>
        <w:t>OFEV</w:t>
      </w:r>
      <w:r w:rsidRPr="00D656D0">
        <w:rPr>
          <w:lang w:val="en-GB"/>
        </w:rPr>
        <w:t xml:space="preserve"> </w:t>
      </w:r>
      <w:proofErr w:type="gramStart"/>
      <w:r w:rsidRPr="00D656D0">
        <w:rPr>
          <w:lang w:val="en-GB"/>
        </w:rPr>
        <w:t xml:space="preserve">should </w:t>
      </w:r>
      <w:r>
        <w:rPr>
          <w:lang w:val="en-GB"/>
        </w:rPr>
        <w:t xml:space="preserve">permanently </w:t>
      </w:r>
      <w:r w:rsidR="00216867">
        <w:rPr>
          <w:lang w:val="en-GB"/>
        </w:rPr>
        <w:t>be discontinued</w:t>
      </w:r>
      <w:proofErr w:type="gramEnd"/>
      <w:r w:rsidR="00216867">
        <w:rPr>
          <w:lang w:val="en-GB"/>
        </w:rPr>
        <w:t>.</w:t>
      </w:r>
    </w:p>
    <w:p w14:paraId="376FE818" w14:textId="27AB8346" w:rsidR="00A64B76" w:rsidRPr="00D656D0" w:rsidRDefault="00A64B76" w:rsidP="00A64B76">
      <w:pPr>
        <w:pStyle w:val="TextPI"/>
        <w:rPr>
          <w:lang w:val="en-GB"/>
        </w:rPr>
      </w:pPr>
      <w:r w:rsidRPr="00D656D0">
        <w:rPr>
          <w:lang w:val="en-GB"/>
        </w:rPr>
        <w:t xml:space="preserve">In case of interruptions due to transaminase (AST or ALT) elevations &gt; </w:t>
      </w:r>
      <w:r>
        <w:rPr>
          <w:lang w:val="en-GB"/>
        </w:rPr>
        <w:t xml:space="preserve">3 </w:t>
      </w:r>
      <w:r w:rsidRPr="00D656D0">
        <w:rPr>
          <w:lang w:val="en-GB"/>
        </w:rPr>
        <w:t xml:space="preserve">x upper limit of normal (ULN), once transaminases have returned to baseline values, treatment with </w:t>
      </w:r>
      <w:r>
        <w:rPr>
          <w:lang w:val="en-GB"/>
        </w:rPr>
        <w:t>OFEV</w:t>
      </w:r>
      <w:r w:rsidRPr="00D656D0">
        <w:rPr>
          <w:lang w:val="en-GB"/>
        </w:rPr>
        <w:t xml:space="preserve"> may be reintroduced at a reduced dose (100 mg twice daily) which subsequently may be increased to the full dose (150 mg twice daily) (see </w:t>
      </w:r>
      <w:r w:rsidR="00FC1BA7">
        <w:rPr>
          <w:lang w:val="en-GB"/>
        </w:rPr>
        <w:t>Sections 4.4 Special Warnings and Precautions for Use and 4.8 Adverse Effects</w:t>
      </w:r>
      <w:r w:rsidR="006B5FA7">
        <w:rPr>
          <w:lang w:val="en-GB"/>
        </w:rPr>
        <w:t xml:space="preserve"> (Undesirable Effects)</w:t>
      </w:r>
      <w:r>
        <w:rPr>
          <w:lang w:val="en-GB"/>
        </w:rPr>
        <w:t>)</w:t>
      </w:r>
      <w:r w:rsidRPr="00D656D0">
        <w:rPr>
          <w:lang w:val="en-GB"/>
        </w:rPr>
        <w:t>.</w:t>
      </w:r>
    </w:p>
    <w:p w14:paraId="5B27A5CD" w14:textId="77777777" w:rsidR="00A64B76" w:rsidRPr="005E09DF" w:rsidRDefault="00A64B76" w:rsidP="005D33C9">
      <w:pPr>
        <w:pStyle w:val="PIheading30"/>
        <w:ind w:left="0" w:right="0" w:firstLine="0"/>
        <w:rPr>
          <w:b/>
          <w:bCs/>
          <w:u w:val="none"/>
        </w:rPr>
      </w:pPr>
      <w:r w:rsidRPr="005E09DF">
        <w:rPr>
          <w:b/>
          <w:bCs/>
          <w:u w:val="none"/>
        </w:rPr>
        <w:lastRenderedPageBreak/>
        <w:t>Special populations</w:t>
      </w:r>
    </w:p>
    <w:p w14:paraId="1B109572" w14:textId="77777777" w:rsidR="00A64B76" w:rsidRPr="008753B0" w:rsidRDefault="00A64B76" w:rsidP="008753B0">
      <w:pPr>
        <w:pStyle w:val="TextPI"/>
        <w:rPr>
          <w:u w:val="single"/>
        </w:rPr>
      </w:pPr>
      <w:r w:rsidRPr="008753B0">
        <w:rPr>
          <w:u w:val="single"/>
        </w:rPr>
        <w:t>Paediatric population</w:t>
      </w:r>
    </w:p>
    <w:p w14:paraId="6642066F" w14:textId="77777777" w:rsidR="00A64B76" w:rsidRPr="00EF1EB0" w:rsidRDefault="00A64B76" w:rsidP="00A64B76">
      <w:pPr>
        <w:pStyle w:val="TextPI"/>
        <w:rPr>
          <w:lang w:val="en-GB"/>
        </w:rPr>
      </w:pPr>
      <w:r w:rsidRPr="00EF1EB0">
        <w:rPr>
          <w:lang w:val="en-GB"/>
        </w:rPr>
        <w:t xml:space="preserve">The safety and efficacy of </w:t>
      </w:r>
      <w:r>
        <w:rPr>
          <w:bCs/>
          <w:iCs/>
          <w:lang w:val="en-GB"/>
        </w:rPr>
        <w:t>OFEV</w:t>
      </w:r>
      <w:r w:rsidRPr="00EF1EB0">
        <w:rPr>
          <w:b/>
          <w:i/>
          <w:iCs/>
          <w:vertAlign w:val="superscript"/>
          <w:lang w:val="en-GB"/>
        </w:rPr>
        <w:t xml:space="preserve"> </w:t>
      </w:r>
      <w:r w:rsidRPr="00EF1EB0">
        <w:rPr>
          <w:lang w:val="en-GB"/>
        </w:rPr>
        <w:t>in paediatric patients have not been studied in clinical trials.</w:t>
      </w:r>
    </w:p>
    <w:p w14:paraId="0DFDD03B" w14:textId="77777777" w:rsidR="00A64B76" w:rsidRPr="008753B0" w:rsidRDefault="00A64B76" w:rsidP="008753B0">
      <w:pPr>
        <w:pStyle w:val="TextPI"/>
        <w:rPr>
          <w:u w:val="single"/>
        </w:rPr>
      </w:pPr>
      <w:r w:rsidRPr="008753B0">
        <w:rPr>
          <w:u w:val="single"/>
        </w:rPr>
        <w:t>Elderly patients (≥ 65 years)</w:t>
      </w:r>
    </w:p>
    <w:p w14:paraId="5D2A1D3B" w14:textId="1A565917" w:rsidR="00A64B76" w:rsidRPr="00EF1EB0" w:rsidRDefault="00A64B76" w:rsidP="00A64B76">
      <w:pPr>
        <w:pStyle w:val="TextPI"/>
        <w:keepNext/>
        <w:keepLines/>
        <w:rPr>
          <w:color w:val="000000"/>
          <w:lang w:val="en-GB" w:eastAsia="de-DE"/>
        </w:rPr>
      </w:pPr>
      <w:r w:rsidRPr="00EF1EB0">
        <w:rPr>
          <w:lang w:val="en-GB"/>
        </w:rPr>
        <w:t>No overall differences in safety and efficacy were observed for elderly patients compared to patients aged below 65 years.</w:t>
      </w:r>
      <w:r w:rsidRPr="00EF1EB0">
        <w:rPr>
          <w:color w:val="000000"/>
          <w:lang w:val="en-GB" w:eastAsia="de-DE"/>
        </w:rPr>
        <w:t xml:space="preserve"> No adjustment</w:t>
      </w:r>
      <w:r>
        <w:rPr>
          <w:color w:val="000000"/>
          <w:lang w:val="en-GB" w:eastAsia="de-DE"/>
        </w:rPr>
        <w:t xml:space="preserve"> of the initial dosing</w:t>
      </w:r>
      <w:r w:rsidRPr="00EF1EB0">
        <w:rPr>
          <w:color w:val="000000"/>
          <w:lang w:val="en-GB" w:eastAsia="de-DE"/>
        </w:rPr>
        <w:t xml:space="preserve"> is required </w:t>
      </w:r>
      <w:proofErr w:type="gramStart"/>
      <w:r w:rsidRPr="00EF1EB0">
        <w:rPr>
          <w:color w:val="000000"/>
          <w:lang w:val="en-GB" w:eastAsia="de-DE"/>
        </w:rPr>
        <w:t>on the basis of</w:t>
      </w:r>
      <w:proofErr w:type="gramEnd"/>
      <w:r w:rsidRPr="00EF1EB0">
        <w:rPr>
          <w:color w:val="000000"/>
          <w:lang w:val="en-GB" w:eastAsia="de-DE"/>
        </w:rPr>
        <w:t xml:space="preserve"> a patient’s age (see</w:t>
      </w:r>
      <w:r w:rsidR="00DC5468">
        <w:rPr>
          <w:color w:val="000000"/>
          <w:lang w:val="en-GB" w:eastAsia="de-DE"/>
        </w:rPr>
        <w:t xml:space="preserve"> Section 5.2 Pharmacokinetic Properties</w:t>
      </w:r>
      <w:r w:rsidRPr="00EF1EB0">
        <w:rPr>
          <w:color w:val="000000"/>
          <w:lang w:val="en-GB" w:eastAsia="de-DE"/>
        </w:rPr>
        <w:t>).</w:t>
      </w:r>
    </w:p>
    <w:p w14:paraId="33B04A4F" w14:textId="393A49C1" w:rsidR="00A64B76" w:rsidRPr="008753B0" w:rsidRDefault="00216867" w:rsidP="008753B0">
      <w:pPr>
        <w:pStyle w:val="TextPI"/>
        <w:rPr>
          <w:u w:val="single"/>
          <w:lang w:val="en-GB"/>
        </w:rPr>
      </w:pPr>
      <w:r>
        <w:rPr>
          <w:u w:val="single"/>
          <w:lang w:val="en-GB"/>
        </w:rPr>
        <w:t>Race</w:t>
      </w:r>
    </w:p>
    <w:p w14:paraId="0D1F856E" w14:textId="0AD05892" w:rsidR="00A64B76" w:rsidRPr="001448C9" w:rsidRDefault="00A64B76" w:rsidP="00A64B76">
      <w:pPr>
        <w:pStyle w:val="TextPI"/>
        <w:rPr>
          <w:lang w:val="en-GB"/>
        </w:rPr>
      </w:pPr>
      <w:r w:rsidRPr="00992426">
        <w:rPr>
          <w:lang w:val="en-GB"/>
        </w:rPr>
        <w:t xml:space="preserve">Based on population PK analyses, no </w:t>
      </w:r>
      <w:r w:rsidRPr="00992426">
        <w:rPr>
          <w:i/>
          <w:lang w:val="en-GB"/>
        </w:rPr>
        <w:t>a priori</w:t>
      </w:r>
      <w:r w:rsidRPr="00992426">
        <w:rPr>
          <w:lang w:val="en-GB"/>
        </w:rPr>
        <w:t xml:space="preserve"> dose adjustments of </w:t>
      </w:r>
      <w:r w:rsidRPr="00992426">
        <w:rPr>
          <w:bCs/>
          <w:lang w:val="en-GB"/>
        </w:rPr>
        <w:t>OFEV</w:t>
      </w:r>
      <w:r w:rsidRPr="00992426">
        <w:rPr>
          <w:b/>
          <w:i/>
          <w:vertAlign w:val="superscript"/>
          <w:lang w:val="en-GB"/>
        </w:rPr>
        <w:t xml:space="preserve"> </w:t>
      </w:r>
      <w:r w:rsidRPr="00992426">
        <w:rPr>
          <w:lang w:val="en-GB"/>
        </w:rPr>
        <w:t>are necessary (see</w:t>
      </w:r>
      <w:r w:rsidR="00DC5468">
        <w:rPr>
          <w:lang w:val="en-GB"/>
        </w:rPr>
        <w:t xml:space="preserve"> Sections 4.4 Special Warnings and Precautions for Use</w:t>
      </w:r>
      <w:r w:rsidRPr="00992426">
        <w:rPr>
          <w:lang w:val="en-GB"/>
        </w:rPr>
        <w:t xml:space="preserve">, Special populations and </w:t>
      </w:r>
      <w:r w:rsidR="00DC5468">
        <w:rPr>
          <w:color w:val="000000"/>
          <w:lang w:val="en-GB" w:eastAsia="de-DE"/>
        </w:rPr>
        <w:t>5.2 Pharmacokinetic Properties</w:t>
      </w:r>
      <w:r w:rsidRPr="00992426">
        <w:rPr>
          <w:lang w:val="en-GB"/>
        </w:rPr>
        <w:t>).  Safety data for Black patients are limited.</w:t>
      </w:r>
    </w:p>
    <w:p w14:paraId="0D4E8071" w14:textId="77777777" w:rsidR="00A64B76" w:rsidRPr="008753B0" w:rsidRDefault="00A64B76" w:rsidP="008753B0">
      <w:pPr>
        <w:pStyle w:val="TextPI"/>
        <w:rPr>
          <w:u w:val="single"/>
        </w:rPr>
      </w:pPr>
      <w:r w:rsidRPr="008753B0">
        <w:rPr>
          <w:u w:val="single"/>
        </w:rPr>
        <w:t>Body weight</w:t>
      </w:r>
    </w:p>
    <w:p w14:paraId="17A21A5D" w14:textId="26456D1A" w:rsidR="00A64B76" w:rsidRPr="00C25DB2" w:rsidRDefault="00A64B76" w:rsidP="004B6BE3">
      <w:pPr>
        <w:pStyle w:val="TextPI"/>
        <w:rPr>
          <w:lang w:val="en-GB"/>
        </w:rPr>
      </w:pPr>
      <w:r w:rsidRPr="00C25DB2">
        <w:rPr>
          <w:lang w:val="en-GB"/>
        </w:rPr>
        <w:t xml:space="preserve">Based on population PK analyses, no a priori dose adjustments of OFEV are necessary (see </w:t>
      </w:r>
      <w:r w:rsidR="00DC5468" w:rsidRPr="00C25DB2">
        <w:rPr>
          <w:lang w:val="en-GB"/>
        </w:rPr>
        <w:t>Section 5.2 Pharmacokinetic Properties</w:t>
      </w:r>
      <w:r w:rsidR="00216867">
        <w:rPr>
          <w:lang w:val="en-GB"/>
        </w:rPr>
        <w:t>).</w:t>
      </w:r>
    </w:p>
    <w:p w14:paraId="40DA14D0" w14:textId="77777777" w:rsidR="00A64B76" w:rsidRPr="008753B0" w:rsidRDefault="00A64B76" w:rsidP="008753B0">
      <w:pPr>
        <w:pStyle w:val="TextPI"/>
        <w:rPr>
          <w:u w:val="single"/>
        </w:rPr>
      </w:pPr>
      <w:r w:rsidRPr="008753B0">
        <w:rPr>
          <w:u w:val="single"/>
        </w:rPr>
        <w:t>Renal impairment</w:t>
      </w:r>
    </w:p>
    <w:p w14:paraId="095D3DCB" w14:textId="39CAC1F5" w:rsidR="00A64B76" w:rsidRPr="001448C9" w:rsidRDefault="00A64B76" w:rsidP="00A64B76">
      <w:pPr>
        <w:pStyle w:val="TextPI"/>
        <w:rPr>
          <w:lang w:val="en-GB" w:eastAsia="de-DE"/>
        </w:rPr>
      </w:pPr>
      <w:r w:rsidRPr="001448C9">
        <w:rPr>
          <w:lang w:val="en-GB" w:eastAsia="de-DE"/>
        </w:rPr>
        <w:t xml:space="preserve">Less than 1% of a single dose of </w:t>
      </w:r>
      <w:proofErr w:type="spellStart"/>
      <w:r w:rsidRPr="001448C9">
        <w:rPr>
          <w:iCs/>
          <w:lang w:val="en-GB" w:eastAsia="de-DE"/>
        </w:rPr>
        <w:t>nintedanib</w:t>
      </w:r>
      <w:proofErr w:type="spellEnd"/>
      <w:r w:rsidRPr="001448C9">
        <w:rPr>
          <w:iCs/>
          <w:vertAlign w:val="superscript"/>
          <w:lang w:val="en-GB" w:eastAsia="de-DE"/>
        </w:rPr>
        <w:t xml:space="preserve"> </w:t>
      </w:r>
      <w:r w:rsidRPr="001448C9">
        <w:rPr>
          <w:lang w:val="en-GB" w:eastAsia="de-DE"/>
        </w:rPr>
        <w:t xml:space="preserve">is excreted via the kidney (see </w:t>
      </w:r>
      <w:r w:rsidR="00DC5468">
        <w:rPr>
          <w:color w:val="000000"/>
          <w:lang w:val="en-GB" w:eastAsia="de-DE"/>
        </w:rPr>
        <w:t>Section 5.2 Pharmacokinetic Properties</w:t>
      </w:r>
      <w:r w:rsidRPr="001448C9">
        <w:rPr>
          <w:lang w:val="en-GB" w:eastAsia="de-DE"/>
        </w:rPr>
        <w:t xml:space="preserve">). Adjustment of the starting dose in patients with mild to moderate renal impairment is not required. </w:t>
      </w:r>
      <w:r w:rsidRPr="001448C9">
        <w:rPr>
          <w:color w:val="000000"/>
          <w:lang w:val="en-GB" w:eastAsia="de-DE"/>
        </w:rPr>
        <w:t xml:space="preserve">The safety, efficacy, and pharmacokinetics of </w:t>
      </w:r>
      <w:proofErr w:type="spellStart"/>
      <w:r w:rsidRPr="001448C9">
        <w:rPr>
          <w:iCs/>
          <w:color w:val="000000"/>
          <w:lang w:val="en-GB" w:eastAsia="de-DE"/>
        </w:rPr>
        <w:t>nintedanib</w:t>
      </w:r>
      <w:proofErr w:type="spellEnd"/>
      <w:r w:rsidRPr="001448C9">
        <w:rPr>
          <w:bCs/>
          <w:iCs/>
          <w:color w:val="000000"/>
          <w:lang w:val="en-GB" w:eastAsia="de-DE"/>
        </w:rPr>
        <w:t xml:space="preserve"> </w:t>
      </w:r>
      <w:r w:rsidRPr="001448C9">
        <w:rPr>
          <w:color w:val="000000"/>
          <w:lang w:val="en-GB" w:eastAsia="de-DE"/>
        </w:rPr>
        <w:t xml:space="preserve">have not been studied in patients </w:t>
      </w:r>
      <w:r w:rsidRPr="001448C9">
        <w:rPr>
          <w:lang w:val="en-GB" w:eastAsia="de-DE"/>
        </w:rPr>
        <w:t>with severe renal impairment (&lt;</w:t>
      </w:r>
      <w:r w:rsidR="00AC3B30">
        <w:rPr>
          <w:lang w:val="en-GB" w:eastAsia="de-DE"/>
        </w:rPr>
        <w:t xml:space="preserve"> </w:t>
      </w:r>
      <w:r w:rsidRPr="001448C9">
        <w:rPr>
          <w:lang w:val="en-GB" w:eastAsia="de-DE"/>
        </w:rPr>
        <w:t>30 m</w:t>
      </w:r>
      <w:r>
        <w:rPr>
          <w:lang w:val="en-GB" w:eastAsia="de-DE"/>
        </w:rPr>
        <w:t>L</w:t>
      </w:r>
      <w:r w:rsidRPr="001448C9">
        <w:rPr>
          <w:lang w:val="en-GB" w:eastAsia="de-DE"/>
        </w:rPr>
        <w:t xml:space="preserve">/min </w:t>
      </w:r>
      <w:proofErr w:type="spellStart"/>
      <w:r w:rsidRPr="001448C9">
        <w:rPr>
          <w:lang w:val="en-GB" w:eastAsia="de-DE"/>
        </w:rPr>
        <w:t>CrCL</w:t>
      </w:r>
      <w:proofErr w:type="spellEnd"/>
      <w:r w:rsidRPr="001448C9">
        <w:rPr>
          <w:lang w:val="en-GB" w:eastAsia="de-DE"/>
        </w:rPr>
        <w:t>).</w:t>
      </w:r>
    </w:p>
    <w:p w14:paraId="59183A22" w14:textId="1B9BFC06" w:rsidR="00A64B76" w:rsidRPr="008753B0" w:rsidRDefault="00216867" w:rsidP="008753B0">
      <w:pPr>
        <w:pStyle w:val="TextPI"/>
        <w:rPr>
          <w:u w:val="single"/>
        </w:rPr>
      </w:pPr>
      <w:r>
        <w:rPr>
          <w:u w:val="single"/>
        </w:rPr>
        <w:t>Hepatic impairment</w:t>
      </w:r>
    </w:p>
    <w:p w14:paraId="117B1CB2" w14:textId="14B7181C" w:rsidR="00A64B76" w:rsidRDefault="00A64B76" w:rsidP="00A64B76">
      <w:pPr>
        <w:pStyle w:val="TextPI"/>
        <w:rPr>
          <w:lang w:val="en-GB" w:eastAsia="de-DE"/>
        </w:rPr>
      </w:pPr>
      <w:proofErr w:type="spellStart"/>
      <w:r w:rsidRPr="001448C9">
        <w:rPr>
          <w:lang w:val="en-GB" w:eastAsia="de-DE"/>
        </w:rPr>
        <w:t>Nintedanib</w:t>
      </w:r>
      <w:proofErr w:type="spellEnd"/>
      <w:r w:rsidRPr="001448C9">
        <w:rPr>
          <w:b/>
          <w:lang w:val="en-GB" w:eastAsia="de-DE"/>
        </w:rPr>
        <w:t xml:space="preserve"> </w:t>
      </w:r>
      <w:r w:rsidRPr="001448C9">
        <w:rPr>
          <w:lang w:val="en-GB" w:eastAsia="de-DE"/>
        </w:rPr>
        <w:t>is predominantly eliminated via biliary/faecal excretion (&gt;90%</w:t>
      </w:r>
      <w:r>
        <w:rPr>
          <w:lang w:val="en-GB" w:eastAsia="de-DE"/>
        </w:rPr>
        <w:t>). Exposure increased in patients with hepatic impairment (Child Pugh A, Child Pugh B</w:t>
      </w:r>
      <w:r w:rsidRPr="001448C9">
        <w:rPr>
          <w:lang w:val="en-GB" w:eastAsia="de-DE"/>
        </w:rPr>
        <w:t xml:space="preserve">; see </w:t>
      </w:r>
      <w:r w:rsidR="00DC5468">
        <w:rPr>
          <w:color w:val="000000"/>
          <w:lang w:val="en-GB" w:eastAsia="de-DE"/>
        </w:rPr>
        <w:t>Section 5.2 Pharmacokinetic Properties</w:t>
      </w:r>
      <w:r w:rsidRPr="000278B2">
        <w:rPr>
          <w:bCs/>
          <w:lang w:val="en-GB" w:eastAsia="de-DE"/>
        </w:rPr>
        <w:t>)</w:t>
      </w:r>
      <w:r w:rsidRPr="001448C9">
        <w:rPr>
          <w:lang w:val="en-GB" w:eastAsia="de-DE"/>
        </w:rPr>
        <w:t>.</w:t>
      </w:r>
    </w:p>
    <w:p w14:paraId="3B08932F" w14:textId="432C1BC5" w:rsidR="00A64B76" w:rsidRDefault="00A64B76" w:rsidP="00A64B76">
      <w:pPr>
        <w:pStyle w:val="TextPI"/>
        <w:rPr>
          <w:lang w:val="en-GB" w:eastAsia="de-DE"/>
        </w:rPr>
      </w:pPr>
      <w:r w:rsidRPr="001448C9">
        <w:rPr>
          <w:lang w:val="en-GB" w:eastAsia="de-DE"/>
        </w:rPr>
        <w:t xml:space="preserve">The </w:t>
      </w:r>
      <w:r w:rsidRPr="00992426">
        <w:rPr>
          <w:lang w:val="en-GB" w:eastAsia="de-DE"/>
        </w:rPr>
        <w:t xml:space="preserve">safety </w:t>
      </w:r>
      <w:r>
        <w:rPr>
          <w:lang w:val="en-GB" w:eastAsia="de-DE"/>
        </w:rPr>
        <w:t xml:space="preserve">and </w:t>
      </w:r>
      <w:r w:rsidRPr="00992426">
        <w:rPr>
          <w:lang w:val="en-GB" w:eastAsia="de-DE"/>
        </w:rPr>
        <w:t>efficacy</w:t>
      </w:r>
      <w:r>
        <w:rPr>
          <w:lang w:val="en-GB" w:eastAsia="de-DE"/>
        </w:rPr>
        <w:t xml:space="preserve"> </w:t>
      </w:r>
      <w:r w:rsidRPr="001448C9">
        <w:rPr>
          <w:lang w:val="en-GB" w:eastAsia="de-DE"/>
        </w:rPr>
        <w:t xml:space="preserve">of </w:t>
      </w:r>
      <w:proofErr w:type="spellStart"/>
      <w:r w:rsidRPr="001448C9">
        <w:rPr>
          <w:iCs/>
          <w:lang w:val="en-GB" w:eastAsia="de-DE"/>
        </w:rPr>
        <w:t>nintedanib</w:t>
      </w:r>
      <w:proofErr w:type="spellEnd"/>
      <w:r w:rsidRPr="001448C9">
        <w:rPr>
          <w:b/>
          <w:bCs/>
          <w:iCs/>
          <w:lang w:val="en-GB" w:eastAsia="de-DE"/>
        </w:rPr>
        <w:t xml:space="preserve"> </w:t>
      </w:r>
      <w:r w:rsidRPr="001448C9">
        <w:rPr>
          <w:lang w:val="en-GB" w:eastAsia="de-DE"/>
        </w:rPr>
        <w:t xml:space="preserve">have not been investigated in patients with hepatic impairment classified as Child Pugh B and C. </w:t>
      </w:r>
      <w:r>
        <w:rPr>
          <w:lang w:val="en-GB" w:eastAsia="de-DE"/>
        </w:rPr>
        <w:t xml:space="preserve"> T</w:t>
      </w:r>
      <w:r w:rsidRPr="001448C9">
        <w:rPr>
          <w:lang w:val="en-GB" w:eastAsia="de-DE"/>
        </w:rPr>
        <w:t xml:space="preserve">reatment of patients with moderate (Child Pugh B) and severe (Child Pugh C) hepatic impairment with </w:t>
      </w:r>
      <w:r>
        <w:rPr>
          <w:bCs/>
          <w:iCs/>
          <w:lang w:val="en-GB" w:eastAsia="de-DE"/>
        </w:rPr>
        <w:t>OFEV</w:t>
      </w:r>
      <w:r w:rsidRPr="001448C9">
        <w:rPr>
          <w:b/>
          <w:i/>
          <w:iCs/>
          <w:vertAlign w:val="superscript"/>
          <w:lang w:val="en-GB" w:eastAsia="de-DE"/>
        </w:rPr>
        <w:t xml:space="preserve"> </w:t>
      </w:r>
      <w:r w:rsidRPr="001448C9">
        <w:rPr>
          <w:lang w:val="en-GB" w:eastAsia="de-DE"/>
        </w:rPr>
        <w:t>is not recommende</w:t>
      </w:r>
      <w:r>
        <w:rPr>
          <w:lang w:val="en-GB" w:eastAsia="de-DE"/>
        </w:rPr>
        <w:t xml:space="preserve">d (see </w:t>
      </w:r>
      <w:r w:rsidR="00DC5468">
        <w:rPr>
          <w:color w:val="000000"/>
          <w:lang w:val="en-GB" w:eastAsia="de-DE"/>
        </w:rPr>
        <w:t>Section 5.2 Pharmacokinetic Properties</w:t>
      </w:r>
      <w:r>
        <w:rPr>
          <w:lang w:val="en-GB" w:eastAsia="de-DE"/>
        </w:rPr>
        <w:t>).</w:t>
      </w:r>
    </w:p>
    <w:p w14:paraId="53034698" w14:textId="12B9B85E" w:rsidR="00A64B76" w:rsidRDefault="00A64B76" w:rsidP="00A64B76">
      <w:pPr>
        <w:pStyle w:val="TextPI"/>
        <w:rPr>
          <w:lang w:val="en-GB" w:eastAsia="de-DE"/>
        </w:rPr>
      </w:pPr>
      <w:r w:rsidRPr="000278B2">
        <w:rPr>
          <w:i/>
          <w:iCs/>
          <w:lang w:val="en-GB" w:eastAsia="de-DE"/>
        </w:rPr>
        <w:t>NSCLC</w:t>
      </w:r>
    </w:p>
    <w:p w14:paraId="3FB80ADD" w14:textId="54B02567" w:rsidR="00A64B76" w:rsidRDefault="00A64B76" w:rsidP="00A64B76">
      <w:pPr>
        <w:pStyle w:val="TextPI"/>
        <w:rPr>
          <w:lang w:val="en-GB" w:eastAsia="de-DE"/>
        </w:rPr>
      </w:pPr>
      <w:r w:rsidRPr="001448C9">
        <w:rPr>
          <w:lang w:val="en-GB" w:eastAsia="de-DE"/>
        </w:rPr>
        <w:t xml:space="preserve">No adjustment of the starting dose is needed for patients with mild hepatic impairment based on clinical data (Child Pugh A, see </w:t>
      </w:r>
      <w:r w:rsidR="00DC5468">
        <w:rPr>
          <w:lang w:val="en-GB" w:eastAsia="de-DE"/>
        </w:rPr>
        <w:t>Section 4.4 Special Warnings and Precautions for Use</w:t>
      </w:r>
      <w:r w:rsidRPr="001448C9">
        <w:rPr>
          <w:lang w:val="en-GB" w:eastAsia="de-DE"/>
        </w:rPr>
        <w:t>).</w:t>
      </w:r>
    </w:p>
    <w:p w14:paraId="12858B5E" w14:textId="248B6556" w:rsidR="00A64B76" w:rsidRDefault="00A64B76" w:rsidP="00A64B76">
      <w:pPr>
        <w:pStyle w:val="TextPI"/>
        <w:rPr>
          <w:lang w:val="en-GB" w:eastAsia="de-DE"/>
        </w:rPr>
      </w:pPr>
      <w:r w:rsidRPr="00745ED1">
        <w:rPr>
          <w:i/>
          <w:iCs/>
          <w:lang w:val="en-GB" w:eastAsia="de-DE"/>
        </w:rPr>
        <w:t>IPF</w:t>
      </w:r>
      <w:r w:rsidR="007A31DF">
        <w:rPr>
          <w:i/>
          <w:iCs/>
          <w:lang w:val="en-GB" w:eastAsia="de-DE"/>
        </w:rPr>
        <w:t xml:space="preserve">, </w:t>
      </w:r>
      <w:r w:rsidR="007A31DF" w:rsidRPr="00A74985">
        <w:rPr>
          <w:i/>
          <w:iCs/>
          <w:lang w:val="en-GB" w:eastAsia="de-DE"/>
        </w:rPr>
        <w:t>other chronic fibrosing ILDs with a progressive phenotype</w:t>
      </w:r>
      <w:r w:rsidR="007A31DF">
        <w:rPr>
          <w:i/>
          <w:iCs/>
          <w:lang w:val="en-GB" w:eastAsia="de-DE"/>
        </w:rPr>
        <w:t>,</w:t>
      </w:r>
      <w:r w:rsidR="00CE3C07">
        <w:rPr>
          <w:i/>
          <w:iCs/>
          <w:lang w:val="en-GB" w:eastAsia="de-DE"/>
        </w:rPr>
        <w:t xml:space="preserve"> and </w:t>
      </w:r>
      <w:proofErr w:type="spellStart"/>
      <w:r w:rsidR="00CE3C07">
        <w:rPr>
          <w:i/>
          <w:iCs/>
          <w:lang w:val="en-GB" w:eastAsia="de-DE"/>
        </w:rPr>
        <w:t>SSc</w:t>
      </w:r>
      <w:proofErr w:type="spellEnd"/>
      <w:r w:rsidR="00CE3C07">
        <w:rPr>
          <w:i/>
          <w:iCs/>
          <w:lang w:val="en-GB" w:eastAsia="de-DE"/>
        </w:rPr>
        <w:t>-ILD</w:t>
      </w:r>
    </w:p>
    <w:p w14:paraId="284048C7" w14:textId="77777777" w:rsidR="00A64B76" w:rsidRPr="000278B2" w:rsidRDefault="00A64B76" w:rsidP="00A64B76">
      <w:pPr>
        <w:pStyle w:val="TextPI"/>
        <w:rPr>
          <w:lang w:val="en-GB" w:eastAsia="de-DE"/>
        </w:rPr>
      </w:pPr>
      <w:r>
        <w:rPr>
          <w:lang w:val="en-GB" w:eastAsia="de-DE"/>
        </w:rPr>
        <w:t>In patients with mild hepatic impairment (Child Pugh A), the recommended dose of OFEV is 100 mg twice daily approximately 12 hours apart. If adverse reactions occur, treatment interruption or treatment discontinuation should be considered.</w:t>
      </w:r>
    </w:p>
    <w:p w14:paraId="03BEDC62" w14:textId="77777777" w:rsidR="00A64B76" w:rsidRPr="005E09DF" w:rsidRDefault="00A64B76" w:rsidP="005E09DF">
      <w:pPr>
        <w:pStyle w:val="PIheading2"/>
        <w:rPr>
          <w:caps/>
        </w:rPr>
      </w:pPr>
      <w:r w:rsidRPr="005E09DF">
        <w:rPr>
          <w:caps/>
        </w:rPr>
        <w:t>4.3 CONTRAINDICATIONS</w:t>
      </w:r>
    </w:p>
    <w:p w14:paraId="5DC2D51F" w14:textId="77777777" w:rsidR="00A64B76" w:rsidRPr="008A1997" w:rsidRDefault="00A64B76" w:rsidP="00A64B76">
      <w:pPr>
        <w:pStyle w:val="TextPI"/>
        <w:rPr>
          <w:lang w:val="en-GB" w:eastAsia="de-DE"/>
        </w:rPr>
      </w:pPr>
      <w:r>
        <w:rPr>
          <w:bCs/>
          <w:iCs/>
          <w:lang w:val="en-GB" w:eastAsia="de-DE"/>
        </w:rPr>
        <w:t>OFEV</w:t>
      </w:r>
      <w:r w:rsidRPr="00913BD8">
        <w:rPr>
          <w:b/>
          <w:i/>
          <w:iCs/>
          <w:szCs w:val="24"/>
          <w:lang w:val="en-GB" w:eastAsia="de-DE"/>
        </w:rPr>
        <w:t xml:space="preserve"> </w:t>
      </w:r>
      <w:r w:rsidRPr="008A1997">
        <w:rPr>
          <w:lang w:val="en-GB" w:eastAsia="de-DE"/>
        </w:rPr>
        <w:t>is contraindicated in patients with known hypersensitivity to</w:t>
      </w:r>
      <w:r w:rsidRPr="008A1997">
        <w:rPr>
          <w:i/>
          <w:lang w:val="en-GB" w:eastAsia="de-DE"/>
        </w:rPr>
        <w:t xml:space="preserve"> </w:t>
      </w:r>
      <w:proofErr w:type="spellStart"/>
      <w:r w:rsidRPr="008A1997">
        <w:rPr>
          <w:lang w:val="en-GB" w:eastAsia="de-DE"/>
        </w:rPr>
        <w:t>nintedanib</w:t>
      </w:r>
      <w:proofErr w:type="spellEnd"/>
      <w:r>
        <w:rPr>
          <w:lang w:val="en-GB" w:eastAsia="de-DE"/>
        </w:rPr>
        <w:t>, peanut or soya,</w:t>
      </w:r>
      <w:r w:rsidRPr="008A1997">
        <w:rPr>
          <w:b/>
          <w:bCs/>
          <w:iCs/>
          <w:lang w:val="en-GB" w:eastAsia="de-DE"/>
        </w:rPr>
        <w:t xml:space="preserve"> </w:t>
      </w:r>
      <w:r w:rsidRPr="008A1997">
        <w:rPr>
          <w:lang w:val="en-GB" w:eastAsia="de-DE"/>
        </w:rPr>
        <w:t xml:space="preserve">or </w:t>
      </w:r>
      <w:r>
        <w:rPr>
          <w:lang w:val="en-GB" w:eastAsia="de-DE"/>
        </w:rPr>
        <w:t xml:space="preserve">to </w:t>
      </w:r>
      <w:r w:rsidRPr="008A1997">
        <w:rPr>
          <w:lang w:val="en-GB" w:eastAsia="de-DE"/>
        </w:rPr>
        <w:t>any of the excipients.</w:t>
      </w:r>
    </w:p>
    <w:p w14:paraId="1676F96E" w14:textId="318D7A8B" w:rsidR="00A64B76" w:rsidRPr="008A1997" w:rsidRDefault="00A64B76" w:rsidP="00A64B76">
      <w:pPr>
        <w:pStyle w:val="TextPI"/>
        <w:rPr>
          <w:noProof/>
          <w:lang w:val="en-GB" w:eastAsia="de-DE"/>
        </w:rPr>
      </w:pPr>
      <w:r>
        <w:rPr>
          <w:bCs/>
          <w:iCs/>
          <w:lang w:val="en-GB" w:eastAsia="de-DE"/>
        </w:rPr>
        <w:t>OFEV</w:t>
      </w:r>
      <w:r w:rsidRPr="008A1997">
        <w:rPr>
          <w:b/>
          <w:i/>
          <w:iCs/>
          <w:vertAlign w:val="superscript"/>
          <w:lang w:val="en-GB" w:eastAsia="de-DE"/>
        </w:rPr>
        <w:t xml:space="preserve"> </w:t>
      </w:r>
      <w:r w:rsidRPr="008A1997">
        <w:rPr>
          <w:lang w:val="en-GB" w:eastAsia="de-DE"/>
        </w:rPr>
        <w:t>is contraindicated during pregnancy</w:t>
      </w:r>
      <w:r w:rsidR="00890E8D">
        <w:rPr>
          <w:lang w:val="en-GB" w:eastAsia="de-DE"/>
        </w:rPr>
        <w:t xml:space="preserve"> (see Section 4.6 Fertility, Pregnancy and Lactation)</w:t>
      </w:r>
      <w:r w:rsidRPr="008A1997">
        <w:rPr>
          <w:lang w:val="en-GB" w:eastAsia="de-DE"/>
        </w:rPr>
        <w:t>.</w:t>
      </w:r>
    </w:p>
    <w:p w14:paraId="6D4BAB67" w14:textId="336C547A" w:rsidR="00A64B76" w:rsidRDefault="00A64B76" w:rsidP="00216867">
      <w:pPr>
        <w:pStyle w:val="TextPI"/>
        <w:keepNext/>
        <w:rPr>
          <w:noProof/>
          <w:lang w:val="en-GB" w:eastAsia="de-DE"/>
        </w:rPr>
      </w:pPr>
      <w:r w:rsidRPr="004B3131">
        <w:rPr>
          <w:i/>
          <w:iCs/>
          <w:noProof/>
          <w:lang w:val="en-GB" w:eastAsia="de-DE"/>
        </w:rPr>
        <w:lastRenderedPageBreak/>
        <w:t>NSCLC</w:t>
      </w:r>
      <w:r w:rsidR="006A1E43">
        <w:rPr>
          <w:i/>
          <w:iCs/>
          <w:noProof/>
          <w:lang w:val="en-GB" w:eastAsia="de-DE"/>
        </w:rPr>
        <w:t>:</w:t>
      </w:r>
    </w:p>
    <w:p w14:paraId="0AFB8256" w14:textId="77777777" w:rsidR="00A64B76" w:rsidRPr="008A1997" w:rsidRDefault="00A64B76" w:rsidP="00A64B76">
      <w:pPr>
        <w:pStyle w:val="TextPI"/>
        <w:rPr>
          <w:lang w:val="en-GB" w:eastAsia="de-DE"/>
        </w:rPr>
      </w:pPr>
      <w:r w:rsidRPr="008A1997">
        <w:rPr>
          <w:noProof/>
          <w:lang w:val="en-GB" w:eastAsia="de-DE"/>
        </w:rPr>
        <w:t xml:space="preserve">For contraindications </w:t>
      </w:r>
      <w:r>
        <w:rPr>
          <w:noProof/>
          <w:lang w:val="en-GB" w:eastAsia="de-DE"/>
        </w:rPr>
        <w:t>related to</w:t>
      </w:r>
      <w:r w:rsidRPr="008A1997">
        <w:rPr>
          <w:noProof/>
          <w:lang w:val="en-GB" w:eastAsia="de-DE"/>
        </w:rPr>
        <w:t xml:space="preserve"> docetaxel please refer to the corresponding product information for docetaxel.</w:t>
      </w:r>
    </w:p>
    <w:p w14:paraId="0C2AF485" w14:textId="6AC3096B" w:rsidR="00A64B76" w:rsidRPr="00B55DB5" w:rsidRDefault="00A64B76" w:rsidP="005E09DF">
      <w:pPr>
        <w:pStyle w:val="PIheading2"/>
      </w:pPr>
      <w:r>
        <w:t xml:space="preserve">4.4 </w:t>
      </w:r>
      <w:r w:rsidR="005E09DF">
        <w:t>SPECIAL WARNINGS AND</w:t>
      </w:r>
      <w:r>
        <w:t xml:space="preserve"> </w:t>
      </w:r>
      <w:r w:rsidRPr="00B55DB5">
        <w:t>PRECAUTIONS</w:t>
      </w:r>
      <w:r>
        <w:t xml:space="preserve"> FOR USE</w:t>
      </w:r>
    </w:p>
    <w:p w14:paraId="60329F5B" w14:textId="77777777" w:rsidR="00A64B76" w:rsidRPr="00DD4332" w:rsidRDefault="00A64B76" w:rsidP="005D33C9">
      <w:pPr>
        <w:pStyle w:val="PIheading30"/>
        <w:ind w:left="0" w:right="0" w:firstLine="0"/>
        <w:rPr>
          <w:b/>
          <w:bCs/>
          <w:u w:val="none"/>
        </w:rPr>
      </w:pPr>
      <w:r w:rsidRPr="00DD4332">
        <w:rPr>
          <w:b/>
          <w:bCs/>
          <w:u w:val="none"/>
        </w:rPr>
        <w:t>Gastrointestinal disorders</w:t>
      </w:r>
    </w:p>
    <w:p w14:paraId="7A9626A3" w14:textId="46FB90D4" w:rsidR="00375C51" w:rsidRPr="00720E11" w:rsidRDefault="00375C51" w:rsidP="008753B0">
      <w:pPr>
        <w:pStyle w:val="TextPI"/>
        <w:rPr>
          <w:u w:val="single"/>
          <w:lang w:val="en-GB" w:eastAsia="ja-JP"/>
        </w:rPr>
      </w:pPr>
      <w:r w:rsidRPr="00720E11">
        <w:rPr>
          <w:rFonts w:eastAsia="MS Mincho"/>
          <w:u w:val="single"/>
        </w:rPr>
        <w:t>NSCLC</w:t>
      </w:r>
    </w:p>
    <w:p w14:paraId="6B74BF6C" w14:textId="002511AC" w:rsidR="00A64B76" w:rsidRPr="00720E11" w:rsidRDefault="00A64B76" w:rsidP="00A64B76">
      <w:pPr>
        <w:pStyle w:val="TextPI"/>
        <w:rPr>
          <w:rFonts w:eastAsia="MS Mincho"/>
          <w:i/>
          <w:iCs/>
        </w:rPr>
      </w:pPr>
      <w:r w:rsidRPr="00720E11">
        <w:rPr>
          <w:i/>
          <w:iCs/>
          <w:lang w:val="en-GB" w:eastAsia="ja-JP"/>
        </w:rPr>
        <w:t>Diarrhoea</w:t>
      </w:r>
    </w:p>
    <w:p w14:paraId="78E079A2" w14:textId="71C9B281" w:rsidR="00A64B76" w:rsidRDefault="00A64B76" w:rsidP="00A64B76">
      <w:pPr>
        <w:pStyle w:val="TextPI"/>
        <w:rPr>
          <w:rFonts w:eastAsia="MS Mincho"/>
        </w:rPr>
      </w:pPr>
      <w:r w:rsidRPr="009B63D1">
        <w:rPr>
          <w:rFonts w:eastAsia="MS Mincho"/>
        </w:rPr>
        <w:t>Diarrhoea was the most frequently reported g</w:t>
      </w:r>
      <w:r>
        <w:rPr>
          <w:rFonts w:eastAsia="MS Mincho"/>
        </w:rPr>
        <w:t>astro</w:t>
      </w:r>
      <w:r w:rsidRPr="009B63D1">
        <w:rPr>
          <w:rFonts w:eastAsia="MS Mincho"/>
        </w:rPr>
        <w:t xml:space="preserve">intestinal event (see </w:t>
      </w:r>
      <w:r w:rsidR="00DC5468">
        <w:rPr>
          <w:rFonts w:eastAsia="MS Mincho"/>
        </w:rPr>
        <w:t>Section 4.8 Adverse Effects</w:t>
      </w:r>
      <w:r w:rsidR="006670E0">
        <w:rPr>
          <w:rFonts w:eastAsia="MS Mincho"/>
        </w:rPr>
        <w:t xml:space="preserve"> (Undesirable Effects)</w:t>
      </w:r>
      <w:r w:rsidR="00216867">
        <w:rPr>
          <w:rFonts w:eastAsia="MS Mincho"/>
        </w:rPr>
        <w:t xml:space="preserve">). </w:t>
      </w:r>
      <w:r w:rsidRPr="009B63D1">
        <w:rPr>
          <w:rFonts w:eastAsia="MS Mincho"/>
        </w:rPr>
        <w:t xml:space="preserve">In the clinical trial LUME-Lung 1 (see </w:t>
      </w:r>
      <w:r w:rsidR="00DC5468">
        <w:rPr>
          <w:rFonts w:eastAsia="MS Mincho"/>
        </w:rPr>
        <w:t>Section 5.1 Pharmacodynamic Properties, Clinical Trials</w:t>
      </w:r>
      <w:r w:rsidRPr="009B63D1">
        <w:rPr>
          <w:rFonts w:eastAsia="MS Mincho"/>
        </w:rPr>
        <w:t>), the majority of patients had mild to moderate diarrhoea.  6.3% of the patients had diarrhoea of grade ≥</w:t>
      </w:r>
      <w:r>
        <w:rPr>
          <w:rFonts w:eastAsia="MS Mincho"/>
        </w:rPr>
        <w:t xml:space="preserve"> </w:t>
      </w:r>
      <w:r w:rsidRPr="009B63D1">
        <w:rPr>
          <w:rFonts w:eastAsia="MS Mincho"/>
        </w:rPr>
        <w:t xml:space="preserve">3 in combination treatment compared to 3.6% treated with docetaxel alone.  </w:t>
      </w:r>
      <w:r w:rsidRPr="00E55B53">
        <w:rPr>
          <w:rFonts w:eastAsia="MS Mincho"/>
        </w:rPr>
        <w:t xml:space="preserve">Dehydration was reported in 1.9% of patients in the combination arm and in none of the patients treated with docetaxel alone. </w:t>
      </w:r>
      <w:r>
        <w:rPr>
          <w:rFonts w:eastAsia="MS Mincho"/>
        </w:rPr>
        <w:t xml:space="preserve"> </w:t>
      </w:r>
      <w:r w:rsidRPr="009B63D1">
        <w:rPr>
          <w:rFonts w:eastAsia="MS Mincho"/>
        </w:rPr>
        <w:t>Diarrhoea should be treated at first signs with adequate hydration and anti-diarrhoeal medicinal products, e.g. loperamide,</w:t>
      </w:r>
      <w:r w:rsidRPr="00042BA6">
        <w:rPr>
          <w:lang w:val="en-GB" w:eastAsia="de-DE"/>
        </w:rPr>
        <w:t xml:space="preserve"> and may require interruption, dose reduction or discontinuation of therapy with </w:t>
      </w:r>
      <w:r>
        <w:rPr>
          <w:bCs/>
          <w:iCs/>
          <w:lang w:val="en-GB" w:eastAsia="de-DE"/>
        </w:rPr>
        <w:t>OFEV</w:t>
      </w:r>
      <w:r w:rsidRPr="00042BA6">
        <w:rPr>
          <w:b/>
          <w:i/>
          <w:iCs/>
          <w:vertAlign w:val="superscript"/>
          <w:lang w:val="en-GB" w:eastAsia="de-DE"/>
        </w:rPr>
        <w:t xml:space="preserve"> </w:t>
      </w:r>
      <w:r w:rsidRPr="00042BA6">
        <w:rPr>
          <w:lang w:val="en-GB" w:eastAsia="de-DE"/>
        </w:rPr>
        <w:t xml:space="preserve">(see </w:t>
      </w:r>
      <w:r w:rsidR="006141CE">
        <w:rPr>
          <w:lang w:val="en-GB" w:eastAsia="de-DE"/>
        </w:rPr>
        <w:t xml:space="preserve">Section </w:t>
      </w:r>
      <w:r w:rsidR="00DC5468">
        <w:rPr>
          <w:lang w:val="en-GB" w:eastAsia="de-DE"/>
        </w:rPr>
        <w:t>4.2 Dose and Method of Administration</w:t>
      </w:r>
      <w:r w:rsidRPr="00042BA6">
        <w:rPr>
          <w:lang w:val="en-GB" w:eastAsia="de-DE"/>
        </w:rPr>
        <w:t>)</w:t>
      </w:r>
      <w:r w:rsidRPr="009B63D1">
        <w:rPr>
          <w:rFonts w:eastAsia="MS Mincho"/>
        </w:rPr>
        <w:t>.</w:t>
      </w:r>
    </w:p>
    <w:p w14:paraId="43E59859" w14:textId="4C681603" w:rsidR="00375C51" w:rsidRPr="00720E11" w:rsidRDefault="00375C51" w:rsidP="00375C51">
      <w:pPr>
        <w:pStyle w:val="TextPI"/>
        <w:rPr>
          <w:i/>
          <w:iCs/>
          <w:lang w:val="en-GB" w:eastAsia="ja-JP"/>
        </w:rPr>
      </w:pPr>
      <w:r w:rsidRPr="00720E11">
        <w:rPr>
          <w:i/>
          <w:iCs/>
          <w:lang w:val="en-GB" w:eastAsia="ja-JP"/>
        </w:rPr>
        <w:t>Nausea and vomiting</w:t>
      </w:r>
    </w:p>
    <w:p w14:paraId="0F6F8EF2" w14:textId="77777777" w:rsidR="00375C51" w:rsidRPr="00042BA6" w:rsidRDefault="00375C51" w:rsidP="00375C51">
      <w:pPr>
        <w:pStyle w:val="TextPI"/>
        <w:rPr>
          <w:lang w:val="en-GB" w:eastAsia="de-DE"/>
        </w:rPr>
      </w:pPr>
      <w:r w:rsidRPr="00042BA6">
        <w:rPr>
          <w:rFonts w:eastAsia="MS Mincho"/>
          <w:color w:val="000000"/>
          <w:lang w:val="en-GB" w:eastAsia="ja-JP"/>
        </w:rPr>
        <w:t xml:space="preserve">Nausea and vomiting, mostly of mild to moderate severity, were frequently reported gastrointestinal adverse events </w:t>
      </w:r>
      <w:r w:rsidRPr="009B63D1">
        <w:rPr>
          <w:rFonts w:eastAsia="MS Mincho"/>
        </w:rPr>
        <w:t xml:space="preserve">(see </w:t>
      </w:r>
      <w:r>
        <w:rPr>
          <w:rFonts w:eastAsia="MS Mincho"/>
        </w:rPr>
        <w:t>Section 4.8 Adverse Effects (Undesirable Effects)</w:t>
      </w:r>
      <w:r w:rsidRPr="009B63D1">
        <w:rPr>
          <w:rFonts w:eastAsia="MS Mincho"/>
        </w:rPr>
        <w:t>)</w:t>
      </w:r>
      <w:r w:rsidRPr="00042BA6">
        <w:rPr>
          <w:rFonts w:eastAsia="MS Mincho"/>
          <w:color w:val="000000"/>
          <w:lang w:val="en-GB" w:eastAsia="ja-JP"/>
        </w:rPr>
        <w:t xml:space="preserve">. </w:t>
      </w:r>
      <w:r>
        <w:rPr>
          <w:rFonts w:eastAsia="MS Mincho"/>
          <w:color w:val="000000"/>
          <w:lang w:val="en-GB" w:eastAsia="ja-JP"/>
        </w:rPr>
        <w:t xml:space="preserve">If symptoms persist despite appropriate supportive care (including anti-emetic therapy), dose reduction, treatment </w:t>
      </w:r>
      <w:r>
        <w:rPr>
          <w:rFonts w:eastAsia="MS Mincho"/>
        </w:rPr>
        <w:t>i</w:t>
      </w:r>
      <w:r w:rsidRPr="002549D9">
        <w:rPr>
          <w:rFonts w:eastAsia="MS Mincho"/>
        </w:rPr>
        <w:t>nterruption</w:t>
      </w:r>
      <w:r w:rsidRPr="002549D9">
        <w:rPr>
          <w:lang w:val="en-GB" w:eastAsia="de-DE"/>
        </w:rPr>
        <w:t xml:space="preserve"> or discontinuation of therapy with </w:t>
      </w:r>
      <w:r w:rsidRPr="002549D9">
        <w:rPr>
          <w:bCs/>
          <w:iCs/>
          <w:lang w:val="en-GB" w:eastAsia="de-DE"/>
        </w:rPr>
        <w:t>OFEV</w:t>
      </w:r>
      <w:r w:rsidRPr="002549D9">
        <w:rPr>
          <w:b/>
          <w:i/>
          <w:iCs/>
          <w:vertAlign w:val="superscript"/>
          <w:lang w:val="en-GB" w:eastAsia="de-DE"/>
        </w:rPr>
        <w:t xml:space="preserve"> </w:t>
      </w:r>
      <w:r w:rsidRPr="002549D9">
        <w:rPr>
          <w:lang w:val="en-GB" w:eastAsia="de-DE"/>
        </w:rPr>
        <w:t xml:space="preserve">(see </w:t>
      </w:r>
      <w:r>
        <w:rPr>
          <w:lang w:val="en-GB" w:eastAsia="de-DE"/>
        </w:rPr>
        <w:t>Section 4.2 Dose and Method of Administration</w:t>
      </w:r>
      <w:r w:rsidRPr="002549D9">
        <w:rPr>
          <w:rFonts w:eastAsia="MS Mincho"/>
        </w:rPr>
        <w:t>) may be required</w:t>
      </w:r>
      <w:r>
        <w:rPr>
          <w:rFonts w:eastAsia="MS Mincho"/>
        </w:rPr>
        <w:t>.</w:t>
      </w:r>
    </w:p>
    <w:p w14:paraId="0284F8DA" w14:textId="79D71F25" w:rsidR="00375C51" w:rsidRDefault="00375C51" w:rsidP="00A64B76">
      <w:pPr>
        <w:pStyle w:val="TextPI"/>
        <w:rPr>
          <w:rFonts w:eastAsia="MS Mincho"/>
        </w:rPr>
      </w:pPr>
      <w:r>
        <w:rPr>
          <w:lang w:val="en-GB"/>
        </w:rPr>
        <w:t xml:space="preserve">Diarrhoea and vomiting may lead to dehydration with or without electrolyte disturbances which may progress to renal function impairment. </w:t>
      </w:r>
      <w:r w:rsidRPr="00042BA6">
        <w:rPr>
          <w:lang w:val="en-GB"/>
        </w:rPr>
        <w:t xml:space="preserve">In the event of dehydration, administration of electrolytes and fluids is required. </w:t>
      </w:r>
      <w:r>
        <w:rPr>
          <w:lang w:val="en-GB"/>
        </w:rPr>
        <w:t xml:space="preserve"> </w:t>
      </w:r>
      <w:r w:rsidRPr="00042BA6">
        <w:rPr>
          <w:lang w:val="en-GB"/>
        </w:rPr>
        <w:t>Plasma levels of electrolytes should be monitored, if relevant gastrointestinal adverse events occur.</w:t>
      </w:r>
    </w:p>
    <w:p w14:paraId="04C09D28" w14:textId="6D73E606" w:rsidR="00720E11" w:rsidRPr="00720E11" w:rsidRDefault="00A64B76" w:rsidP="00A64B76">
      <w:pPr>
        <w:pStyle w:val="TextPI"/>
        <w:rPr>
          <w:rFonts w:eastAsia="MS Mincho"/>
          <w:u w:val="single"/>
        </w:rPr>
      </w:pPr>
      <w:r w:rsidRPr="00720E11">
        <w:rPr>
          <w:rFonts w:eastAsia="MS Mincho"/>
          <w:u w:val="single"/>
        </w:rPr>
        <w:t>IPF</w:t>
      </w:r>
      <w:r w:rsidR="00D03830">
        <w:rPr>
          <w:rFonts w:eastAsia="MS Mincho"/>
          <w:u w:val="single"/>
        </w:rPr>
        <w:t xml:space="preserve">, </w:t>
      </w:r>
      <w:r w:rsidR="00D03830" w:rsidRPr="00A74985">
        <w:rPr>
          <w:rFonts w:eastAsia="MS Mincho"/>
          <w:u w:val="single"/>
        </w:rPr>
        <w:t>other chronic fibrosing ILD</w:t>
      </w:r>
      <w:r w:rsidR="00D03830">
        <w:rPr>
          <w:rFonts w:eastAsia="MS Mincho"/>
          <w:u w:val="single"/>
        </w:rPr>
        <w:t>s with a progressive phenotype,</w:t>
      </w:r>
      <w:r w:rsidR="005F2F9E">
        <w:rPr>
          <w:rFonts w:eastAsia="MS Mincho"/>
          <w:u w:val="single"/>
        </w:rPr>
        <w:t xml:space="preserve"> and </w:t>
      </w:r>
      <w:proofErr w:type="spellStart"/>
      <w:r w:rsidR="005F2F9E">
        <w:rPr>
          <w:rFonts w:eastAsia="MS Mincho"/>
          <w:u w:val="single"/>
        </w:rPr>
        <w:t>SSc</w:t>
      </w:r>
      <w:proofErr w:type="spellEnd"/>
      <w:r w:rsidR="005F2F9E">
        <w:rPr>
          <w:rFonts w:eastAsia="MS Mincho"/>
          <w:u w:val="single"/>
        </w:rPr>
        <w:t>-ILD</w:t>
      </w:r>
    </w:p>
    <w:p w14:paraId="56A72F2A" w14:textId="351ECDBA" w:rsidR="00A64B76" w:rsidRPr="00720E11" w:rsidRDefault="00720E11" w:rsidP="00A64B76">
      <w:pPr>
        <w:pStyle w:val="TextPI"/>
        <w:rPr>
          <w:rFonts w:eastAsia="MS Mincho"/>
          <w:i/>
          <w:iCs/>
        </w:rPr>
      </w:pPr>
      <w:r w:rsidRPr="00720E11">
        <w:rPr>
          <w:i/>
          <w:iCs/>
          <w:lang w:val="en-GB" w:eastAsia="ja-JP"/>
        </w:rPr>
        <w:t>Diarrhoea</w:t>
      </w:r>
    </w:p>
    <w:p w14:paraId="66C94D13" w14:textId="7DBC9C17" w:rsidR="00A64B76" w:rsidRPr="004B6F4C" w:rsidRDefault="00A64B76" w:rsidP="00A64B76">
      <w:pPr>
        <w:pStyle w:val="TextPI"/>
        <w:rPr>
          <w:rFonts w:eastAsia="MS Mincho"/>
        </w:rPr>
      </w:pPr>
      <w:r w:rsidRPr="004B6F4C">
        <w:rPr>
          <w:rFonts w:eastAsia="MS Mincho"/>
        </w:rPr>
        <w:t xml:space="preserve">In the </w:t>
      </w:r>
      <w:r w:rsidR="004C779F">
        <w:rPr>
          <w:rFonts w:eastAsia="MS Mincho"/>
        </w:rPr>
        <w:t>clinical</w:t>
      </w:r>
      <w:r w:rsidR="004C779F" w:rsidRPr="004B6F4C">
        <w:rPr>
          <w:rFonts w:eastAsia="MS Mincho"/>
        </w:rPr>
        <w:t xml:space="preserve"> </w:t>
      </w:r>
      <w:r w:rsidRPr="004B6F4C">
        <w:rPr>
          <w:rFonts w:eastAsia="MS Mincho"/>
        </w:rPr>
        <w:t xml:space="preserve">trials (see </w:t>
      </w:r>
      <w:r w:rsidR="00DC5468">
        <w:rPr>
          <w:rFonts w:eastAsia="MS Mincho"/>
        </w:rPr>
        <w:t>Section 5.1 Pharmacodynamic Properties, Clinical Trials</w:t>
      </w:r>
      <w:r w:rsidRPr="004B6F4C">
        <w:rPr>
          <w:rFonts w:eastAsia="MS Mincho"/>
        </w:rPr>
        <w:t>), diarrhoea was the most frequent gastro-intestinal event reported</w:t>
      </w:r>
      <w:r w:rsidR="004C779F">
        <w:rPr>
          <w:rFonts w:eastAsia="MS Mincho"/>
        </w:rPr>
        <w:t xml:space="preserve">. In most patients, </w:t>
      </w:r>
      <w:r w:rsidR="004C779F" w:rsidRPr="00182E7D">
        <w:rPr>
          <w:rFonts w:eastAsia="MS Mincho"/>
        </w:rPr>
        <w:t>the event was of mild to moderate intensity and occurred within the first 3 months of treatment. In the INPULSIS trials in patients with IPF, diarrhoea was reported</w:t>
      </w:r>
      <w:r w:rsidRPr="004B6F4C">
        <w:rPr>
          <w:rFonts w:eastAsia="MS Mincho"/>
        </w:rPr>
        <w:t xml:space="preserve"> in 62.4 % versus 18.4 % of patients treated with </w:t>
      </w:r>
      <w:r>
        <w:rPr>
          <w:rFonts w:eastAsia="MS Mincho"/>
        </w:rPr>
        <w:t>OFEV</w:t>
      </w:r>
      <w:r w:rsidRPr="004B6F4C">
        <w:rPr>
          <w:rFonts w:eastAsia="MS Mincho"/>
        </w:rPr>
        <w:t xml:space="preserve"> and placebo, respectively. </w:t>
      </w:r>
      <w:r w:rsidR="00C0545C" w:rsidRPr="00C0545C">
        <w:rPr>
          <w:rFonts w:eastAsia="MS Mincho"/>
        </w:rPr>
        <w:t xml:space="preserve"> </w:t>
      </w:r>
      <w:r w:rsidR="00C0545C" w:rsidRPr="00D27188">
        <w:rPr>
          <w:rFonts w:eastAsia="MS Mincho"/>
        </w:rPr>
        <w:t>Overall, adverse events led to dose reduction of OFEV in 15.8 % of</w:t>
      </w:r>
      <w:r w:rsidR="00C0545C">
        <w:rPr>
          <w:rFonts w:eastAsia="MS Mincho"/>
        </w:rPr>
        <w:t xml:space="preserve"> </w:t>
      </w:r>
      <w:r w:rsidR="00C0545C" w:rsidRPr="00D27188">
        <w:rPr>
          <w:rFonts w:eastAsia="MS Mincho"/>
        </w:rPr>
        <w:t>patients and to discontinuation of OFEV in 19.3 % of patients.</w:t>
      </w:r>
      <w:r w:rsidRPr="004B6F4C">
        <w:rPr>
          <w:rFonts w:eastAsia="MS Mincho"/>
        </w:rPr>
        <w:t xml:space="preserve"> Diarrhoea led </w:t>
      </w:r>
      <w:r>
        <w:rPr>
          <w:rFonts w:eastAsia="MS Mincho"/>
        </w:rPr>
        <w:t xml:space="preserve">to dose reduction </w:t>
      </w:r>
      <w:r w:rsidR="00EF59D2">
        <w:rPr>
          <w:rFonts w:eastAsia="MS Mincho"/>
        </w:rPr>
        <w:t xml:space="preserve">of OFEV </w:t>
      </w:r>
      <w:r>
        <w:rPr>
          <w:rFonts w:eastAsia="MS Mincho"/>
        </w:rPr>
        <w:t xml:space="preserve">in 10.7% of the patients and </w:t>
      </w:r>
      <w:r w:rsidRPr="004B6F4C">
        <w:rPr>
          <w:rFonts w:eastAsia="MS Mincho"/>
        </w:rPr>
        <w:t xml:space="preserve">to discontinuation of </w:t>
      </w:r>
      <w:r w:rsidR="00EF59D2">
        <w:rPr>
          <w:rFonts w:eastAsia="MS Mincho"/>
        </w:rPr>
        <w:t>OFEV</w:t>
      </w:r>
      <w:r w:rsidR="00EF59D2" w:rsidRPr="004B6F4C">
        <w:rPr>
          <w:rFonts w:eastAsia="MS Mincho"/>
        </w:rPr>
        <w:t xml:space="preserve"> </w:t>
      </w:r>
      <w:r w:rsidRPr="004B6F4C">
        <w:rPr>
          <w:rFonts w:eastAsia="MS Mincho"/>
        </w:rPr>
        <w:t>in 4.4% of the patients.</w:t>
      </w:r>
      <w:r w:rsidR="00EF59D2">
        <w:rPr>
          <w:rFonts w:eastAsia="MS Mincho"/>
        </w:rPr>
        <w:t xml:space="preserve"> </w:t>
      </w:r>
      <w:r w:rsidR="00346706" w:rsidRPr="00D14E0C">
        <w:rPr>
          <w:rFonts w:eastAsia="MS Mincho"/>
        </w:rPr>
        <w:t>In the INBUILD trial in patients with</w:t>
      </w:r>
      <w:r w:rsidR="00346706">
        <w:rPr>
          <w:rFonts w:eastAsia="MS Mincho"/>
        </w:rPr>
        <w:t xml:space="preserve"> </w:t>
      </w:r>
      <w:r w:rsidR="00346706" w:rsidRPr="00D14E0C">
        <w:rPr>
          <w:rFonts w:eastAsia="MS Mincho"/>
        </w:rPr>
        <w:t>other chronic fibrosing ILDs with a progressive phenotype, diarrhoea was reported in 66.9%</w:t>
      </w:r>
      <w:r w:rsidR="00346706">
        <w:rPr>
          <w:rFonts w:eastAsia="MS Mincho"/>
        </w:rPr>
        <w:t xml:space="preserve"> </w:t>
      </w:r>
      <w:r w:rsidR="00346706" w:rsidRPr="00D14E0C">
        <w:rPr>
          <w:rFonts w:eastAsia="MS Mincho"/>
        </w:rPr>
        <w:t xml:space="preserve">versus 23.9% of patients treated with </w:t>
      </w:r>
      <w:r w:rsidR="00346706">
        <w:rPr>
          <w:rFonts w:eastAsia="MS Mincho"/>
        </w:rPr>
        <w:t>OFEV</w:t>
      </w:r>
      <w:r w:rsidR="00346706" w:rsidRPr="00D14E0C">
        <w:rPr>
          <w:rFonts w:eastAsia="MS Mincho"/>
        </w:rPr>
        <w:t xml:space="preserve"> and placebo, respectively. Diarrhoea led to dose</w:t>
      </w:r>
      <w:r w:rsidR="00346706">
        <w:rPr>
          <w:rFonts w:eastAsia="MS Mincho"/>
        </w:rPr>
        <w:t xml:space="preserve"> </w:t>
      </w:r>
      <w:r w:rsidR="00346706" w:rsidRPr="00D14E0C">
        <w:rPr>
          <w:rFonts w:eastAsia="MS Mincho"/>
        </w:rPr>
        <w:t xml:space="preserve">reduction of </w:t>
      </w:r>
      <w:r w:rsidR="00346706">
        <w:rPr>
          <w:rFonts w:eastAsia="MS Mincho"/>
        </w:rPr>
        <w:t>OFEV</w:t>
      </w:r>
      <w:r w:rsidR="00346706" w:rsidRPr="00D14E0C">
        <w:rPr>
          <w:rFonts w:eastAsia="MS Mincho"/>
        </w:rPr>
        <w:t xml:space="preserve"> in 16.0% of the patients and to discontinuation of </w:t>
      </w:r>
      <w:r w:rsidR="00346706">
        <w:rPr>
          <w:rFonts w:eastAsia="MS Mincho"/>
        </w:rPr>
        <w:t>OFEV</w:t>
      </w:r>
      <w:r w:rsidR="00346706" w:rsidRPr="00D14E0C">
        <w:rPr>
          <w:rFonts w:eastAsia="MS Mincho"/>
        </w:rPr>
        <w:t xml:space="preserve"> in 5.7% of the</w:t>
      </w:r>
      <w:r w:rsidR="00346706">
        <w:rPr>
          <w:rFonts w:eastAsia="MS Mincho"/>
        </w:rPr>
        <w:t xml:space="preserve"> </w:t>
      </w:r>
      <w:r w:rsidR="00346706" w:rsidRPr="00D14E0C">
        <w:rPr>
          <w:rFonts w:eastAsia="MS Mincho"/>
        </w:rPr>
        <w:t>patients</w:t>
      </w:r>
      <w:r w:rsidR="00346706">
        <w:rPr>
          <w:rFonts w:eastAsia="MS Mincho"/>
        </w:rPr>
        <w:t xml:space="preserve">. </w:t>
      </w:r>
      <w:r w:rsidR="00EF59D2" w:rsidRPr="00182E7D">
        <w:rPr>
          <w:rFonts w:eastAsia="MS Mincho"/>
        </w:rPr>
        <w:t xml:space="preserve">In the SENSCIS trial in patients with </w:t>
      </w:r>
      <w:proofErr w:type="spellStart"/>
      <w:r w:rsidR="00EF59D2" w:rsidRPr="007329BC">
        <w:rPr>
          <w:rFonts w:eastAsia="MS Mincho"/>
        </w:rPr>
        <w:t>SSc</w:t>
      </w:r>
      <w:proofErr w:type="spellEnd"/>
      <w:r w:rsidR="00EF59D2" w:rsidRPr="007329BC">
        <w:rPr>
          <w:rFonts w:eastAsia="MS Mincho"/>
        </w:rPr>
        <w:t>-ILD</w:t>
      </w:r>
      <w:r w:rsidR="00EF59D2" w:rsidRPr="00182E7D">
        <w:rPr>
          <w:rFonts w:eastAsia="MS Mincho"/>
        </w:rPr>
        <w:t>, diarrhoea was reported in 75.7</w:t>
      </w:r>
      <w:r w:rsidR="00EF59D2">
        <w:rPr>
          <w:rFonts w:eastAsia="MS Mincho"/>
        </w:rPr>
        <w:t xml:space="preserve"> </w:t>
      </w:r>
      <w:r w:rsidR="00EF59D2" w:rsidRPr="00182E7D">
        <w:rPr>
          <w:rFonts w:eastAsia="MS Mincho"/>
        </w:rPr>
        <w:t>% versus 31.6</w:t>
      </w:r>
      <w:r w:rsidR="00EF59D2">
        <w:rPr>
          <w:rFonts w:eastAsia="MS Mincho"/>
        </w:rPr>
        <w:t xml:space="preserve"> </w:t>
      </w:r>
      <w:r w:rsidR="00EF59D2" w:rsidRPr="00182E7D">
        <w:rPr>
          <w:rFonts w:eastAsia="MS Mincho"/>
        </w:rPr>
        <w:t xml:space="preserve">% of patients treated with </w:t>
      </w:r>
      <w:r w:rsidR="00EF59D2">
        <w:rPr>
          <w:rFonts w:eastAsia="MS Mincho"/>
        </w:rPr>
        <w:t>OFEV</w:t>
      </w:r>
      <w:r w:rsidR="00EF59D2" w:rsidRPr="00182E7D">
        <w:rPr>
          <w:rFonts w:eastAsia="MS Mincho"/>
        </w:rPr>
        <w:t xml:space="preserve"> and placebo, respectively. </w:t>
      </w:r>
      <w:r w:rsidR="00EF59D2" w:rsidRPr="005348F2">
        <w:rPr>
          <w:rFonts w:eastAsia="MS Mincho"/>
        </w:rPr>
        <w:t>Overall, adverse events led to dose reduction of OFEV</w:t>
      </w:r>
      <w:r w:rsidR="00EF59D2">
        <w:rPr>
          <w:rFonts w:eastAsia="MS Mincho"/>
        </w:rPr>
        <w:t xml:space="preserve"> </w:t>
      </w:r>
      <w:r w:rsidR="00EF59D2" w:rsidRPr="005348F2">
        <w:rPr>
          <w:rFonts w:eastAsia="MS Mincho"/>
        </w:rPr>
        <w:t>in 34.0 % of patients and to discontinuation of OFEV in 16.0 % of patients.</w:t>
      </w:r>
      <w:r w:rsidR="00EF59D2">
        <w:rPr>
          <w:rFonts w:eastAsia="MS Mincho"/>
        </w:rPr>
        <w:t xml:space="preserve"> </w:t>
      </w:r>
      <w:r w:rsidR="00EF59D2" w:rsidRPr="00182E7D">
        <w:rPr>
          <w:rFonts w:eastAsia="MS Mincho"/>
        </w:rPr>
        <w:t xml:space="preserve">Diarrhoea led to dose reduction of </w:t>
      </w:r>
      <w:r w:rsidR="00EF59D2">
        <w:rPr>
          <w:rFonts w:eastAsia="MS Mincho"/>
        </w:rPr>
        <w:t>OFEV</w:t>
      </w:r>
      <w:r w:rsidR="00EF59D2" w:rsidRPr="00182E7D">
        <w:rPr>
          <w:rFonts w:eastAsia="MS Mincho"/>
        </w:rPr>
        <w:t xml:space="preserve"> in 22.2% of the patients and to discontinuation of </w:t>
      </w:r>
      <w:r w:rsidR="00EF59D2">
        <w:rPr>
          <w:rFonts w:eastAsia="MS Mincho"/>
        </w:rPr>
        <w:t>OFEV</w:t>
      </w:r>
      <w:r w:rsidR="00EF59D2" w:rsidRPr="00182E7D">
        <w:rPr>
          <w:rFonts w:eastAsia="MS Mincho"/>
        </w:rPr>
        <w:t xml:space="preserve"> in 6.9% of the patients </w:t>
      </w:r>
      <w:r w:rsidR="00EF59D2" w:rsidRPr="004B6F4C">
        <w:rPr>
          <w:rFonts w:eastAsia="MS Mincho"/>
        </w:rPr>
        <w:t xml:space="preserve">(see </w:t>
      </w:r>
      <w:r w:rsidR="00EF59D2">
        <w:rPr>
          <w:rFonts w:eastAsia="MS Mincho"/>
        </w:rPr>
        <w:t>Section 4.8 Adverse Effects (Undesirable Effects)</w:t>
      </w:r>
      <w:r w:rsidR="00EF59D2" w:rsidRPr="004B6F4C">
        <w:rPr>
          <w:rFonts w:eastAsia="MS Mincho"/>
        </w:rPr>
        <w:t>)</w:t>
      </w:r>
      <w:r w:rsidR="00EF59D2">
        <w:rPr>
          <w:rFonts w:eastAsia="MS Mincho"/>
        </w:rPr>
        <w:t>.</w:t>
      </w:r>
    </w:p>
    <w:p w14:paraId="539EC48B" w14:textId="6ACA52B1" w:rsidR="00A64B76" w:rsidRDefault="00A64B76" w:rsidP="00A64B76">
      <w:pPr>
        <w:pStyle w:val="TextPI"/>
        <w:rPr>
          <w:rFonts w:eastAsia="MS Mincho"/>
        </w:rPr>
      </w:pPr>
      <w:r w:rsidRPr="004B6F4C">
        <w:rPr>
          <w:rFonts w:eastAsia="MS Mincho"/>
        </w:rPr>
        <w:t xml:space="preserve">Diarrhoea should be treated at first signs with adequate hydration and anti-diarrhoeal medicinal products, e.g. loperamide, and may require </w:t>
      </w:r>
      <w:r w:rsidR="00452724">
        <w:rPr>
          <w:rFonts w:eastAsia="MS Mincho"/>
        </w:rPr>
        <w:t xml:space="preserve">dose reduction or </w:t>
      </w:r>
      <w:r w:rsidRPr="004B6F4C">
        <w:rPr>
          <w:rFonts w:eastAsia="MS Mincho"/>
        </w:rPr>
        <w:t xml:space="preserve">treatment interruption. </w:t>
      </w:r>
      <w:r>
        <w:rPr>
          <w:rFonts w:eastAsia="MS Mincho"/>
        </w:rPr>
        <w:lastRenderedPageBreak/>
        <w:t>OFEV</w:t>
      </w:r>
      <w:r w:rsidRPr="004B6F4C">
        <w:rPr>
          <w:rFonts w:eastAsia="MS Mincho"/>
        </w:rPr>
        <w:t xml:space="preserve"> treatment may be resumed at a reduced dose (100 mg twice daily) or at the full dose (150</w:t>
      </w:r>
      <w:r>
        <w:rPr>
          <w:rFonts w:eastAsia="MS Mincho"/>
        </w:rPr>
        <w:t> </w:t>
      </w:r>
      <w:r w:rsidRPr="004B6F4C">
        <w:rPr>
          <w:rFonts w:eastAsia="MS Mincho"/>
        </w:rPr>
        <w:t>mg twice daily). In case of persisting severe diarrhoea despite symptomatic treatment, therapy with</w:t>
      </w:r>
      <w:r>
        <w:rPr>
          <w:rFonts w:eastAsia="MS Mincho"/>
        </w:rPr>
        <w:t xml:space="preserve"> OFEV</w:t>
      </w:r>
      <w:r w:rsidRPr="004B6F4C">
        <w:rPr>
          <w:rFonts w:eastAsia="MS Mincho"/>
        </w:rPr>
        <w:t xml:space="preserve"> should be discontinued.</w:t>
      </w:r>
    </w:p>
    <w:p w14:paraId="25F08431" w14:textId="4D90FD4C" w:rsidR="00720E11" w:rsidRPr="00720E11" w:rsidRDefault="00720E11" w:rsidP="00990A75">
      <w:pPr>
        <w:pStyle w:val="TextPI"/>
        <w:keepNext/>
        <w:keepLines/>
        <w:rPr>
          <w:i/>
          <w:iCs/>
          <w:lang w:val="en-GB" w:eastAsia="ja-JP"/>
        </w:rPr>
      </w:pPr>
      <w:r w:rsidRPr="00720E11">
        <w:rPr>
          <w:i/>
          <w:iCs/>
          <w:lang w:val="en-GB" w:eastAsia="ja-JP"/>
        </w:rPr>
        <w:t>Nausea and vomiting</w:t>
      </w:r>
    </w:p>
    <w:p w14:paraId="0766A101" w14:textId="3B369BD1" w:rsidR="00A64B76" w:rsidRPr="004B6F4C" w:rsidRDefault="00A64B76" w:rsidP="00990A75">
      <w:pPr>
        <w:pStyle w:val="TextPI"/>
        <w:keepNext/>
        <w:keepLines/>
        <w:rPr>
          <w:lang w:val="en-GB"/>
        </w:rPr>
      </w:pPr>
      <w:r w:rsidRPr="004B6F4C">
        <w:rPr>
          <w:lang w:val="en-GB"/>
        </w:rPr>
        <w:t xml:space="preserve">Nausea and vomiting were frequently reported adverse events (see </w:t>
      </w:r>
      <w:r w:rsidR="006A1E43">
        <w:rPr>
          <w:lang w:val="en-GB"/>
        </w:rPr>
        <w:t xml:space="preserve">Section </w:t>
      </w:r>
      <w:r w:rsidR="00DC5468">
        <w:rPr>
          <w:lang w:val="en-GB"/>
        </w:rPr>
        <w:t>4.8 Adverse Effects</w:t>
      </w:r>
      <w:r w:rsidR="00C55D93">
        <w:rPr>
          <w:lang w:val="en-GB"/>
        </w:rPr>
        <w:t xml:space="preserve"> (Undesirable Effects)</w:t>
      </w:r>
      <w:r w:rsidRPr="004B6F4C">
        <w:rPr>
          <w:lang w:val="en-GB"/>
        </w:rPr>
        <w:t xml:space="preserve">). In most patients with nausea and vomiting, the event was of mild to moderate intensity. </w:t>
      </w:r>
      <w:r w:rsidR="007D4422">
        <w:rPr>
          <w:lang w:val="en-GB"/>
        </w:rPr>
        <w:t>In the INPULSIS trials,</w:t>
      </w:r>
      <w:r w:rsidR="007D4422" w:rsidRPr="004B6F4C">
        <w:rPr>
          <w:lang w:val="en-GB"/>
        </w:rPr>
        <w:t xml:space="preserve"> </w:t>
      </w:r>
      <w:r w:rsidR="007D4422">
        <w:rPr>
          <w:lang w:val="en-GB"/>
        </w:rPr>
        <w:t>n</w:t>
      </w:r>
      <w:r w:rsidRPr="004B6F4C">
        <w:rPr>
          <w:lang w:val="en-GB"/>
        </w:rPr>
        <w:t xml:space="preserve">ausea led to discontinuation of </w:t>
      </w:r>
      <w:r w:rsidR="007D4422">
        <w:rPr>
          <w:lang w:val="en-GB"/>
        </w:rPr>
        <w:t>OFEV</w:t>
      </w:r>
      <w:r w:rsidR="007D4422" w:rsidRPr="004B6F4C">
        <w:rPr>
          <w:lang w:val="en-GB"/>
        </w:rPr>
        <w:t xml:space="preserve"> </w:t>
      </w:r>
      <w:r w:rsidRPr="004B6F4C">
        <w:rPr>
          <w:lang w:val="en-GB"/>
        </w:rPr>
        <w:t>in 2.0% of patients</w:t>
      </w:r>
      <w:r w:rsidR="007D4422">
        <w:rPr>
          <w:lang w:val="en-GB"/>
        </w:rPr>
        <w:t xml:space="preserve"> and</w:t>
      </w:r>
      <w:r w:rsidRPr="004B6F4C">
        <w:rPr>
          <w:lang w:val="en-GB"/>
        </w:rPr>
        <w:t xml:space="preserve"> </w:t>
      </w:r>
      <w:r w:rsidR="007D4422">
        <w:rPr>
          <w:lang w:val="en-GB"/>
        </w:rPr>
        <w:t>v</w:t>
      </w:r>
      <w:r w:rsidRPr="004B6F4C">
        <w:rPr>
          <w:lang w:val="en-GB"/>
        </w:rPr>
        <w:t xml:space="preserve">omiting led to discontinuation in 0.8% of the patients. </w:t>
      </w:r>
      <w:r w:rsidR="003C4D6B" w:rsidRPr="00532B08">
        <w:rPr>
          <w:lang w:val="en-GB"/>
        </w:rPr>
        <w:t>In the INBUILD trial, the</w:t>
      </w:r>
      <w:r w:rsidR="003C4D6B">
        <w:rPr>
          <w:lang w:val="en-GB"/>
        </w:rPr>
        <w:t xml:space="preserve"> </w:t>
      </w:r>
      <w:r w:rsidR="003C4D6B" w:rsidRPr="00532B08">
        <w:rPr>
          <w:lang w:val="en-GB"/>
        </w:rPr>
        <w:t xml:space="preserve">frequency of nausea and vomiting leading to </w:t>
      </w:r>
      <w:r w:rsidR="003C4D6B">
        <w:rPr>
          <w:lang w:val="en-GB"/>
        </w:rPr>
        <w:t>OFEV</w:t>
      </w:r>
      <w:r w:rsidR="003C4D6B" w:rsidRPr="00532B08">
        <w:rPr>
          <w:lang w:val="en-GB"/>
        </w:rPr>
        <w:t xml:space="preserve"> discontinuation were 0.3% and 0.9%,</w:t>
      </w:r>
      <w:r w:rsidR="003C4D6B">
        <w:rPr>
          <w:lang w:val="en-GB"/>
        </w:rPr>
        <w:t xml:space="preserve"> </w:t>
      </w:r>
      <w:r w:rsidR="003C4D6B" w:rsidRPr="00532B08">
        <w:rPr>
          <w:lang w:val="en-GB"/>
        </w:rPr>
        <w:t>respectively</w:t>
      </w:r>
      <w:r w:rsidR="003C4D6B">
        <w:rPr>
          <w:lang w:val="en-GB"/>
        </w:rPr>
        <w:t xml:space="preserve">. </w:t>
      </w:r>
      <w:r w:rsidR="007D4422" w:rsidRPr="00E9726C">
        <w:rPr>
          <w:lang w:val="en-GB"/>
        </w:rPr>
        <w:t xml:space="preserve">In the SENSCIS trial, the frequency of nausea and vomiting leading to </w:t>
      </w:r>
      <w:r w:rsidR="007D4422">
        <w:rPr>
          <w:lang w:val="en-GB"/>
        </w:rPr>
        <w:t>OFEV</w:t>
      </w:r>
      <w:r w:rsidR="007D4422" w:rsidRPr="00E9726C">
        <w:rPr>
          <w:lang w:val="en-GB"/>
        </w:rPr>
        <w:t xml:space="preserve"> discontinuation were 2.1% and 1.4%, respectively</w:t>
      </w:r>
      <w:r w:rsidR="007D4422">
        <w:rPr>
          <w:lang w:val="en-GB"/>
        </w:rPr>
        <w:t>.</w:t>
      </w:r>
    </w:p>
    <w:p w14:paraId="073B5B6A" w14:textId="77777777" w:rsidR="00A64B76" w:rsidRDefault="00A64B76" w:rsidP="00A64B76">
      <w:pPr>
        <w:pStyle w:val="TextPI"/>
        <w:rPr>
          <w:lang w:val="en-GB"/>
        </w:rPr>
      </w:pPr>
      <w:r w:rsidRPr="004B6F4C">
        <w:rPr>
          <w:lang w:val="en-GB"/>
        </w:rPr>
        <w:t>If symptoms persist despite appropriate supportive care (including anti-emetic therapy), dose reduction or treatment interruption may be required. The treatment may be resumed at a reduced dose (100 mg twice daily) or at the full dose (150 mg twice daily). In case of persisting severe symptoms therapy with</w:t>
      </w:r>
      <w:r>
        <w:rPr>
          <w:lang w:val="en-GB"/>
        </w:rPr>
        <w:t xml:space="preserve"> OFEV</w:t>
      </w:r>
      <w:r w:rsidRPr="004B6F4C">
        <w:rPr>
          <w:lang w:val="en-GB"/>
        </w:rPr>
        <w:t xml:space="preserve"> should be discontinued.</w:t>
      </w:r>
    </w:p>
    <w:p w14:paraId="0B2E9FE4" w14:textId="3F3B2B3A" w:rsidR="00A64B76" w:rsidRPr="008753B0" w:rsidRDefault="00A64B76" w:rsidP="008753B0">
      <w:pPr>
        <w:pStyle w:val="TextPI"/>
        <w:rPr>
          <w:lang w:val="en-GB"/>
        </w:rPr>
      </w:pPr>
      <w:r w:rsidRPr="008753B0">
        <w:rPr>
          <w:lang w:val="en-GB"/>
        </w:rPr>
        <w:t xml:space="preserve">Diarrhoea and vomiting may lead to dehydration </w:t>
      </w:r>
      <w:r w:rsidR="00457CBE">
        <w:rPr>
          <w:lang w:val="en-GB"/>
        </w:rPr>
        <w:t>with or without</w:t>
      </w:r>
      <w:r w:rsidRPr="008753B0">
        <w:rPr>
          <w:lang w:val="en-GB"/>
        </w:rPr>
        <w:t xml:space="preserve"> electrolyte disturbances</w:t>
      </w:r>
      <w:r w:rsidR="00457CBE">
        <w:rPr>
          <w:lang w:val="en-GB"/>
        </w:rPr>
        <w:t xml:space="preserve"> which may progress to renal function impairment</w:t>
      </w:r>
      <w:r w:rsidRPr="008753B0">
        <w:rPr>
          <w:lang w:val="en-GB"/>
        </w:rPr>
        <w:t>.</w:t>
      </w:r>
    </w:p>
    <w:p w14:paraId="16B8B204" w14:textId="77777777" w:rsidR="00A64B76" w:rsidRPr="005D33C9" w:rsidRDefault="00A64B76" w:rsidP="005D33C9">
      <w:pPr>
        <w:pStyle w:val="PIheading30"/>
        <w:ind w:left="0" w:right="0" w:firstLine="0"/>
        <w:rPr>
          <w:b/>
          <w:bCs/>
          <w:u w:val="none"/>
        </w:rPr>
      </w:pPr>
      <w:r w:rsidRPr="005D33C9">
        <w:rPr>
          <w:b/>
          <w:bCs/>
          <w:u w:val="none"/>
        </w:rPr>
        <w:t>Gastrointestinal perforations</w:t>
      </w:r>
    </w:p>
    <w:p w14:paraId="4692022B" w14:textId="17D137D2" w:rsidR="00A64B76" w:rsidRPr="00BB6E71" w:rsidRDefault="00A64B76" w:rsidP="00A64B76">
      <w:pPr>
        <w:pStyle w:val="TextPI"/>
        <w:rPr>
          <w:lang w:val="en-GB"/>
        </w:rPr>
      </w:pPr>
      <w:r>
        <w:rPr>
          <w:lang w:val="en-GB"/>
        </w:rPr>
        <w:t xml:space="preserve">Due to the mechanism of action </w:t>
      </w:r>
      <w:proofErr w:type="spellStart"/>
      <w:r>
        <w:rPr>
          <w:lang w:val="en-GB"/>
        </w:rPr>
        <w:t>nintedanib</w:t>
      </w:r>
      <w:proofErr w:type="spellEnd"/>
      <w:r>
        <w:rPr>
          <w:lang w:val="en-GB"/>
        </w:rPr>
        <w:t xml:space="preserve"> patients might have an increased risk of gastrointestinal perforations.  </w:t>
      </w:r>
      <w:r w:rsidR="00DE7DFB">
        <w:rPr>
          <w:iCs/>
          <w:lang w:val="en-GB" w:eastAsia="de-DE"/>
        </w:rPr>
        <w:t xml:space="preserve">Cases of gastrointestinal perforations, some of which were fatal, </w:t>
      </w:r>
      <w:proofErr w:type="gramStart"/>
      <w:r w:rsidR="00DE7DFB">
        <w:rPr>
          <w:iCs/>
          <w:lang w:val="en-GB" w:eastAsia="de-DE"/>
        </w:rPr>
        <w:t>have been reported</w:t>
      </w:r>
      <w:proofErr w:type="gramEnd"/>
      <w:r w:rsidR="00DE7DFB">
        <w:rPr>
          <w:iCs/>
          <w:lang w:val="en-GB" w:eastAsia="de-DE"/>
        </w:rPr>
        <w:t xml:space="preserve"> in the post-marketing period. </w:t>
      </w:r>
      <w:r>
        <w:rPr>
          <w:lang w:val="en-GB"/>
        </w:rPr>
        <w:t>OFEV should therefore only be initiated at least 4 weeks after major, including abdominal, surgery.  Therapy with OFEV should be permanently discontinued in patients who develop gastrointestinal perforation.</w:t>
      </w:r>
    </w:p>
    <w:p w14:paraId="6A6A06BB" w14:textId="77777777" w:rsidR="00A64B76" w:rsidRPr="002C4443" w:rsidRDefault="00A64B76" w:rsidP="00A64B76">
      <w:pPr>
        <w:pStyle w:val="TextPI"/>
        <w:rPr>
          <w:i/>
          <w:iCs/>
          <w:lang w:val="en-GB" w:eastAsia="de-DE"/>
        </w:rPr>
      </w:pPr>
      <w:r w:rsidRPr="002C4443">
        <w:rPr>
          <w:i/>
          <w:iCs/>
          <w:lang w:val="en-GB" w:eastAsia="de-DE"/>
        </w:rPr>
        <w:t>NSCLC</w:t>
      </w:r>
    </w:p>
    <w:p w14:paraId="00912F58" w14:textId="208CFEC9" w:rsidR="00A64B76" w:rsidRDefault="00A64B76" w:rsidP="00A64B76">
      <w:pPr>
        <w:pStyle w:val="TextPI"/>
        <w:rPr>
          <w:lang w:val="en-GB" w:eastAsia="de-DE"/>
        </w:rPr>
      </w:pPr>
      <w:r w:rsidRPr="007615D1">
        <w:rPr>
          <w:lang w:val="en-GB" w:eastAsia="de-DE"/>
        </w:rPr>
        <w:t xml:space="preserve">The frequency of gastrointestinal perforation was comparable between the treatment arms in the </w:t>
      </w:r>
      <w:r>
        <w:rPr>
          <w:lang w:val="en-GB" w:eastAsia="de-DE"/>
        </w:rPr>
        <w:t>LUME-Lung 1</w:t>
      </w:r>
      <w:r w:rsidRPr="006F1270">
        <w:rPr>
          <w:lang w:val="en-GB" w:eastAsia="de-DE"/>
        </w:rPr>
        <w:t xml:space="preserve"> study.  </w:t>
      </w:r>
      <w:r>
        <w:rPr>
          <w:lang w:val="en-GB"/>
        </w:rPr>
        <w:t>Particular caution should be exercised when treating patients with previous abdominal surgery or a recent history</w:t>
      </w:r>
      <w:r w:rsidR="00216867">
        <w:rPr>
          <w:lang w:val="en-GB"/>
        </w:rPr>
        <w:t xml:space="preserve"> of a hollow organ perforation.</w:t>
      </w:r>
      <w:r w:rsidRPr="006F1270">
        <w:rPr>
          <w:b/>
          <w:lang w:val="en-GB" w:eastAsia="de-DE"/>
        </w:rPr>
        <w:fldChar w:fldCharType="begin"/>
      </w:r>
      <w:r w:rsidRPr="006F1270">
        <w:rPr>
          <w:lang w:val="en-GB" w:eastAsia="de-DE"/>
        </w:rPr>
        <w:instrText xml:space="preserve"> ADDIN REFMGR.CITE &lt;Refman&gt;&lt;Cite&gt;&lt;Author&gt;Verheul&lt;/Author&gt;&lt;Year&gt;2007&lt;/Year&gt;&lt;RecNum&gt;2&lt;/RecNum&gt;&lt;IDText&gt;Possible molecular mechanisms involved in the toxicity of angiogenesis inhibition&lt;/IDText&gt;&lt;MDL Ref_Type="Journal"&gt;&lt;Ref_Type&gt;Journal&lt;/Ref_Type&gt;&lt;Ref_ID&gt;2&lt;/Ref_ID&gt;&lt;Title_Primary&gt;Possible molecular mechanisms involved in the toxicity of angiogenesis inhibition&lt;/Title_Primary&gt;&lt;Authors_Primary&gt;Verheul,H.M.W.&lt;/Authors_Primary&gt;&lt;Authors_Primary&gt;Pinedo,H.M.&lt;/Authors_Primary&gt;&lt;Date_Primary&gt;2007&lt;/Date_Primary&gt;&lt;Reprint&gt;Not in File&lt;/Reprint&gt;&lt;Start_Page&gt;475&lt;/Start_Page&gt;&lt;End_Page&gt;485&lt;/End_Page&gt;&lt;Periodical&gt;Nat Rev Cancer&lt;/Periodical&gt;&lt;Volume&gt;7&lt;/Volume&gt;&lt;User_Def_1&gt;R12-3827&lt;/User_Def_1&gt;&lt;ISSN_ISBN&gt;1474-175X&lt;/ISSN_ISBN&gt;&lt;ZZ_JournalStdAbbrev&gt;&lt;f name="System"&gt;Nat Rev Cancer&lt;/f&gt;&lt;/ZZ_JournalStdAbbrev&gt;&lt;ZZ_WorkformID&gt;1&lt;/ZZ_WorkformID&gt;&lt;/MDL&gt;&lt;/Cite&gt;&lt;/Refman&gt;</w:instrText>
      </w:r>
      <w:r w:rsidRPr="006F1270">
        <w:rPr>
          <w:b/>
          <w:lang w:val="en-GB" w:eastAsia="de-DE"/>
        </w:rPr>
        <w:fldChar w:fldCharType="end"/>
      </w:r>
    </w:p>
    <w:p w14:paraId="5CD1FCA9" w14:textId="7809E0C0" w:rsidR="00A64B76" w:rsidRPr="002C4443" w:rsidRDefault="00A64B76" w:rsidP="008A254D">
      <w:pPr>
        <w:pStyle w:val="TextPI"/>
        <w:keepNext/>
        <w:keepLines/>
        <w:rPr>
          <w:i/>
          <w:iCs/>
          <w:lang w:val="en-GB"/>
        </w:rPr>
      </w:pPr>
      <w:r w:rsidRPr="002C4443">
        <w:rPr>
          <w:i/>
          <w:iCs/>
          <w:lang w:val="en-GB"/>
        </w:rPr>
        <w:t>IPF</w:t>
      </w:r>
      <w:r w:rsidR="00E013D6">
        <w:rPr>
          <w:i/>
          <w:iCs/>
          <w:lang w:val="en-GB"/>
        </w:rPr>
        <w:t xml:space="preserve">, </w:t>
      </w:r>
      <w:r w:rsidR="00E013D6" w:rsidRPr="00F072C2">
        <w:rPr>
          <w:i/>
          <w:iCs/>
          <w:lang w:val="en-GB"/>
        </w:rPr>
        <w:t>other chronic fibrosing ILDs with a progressive phenotype</w:t>
      </w:r>
      <w:r w:rsidR="00E013D6">
        <w:rPr>
          <w:i/>
          <w:iCs/>
          <w:lang w:val="en-GB"/>
        </w:rPr>
        <w:t>,</w:t>
      </w:r>
      <w:r w:rsidR="00C43BD0">
        <w:rPr>
          <w:i/>
          <w:iCs/>
          <w:lang w:val="en-GB"/>
        </w:rPr>
        <w:t xml:space="preserve"> and </w:t>
      </w:r>
      <w:proofErr w:type="spellStart"/>
      <w:r w:rsidR="00C43BD0">
        <w:rPr>
          <w:i/>
          <w:iCs/>
          <w:lang w:val="en-GB"/>
        </w:rPr>
        <w:t>SSc</w:t>
      </w:r>
      <w:proofErr w:type="spellEnd"/>
      <w:r w:rsidR="00C43BD0">
        <w:rPr>
          <w:i/>
          <w:iCs/>
          <w:lang w:val="en-GB"/>
        </w:rPr>
        <w:t>-ILD</w:t>
      </w:r>
    </w:p>
    <w:p w14:paraId="7ED6DA59" w14:textId="62502E96" w:rsidR="00A64B76" w:rsidRPr="00C20CF1" w:rsidRDefault="00A64B76" w:rsidP="00A64B76">
      <w:pPr>
        <w:pStyle w:val="TextPI"/>
        <w:rPr>
          <w:iCs/>
          <w:lang w:eastAsia="de-DE"/>
        </w:rPr>
      </w:pPr>
      <w:r w:rsidRPr="00437D17">
        <w:rPr>
          <w:iCs/>
          <w:lang w:val="en-GB" w:eastAsia="de-DE"/>
        </w:rPr>
        <w:t xml:space="preserve">In the </w:t>
      </w:r>
      <w:r w:rsidR="00C43BD0">
        <w:rPr>
          <w:iCs/>
          <w:lang w:val="en-GB" w:eastAsia="de-DE"/>
        </w:rPr>
        <w:t>clinical</w:t>
      </w:r>
      <w:r w:rsidR="00C43BD0" w:rsidRPr="00437D17">
        <w:rPr>
          <w:iCs/>
          <w:lang w:val="en-GB" w:eastAsia="de-DE"/>
        </w:rPr>
        <w:t xml:space="preserve"> </w:t>
      </w:r>
      <w:r w:rsidRPr="00437D17">
        <w:rPr>
          <w:iCs/>
          <w:lang w:val="en-GB" w:eastAsia="de-DE"/>
        </w:rPr>
        <w:t xml:space="preserve">trials no increased risk of gastrointestinal perforation was observed in </w:t>
      </w:r>
      <w:r w:rsidR="00C43BD0">
        <w:rPr>
          <w:iCs/>
          <w:lang w:val="en-GB" w:eastAsia="de-DE"/>
        </w:rPr>
        <w:t>OFEV</w:t>
      </w:r>
      <w:r w:rsidR="00C43BD0" w:rsidRPr="00437D17">
        <w:rPr>
          <w:iCs/>
          <w:lang w:val="en-GB" w:eastAsia="de-DE"/>
        </w:rPr>
        <w:t xml:space="preserve"> </w:t>
      </w:r>
      <w:r w:rsidRPr="00437D17">
        <w:rPr>
          <w:iCs/>
          <w:lang w:val="en-GB" w:eastAsia="de-DE"/>
        </w:rPr>
        <w:t xml:space="preserve">treated patients. </w:t>
      </w:r>
      <w:r>
        <w:rPr>
          <w:iCs/>
          <w:lang w:val="en-GB" w:eastAsia="de-DE"/>
        </w:rPr>
        <w:t xml:space="preserve">Particular caution </w:t>
      </w:r>
      <w:proofErr w:type="gramStart"/>
      <w:r>
        <w:rPr>
          <w:iCs/>
          <w:lang w:val="en-GB" w:eastAsia="de-DE"/>
        </w:rPr>
        <w:t>should be exercised</w:t>
      </w:r>
      <w:proofErr w:type="gramEnd"/>
      <w:r>
        <w:rPr>
          <w:iCs/>
          <w:lang w:val="en-GB" w:eastAsia="de-DE"/>
        </w:rPr>
        <w:t xml:space="preserve"> when treating patients with previous abdominal surgery, a recent history of a hollow organ perforation, previous history of peptic ulceration, diverticular disease or receiving concomitant corticosteroids or NSAIDs.</w:t>
      </w:r>
    </w:p>
    <w:p w14:paraId="138396C6" w14:textId="77777777" w:rsidR="00A64B76" w:rsidRPr="005D33C9" w:rsidRDefault="00A64B76" w:rsidP="005D33C9">
      <w:pPr>
        <w:pStyle w:val="PIheading30"/>
        <w:ind w:left="0" w:right="0" w:firstLine="0"/>
        <w:rPr>
          <w:b/>
          <w:bCs/>
          <w:u w:val="none"/>
        </w:rPr>
      </w:pPr>
      <w:r w:rsidRPr="007B5A1B">
        <w:rPr>
          <w:b/>
          <w:bCs/>
          <w:u w:val="none"/>
        </w:rPr>
        <w:t>Neutropenia and sepsis</w:t>
      </w:r>
    </w:p>
    <w:p w14:paraId="3A3BE8F2" w14:textId="77777777" w:rsidR="00A64B76" w:rsidRDefault="00A64B76" w:rsidP="00BE189E">
      <w:pPr>
        <w:pStyle w:val="TextPI"/>
        <w:rPr>
          <w:lang w:val="en-GB"/>
        </w:rPr>
      </w:pPr>
      <w:r w:rsidRPr="00113B1C">
        <w:rPr>
          <w:i/>
          <w:iCs/>
          <w:lang w:val="en-GB"/>
        </w:rPr>
        <w:t>NSCLC</w:t>
      </w:r>
    </w:p>
    <w:p w14:paraId="27645C8A" w14:textId="3C06F63A" w:rsidR="00A64B76" w:rsidRDefault="00A64B76" w:rsidP="00BE189E">
      <w:pPr>
        <w:pStyle w:val="TextPI"/>
        <w:rPr>
          <w:color w:val="000000"/>
          <w:lang w:val="en-GB"/>
        </w:rPr>
      </w:pPr>
      <w:r w:rsidRPr="00DE2C88">
        <w:rPr>
          <w:lang w:val="en-GB"/>
        </w:rPr>
        <w:t xml:space="preserve">A higher frequency of neutropenia of CTCAE grade </w:t>
      </w:r>
      <w:r w:rsidRPr="00DE2C88">
        <w:rPr>
          <w:u w:val="single"/>
          <w:lang w:val="en-GB"/>
        </w:rPr>
        <w:t>&gt;</w:t>
      </w:r>
      <w:r w:rsidRPr="00DE2C88">
        <w:rPr>
          <w:lang w:val="en-GB"/>
        </w:rPr>
        <w:t xml:space="preserve"> 3 was observed in patients treated with </w:t>
      </w:r>
      <w:r>
        <w:rPr>
          <w:bCs/>
          <w:iCs/>
          <w:lang w:val="en-GB"/>
        </w:rPr>
        <w:t>OFEV</w:t>
      </w:r>
      <w:r w:rsidRPr="00DE2C88">
        <w:rPr>
          <w:b/>
          <w:i/>
          <w:iCs/>
          <w:vertAlign w:val="superscript"/>
          <w:lang w:val="en-GB"/>
        </w:rPr>
        <w:t xml:space="preserve"> </w:t>
      </w:r>
      <w:r w:rsidRPr="00DE2C88">
        <w:rPr>
          <w:lang w:val="en-GB"/>
        </w:rPr>
        <w:t xml:space="preserve">in combination with docetaxel as compared to treatment with docetaxel alone. </w:t>
      </w:r>
      <w:r>
        <w:rPr>
          <w:lang w:val="en-GB"/>
        </w:rPr>
        <w:t xml:space="preserve"> </w:t>
      </w:r>
      <w:r w:rsidRPr="00DE2C88">
        <w:rPr>
          <w:color w:val="000000"/>
          <w:lang w:val="en-GB"/>
        </w:rPr>
        <w:t>Subsequent complications such as sepsis or febrile neutropenia have been observed.</w:t>
      </w:r>
      <w:r>
        <w:rPr>
          <w:color w:val="000000"/>
          <w:lang w:val="en-GB"/>
        </w:rPr>
        <w:t xml:space="preserve">  </w:t>
      </w:r>
      <w:r w:rsidRPr="00E55B53">
        <w:rPr>
          <w:color w:val="000000"/>
          <w:lang w:val="en-GB"/>
        </w:rPr>
        <w:t xml:space="preserve">Febrile neutropenia was reported in 7.5% of patients in the combination arm compared to 4.5% of patients during treatment with docetaxel alone. </w:t>
      </w:r>
      <w:r>
        <w:rPr>
          <w:color w:val="000000"/>
          <w:lang w:val="en-GB"/>
        </w:rPr>
        <w:t xml:space="preserve"> Fatal sepsis was reported in 0.9% of patients treated with OFEV in combination with docetaxel.  Fatal sepsis </w:t>
      </w:r>
      <w:proofErr w:type="gramStart"/>
      <w:r>
        <w:rPr>
          <w:color w:val="000000"/>
          <w:lang w:val="en-GB"/>
        </w:rPr>
        <w:t>was not reported</w:t>
      </w:r>
      <w:proofErr w:type="gramEnd"/>
      <w:r>
        <w:rPr>
          <w:color w:val="000000"/>
          <w:lang w:val="en-GB"/>
        </w:rPr>
        <w:t xml:space="preserve"> during t</w:t>
      </w:r>
      <w:r w:rsidR="00216867">
        <w:rPr>
          <w:color w:val="000000"/>
          <w:lang w:val="en-GB"/>
        </w:rPr>
        <w:t>reatment with docetaxel alone.</w:t>
      </w:r>
    </w:p>
    <w:p w14:paraId="503EDEB1" w14:textId="51F5A8EA" w:rsidR="00A64B76" w:rsidRPr="00DE2C88" w:rsidRDefault="00A64B76" w:rsidP="00A64B76">
      <w:pPr>
        <w:pStyle w:val="TextPI"/>
        <w:rPr>
          <w:lang w:val="en-GB"/>
        </w:rPr>
      </w:pPr>
      <w:r w:rsidRPr="00DE2C88">
        <w:rPr>
          <w:lang w:val="en-GB"/>
        </w:rPr>
        <w:t xml:space="preserve">Blood counts </w:t>
      </w:r>
      <w:proofErr w:type="gramStart"/>
      <w:r w:rsidRPr="00DE2C88">
        <w:rPr>
          <w:lang w:val="en-GB"/>
        </w:rPr>
        <w:t>should be monitored</w:t>
      </w:r>
      <w:proofErr w:type="gramEnd"/>
      <w:r w:rsidRPr="00DE2C88">
        <w:rPr>
          <w:lang w:val="en-GB"/>
        </w:rPr>
        <w:t xml:space="preserve"> during therapy, in particular during the combination treatment with docetaxel.</w:t>
      </w:r>
      <w:r w:rsidR="006E09EC">
        <w:rPr>
          <w:lang w:val="en-GB"/>
        </w:rPr>
        <w:t xml:space="preserve"> </w:t>
      </w:r>
      <w:r>
        <w:rPr>
          <w:lang w:val="en-GB"/>
        </w:rPr>
        <w:t xml:space="preserve">Frequent monitoring of complete blood counts should be performed at the beginning of each treatment cycle and around the nadir for patients receiving treatment </w:t>
      </w:r>
      <w:r>
        <w:rPr>
          <w:lang w:val="en-GB"/>
        </w:rPr>
        <w:lastRenderedPageBreak/>
        <w:t xml:space="preserve">with </w:t>
      </w:r>
      <w:proofErr w:type="spellStart"/>
      <w:r>
        <w:rPr>
          <w:lang w:val="en-GB"/>
        </w:rPr>
        <w:t>nintedanib</w:t>
      </w:r>
      <w:proofErr w:type="spellEnd"/>
      <w:r>
        <w:rPr>
          <w:lang w:val="en-GB"/>
        </w:rPr>
        <w:t xml:space="preserve"> in combination with docetaxel, and as clinically indicated after the administration of the last combination cycle.</w:t>
      </w:r>
    </w:p>
    <w:p w14:paraId="16F20DDC" w14:textId="77777777" w:rsidR="00A64B76" w:rsidRPr="007B5A1B" w:rsidRDefault="00A64B76" w:rsidP="00FA35B1">
      <w:pPr>
        <w:pStyle w:val="PIheading30"/>
        <w:ind w:left="0" w:right="0" w:firstLine="0"/>
        <w:rPr>
          <w:b/>
          <w:bCs/>
          <w:u w:val="none"/>
        </w:rPr>
      </w:pPr>
      <w:r w:rsidRPr="007B5A1B">
        <w:rPr>
          <w:b/>
          <w:bCs/>
          <w:u w:val="none"/>
        </w:rPr>
        <w:t>Hepatic function</w:t>
      </w:r>
    </w:p>
    <w:p w14:paraId="5F0A776E" w14:textId="7E3039C7" w:rsidR="00A64B76" w:rsidRPr="008753B0" w:rsidRDefault="00A64B76" w:rsidP="00FA35B1">
      <w:pPr>
        <w:pStyle w:val="TextPI"/>
        <w:keepNext/>
        <w:keepLines/>
        <w:rPr>
          <w:u w:val="single"/>
        </w:rPr>
      </w:pPr>
      <w:r w:rsidRPr="008753B0">
        <w:rPr>
          <w:u w:val="single"/>
        </w:rPr>
        <w:t>Use in hepatic impairment</w:t>
      </w:r>
    </w:p>
    <w:p w14:paraId="2F948DE1" w14:textId="17A68337" w:rsidR="00A64B76" w:rsidRDefault="00A64B76" w:rsidP="00A64B76">
      <w:pPr>
        <w:pStyle w:val="TextPI"/>
      </w:pPr>
      <w:r>
        <w:t>S</w:t>
      </w:r>
      <w:r w:rsidRPr="00C9687E">
        <w:t xml:space="preserve">ubjects with baseline AST, ALT or bilirubin levels &gt; 1.5 times the upper limit of normal were excluded from the </w:t>
      </w:r>
      <w:r>
        <w:t>pivotal studies.</w:t>
      </w:r>
      <w:r w:rsidRPr="009A1C57">
        <w:t xml:space="preserve"> </w:t>
      </w:r>
      <w:r>
        <w:t xml:space="preserve"> Based on increased exposure, the risk for adverse events may be increased in patients with mild hepatic impairment</w:t>
      </w:r>
      <w:r w:rsidRPr="009A1C57">
        <w:t xml:space="preserve"> (</w:t>
      </w:r>
      <w:r>
        <w:t xml:space="preserve">Child Pugh A; see </w:t>
      </w:r>
      <w:r w:rsidR="006E09EC">
        <w:t xml:space="preserve">Sections 4.2 Dose and Method of Administration and </w:t>
      </w:r>
      <w:r w:rsidR="006E09EC">
        <w:rPr>
          <w:rFonts w:eastAsia="MS Mincho"/>
        </w:rPr>
        <w:t>5.</w:t>
      </w:r>
      <w:r w:rsidR="00445604">
        <w:rPr>
          <w:rFonts w:eastAsia="MS Mincho"/>
        </w:rPr>
        <w:t>2 Pharmacokinetic Properties</w:t>
      </w:r>
      <w:r>
        <w:t xml:space="preserve">). </w:t>
      </w:r>
      <w:r w:rsidRPr="009A1C57">
        <w:t xml:space="preserve">The safety and efficacy of </w:t>
      </w:r>
      <w:r>
        <w:t>OFEV</w:t>
      </w:r>
      <w:r w:rsidRPr="009A1C57">
        <w:t xml:space="preserve"> has not been studied in patients with moderate (Child Pugh B) or severe (Child Pugh C) hepatic impairment. </w:t>
      </w:r>
      <w:proofErr w:type="gramStart"/>
      <w:r w:rsidRPr="009A1C57">
        <w:t>Therefore</w:t>
      </w:r>
      <w:proofErr w:type="gramEnd"/>
      <w:r w:rsidRPr="009A1C57">
        <w:t xml:space="preserve"> treatment with </w:t>
      </w:r>
      <w:r>
        <w:t>OFEV</w:t>
      </w:r>
      <w:r w:rsidRPr="009A1C57">
        <w:t xml:space="preserve"> is not recommended in such patients (see </w:t>
      </w:r>
      <w:r w:rsidR="00445604">
        <w:t>Section 5.2 Pharmacokinetic Properties</w:t>
      </w:r>
      <w:r w:rsidRPr="009A1C57">
        <w:t>).</w:t>
      </w:r>
    </w:p>
    <w:p w14:paraId="7113BF2F" w14:textId="77777777" w:rsidR="00A64B76" w:rsidRPr="008753B0" w:rsidRDefault="00A64B76" w:rsidP="008753B0">
      <w:pPr>
        <w:pStyle w:val="TextPI"/>
        <w:rPr>
          <w:u w:val="single"/>
        </w:rPr>
      </w:pPr>
      <w:r w:rsidRPr="008753B0">
        <w:rPr>
          <w:u w:val="single"/>
        </w:rPr>
        <w:t xml:space="preserve">Liver enzyme elevations and </w:t>
      </w:r>
      <w:proofErr w:type="spellStart"/>
      <w:r w:rsidRPr="008753B0">
        <w:rPr>
          <w:u w:val="single"/>
        </w:rPr>
        <w:t>hyperbilirubinaemia</w:t>
      </w:r>
      <w:proofErr w:type="spellEnd"/>
    </w:p>
    <w:p w14:paraId="1D9A7519" w14:textId="77777777" w:rsidR="00A64B76" w:rsidRDefault="00A64B76" w:rsidP="00A64B76">
      <w:pPr>
        <w:pStyle w:val="TextPI"/>
        <w:keepNext/>
        <w:keepLines/>
      </w:pPr>
      <w:r>
        <w:t xml:space="preserve">Cases of drug-induced liver injury have been observed with </w:t>
      </w:r>
      <w:proofErr w:type="spellStart"/>
      <w:r>
        <w:t>nintedanib</w:t>
      </w:r>
      <w:proofErr w:type="spellEnd"/>
      <w:r>
        <w:t xml:space="preserve"> treatment.</w:t>
      </w:r>
    </w:p>
    <w:p w14:paraId="498AFFB2" w14:textId="77777777" w:rsidR="00A64B76" w:rsidRDefault="00A64B76" w:rsidP="00A64B76">
      <w:pPr>
        <w:pStyle w:val="TextPI"/>
        <w:keepNext/>
        <w:keepLines/>
      </w:pPr>
      <w:r w:rsidRPr="00113B1C">
        <w:rPr>
          <w:i/>
          <w:iCs/>
        </w:rPr>
        <w:t>NSCLC</w:t>
      </w:r>
    </w:p>
    <w:p w14:paraId="748031AB" w14:textId="1125BA4E" w:rsidR="00A64B76" w:rsidRDefault="004C217C" w:rsidP="00A64B76">
      <w:pPr>
        <w:pStyle w:val="TextPI"/>
        <w:keepNext/>
        <w:keepLines/>
      </w:pPr>
      <w:r>
        <w:t xml:space="preserve">In the post-marketing period, severe liver injury with fatal outcome has been reported. </w:t>
      </w:r>
      <w:r w:rsidR="00A64B76" w:rsidRPr="009A1C57">
        <w:t xml:space="preserve">Administration of </w:t>
      </w:r>
      <w:proofErr w:type="spellStart"/>
      <w:r w:rsidR="00A64B76" w:rsidRPr="009A1C57">
        <w:t>nintedanib</w:t>
      </w:r>
      <w:proofErr w:type="spellEnd"/>
      <w:r w:rsidR="00A64B76" w:rsidRPr="009A1C57">
        <w:t xml:space="preserve"> was associated with an elevation of liver enzymes (ALT, AST, ALP</w:t>
      </w:r>
      <w:r w:rsidR="00A64B76">
        <w:t>)</w:t>
      </w:r>
      <w:r w:rsidR="00A64B76" w:rsidRPr="009A1C57">
        <w:t xml:space="preserve"> </w:t>
      </w:r>
      <w:r w:rsidR="00A64B76">
        <w:t>gamma-</w:t>
      </w:r>
      <w:proofErr w:type="spellStart"/>
      <w:r w:rsidR="00A64B76">
        <w:t>glutamyltransferase</w:t>
      </w:r>
      <w:proofErr w:type="spellEnd"/>
      <w:r w:rsidR="00A64B76">
        <w:t xml:space="preserve"> (GGT)</w:t>
      </w:r>
      <w:r w:rsidR="00287ECB">
        <w:t>)</w:t>
      </w:r>
      <w:r w:rsidR="00A64B76">
        <w:t xml:space="preserve"> and</w:t>
      </w:r>
      <w:r w:rsidR="00A64B76" w:rsidRPr="009A1C57">
        <w:t xml:space="preserve"> bilirubin.  These increases were reversible</w:t>
      </w:r>
      <w:r>
        <w:t xml:space="preserve"> upon dose reduction or interruption</w:t>
      </w:r>
      <w:r w:rsidR="00A64B76" w:rsidRPr="009A1C57">
        <w:t xml:space="preserve"> in the majority of </w:t>
      </w:r>
      <w:r w:rsidR="00A64B76" w:rsidRPr="00413A88">
        <w:t>cases</w:t>
      </w:r>
      <w:r w:rsidR="00A64B76" w:rsidRPr="00287ABB">
        <w:t xml:space="preserve">.  Liver related adverse events of grade </w:t>
      </w:r>
      <w:r w:rsidR="00A64B76" w:rsidRPr="00287ABB">
        <w:rPr>
          <w:rFonts w:ascii="Calibri" w:hAnsi="Calibri" w:cs="Calibri"/>
        </w:rPr>
        <w:t xml:space="preserve">≥ </w:t>
      </w:r>
      <w:r w:rsidR="00A64B76" w:rsidRPr="00287ABB">
        <w:t>3 were reported in 15.3% of patients treated with the combination of OFEV and docetaxel compared to 1.8% of patients treated with docetaxel alone.</w:t>
      </w:r>
    </w:p>
    <w:p w14:paraId="5D537651" w14:textId="77777777" w:rsidR="00A64B76" w:rsidRDefault="00A64B76" w:rsidP="00A64B76">
      <w:pPr>
        <w:pStyle w:val="TextPI"/>
        <w:keepNext/>
        <w:keepLines/>
      </w:pPr>
      <w:r>
        <w:t>Transaminase, ALP and bilirubin levels should be investigated before the initiation of the combination treatment with OFEV plus docetaxel. The values should be monitored as clinically indicated or periodically during treatment, i.e. in the combination phase with docetaxel at the beginning of each treatment cycle and monthly in case OFEV is continued as monotherapy after discontinuation of docetaxel.</w:t>
      </w:r>
    </w:p>
    <w:p w14:paraId="65EED92A" w14:textId="4421D8F8" w:rsidR="00A64B76" w:rsidRDefault="00A64B76" w:rsidP="00A64B76">
      <w:pPr>
        <w:pStyle w:val="TextPI"/>
        <w:rPr>
          <w:rFonts w:eastAsia="MS Mincho"/>
        </w:rPr>
      </w:pPr>
      <w:r w:rsidRPr="00413A88">
        <w:t xml:space="preserve">If relevant liver enzyme elevations are measured, interruption, dose reduction or discontinuation of the therapy with OFEV may be required (see </w:t>
      </w:r>
      <w:r w:rsidR="00FC068A">
        <w:t>Section 4.2 Dose and Method of Administration</w:t>
      </w:r>
      <w:r>
        <w:rPr>
          <w:rFonts w:eastAsia="MS Mincho"/>
        </w:rPr>
        <w:t>, Table 2</w:t>
      </w:r>
      <w:r w:rsidRPr="00413A88">
        <w:t>)</w:t>
      </w:r>
      <w:r w:rsidRPr="00413A88">
        <w:rPr>
          <w:rFonts w:eastAsia="MS Mincho"/>
        </w:rPr>
        <w:t>.</w:t>
      </w:r>
      <w:r>
        <w:rPr>
          <w:rFonts w:eastAsia="MS Mincho"/>
        </w:rPr>
        <w:t xml:space="preserve">  Alternative causes of the liver enzyme elevations </w:t>
      </w:r>
      <w:proofErr w:type="gramStart"/>
      <w:r>
        <w:rPr>
          <w:rFonts w:eastAsia="MS Mincho"/>
        </w:rPr>
        <w:t>should be investigated</w:t>
      </w:r>
      <w:proofErr w:type="gramEnd"/>
      <w:r>
        <w:rPr>
          <w:rFonts w:eastAsia="MS Mincho"/>
        </w:rPr>
        <w:t xml:space="preserve"> and respective action should be taken as necessary.</w:t>
      </w:r>
    </w:p>
    <w:p w14:paraId="170E1500" w14:textId="473EEA8C" w:rsidR="00A64B76" w:rsidRDefault="00A64B76" w:rsidP="00A64B76">
      <w:pPr>
        <w:pStyle w:val="TextPI"/>
        <w:rPr>
          <w:rFonts w:eastAsia="MS Mincho"/>
        </w:rPr>
      </w:pPr>
      <w:r>
        <w:rPr>
          <w:rFonts w:eastAsia="MS Mincho"/>
        </w:rPr>
        <w:t xml:space="preserve">In case of specific changes in liver values (AST/ALT &gt; 3 x ULN in conjunction with bilirubin </w:t>
      </w:r>
      <w:r>
        <w:rPr>
          <w:rFonts w:eastAsia="MS Mincho" w:cs="Arial"/>
        </w:rPr>
        <w:t>≥</w:t>
      </w:r>
      <w:r>
        <w:rPr>
          <w:rFonts w:eastAsia="MS Mincho"/>
        </w:rPr>
        <w:t xml:space="preserve"> 2 x ULN and ALP &lt; 2 x ULN) treatment with OFEV should be interrupted.  Unless there is an alternative cause established, OFEV should be permanently discontinued (see </w:t>
      </w:r>
      <w:r w:rsidR="00FC068A">
        <w:t>Section 4.2 Dose and Method of Administration</w:t>
      </w:r>
      <w:r w:rsidR="00FC068A">
        <w:rPr>
          <w:rFonts w:eastAsia="MS Mincho"/>
        </w:rPr>
        <w:t>, Table 2</w:t>
      </w:r>
      <w:r>
        <w:rPr>
          <w:rFonts w:eastAsia="MS Mincho"/>
        </w:rPr>
        <w:t>).</w:t>
      </w:r>
    </w:p>
    <w:p w14:paraId="762A7378" w14:textId="0F2A01D6" w:rsidR="004C217C" w:rsidRDefault="004C217C" w:rsidP="004C217C">
      <w:pPr>
        <w:pStyle w:val="TextPI"/>
      </w:pPr>
      <w:r>
        <w:t xml:space="preserve">Female and Asian patients have a higher risk of elevations in liver enzymes. </w:t>
      </w:r>
      <w:proofErr w:type="spellStart"/>
      <w:r>
        <w:t>Nintedanib</w:t>
      </w:r>
      <w:proofErr w:type="spellEnd"/>
      <w:r>
        <w:t xml:space="preserve"> exposure increased linearly with patient age and was inversely correlated to weight which may also result in a higher risk of developing liver enzyme elevations (see Section 5.2 Pharmacokinetic Properties). Close monitoring </w:t>
      </w:r>
      <w:proofErr w:type="gramStart"/>
      <w:r>
        <w:t>is recommended</w:t>
      </w:r>
      <w:proofErr w:type="gramEnd"/>
      <w:r>
        <w:t xml:space="preserve"> in pat</w:t>
      </w:r>
      <w:r w:rsidR="00216867">
        <w:t>ients with these risk factors.</w:t>
      </w:r>
    </w:p>
    <w:p w14:paraId="12485454" w14:textId="4B67F312" w:rsidR="00A64B76" w:rsidRDefault="00A64B76" w:rsidP="00BE189E">
      <w:pPr>
        <w:pStyle w:val="TextPI"/>
      </w:pPr>
      <w:r w:rsidRPr="00113B1C">
        <w:rPr>
          <w:i/>
          <w:iCs/>
        </w:rPr>
        <w:t>IPF</w:t>
      </w:r>
      <w:r w:rsidR="002332B6">
        <w:rPr>
          <w:i/>
          <w:iCs/>
        </w:rPr>
        <w:t xml:space="preserve">, </w:t>
      </w:r>
      <w:r w:rsidR="002332B6" w:rsidRPr="00F072C2">
        <w:rPr>
          <w:i/>
          <w:iCs/>
        </w:rPr>
        <w:t>other chronic fibrosing ILDs with a progressive phenotype</w:t>
      </w:r>
      <w:r w:rsidR="002332B6">
        <w:rPr>
          <w:i/>
          <w:iCs/>
        </w:rPr>
        <w:t>,</w:t>
      </w:r>
      <w:r w:rsidR="0070060F">
        <w:rPr>
          <w:i/>
          <w:iCs/>
        </w:rPr>
        <w:t xml:space="preserve"> and </w:t>
      </w:r>
      <w:proofErr w:type="spellStart"/>
      <w:r w:rsidR="0070060F">
        <w:rPr>
          <w:i/>
          <w:iCs/>
        </w:rPr>
        <w:t>SSc</w:t>
      </w:r>
      <w:proofErr w:type="spellEnd"/>
      <w:r w:rsidR="0070060F">
        <w:rPr>
          <w:i/>
          <w:iCs/>
        </w:rPr>
        <w:t>-ILD</w:t>
      </w:r>
    </w:p>
    <w:p w14:paraId="7BD7DE3F" w14:textId="4309B5D3" w:rsidR="00A64B76" w:rsidRDefault="00A64B76" w:rsidP="00BE189E">
      <w:pPr>
        <w:pStyle w:val="TextPI"/>
      </w:pPr>
      <w:r>
        <w:t xml:space="preserve">Patients with mild hepatic impairment (Child Pugh A) </w:t>
      </w:r>
      <w:proofErr w:type="gramStart"/>
      <w:r>
        <w:t>should be treated</w:t>
      </w:r>
      <w:proofErr w:type="gramEnd"/>
      <w:r>
        <w:t xml:space="preserve"> with a reduced dose of OFEV (</w:t>
      </w:r>
      <w:r w:rsidRPr="009A1C57">
        <w:t xml:space="preserve">see </w:t>
      </w:r>
      <w:r w:rsidR="00FC068A">
        <w:rPr>
          <w:lang w:val="en-US"/>
        </w:rPr>
        <w:t>Sections 4.2 Dose and Method of Administration and 5.2 Pharmacokinetic Properties</w:t>
      </w:r>
      <w:r w:rsidR="00216867">
        <w:t>).</w:t>
      </w:r>
    </w:p>
    <w:p w14:paraId="23761EE2" w14:textId="218B6850" w:rsidR="00A64B76" w:rsidRDefault="00975BC3" w:rsidP="00BE189E">
      <w:pPr>
        <w:pStyle w:val="TextPI"/>
      </w:pPr>
      <w:r>
        <w:t xml:space="preserve">In the post-marketing period, non-serious and serious cases of drug-induced liver injury, including severe liver injury with fatal outcome, have been reported. </w:t>
      </w:r>
      <w:r w:rsidR="00A64B76">
        <w:t xml:space="preserve">Administration of </w:t>
      </w:r>
      <w:proofErr w:type="spellStart"/>
      <w:r w:rsidR="00A64B76">
        <w:t>nintedanib</w:t>
      </w:r>
      <w:proofErr w:type="spellEnd"/>
      <w:r w:rsidR="00A64B76">
        <w:t xml:space="preserve"> was associated with elevations of liver enzymes (ALT, AST, ALP, gamma-glutamyl-</w:t>
      </w:r>
      <w:r w:rsidR="00A64B76">
        <w:lastRenderedPageBreak/>
        <w:t xml:space="preserve">transferase (GGT)) and bilirubin. </w:t>
      </w:r>
      <w:r w:rsidR="00856DBE">
        <w:t xml:space="preserve">In the INPULSIS trials, liver enzyme elevations were reported in 13.6% versus 2.6% of </w:t>
      </w:r>
      <w:proofErr w:type="spellStart"/>
      <w:r w:rsidR="00856DBE">
        <w:t>nintedanib</w:t>
      </w:r>
      <w:proofErr w:type="spellEnd"/>
      <w:r w:rsidR="00856DBE">
        <w:t xml:space="preserve"> patients treated with OFEV and placebo, respectively. In the SENSCIS trial, liver enzyme elevations were reported in 13.2% versus 3.1% of patients treated with OFEV and placebo, respectively. Elevations of liver enzymes were reversible and not associated with clinically manifest liver disease. </w:t>
      </w:r>
      <w:r>
        <w:t>The majority of hepatic events occur within the first three months of treatment. Therefore, h</w:t>
      </w:r>
      <w:r w:rsidR="00A64B76">
        <w:t>epatic transaminase and bilirubin levels should be investigated before the initiation of treatment with OFEV</w:t>
      </w:r>
      <w:r>
        <w:t>, at regular intervals during the first three months of treatment</w:t>
      </w:r>
      <w:r w:rsidR="00A64B76">
        <w:t xml:space="preserve"> and periodically thereafter (e.g. at each patient vis</w:t>
      </w:r>
      <w:r w:rsidR="00216867">
        <w:t>it) or as clinically indicated.</w:t>
      </w:r>
    </w:p>
    <w:p w14:paraId="565F8D6E" w14:textId="0F8842A7" w:rsidR="00A64B76" w:rsidRPr="009A1C57" w:rsidRDefault="00287ECB" w:rsidP="00A64B76">
      <w:pPr>
        <w:pStyle w:val="TextPI"/>
      </w:pPr>
      <w:r>
        <w:t>E</w:t>
      </w:r>
      <w:r w:rsidDel="00975BC3">
        <w:t>levations of liver enzymes (ALT, AST, ALP, gamma-glutamyl-transferase (GGT))</w:t>
      </w:r>
      <w:r>
        <w:t xml:space="preserve"> and bilirubin were reversible upon dose reduction or interruption in the majority of cases.</w:t>
      </w:r>
      <w:r w:rsidR="005E67DE">
        <w:t xml:space="preserve"> </w:t>
      </w:r>
      <w:r w:rsidR="00A64B76">
        <w:t xml:space="preserve">If transaminase (AST or ALT) elevations &gt; 3x upper limit of normal (ULN) are measured, dose reduction or interruption of the therapy with OFEV is recommended and the patient should be monitored closely. Once transaminases have returned to baseline values, treatment with OFEV may be re-increased to the full dose (150 mg twice daily) or reintroduced at a reduced dose (100 mg twice daily) which subsequently may be increased to the full dose (see </w:t>
      </w:r>
      <w:r w:rsidR="00FC068A">
        <w:t>Section 4.2 Dose and Method of Administration</w:t>
      </w:r>
      <w:r w:rsidR="00A64B76">
        <w:t>).  If any liver test elevations are associated with clinical signs or symptoms of liver injury, e.g. jaundice, treatment with OFEV should be permanently discontinued.  Alternative causes of the liver enzyme elevations should be investigated.</w:t>
      </w:r>
    </w:p>
    <w:p w14:paraId="766CAA72" w14:textId="77777777" w:rsidR="00975BC3" w:rsidRDefault="00975BC3" w:rsidP="00975BC3">
      <w:pPr>
        <w:pStyle w:val="TextPI"/>
      </w:pPr>
      <w:r>
        <w:t xml:space="preserve">Patients with low body weight (&lt; 65 kg), Asian and female patients have a higher risk of elevations in liver enzymes. </w:t>
      </w:r>
      <w:proofErr w:type="spellStart"/>
      <w:r>
        <w:t>Nintedanib</w:t>
      </w:r>
      <w:proofErr w:type="spellEnd"/>
      <w:r>
        <w:t xml:space="preserve"> exposure increased linearly with patient age, which may also result in a higher risk of developing liver enzyme elevations (see Section 5.2 Pharmacokinetic Properties). Close monitoring is recommended in patients with these risk factors.</w:t>
      </w:r>
    </w:p>
    <w:p w14:paraId="2AC1A608" w14:textId="77777777" w:rsidR="00A64B76" w:rsidRPr="005D33C9" w:rsidRDefault="00A64B76" w:rsidP="005D33C9">
      <w:pPr>
        <w:pStyle w:val="PIheading30"/>
        <w:ind w:left="0" w:right="0" w:firstLine="0"/>
        <w:rPr>
          <w:b/>
          <w:bCs/>
          <w:u w:val="none"/>
        </w:rPr>
      </w:pPr>
      <w:proofErr w:type="spellStart"/>
      <w:r w:rsidRPr="005D33C9">
        <w:rPr>
          <w:b/>
          <w:bCs/>
          <w:u w:val="none"/>
        </w:rPr>
        <w:t>Haemorrhage</w:t>
      </w:r>
      <w:proofErr w:type="spellEnd"/>
    </w:p>
    <w:p w14:paraId="620B380D" w14:textId="77777777" w:rsidR="00A64B76" w:rsidRPr="002C4443" w:rsidRDefault="00A64B76" w:rsidP="00314627">
      <w:pPr>
        <w:pStyle w:val="TextPI"/>
        <w:rPr>
          <w:i/>
          <w:iCs/>
          <w:lang w:val="en-GB" w:eastAsia="de-DE"/>
        </w:rPr>
      </w:pPr>
      <w:r w:rsidRPr="002C4443">
        <w:rPr>
          <w:i/>
          <w:iCs/>
          <w:lang w:val="en-GB" w:eastAsia="de-DE"/>
        </w:rPr>
        <w:t>NSCLC</w:t>
      </w:r>
    </w:p>
    <w:p w14:paraId="63723EEF" w14:textId="428F7679" w:rsidR="00A64B76" w:rsidRDefault="00A64B76" w:rsidP="00314627">
      <w:pPr>
        <w:pStyle w:val="TextPI"/>
        <w:rPr>
          <w:lang w:val="en-GB" w:eastAsia="de-DE"/>
        </w:rPr>
      </w:pPr>
      <w:r w:rsidRPr="000B6A21">
        <w:rPr>
          <w:lang w:val="en-GB" w:eastAsia="de-DE"/>
        </w:rPr>
        <w:t xml:space="preserve">VEGFR inhibition might be associated with an increased risk of bleeding. </w:t>
      </w:r>
      <w:r>
        <w:rPr>
          <w:lang w:val="en-GB" w:eastAsia="de-DE"/>
        </w:rPr>
        <w:t xml:space="preserve"> In the clinical trial </w:t>
      </w:r>
      <w:r w:rsidRPr="000B6A21">
        <w:rPr>
          <w:lang w:val="en-GB" w:eastAsia="de-DE"/>
        </w:rPr>
        <w:t xml:space="preserve">LUME-Lung 1 with </w:t>
      </w:r>
      <w:r>
        <w:rPr>
          <w:bCs/>
          <w:iCs/>
          <w:lang w:val="en-GB" w:eastAsia="de-DE"/>
        </w:rPr>
        <w:t>OFEV</w:t>
      </w:r>
      <w:r w:rsidRPr="000B6A21">
        <w:rPr>
          <w:lang w:val="en-GB" w:eastAsia="de-DE"/>
        </w:rPr>
        <w:t xml:space="preserve">, </w:t>
      </w:r>
      <w:r>
        <w:rPr>
          <w:lang w:val="en-GB" w:eastAsia="de-DE"/>
        </w:rPr>
        <w:t>the</w:t>
      </w:r>
      <w:r w:rsidRPr="000B6A21">
        <w:rPr>
          <w:lang w:val="en-GB" w:eastAsia="de-DE"/>
        </w:rPr>
        <w:t xml:space="preserve"> frequency of bleeding </w:t>
      </w:r>
      <w:r>
        <w:rPr>
          <w:lang w:val="en-GB" w:eastAsia="de-DE"/>
        </w:rPr>
        <w:t>in both treatment arms was comparable.  Mild to moderate epistaxis represented the most frequent bleeding event.  There were no imbalances of respiratory or fatal bleedings and no intracerebral bleeding was reported.</w:t>
      </w:r>
      <w:r w:rsidRPr="00FF4FCE">
        <w:rPr>
          <w:lang w:val="en-GB" w:eastAsia="de-DE"/>
        </w:rPr>
        <w:t xml:space="preserve"> </w:t>
      </w:r>
      <w:r>
        <w:rPr>
          <w:lang w:val="en-GB" w:eastAsia="de-DE"/>
        </w:rPr>
        <w:t xml:space="preserve">The majority of fatal bleeding </w:t>
      </w:r>
      <w:r w:rsidR="00216867">
        <w:rPr>
          <w:lang w:val="en-GB" w:eastAsia="de-DE"/>
        </w:rPr>
        <w:t>events were tumour-associated.</w:t>
      </w:r>
    </w:p>
    <w:p w14:paraId="30E54C76" w14:textId="29D2C571" w:rsidR="00A64B76" w:rsidRPr="00FF4FCE" w:rsidRDefault="00A64B76" w:rsidP="00314627">
      <w:pPr>
        <w:pStyle w:val="TextPI"/>
        <w:rPr>
          <w:lang w:val="en-GB" w:eastAsia="de-DE"/>
        </w:rPr>
      </w:pPr>
      <w:r w:rsidRPr="00B871F5">
        <w:rPr>
          <w:lang w:val="en-GB" w:eastAsia="de-DE"/>
        </w:rPr>
        <w:t>In the post-marketing period non-serious and serious bleeding events, some of which were</w:t>
      </w:r>
      <w:r>
        <w:rPr>
          <w:lang w:val="en-GB" w:eastAsia="de-DE"/>
        </w:rPr>
        <w:t xml:space="preserve"> </w:t>
      </w:r>
      <w:r w:rsidRPr="00B871F5">
        <w:rPr>
          <w:lang w:val="en-GB" w:eastAsia="de-DE"/>
        </w:rPr>
        <w:t>fatal, have been observed. In patients who experience grade 3/4 bleeding events, the benefits</w:t>
      </w:r>
      <w:r>
        <w:rPr>
          <w:lang w:val="en-GB" w:eastAsia="de-DE"/>
        </w:rPr>
        <w:t xml:space="preserve"> </w:t>
      </w:r>
      <w:r w:rsidRPr="00B871F5">
        <w:rPr>
          <w:lang w:val="en-GB" w:eastAsia="de-DE"/>
        </w:rPr>
        <w:t xml:space="preserve">and risks of continuing treatment with </w:t>
      </w:r>
      <w:r>
        <w:rPr>
          <w:lang w:val="en-GB" w:eastAsia="de-DE"/>
        </w:rPr>
        <w:t>OFEV</w:t>
      </w:r>
      <w:r w:rsidRPr="00B871F5">
        <w:rPr>
          <w:lang w:val="en-GB" w:eastAsia="de-DE"/>
        </w:rPr>
        <w:t xml:space="preserve"> should be carefully weighed and</w:t>
      </w:r>
      <w:r>
        <w:rPr>
          <w:lang w:val="en-GB" w:eastAsia="de-DE"/>
        </w:rPr>
        <w:t xml:space="preserve"> </w:t>
      </w:r>
      <w:r w:rsidRPr="00B871F5">
        <w:rPr>
          <w:lang w:val="en-GB" w:eastAsia="de-DE"/>
        </w:rPr>
        <w:t xml:space="preserve">discontinuation of </w:t>
      </w:r>
      <w:r>
        <w:rPr>
          <w:lang w:val="en-GB" w:eastAsia="de-DE"/>
        </w:rPr>
        <w:t>OFEV</w:t>
      </w:r>
      <w:r w:rsidRPr="00B871F5">
        <w:rPr>
          <w:lang w:val="en-GB" w:eastAsia="de-DE"/>
        </w:rPr>
        <w:t xml:space="preserve"> may be considered. If treatment with </w:t>
      </w:r>
      <w:r>
        <w:rPr>
          <w:lang w:val="en-GB" w:eastAsia="de-DE"/>
        </w:rPr>
        <w:t>OFEV</w:t>
      </w:r>
      <w:r w:rsidRPr="00B871F5">
        <w:rPr>
          <w:lang w:val="en-GB" w:eastAsia="de-DE"/>
        </w:rPr>
        <w:t xml:space="preserve"> is resumed, a</w:t>
      </w:r>
      <w:r>
        <w:rPr>
          <w:lang w:val="en-GB" w:eastAsia="de-DE"/>
        </w:rPr>
        <w:t xml:space="preserve"> </w:t>
      </w:r>
      <w:r w:rsidRPr="00B871F5">
        <w:rPr>
          <w:lang w:val="en-GB" w:eastAsia="de-DE"/>
        </w:rPr>
        <w:t xml:space="preserve">reduced daily dose is recommended (see </w:t>
      </w:r>
      <w:r w:rsidR="009F5F46">
        <w:rPr>
          <w:lang w:val="en-GB" w:eastAsia="de-DE"/>
        </w:rPr>
        <w:t>Section 4.2 Dose and Method of Administration, Table 1</w:t>
      </w:r>
      <w:r w:rsidRPr="00B871F5">
        <w:rPr>
          <w:lang w:val="en-GB" w:eastAsia="de-DE"/>
        </w:rPr>
        <w:t>).</w:t>
      </w:r>
    </w:p>
    <w:p w14:paraId="67B32B73" w14:textId="77777777" w:rsidR="00A64B76" w:rsidRPr="000B6A21" w:rsidRDefault="00A64B76" w:rsidP="00314627">
      <w:pPr>
        <w:pStyle w:val="TextPI"/>
        <w:rPr>
          <w:lang w:val="en-GB" w:eastAsia="de-DE"/>
        </w:rPr>
      </w:pPr>
      <w:r w:rsidRPr="000B6A21">
        <w:rPr>
          <w:lang w:val="en-GB" w:eastAsia="de-DE"/>
        </w:rPr>
        <w:t>Patients with recent pulmonary bleed</w:t>
      </w:r>
      <w:r>
        <w:rPr>
          <w:lang w:val="en-GB" w:eastAsia="de-DE"/>
        </w:rPr>
        <w:t>ing (&gt; 2.5 mL</w:t>
      </w:r>
      <w:r w:rsidRPr="000B6A21">
        <w:rPr>
          <w:lang w:val="en-GB" w:eastAsia="de-DE"/>
        </w:rPr>
        <w:t xml:space="preserve"> of red blood) as well as patients with centrally located tumours with radiographic evidence of local invasion of major blood vessels or radiographic evidence of cavitary or necrotic tumours have been excluded from clinical trials. </w:t>
      </w:r>
      <w:r>
        <w:rPr>
          <w:lang w:val="en-GB" w:eastAsia="de-DE"/>
        </w:rPr>
        <w:t xml:space="preserve"> </w:t>
      </w:r>
      <w:r w:rsidRPr="000B6A21">
        <w:rPr>
          <w:lang w:val="en-GB" w:eastAsia="de-DE"/>
        </w:rPr>
        <w:t>Therefore</w:t>
      </w:r>
      <w:r>
        <w:rPr>
          <w:lang w:val="en-GB" w:eastAsia="de-DE"/>
        </w:rPr>
        <w:t>,</w:t>
      </w:r>
      <w:r w:rsidRPr="000B6A21">
        <w:rPr>
          <w:lang w:val="en-GB" w:eastAsia="de-DE"/>
        </w:rPr>
        <w:t xml:space="preserve"> it is not recommended to treat these patients with </w:t>
      </w:r>
      <w:r>
        <w:rPr>
          <w:bCs/>
          <w:iCs/>
          <w:lang w:val="en-GB" w:eastAsia="de-DE"/>
        </w:rPr>
        <w:t>OFEV</w:t>
      </w:r>
      <w:r w:rsidRPr="000B6A21">
        <w:rPr>
          <w:lang w:val="en-GB" w:eastAsia="de-DE"/>
        </w:rPr>
        <w:t>.</w:t>
      </w:r>
    </w:p>
    <w:p w14:paraId="5F96B9C9" w14:textId="77777777" w:rsidR="00A64B76" w:rsidRPr="008753B0" w:rsidRDefault="00A64B76" w:rsidP="006E6D0A">
      <w:pPr>
        <w:pStyle w:val="TextPI"/>
        <w:keepNext/>
        <w:rPr>
          <w:u w:val="single"/>
          <w:lang w:val="en-GB" w:eastAsia="de-DE"/>
        </w:rPr>
      </w:pPr>
      <w:r w:rsidRPr="008753B0">
        <w:rPr>
          <w:u w:val="single"/>
          <w:lang w:val="en-GB" w:eastAsia="de-DE"/>
        </w:rPr>
        <w:t>Brain metastasis</w:t>
      </w:r>
    </w:p>
    <w:p w14:paraId="34623A26" w14:textId="77777777" w:rsidR="00A64B76" w:rsidRPr="000B6A21" w:rsidRDefault="00A64B76" w:rsidP="00A64B76">
      <w:pPr>
        <w:pStyle w:val="TextPI"/>
        <w:rPr>
          <w:lang w:val="en-GB" w:eastAsia="de-DE"/>
        </w:rPr>
      </w:pPr>
      <w:r w:rsidRPr="000B6A21">
        <w:rPr>
          <w:i/>
          <w:lang w:val="en-GB" w:eastAsia="de-DE"/>
        </w:rPr>
        <w:t>Stable brain metastasis</w:t>
      </w:r>
      <w:r>
        <w:rPr>
          <w:i/>
          <w:lang w:val="en-GB" w:eastAsia="de-DE"/>
        </w:rPr>
        <w:t xml:space="preserve">: </w:t>
      </w:r>
      <w:r w:rsidRPr="000B6A21">
        <w:rPr>
          <w:lang w:val="en-GB" w:eastAsia="de-DE"/>
        </w:rPr>
        <w:t xml:space="preserve">No increased frequency of cerebral bleeding in patients with adequately pre-treated brain metastases which were stable for ≥ 4 weeks before start of treatment with </w:t>
      </w:r>
      <w:r>
        <w:rPr>
          <w:bCs/>
          <w:iCs/>
          <w:lang w:val="en-GB" w:eastAsia="de-DE"/>
        </w:rPr>
        <w:t>OFEV</w:t>
      </w:r>
      <w:r w:rsidRPr="000B6A21">
        <w:rPr>
          <w:b/>
          <w:i/>
          <w:iCs/>
          <w:vertAlign w:val="superscript"/>
          <w:lang w:val="en-GB" w:eastAsia="de-DE"/>
        </w:rPr>
        <w:t xml:space="preserve"> </w:t>
      </w:r>
      <w:r w:rsidRPr="000B6A21">
        <w:rPr>
          <w:lang w:val="en-GB" w:eastAsia="de-DE"/>
        </w:rPr>
        <w:t xml:space="preserve">was observed. </w:t>
      </w:r>
      <w:r>
        <w:rPr>
          <w:lang w:val="en-GB" w:eastAsia="de-DE"/>
        </w:rPr>
        <w:t xml:space="preserve"> </w:t>
      </w:r>
      <w:r w:rsidRPr="000B6A21">
        <w:rPr>
          <w:lang w:val="en-GB" w:eastAsia="de-DE"/>
        </w:rPr>
        <w:t>However, such patients should be closely monitored for signs and s</w:t>
      </w:r>
      <w:r>
        <w:rPr>
          <w:lang w:val="en-GB" w:eastAsia="de-DE"/>
        </w:rPr>
        <w:t>ymptoms of cerebral bleeding.</w:t>
      </w:r>
    </w:p>
    <w:p w14:paraId="375D8D63" w14:textId="77777777" w:rsidR="00A64B76" w:rsidRPr="000B6A21" w:rsidRDefault="00A64B76" w:rsidP="00A64B76">
      <w:pPr>
        <w:pStyle w:val="TextPI"/>
        <w:rPr>
          <w:lang w:val="en-GB" w:eastAsia="de-DE"/>
        </w:rPr>
      </w:pPr>
      <w:r w:rsidRPr="000B6A21">
        <w:rPr>
          <w:i/>
          <w:lang w:val="en-GB" w:eastAsia="de-DE"/>
        </w:rPr>
        <w:t>Active brain metastasis</w:t>
      </w:r>
      <w:r>
        <w:rPr>
          <w:i/>
          <w:lang w:val="en-GB" w:eastAsia="de-DE"/>
        </w:rPr>
        <w:t xml:space="preserve">: </w:t>
      </w:r>
      <w:r w:rsidRPr="000B6A21">
        <w:rPr>
          <w:lang w:val="en-GB" w:eastAsia="de-DE"/>
        </w:rPr>
        <w:t xml:space="preserve">Patients with active brain metastasis were excluded from clinical trials and are not recommended for treatment with </w:t>
      </w:r>
      <w:r>
        <w:rPr>
          <w:bCs/>
          <w:iCs/>
          <w:lang w:val="en-GB" w:eastAsia="de-DE"/>
        </w:rPr>
        <w:t>OFEV</w:t>
      </w:r>
      <w:r w:rsidRPr="000B6A21">
        <w:rPr>
          <w:lang w:val="en-GB" w:eastAsia="de-DE"/>
        </w:rPr>
        <w:t>.</w:t>
      </w:r>
    </w:p>
    <w:p w14:paraId="1B05D0AE" w14:textId="77777777" w:rsidR="00A64B76" w:rsidRPr="008753B0" w:rsidRDefault="00A64B76" w:rsidP="008753B0">
      <w:pPr>
        <w:pStyle w:val="TextPI"/>
        <w:rPr>
          <w:u w:val="single"/>
          <w:lang w:val="en-GB"/>
        </w:rPr>
      </w:pPr>
      <w:r w:rsidRPr="008753B0">
        <w:rPr>
          <w:u w:val="single"/>
          <w:lang w:val="en-GB" w:eastAsia="de-DE"/>
        </w:rPr>
        <w:lastRenderedPageBreak/>
        <w:t>Therapeutic anticoagulation</w:t>
      </w:r>
    </w:p>
    <w:p w14:paraId="49236227" w14:textId="77777777" w:rsidR="00A64B76" w:rsidRDefault="00A64B76" w:rsidP="00A64B76">
      <w:pPr>
        <w:pStyle w:val="TextPI"/>
        <w:rPr>
          <w:lang w:val="en-GB"/>
        </w:rPr>
      </w:pPr>
      <w:r w:rsidRPr="00EC11C2">
        <w:rPr>
          <w:lang w:val="en-GB" w:eastAsia="de-DE"/>
        </w:rPr>
        <w:t xml:space="preserve">There are no data available for patients with inherited predisposition to bleeding </w:t>
      </w:r>
      <w:r w:rsidRPr="00EC11C2">
        <w:rPr>
          <w:lang w:val="en-GB"/>
        </w:rPr>
        <w:t xml:space="preserve">or for patients receiving a full dose of anticoagulative treatment prior to start of treatment with </w:t>
      </w:r>
      <w:r>
        <w:rPr>
          <w:bCs/>
          <w:iCs/>
          <w:lang w:val="en-GB"/>
        </w:rPr>
        <w:t>OFEV</w:t>
      </w:r>
      <w:r w:rsidRPr="00EC11C2">
        <w:rPr>
          <w:lang w:val="en-GB"/>
        </w:rPr>
        <w:t>.</w:t>
      </w:r>
      <w:r>
        <w:rPr>
          <w:lang w:val="en-GB"/>
        </w:rPr>
        <w:t xml:space="preserve"> </w:t>
      </w:r>
      <w:r w:rsidRPr="00EC11C2">
        <w:rPr>
          <w:lang w:val="en-GB"/>
        </w:rPr>
        <w:t xml:space="preserve"> In patients on </w:t>
      </w:r>
      <w:r w:rsidRPr="00EC11C2">
        <w:rPr>
          <w:rFonts w:eastAsia="MS Mincho"/>
          <w:iCs/>
          <w:lang w:val="en-GB" w:eastAsia="ja-JP"/>
        </w:rPr>
        <w:t xml:space="preserve">chronic low dose therapy with low molecular weight heparins or acetylsalicylic acid, </w:t>
      </w:r>
      <w:r w:rsidRPr="00EC11C2">
        <w:rPr>
          <w:lang w:val="en-GB"/>
        </w:rPr>
        <w:t>no increased frequency of bleeding was observed</w:t>
      </w:r>
      <w:r w:rsidRPr="00EC11C2">
        <w:rPr>
          <w:rFonts w:eastAsia="MS Mincho"/>
          <w:iCs/>
          <w:lang w:val="en-GB" w:eastAsia="ja-JP"/>
        </w:rPr>
        <w:t>.</w:t>
      </w:r>
      <w:r>
        <w:rPr>
          <w:rFonts w:eastAsia="MS Mincho"/>
          <w:iCs/>
          <w:lang w:val="en-GB" w:eastAsia="ja-JP"/>
        </w:rPr>
        <w:t xml:space="preserve"> </w:t>
      </w:r>
      <w:r w:rsidRPr="00EC11C2">
        <w:rPr>
          <w:rFonts w:eastAsia="MS Mincho"/>
          <w:iCs/>
          <w:lang w:val="en-GB" w:eastAsia="ja-JP"/>
        </w:rPr>
        <w:t xml:space="preserve"> Patients who developed thromboembolic events during treatment and who required anticoagulant treatment </w:t>
      </w:r>
      <w:proofErr w:type="gramStart"/>
      <w:r w:rsidRPr="00EC11C2">
        <w:rPr>
          <w:rFonts w:eastAsia="MS Mincho"/>
          <w:iCs/>
          <w:lang w:val="en-GB" w:eastAsia="ja-JP"/>
        </w:rPr>
        <w:t>were allowed</w:t>
      </w:r>
      <w:proofErr w:type="gramEnd"/>
      <w:r w:rsidRPr="00EC11C2">
        <w:rPr>
          <w:rFonts w:eastAsia="MS Mincho"/>
          <w:iCs/>
          <w:lang w:val="en-GB" w:eastAsia="ja-JP"/>
        </w:rPr>
        <w:t xml:space="preserve"> to continue </w:t>
      </w:r>
      <w:r>
        <w:rPr>
          <w:rFonts w:eastAsia="MS Mincho"/>
          <w:bCs/>
          <w:iCs/>
          <w:lang w:val="en-GB" w:eastAsia="ja-JP"/>
        </w:rPr>
        <w:t>OFEV</w:t>
      </w:r>
      <w:r w:rsidRPr="00EC11C2">
        <w:rPr>
          <w:rFonts w:eastAsia="MS Mincho"/>
          <w:b/>
          <w:i/>
          <w:iCs/>
          <w:vertAlign w:val="superscript"/>
          <w:lang w:val="en-GB" w:eastAsia="ja-JP"/>
        </w:rPr>
        <w:t xml:space="preserve"> </w:t>
      </w:r>
      <w:r w:rsidRPr="00EC11C2">
        <w:rPr>
          <w:rFonts w:eastAsia="MS Mincho"/>
          <w:iCs/>
          <w:lang w:val="en-GB" w:eastAsia="ja-JP"/>
        </w:rPr>
        <w:t>and did not show an</w:t>
      </w:r>
      <w:r w:rsidRPr="00EC11C2">
        <w:rPr>
          <w:lang w:val="en-GB"/>
        </w:rPr>
        <w:t xml:space="preserve"> increased frequency of bleeding events. </w:t>
      </w:r>
      <w:r>
        <w:rPr>
          <w:lang w:val="en-GB"/>
        </w:rPr>
        <w:t xml:space="preserve"> </w:t>
      </w:r>
      <w:r w:rsidRPr="00EC11C2">
        <w:rPr>
          <w:lang w:val="en-GB"/>
        </w:rPr>
        <w:t>Patients taking concomitant anticoagulation, such as warfarin should be monitored regularly for changes in prothrombin time, INR, or clinical bleeding episodes.</w:t>
      </w:r>
    </w:p>
    <w:p w14:paraId="6D793BD2" w14:textId="35A24A8F" w:rsidR="00A64B76" w:rsidRPr="002C4443" w:rsidRDefault="00A64B76" w:rsidP="00A64B76">
      <w:pPr>
        <w:pStyle w:val="TextPI"/>
        <w:rPr>
          <w:i/>
          <w:iCs/>
          <w:lang w:val="en-GB"/>
        </w:rPr>
      </w:pPr>
      <w:r w:rsidRPr="002C4443">
        <w:rPr>
          <w:i/>
          <w:iCs/>
          <w:lang w:val="en-GB"/>
        </w:rPr>
        <w:t>IPF</w:t>
      </w:r>
      <w:r w:rsidR="00076A24">
        <w:rPr>
          <w:i/>
          <w:iCs/>
          <w:lang w:val="en-GB"/>
        </w:rPr>
        <w:t xml:space="preserve">, </w:t>
      </w:r>
      <w:r w:rsidR="00076A24" w:rsidRPr="00F072C2">
        <w:rPr>
          <w:i/>
          <w:iCs/>
          <w:lang w:val="en-GB"/>
        </w:rPr>
        <w:t>other chronic fibrosing ILDs with a progressive phenotype</w:t>
      </w:r>
      <w:r w:rsidR="00076A24">
        <w:rPr>
          <w:i/>
          <w:iCs/>
          <w:lang w:val="en-GB"/>
        </w:rPr>
        <w:t>,</w:t>
      </w:r>
      <w:r w:rsidR="00C81E7D">
        <w:rPr>
          <w:i/>
          <w:iCs/>
          <w:lang w:val="en-GB"/>
        </w:rPr>
        <w:t xml:space="preserve"> and </w:t>
      </w:r>
      <w:proofErr w:type="spellStart"/>
      <w:r w:rsidR="00C81E7D">
        <w:rPr>
          <w:i/>
          <w:iCs/>
          <w:lang w:val="en-GB"/>
        </w:rPr>
        <w:t>SSc</w:t>
      </w:r>
      <w:proofErr w:type="spellEnd"/>
      <w:r w:rsidR="00C81E7D">
        <w:rPr>
          <w:i/>
          <w:iCs/>
          <w:lang w:val="en-GB"/>
        </w:rPr>
        <w:t>-ILD</w:t>
      </w:r>
    </w:p>
    <w:p w14:paraId="66A57F62" w14:textId="77777777" w:rsidR="00FA1E78" w:rsidRDefault="00A64B76" w:rsidP="00A64B76">
      <w:pPr>
        <w:pStyle w:val="TextPI"/>
        <w:rPr>
          <w:color w:val="000000" w:themeColor="text1"/>
          <w:lang w:val="en-GB"/>
        </w:rPr>
      </w:pPr>
      <w:r w:rsidRPr="00437D17">
        <w:rPr>
          <w:color w:val="000000" w:themeColor="text1"/>
          <w:lang w:val="en-GB"/>
        </w:rPr>
        <w:t xml:space="preserve">VEGFR inhibition might be associated with an increased risk of bleeding. </w:t>
      </w:r>
    </w:p>
    <w:p w14:paraId="5EF8D655" w14:textId="7CB2FD56" w:rsidR="00A64B76" w:rsidRPr="00437D17" w:rsidRDefault="00A64B76" w:rsidP="00A64B76">
      <w:pPr>
        <w:pStyle w:val="TextPI"/>
        <w:rPr>
          <w:color w:val="000000" w:themeColor="text1"/>
          <w:lang w:val="en-GB"/>
        </w:rPr>
      </w:pPr>
      <w:r w:rsidRPr="00437D17">
        <w:rPr>
          <w:color w:val="000000" w:themeColor="text1"/>
          <w:lang w:val="en-GB"/>
        </w:rPr>
        <w:t xml:space="preserve">In the </w:t>
      </w:r>
      <w:r w:rsidR="00FA1E78">
        <w:rPr>
          <w:color w:val="000000" w:themeColor="text1"/>
          <w:lang w:val="en-GB"/>
        </w:rPr>
        <w:t>clinical</w:t>
      </w:r>
      <w:r w:rsidR="00FA1E78" w:rsidRPr="00437D17">
        <w:rPr>
          <w:color w:val="000000" w:themeColor="text1"/>
          <w:lang w:val="en-GB"/>
        </w:rPr>
        <w:t xml:space="preserve"> </w:t>
      </w:r>
      <w:r w:rsidRPr="00437D17">
        <w:rPr>
          <w:color w:val="000000" w:themeColor="text1"/>
          <w:lang w:val="en-GB"/>
        </w:rPr>
        <w:t xml:space="preserve">trials with </w:t>
      </w:r>
      <w:r>
        <w:rPr>
          <w:color w:val="000000" w:themeColor="text1"/>
          <w:lang w:val="en-GB"/>
        </w:rPr>
        <w:t>OFEV</w:t>
      </w:r>
      <w:r w:rsidRPr="00437D17">
        <w:rPr>
          <w:color w:val="000000" w:themeColor="text1"/>
          <w:lang w:val="en-GB"/>
        </w:rPr>
        <w:t>,</w:t>
      </w:r>
      <w:r>
        <w:rPr>
          <w:color w:val="000000" w:themeColor="text1"/>
          <w:lang w:val="en-GB"/>
        </w:rPr>
        <w:t xml:space="preserve"> the frequency of patients who experienced bleeding adverse events was slightly higher in </w:t>
      </w:r>
      <w:r w:rsidR="00252901">
        <w:rPr>
          <w:color w:val="000000" w:themeColor="text1"/>
          <w:lang w:val="en-GB"/>
        </w:rPr>
        <w:t>patients treated with</w:t>
      </w:r>
      <w:r w:rsidR="00E01BD9">
        <w:rPr>
          <w:color w:val="000000" w:themeColor="text1"/>
          <w:lang w:val="en-GB"/>
        </w:rPr>
        <w:t xml:space="preserve"> </w:t>
      </w:r>
      <w:r>
        <w:rPr>
          <w:color w:val="000000" w:themeColor="text1"/>
          <w:lang w:val="en-GB"/>
        </w:rPr>
        <w:t xml:space="preserve">OFEV </w:t>
      </w:r>
      <w:r w:rsidR="00252901">
        <w:rPr>
          <w:color w:val="000000" w:themeColor="text1"/>
          <w:lang w:val="en-GB"/>
        </w:rPr>
        <w:t xml:space="preserve">or comparable between the treatment </w:t>
      </w:r>
      <w:r>
        <w:rPr>
          <w:color w:val="000000" w:themeColor="text1"/>
          <w:lang w:val="en-GB"/>
        </w:rPr>
        <w:t>arm</w:t>
      </w:r>
      <w:r w:rsidR="00252901">
        <w:rPr>
          <w:color w:val="000000" w:themeColor="text1"/>
          <w:lang w:val="en-GB"/>
        </w:rPr>
        <w:t>s</w:t>
      </w:r>
      <w:r>
        <w:rPr>
          <w:color w:val="000000" w:themeColor="text1"/>
          <w:lang w:val="en-GB"/>
        </w:rPr>
        <w:t xml:space="preserve"> (</w:t>
      </w:r>
      <w:r w:rsidR="00252901">
        <w:rPr>
          <w:color w:val="000000" w:themeColor="text1"/>
          <w:lang w:val="en-GB"/>
        </w:rPr>
        <w:t xml:space="preserve">OFEV </w:t>
      </w:r>
      <w:r>
        <w:rPr>
          <w:color w:val="000000" w:themeColor="text1"/>
          <w:lang w:val="en-GB"/>
        </w:rPr>
        <w:t>10.3%</w:t>
      </w:r>
      <w:r w:rsidR="00252901">
        <w:rPr>
          <w:color w:val="000000" w:themeColor="text1"/>
          <w:lang w:val="en-GB"/>
        </w:rPr>
        <w:t xml:space="preserve"> versus placebo 7.8%</w:t>
      </w:r>
      <w:r w:rsidR="00FA1E78">
        <w:rPr>
          <w:color w:val="000000" w:themeColor="text1"/>
          <w:lang w:val="en-GB"/>
        </w:rPr>
        <w:t xml:space="preserve"> for INPULSIS; </w:t>
      </w:r>
      <w:r w:rsidR="00252901">
        <w:rPr>
          <w:color w:val="000000" w:themeColor="text1"/>
          <w:lang w:val="en-GB"/>
        </w:rPr>
        <w:t xml:space="preserve">OFEV </w:t>
      </w:r>
      <w:r w:rsidR="00FA1E78">
        <w:rPr>
          <w:color w:val="000000" w:themeColor="text1"/>
          <w:lang w:val="en-GB"/>
        </w:rPr>
        <w:t xml:space="preserve">11.1% </w:t>
      </w:r>
      <w:r w:rsidR="00252901">
        <w:rPr>
          <w:color w:val="000000" w:themeColor="text1"/>
          <w:lang w:val="en-GB"/>
        </w:rPr>
        <w:t xml:space="preserve">versus placebo 12.7% for INBUILD; OFEV 11.1% versus placebo 8.3% </w:t>
      </w:r>
      <w:r w:rsidR="00FA1E78">
        <w:rPr>
          <w:color w:val="000000" w:themeColor="text1"/>
          <w:lang w:val="en-GB"/>
        </w:rPr>
        <w:t>for SENSCIS</w:t>
      </w:r>
      <w:r>
        <w:rPr>
          <w:color w:val="000000" w:themeColor="text1"/>
          <w:lang w:val="en-GB"/>
        </w:rPr>
        <w:t>)</w:t>
      </w:r>
      <w:r w:rsidRPr="00437D17">
        <w:rPr>
          <w:color w:val="000000" w:themeColor="text1"/>
          <w:lang w:val="en-GB"/>
        </w:rPr>
        <w:t>.</w:t>
      </w:r>
      <w:r>
        <w:rPr>
          <w:color w:val="000000" w:themeColor="text1"/>
          <w:lang w:val="en-GB"/>
        </w:rPr>
        <w:t xml:space="preserve">  Non-serious epistaxis was the most frequent bleeding event</w:t>
      </w:r>
      <w:r w:rsidR="00FA1E78">
        <w:rPr>
          <w:color w:val="000000" w:themeColor="text1"/>
          <w:lang w:val="en-GB"/>
        </w:rPr>
        <w:t xml:space="preserve"> reported</w:t>
      </w:r>
      <w:r>
        <w:rPr>
          <w:color w:val="000000" w:themeColor="text1"/>
          <w:lang w:val="en-GB"/>
        </w:rPr>
        <w:t xml:space="preserve">.  </w:t>
      </w:r>
      <w:r w:rsidR="00252901">
        <w:rPr>
          <w:color w:val="000000" w:themeColor="text1"/>
          <w:lang w:val="en-GB"/>
        </w:rPr>
        <w:t>S</w:t>
      </w:r>
      <w:r>
        <w:rPr>
          <w:color w:val="000000" w:themeColor="text1"/>
          <w:lang w:val="en-GB"/>
        </w:rPr>
        <w:t>erious bleeding events occurred with low frequencies in the 2 treatment groups (</w:t>
      </w:r>
      <w:r w:rsidR="00252901">
        <w:rPr>
          <w:color w:val="000000" w:themeColor="text1"/>
          <w:lang w:val="en-GB"/>
        </w:rPr>
        <w:t xml:space="preserve">OFEV 1.3% versus </w:t>
      </w:r>
      <w:r>
        <w:rPr>
          <w:color w:val="000000" w:themeColor="text1"/>
          <w:lang w:val="en-GB"/>
        </w:rPr>
        <w:t>placebo 1.4%</w:t>
      </w:r>
      <w:r w:rsidR="00252901">
        <w:rPr>
          <w:color w:val="000000" w:themeColor="text1"/>
          <w:lang w:val="en-GB"/>
        </w:rPr>
        <w:t xml:space="preserve"> for INPULSIS</w:t>
      </w:r>
      <w:r>
        <w:rPr>
          <w:color w:val="000000" w:themeColor="text1"/>
          <w:lang w:val="en-GB"/>
        </w:rPr>
        <w:t>; OFEV</w:t>
      </w:r>
      <w:r w:rsidR="00252901">
        <w:rPr>
          <w:color w:val="000000" w:themeColor="text1"/>
          <w:lang w:val="en-GB"/>
        </w:rPr>
        <w:t xml:space="preserve"> 0.9% versus placebo 1.5% for INBUILD; OFEV 1.4% versus placebo 0.7% for SENSCIS</w:t>
      </w:r>
      <w:r>
        <w:rPr>
          <w:color w:val="000000" w:themeColor="text1"/>
          <w:lang w:val="en-GB"/>
        </w:rPr>
        <w:t>).</w:t>
      </w:r>
    </w:p>
    <w:p w14:paraId="0B435C10" w14:textId="4B514AB0" w:rsidR="00A64B76" w:rsidRDefault="00A64B76" w:rsidP="00A64B76">
      <w:pPr>
        <w:pStyle w:val="TextPI"/>
        <w:rPr>
          <w:color w:val="000000" w:themeColor="text1"/>
          <w:lang w:val="en-GB"/>
        </w:rPr>
      </w:pPr>
      <w:r w:rsidRPr="00437D17">
        <w:rPr>
          <w:color w:val="000000" w:themeColor="text1"/>
          <w:lang w:val="en-GB"/>
        </w:rPr>
        <w:t xml:space="preserve">Patients at known risk for bleeding including patients with inherited predisposition to bleeding or patients receiving a full dose of anticoagulative treatment were not included in </w:t>
      </w:r>
      <w:r w:rsidR="00E40CE9">
        <w:rPr>
          <w:color w:val="000000" w:themeColor="text1"/>
          <w:lang w:val="en-GB"/>
        </w:rPr>
        <w:t>clinical trials</w:t>
      </w:r>
      <w:r w:rsidRPr="00437D17">
        <w:rPr>
          <w:color w:val="000000" w:themeColor="text1"/>
          <w:lang w:val="en-GB"/>
        </w:rPr>
        <w:t xml:space="preserve">. </w:t>
      </w:r>
      <w:r>
        <w:rPr>
          <w:color w:val="000000" w:themeColor="text1"/>
          <w:lang w:val="en-GB"/>
        </w:rPr>
        <w:t xml:space="preserve">Cases of haemorrhage have been reported in </w:t>
      </w:r>
      <w:proofErr w:type="spellStart"/>
      <w:r>
        <w:rPr>
          <w:color w:val="000000" w:themeColor="text1"/>
          <w:lang w:val="en-GB"/>
        </w:rPr>
        <w:t>postmarketing</w:t>
      </w:r>
      <w:proofErr w:type="spellEnd"/>
      <w:r>
        <w:rPr>
          <w:color w:val="000000" w:themeColor="text1"/>
          <w:lang w:val="en-GB"/>
        </w:rPr>
        <w:t xml:space="preserve"> period (including patients with or without anticoagulant therapy or other drugs that could cause bleeding). </w:t>
      </w:r>
      <w:proofErr w:type="gramStart"/>
      <w:r w:rsidRPr="00437D17">
        <w:rPr>
          <w:color w:val="000000" w:themeColor="text1"/>
          <w:lang w:val="en-GB"/>
        </w:rPr>
        <w:t>Therefore</w:t>
      </w:r>
      <w:proofErr w:type="gramEnd"/>
      <w:r w:rsidRPr="00437D17">
        <w:rPr>
          <w:color w:val="000000" w:themeColor="text1"/>
          <w:lang w:val="en-GB"/>
        </w:rPr>
        <w:t xml:space="preserve"> these patients should only be treated with </w:t>
      </w:r>
      <w:r>
        <w:rPr>
          <w:color w:val="000000" w:themeColor="text1"/>
          <w:lang w:val="en-GB"/>
        </w:rPr>
        <w:t>OFEV</w:t>
      </w:r>
      <w:r w:rsidRPr="00437D17">
        <w:rPr>
          <w:color w:val="000000" w:themeColor="text1"/>
          <w:lang w:val="en-GB"/>
        </w:rPr>
        <w:t xml:space="preserve"> if the anticipated benefit outweighs the potential risk. </w:t>
      </w:r>
      <w:r w:rsidRPr="00651811">
        <w:rPr>
          <w:color w:val="000000" w:themeColor="text1"/>
          <w:lang w:val="en-GB"/>
        </w:rPr>
        <w:t>In the post-marketing period non-serious and</w:t>
      </w:r>
      <w:r>
        <w:rPr>
          <w:color w:val="000000" w:themeColor="text1"/>
          <w:lang w:val="en-GB"/>
        </w:rPr>
        <w:t xml:space="preserve"> </w:t>
      </w:r>
      <w:r w:rsidRPr="00651811">
        <w:rPr>
          <w:color w:val="000000" w:themeColor="text1"/>
          <w:lang w:val="en-GB"/>
        </w:rPr>
        <w:t xml:space="preserve">serious bleeding events, some of which were fatal, </w:t>
      </w:r>
      <w:proofErr w:type="gramStart"/>
      <w:r w:rsidRPr="00651811">
        <w:rPr>
          <w:color w:val="000000" w:themeColor="text1"/>
          <w:lang w:val="en-GB"/>
        </w:rPr>
        <w:t>have been observed</w:t>
      </w:r>
      <w:proofErr w:type="gramEnd"/>
      <w:r>
        <w:rPr>
          <w:color w:val="000000" w:themeColor="text1"/>
          <w:lang w:val="en-GB"/>
        </w:rPr>
        <w:t>.</w:t>
      </w:r>
    </w:p>
    <w:p w14:paraId="322F9BD8" w14:textId="4D52BD84" w:rsidR="00A64B76" w:rsidRPr="000539A6" w:rsidRDefault="00216867" w:rsidP="005D33C9">
      <w:pPr>
        <w:pStyle w:val="PIheading30"/>
        <w:ind w:left="0" w:right="0" w:firstLine="0"/>
        <w:rPr>
          <w:b/>
          <w:bCs/>
          <w:u w:val="none"/>
        </w:rPr>
      </w:pPr>
      <w:r>
        <w:rPr>
          <w:b/>
          <w:bCs/>
          <w:u w:val="none"/>
        </w:rPr>
        <w:t>Arterial thromboembolic events</w:t>
      </w:r>
    </w:p>
    <w:p w14:paraId="677A72A0" w14:textId="77777777" w:rsidR="00A64B76" w:rsidRPr="00BB6E71" w:rsidRDefault="00A64B76" w:rsidP="00A64B76">
      <w:pPr>
        <w:pStyle w:val="TextPI"/>
        <w:rPr>
          <w:color w:val="000000" w:themeColor="text1"/>
          <w:lang w:val="en-GB"/>
        </w:rPr>
      </w:pPr>
      <w:r w:rsidRPr="00BB6E71">
        <w:rPr>
          <w:color w:val="000000" w:themeColor="text1"/>
          <w:lang w:val="en-GB"/>
        </w:rPr>
        <w:t xml:space="preserve">Use caution when treating </w:t>
      </w:r>
      <w:r>
        <w:rPr>
          <w:color w:val="000000" w:themeColor="text1"/>
          <w:lang w:val="en-GB"/>
        </w:rPr>
        <w:t>patients with a higher cardiovascular risk including known coronary artery disease.  Treatment interruption should be considered in patients who develop signs or symptoms of acute myocardial ischaemia.</w:t>
      </w:r>
    </w:p>
    <w:p w14:paraId="5F8C5710" w14:textId="77777777" w:rsidR="00A64B76" w:rsidRDefault="00A64B76" w:rsidP="00A64B76">
      <w:pPr>
        <w:pStyle w:val="TextPI"/>
        <w:keepNext/>
        <w:keepLines/>
        <w:rPr>
          <w:i/>
          <w:iCs/>
          <w:lang w:val="en-GB"/>
        </w:rPr>
      </w:pPr>
      <w:r>
        <w:rPr>
          <w:i/>
          <w:iCs/>
          <w:lang w:val="en-GB"/>
        </w:rPr>
        <w:t>NSCLC</w:t>
      </w:r>
    </w:p>
    <w:p w14:paraId="25F4F314" w14:textId="03067C0A" w:rsidR="00A64B76" w:rsidRPr="00D9189C" w:rsidRDefault="00A64B76" w:rsidP="00A64B76">
      <w:pPr>
        <w:pStyle w:val="TextPI"/>
        <w:rPr>
          <w:color w:val="000000" w:themeColor="text1"/>
          <w:lang w:val="en-GB"/>
        </w:rPr>
      </w:pPr>
      <w:r w:rsidRPr="00D9189C">
        <w:rPr>
          <w:color w:val="000000" w:themeColor="text1"/>
          <w:lang w:val="en-GB"/>
        </w:rPr>
        <w:t>The</w:t>
      </w:r>
      <w:r>
        <w:rPr>
          <w:color w:val="000000" w:themeColor="text1"/>
          <w:lang w:val="en-GB"/>
        </w:rPr>
        <w:t xml:space="preserve"> frequency of arterial thromboembolic events was comparable between the two treatment arms in the phase </w:t>
      </w:r>
      <w:r w:rsidR="00543DA4">
        <w:rPr>
          <w:color w:val="000000" w:themeColor="text1"/>
          <w:lang w:val="en-GB"/>
        </w:rPr>
        <w:t>III</w:t>
      </w:r>
      <w:r>
        <w:rPr>
          <w:color w:val="000000" w:themeColor="text1"/>
          <w:lang w:val="en-GB"/>
        </w:rPr>
        <w:t xml:space="preserve"> study 1199.13 (LUME-Lung 1).  Patients with a recent history of myocardial infarction or stroke were excluded from this study.  However, an increased frequency of arterial thromboembolic events was observed in patients with IPF when treated with </w:t>
      </w:r>
      <w:proofErr w:type="spellStart"/>
      <w:r>
        <w:rPr>
          <w:color w:val="000000" w:themeColor="text1"/>
          <w:lang w:val="en-GB"/>
        </w:rPr>
        <w:t>nintedanib</w:t>
      </w:r>
      <w:proofErr w:type="spellEnd"/>
      <w:r>
        <w:rPr>
          <w:color w:val="000000" w:themeColor="text1"/>
          <w:lang w:val="en-GB"/>
        </w:rPr>
        <w:t xml:space="preserve"> monotherapy.</w:t>
      </w:r>
    </w:p>
    <w:p w14:paraId="411E202E" w14:textId="3353CD76" w:rsidR="00A64B76" w:rsidRPr="002C4443" w:rsidRDefault="00A64B76" w:rsidP="00314627">
      <w:pPr>
        <w:pStyle w:val="TextPI"/>
        <w:keepNext/>
        <w:rPr>
          <w:i/>
          <w:iCs/>
          <w:lang w:val="en-GB"/>
        </w:rPr>
      </w:pPr>
      <w:r w:rsidRPr="002C4443">
        <w:rPr>
          <w:i/>
          <w:iCs/>
          <w:lang w:val="en-GB"/>
        </w:rPr>
        <w:t>IPF</w:t>
      </w:r>
      <w:r w:rsidR="00AC1527">
        <w:rPr>
          <w:i/>
          <w:iCs/>
          <w:lang w:val="en-GB"/>
        </w:rPr>
        <w:t xml:space="preserve">, </w:t>
      </w:r>
      <w:r w:rsidR="00AC1527" w:rsidRPr="001B1F9E">
        <w:rPr>
          <w:i/>
          <w:iCs/>
          <w:lang w:val="en-GB"/>
        </w:rPr>
        <w:t>other chronic fibrosing ILDs with a progressive phenotype</w:t>
      </w:r>
      <w:r w:rsidR="00AC1527">
        <w:rPr>
          <w:i/>
          <w:iCs/>
          <w:lang w:val="en-GB"/>
        </w:rPr>
        <w:t>,</w:t>
      </w:r>
      <w:r w:rsidR="00FE69B9">
        <w:rPr>
          <w:i/>
          <w:iCs/>
          <w:lang w:val="en-GB"/>
        </w:rPr>
        <w:t xml:space="preserve"> and </w:t>
      </w:r>
      <w:proofErr w:type="spellStart"/>
      <w:r w:rsidR="00FE69B9">
        <w:rPr>
          <w:i/>
          <w:iCs/>
          <w:lang w:val="en-GB"/>
        </w:rPr>
        <w:t>SSc</w:t>
      </w:r>
      <w:proofErr w:type="spellEnd"/>
      <w:r w:rsidR="00FE69B9">
        <w:rPr>
          <w:i/>
          <w:iCs/>
          <w:lang w:val="en-GB"/>
        </w:rPr>
        <w:t>-ILD</w:t>
      </w:r>
    </w:p>
    <w:p w14:paraId="5D961230" w14:textId="047D9078" w:rsidR="0067611F" w:rsidRDefault="00A64B76" w:rsidP="00A64B76">
      <w:pPr>
        <w:pStyle w:val="TextPI"/>
        <w:rPr>
          <w:color w:val="000000" w:themeColor="text1"/>
          <w:lang w:val="en-GB"/>
        </w:rPr>
      </w:pPr>
      <w:r w:rsidRPr="00437D17">
        <w:rPr>
          <w:color w:val="000000" w:themeColor="text1"/>
          <w:lang w:val="en-GB"/>
        </w:rPr>
        <w:t xml:space="preserve">Patients with a recent history of myocardial infarction or stroke </w:t>
      </w:r>
      <w:proofErr w:type="gramStart"/>
      <w:r w:rsidRPr="00437D17">
        <w:rPr>
          <w:color w:val="000000" w:themeColor="text1"/>
          <w:lang w:val="en-GB"/>
        </w:rPr>
        <w:t>were excluded</w:t>
      </w:r>
      <w:proofErr w:type="gramEnd"/>
      <w:r w:rsidRPr="00437D17">
        <w:rPr>
          <w:color w:val="000000" w:themeColor="text1"/>
          <w:lang w:val="en-GB"/>
        </w:rPr>
        <w:t xml:space="preserve"> from the </w:t>
      </w:r>
      <w:r w:rsidR="0067611F">
        <w:rPr>
          <w:color w:val="000000" w:themeColor="text1"/>
          <w:lang w:val="en-GB"/>
        </w:rPr>
        <w:t>clinical</w:t>
      </w:r>
      <w:r w:rsidR="0067611F" w:rsidRPr="00437D17">
        <w:rPr>
          <w:color w:val="000000" w:themeColor="text1"/>
          <w:lang w:val="en-GB"/>
        </w:rPr>
        <w:t xml:space="preserve"> </w:t>
      </w:r>
      <w:r w:rsidR="00216867">
        <w:rPr>
          <w:color w:val="000000" w:themeColor="text1"/>
          <w:lang w:val="en-GB"/>
        </w:rPr>
        <w:t>trials.</w:t>
      </w:r>
    </w:p>
    <w:p w14:paraId="1D9B1AF7" w14:textId="679D9FA5" w:rsidR="00A64B76" w:rsidRPr="00EC11C2" w:rsidRDefault="0067611F" w:rsidP="00A64B76">
      <w:pPr>
        <w:pStyle w:val="TextPI"/>
        <w:rPr>
          <w:color w:val="000000" w:themeColor="text1"/>
          <w:lang w:val="en-GB"/>
        </w:rPr>
      </w:pPr>
      <w:r>
        <w:rPr>
          <w:color w:val="000000" w:themeColor="text1"/>
          <w:lang w:val="en-GB"/>
        </w:rPr>
        <w:t xml:space="preserve">In the </w:t>
      </w:r>
      <w:r w:rsidR="00C55F4B">
        <w:rPr>
          <w:color w:val="000000" w:themeColor="text1"/>
          <w:lang w:val="en-GB"/>
        </w:rPr>
        <w:t xml:space="preserve">clinical </w:t>
      </w:r>
      <w:r>
        <w:rPr>
          <w:color w:val="000000" w:themeColor="text1"/>
          <w:lang w:val="en-GB"/>
        </w:rPr>
        <w:t>trials, a</w:t>
      </w:r>
      <w:r w:rsidR="00A64B76" w:rsidRPr="00437D17">
        <w:rPr>
          <w:color w:val="000000" w:themeColor="text1"/>
          <w:lang w:val="en-GB"/>
        </w:rPr>
        <w:t>rterial thromboembolic events were infrequently reported</w:t>
      </w:r>
      <w:r w:rsidR="003810A0">
        <w:rPr>
          <w:color w:val="000000" w:themeColor="text1"/>
          <w:lang w:val="en-GB"/>
        </w:rPr>
        <w:t xml:space="preserve"> (OFEV 2.5% versus placebo</w:t>
      </w:r>
      <w:r w:rsidR="00A64B76" w:rsidRPr="00437D17">
        <w:rPr>
          <w:color w:val="000000" w:themeColor="text1"/>
          <w:lang w:val="en-GB"/>
        </w:rPr>
        <w:t xml:space="preserve"> 0.7% </w:t>
      </w:r>
      <w:r w:rsidR="003810A0">
        <w:rPr>
          <w:color w:val="000000" w:themeColor="text1"/>
          <w:lang w:val="en-GB"/>
        </w:rPr>
        <w:t>for INPULSIS; OFEV 0.9% versus placebo 0.9% for INBUILD; OFEV 0.7% versus placebo 0.7% for SENSCIS)</w:t>
      </w:r>
      <w:r w:rsidR="00A64B76" w:rsidRPr="00437D17">
        <w:rPr>
          <w:color w:val="000000" w:themeColor="text1"/>
          <w:lang w:val="en-GB"/>
        </w:rPr>
        <w:t>.</w:t>
      </w:r>
      <w:r w:rsidR="003810A0" w:rsidRPr="003810A0">
        <w:rPr>
          <w:color w:val="000000" w:themeColor="text1"/>
          <w:lang w:val="en-GB"/>
        </w:rPr>
        <w:t xml:space="preserve"> </w:t>
      </w:r>
      <w:r w:rsidR="003810A0" w:rsidRPr="00C25184">
        <w:rPr>
          <w:color w:val="000000" w:themeColor="text1"/>
          <w:lang w:val="en-GB"/>
        </w:rPr>
        <w:t>In the INPULSIS trials, a higher percentage of patients experienced myocardial</w:t>
      </w:r>
      <w:r w:rsidR="003810A0">
        <w:rPr>
          <w:color w:val="000000" w:themeColor="text1"/>
          <w:lang w:val="en-GB"/>
        </w:rPr>
        <w:t xml:space="preserve"> </w:t>
      </w:r>
      <w:r w:rsidR="003810A0" w:rsidRPr="00C25184">
        <w:rPr>
          <w:color w:val="000000" w:themeColor="text1"/>
          <w:lang w:val="en-GB"/>
        </w:rPr>
        <w:t xml:space="preserve">infarctions in the </w:t>
      </w:r>
      <w:r w:rsidR="003810A0">
        <w:rPr>
          <w:color w:val="000000" w:themeColor="text1"/>
          <w:lang w:val="en-GB"/>
        </w:rPr>
        <w:t>OFEV</w:t>
      </w:r>
      <w:r w:rsidR="003810A0" w:rsidRPr="00C25184">
        <w:rPr>
          <w:color w:val="000000" w:themeColor="text1"/>
          <w:lang w:val="en-GB"/>
        </w:rPr>
        <w:t xml:space="preserve"> group (1.6%) compa</w:t>
      </w:r>
      <w:r w:rsidR="003810A0">
        <w:rPr>
          <w:color w:val="000000" w:themeColor="text1"/>
          <w:lang w:val="en-GB"/>
        </w:rPr>
        <w:t>red to the placebo group (0.5%), w</w:t>
      </w:r>
      <w:r w:rsidR="00A64B76" w:rsidRPr="00437D17">
        <w:rPr>
          <w:color w:val="000000" w:themeColor="text1"/>
          <w:lang w:val="en-GB"/>
        </w:rPr>
        <w:t xml:space="preserve">hile adverse events reflecting ischaemic heart disease were balanced between the </w:t>
      </w:r>
      <w:r w:rsidR="00530222">
        <w:rPr>
          <w:color w:val="000000" w:themeColor="text1"/>
          <w:lang w:val="en-GB"/>
        </w:rPr>
        <w:t>OFEV</w:t>
      </w:r>
      <w:r w:rsidR="00530222" w:rsidRPr="00437D17">
        <w:rPr>
          <w:color w:val="000000" w:themeColor="text1"/>
          <w:lang w:val="en-GB"/>
        </w:rPr>
        <w:t xml:space="preserve"> </w:t>
      </w:r>
      <w:r w:rsidR="00A64B76" w:rsidRPr="00437D17">
        <w:rPr>
          <w:color w:val="000000" w:themeColor="text1"/>
          <w:lang w:val="en-GB"/>
        </w:rPr>
        <w:t>and placebo groups</w:t>
      </w:r>
      <w:r w:rsidR="0039176B">
        <w:rPr>
          <w:color w:val="000000" w:themeColor="text1"/>
          <w:lang w:val="en-GB"/>
        </w:rPr>
        <w:t xml:space="preserve">. </w:t>
      </w:r>
      <w:r w:rsidR="00530222" w:rsidRPr="00605B73">
        <w:rPr>
          <w:color w:val="000000" w:themeColor="text1"/>
          <w:lang w:val="en-GB"/>
        </w:rPr>
        <w:t xml:space="preserve">In the </w:t>
      </w:r>
      <w:r w:rsidR="0039176B">
        <w:rPr>
          <w:color w:val="000000" w:themeColor="text1"/>
          <w:lang w:val="en-GB"/>
        </w:rPr>
        <w:t>INBUILD and the</w:t>
      </w:r>
      <w:r w:rsidR="0039176B" w:rsidRPr="00605B73">
        <w:rPr>
          <w:color w:val="000000" w:themeColor="text1"/>
          <w:lang w:val="en-GB"/>
        </w:rPr>
        <w:t xml:space="preserve"> </w:t>
      </w:r>
      <w:r w:rsidR="00530222" w:rsidRPr="00605B73">
        <w:rPr>
          <w:color w:val="000000" w:themeColor="text1"/>
          <w:lang w:val="en-GB"/>
        </w:rPr>
        <w:t>SENSCIS trial</w:t>
      </w:r>
      <w:r w:rsidR="0039176B">
        <w:rPr>
          <w:color w:val="000000" w:themeColor="text1"/>
          <w:lang w:val="en-GB"/>
        </w:rPr>
        <w:t xml:space="preserve"> m</w:t>
      </w:r>
      <w:r w:rsidR="00530222" w:rsidRPr="00605B73">
        <w:rPr>
          <w:color w:val="000000" w:themeColor="text1"/>
          <w:lang w:val="en-GB"/>
        </w:rPr>
        <w:t>yocardial infarction was observed with low frequency</w:t>
      </w:r>
      <w:r w:rsidR="0039176B">
        <w:rPr>
          <w:color w:val="000000" w:themeColor="text1"/>
          <w:lang w:val="en-GB"/>
        </w:rPr>
        <w:t>: OFEV 0.9% versus placebo 0.9% for INBUILD; OFEV 0% versus placebo 0.7% for SENSCIS</w:t>
      </w:r>
      <w:r w:rsidR="00530222">
        <w:rPr>
          <w:color w:val="000000" w:themeColor="text1"/>
          <w:lang w:val="en-GB"/>
        </w:rPr>
        <w:t>.</w:t>
      </w:r>
    </w:p>
    <w:p w14:paraId="01445171" w14:textId="1CCF72D8" w:rsidR="004C4D8D" w:rsidRDefault="004C4D8D" w:rsidP="004C4D8D">
      <w:pPr>
        <w:pStyle w:val="PIheading30"/>
      </w:pPr>
      <w:r w:rsidRPr="006D270F">
        <w:rPr>
          <w:b/>
          <w:bCs/>
          <w:u w:val="none"/>
        </w:rPr>
        <w:lastRenderedPageBreak/>
        <w:t>Aneurysms and artery dissections</w:t>
      </w:r>
    </w:p>
    <w:p w14:paraId="34F5039D" w14:textId="77777777" w:rsidR="004C4D8D" w:rsidRPr="00EC11C2" w:rsidRDefault="004C4D8D" w:rsidP="004C4D8D">
      <w:pPr>
        <w:pStyle w:val="TextPI"/>
        <w:rPr>
          <w:color w:val="000000" w:themeColor="text1"/>
          <w:lang w:val="en-GB"/>
        </w:rPr>
      </w:pPr>
      <w:r w:rsidRPr="006D270F">
        <w:t xml:space="preserve">The use of VEGF pathway inhibitors in patients with or without hypertension may promote the formation of aneurysms and/or artery dissections. Before initiating </w:t>
      </w:r>
      <w:proofErr w:type="spellStart"/>
      <w:r w:rsidRPr="006D270F">
        <w:t>nintedanib</w:t>
      </w:r>
      <w:proofErr w:type="spellEnd"/>
      <w:r w:rsidRPr="006D270F">
        <w:t>, this risk should be carefully considered in patients with risk factors such as hypertension or history of aneurysm.</w:t>
      </w:r>
    </w:p>
    <w:p w14:paraId="62664454" w14:textId="77777777" w:rsidR="00A64B76" w:rsidRPr="008753B0" w:rsidRDefault="00A64B76" w:rsidP="005D33C9">
      <w:pPr>
        <w:pStyle w:val="PIheading30"/>
        <w:ind w:left="0" w:right="0" w:firstLine="0"/>
        <w:rPr>
          <w:b/>
          <w:bCs/>
          <w:u w:val="none"/>
        </w:rPr>
      </w:pPr>
      <w:r w:rsidRPr="008753B0">
        <w:rPr>
          <w:b/>
          <w:bCs/>
          <w:u w:val="none"/>
        </w:rPr>
        <w:t>Venous thromboembolism</w:t>
      </w:r>
    </w:p>
    <w:p w14:paraId="0858391D" w14:textId="77777777" w:rsidR="00A64B76" w:rsidRPr="002C4443" w:rsidRDefault="00A64B76" w:rsidP="00C17677">
      <w:pPr>
        <w:pStyle w:val="TextPI"/>
        <w:keepNext/>
        <w:rPr>
          <w:i/>
          <w:iCs/>
          <w:lang w:val="en-GB" w:eastAsia="de-DE"/>
        </w:rPr>
      </w:pPr>
      <w:r w:rsidRPr="002C4443">
        <w:rPr>
          <w:i/>
          <w:iCs/>
          <w:lang w:val="en-GB" w:eastAsia="de-DE"/>
        </w:rPr>
        <w:t>NSCLC</w:t>
      </w:r>
    </w:p>
    <w:p w14:paraId="3B93C4E8" w14:textId="77777777" w:rsidR="00A64B76" w:rsidRDefault="00A64B76" w:rsidP="00A64B76">
      <w:pPr>
        <w:pStyle w:val="TextPI"/>
      </w:pPr>
      <w:r w:rsidRPr="00776941">
        <w:t xml:space="preserve">Patients treated with </w:t>
      </w:r>
      <w:r>
        <w:t>OFEV</w:t>
      </w:r>
      <w:r w:rsidRPr="00776941">
        <w:t xml:space="preserve"> have an increased risk of venous thromboembolism including deep vein thrombosis.  Patients should be closely monitored for thromboembolic events.  </w:t>
      </w:r>
      <w:r>
        <w:t>OFEV</w:t>
      </w:r>
      <w:r w:rsidRPr="00776941">
        <w:t xml:space="preserve"> should be discontinued in patients with life-threatening venous thromboembolic reactions.</w:t>
      </w:r>
    </w:p>
    <w:p w14:paraId="2EF5DB0A" w14:textId="664AD135" w:rsidR="00A64B76" w:rsidRPr="002C4443" w:rsidRDefault="00A64B76" w:rsidP="00EA610F">
      <w:pPr>
        <w:pStyle w:val="TextPI"/>
        <w:keepNext/>
        <w:rPr>
          <w:i/>
          <w:iCs/>
          <w:lang w:val="en-GB"/>
        </w:rPr>
      </w:pPr>
      <w:r w:rsidRPr="002C4443">
        <w:rPr>
          <w:i/>
          <w:iCs/>
          <w:lang w:val="en-GB"/>
        </w:rPr>
        <w:t>IPF</w:t>
      </w:r>
      <w:r w:rsidR="00EE79A2">
        <w:rPr>
          <w:i/>
          <w:iCs/>
          <w:lang w:val="en-GB"/>
        </w:rPr>
        <w:t xml:space="preserve">, </w:t>
      </w:r>
      <w:r w:rsidR="00EE79A2" w:rsidRPr="001B1F9E">
        <w:rPr>
          <w:i/>
          <w:iCs/>
          <w:lang w:val="en-GB"/>
        </w:rPr>
        <w:t>other chronic fibrosing ILDs with a progressive phenotype</w:t>
      </w:r>
      <w:r w:rsidR="00EE79A2">
        <w:rPr>
          <w:i/>
          <w:iCs/>
          <w:lang w:val="en-GB"/>
        </w:rPr>
        <w:t>,</w:t>
      </w:r>
      <w:r w:rsidR="00C85619">
        <w:rPr>
          <w:i/>
          <w:iCs/>
          <w:lang w:val="en-GB"/>
        </w:rPr>
        <w:t xml:space="preserve"> and </w:t>
      </w:r>
      <w:proofErr w:type="spellStart"/>
      <w:r w:rsidR="00C85619">
        <w:rPr>
          <w:i/>
          <w:iCs/>
          <w:lang w:val="en-GB"/>
        </w:rPr>
        <w:t>SSc</w:t>
      </w:r>
      <w:proofErr w:type="spellEnd"/>
      <w:r w:rsidR="00C85619">
        <w:rPr>
          <w:i/>
          <w:iCs/>
          <w:lang w:val="en-GB"/>
        </w:rPr>
        <w:t>-ILD</w:t>
      </w:r>
    </w:p>
    <w:p w14:paraId="28E0D18C" w14:textId="642FD849" w:rsidR="00A64B76" w:rsidRPr="00776941" w:rsidRDefault="00A64B76" w:rsidP="00A64B76">
      <w:pPr>
        <w:pStyle w:val="TextPI"/>
      </w:pPr>
      <w:r w:rsidRPr="00437D17">
        <w:t xml:space="preserve">In the </w:t>
      </w:r>
      <w:r w:rsidR="00C85619">
        <w:t>clinical</w:t>
      </w:r>
      <w:r w:rsidR="00C85619" w:rsidRPr="00437D17">
        <w:t xml:space="preserve"> </w:t>
      </w:r>
      <w:r w:rsidRPr="00437D17">
        <w:t>trials</w:t>
      </w:r>
      <w:r w:rsidR="004C2AE1">
        <w:t>,</w:t>
      </w:r>
      <w:r w:rsidRPr="00437D17">
        <w:t xml:space="preserve"> no increased risk of venous thromboembolism was observed in </w:t>
      </w:r>
      <w:r w:rsidR="00C85619">
        <w:t>OFEV</w:t>
      </w:r>
      <w:r w:rsidR="00C85619" w:rsidRPr="00437D17">
        <w:t xml:space="preserve"> </w:t>
      </w:r>
      <w:r w:rsidRPr="00437D17">
        <w:t xml:space="preserve">treated patients. Due to the mechanism of action of </w:t>
      </w:r>
      <w:proofErr w:type="spellStart"/>
      <w:r w:rsidRPr="00437D17">
        <w:t>nintedanib</w:t>
      </w:r>
      <w:proofErr w:type="spellEnd"/>
      <w:r w:rsidRPr="00437D17">
        <w:t xml:space="preserve"> patients might have an increased risk of thromboembolic events.</w:t>
      </w:r>
    </w:p>
    <w:p w14:paraId="137B86EA" w14:textId="77777777" w:rsidR="00A30D45" w:rsidRPr="00F30045" w:rsidRDefault="00A30D45" w:rsidP="00A30D45">
      <w:pPr>
        <w:pStyle w:val="PIheading30"/>
        <w:ind w:left="0" w:right="0" w:firstLine="0"/>
        <w:rPr>
          <w:b/>
          <w:bCs/>
          <w:u w:val="none"/>
        </w:rPr>
      </w:pPr>
      <w:r w:rsidRPr="00F30045">
        <w:rPr>
          <w:b/>
          <w:bCs/>
          <w:u w:val="none"/>
        </w:rPr>
        <w:t>Nephrotic range proteinuria</w:t>
      </w:r>
    </w:p>
    <w:p w14:paraId="78359EAE" w14:textId="15E0ADBA" w:rsidR="00A30D45" w:rsidRDefault="00A30D45" w:rsidP="00B54D10">
      <w:pPr>
        <w:pStyle w:val="TextPI"/>
      </w:pPr>
      <w:r w:rsidRPr="00F30045">
        <w:t xml:space="preserve">Very few cases of nephrotic range proteinuria have been reported post-marketing. Histological findings in individual cases were consistent with glomerular microangiopathy with or without renal thrombi. Reversal of symptoms has been observed after </w:t>
      </w:r>
      <w:r w:rsidRPr="00B54D10">
        <w:t xml:space="preserve">OFEV </w:t>
      </w:r>
      <w:r w:rsidRPr="00107867">
        <w:t>was</w:t>
      </w:r>
      <w:r w:rsidRPr="00F30045">
        <w:t xml:space="preserve"> discontinued.</w:t>
      </w:r>
      <w:r>
        <w:t xml:space="preserve"> </w:t>
      </w:r>
      <w:r w:rsidRPr="00F30045">
        <w:t>Treatment interruption should be considered in patients who develop signs or symptoms of nephrotic syndrome.</w:t>
      </w:r>
    </w:p>
    <w:p w14:paraId="784875F8" w14:textId="77777777" w:rsidR="007A3BB5" w:rsidRDefault="007A3BB5" w:rsidP="00A30D45">
      <w:pPr>
        <w:pStyle w:val="PIheading30"/>
        <w:ind w:left="0" w:right="0" w:firstLine="0"/>
        <w:rPr>
          <w:b/>
          <w:bCs/>
          <w:u w:val="none"/>
        </w:rPr>
      </w:pPr>
      <w:r w:rsidRPr="007A3BB5">
        <w:rPr>
          <w:b/>
          <w:bCs/>
          <w:u w:val="none"/>
        </w:rPr>
        <w:t xml:space="preserve">Pulmonary hypertension </w:t>
      </w:r>
    </w:p>
    <w:p w14:paraId="3D0DCA14" w14:textId="77777777" w:rsidR="007A3BB5" w:rsidRPr="007A3BB5" w:rsidRDefault="007A3BB5" w:rsidP="007A3BB5">
      <w:pPr>
        <w:pStyle w:val="TextPI"/>
        <w:keepNext/>
        <w:rPr>
          <w:i/>
          <w:iCs/>
          <w:lang w:val="en-GB" w:eastAsia="de-DE"/>
        </w:rPr>
      </w:pPr>
      <w:r w:rsidRPr="007A3BB5">
        <w:rPr>
          <w:i/>
          <w:iCs/>
          <w:lang w:val="en-GB" w:eastAsia="de-DE"/>
        </w:rPr>
        <w:t xml:space="preserve">Other chronic fibrosing ILDs with a progressive phenotype and </w:t>
      </w:r>
      <w:proofErr w:type="spellStart"/>
      <w:r w:rsidRPr="007A3BB5">
        <w:rPr>
          <w:i/>
          <w:iCs/>
          <w:lang w:val="en-GB" w:eastAsia="de-DE"/>
        </w:rPr>
        <w:t>SSc</w:t>
      </w:r>
      <w:proofErr w:type="spellEnd"/>
      <w:r w:rsidRPr="007A3BB5">
        <w:rPr>
          <w:i/>
          <w:iCs/>
          <w:lang w:val="en-GB" w:eastAsia="de-DE"/>
        </w:rPr>
        <w:t>-ILD</w:t>
      </w:r>
    </w:p>
    <w:p w14:paraId="282E7BCE" w14:textId="721C0718" w:rsidR="007A3BB5" w:rsidRPr="007A3BB5" w:rsidRDefault="007A3BB5" w:rsidP="007A3BB5">
      <w:pPr>
        <w:pStyle w:val="TextPI"/>
      </w:pPr>
      <w:r w:rsidRPr="007A3BB5">
        <w:t xml:space="preserve">Data on the use of </w:t>
      </w:r>
      <w:r w:rsidR="006F5406" w:rsidRPr="006F5406">
        <w:t xml:space="preserve">OFEV </w:t>
      </w:r>
      <w:r w:rsidRPr="007A3BB5">
        <w:t xml:space="preserve">in patients with pulmonary hypertension is limited. Patients with significant pulmonary hypertension (cardiac index ≤ 2 L/min/m², or parenteral </w:t>
      </w:r>
      <w:proofErr w:type="spellStart"/>
      <w:r w:rsidRPr="007A3BB5">
        <w:t>epoprostenol</w:t>
      </w:r>
      <w:proofErr w:type="spellEnd"/>
      <w:r w:rsidRPr="007A3BB5">
        <w:t>/</w:t>
      </w:r>
      <w:proofErr w:type="spellStart"/>
      <w:r w:rsidRPr="007A3BB5">
        <w:t>treprostinil</w:t>
      </w:r>
      <w:proofErr w:type="spellEnd"/>
      <w:r w:rsidRPr="007A3BB5">
        <w:t xml:space="preserve">, or significant right heart failure) were excluded from the INBUILD and SENSCIS trials. </w:t>
      </w:r>
      <w:r w:rsidR="006F5406" w:rsidRPr="006F5406">
        <w:t xml:space="preserve">OFEV </w:t>
      </w:r>
      <w:r w:rsidRPr="007A3BB5">
        <w:t>should not be used in patients with severe pulmonary hypertension. Close monitoring is recommended in patients with mild to moderate pulmonary hypertension.</w:t>
      </w:r>
    </w:p>
    <w:p w14:paraId="53D3A334" w14:textId="0EE2A707" w:rsidR="00A64B76" w:rsidRPr="005D33C9" w:rsidRDefault="00A64B76" w:rsidP="00A30D45">
      <w:pPr>
        <w:pStyle w:val="PIheading30"/>
        <w:ind w:left="0" w:right="0" w:firstLine="0"/>
        <w:rPr>
          <w:b/>
          <w:bCs/>
          <w:u w:val="none"/>
        </w:rPr>
      </w:pPr>
      <w:r w:rsidRPr="005D33C9">
        <w:rPr>
          <w:b/>
          <w:bCs/>
          <w:u w:val="none"/>
        </w:rPr>
        <w:t>Wound healing complication</w:t>
      </w:r>
    </w:p>
    <w:p w14:paraId="7928D655" w14:textId="77777777" w:rsidR="00A64B76" w:rsidRPr="00FA3E8B" w:rsidRDefault="00A64B76" w:rsidP="00A64B76">
      <w:pPr>
        <w:pStyle w:val="TextPI"/>
        <w:rPr>
          <w:rFonts w:eastAsia="MS Mincho"/>
        </w:rPr>
      </w:pPr>
      <w:r w:rsidRPr="009B63D1">
        <w:rPr>
          <w:rFonts w:eastAsia="MS Mincho"/>
        </w:rPr>
        <w:t xml:space="preserve">Based on the mechanism of action </w:t>
      </w:r>
      <w:proofErr w:type="spellStart"/>
      <w:r w:rsidRPr="009B63D1">
        <w:t>nintedanib</w:t>
      </w:r>
      <w:proofErr w:type="spellEnd"/>
      <w:r w:rsidRPr="009B63D1">
        <w:t xml:space="preserve"> </w:t>
      </w:r>
      <w:r w:rsidRPr="009B63D1">
        <w:rPr>
          <w:rFonts w:eastAsia="MS Mincho"/>
        </w:rPr>
        <w:t>may impair wound healing.  No increased frequency of impaired wound healing was observed in the</w:t>
      </w:r>
      <w:r>
        <w:rPr>
          <w:rFonts w:eastAsia="MS Mincho"/>
        </w:rPr>
        <w:t xml:space="preserve"> </w:t>
      </w:r>
      <w:r w:rsidRPr="00FA3E8B">
        <w:rPr>
          <w:rFonts w:eastAsia="MS Mincho"/>
        </w:rPr>
        <w:t xml:space="preserve">clinical trials.  No dedicated studies investigating the effect of </w:t>
      </w:r>
      <w:proofErr w:type="spellStart"/>
      <w:r w:rsidRPr="00FA3E8B">
        <w:t>nintedanib</w:t>
      </w:r>
      <w:proofErr w:type="spellEnd"/>
      <w:r w:rsidRPr="00FA3E8B">
        <w:t xml:space="preserve"> </w:t>
      </w:r>
      <w:r w:rsidRPr="00FA3E8B">
        <w:rPr>
          <w:rFonts w:eastAsia="MS Mincho"/>
        </w:rPr>
        <w:t>on wound healing were performed.  Treatment with OFEV should therefore only be initiated or - in case of perioperative interruption - resumed based on clinical judgement of adequate wound healing.</w:t>
      </w:r>
    </w:p>
    <w:p w14:paraId="2EB36FEB" w14:textId="77777777" w:rsidR="00A64B76" w:rsidRPr="008753B0" w:rsidRDefault="00A64B76" w:rsidP="005D33C9">
      <w:pPr>
        <w:pStyle w:val="PIheading30"/>
        <w:ind w:left="0" w:right="0" w:firstLine="0"/>
        <w:rPr>
          <w:b/>
          <w:bCs/>
          <w:u w:val="none"/>
        </w:rPr>
      </w:pPr>
      <w:r w:rsidRPr="008753B0">
        <w:rPr>
          <w:b/>
          <w:bCs/>
          <w:u w:val="none"/>
        </w:rPr>
        <w:t>Soya lecithin</w:t>
      </w:r>
    </w:p>
    <w:p w14:paraId="34D95992" w14:textId="28F5A77D" w:rsidR="00A64B76" w:rsidRPr="009B63D1" w:rsidRDefault="00A64B76" w:rsidP="00A64B76">
      <w:pPr>
        <w:pStyle w:val="TextPI"/>
        <w:rPr>
          <w:rFonts w:eastAsia="MS Mincho"/>
        </w:rPr>
      </w:pPr>
      <w:r>
        <w:rPr>
          <w:rFonts w:eastAsia="MS Mincho"/>
        </w:rPr>
        <w:t>OFEV</w:t>
      </w:r>
      <w:r w:rsidRPr="008D763A">
        <w:rPr>
          <w:rFonts w:eastAsia="MS Mincho"/>
        </w:rPr>
        <w:t xml:space="preserve"> soft capsules contain soya lecithin (see </w:t>
      </w:r>
      <w:r w:rsidR="008F393D">
        <w:rPr>
          <w:rFonts w:eastAsia="MS Mincho"/>
        </w:rPr>
        <w:t xml:space="preserve">Section </w:t>
      </w:r>
      <w:r w:rsidR="009F5F46">
        <w:rPr>
          <w:rFonts w:eastAsia="MS Mincho"/>
        </w:rPr>
        <w:t>4.3 Contraindications</w:t>
      </w:r>
      <w:r w:rsidRPr="008D763A">
        <w:rPr>
          <w:rFonts w:eastAsia="MS Mincho"/>
        </w:rPr>
        <w:t>).</w:t>
      </w:r>
    </w:p>
    <w:p w14:paraId="114E0FA8" w14:textId="77777777" w:rsidR="00A64B76" w:rsidRPr="008753B0" w:rsidRDefault="00A64B76" w:rsidP="005D33C9">
      <w:pPr>
        <w:pStyle w:val="PIheading30"/>
        <w:ind w:left="0" w:right="0" w:firstLine="0"/>
        <w:rPr>
          <w:b/>
          <w:bCs/>
          <w:u w:val="none"/>
        </w:rPr>
      </w:pPr>
      <w:r w:rsidRPr="008753B0">
        <w:rPr>
          <w:b/>
          <w:bCs/>
          <w:u w:val="none"/>
        </w:rPr>
        <w:t>Special populations</w:t>
      </w:r>
    </w:p>
    <w:p w14:paraId="7ABB5CCB" w14:textId="1A8967E6" w:rsidR="00A64B76" w:rsidRDefault="00A64B76" w:rsidP="00A64B76">
      <w:pPr>
        <w:pStyle w:val="TextPI"/>
        <w:rPr>
          <w:rFonts w:eastAsia="MS Mincho"/>
        </w:rPr>
      </w:pPr>
      <w:r w:rsidRPr="00393717">
        <w:rPr>
          <w:rFonts w:eastAsia="MS Mincho"/>
        </w:rPr>
        <w:t>In study</w:t>
      </w:r>
      <w:r>
        <w:rPr>
          <w:rFonts w:eastAsia="MS Mincho"/>
        </w:rPr>
        <w:t xml:space="preserve"> 1199.13 (LUME-Lung 1), there was a higher frequency of serious adverse events in patients treated with </w:t>
      </w:r>
      <w:r w:rsidR="000F2DA6">
        <w:rPr>
          <w:rFonts w:eastAsia="MS Mincho"/>
        </w:rPr>
        <w:t xml:space="preserve">OFEV </w:t>
      </w:r>
      <w:r>
        <w:rPr>
          <w:rFonts w:eastAsia="MS Mincho"/>
        </w:rPr>
        <w:t xml:space="preserve">plus docetaxel with a body weight of less than 50 kg compared to patients with a weight </w:t>
      </w:r>
      <w:r>
        <w:rPr>
          <w:rFonts w:eastAsia="MS Mincho" w:cs="Arial"/>
        </w:rPr>
        <w:t>≥</w:t>
      </w:r>
      <w:r>
        <w:rPr>
          <w:rFonts w:eastAsia="MS Mincho"/>
        </w:rPr>
        <w:t xml:space="preserve"> 50 kg; however the number of patients with a body weight of less than 50 kg was small. </w:t>
      </w:r>
      <w:proofErr w:type="gramStart"/>
      <w:r>
        <w:rPr>
          <w:rFonts w:eastAsia="MS Mincho"/>
        </w:rPr>
        <w:t>Therefore</w:t>
      </w:r>
      <w:proofErr w:type="gramEnd"/>
      <w:r>
        <w:rPr>
          <w:rFonts w:eastAsia="MS Mincho"/>
        </w:rPr>
        <w:t xml:space="preserve"> close monitoring is recommended in patients weighing &lt; 50 kg.</w:t>
      </w:r>
    </w:p>
    <w:p w14:paraId="31C569DE" w14:textId="77777777" w:rsidR="00EC4DF6" w:rsidRPr="005D33C9" w:rsidRDefault="00EC4DF6" w:rsidP="005D33C9">
      <w:pPr>
        <w:pStyle w:val="PIheading30"/>
        <w:ind w:left="0" w:right="0" w:firstLine="0"/>
        <w:rPr>
          <w:b/>
          <w:bCs/>
          <w:u w:val="none"/>
        </w:rPr>
      </w:pPr>
      <w:r w:rsidRPr="005D33C9">
        <w:rPr>
          <w:b/>
          <w:bCs/>
          <w:u w:val="none"/>
        </w:rPr>
        <w:lastRenderedPageBreak/>
        <w:t>Docetaxel</w:t>
      </w:r>
    </w:p>
    <w:p w14:paraId="7D7B45E2" w14:textId="77777777" w:rsidR="00EC4DF6" w:rsidRPr="00C921BA" w:rsidRDefault="00EC4DF6" w:rsidP="00EC4DF6">
      <w:pPr>
        <w:pStyle w:val="TextPI"/>
      </w:pPr>
      <w:r w:rsidRPr="00C921BA">
        <w:rPr>
          <w:rFonts w:eastAsia="MS Mincho"/>
        </w:rPr>
        <w:t>For precautions related to docetaxel please refer to the corresponding product information for docetaxel.</w:t>
      </w:r>
    </w:p>
    <w:p w14:paraId="40EBECF6" w14:textId="77777777" w:rsidR="0003205B" w:rsidRPr="005D33C9" w:rsidRDefault="0003205B" w:rsidP="005D33C9">
      <w:pPr>
        <w:pStyle w:val="PIheading30"/>
        <w:ind w:left="0" w:right="0" w:firstLine="0"/>
        <w:rPr>
          <w:b/>
          <w:bCs/>
          <w:u w:val="none"/>
        </w:rPr>
      </w:pPr>
      <w:r w:rsidRPr="005D33C9">
        <w:rPr>
          <w:b/>
          <w:bCs/>
          <w:u w:val="none"/>
        </w:rPr>
        <w:t>Use in the elderly</w:t>
      </w:r>
    </w:p>
    <w:p w14:paraId="35EE753B" w14:textId="77777777" w:rsidR="0003205B" w:rsidRPr="0023119D" w:rsidRDefault="0003205B" w:rsidP="0003205B">
      <w:pPr>
        <w:pStyle w:val="TextPI"/>
        <w:rPr>
          <w:rFonts w:eastAsia="MS Mincho"/>
        </w:rPr>
      </w:pPr>
      <w:r w:rsidRPr="0023119D">
        <w:rPr>
          <w:rFonts w:eastAsia="MS Mincho"/>
        </w:rPr>
        <w:t xml:space="preserve">See Sections 4.2 Dose and Method of Administration, Special populations, Elderly patients </w:t>
      </w:r>
      <w:r w:rsidRPr="00303B74">
        <w:rPr>
          <w:rFonts w:eastAsia="MS Mincho"/>
        </w:rPr>
        <w:t>(≥ 65 years)</w:t>
      </w:r>
      <w:r w:rsidRPr="0023119D">
        <w:rPr>
          <w:rFonts w:eastAsia="MS Mincho"/>
        </w:rPr>
        <w:t xml:space="preserve"> and 5.2 Pharmacokinetic Properties, Intrinsic and Extrinsic Factors; Special Populations, Age.</w:t>
      </w:r>
    </w:p>
    <w:p w14:paraId="18142670" w14:textId="77777777" w:rsidR="0003205B" w:rsidRPr="005D33C9" w:rsidRDefault="0003205B" w:rsidP="005D33C9">
      <w:pPr>
        <w:pStyle w:val="PIheading30"/>
        <w:ind w:left="0" w:right="0" w:firstLine="0"/>
        <w:rPr>
          <w:b/>
          <w:bCs/>
          <w:u w:val="none"/>
        </w:rPr>
      </w:pPr>
      <w:proofErr w:type="spellStart"/>
      <w:r w:rsidRPr="005D33C9">
        <w:rPr>
          <w:b/>
          <w:bCs/>
          <w:u w:val="none"/>
        </w:rPr>
        <w:t>Paediatric</w:t>
      </w:r>
      <w:proofErr w:type="spellEnd"/>
      <w:r w:rsidRPr="005D33C9">
        <w:rPr>
          <w:b/>
          <w:bCs/>
          <w:u w:val="none"/>
        </w:rPr>
        <w:t xml:space="preserve"> Use</w:t>
      </w:r>
    </w:p>
    <w:p w14:paraId="58134D89" w14:textId="77777777" w:rsidR="0003205B" w:rsidRPr="0023119D" w:rsidRDefault="0003205B" w:rsidP="0003205B">
      <w:pPr>
        <w:pStyle w:val="TextPI"/>
        <w:rPr>
          <w:rFonts w:eastAsia="MS Mincho"/>
        </w:rPr>
      </w:pPr>
      <w:r w:rsidRPr="0023119D">
        <w:rPr>
          <w:rFonts w:eastAsia="MS Mincho"/>
        </w:rPr>
        <w:t>See Sections 4.2 Dose and Method of Administration, Special populations, Paediatric population and 5.2 Pharmacokinetic Properties, Intrinsic and Extrinsic Factors; Special Populations, Age.</w:t>
      </w:r>
    </w:p>
    <w:p w14:paraId="7792591B" w14:textId="77777777" w:rsidR="0003205B" w:rsidRPr="008753B0" w:rsidRDefault="0003205B" w:rsidP="002552A1">
      <w:pPr>
        <w:pStyle w:val="PIHeading3"/>
        <w:keepNext/>
        <w:keepLines/>
        <w:rPr>
          <w:b/>
          <w:bCs/>
          <w:u w:val="none"/>
          <w:lang w:val="en-GB" w:eastAsia="ja-JP"/>
        </w:rPr>
      </w:pPr>
      <w:r w:rsidRPr="008753B0">
        <w:rPr>
          <w:b/>
          <w:bCs/>
          <w:u w:val="none"/>
          <w:lang w:val="en-GB" w:eastAsia="ja-JP"/>
        </w:rPr>
        <w:t>Effects on laboratory tests</w:t>
      </w:r>
    </w:p>
    <w:p w14:paraId="447166EE" w14:textId="77777777" w:rsidR="0003205B" w:rsidRPr="00810C85" w:rsidRDefault="0003205B" w:rsidP="0003205B">
      <w:pPr>
        <w:pStyle w:val="TextPI"/>
        <w:rPr>
          <w:rFonts w:eastAsia="MS Mincho"/>
        </w:rPr>
      </w:pPr>
      <w:r w:rsidRPr="00810C85">
        <w:rPr>
          <w:rFonts w:eastAsia="MS Mincho"/>
        </w:rPr>
        <w:t>No data available.</w:t>
      </w:r>
    </w:p>
    <w:p w14:paraId="41A96263" w14:textId="3B2A6A30" w:rsidR="00A64B76" w:rsidRPr="007473ED" w:rsidRDefault="00A64B76" w:rsidP="00AB6D58">
      <w:pPr>
        <w:pStyle w:val="PIheading2"/>
        <w:jc w:val="both"/>
      </w:pPr>
      <w:r w:rsidRPr="007473ED">
        <w:t xml:space="preserve">4.5 INTERACTIONS WITH OTHER MEDICINES </w:t>
      </w:r>
      <w:r w:rsidR="007473ED">
        <w:t>AND OTHER FORMS OF INTERACTIONS</w:t>
      </w:r>
    </w:p>
    <w:p w14:paraId="3C64BB6E" w14:textId="77777777" w:rsidR="00A64B76" w:rsidRPr="000F3BA1" w:rsidRDefault="00A64B76" w:rsidP="005D33C9">
      <w:pPr>
        <w:pStyle w:val="PIheading30"/>
        <w:ind w:left="0" w:right="0" w:firstLine="0"/>
        <w:rPr>
          <w:b/>
          <w:bCs/>
          <w:u w:val="none"/>
        </w:rPr>
      </w:pPr>
      <w:r w:rsidRPr="000F3BA1">
        <w:rPr>
          <w:b/>
          <w:bCs/>
          <w:u w:val="none"/>
        </w:rPr>
        <w:t>P-glycoprotein (P-</w:t>
      </w:r>
      <w:proofErr w:type="spellStart"/>
      <w:r w:rsidRPr="000F3BA1">
        <w:rPr>
          <w:b/>
          <w:bCs/>
          <w:u w:val="none"/>
        </w:rPr>
        <w:t>gp</w:t>
      </w:r>
      <w:proofErr w:type="spellEnd"/>
      <w:r w:rsidRPr="000F3BA1">
        <w:rPr>
          <w:b/>
          <w:bCs/>
          <w:u w:val="none"/>
        </w:rPr>
        <w:t>)</w:t>
      </w:r>
    </w:p>
    <w:p w14:paraId="7F77307E" w14:textId="2F4F09C6" w:rsidR="00A64B76" w:rsidRPr="004D7C50" w:rsidRDefault="00A64B76" w:rsidP="00A64B76">
      <w:pPr>
        <w:pStyle w:val="TextPI"/>
        <w:rPr>
          <w:rFonts w:eastAsia="MS Mincho"/>
          <w:noProof/>
          <w:lang w:val="en-GB" w:eastAsia="de-DE"/>
        </w:rPr>
      </w:pPr>
      <w:r w:rsidRPr="004D7C50">
        <w:rPr>
          <w:rFonts w:eastAsia="MS Mincho"/>
          <w:noProof/>
          <w:lang w:val="en-GB" w:eastAsia="de-DE"/>
        </w:rPr>
        <w:t xml:space="preserve">Nintedanib is a substrate of P-gp (see </w:t>
      </w:r>
      <w:r w:rsidR="008F393D">
        <w:rPr>
          <w:rFonts w:eastAsia="MS Mincho"/>
          <w:noProof/>
          <w:lang w:val="en-GB" w:eastAsia="de-DE"/>
        </w:rPr>
        <w:t>Section 5.2 Pharmacokinetic Properties</w:t>
      </w:r>
      <w:r w:rsidRPr="004D7C50">
        <w:rPr>
          <w:rFonts w:eastAsia="MS Mincho"/>
          <w:noProof/>
          <w:lang w:val="en-GB" w:eastAsia="de-DE"/>
        </w:rPr>
        <w:t>).  Co</w:t>
      </w:r>
      <w:r>
        <w:rPr>
          <w:rFonts w:eastAsia="MS Mincho"/>
          <w:noProof/>
          <w:lang w:val="en-GB" w:eastAsia="de-DE"/>
        </w:rPr>
        <w:noBreakHyphen/>
      </w:r>
      <w:r w:rsidRPr="004D7C50">
        <w:rPr>
          <w:rFonts w:eastAsia="MS Mincho"/>
          <w:noProof/>
          <w:lang w:val="en-GB" w:eastAsia="de-DE"/>
        </w:rPr>
        <w:t>administration with the potent P-gp inhibitor ketoconazole increased exposure to nintedanib 1.61-fold based on AUC and 1.83-fold based on C</w:t>
      </w:r>
      <w:r w:rsidRPr="004D7C50">
        <w:rPr>
          <w:rFonts w:eastAsia="MS Mincho"/>
          <w:noProof/>
          <w:vertAlign w:val="subscript"/>
          <w:lang w:val="en-GB" w:eastAsia="de-DE"/>
        </w:rPr>
        <w:t>max</w:t>
      </w:r>
      <w:r w:rsidRPr="004D7C50">
        <w:rPr>
          <w:rFonts w:eastAsia="MS Mincho"/>
          <w:noProof/>
          <w:lang w:val="en-GB" w:eastAsia="de-DE"/>
        </w:rPr>
        <w:t xml:space="preserve"> in a dedicated drug-drug interaction study.</w:t>
      </w:r>
    </w:p>
    <w:p w14:paraId="1A8C4132" w14:textId="77777777" w:rsidR="00A64B76" w:rsidRPr="004D7C50" w:rsidRDefault="00A64B76" w:rsidP="00A64B76">
      <w:pPr>
        <w:pStyle w:val="TextPI"/>
        <w:suppressAutoHyphens/>
        <w:rPr>
          <w:rFonts w:eastAsia="MS Mincho"/>
          <w:noProof/>
          <w:lang w:val="en-GB" w:eastAsia="de-DE"/>
        </w:rPr>
      </w:pPr>
      <w:r w:rsidRPr="004D7C50">
        <w:rPr>
          <w:rFonts w:eastAsia="MS Mincho"/>
          <w:noProof/>
          <w:lang w:val="en-GB" w:eastAsia="de-DE"/>
        </w:rPr>
        <w:t xml:space="preserve">In a drug-drug interaction study with the potent P-gp inducer rifampicin, exposure to nintedanib decreased </w:t>
      </w:r>
      <w:r>
        <w:rPr>
          <w:rFonts w:eastAsia="MS Mincho"/>
          <w:noProof/>
          <w:lang w:val="en-GB" w:eastAsia="de-DE"/>
        </w:rPr>
        <w:t>by</w:t>
      </w:r>
      <w:r w:rsidRPr="004D7C50">
        <w:rPr>
          <w:rFonts w:eastAsia="MS Mincho"/>
          <w:noProof/>
          <w:lang w:val="en-GB" w:eastAsia="de-DE"/>
        </w:rPr>
        <w:t xml:space="preserve"> 50</w:t>
      </w:r>
      <w:r>
        <w:rPr>
          <w:rFonts w:eastAsia="MS Mincho"/>
          <w:noProof/>
          <w:lang w:val="en-GB" w:eastAsia="de-DE"/>
        </w:rPr>
        <w:t xml:space="preserve"> </w:t>
      </w:r>
      <w:r w:rsidRPr="004D7C50">
        <w:rPr>
          <w:rFonts w:eastAsia="MS Mincho"/>
          <w:noProof/>
          <w:lang w:val="en-GB" w:eastAsia="de-DE"/>
        </w:rPr>
        <w:t xml:space="preserve">% based on AUC and </w:t>
      </w:r>
      <w:r>
        <w:rPr>
          <w:rFonts w:eastAsia="MS Mincho"/>
          <w:noProof/>
          <w:lang w:val="en-GB" w:eastAsia="de-DE"/>
        </w:rPr>
        <w:t xml:space="preserve">by 40 </w:t>
      </w:r>
      <w:r w:rsidRPr="004D7C50">
        <w:rPr>
          <w:rFonts w:eastAsia="MS Mincho"/>
          <w:noProof/>
          <w:lang w:val="en-GB" w:eastAsia="de-DE"/>
        </w:rPr>
        <w:t>% based on C</w:t>
      </w:r>
      <w:r w:rsidRPr="004D7C50">
        <w:rPr>
          <w:rFonts w:eastAsia="MS Mincho"/>
          <w:noProof/>
          <w:vertAlign w:val="subscript"/>
          <w:lang w:val="en-GB" w:eastAsia="de-DE"/>
        </w:rPr>
        <w:t>max</w:t>
      </w:r>
      <w:r w:rsidRPr="004D7C50">
        <w:rPr>
          <w:rFonts w:eastAsia="MS Mincho"/>
          <w:noProof/>
          <w:lang w:val="en-GB" w:eastAsia="de-DE"/>
        </w:rPr>
        <w:t xml:space="preserve"> upon co</w:t>
      </w:r>
      <w:r>
        <w:rPr>
          <w:rFonts w:eastAsia="MS Mincho"/>
          <w:noProof/>
          <w:lang w:val="en-GB" w:eastAsia="de-DE"/>
        </w:rPr>
        <w:noBreakHyphen/>
      </w:r>
      <w:r w:rsidRPr="004D7C50">
        <w:rPr>
          <w:rFonts w:eastAsia="MS Mincho"/>
          <w:noProof/>
          <w:lang w:val="en-GB" w:eastAsia="de-DE"/>
        </w:rPr>
        <w:t>administration with rifampicin compared to administration of nintedanib alone.</w:t>
      </w:r>
    </w:p>
    <w:p w14:paraId="11ADD28A" w14:textId="2463B44E" w:rsidR="00A64B76" w:rsidRPr="004D7C50" w:rsidRDefault="00A64B76" w:rsidP="00A64B76">
      <w:pPr>
        <w:pStyle w:val="TextPI"/>
        <w:rPr>
          <w:rFonts w:eastAsia="MS Mincho"/>
          <w:noProof/>
          <w:lang w:val="en-GB" w:eastAsia="de-DE"/>
        </w:rPr>
      </w:pPr>
      <w:r w:rsidRPr="004D7C50">
        <w:rPr>
          <w:rFonts w:eastAsia="MS Mincho"/>
          <w:noProof/>
          <w:lang w:val="en-GB" w:eastAsia="de-DE"/>
        </w:rPr>
        <w:t xml:space="preserve">If co-administered with </w:t>
      </w:r>
      <w:r>
        <w:rPr>
          <w:rFonts w:eastAsia="MS Mincho"/>
          <w:noProof/>
          <w:lang w:val="en-GB" w:eastAsia="de-DE"/>
        </w:rPr>
        <w:t xml:space="preserve">OFEV, potent </w:t>
      </w:r>
      <w:r w:rsidRPr="004D7C50">
        <w:rPr>
          <w:rFonts w:eastAsia="MS Mincho"/>
          <w:noProof/>
          <w:lang w:val="en-GB" w:eastAsia="de-DE"/>
        </w:rPr>
        <w:t>P</w:t>
      </w:r>
      <w:r>
        <w:rPr>
          <w:rFonts w:eastAsia="MS Mincho"/>
          <w:noProof/>
          <w:lang w:val="en-GB" w:eastAsia="de-DE"/>
        </w:rPr>
        <w:t>-</w:t>
      </w:r>
      <w:r w:rsidRPr="004D7C50">
        <w:rPr>
          <w:rFonts w:eastAsia="MS Mincho"/>
          <w:noProof/>
          <w:lang w:val="en-GB" w:eastAsia="de-DE"/>
        </w:rPr>
        <w:t xml:space="preserve">gp inhibitors (e.g. ketoconazole or erythromycin) may increase exposure to nintedanib.  In such cases, patients should be monitored closely for tolerability of nintedanib.  Management of </w:t>
      </w:r>
      <w:r w:rsidR="003417CB">
        <w:rPr>
          <w:rFonts w:eastAsia="MS Mincho"/>
          <w:noProof/>
          <w:lang w:val="en-GB" w:eastAsia="de-DE"/>
        </w:rPr>
        <w:t>adverse reactions</w:t>
      </w:r>
      <w:r w:rsidRPr="004D7C50">
        <w:rPr>
          <w:rFonts w:eastAsia="MS Mincho"/>
          <w:noProof/>
          <w:lang w:val="en-GB" w:eastAsia="de-DE"/>
        </w:rPr>
        <w:t xml:space="preserve"> may require interruption, dose reduction, or discontinuation of therapy with </w:t>
      </w:r>
      <w:r>
        <w:rPr>
          <w:rFonts w:eastAsia="MS Mincho"/>
          <w:noProof/>
          <w:lang w:val="en-GB" w:eastAsia="de-DE"/>
        </w:rPr>
        <w:t>OFEV</w:t>
      </w:r>
      <w:r w:rsidRPr="004D7C50">
        <w:rPr>
          <w:rFonts w:eastAsia="MS Mincho"/>
          <w:noProof/>
          <w:lang w:val="en-GB" w:eastAsia="de-DE"/>
        </w:rPr>
        <w:t xml:space="preserve"> (see </w:t>
      </w:r>
      <w:r w:rsidR="008F393D">
        <w:rPr>
          <w:rFonts w:eastAsia="MS Mincho"/>
          <w:noProof/>
          <w:lang w:val="en-GB" w:eastAsia="de-DE"/>
        </w:rPr>
        <w:t>Section 4.2 Dose and Method of Administration</w:t>
      </w:r>
      <w:r w:rsidRPr="004D7C50">
        <w:rPr>
          <w:rFonts w:eastAsia="MS Mincho"/>
          <w:noProof/>
          <w:lang w:val="en-GB" w:eastAsia="de-DE"/>
        </w:rPr>
        <w:t>).</w:t>
      </w:r>
    </w:p>
    <w:p w14:paraId="5472B486" w14:textId="77777777" w:rsidR="00A64B76" w:rsidRPr="004D7C50" w:rsidRDefault="00A64B76" w:rsidP="00A64B76">
      <w:pPr>
        <w:pStyle w:val="TextPI"/>
        <w:rPr>
          <w:rFonts w:eastAsia="MS Mincho"/>
          <w:noProof/>
          <w:lang w:val="en-GB" w:eastAsia="de-DE"/>
        </w:rPr>
      </w:pPr>
      <w:r w:rsidRPr="004D7C50">
        <w:rPr>
          <w:rFonts w:eastAsia="MS Mincho"/>
          <w:noProof/>
          <w:lang w:val="en-GB" w:eastAsia="de-DE"/>
        </w:rPr>
        <w:t>Potent P-gp inducers</w:t>
      </w:r>
      <w:r w:rsidRPr="004D7C50" w:rsidDel="00D643AD">
        <w:rPr>
          <w:rFonts w:eastAsia="MS Mincho"/>
          <w:noProof/>
          <w:lang w:val="en-GB" w:eastAsia="de-DE"/>
        </w:rPr>
        <w:t xml:space="preserve"> </w:t>
      </w:r>
      <w:r w:rsidRPr="004D7C50">
        <w:rPr>
          <w:rFonts w:eastAsia="MS Mincho"/>
          <w:noProof/>
          <w:lang w:val="en-GB" w:eastAsia="de-DE"/>
        </w:rPr>
        <w:t>(</w:t>
      </w:r>
      <w:r w:rsidRPr="004D7C50" w:rsidDel="00D643AD">
        <w:rPr>
          <w:rFonts w:eastAsia="MS Mincho"/>
          <w:noProof/>
          <w:lang w:val="en-GB" w:eastAsia="de-DE"/>
        </w:rPr>
        <w:t>e.g. rifampicin, carbamazepine, phenytoin, and St. John’s Wort</w:t>
      </w:r>
      <w:r w:rsidRPr="004D7C50">
        <w:rPr>
          <w:rFonts w:eastAsia="MS Mincho"/>
          <w:noProof/>
          <w:lang w:val="en-GB" w:eastAsia="de-DE"/>
        </w:rPr>
        <w:t xml:space="preserve">) may decrease exposure to nintedanib.  </w:t>
      </w:r>
      <w:r>
        <w:rPr>
          <w:rFonts w:eastAsia="MS Mincho"/>
          <w:noProof/>
          <w:lang w:val="en-GB" w:eastAsia="de-DE"/>
        </w:rPr>
        <w:t>Selection of an alternate concomitant medication with no or minimal P-gp induction potential should be considered.</w:t>
      </w:r>
    </w:p>
    <w:p w14:paraId="4F8461F4" w14:textId="77777777" w:rsidR="00A64B76" w:rsidRPr="000F3BA1" w:rsidRDefault="00A64B76" w:rsidP="005D33C9">
      <w:pPr>
        <w:pStyle w:val="PIheading30"/>
        <w:ind w:left="0" w:right="0" w:firstLine="0"/>
        <w:rPr>
          <w:b/>
          <w:bCs/>
          <w:u w:val="none"/>
        </w:rPr>
      </w:pPr>
      <w:r w:rsidRPr="000F3BA1">
        <w:rPr>
          <w:b/>
          <w:bCs/>
          <w:u w:val="none"/>
        </w:rPr>
        <w:t>Food</w:t>
      </w:r>
    </w:p>
    <w:p w14:paraId="24AEAF59" w14:textId="137E519E" w:rsidR="00A64B76" w:rsidRPr="005812DE" w:rsidRDefault="00A64B76" w:rsidP="00BE189E">
      <w:pPr>
        <w:pStyle w:val="TextPI"/>
        <w:keepNext/>
        <w:keepLines/>
      </w:pPr>
      <w:r>
        <w:t>OFEV</w:t>
      </w:r>
      <w:r w:rsidRPr="005812DE">
        <w:t xml:space="preserve"> is recommended to be taken with food (see </w:t>
      </w:r>
      <w:r w:rsidR="008F393D">
        <w:t>Section 5.2 Pharmacokinetic Properties</w:t>
      </w:r>
      <w:r w:rsidRPr="005812DE">
        <w:t>).</w:t>
      </w:r>
    </w:p>
    <w:p w14:paraId="5C89BDC6" w14:textId="77777777" w:rsidR="00A64B76" w:rsidRPr="000F3BA1" w:rsidRDefault="00A64B76" w:rsidP="005D33C9">
      <w:pPr>
        <w:pStyle w:val="PIheading30"/>
        <w:ind w:left="0" w:right="0" w:firstLine="0"/>
        <w:rPr>
          <w:b/>
          <w:bCs/>
          <w:u w:val="none"/>
        </w:rPr>
      </w:pPr>
      <w:r w:rsidRPr="000F3BA1">
        <w:rPr>
          <w:b/>
          <w:bCs/>
          <w:u w:val="none"/>
        </w:rPr>
        <w:t>Cytochrome (CYP)-enzymes</w:t>
      </w:r>
    </w:p>
    <w:p w14:paraId="2B4249F8" w14:textId="1F9C1B61" w:rsidR="00A64B76" w:rsidRPr="0095623A" w:rsidRDefault="00A64B76" w:rsidP="00A64B76">
      <w:pPr>
        <w:pStyle w:val="TextPI"/>
      </w:pPr>
      <w:r w:rsidRPr="0095623A">
        <w:t xml:space="preserve">Only a minor extent of the biotransformation of </w:t>
      </w:r>
      <w:proofErr w:type="spellStart"/>
      <w:r w:rsidRPr="0095623A">
        <w:t>nintedanib</w:t>
      </w:r>
      <w:proofErr w:type="spellEnd"/>
      <w:r w:rsidRPr="0095623A">
        <w:t xml:space="preserve"> consisted of CYP pathways. </w:t>
      </w:r>
      <w:proofErr w:type="spellStart"/>
      <w:r w:rsidRPr="0095623A">
        <w:t>Nintedanib</w:t>
      </w:r>
      <w:proofErr w:type="spellEnd"/>
      <w:r w:rsidRPr="0095623A">
        <w:t xml:space="preserve"> and its metabolites, the free acid moiety BIBF 1202 and its gluc</w:t>
      </w:r>
      <w:r>
        <w:t xml:space="preserve">uronide BIBF 1202 glucuronide, </w:t>
      </w:r>
      <w:r w:rsidRPr="0095623A">
        <w:t xml:space="preserve">did not inhibit or induce CYP enzymes in preclinical studies (see </w:t>
      </w:r>
      <w:r w:rsidR="008F393D">
        <w:t xml:space="preserve">Section 5.2 </w:t>
      </w:r>
      <w:r w:rsidRPr="0095623A">
        <w:t>Pharmacokinetic</w:t>
      </w:r>
      <w:r w:rsidR="008F393D">
        <w:t xml:space="preserve"> Propertie</w:t>
      </w:r>
      <w:r w:rsidRPr="0095623A">
        <w:t xml:space="preserve">s). The likelihood of drug-drug interactions with </w:t>
      </w:r>
      <w:proofErr w:type="spellStart"/>
      <w:r w:rsidRPr="0095623A">
        <w:t>nintedanib</w:t>
      </w:r>
      <w:proofErr w:type="spellEnd"/>
      <w:r w:rsidRPr="0095623A">
        <w:t xml:space="preserve"> based on CYP metabolism is therefore considered to be low.</w:t>
      </w:r>
    </w:p>
    <w:p w14:paraId="291C7E4B" w14:textId="77777777" w:rsidR="00A64B76" w:rsidRPr="000F3BA1" w:rsidRDefault="00A64B76" w:rsidP="005D33C9">
      <w:pPr>
        <w:pStyle w:val="PIheading30"/>
        <w:ind w:left="0" w:right="0" w:firstLine="0"/>
        <w:rPr>
          <w:b/>
          <w:bCs/>
          <w:u w:val="none"/>
        </w:rPr>
      </w:pPr>
      <w:r w:rsidRPr="000F3BA1">
        <w:rPr>
          <w:b/>
          <w:bCs/>
          <w:u w:val="none"/>
        </w:rPr>
        <w:t>Co-administration with other drugs</w:t>
      </w:r>
    </w:p>
    <w:p w14:paraId="7B99F6D1" w14:textId="79D74961" w:rsidR="00554A24" w:rsidRPr="00554A24" w:rsidRDefault="00554A24" w:rsidP="00A64B76">
      <w:pPr>
        <w:pStyle w:val="TextPI"/>
        <w:rPr>
          <w:rFonts w:eastAsia="MS Mincho"/>
        </w:rPr>
      </w:pPr>
      <w:r w:rsidRPr="00314627">
        <w:rPr>
          <w:rFonts w:eastAsia="MS Mincho"/>
        </w:rPr>
        <w:t xml:space="preserve">The potential for interactions of </w:t>
      </w:r>
      <w:proofErr w:type="spellStart"/>
      <w:r w:rsidRPr="00314627">
        <w:rPr>
          <w:rFonts w:eastAsia="MS Mincho"/>
        </w:rPr>
        <w:t>nintedanib</w:t>
      </w:r>
      <w:proofErr w:type="spellEnd"/>
      <w:r w:rsidRPr="00314627">
        <w:rPr>
          <w:rFonts w:eastAsia="MS Mincho"/>
        </w:rPr>
        <w:t xml:space="preserve"> with hormonal contraceptives was not explored.</w:t>
      </w:r>
    </w:p>
    <w:p w14:paraId="4525DCDC" w14:textId="056A5DA8" w:rsidR="00A64B76" w:rsidRDefault="00A64B76" w:rsidP="00A64B76">
      <w:pPr>
        <w:pStyle w:val="TextPI"/>
      </w:pPr>
      <w:r w:rsidRPr="00427020">
        <w:rPr>
          <w:i/>
          <w:iCs/>
        </w:rPr>
        <w:lastRenderedPageBreak/>
        <w:t>NSCLC</w:t>
      </w:r>
    </w:p>
    <w:p w14:paraId="5896C70D" w14:textId="77777777" w:rsidR="00A64B76" w:rsidRDefault="00A64B76" w:rsidP="00A64B76">
      <w:pPr>
        <w:pStyle w:val="TextPI"/>
      </w:pPr>
      <w:r w:rsidRPr="0059634F">
        <w:t xml:space="preserve">Co-administration of </w:t>
      </w:r>
      <w:proofErr w:type="spellStart"/>
      <w:r w:rsidRPr="0059634F">
        <w:t>nintedanib</w:t>
      </w:r>
      <w:proofErr w:type="spellEnd"/>
      <w:r w:rsidRPr="0059634F">
        <w:t xml:space="preserve"> with docetaxel (75 mg/m²) did not alter the pharmacokinetics of either drug to a relevant extent.</w:t>
      </w:r>
    </w:p>
    <w:p w14:paraId="2B5F237A" w14:textId="382607A4" w:rsidR="00A64B76" w:rsidRDefault="00A64B76" w:rsidP="00A64B76">
      <w:pPr>
        <w:pStyle w:val="TextPI"/>
      </w:pPr>
      <w:r w:rsidRPr="00205321">
        <w:rPr>
          <w:i/>
          <w:iCs/>
        </w:rPr>
        <w:t>IPF</w:t>
      </w:r>
      <w:r w:rsidR="00721DFC">
        <w:rPr>
          <w:i/>
          <w:iCs/>
        </w:rPr>
        <w:t xml:space="preserve">, </w:t>
      </w:r>
      <w:r w:rsidR="00721DFC" w:rsidRPr="001B1F9E">
        <w:rPr>
          <w:i/>
          <w:iCs/>
        </w:rPr>
        <w:t>other chronic fibrosing ILDs with a progressive phenotyp</w:t>
      </w:r>
      <w:r w:rsidR="00721DFC">
        <w:rPr>
          <w:i/>
          <w:iCs/>
        </w:rPr>
        <w:t>e,</w:t>
      </w:r>
      <w:r w:rsidR="00FF3EC0">
        <w:rPr>
          <w:i/>
          <w:iCs/>
        </w:rPr>
        <w:t xml:space="preserve"> and </w:t>
      </w:r>
      <w:proofErr w:type="spellStart"/>
      <w:r w:rsidR="00FF3EC0">
        <w:rPr>
          <w:i/>
          <w:iCs/>
        </w:rPr>
        <w:t>SSc</w:t>
      </w:r>
      <w:proofErr w:type="spellEnd"/>
      <w:r w:rsidR="00FF3EC0">
        <w:rPr>
          <w:i/>
          <w:iCs/>
        </w:rPr>
        <w:t>-ILD</w:t>
      </w:r>
      <w:r w:rsidRPr="00DA71B9">
        <w:t xml:space="preserve"> </w:t>
      </w:r>
    </w:p>
    <w:p w14:paraId="7BE0CC6B" w14:textId="4B0122FD" w:rsidR="00A64B76" w:rsidRDefault="00A64B76" w:rsidP="00A64B76">
      <w:pPr>
        <w:pStyle w:val="TextPI"/>
      </w:pPr>
      <w:r w:rsidRPr="00DA71B9">
        <w:t xml:space="preserve">For co-administration of </w:t>
      </w:r>
      <w:proofErr w:type="spellStart"/>
      <w:r w:rsidRPr="00DA71B9">
        <w:t>nintedanib</w:t>
      </w:r>
      <w:proofErr w:type="spellEnd"/>
      <w:r w:rsidRPr="00DA71B9">
        <w:t xml:space="preserve"> with </w:t>
      </w:r>
      <w:proofErr w:type="spellStart"/>
      <w:r w:rsidRPr="00DA71B9">
        <w:t>pirfenidone</w:t>
      </w:r>
      <w:proofErr w:type="spellEnd"/>
      <w:r w:rsidRPr="00DA71B9">
        <w:t xml:space="preserve"> </w:t>
      </w:r>
      <w:r>
        <w:t>(</w:t>
      </w:r>
      <w:r w:rsidRPr="00DA71B9">
        <w:t xml:space="preserve">see </w:t>
      </w:r>
      <w:r w:rsidR="008F393D">
        <w:t xml:space="preserve">Section 5.2 </w:t>
      </w:r>
      <w:r w:rsidR="008F393D" w:rsidRPr="0095623A">
        <w:t>Pharmacokinetic</w:t>
      </w:r>
      <w:r w:rsidR="008F393D">
        <w:t xml:space="preserve"> Propertie</w:t>
      </w:r>
      <w:r w:rsidR="008F393D" w:rsidRPr="0095623A">
        <w:t>s</w:t>
      </w:r>
      <w:r>
        <w:t>)</w:t>
      </w:r>
      <w:r w:rsidRPr="00DA71B9">
        <w:t>.</w:t>
      </w:r>
    </w:p>
    <w:p w14:paraId="7A0F218C" w14:textId="165BFBAD" w:rsidR="00A64B76" w:rsidRPr="00314627" w:rsidRDefault="007C1484" w:rsidP="00A64B76">
      <w:pPr>
        <w:pStyle w:val="TextPI"/>
        <w:rPr>
          <w:rFonts w:eastAsia="MS Mincho"/>
        </w:rPr>
      </w:pPr>
      <w:r>
        <w:t>Co-</w:t>
      </w:r>
      <w:r w:rsidRPr="003C7B63">
        <w:t xml:space="preserve">administration of </w:t>
      </w:r>
      <w:proofErr w:type="spellStart"/>
      <w:r w:rsidRPr="003C7B63">
        <w:t>nintedanib</w:t>
      </w:r>
      <w:proofErr w:type="spellEnd"/>
      <w:r w:rsidRPr="003C7B63">
        <w:t xml:space="preserve"> with </w:t>
      </w:r>
      <w:proofErr w:type="spellStart"/>
      <w:r w:rsidRPr="003C7B63">
        <w:t>bosentan</w:t>
      </w:r>
      <w:proofErr w:type="spellEnd"/>
      <w:r w:rsidRPr="003C7B63">
        <w:t xml:space="preserve"> did not alter the pharmacokinetics of </w:t>
      </w:r>
      <w:proofErr w:type="spellStart"/>
      <w:r w:rsidRPr="003C7B63">
        <w:t>nintedanib</w:t>
      </w:r>
      <w:proofErr w:type="spellEnd"/>
      <w:r>
        <w:t xml:space="preserve"> (</w:t>
      </w:r>
      <w:r w:rsidRPr="00DA71B9">
        <w:t xml:space="preserve">see </w:t>
      </w:r>
      <w:r>
        <w:t xml:space="preserve">Section 5.2 </w:t>
      </w:r>
      <w:r w:rsidRPr="0095623A">
        <w:t>Pharmacokinetic</w:t>
      </w:r>
      <w:r>
        <w:t xml:space="preserve"> Propertie</w:t>
      </w:r>
      <w:r w:rsidRPr="0095623A">
        <w:t>s</w:t>
      </w:r>
      <w:r>
        <w:t>)</w:t>
      </w:r>
      <w:r w:rsidRPr="00DA71B9">
        <w:t>.</w:t>
      </w:r>
    </w:p>
    <w:p w14:paraId="23573F02" w14:textId="77777777" w:rsidR="00A64B76" w:rsidRPr="00AB6D58" w:rsidRDefault="00A64B76" w:rsidP="00AB6D58">
      <w:pPr>
        <w:pStyle w:val="PIheading2"/>
        <w:rPr>
          <w:caps/>
        </w:rPr>
      </w:pPr>
      <w:r w:rsidRPr="00AB6D58">
        <w:rPr>
          <w:caps/>
        </w:rPr>
        <w:t>4.6 FERTILITY, PREGNANCY AND LACTATION</w:t>
      </w:r>
    </w:p>
    <w:p w14:paraId="7D6A0125" w14:textId="77777777" w:rsidR="00A64B76" w:rsidRPr="000F3BA1" w:rsidRDefault="00A64B76" w:rsidP="005D33C9">
      <w:pPr>
        <w:pStyle w:val="PIheading30"/>
        <w:ind w:left="0" w:right="0" w:firstLine="0"/>
        <w:rPr>
          <w:b/>
          <w:bCs/>
          <w:u w:val="none"/>
        </w:rPr>
      </w:pPr>
      <w:r w:rsidRPr="000F3BA1">
        <w:rPr>
          <w:b/>
          <w:bCs/>
          <w:u w:val="none"/>
        </w:rPr>
        <w:t>Effects on fertility</w:t>
      </w:r>
    </w:p>
    <w:p w14:paraId="66BAE2CC" w14:textId="77777777" w:rsidR="00A64B76" w:rsidRDefault="00A64B76" w:rsidP="00A64B76">
      <w:pPr>
        <w:pStyle w:val="TextPI"/>
        <w:rPr>
          <w:lang w:val="en-GB" w:eastAsia="en-GB"/>
        </w:rPr>
      </w:pPr>
      <w:r w:rsidRPr="000D4451">
        <w:rPr>
          <w:lang w:val="en-GB" w:eastAsia="en-GB"/>
        </w:rPr>
        <w:t xml:space="preserve">Based on preclinical investigations, there is no evidence for impairment of male fertility.  A study of male fertility and early embryonic development up to implantation in rats </w:t>
      </w:r>
      <w:r w:rsidRPr="00DF7E88">
        <w:rPr>
          <w:lang w:val="en-GB" w:eastAsia="en-GB"/>
        </w:rPr>
        <w:t>at 100</w:t>
      </w:r>
      <w:r>
        <w:rPr>
          <w:lang w:val="en-GB" w:eastAsia="en-GB"/>
        </w:rPr>
        <w:t> </w:t>
      </w:r>
      <w:r w:rsidRPr="00DF7E88">
        <w:rPr>
          <w:lang w:val="en-GB" w:eastAsia="en-GB"/>
        </w:rPr>
        <w:t xml:space="preserve">mg/kg/day </w:t>
      </w:r>
      <w:r w:rsidRPr="000D4451">
        <w:rPr>
          <w:lang w:val="en-GB" w:eastAsia="en-GB"/>
        </w:rPr>
        <w:t>did not reveal effects on the male reproductive tract and male fertility</w:t>
      </w:r>
      <w:r w:rsidRPr="000D4451">
        <w:rPr>
          <w:szCs w:val="24"/>
          <w:lang w:val="en-GB" w:eastAsia="en-GB"/>
        </w:rPr>
        <w:t>.</w:t>
      </w:r>
      <w:r>
        <w:rPr>
          <w:szCs w:val="24"/>
          <w:lang w:val="en-GB" w:eastAsia="en-GB"/>
        </w:rPr>
        <w:t xml:space="preserve">  </w:t>
      </w:r>
      <w:r>
        <w:rPr>
          <w:lang w:val="en-GB" w:eastAsia="en-GB"/>
        </w:rPr>
        <w:t xml:space="preserve">In the same species, </w:t>
      </w:r>
      <w:proofErr w:type="spellStart"/>
      <w:r>
        <w:rPr>
          <w:lang w:val="en-GB" w:eastAsia="en-GB"/>
        </w:rPr>
        <w:t>nintedanib</w:t>
      </w:r>
      <w:proofErr w:type="spellEnd"/>
      <w:r>
        <w:rPr>
          <w:lang w:val="en-GB" w:eastAsia="en-GB"/>
        </w:rPr>
        <w:t xml:space="preserve"> reduced female fertility at 100 mg/kg/day (slightly above the clinical exposure on an AUC basis), and increased early resorptions at </w:t>
      </w:r>
      <w:r>
        <w:rPr>
          <w:rFonts w:cs="Arial"/>
          <w:lang w:val="en-GB" w:eastAsia="en-GB"/>
        </w:rPr>
        <w:t xml:space="preserve">≥ </w:t>
      </w:r>
      <w:r>
        <w:rPr>
          <w:lang w:val="en-GB" w:eastAsia="en-GB"/>
        </w:rPr>
        <w:t>20 mg/kg/day (below clinical exposure based on AUC).  Ovarian follicles and corpora lutea (increased luteinised follicles and increased number and decreased size of corpora lutea) were adversely affected in mice and rats at subclinical exposures</w:t>
      </w:r>
      <w:r w:rsidRPr="000D4451">
        <w:rPr>
          <w:lang w:val="en-GB" w:eastAsia="en-GB"/>
        </w:rPr>
        <w:t>.</w:t>
      </w:r>
    </w:p>
    <w:p w14:paraId="2A9B9DC7" w14:textId="51A6AE20" w:rsidR="00A64B76" w:rsidRPr="000F3BA1" w:rsidRDefault="00A64B76" w:rsidP="005D33C9">
      <w:pPr>
        <w:pStyle w:val="PIheading30"/>
        <w:ind w:left="0" w:right="0" w:firstLine="0"/>
        <w:rPr>
          <w:b/>
          <w:bCs/>
          <w:u w:val="none"/>
        </w:rPr>
      </w:pPr>
      <w:r w:rsidRPr="000F3BA1">
        <w:rPr>
          <w:b/>
          <w:bCs/>
          <w:u w:val="none"/>
        </w:rPr>
        <w:t>Use in pregnancy</w:t>
      </w:r>
      <w:r w:rsidR="001D2E40">
        <w:rPr>
          <w:b/>
          <w:bCs/>
          <w:u w:val="none"/>
        </w:rPr>
        <w:t xml:space="preserve"> - Pregnancy</w:t>
      </w:r>
      <w:r w:rsidRPr="000F3BA1">
        <w:rPr>
          <w:b/>
          <w:bCs/>
          <w:u w:val="none"/>
        </w:rPr>
        <w:t xml:space="preserve"> Category D</w:t>
      </w:r>
    </w:p>
    <w:p w14:paraId="4D8F911D" w14:textId="77777777" w:rsidR="00A660AF" w:rsidRDefault="00A64B76" w:rsidP="00A64B76">
      <w:pPr>
        <w:pStyle w:val="TextPI"/>
      </w:pPr>
      <w:r w:rsidRPr="00213207">
        <w:t xml:space="preserve">There is no information on the use of </w:t>
      </w:r>
      <w:r>
        <w:t>OFEV</w:t>
      </w:r>
      <w:r w:rsidRPr="00213207">
        <w:t xml:space="preserve"> in pregnant women, but pre-clinical studies in animals have shown reproductive toxicity of this drug.</w:t>
      </w:r>
    </w:p>
    <w:p w14:paraId="02DAEDC8" w14:textId="77777777" w:rsidR="00A660AF" w:rsidRDefault="00A660AF" w:rsidP="00A660AF">
      <w:pPr>
        <w:pStyle w:val="TextPI"/>
      </w:pPr>
      <w:r w:rsidRPr="00213207">
        <w:t xml:space="preserve">As </w:t>
      </w:r>
      <w:proofErr w:type="spellStart"/>
      <w:r w:rsidRPr="00213207">
        <w:t>nintedanib</w:t>
      </w:r>
      <w:proofErr w:type="spellEnd"/>
      <w:r w:rsidRPr="00213207">
        <w:t xml:space="preserve"> may cause </w:t>
      </w:r>
      <w:proofErr w:type="spellStart"/>
      <w:r w:rsidRPr="00213207">
        <w:t>fetal</w:t>
      </w:r>
      <w:proofErr w:type="spellEnd"/>
      <w:r w:rsidRPr="00213207">
        <w:t xml:space="preserve"> harm also in humans, it must not be </w:t>
      </w:r>
      <w:r>
        <w:t>used</w:t>
      </w:r>
      <w:r w:rsidRPr="00213207">
        <w:t xml:space="preserve"> during pregnancy</w:t>
      </w:r>
      <w:r>
        <w:t xml:space="preserve"> (see Section 4.3 Contraindications)</w:t>
      </w:r>
      <w:r w:rsidRPr="00213207">
        <w:t xml:space="preserve"> </w:t>
      </w:r>
      <w:r w:rsidRPr="00427020">
        <w:t xml:space="preserve">and pregnancy testing </w:t>
      </w:r>
      <w:r>
        <w:t>must</w:t>
      </w:r>
      <w:r w:rsidRPr="00427020">
        <w:t xml:space="preserve"> be conducted prior to treatment with </w:t>
      </w:r>
      <w:r>
        <w:t>OFEV and during treatment as appropriate</w:t>
      </w:r>
      <w:r w:rsidRPr="00427020">
        <w:t xml:space="preserve">.  Female patients should be advised to notify their doctor or pharmacist if </w:t>
      </w:r>
      <w:r w:rsidRPr="006149A5">
        <w:t xml:space="preserve">they become pregnant during therapy with </w:t>
      </w:r>
      <w:r>
        <w:t>OFEV</w:t>
      </w:r>
      <w:r w:rsidRPr="006149A5">
        <w:t>.  If the pati</w:t>
      </w:r>
      <w:r w:rsidRPr="00213207">
        <w:t xml:space="preserve">ent becomes pregnant while receiving </w:t>
      </w:r>
      <w:r>
        <w:t>OFEV</w:t>
      </w:r>
      <w:r w:rsidRPr="00213207">
        <w:t xml:space="preserve"> </w:t>
      </w:r>
      <w:r>
        <w:t xml:space="preserve">treatment must be discontinued and </w:t>
      </w:r>
      <w:r w:rsidRPr="00213207">
        <w:t xml:space="preserve">the patient should be apprised of the potential hazard to the </w:t>
      </w:r>
      <w:proofErr w:type="spellStart"/>
      <w:r w:rsidRPr="00213207">
        <w:t>fetus</w:t>
      </w:r>
      <w:proofErr w:type="spellEnd"/>
      <w:r w:rsidRPr="00213207">
        <w:t>.</w:t>
      </w:r>
    </w:p>
    <w:p w14:paraId="2F00A3D3" w14:textId="12B8987A" w:rsidR="00A64B76" w:rsidRDefault="00A660AF" w:rsidP="00A64B76">
      <w:pPr>
        <w:pStyle w:val="TextPI"/>
      </w:pPr>
      <w:r w:rsidRPr="00213207">
        <w:rPr>
          <w:rFonts w:eastAsia="MS Mincho"/>
        </w:rPr>
        <w:t xml:space="preserve">Women of childbearing potential should be advised to avoid becoming pregnant while receiving treatment with </w:t>
      </w:r>
      <w:r>
        <w:rPr>
          <w:rFonts w:eastAsia="MS Mincho"/>
        </w:rPr>
        <w:t>OFEV and</w:t>
      </w:r>
      <w:r w:rsidRPr="00213207">
        <w:t xml:space="preserve"> to use </w:t>
      </w:r>
      <w:r>
        <w:t>highly effective</w:t>
      </w:r>
      <w:r w:rsidRPr="00213207">
        <w:t xml:space="preserve"> contracepti</w:t>
      </w:r>
      <w:r>
        <w:t>ve methods</w:t>
      </w:r>
      <w:r w:rsidRPr="00213207">
        <w:t xml:space="preserve"> during and at least 3 months after the last dose of </w:t>
      </w:r>
      <w:r>
        <w:t>OFEV</w:t>
      </w:r>
      <w:r w:rsidRPr="00213207">
        <w:t xml:space="preserve">. </w:t>
      </w:r>
      <w:r w:rsidRPr="00213207">
        <w:rPr>
          <w:rFonts w:eastAsia="MS Mincho"/>
        </w:rPr>
        <w:t xml:space="preserve"> </w:t>
      </w:r>
      <w:r w:rsidRPr="003824CA">
        <w:rPr>
          <w:rFonts w:eastAsia="MS Mincho"/>
        </w:rPr>
        <w:t xml:space="preserve">It is currently unknown whether </w:t>
      </w:r>
      <w:proofErr w:type="spellStart"/>
      <w:r w:rsidRPr="003824CA">
        <w:rPr>
          <w:rFonts w:eastAsia="MS Mincho"/>
        </w:rPr>
        <w:t>nintedanib</w:t>
      </w:r>
      <w:proofErr w:type="spellEnd"/>
      <w:r w:rsidRPr="003824CA">
        <w:rPr>
          <w:rFonts w:eastAsia="MS Mincho"/>
        </w:rPr>
        <w:t xml:space="preserve"> may reduce the effectiveness of hormonal contraceptives, and therefore, women using hormonal contraceptives must add a barrier method</w:t>
      </w:r>
      <w:r>
        <w:rPr>
          <w:rFonts w:eastAsia="MS Mincho"/>
        </w:rPr>
        <w:t>.</w:t>
      </w:r>
    </w:p>
    <w:p w14:paraId="4699A8E6" w14:textId="77777777" w:rsidR="00A64B76" w:rsidRDefault="00A64B76" w:rsidP="00A64B76">
      <w:pPr>
        <w:pStyle w:val="TextPI"/>
      </w:pPr>
      <w:r w:rsidRPr="008A5610">
        <w:rPr>
          <w:i/>
          <w:iCs/>
        </w:rPr>
        <w:t>NSCLC</w:t>
      </w:r>
      <w:r w:rsidRPr="008A5610">
        <w:t xml:space="preserve"> </w:t>
      </w:r>
    </w:p>
    <w:p w14:paraId="0FF151D4" w14:textId="77777777" w:rsidR="00A64B76" w:rsidRPr="008A5610" w:rsidRDefault="00A64B76" w:rsidP="00A64B76">
      <w:pPr>
        <w:pStyle w:val="TextPI"/>
      </w:pPr>
      <w:r w:rsidRPr="008A5610">
        <w:t>In rats, embryo-</w:t>
      </w:r>
      <w:proofErr w:type="spellStart"/>
      <w:r w:rsidRPr="008A5610">
        <w:t>fetal</w:t>
      </w:r>
      <w:proofErr w:type="spellEnd"/>
      <w:r w:rsidRPr="008A5610">
        <w:t xml:space="preserve"> lethality and teratogenic effects were observed at an exposure </w:t>
      </w:r>
      <w:r>
        <w:t>significantly</w:t>
      </w:r>
      <w:r w:rsidRPr="008A5610">
        <w:t xml:space="preserve"> lower</w:t>
      </w:r>
      <w:r>
        <w:t xml:space="preserve"> (below the level of quantification, at 2.5 mg/kg/day)</w:t>
      </w:r>
      <w:r w:rsidRPr="008A5610">
        <w:t xml:space="preserve"> than at the maximal recommended human dose (MRHD) of </w:t>
      </w:r>
      <w:r>
        <w:t xml:space="preserve">200 </w:t>
      </w:r>
      <w:r w:rsidRPr="008A5610">
        <w:t>mg twice daily.</w:t>
      </w:r>
    </w:p>
    <w:p w14:paraId="37DCF66D" w14:textId="77777777" w:rsidR="00A64B76" w:rsidRPr="008C67E4" w:rsidRDefault="00A64B76" w:rsidP="00A64B76">
      <w:pPr>
        <w:pStyle w:val="TextPI"/>
      </w:pPr>
      <w:r w:rsidRPr="008C67E4">
        <w:t>In rabbits, embryo-</w:t>
      </w:r>
      <w:proofErr w:type="spellStart"/>
      <w:r w:rsidRPr="008C67E4">
        <w:t>fetal</w:t>
      </w:r>
      <w:proofErr w:type="spellEnd"/>
      <w:r w:rsidRPr="008C67E4">
        <w:t xml:space="preserve"> lethality and teratogenic effects were observed at 15 mg/kg/day with an exposure approximately 4 times higher than at the MHRD but equivocal effects on the embryo-</w:t>
      </w:r>
      <w:proofErr w:type="spellStart"/>
      <w:r w:rsidRPr="008C67E4">
        <w:t>fetal</w:t>
      </w:r>
      <w:proofErr w:type="spellEnd"/>
      <w:r w:rsidRPr="008C67E4">
        <w:t xml:space="preserve"> development of the axial skeleton and the heart were noted already at an exposure below than at the MRHD of 200 mg twice daily.</w:t>
      </w:r>
    </w:p>
    <w:p w14:paraId="32E68738" w14:textId="7F181B7E" w:rsidR="00A64B76" w:rsidRDefault="00A64B76" w:rsidP="00A64B76">
      <w:pPr>
        <w:pStyle w:val="TextPI"/>
      </w:pPr>
      <w:r w:rsidRPr="008C67E4">
        <w:rPr>
          <w:i/>
          <w:iCs/>
        </w:rPr>
        <w:t>IPF</w:t>
      </w:r>
      <w:r w:rsidR="00A93C30">
        <w:rPr>
          <w:i/>
          <w:iCs/>
        </w:rPr>
        <w:t xml:space="preserve">, </w:t>
      </w:r>
      <w:r w:rsidR="00A93C30" w:rsidRPr="00461B22">
        <w:rPr>
          <w:i/>
          <w:iCs/>
        </w:rPr>
        <w:t>other chronic fibrosing ILDs with a progressive phenotype</w:t>
      </w:r>
      <w:r w:rsidR="00A93C30">
        <w:rPr>
          <w:i/>
          <w:iCs/>
        </w:rPr>
        <w:t>,</w:t>
      </w:r>
      <w:r w:rsidR="004408A0">
        <w:rPr>
          <w:i/>
          <w:iCs/>
        </w:rPr>
        <w:t xml:space="preserve"> and </w:t>
      </w:r>
      <w:proofErr w:type="spellStart"/>
      <w:r w:rsidR="004408A0">
        <w:rPr>
          <w:i/>
          <w:iCs/>
        </w:rPr>
        <w:t>SSc</w:t>
      </w:r>
      <w:proofErr w:type="spellEnd"/>
      <w:r w:rsidR="004408A0">
        <w:rPr>
          <w:i/>
          <w:iCs/>
        </w:rPr>
        <w:t>-ILD</w:t>
      </w:r>
      <w:r w:rsidRPr="008C67E4">
        <w:t xml:space="preserve"> </w:t>
      </w:r>
    </w:p>
    <w:p w14:paraId="50DE3E18" w14:textId="2224FDA0" w:rsidR="00A64B76" w:rsidRPr="008C67E4" w:rsidRDefault="00A64B76" w:rsidP="00A64B76">
      <w:pPr>
        <w:pStyle w:val="TextPI"/>
      </w:pPr>
      <w:r w:rsidRPr="008C67E4">
        <w:t>In rats, embryo-</w:t>
      </w:r>
      <w:proofErr w:type="spellStart"/>
      <w:r w:rsidRPr="008C67E4">
        <w:t>fetal</w:t>
      </w:r>
      <w:proofErr w:type="spellEnd"/>
      <w:r w:rsidRPr="008C67E4">
        <w:t xml:space="preserve"> lethality and teratogenic effects </w:t>
      </w:r>
      <w:proofErr w:type="gramStart"/>
      <w:r w:rsidRPr="008C67E4">
        <w:t>were observed</w:t>
      </w:r>
      <w:proofErr w:type="gramEnd"/>
      <w:r w:rsidRPr="008C67E4">
        <w:t xml:space="preserve"> at an exposure significantly lower (below the level of quantification, at 2.5 mg/kg/day) than at the maximal recommended human dose</w:t>
      </w:r>
      <w:r w:rsidR="000F322D">
        <w:t xml:space="preserve"> (MRHD) of 150 mg twice daily.</w:t>
      </w:r>
    </w:p>
    <w:p w14:paraId="7900F4E2" w14:textId="77777777" w:rsidR="00A64B76" w:rsidRDefault="00A64B76" w:rsidP="00A64B76">
      <w:pPr>
        <w:pStyle w:val="TextPI"/>
      </w:pPr>
      <w:r w:rsidRPr="008C67E4">
        <w:lastRenderedPageBreak/>
        <w:t>In rabbits, embryo-</w:t>
      </w:r>
      <w:proofErr w:type="spellStart"/>
      <w:r w:rsidRPr="008C67E4">
        <w:t>fetal</w:t>
      </w:r>
      <w:proofErr w:type="spellEnd"/>
      <w:r w:rsidRPr="008C67E4">
        <w:t xml:space="preserve"> lethality and teratogenic effects were observed at 15 mg/kg/day with an exposure approximately 5 times higher than at the MHRD but equivocal effects on the embryo-</w:t>
      </w:r>
      <w:proofErr w:type="spellStart"/>
      <w:r w:rsidRPr="008C67E4">
        <w:t>fetal</w:t>
      </w:r>
      <w:proofErr w:type="spellEnd"/>
      <w:r w:rsidRPr="008C67E4">
        <w:t xml:space="preserve"> development of the axial skeleton and the heart were noted already at an exposure below that at the MRHD of 150 mg twice daily.</w:t>
      </w:r>
    </w:p>
    <w:p w14:paraId="34BF7DF6" w14:textId="77777777" w:rsidR="00A64B76" w:rsidRPr="007148C2" w:rsidRDefault="00A64B76" w:rsidP="00A64B76">
      <w:pPr>
        <w:pStyle w:val="TextPI"/>
        <w:rPr>
          <w:lang w:val="en-GB"/>
        </w:rPr>
      </w:pPr>
      <w:proofErr w:type="spellStart"/>
      <w:r w:rsidRPr="007148C2">
        <w:rPr>
          <w:lang w:val="en-GB"/>
        </w:rPr>
        <w:t>Fetal</w:t>
      </w:r>
      <w:proofErr w:type="spellEnd"/>
      <w:r w:rsidRPr="007148C2">
        <w:rPr>
          <w:lang w:val="en-GB"/>
        </w:rPr>
        <w:t xml:space="preserve"> abnormalities included </w:t>
      </w:r>
      <w:proofErr w:type="spellStart"/>
      <w:r w:rsidRPr="007148C2">
        <w:rPr>
          <w:lang w:val="en-GB"/>
        </w:rPr>
        <w:t>brachydactyly</w:t>
      </w:r>
      <w:proofErr w:type="spellEnd"/>
      <w:r w:rsidRPr="007148C2">
        <w:rPr>
          <w:lang w:val="en-GB"/>
        </w:rPr>
        <w:t>, major artery anomalies (missing, additional, altered position or size), abnormal heart shape, missing urogenital organs (kidneys, ureter, uterus, ductus deferens, ovaries), vertebral anomalies (missing, fused, displaced, cleft, asymmetrical ossification), and rib anomalies (flat, thickened, additional, fused).</w:t>
      </w:r>
    </w:p>
    <w:p w14:paraId="38FDF541" w14:textId="7CA4F7B4" w:rsidR="00A64B76" w:rsidRPr="000F3BA1" w:rsidRDefault="00A64B76" w:rsidP="005D33C9">
      <w:pPr>
        <w:pStyle w:val="PIheading30"/>
        <w:ind w:left="0" w:right="0" w:firstLine="0"/>
        <w:rPr>
          <w:b/>
          <w:bCs/>
          <w:u w:val="none"/>
        </w:rPr>
      </w:pPr>
      <w:r w:rsidRPr="000F3BA1">
        <w:rPr>
          <w:b/>
          <w:bCs/>
          <w:u w:val="none"/>
        </w:rPr>
        <w:t>Use in lactation</w:t>
      </w:r>
    </w:p>
    <w:p w14:paraId="01B6972F" w14:textId="77777777" w:rsidR="00A64B76" w:rsidRPr="009436FB" w:rsidRDefault="00A64B76" w:rsidP="00A64B76">
      <w:pPr>
        <w:pStyle w:val="TextPI"/>
        <w:rPr>
          <w:rFonts w:eastAsia="SimSun"/>
          <w:strike/>
          <w:lang w:val="en-GB" w:eastAsia="zh-CN"/>
        </w:rPr>
      </w:pPr>
      <w:r w:rsidRPr="009436FB">
        <w:rPr>
          <w:rFonts w:eastAsia="SimSun"/>
          <w:lang w:val="en-GB" w:eastAsia="zh-CN"/>
        </w:rPr>
        <w:t xml:space="preserve">There is no information on the excretion of </w:t>
      </w:r>
      <w:proofErr w:type="spellStart"/>
      <w:r w:rsidRPr="009436FB">
        <w:rPr>
          <w:rFonts w:eastAsia="SimSun"/>
          <w:lang w:val="en-GB" w:eastAsia="zh-CN"/>
        </w:rPr>
        <w:t>nintedanib</w:t>
      </w:r>
      <w:proofErr w:type="spellEnd"/>
      <w:r w:rsidRPr="009436FB">
        <w:rPr>
          <w:rFonts w:eastAsia="SimSun"/>
          <w:lang w:val="en-GB" w:eastAsia="zh-CN"/>
        </w:rPr>
        <w:t xml:space="preserve"> and its metabolites in human milk. </w:t>
      </w:r>
      <w:r w:rsidRPr="009436FB">
        <w:rPr>
          <w:rFonts w:eastAsia="SimSun"/>
          <w:lang w:val="en-GB" w:eastAsia="zh-CN"/>
        </w:rPr>
        <w:br/>
        <w:t xml:space="preserve">Pre-clinical studies showed that small amounts of </w:t>
      </w:r>
      <w:proofErr w:type="spellStart"/>
      <w:r w:rsidRPr="009436FB">
        <w:rPr>
          <w:rFonts w:eastAsia="SimSun"/>
          <w:lang w:val="en-GB" w:eastAsia="zh-CN"/>
        </w:rPr>
        <w:t>nintedanib</w:t>
      </w:r>
      <w:proofErr w:type="spellEnd"/>
      <w:r w:rsidRPr="009436FB">
        <w:rPr>
          <w:rFonts w:eastAsia="SimSun"/>
          <w:lang w:val="en-GB" w:eastAsia="zh-CN"/>
        </w:rPr>
        <w:t xml:space="preserve"> and</w:t>
      </w:r>
      <w:r>
        <w:rPr>
          <w:rFonts w:eastAsia="SimSun"/>
          <w:lang w:val="en-GB" w:eastAsia="zh-CN"/>
        </w:rPr>
        <w:t>/or</w:t>
      </w:r>
      <w:r w:rsidRPr="009436FB">
        <w:rPr>
          <w:rFonts w:eastAsia="SimSun"/>
          <w:lang w:val="en-GB" w:eastAsia="zh-CN"/>
        </w:rPr>
        <w:t xml:space="preserve"> its metabolites (≤ 0.5% of the administered dose) </w:t>
      </w:r>
      <w:proofErr w:type="gramStart"/>
      <w:r w:rsidRPr="009436FB">
        <w:rPr>
          <w:rFonts w:eastAsia="SimSun"/>
          <w:lang w:val="en-GB" w:eastAsia="zh-CN"/>
        </w:rPr>
        <w:t>were secreted</w:t>
      </w:r>
      <w:proofErr w:type="gramEnd"/>
      <w:r w:rsidRPr="009436FB">
        <w:rPr>
          <w:rFonts w:eastAsia="SimSun"/>
          <w:lang w:val="en-GB" w:eastAsia="zh-CN"/>
        </w:rPr>
        <w:t xml:space="preserve"> into milk of lactating rats.</w:t>
      </w:r>
    </w:p>
    <w:p w14:paraId="54D28E03" w14:textId="77777777" w:rsidR="00A64B76" w:rsidRDefault="00A64B76" w:rsidP="00A64B76">
      <w:pPr>
        <w:pStyle w:val="TextPI"/>
        <w:rPr>
          <w:rFonts w:eastAsia="SimSun"/>
          <w:lang w:val="en-GB" w:eastAsia="zh-CN"/>
        </w:rPr>
      </w:pPr>
      <w:r w:rsidRPr="006E1339">
        <w:rPr>
          <w:rFonts w:eastAsia="SimSun"/>
          <w:lang w:val="en-GB" w:eastAsia="zh-CN"/>
        </w:rPr>
        <w:t xml:space="preserve">Decreased postnatal viability during the first 4 postnatal days was observed in rats dosed with 10 mg/kg/day </w:t>
      </w:r>
      <w:proofErr w:type="spellStart"/>
      <w:r w:rsidRPr="006E1339">
        <w:rPr>
          <w:rFonts w:eastAsia="SimSun"/>
          <w:lang w:val="en-GB" w:eastAsia="zh-CN"/>
        </w:rPr>
        <w:t>nintedanib</w:t>
      </w:r>
      <w:proofErr w:type="spellEnd"/>
      <w:r w:rsidRPr="006E1339">
        <w:rPr>
          <w:rFonts w:eastAsia="SimSun"/>
          <w:lang w:val="en-GB" w:eastAsia="zh-CN"/>
        </w:rPr>
        <w:t xml:space="preserve"> from gestation day 6 to postnatal day 20 (exposure less than the clinical exposure based on AUC).</w:t>
      </w:r>
    </w:p>
    <w:p w14:paraId="2C9EDBD1" w14:textId="77777777" w:rsidR="00A64B76" w:rsidRDefault="00A64B76" w:rsidP="00A64B76">
      <w:pPr>
        <w:pStyle w:val="TextPI"/>
        <w:rPr>
          <w:rFonts w:eastAsia="SimSun"/>
          <w:iCs/>
          <w:lang w:val="en-GB" w:eastAsia="zh-CN"/>
        </w:rPr>
      </w:pPr>
      <w:r>
        <w:t xml:space="preserve">Because of the potential for serious adverse effects in breastfeeding </w:t>
      </w:r>
      <w:r w:rsidRPr="009436FB">
        <w:rPr>
          <w:rFonts w:eastAsia="SimSun"/>
          <w:lang w:val="en-GB" w:eastAsia="zh-CN"/>
        </w:rPr>
        <w:t>infants</w:t>
      </w:r>
      <w:r>
        <w:rPr>
          <w:rFonts w:eastAsia="SimSun"/>
          <w:lang w:val="en-GB" w:eastAsia="zh-CN"/>
        </w:rPr>
        <w:t>, b</w:t>
      </w:r>
      <w:r w:rsidRPr="009436FB">
        <w:rPr>
          <w:rFonts w:eastAsia="SimSun"/>
          <w:lang w:val="en-GB" w:eastAsia="zh-CN"/>
        </w:rPr>
        <w:t xml:space="preserve">reastfeeding should be discontinued during treatment with </w:t>
      </w:r>
      <w:r>
        <w:rPr>
          <w:rFonts w:eastAsia="SimSun"/>
          <w:iCs/>
          <w:lang w:val="en-GB" w:eastAsia="zh-CN"/>
        </w:rPr>
        <w:t>OFEV.</w:t>
      </w:r>
    </w:p>
    <w:p w14:paraId="0DDAD36C" w14:textId="77777777" w:rsidR="00A64B76" w:rsidRPr="00AB6D58" w:rsidRDefault="00A64B76" w:rsidP="00AB6D58">
      <w:pPr>
        <w:pStyle w:val="PIheading2"/>
        <w:rPr>
          <w:caps/>
        </w:rPr>
      </w:pPr>
      <w:r w:rsidRPr="00AB6D58">
        <w:rPr>
          <w:caps/>
        </w:rPr>
        <w:t>4.7 EFFECTS ON ABILITY TO DRIVE AND USE MACHINES</w:t>
      </w:r>
    </w:p>
    <w:p w14:paraId="534D7F17" w14:textId="7DBB6E67" w:rsidR="00A64B76" w:rsidRPr="008C5199" w:rsidRDefault="00A64B76" w:rsidP="00A64B76">
      <w:pPr>
        <w:pStyle w:val="TextPI"/>
        <w:rPr>
          <w:lang w:val="en-GB" w:eastAsia="de-DE"/>
        </w:rPr>
      </w:pPr>
      <w:r w:rsidRPr="008C5199">
        <w:rPr>
          <w:lang w:val="en-GB" w:eastAsia="de-DE"/>
        </w:rPr>
        <w:t>No studies of the effects on the ability to drive and us</w:t>
      </w:r>
      <w:r w:rsidR="000F322D">
        <w:rPr>
          <w:lang w:val="en-GB" w:eastAsia="de-DE"/>
        </w:rPr>
        <w:t xml:space="preserve">e machines </w:t>
      </w:r>
      <w:proofErr w:type="gramStart"/>
      <w:r w:rsidR="000F322D">
        <w:rPr>
          <w:lang w:val="en-GB" w:eastAsia="de-DE"/>
        </w:rPr>
        <w:t>have been performed</w:t>
      </w:r>
      <w:proofErr w:type="gramEnd"/>
      <w:r w:rsidR="000F322D">
        <w:rPr>
          <w:lang w:val="en-GB" w:eastAsia="de-DE"/>
        </w:rPr>
        <w:t>.</w:t>
      </w:r>
    </w:p>
    <w:p w14:paraId="5F1180A7" w14:textId="77777777" w:rsidR="00A64B76" w:rsidRDefault="00A64B76" w:rsidP="00A64B76">
      <w:pPr>
        <w:pStyle w:val="TextPI"/>
        <w:rPr>
          <w:rFonts w:eastAsia="MS Mincho"/>
          <w:iCs/>
          <w:lang w:val="en-GB" w:eastAsia="ja-JP"/>
        </w:rPr>
      </w:pPr>
      <w:r w:rsidRPr="008C5199">
        <w:rPr>
          <w:rFonts w:eastAsia="MS Mincho"/>
          <w:lang w:val="en-GB" w:eastAsia="ja-JP"/>
        </w:rPr>
        <w:t xml:space="preserve">Patients should be advised to be cautious when driving or using machines during treatment with </w:t>
      </w:r>
      <w:r>
        <w:rPr>
          <w:rFonts w:eastAsia="MS Mincho"/>
          <w:iCs/>
          <w:lang w:val="en-GB" w:eastAsia="ja-JP"/>
        </w:rPr>
        <w:t>OFEV.</w:t>
      </w:r>
    </w:p>
    <w:p w14:paraId="280125A8" w14:textId="77777777" w:rsidR="00A64B76" w:rsidRPr="00AB6D58" w:rsidRDefault="00A64B76" w:rsidP="00AB6D58">
      <w:pPr>
        <w:pStyle w:val="PIheading2"/>
        <w:rPr>
          <w:caps/>
        </w:rPr>
      </w:pPr>
      <w:r w:rsidRPr="00AB6D58">
        <w:rPr>
          <w:caps/>
        </w:rPr>
        <w:t>4.8 ADVERSE EFFECTS (UNDESIRABLE EFFECTS)</w:t>
      </w:r>
    </w:p>
    <w:p w14:paraId="7E3CFA10" w14:textId="2B93E9CA" w:rsidR="00141F74" w:rsidRPr="000F3BA1" w:rsidDel="00683FBF" w:rsidRDefault="00141F74" w:rsidP="005D33C9">
      <w:pPr>
        <w:pStyle w:val="PIheading30"/>
        <w:ind w:left="0" w:right="0" w:firstLine="0"/>
        <w:rPr>
          <w:b/>
          <w:bCs/>
          <w:u w:val="none"/>
        </w:rPr>
      </w:pPr>
      <w:r w:rsidRPr="000F3BA1" w:rsidDel="00683FBF">
        <w:rPr>
          <w:b/>
          <w:bCs/>
          <w:u w:val="none"/>
        </w:rPr>
        <w:t>Reporting suspected adverse effects</w:t>
      </w:r>
    </w:p>
    <w:p w14:paraId="1F5AFD9D" w14:textId="21504CD3" w:rsidR="0083630E" w:rsidRPr="00A64B76" w:rsidDel="00683FBF" w:rsidRDefault="0083630E" w:rsidP="0083630E">
      <w:pPr>
        <w:pStyle w:val="TextPI"/>
        <w:rPr>
          <w:noProof/>
        </w:rPr>
      </w:pPr>
      <w:r w:rsidDel="00683FBF">
        <w:rPr>
          <w:noProof/>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Pr="000E6627" w:rsidDel="00683FBF">
          <w:rPr>
            <w:rStyle w:val="Hyperlink"/>
            <w:noProof/>
          </w:rPr>
          <w:t>http://www.tga.gov.au/reporting-problems</w:t>
        </w:r>
      </w:hyperlink>
      <w:r w:rsidR="00643DC9" w:rsidRPr="000F322D">
        <w:rPr>
          <w:rStyle w:val="Hyperlink"/>
          <w:noProof/>
          <w:color w:val="auto"/>
          <w:u w:val="none"/>
        </w:rPr>
        <w:t>.</w:t>
      </w:r>
    </w:p>
    <w:p w14:paraId="189406CA" w14:textId="77777777" w:rsidR="00A64B76" w:rsidRPr="00BE189E" w:rsidRDefault="00A64B76" w:rsidP="005D33C9">
      <w:pPr>
        <w:pStyle w:val="PIheading30"/>
        <w:ind w:left="0" w:right="0" w:firstLine="0"/>
        <w:rPr>
          <w:b/>
          <w:bCs/>
          <w:u w:val="none"/>
        </w:rPr>
      </w:pPr>
      <w:r w:rsidRPr="00BE189E">
        <w:rPr>
          <w:b/>
          <w:bCs/>
          <w:u w:val="none"/>
        </w:rPr>
        <w:t>Summary of the safety profile</w:t>
      </w:r>
    </w:p>
    <w:p w14:paraId="01D53476" w14:textId="77777777" w:rsidR="00A64B76" w:rsidRPr="00BE189E" w:rsidRDefault="00A64B76" w:rsidP="00BE189E">
      <w:pPr>
        <w:pStyle w:val="PIHeading3"/>
        <w:rPr>
          <w:lang w:val="en-US" w:eastAsia="de-DE"/>
        </w:rPr>
      </w:pPr>
      <w:r w:rsidRPr="00BE189E">
        <w:rPr>
          <w:lang w:val="en-US" w:eastAsia="de-DE"/>
        </w:rPr>
        <w:t>NSCLC</w:t>
      </w:r>
    </w:p>
    <w:p w14:paraId="6B4A501E" w14:textId="48C69156" w:rsidR="00A64B76" w:rsidRPr="00B44310" w:rsidRDefault="00A64B76" w:rsidP="00BE189E">
      <w:pPr>
        <w:pStyle w:val="TextPI"/>
        <w:rPr>
          <w:noProof/>
          <w:lang w:val="en-US"/>
        </w:rPr>
      </w:pPr>
      <w:r w:rsidRPr="00B44310">
        <w:rPr>
          <w:noProof/>
          <w:lang w:val="en-US"/>
        </w:rPr>
        <w:t xml:space="preserve">The safety data </w:t>
      </w:r>
      <w:r>
        <w:rPr>
          <w:noProof/>
          <w:lang w:val="en-US"/>
        </w:rPr>
        <w:t xml:space="preserve">provided below </w:t>
      </w:r>
      <w:r w:rsidRPr="00B44310">
        <w:rPr>
          <w:noProof/>
          <w:lang w:val="en-US"/>
        </w:rPr>
        <w:t xml:space="preserve">are based on the global, double-blind randomised pivotal phase </w:t>
      </w:r>
      <w:r w:rsidR="00BD2808">
        <w:rPr>
          <w:noProof/>
          <w:lang w:val="en-US"/>
        </w:rPr>
        <w:t>III</w:t>
      </w:r>
      <w:r w:rsidRPr="00B44310">
        <w:rPr>
          <w:noProof/>
          <w:lang w:val="en-US"/>
        </w:rPr>
        <w:t xml:space="preserve"> trial 1199.13 (LUME-Lung 1) comparing treatment with </w:t>
      </w:r>
      <w:r w:rsidR="001F6CB5">
        <w:rPr>
          <w:noProof/>
          <w:lang w:val="en-US"/>
        </w:rPr>
        <w:t>OFEV</w:t>
      </w:r>
      <w:r w:rsidR="001F6CB5" w:rsidRPr="00B44310">
        <w:rPr>
          <w:noProof/>
          <w:lang w:val="en-US"/>
        </w:rPr>
        <w:t xml:space="preserve"> </w:t>
      </w:r>
      <w:r w:rsidRPr="00B44310">
        <w:rPr>
          <w:noProof/>
          <w:lang w:val="en-US"/>
        </w:rPr>
        <w:t xml:space="preserve">plus docetaxel against placebo plus docetaxel in </w:t>
      </w:r>
      <w:r w:rsidRPr="006149A5">
        <w:rPr>
          <w:noProof/>
          <w:lang w:val="en-US"/>
        </w:rPr>
        <w:t xml:space="preserve">patients with locally advanced, or metastatic, or recurrent NSCLC after first-line chemotherapy.  Adverse events in all patients occurring in at least 10% of patients in either treatment arm in the pivotal trial LUME-Lung 1 are summarised in Table </w:t>
      </w:r>
      <w:r w:rsidR="009C3BE5">
        <w:rPr>
          <w:noProof/>
          <w:lang w:val="en-US"/>
        </w:rPr>
        <w:t>3</w:t>
      </w:r>
      <w:r w:rsidR="000F322D">
        <w:rPr>
          <w:noProof/>
          <w:lang w:val="en-US"/>
        </w:rPr>
        <w:t>.</w:t>
      </w:r>
    </w:p>
    <w:p w14:paraId="1CF08EC5" w14:textId="41244351" w:rsidR="00A64B76" w:rsidRPr="004E11D0" w:rsidRDefault="00A64B76" w:rsidP="00A64B76">
      <w:pPr>
        <w:pStyle w:val="CaptionTable"/>
        <w:ind w:left="1134" w:hanging="1134"/>
        <w:rPr>
          <w:rFonts w:ascii="Arial" w:hAnsi="Arial" w:cs="Arial"/>
          <w:b/>
          <w:bCs/>
          <w:sz w:val="20"/>
        </w:rPr>
      </w:pPr>
      <w:bookmarkStart w:id="1" w:name="Table_2_1_3_2_2__1"/>
      <w:bookmarkStart w:id="2" w:name="_Toc364677765"/>
      <w:r>
        <w:rPr>
          <w:rFonts w:ascii="Arial" w:hAnsi="Arial" w:cs="Arial"/>
          <w:b/>
          <w:bCs/>
          <w:sz w:val="20"/>
        </w:rPr>
        <w:lastRenderedPageBreak/>
        <w:t xml:space="preserve">Table </w:t>
      </w:r>
      <w:bookmarkEnd w:id="1"/>
      <w:r w:rsidR="009C3BE5">
        <w:rPr>
          <w:rFonts w:ascii="Arial" w:hAnsi="Arial" w:cs="Arial"/>
          <w:b/>
          <w:bCs/>
          <w:sz w:val="20"/>
        </w:rPr>
        <w:t>3</w:t>
      </w:r>
      <w:r>
        <w:rPr>
          <w:rFonts w:ascii="Arial" w:hAnsi="Arial" w:cs="Arial"/>
          <w:b/>
          <w:bCs/>
          <w:sz w:val="20"/>
        </w:rPr>
        <w:t>:</w:t>
      </w:r>
      <w:r w:rsidRPr="004E11D0">
        <w:rPr>
          <w:rFonts w:ascii="Arial" w:hAnsi="Arial" w:cs="Arial"/>
          <w:b/>
          <w:bCs/>
          <w:sz w:val="20"/>
        </w:rPr>
        <w:tab/>
        <w:t>Adverse events in all patients in LUME-Lung 1 (incidence &gt;10% in either treatment arm) – by preferred term and worst CTCAE grade, all treatment courses - TS</w:t>
      </w:r>
      <w:bookmarkEnd w:id="2"/>
    </w:p>
    <w:tbl>
      <w:tblPr>
        <w:tblW w:w="9103" w:type="dxa"/>
        <w:jc w:val="center"/>
        <w:tblBorders>
          <w:top w:val="single" w:sz="4" w:space="0" w:color="auto"/>
          <w:bottom w:val="single" w:sz="4" w:space="0" w:color="auto"/>
        </w:tblBorders>
        <w:tblLayout w:type="fixed"/>
        <w:tblCellMar>
          <w:left w:w="60" w:type="dxa"/>
          <w:right w:w="60" w:type="dxa"/>
        </w:tblCellMar>
        <w:tblLook w:val="0000" w:firstRow="0" w:lastRow="0" w:firstColumn="0" w:lastColumn="0" w:noHBand="0" w:noVBand="0"/>
      </w:tblPr>
      <w:tblGrid>
        <w:gridCol w:w="1453"/>
        <w:gridCol w:w="1273"/>
        <w:gridCol w:w="1275"/>
        <w:gridCol w:w="1275"/>
        <w:gridCol w:w="1276"/>
        <w:gridCol w:w="1276"/>
        <w:gridCol w:w="1275"/>
      </w:tblGrid>
      <w:tr w:rsidR="00A64B76" w:rsidRPr="00DA68D9" w14:paraId="02E3261F" w14:textId="77777777" w:rsidTr="00A64B76">
        <w:trPr>
          <w:cantSplit/>
          <w:tblHeader/>
          <w:jc w:val="center"/>
        </w:trPr>
        <w:tc>
          <w:tcPr>
            <w:tcW w:w="1453" w:type="dxa"/>
            <w:shd w:val="clear" w:color="auto" w:fill="FFFFFF"/>
            <w:vAlign w:val="bottom"/>
          </w:tcPr>
          <w:p w14:paraId="53A1D1BD" w14:textId="77777777" w:rsidR="00A64B76" w:rsidRPr="00DA68D9" w:rsidRDefault="00A64B76" w:rsidP="00A64B76">
            <w:pPr>
              <w:pStyle w:val="CS-TextinTable10pt"/>
              <w:spacing w:before="40" w:after="40"/>
              <w:rPr>
                <w:rFonts w:ascii="Arial" w:hAnsi="Arial" w:cs="Arial"/>
                <w:sz w:val="18"/>
                <w:szCs w:val="18"/>
              </w:rPr>
            </w:pPr>
          </w:p>
        </w:tc>
        <w:tc>
          <w:tcPr>
            <w:tcW w:w="3823" w:type="dxa"/>
            <w:gridSpan w:val="3"/>
            <w:tcBorders>
              <w:bottom w:val="single" w:sz="4" w:space="0" w:color="auto"/>
            </w:tcBorders>
            <w:shd w:val="clear" w:color="auto" w:fill="FFFFFF"/>
            <w:vAlign w:val="bottom"/>
          </w:tcPr>
          <w:p w14:paraId="01F82604"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Placebo</w:t>
            </w:r>
          </w:p>
        </w:tc>
        <w:tc>
          <w:tcPr>
            <w:tcW w:w="3827" w:type="dxa"/>
            <w:gridSpan w:val="3"/>
            <w:tcBorders>
              <w:bottom w:val="single" w:sz="4" w:space="0" w:color="auto"/>
            </w:tcBorders>
            <w:shd w:val="clear" w:color="auto" w:fill="FFFFFF"/>
            <w:vAlign w:val="bottom"/>
          </w:tcPr>
          <w:p w14:paraId="27D71F94" w14:textId="77777777" w:rsidR="00A64B76" w:rsidRPr="00DA68D9" w:rsidRDefault="00A64B76" w:rsidP="00A64B76">
            <w:pPr>
              <w:pStyle w:val="CS-TextinTable10pt"/>
              <w:spacing w:before="40" w:after="40"/>
              <w:jc w:val="center"/>
              <w:rPr>
                <w:rFonts w:ascii="Arial" w:hAnsi="Arial" w:cs="Arial"/>
                <w:sz w:val="18"/>
                <w:szCs w:val="18"/>
              </w:rPr>
            </w:pPr>
            <w:proofErr w:type="spellStart"/>
            <w:r w:rsidRPr="00DA68D9">
              <w:rPr>
                <w:rFonts w:ascii="Arial" w:hAnsi="Arial" w:cs="Arial"/>
                <w:sz w:val="18"/>
                <w:szCs w:val="18"/>
              </w:rPr>
              <w:t>Nintedanib</w:t>
            </w:r>
            <w:proofErr w:type="spellEnd"/>
          </w:p>
        </w:tc>
      </w:tr>
      <w:tr w:rsidR="00A64B76" w:rsidRPr="00DA68D9" w14:paraId="26D135CC" w14:textId="77777777" w:rsidTr="00A64B76">
        <w:trPr>
          <w:cantSplit/>
          <w:tblHeader/>
          <w:jc w:val="center"/>
        </w:trPr>
        <w:tc>
          <w:tcPr>
            <w:tcW w:w="1453" w:type="dxa"/>
            <w:tcBorders>
              <w:bottom w:val="single" w:sz="4" w:space="0" w:color="auto"/>
            </w:tcBorders>
            <w:shd w:val="clear" w:color="auto" w:fill="FFFFFF"/>
            <w:vAlign w:val="bottom"/>
          </w:tcPr>
          <w:p w14:paraId="5F3A23F7" w14:textId="77777777" w:rsidR="00A64B76" w:rsidRPr="00DA68D9" w:rsidRDefault="00A64B76" w:rsidP="00A64B76">
            <w:pPr>
              <w:pStyle w:val="CS-TextinTable10pt"/>
              <w:spacing w:before="40" w:after="40"/>
              <w:rPr>
                <w:rFonts w:ascii="Arial" w:hAnsi="Arial" w:cs="Arial"/>
                <w:sz w:val="18"/>
                <w:szCs w:val="18"/>
              </w:rPr>
            </w:pPr>
          </w:p>
        </w:tc>
        <w:tc>
          <w:tcPr>
            <w:tcW w:w="1273" w:type="dxa"/>
            <w:tcBorders>
              <w:top w:val="single" w:sz="4" w:space="0" w:color="auto"/>
              <w:bottom w:val="single" w:sz="4" w:space="0" w:color="auto"/>
            </w:tcBorders>
            <w:shd w:val="clear" w:color="auto" w:fill="FFFFFF"/>
            <w:vAlign w:val="bottom"/>
          </w:tcPr>
          <w:p w14:paraId="5482971E"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Any grade</w:t>
            </w:r>
            <w:r w:rsidRPr="00DA68D9">
              <w:rPr>
                <w:rFonts w:ascii="Arial" w:hAnsi="Arial" w:cs="Arial"/>
                <w:sz w:val="18"/>
                <w:szCs w:val="18"/>
              </w:rPr>
              <w:br/>
              <w:t>n (%)</w:t>
            </w:r>
          </w:p>
        </w:tc>
        <w:tc>
          <w:tcPr>
            <w:tcW w:w="1275" w:type="dxa"/>
            <w:tcBorders>
              <w:top w:val="single" w:sz="4" w:space="0" w:color="auto"/>
              <w:bottom w:val="single" w:sz="4" w:space="0" w:color="auto"/>
            </w:tcBorders>
            <w:shd w:val="clear" w:color="auto" w:fill="FFFFFF"/>
            <w:vAlign w:val="bottom"/>
          </w:tcPr>
          <w:p w14:paraId="30EC4951"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Grade 1/2</w:t>
            </w:r>
            <w:r w:rsidRPr="00DA68D9">
              <w:rPr>
                <w:rFonts w:ascii="Arial" w:hAnsi="Arial" w:cs="Arial"/>
                <w:sz w:val="18"/>
                <w:szCs w:val="18"/>
              </w:rPr>
              <w:br/>
              <w:t>n (%)</w:t>
            </w:r>
          </w:p>
        </w:tc>
        <w:tc>
          <w:tcPr>
            <w:tcW w:w="1275" w:type="dxa"/>
            <w:tcBorders>
              <w:top w:val="single" w:sz="4" w:space="0" w:color="auto"/>
              <w:bottom w:val="single" w:sz="4" w:space="0" w:color="auto"/>
            </w:tcBorders>
            <w:shd w:val="clear" w:color="auto" w:fill="FFFFFF"/>
            <w:vAlign w:val="bottom"/>
          </w:tcPr>
          <w:p w14:paraId="73C58615"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Grade 3/4/5</w:t>
            </w:r>
            <w:r w:rsidRPr="00DA68D9">
              <w:rPr>
                <w:rFonts w:ascii="Arial" w:hAnsi="Arial" w:cs="Arial"/>
                <w:sz w:val="18"/>
                <w:szCs w:val="18"/>
              </w:rPr>
              <w:br/>
              <w:t>n (%)</w:t>
            </w:r>
          </w:p>
        </w:tc>
        <w:tc>
          <w:tcPr>
            <w:tcW w:w="1276" w:type="dxa"/>
            <w:tcBorders>
              <w:top w:val="single" w:sz="4" w:space="0" w:color="auto"/>
              <w:bottom w:val="single" w:sz="4" w:space="0" w:color="auto"/>
            </w:tcBorders>
            <w:shd w:val="clear" w:color="auto" w:fill="FFFFFF"/>
            <w:vAlign w:val="bottom"/>
          </w:tcPr>
          <w:p w14:paraId="7BB5D5C7"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Any grade</w:t>
            </w:r>
            <w:r w:rsidRPr="00DA68D9">
              <w:rPr>
                <w:rFonts w:ascii="Arial" w:hAnsi="Arial" w:cs="Arial"/>
                <w:sz w:val="18"/>
                <w:szCs w:val="18"/>
              </w:rPr>
              <w:br/>
              <w:t>n (%)</w:t>
            </w:r>
          </w:p>
        </w:tc>
        <w:tc>
          <w:tcPr>
            <w:tcW w:w="1276" w:type="dxa"/>
            <w:tcBorders>
              <w:top w:val="single" w:sz="4" w:space="0" w:color="auto"/>
              <w:bottom w:val="single" w:sz="4" w:space="0" w:color="auto"/>
            </w:tcBorders>
            <w:shd w:val="clear" w:color="auto" w:fill="FFFFFF"/>
            <w:vAlign w:val="bottom"/>
          </w:tcPr>
          <w:p w14:paraId="09D720C4"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Grade 1/2</w:t>
            </w:r>
            <w:r w:rsidRPr="00DA68D9">
              <w:rPr>
                <w:rFonts w:ascii="Arial" w:hAnsi="Arial" w:cs="Arial"/>
                <w:sz w:val="18"/>
                <w:szCs w:val="18"/>
              </w:rPr>
              <w:br/>
              <w:t>n (%)</w:t>
            </w:r>
          </w:p>
        </w:tc>
        <w:tc>
          <w:tcPr>
            <w:tcW w:w="1275" w:type="dxa"/>
            <w:tcBorders>
              <w:top w:val="single" w:sz="4" w:space="0" w:color="auto"/>
              <w:bottom w:val="single" w:sz="4" w:space="0" w:color="auto"/>
            </w:tcBorders>
            <w:shd w:val="clear" w:color="auto" w:fill="FFFFFF"/>
            <w:vAlign w:val="bottom"/>
          </w:tcPr>
          <w:p w14:paraId="1D10C138" w14:textId="77777777" w:rsidR="00A64B76" w:rsidRPr="00DA68D9" w:rsidRDefault="00A64B76" w:rsidP="00A64B76">
            <w:pPr>
              <w:pStyle w:val="CS-TextinTable10pt"/>
              <w:spacing w:before="40" w:after="40"/>
              <w:jc w:val="center"/>
              <w:rPr>
                <w:rFonts w:ascii="Arial" w:hAnsi="Arial" w:cs="Arial"/>
                <w:sz w:val="18"/>
                <w:szCs w:val="18"/>
              </w:rPr>
            </w:pPr>
            <w:r w:rsidRPr="00DA68D9">
              <w:rPr>
                <w:rFonts w:ascii="Arial" w:hAnsi="Arial" w:cs="Arial"/>
                <w:sz w:val="18"/>
                <w:szCs w:val="18"/>
              </w:rPr>
              <w:t>Grade 3/4/5</w:t>
            </w:r>
            <w:r w:rsidRPr="00DA68D9">
              <w:rPr>
                <w:rFonts w:ascii="Arial" w:hAnsi="Arial" w:cs="Arial"/>
                <w:sz w:val="18"/>
                <w:szCs w:val="18"/>
              </w:rPr>
              <w:br/>
              <w:t>n (%)</w:t>
            </w:r>
          </w:p>
        </w:tc>
      </w:tr>
      <w:tr w:rsidR="00A64B76" w:rsidRPr="00DA68D9" w14:paraId="63E7D7F0" w14:textId="77777777" w:rsidTr="00A64B76">
        <w:trPr>
          <w:cantSplit/>
          <w:jc w:val="center"/>
        </w:trPr>
        <w:tc>
          <w:tcPr>
            <w:tcW w:w="1453" w:type="dxa"/>
            <w:tcBorders>
              <w:top w:val="single" w:sz="4" w:space="0" w:color="auto"/>
              <w:bottom w:val="nil"/>
            </w:tcBorders>
            <w:shd w:val="clear" w:color="auto" w:fill="FFFFFF"/>
          </w:tcPr>
          <w:p w14:paraId="43098C48" w14:textId="77777777" w:rsidR="00A64B76" w:rsidRPr="00DA68D9" w:rsidRDefault="00A64B76" w:rsidP="00A64B76">
            <w:pPr>
              <w:pStyle w:val="CS-TextinTable10pt"/>
              <w:spacing w:before="20" w:after="20"/>
              <w:rPr>
                <w:rFonts w:ascii="Arial" w:hAnsi="Arial" w:cs="Arial"/>
                <w:sz w:val="18"/>
                <w:szCs w:val="18"/>
              </w:rPr>
            </w:pPr>
            <w:r w:rsidRPr="00DA68D9">
              <w:rPr>
                <w:rFonts w:ascii="Arial" w:hAnsi="Arial" w:cs="Arial"/>
                <w:sz w:val="18"/>
                <w:szCs w:val="18"/>
              </w:rPr>
              <w:t>Patients</w:t>
            </w:r>
          </w:p>
        </w:tc>
        <w:tc>
          <w:tcPr>
            <w:tcW w:w="1273" w:type="dxa"/>
            <w:tcBorders>
              <w:top w:val="single" w:sz="4" w:space="0" w:color="auto"/>
              <w:bottom w:val="nil"/>
            </w:tcBorders>
            <w:shd w:val="clear" w:color="auto" w:fill="FFFFFF"/>
          </w:tcPr>
          <w:p w14:paraId="60577055"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655 (100.0)</w:t>
            </w:r>
          </w:p>
        </w:tc>
        <w:tc>
          <w:tcPr>
            <w:tcW w:w="1275" w:type="dxa"/>
            <w:tcBorders>
              <w:top w:val="single" w:sz="4" w:space="0" w:color="auto"/>
              <w:bottom w:val="nil"/>
            </w:tcBorders>
            <w:shd w:val="clear" w:color="auto" w:fill="FFFFFF"/>
          </w:tcPr>
          <w:p w14:paraId="157D665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655 (100.0)</w:t>
            </w:r>
          </w:p>
        </w:tc>
        <w:tc>
          <w:tcPr>
            <w:tcW w:w="1275" w:type="dxa"/>
            <w:tcBorders>
              <w:top w:val="single" w:sz="4" w:space="0" w:color="auto"/>
              <w:bottom w:val="nil"/>
            </w:tcBorders>
            <w:shd w:val="clear" w:color="auto" w:fill="FFFFFF"/>
          </w:tcPr>
          <w:p w14:paraId="06CBDBF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655 (100.0)</w:t>
            </w:r>
          </w:p>
        </w:tc>
        <w:tc>
          <w:tcPr>
            <w:tcW w:w="1276" w:type="dxa"/>
            <w:tcBorders>
              <w:top w:val="single" w:sz="4" w:space="0" w:color="auto"/>
              <w:bottom w:val="nil"/>
            </w:tcBorders>
            <w:shd w:val="clear" w:color="auto" w:fill="FFFFFF"/>
          </w:tcPr>
          <w:p w14:paraId="55C1793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652 (100.0)</w:t>
            </w:r>
          </w:p>
        </w:tc>
        <w:tc>
          <w:tcPr>
            <w:tcW w:w="1276" w:type="dxa"/>
            <w:tcBorders>
              <w:top w:val="single" w:sz="4" w:space="0" w:color="auto"/>
              <w:bottom w:val="nil"/>
            </w:tcBorders>
            <w:shd w:val="clear" w:color="auto" w:fill="FFFFFF"/>
          </w:tcPr>
          <w:p w14:paraId="7A5392C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652 (100.0)</w:t>
            </w:r>
          </w:p>
        </w:tc>
        <w:tc>
          <w:tcPr>
            <w:tcW w:w="1275" w:type="dxa"/>
            <w:tcBorders>
              <w:top w:val="single" w:sz="4" w:space="0" w:color="auto"/>
              <w:bottom w:val="nil"/>
            </w:tcBorders>
            <w:shd w:val="clear" w:color="auto" w:fill="FFFFFF"/>
          </w:tcPr>
          <w:p w14:paraId="733218A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652 (100.0)</w:t>
            </w:r>
          </w:p>
        </w:tc>
      </w:tr>
      <w:tr w:rsidR="00A64B76" w:rsidRPr="00DA68D9" w14:paraId="7DA716AF" w14:textId="77777777" w:rsidTr="00A64B76">
        <w:trPr>
          <w:cantSplit/>
          <w:jc w:val="center"/>
        </w:trPr>
        <w:tc>
          <w:tcPr>
            <w:tcW w:w="1453" w:type="dxa"/>
            <w:tcBorders>
              <w:top w:val="nil"/>
            </w:tcBorders>
            <w:shd w:val="clear" w:color="auto" w:fill="FFFFFF"/>
          </w:tcPr>
          <w:p w14:paraId="50541157" w14:textId="77777777" w:rsidR="00A64B76" w:rsidRPr="00DA68D9" w:rsidRDefault="00A64B76" w:rsidP="00A64B76">
            <w:pPr>
              <w:pStyle w:val="CS-TextinTable10pt"/>
              <w:spacing w:before="20" w:after="20"/>
              <w:rPr>
                <w:rFonts w:ascii="Arial" w:hAnsi="Arial" w:cs="Arial"/>
                <w:sz w:val="18"/>
                <w:szCs w:val="18"/>
              </w:rPr>
            </w:pPr>
            <w:r w:rsidRPr="00DA68D9">
              <w:rPr>
                <w:rFonts w:ascii="Arial" w:hAnsi="Arial" w:cs="Arial"/>
                <w:sz w:val="18"/>
                <w:szCs w:val="18"/>
              </w:rPr>
              <w:t>Patients with AEs</w:t>
            </w:r>
          </w:p>
        </w:tc>
        <w:tc>
          <w:tcPr>
            <w:tcW w:w="1273" w:type="dxa"/>
            <w:tcBorders>
              <w:top w:val="nil"/>
            </w:tcBorders>
            <w:shd w:val="clear" w:color="auto" w:fill="FFFFFF"/>
          </w:tcPr>
          <w:p w14:paraId="442A19D0"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609 (93.0)</w:t>
            </w:r>
          </w:p>
        </w:tc>
        <w:tc>
          <w:tcPr>
            <w:tcW w:w="1275" w:type="dxa"/>
            <w:tcBorders>
              <w:top w:val="nil"/>
            </w:tcBorders>
            <w:shd w:val="clear" w:color="auto" w:fill="FFFFFF"/>
          </w:tcPr>
          <w:p w14:paraId="1E2D06EC"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188 (28.7)</w:t>
            </w:r>
          </w:p>
        </w:tc>
        <w:tc>
          <w:tcPr>
            <w:tcW w:w="1275" w:type="dxa"/>
            <w:tcBorders>
              <w:top w:val="nil"/>
            </w:tcBorders>
            <w:shd w:val="clear" w:color="auto" w:fill="FFFFFF"/>
          </w:tcPr>
          <w:p w14:paraId="406F54B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421 (64.3)</w:t>
            </w:r>
          </w:p>
        </w:tc>
        <w:tc>
          <w:tcPr>
            <w:tcW w:w="1276" w:type="dxa"/>
            <w:tcBorders>
              <w:top w:val="nil"/>
            </w:tcBorders>
            <w:shd w:val="clear" w:color="auto" w:fill="FFFFFF"/>
          </w:tcPr>
          <w:p w14:paraId="0A11C72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610 (93.6)</w:t>
            </w:r>
          </w:p>
        </w:tc>
        <w:tc>
          <w:tcPr>
            <w:tcW w:w="1276" w:type="dxa"/>
            <w:tcBorders>
              <w:top w:val="nil"/>
            </w:tcBorders>
            <w:shd w:val="clear" w:color="auto" w:fill="FFFFFF"/>
          </w:tcPr>
          <w:p w14:paraId="6712C2E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145 (22.2)</w:t>
            </w:r>
          </w:p>
        </w:tc>
        <w:tc>
          <w:tcPr>
            <w:tcW w:w="1275" w:type="dxa"/>
            <w:tcBorders>
              <w:top w:val="nil"/>
            </w:tcBorders>
            <w:shd w:val="clear" w:color="auto" w:fill="FFFFFF"/>
          </w:tcPr>
          <w:p w14:paraId="55CB91D9"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465 (71.3)</w:t>
            </w:r>
          </w:p>
        </w:tc>
      </w:tr>
      <w:tr w:rsidR="00A64B76" w:rsidRPr="00DA68D9" w14:paraId="412AF008" w14:textId="77777777" w:rsidTr="00A64B76">
        <w:trPr>
          <w:cantSplit/>
          <w:jc w:val="center"/>
        </w:trPr>
        <w:tc>
          <w:tcPr>
            <w:tcW w:w="1453" w:type="dxa"/>
            <w:shd w:val="clear" w:color="auto" w:fill="FFFFFF"/>
          </w:tcPr>
          <w:p w14:paraId="0E1E2426"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Diarrhoea</w:t>
            </w:r>
          </w:p>
        </w:tc>
        <w:tc>
          <w:tcPr>
            <w:tcW w:w="1273" w:type="dxa"/>
            <w:shd w:val="clear" w:color="auto" w:fill="FFFFFF"/>
          </w:tcPr>
          <w:p w14:paraId="355D80E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143 (21.8)</w:t>
            </w:r>
          </w:p>
        </w:tc>
        <w:tc>
          <w:tcPr>
            <w:tcW w:w="1275" w:type="dxa"/>
            <w:shd w:val="clear" w:color="auto" w:fill="FFFFFF"/>
          </w:tcPr>
          <w:p w14:paraId="5F27C3A3"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126 (19.2)</w:t>
            </w:r>
          </w:p>
        </w:tc>
        <w:tc>
          <w:tcPr>
            <w:tcW w:w="1275" w:type="dxa"/>
            <w:shd w:val="clear" w:color="auto" w:fill="FFFFFF"/>
          </w:tcPr>
          <w:p w14:paraId="13891F4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17 (2.6)</w:t>
            </w:r>
          </w:p>
        </w:tc>
        <w:tc>
          <w:tcPr>
            <w:tcW w:w="1276" w:type="dxa"/>
            <w:shd w:val="clear" w:color="auto" w:fill="FFFFFF"/>
          </w:tcPr>
          <w:p w14:paraId="0E80CEB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276 (42.3)</w:t>
            </w:r>
          </w:p>
        </w:tc>
        <w:tc>
          <w:tcPr>
            <w:tcW w:w="1276" w:type="dxa"/>
            <w:shd w:val="clear" w:color="auto" w:fill="FFFFFF"/>
          </w:tcPr>
          <w:p w14:paraId="7E861A1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233 (35.7)</w:t>
            </w:r>
          </w:p>
        </w:tc>
        <w:tc>
          <w:tcPr>
            <w:tcW w:w="1275" w:type="dxa"/>
            <w:shd w:val="clear" w:color="auto" w:fill="FFFFFF"/>
          </w:tcPr>
          <w:p w14:paraId="79A4C51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43 (6.6)</w:t>
            </w:r>
          </w:p>
        </w:tc>
      </w:tr>
      <w:tr w:rsidR="00A64B76" w:rsidRPr="00DA68D9" w14:paraId="1520279A" w14:textId="77777777" w:rsidTr="00A64B76">
        <w:trPr>
          <w:cantSplit/>
          <w:jc w:val="center"/>
        </w:trPr>
        <w:tc>
          <w:tcPr>
            <w:tcW w:w="1453" w:type="dxa"/>
            <w:shd w:val="clear" w:color="auto" w:fill="FFFFFF"/>
          </w:tcPr>
          <w:p w14:paraId="27473E8C"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Neutrophil count decreased</w:t>
            </w:r>
          </w:p>
        </w:tc>
        <w:tc>
          <w:tcPr>
            <w:tcW w:w="1273" w:type="dxa"/>
            <w:shd w:val="clear" w:color="auto" w:fill="FFFFFF"/>
          </w:tcPr>
          <w:p w14:paraId="733739F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235 (35.9)</w:t>
            </w:r>
          </w:p>
        </w:tc>
        <w:tc>
          <w:tcPr>
            <w:tcW w:w="1275" w:type="dxa"/>
            <w:shd w:val="clear" w:color="auto" w:fill="FFFFFF"/>
          </w:tcPr>
          <w:p w14:paraId="28B72F3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39 (6.0)</w:t>
            </w:r>
          </w:p>
        </w:tc>
        <w:tc>
          <w:tcPr>
            <w:tcW w:w="1275" w:type="dxa"/>
            <w:shd w:val="clear" w:color="auto" w:fill="FFFFFF"/>
          </w:tcPr>
          <w:p w14:paraId="169B2846"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196 (29.9)</w:t>
            </w:r>
          </w:p>
        </w:tc>
        <w:tc>
          <w:tcPr>
            <w:tcW w:w="1276" w:type="dxa"/>
            <w:shd w:val="clear" w:color="auto" w:fill="FFFFFF"/>
          </w:tcPr>
          <w:p w14:paraId="5964D05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242 (37.1)</w:t>
            </w:r>
          </w:p>
        </w:tc>
        <w:tc>
          <w:tcPr>
            <w:tcW w:w="1276" w:type="dxa"/>
            <w:shd w:val="clear" w:color="auto" w:fill="FFFFFF"/>
          </w:tcPr>
          <w:p w14:paraId="0B9A257A"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33 (5.1)</w:t>
            </w:r>
          </w:p>
        </w:tc>
        <w:tc>
          <w:tcPr>
            <w:tcW w:w="1275" w:type="dxa"/>
            <w:shd w:val="clear" w:color="auto" w:fill="FFFFFF"/>
          </w:tcPr>
          <w:p w14:paraId="339C7AC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209 (32.1)</w:t>
            </w:r>
          </w:p>
        </w:tc>
      </w:tr>
      <w:tr w:rsidR="00A64B76" w:rsidRPr="00DA68D9" w14:paraId="256AF130" w14:textId="77777777" w:rsidTr="00A64B76">
        <w:trPr>
          <w:cantSplit/>
          <w:jc w:val="center"/>
        </w:trPr>
        <w:tc>
          <w:tcPr>
            <w:tcW w:w="1453" w:type="dxa"/>
            <w:shd w:val="clear" w:color="auto" w:fill="FFFFFF"/>
          </w:tcPr>
          <w:p w14:paraId="0D9BEE9A"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Fatigue</w:t>
            </w:r>
          </w:p>
        </w:tc>
        <w:tc>
          <w:tcPr>
            <w:tcW w:w="1273" w:type="dxa"/>
            <w:shd w:val="clear" w:color="auto" w:fill="FFFFFF"/>
          </w:tcPr>
          <w:p w14:paraId="321D518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176 (26.9)</w:t>
            </w:r>
          </w:p>
        </w:tc>
        <w:tc>
          <w:tcPr>
            <w:tcW w:w="1275" w:type="dxa"/>
            <w:shd w:val="clear" w:color="auto" w:fill="FFFFFF"/>
          </w:tcPr>
          <w:p w14:paraId="29CC8740"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151 (23.1)</w:t>
            </w:r>
          </w:p>
        </w:tc>
        <w:tc>
          <w:tcPr>
            <w:tcW w:w="1275" w:type="dxa"/>
            <w:shd w:val="clear" w:color="auto" w:fill="FFFFFF"/>
          </w:tcPr>
          <w:p w14:paraId="266D5D5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24 (3.7)</w:t>
            </w:r>
          </w:p>
        </w:tc>
        <w:tc>
          <w:tcPr>
            <w:tcW w:w="1276" w:type="dxa"/>
            <w:shd w:val="clear" w:color="auto" w:fill="FFFFFF"/>
          </w:tcPr>
          <w:p w14:paraId="4CA3C50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198 (30.4)</w:t>
            </w:r>
          </w:p>
        </w:tc>
        <w:tc>
          <w:tcPr>
            <w:tcW w:w="1276" w:type="dxa"/>
            <w:shd w:val="clear" w:color="auto" w:fill="FFFFFF"/>
          </w:tcPr>
          <w:p w14:paraId="41CB5EC3"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161 (24.7)</w:t>
            </w:r>
          </w:p>
        </w:tc>
        <w:tc>
          <w:tcPr>
            <w:tcW w:w="1275" w:type="dxa"/>
            <w:shd w:val="clear" w:color="auto" w:fill="FFFFFF"/>
          </w:tcPr>
          <w:p w14:paraId="31FF2CE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37 (5.7)</w:t>
            </w:r>
          </w:p>
        </w:tc>
      </w:tr>
      <w:tr w:rsidR="00A64B76" w:rsidRPr="00DA68D9" w14:paraId="5391EAFF" w14:textId="77777777" w:rsidTr="00A64B76">
        <w:trPr>
          <w:cantSplit/>
          <w:jc w:val="center"/>
        </w:trPr>
        <w:tc>
          <w:tcPr>
            <w:tcW w:w="1453" w:type="dxa"/>
            <w:shd w:val="clear" w:color="auto" w:fill="FFFFFF"/>
          </w:tcPr>
          <w:p w14:paraId="12B392A9"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ALT increased</w:t>
            </w:r>
          </w:p>
        </w:tc>
        <w:tc>
          <w:tcPr>
            <w:tcW w:w="1273" w:type="dxa"/>
            <w:shd w:val="clear" w:color="auto" w:fill="FFFFFF"/>
          </w:tcPr>
          <w:p w14:paraId="0E0E172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55 (8.4)</w:t>
            </w:r>
          </w:p>
        </w:tc>
        <w:tc>
          <w:tcPr>
            <w:tcW w:w="1275" w:type="dxa"/>
            <w:shd w:val="clear" w:color="auto" w:fill="FFFFFF"/>
          </w:tcPr>
          <w:p w14:paraId="4D9B81D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49 (7.5)</w:t>
            </w:r>
          </w:p>
        </w:tc>
        <w:tc>
          <w:tcPr>
            <w:tcW w:w="1275" w:type="dxa"/>
            <w:shd w:val="clear" w:color="auto" w:fill="FFFFFF"/>
          </w:tcPr>
          <w:p w14:paraId="61D02DC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 (0.9)</w:t>
            </w:r>
          </w:p>
        </w:tc>
        <w:tc>
          <w:tcPr>
            <w:tcW w:w="1276" w:type="dxa"/>
            <w:shd w:val="clear" w:color="auto" w:fill="FFFFFF"/>
          </w:tcPr>
          <w:p w14:paraId="0A7918FE"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186 (28.5)</w:t>
            </w:r>
          </w:p>
        </w:tc>
        <w:tc>
          <w:tcPr>
            <w:tcW w:w="1276" w:type="dxa"/>
            <w:shd w:val="clear" w:color="auto" w:fill="FFFFFF"/>
          </w:tcPr>
          <w:p w14:paraId="62C078C0"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135 (20.7)</w:t>
            </w:r>
          </w:p>
        </w:tc>
        <w:tc>
          <w:tcPr>
            <w:tcW w:w="1275" w:type="dxa"/>
            <w:shd w:val="clear" w:color="auto" w:fill="FFFFFF"/>
          </w:tcPr>
          <w:p w14:paraId="0CE54B99"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51 (7.8)</w:t>
            </w:r>
          </w:p>
        </w:tc>
      </w:tr>
      <w:tr w:rsidR="00A64B76" w:rsidRPr="00DA68D9" w14:paraId="26438B46" w14:textId="77777777" w:rsidTr="00A64B76">
        <w:trPr>
          <w:cantSplit/>
          <w:jc w:val="center"/>
        </w:trPr>
        <w:tc>
          <w:tcPr>
            <w:tcW w:w="1453" w:type="dxa"/>
            <w:shd w:val="clear" w:color="auto" w:fill="FFFFFF"/>
          </w:tcPr>
          <w:p w14:paraId="1FF11E3E"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WBC decreased</w:t>
            </w:r>
          </w:p>
        </w:tc>
        <w:tc>
          <w:tcPr>
            <w:tcW w:w="1273" w:type="dxa"/>
            <w:shd w:val="clear" w:color="auto" w:fill="FFFFFF"/>
          </w:tcPr>
          <w:p w14:paraId="0021EFB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160 (24.4)</w:t>
            </w:r>
          </w:p>
        </w:tc>
        <w:tc>
          <w:tcPr>
            <w:tcW w:w="1275" w:type="dxa"/>
            <w:shd w:val="clear" w:color="auto" w:fill="FFFFFF"/>
          </w:tcPr>
          <w:p w14:paraId="30F51180"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60 (9.2)</w:t>
            </w:r>
          </w:p>
        </w:tc>
        <w:tc>
          <w:tcPr>
            <w:tcW w:w="1275" w:type="dxa"/>
            <w:shd w:val="clear" w:color="auto" w:fill="FFFFFF"/>
          </w:tcPr>
          <w:p w14:paraId="44AD17D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100 (15.3)</w:t>
            </w:r>
          </w:p>
        </w:tc>
        <w:tc>
          <w:tcPr>
            <w:tcW w:w="1276" w:type="dxa"/>
            <w:shd w:val="clear" w:color="auto" w:fill="FFFFFF"/>
          </w:tcPr>
          <w:p w14:paraId="3F779D9E"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160 (24.5)</w:t>
            </w:r>
          </w:p>
        </w:tc>
        <w:tc>
          <w:tcPr>
            <w:tcW w:w="1276" w:type="dxa"/>
            <w:shd w:val="clear" w:color="auto" w:fill="FFFFFF"/>
          </w:tcPr>
          <w:p w14:paraId="6AE6976E"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53 (8.1)</w:t>
            </w:r>
          </w:p>
        </w:tc>
        <w:tc>
          <w:tcPr>
            <w:tcW w:w="1275" w:type="dxa"/>
            <w:shd w:val="clear" w:color="auto" w:fill="FFFFFF"/>
          </w:tcPr>
          <w:p w14:paraId="2B4C396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107 (16.4)</w:t>
            </w:r>
          </w:p>
        </w:tc>
      </w:tr>
      <w:tr w:rsidR="00A64B76" w:rsidRPr="00DA68D9" w14:paraId="0297BB73" w14:textId="77777777" w:rsidTr="00A64B76">
        <w:trPr>
          <w:cantSplit/>
          <w:jc w:val="center"/>
        </w:trPr>
        <w:tc>
          <w:tcPr>
            <w:tcW w:w="1453" w:type="dxa"/>
            <w:shd w:val="clear" w:color="auto" w:fill="FFFFFF"/>
          </w:tcPr>
          <w:p w14:paraId="0842C843"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Nausea</w:t>
            </w:r>
          </w:p>
        </w:tc>
        <w:tc>
          <w:tcPr>
            <w:tcW w:w="1273" w:type="dxa"/>
            <w:shd w:val="clear" w:color="auto" w:fill="FFFFFF"/>
          </w:tcPr>
          <w:p w14:paraId="05095EE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118 (18.0)</w:t>
            </w:r>
          </w:p>
        </w:tc>
        <w:tc>
          <w:tcPr>
            <w:tcW w:w="1275" w:type="dxa"/>
            <w:shd w:val="clear" w:color="auto" w:fill="FFFFFF"/>
          </w:tcPr>
          <w:p w14:paraId="538B607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112 (17.1)</w:t>
            </w:r>
          </w:p>
        </w:tc>
        <w:tc>
          <w:tcPr>
            <w:tcW w:w="1275" w:type="dxa"/>
            <w:shd w:val="clear" w:color="auto" w:fill="FFFFFF"/>
          </w:tcPr>
          <w:p w14:paraId="2501BD08"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 (0.9)</w:t>
            </w:r>
          </w:p>
        </w:tc>
        <w:tc>
          <w:tcPr>
            <w:tcW w:w="1276" w:type="dxa"/>
            <w:shd w:val="clear" w:color="auto" w:fill="FFFFFF"/>
          </w:tcPr>
          <w:p w14:paraId="4EBDAE0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158 (24.2)</w:t>
            </w:r>
          </w:p>
        </w:tc>
        <w:tc>
          <w:tcPr>
            <w:tcW w:w="1276" w:type="dxa"/>
            <w:shd w:val="clear" w:color="auto" w:fill="FFFFFF"/>
          </w:tcPr>
          <w:p w14:paraId="5DCA1F6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153 (23.5)</w:t>
            </w:r>
          </w:p>
        </w:tc>
        <w:tc>
          <w:tcPr>
            <w:tcW w:w="1275" w:type="dxa"/>
            <w:shd w:val="clear" w:color="auto" w:fill="FFFFFF"/>
          </w:tcPr>
          <w:p w14:paraId="2E22A81A"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 (0.8)</w:t>
            </w:r>
          </w:p>
        </w:tc>
      </w:tr>
      <w:tr w:rsidR="00A64B76" w:rsidRPr="00DA68D9" w14:paraId="0EF2F0ED" w14:textId="77777777" w:rsidTr="00A64B76">
        <w:trPr>
          <w:cantSplit/>
          <w:jc w:val="center"/>
        </w:trPr>
        <w:tc>
          <w:tcPr>
            <w:tcW w:w="1453" w:type="dxa"/>
            <w:shd w:val="clear" w:color="auto" w:fill="FFFFFF"/>
          </w:tcPr>
          <w:p w14:paraId="11FEE1A1"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AST increased</w:t>
            </w:r>
          </w:p>
        </w:tc>
        <w:tc>
          <w:tcPr>
            <w:tcW w:w="1273" w:type="dxa"/>
            <w:shd w:val="clear" w:color="auto" w:fill="FFFFFF"/>
          </w:tcPr>
          <w:p w14:paraId="7A228F7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43 (6.6)</w:t>
            </w:r>
          </w:p>
        </w:tc>
        <w:tc>
          <w:tcPr>
            <w:tcW w:w="1275" w:type="dxa"/>
            <w:shd w:val="clear" w:color="auto" w:fill="FFFFFF"/>
          </w:tcPr>
          <w:p w14:paraId="1AE6BEF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40 (6.1)</w:t>
            </w:r>
          </w:p>
        </w:tc>
        <w:tc>
          <w:tcPr>
            <w:tcW w:w="1275" w:type="dxa"/>
            <w:shd w:val="clear" w:color="auto" w:fill="FFFFFF"/>
          </w:tcPr>
          <w:p w14:paraId="2139EC5E"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 (0.5)</w:t>
            </w:r>
          </w:p>
        </w:tc>
        <w:tc>
          <w:tcPr>
            <w:tcW w:w="1276" w:type="dxa"/>
            <w:shd w:val="clear" w:color="auto" w:fill="FFFFFF"/>
          </w:tcPr>
          <w:p w14:paraId="462DA0AC"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147 (22.5)</w:t>
            </w:r>
          </w:p>
        </w:tc>
        <w:tc>
          <w:tcPr>
            <w:tcW w:w="1276" w:type="dxa"/>
            <w:shd w:val="clear" w:color="auto" w:fill="FFFFFF"/>
          </w:tcPr>
          <w:p w14:paraId="5F79CE1C"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125 (19.2)</w:t>
            </w:r>
          </w:p>
        </w:tc>
        <w:tc>
          <w:tcPr>
            <w:tcW w:w="1275" w:type="dxa"/>
            <w:shd w:val="clear" w:color="auto" w:fill="FFFFFF"/>
          </w:tcPr>
          <w:p w14:paraId="5EE4EA0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22 (3.4)</w:t>
            </w:r>
          </w:p>
        </w:tc>
      </w:tr>
      <w:tr w:rsidR="00A64B76" w:rsidRPr="00DA68D9" w14:paraId="3BE4A91B" w14:textId="77777777" w:rsidTr="00A64B76">
        <w:trPr>
          <w:cantSplit/>
          <w:jc w:val="center"/>
        </w:trPr>
        <w:tc>
          <w:tcPr>
            <w:tcW w:w="1453" w:type="dxa"/>
            <w:shd w:val="clear" w:color="auto" w:fill="FFFFFF"/>
          </w:tcPr>
          <w:p w14:paraId="19117A88"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Decreased appetite</w:t>
            </w:r>
          </w:p>
        </w:tc>
        <w:tc>
          <w:tcPr>
            <w:tcW w:w="1273" w:type="dxa"/>
            <w:shd w:val="clear" w:color="auto" w:fill="FFFFFF"/>
          </w:tcPr>
          <w:p w14:paraId="4E96835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102 (15.6)</w:t>
            </w:r>
          </w:p>
        </w:tc>
        <w:tc>
          <w:tcPr>
            <w:tcW w:w="1275" w:type="dxa"/>
            <w:shd w:val="clear" w:color="auto" w:fill="FFFFFF"/>
          </w:tcPr>
          <w:p w14:paraId="7F3A0CA0"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94 (14.4)</w:t>
            </w:r>
          </w:p>
        </w:tc>
        <w:tc>
          <w:tcPr>
            <w:tcW w:w="1275" w:type="dxa"/>
            <w:shd w:val="clear" w:color="auto" w:fill="FFFFFF"/>
          </w:tcPr>
          <w:p w14:paraId="71035CC5"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8 (1.2)</w:t>
            </w:r>
          </w:p>
        </w:tc>
        <w:tc>
          <w:tcPr>
            <w:tcW w:w="1276" w:type="dxa"/>
            <w:shd w:val="clear" w:color="auto" w:fill="FFFFFF"/>
          </w:tcPr>
          <w:p w14:paraId="290ADB2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145 (22.2)</w:t>
            </w:r>
          </w:p>
        </w:tc>
        <w:tc>
          <w:tcPr>
            <w:tcW w:w="1276" w:type="dxa"/>
            <w:shd w:val="clear" w:color="auto" w:fill="FFFFFF"/>
          </w:tcPr>
          <w:p w14:paraId="2085CB5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136 (20.9)</w:t>
            </w:r>
          </w:p>
        </w:tc>
        <w:tc>
          <w:tcPr>
            <w:tcW w:w="1275" w:type="dxa"/>
            <w:shd w:val="clear" w:color="auto" w:fill="FFFFFF"/>
          </w:tcPr>
          <w:p w14:paraId="47D7C67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 (1.4)</w:t>
            </w:r>
          </w:p>
        </w:tc>
      </w:tr>
      <w:tr w:rsidR="00A64B76" w:rsidRPr="00DA68D9" w14:paraId="41B3DEE3" w14:textId="77777777" w:rsidTr="00A64B76">
        <w:trPr>
          <w:cantSplit/>
          <w:jc w:val="center"/>
        </w:trPr>
        <w:tc>
          <w:tcPr>
            <w:tcW w:w="1453" w:type="dxa"/>
            <w:shd w:val="clear" w:color="auto" w:fill="FFFFFF"/>
          </w:tcPr>
          <w:p w14:paraId="4E38324C"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Dyspnoea</w:t>
            </w:r>
          </w:p>
        </w:tc>
        <w:tc>
          <w:tcPr>
            <w:tcW w:w="1273" w:type="dxa"/>
            <w:shd w:val="clear" w:color="auto" w:fill="FFFFFF"/>
          </w:tcPr>
          <w:p w14:paraId="5CEE5E0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110 (16.8)</w:t>
            </w:r>
          </w:p>
        </w:tc>
        <w:tc>
          <w:tcPr>
            <w:tcW w:w="1275" w:type="dxa"/>
            <w:shd w:val="clear" w:color="auto" w:fill="FFFFFF"/>
          </w:tcPr>
          <w:p w14:paraId="3F9948B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75 (11.5)</w:t>
            </w:r>
          </w:p>
        </w:tc>
        <w:tc>
          <w:tcPr>
            <w:tcW w:w="1275" w:type="dxa"/>
            <w:shd w:val="clear" w:color="auto" w:fill="FFFFFF"/>
          </w:tcPr>
          <w:p w14:paraId="76888EF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35 (5.3)</w:t>
            </w:r>
          </w:p>
        </w:tc>
        <w:tc>
          <w:tcPr>
            <w:tcW w:w="1276" w:type="dxa"/>
            <w:shd w:val="clear" w:color="auto" w:fill="FFFFFF"/>
          </w:tcPr>
          <w:p w14:paraId="6FE09F4C"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124 (19.0)</w:t>
            </w:r>
          </w:p>
        </w:tc>
        <w:tc>
          <w:tcPr>
            <w:tcW w:w="1276" w:type="dxa"/>
            <w:shd w:val="clear" w:color="auto" w:fill="FFFFFF"/>
          </w:tcPr>
          <w:p w14:paraId="174C0818"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92 (14.1)</w:t>
            </w:r>
          </w:p>
        </w:tc>
        <w:tc>
          <w:tcPr>
            <w:tcW w:w="1275" w:type="dxa"/>
            <w:shd w:val="clear" w:color="auto" w:fill="FFFFFF"/>
          </w:tcPr>
          <w:p w14:paraId="5ADF4055"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32 (4.9)</w:t>
            </w:r>
          </w:p>
        </w:tc>
      </w:tr>
      <w:tr w:rsidR="00A64B76" w:rsidRPr="00DA68D9" w14:paraId="5176BD7A" w14:textId="77777777" w:rsidTr="00A64B76">
        <w:trPr>
          <w:cantSplit/>
          <w:jc w:val="center"/>
        </w:trPr>
        <w:tc>
          <w:tcPr>
            <w:tcW w:w="1453" w:type="dxa"/>
            <w:shd w:val="clear" w:color="auto" w:fill="FFFFFF"/>
          </w:tcPr>
          <w:p w14:paraId="2C7A746C"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Vomiting</w:t>
            </w:r>
          </w:p>
        </w:tc>
        <w:tc>
          <w:tcPr>
            <w:tcW w:w="1273" w:type="dxa"/>
            <w:shd w:val="clear" w:color="auto" w:fill="FFFFFF"/>
          </w:tcPr>
          <w:p w14:paraId="70D1116C"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61 (9.3)</w:t>
            </w:r>
          </w:p>
        </w:tc>
        <w:tc>
          <w:tcPr>
            <w:tcW w:w="1275" w:type="dxa"/>
            <w:shd w:val="clear" w:color="auto" w:fill="FFFFFF"/>
          </w:tcPr>
          <w:p w14:paraId="1F96534C"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58 (8.9)</w:t>
            </w:r>
          </w:p>
        </w:tc>
        <w:tc>
          <w:tcPr>
            <w:tcW w:w="1275" w:type="dxa"/>
            <w:shd w:val="clear" w:color="auto" w:fill="FFFFFF"/>
          </w:tcPr>
          <w:p w14:paraId="65065636"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 (0.5)</w:t>
            </w:r>
          </w:p>
        </w:tc>
        <w:tc>
          <w:tcPr>
            <w:tcW w:w="1276" w:type="dxa"/>
            <w:shd w:val="clear" w:color="auto" w:fill="FFFFFF"/>
          </w:tcPr>
          <w:p w14:paraId="3F263A05"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110 (16.9)</w:t>
            </w:r>
          </w:p>
        </w:tc>
        <w:tc>
          <w:tcPr>
            <w:tcW w:w="1276" w:type="dxa"/>
            <w:shd w:val="clear" w:color="auto" w:fill="FFFFFF"/>
          </w:tcPr>
          <w:p w14:paraId="388CBAF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105 (16.1)</w:t>
            </w:r>
          </w:p>
        </w:tc>
        <w:tc>
          <w:tcPr>
            <w:tcW w:w="1275" w:type="dxa"/>
            <w:shd w:val="clear" w:color="auto" w:fill="FFFFFF"/>
          </w:tcPr>
          <w:p w14:paraId="09EC8353"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 (0.8)</w:t>
            </w:r>
          </w:p>
        </w:tc>
      </w:tr>
      <w:tr w:rsidR="00A64B76" w:rsidRPr="00DA68D9" w14:paraId="55F3F7DE" w14:textId="77777777" w:rsidTr="00A64B76">
        <w:trPr>
          <w:cantSplit/>
          <w:jc w:val="center"/>
        </w:trPr>
        <w:tc>
          <w:tcPr>
            <w:tcW w:w="1453" w:type="dxa"/>
            <w:shd w:val="clear" w:color="auto" w:fill="FFFFFF"/>
          </w:tcPr>
          <w:p w14:paraId="534FBF3F"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Alopecia</w:t>
            </w:r>
          </w:p>
        </w:tc>
        <w:tc>
          <w:tcPr>
            <w:tcW w:w="1273" w:type="dxa"/>
            <w:shd w:val="clear" w:color="auto" w:fill="FFFFFF"/>
          </w:tcPr>
          <w:p w14:paraId="3568AA21"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119 (18.2)</w:t>
            </w:r>
          </w:p>
        </w:tc>
        <w:tc>
          <w:tcPr>
            <w:tcW w:w="1275" w:type="dxa"/>
            <w:shd w:val="clear" w:color="auto" w:fill="FFFFFF"/>
          </w:tcPr>
          <w:p w14:paraId="0B53907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118 (18.0)</w:t>
            </w:r>
          </w:p>
        </w:tc>
        <w:tc>
          <w:tcPr>
            <w:tcW w:w="1275" w:type="dxa"/>
            <w:shd w:val="clear" w:color="auto" w:fill="FFFFFF"/>
          </w:tcPr>
          <w:p w14:paraId="1FD96B2A"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0</w:t>
            </w:r>
          </w:p>
        </w:tc>
        <w:tc>
          <w:tcPr>
            <w:tcW w:w="1276" w:type="dxa"/>
            <w:shd w:val="clear" w:color="auto" w:fill="FFFFFF"/>
          </w:tcPr>
          <w:p w14:paraId="72F0E67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107 (16.4)</w:t>
            </w:r>
          </w:p>
        </w:tc>
        <w:tc>
          <w:tcPr>
            <w:tcW w:w="1276" w:type="dxa"/>
            <w:shd w:val="clear" w:color="auto" w:fill="FFFFFF"/>
          </w:tcPr>
          <w:p w14:paraId="1EC797D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106 (16.3)</w:t>
            </w:r>
          </w:p>
        </w:tc>
        <w:tc>
          <w:tcPr>
            <w:tcW w:w="1275" w:type="dxa"/>
            <w:shd w:val="clear" w:color="auto" w:fill="FFFFFF"/>
          </w:tcPr>
          <w:p w14:paraId="6A18D6C3"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 (0.2)</w:t>
            </w:r>
          </w:p>
        </w:tc>
      </w:tr>
      <w:tr w:rsidR="00A64B76" w:rsidRPr="00DA68D9" w14:paraId="18BB4A1F" w14:textId="77777777" w:rsidTr="00A64B76">
        <w:trPr>
          <w:cantSplit/>
          <w:jc w:val="center"/>
        </w:trPr>
        <w:tc>
          <w:tcPr>
            <w:tcW w:w="1453" w:type="dxa"/>
            <w:shd w:val="clear" w:color="auto" w:fill="FFFFFF"/>
          </w:tcPr>
          <w:p w14:paraId="0B78D140"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Cough</w:t>
            </w:r>
          </w:p>
        </w:tc>
        <w:tc>
          <w:tcPr>
            <w:tcW w:w="1273" w:type="dxa"/>
            <w:shd w:val="clear" w:color="auto" w:fill="FFFFFF"/>
          </w:tcPr>
          <w:p w14:paraId="3500304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110 (16.8)</w:t>
            </w:r>
          </w:p>
        </w:tc>
        <w:tc>
          <w:tcPr>
            <w:tcW w:w="1275" w:type="dxa"/>
            <w:shd w:val="clear" w:color="auto" w:fill="FFFFFF"/>
          </w:tcPr>
          <w:p w14:paraId="634A190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106 (16.2)</w:t>
            </w:r>
          </w:p>
        </w:tc>
        <w:tc>
          <w:tcPr>
            <w:tcW w:w="1275" w:type="dxa"/>
            <w:shd w:val="clear" w:color="auto" w:fill="FFFFFF"/>
          </w:tcPr>
          <w:p w14:paraId="2CAFACB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4 (0.6)</w:t>
            </w:r>
          </w:p>
        </w:tc>
        <w:tc>
          <w:tcPr>
            <w:tcW w:w="1276" w:type="dxa"/>
            <w:shd w:val="clear" w:color="auto" w:fill="FFFFFF"/>
          </w:tcPr>
          <w:p w14:paraId="6A829E28"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99 (15.2)</w:t>
            </w:r>
          </w:p>
        </w:tc>
        <w:tc>
          <w:tcPr>
            <w:tcW w:w="1276" w:type="dxa"/>
            <w:shd w:val="clear" w:color="auto" w:fill="FFFFFF"/>
          </w:tcPr>
          <w:p w14:paraId="2FFA5A05"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93 (14.3)</w:t>
            </w:r>
          </w:p>
        </w:tc>
        <w:tc>
          <w:tcPr>
            <w:tcW w:w="1275" w:type="dxa"/>
            <w:shd w:val="clear" w:color="auto" w:fill="FFFFFF"/>
          </w:tcPr>
          <w:p w14:paraId="325C447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 (0.9)</w:t>
            </w:r>
          </w:p>
        </w:tc>
      </w:tr>
      <w:tr w:rsidR="00A64B76" w:rsidRPr="00DA68D9" w14:paraId="0FD37FB8" w14:textId="77777777" w:rsidTr="00A64B76">
        <w:trPr>
          <w:cantSplit/>
          <w:jc w:val="center"/>
        </w:trPr>
        <w:tc>
          <w:tcPr>
            <w:tcW w:w="1453" w:type="dxa"/>
            <w:shd w:val="clear" w:color="auto" w:fill="FFFFFF"/>
          </w:tcPr>
          <w:p w14:paraId="64174646"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Neutropenia</w:t>
            </w:r>
          </w:p>
        </w:tc>
        <w:tc>
          <w:tcPr>
            <w:tcW w:w="1273" w:type="dxa"/>
            <w:shd w:val="clear" w:color="auto" w:fill="FFFFFF"/>
          </w:tcPr>
          <w:p w14:paraId="6BEFE26A"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94 (14.4)</w:t>
            </w:r>
          </w:p>
        </w:tc>
        <w:tc>
          <w:tcPr>
            <w:tcW w:w="1275" w:type="dxa"/>
            <w:shd w:val="clear" w:color="auto" w:fill="FFFFFF"/>
          </w:tcPr>
          <w:p w14:paraId="6CCDE76E"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15 (2.3)</w:t>
            </w:r>
          </w:p>
        </w:tc>
        <w:tc>
          <w:tcPr>
            <w:tcW w:w="1275" w:type="dxa"/>
            <w:shd w:val="clear" w:color="auto" w:fill="FFFFFF"/>
          </w:tcPr>
          <w:p w14:paraId="32344898"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79 (12.1)</w:t>
            </w:r>
          </w:p>
        </w:tc>
        <w:tc>
          <w:tcPr>
            <w:tcW w:w="1276" w:type="dxa"/>
            <w:shd w:val="clear" w:color="auto" w:fill="FFFFFF"/>
          </w:tcPr>
          <w:p w14:paraId="1AD1BCC6"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90 (13.8)</w:t>
            </w:r>
          </w:p>
        </w:tc>
        <w:tc>
          <w:tcPr>
            <w:tcW w:w="1276" w:type="dxa"/>
            <w:shd w:val="clear" w:color="auto" w:fill="FFFFFF"/>
          </w:tcPr>
          <w:p w14:paraId="7B43AB5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11 (1.7)</w:t>
            </w:r>
          </w:p>
        </w:tc>
        <w:tc>
          <w:tcPr>
            <w:tcW w:w="1275" w:type="dxa"/>
            <w:shd w:val="clear" w:color="auto" w:fill="FFFFFF"/>
          </w:tcPr>
          <w:p w14:paraId="6E10A694"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79 (12.1)</w:t>
            </w:r>
          </w:p>
        </w:tc>
      </w:tr>
      <w:tr w:rsidR="00A64B76" w:rsidRPr="00DA68D9" w14:paraId="01118A36" w14:textId="77777777" w:rsidTr="00A64B76">
        <w:trPr>
          <w:cantSplit/>
          <w:jc w:val="center"/>
        </w:trPr>
        <w:tc>
          <w:tcPr>
            <w:tcW w:w="1453" w:type="dxa"/>
            <w:shd w:val="clear" w:color="auto" w:fill="FFFFFF"/>
          </w:tcPr>
          <w:p w14:paraId="3FD76460"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Pyrexia</w:t>
            </w:r>
          </w:p>
        </w:tc>
        <w:tc>
          <w:tcPr>
            <w:tcW w:w="1273" w:type="dxa"/>
            <w:shd w:val="clear" w:color="auto" w:fill="FFFFFF"/>
          </w:tcPr>
          <w:p w14:paraId="453288F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98 (15.0)</w:t>
            </w:r>
          </w:p>
        </w:tc>
        <w:tc>
          <w:tcPr>
            <w:tcW w:w="1275" w:type="dxa"/>
            <w:shd w:val="clear" w:color="auto" w:fill="FFFFFF"/>
          </w:tcPr>
          <w:p w14:paraId="3EBE7B79"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96 (14.7)</w:t>
            </w:r>
          </w:p>
        </w:tc>
        <w:tc>
          <w:tcPr>
            <w:tcW w:w="1275" w:type="dxa"/>
            <w:shd w:val="clear" w:color="auto" w:fill="FFFFFF"/>
          </w:tcPr>
          <w:p w14:paraId="2C93ACD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2 (0.3)</w:t>
            </w:r>
          </w:p>
        </w:tc>
        <w:tc>
          <w:tcPr>
            <w:tcW w:w="1276" w:type="dxa"/>
            <w:shd w:val="clear" w:color="auto" w:fill="FFFFFF"/>
          </w:tcPr>
          <w:p w14:paraId="3859C24A"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83 (12.7)</w:t>
            </w:r>
          </w:p>
        </w:tc>
        <w:tc>
          <w:tcPr>
            <w:tcW w:w="1276" w:type="dxa"/>
            <w:shd w:val="clear" w:color="auto" w:fill="FFFFFF"/>
          </w:tcPr>
          <w:p w14:paraId="667F6E1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78 (12.0)</w:t>
            </w:r>
          </w:p>
        </w:tc>
        <w:tc>
          <w:tcPr>
            <w:tcW w:w="1275" w:type="dxa"/>
            <w:shd w:val="clear" w:color="auto" w:fill="FFFFFF"/>
          </w:tcPr>
          <w:p w14:paraId="41AF670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5 (0.8)</w:t>
            </w:r>
          </w:p>
        </w:tc>
      </w:tr>
      <w:tr w:rsidR="00A64B76" w:rsidRPr="00DA68D9" w14:paraId="46B3DAD1" w14:textId="77777777" w:rsidTr="00A64B76">
        <w:trPr>
          <w:cantSplit/>
          <w:jc w:val="center"/>
        </w:trPr>
        <w:tc>
          <w:tcPr>
            <w:tcW w:w="1453" w:type="dxa"/>
            <w:shd w:val="clear" w:color="auto" w:fill="FFFFFF"/>
          </w:tcPr>
          <w:p w14:paraId="18EFF257"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Haemoglobin decreased</w:t>
            </w:r>
          </w:p>
        </w:tc>
        <w:tc>
          <w:tcPr>
            <w:tcW w:w="1273" w:type="dxa"/>
            <w:shd w:val="clear" w:color="auto" w:fill="FFFFFF"/>
          </w:tcPr>
          <w:p w14:paraId="4830BA57"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79 (12.1)</w:t>
            </w:r>
          </w:p>
        </w:tc>
        <w:tc>
          <w:tcPr>
            <w:tcW w:w="1275" w:type="dxa"/>
            <w:shd w:val="clear" w:color="auto" w:fill="FFFFFF"/>
          </w:tcPr>
          <w:p w14:paraId="10696C9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65 (9.9)</w:t>
            </w:r>
          </w:p>
        </w:tc>
        <w:tc>
          <w:tcPr>
            <w:tcW w:w="1275" w:type="dxa"/>
            <w:shd w:val="clear" w:color="auto" w:fill="FFFFFF"/>
          </w:tcPr>
          <w:p w14:paraId="3776C773"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14 (2.1)</w:t>
            </w:r>
          </w:p>
        </w:tc>
        <w:tc>
          <w:tcPr>
            <w:tcW w:w="1276" w:type="dxa"/>
            <w:shd w:val="clear" w:color="auto" w:fill="FFFFFF"/>
          </w:tcPr>
          <w:p w14:paraId="62CE5946"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73 (11.2)</w:t>
            </w:r>
          </w:p>
        </w:tc>
        <w:tc>
          <w:tcPr>
            <w:tcW w:w="1276" w:type="dxa"/>
            <w:shd w:val="clear" w:color="auto" w:fill="FFFFFF"/>
          </w:tcPr>
          <w:p w14:paraId="2143ABBF"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64 (9.8)</w:t>
            </w:r>
          </w:p>
        </w:tc>
        <w:tc>
          <w:tcPr>
            <w:tcW w:w="1275" w:type="dxa"/>
            <w:shd w:val="clear" w:color="auto" w:fill="FFFFFF"/>
          </w:tcPr>
          <w:p w14:paraId="3C2085A5"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9 (1.4)</w:t>
            </w:r>
          </w:p>
        </w:tc>
      </w:tr>
      <w:tr w:rsidR="00A64B76" w:rsidRPr="00DA68D9" w14:paraId="51682ABE" w14:textId="77777777" w:rsidTr="00A64B76">
        <w:trPr>
          <w:cantSplit/>
          <w:jc w:val="center"/>
        </w:trPr>
        <w:tc>
          <w:tcPr>
            <w:tcW w:w="1453" w:type="dxa"/>
            <w:shd w:val="clear" w:color="auto" w:fill="FFFFFF"/>
          </w:tcPr>
          <w:p w14:paraId="7CDE4F86" w14:textId="77777777" w:rsidR="00A64B76" w:rsidRPr="00DA68D9" w:rsidRDefault="00A64B76" w:rsidP="00A64B76">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Constipation</w:t>
            </w:r>
          </w:p>
        </w:tc>
        <w:tc>
          <w:tcPr>
            <w:tcW w:w="1273" w:type="dxa"/>
            <w:shd w:val="clear" w:color="auto" w:fill="FFFFFF"/>
          </w:tcPr>
          <w:p w14:paraId="779DD272"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76 (11.6)</w:t>
            </w:r>
          </w:p>
        </w:tc>
        <w:tc>
          <w:tcPr>
            <w:tcW w:w="1275" w:type="dxa"/>
            <w:shd w:val="clear" w:color="auto" w:fill="FFFFFF"/>
          </w:tcPr>
          <w:p w14:paraId="7C9F4889"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73 (11.1)</w:t>
            </w:r>
          </w:p>
        </w:tc>
        <w:tc>
          <w:tcPr>
            <w:tcW w:w="1275" w:type="dxa"/>
            <w:shd w:val="clear" w:color="auto" w:fill="FFFFFF"/>
          </w:tcPr>
          <w:p w14:paraId="05AEA9FB"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 (0.5)</w:t>
            </w:r>
          </w:p>
        </w:tc>
        <w:tc>
          <w:tcPr>
            <w:tcW w:w="1276" w:type="dxa"/>
            <w:shd w:val="clear" w:color="auto" w:fill="FFFFFF"/>
          </w:tcPr>
          <w:p w14:paraId="18BBBF8D"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35 (5.4)</w:t>
            </w:r>
          </w:p>
        </w:tc>
        <w:tc>
          <w:tcPr>
            <w:tcW w:w="1276" w:type="dxa"/>
            <w:shd w:val="clear" w:color="auto" w:fill="FFFFFF"/>
          </w:tcPr>
          <w:p w14:paraId="75B054FE"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35 (5.4)</w:t>
            </w:r>
          </w:p>
        </w:tc>
        <w:tc>
          <w:tcPr>
            <w:tcW w:w="1275" w:type="dxa"/>
            <w:shd w:val="clear" w:color="auto" w:fill="FFFFFF"/>
          </w:tcPr>
          <w:p w14:paraId="08B98D23" w14:textId="77777777" w:rsidR="00A64B76" w:rsidRPr="00DA68D9" w:rsidRDefault="00A64B76" w:rsidP="00A64B76">
            <w:pPr>
              <w:pStyle w:val="CS-TextinTable10pt"/>
              <w:spacing w:before="20" w:after="20"/>
              <w:jc w:val="center"/>
              <w:rPr>
                <w:rFonts w:ascii="Arial" w:hAnsi="Arial" w:cs="Arial"/>
                <w:sz w:val="18"/>
                <w:szCs w:val="18"/>
              </w:rPr>
            </w:pPr>
            <w:r w:rsidRPr="00DA68D9">
              <w:rPr>
                <w:rFonts w:ascii="Arial" w:hAnsi="Arial" w:cs="Arial"/>
                <w:sz w:val="18"/>
                <w:szCs w:val="18"/>
              </w:rPr>
              <w:t>0</w:t>
            </w:r>
          </w:p>
        </w:tc>
      </w:tr>
    </w:tbl>
    <w:p w14:paraId="243C8940" w14:textId="77777777" w:rsidR="00A64B76" w:rsidRPr="00DA68D9" w:rsidRDefault="00A64B76" w:rsidP="00A64B76">
      <w:pPr>
        <w:pStyle w:val="CS-FootnoteText"/>
        <w:rPr>
          <w:rFonts w:ascii="Arial" w:hAnsi="Arial" w:cs="Arial"/>
        </w:rPr>
      </w:pPr>
      <w:r w:rsidRPr="00DA68D9">
        <w:rPr>
          <w:rFonts w:ascii="Arial" w:hAnsi="Arial" w:cs="Arial"/>
        </w:rPr>
        <w:t xml:space="preserve">Preferred terms are sorted by frequency in the </w:t>
      </w:r>
      <w:proofErr w:type="spellStart"/>
      <w:r w:rsidRPr="00DA68D9">
        <w:rPr>
          <w:rFonts w:ascii="Arial" w:hAnsi="Arial" w:cs="Arial"/>
        </w:rPr>
        <w:t>nintedanib</w:t>
      </w:r>
      <w:proofErr w:type="spellEnd"/>
      <w:r w:rsidRPr="00DA68D9">
        <w:rPr>
          <w:rFonts w:ascii="Arial" w:hAnsi="Arial" w:cs="Arial"/>
        </w:rPr>
        <w:t xml:space="preserve"> arm </w:t>
      </w:r>
    </w:p>
    <w:p w14:paraId="416A2801" w14:textId="77777777" w:rsidR="00A64B76" w:rsidRPr="00DA68D9" w:rsidRDefault="00A64B76" w:rsidP="00A64B76">
      <w:pPr>
        <w:pStyle w:val="CS-FootnoteText"/>
        <w:rPr>
          <w:rFonts w:ascii="Arial" w:hAnsi="Arial" w:cs="Arial"/>
        </w:rPr>
      </w:pPr>
    </w:p>
    <w:p w14:paraId="546C5BEE" w14:textId="6BD45C5C" w:rsidR="00A64B76" w:rsidRDefault="00A64B76" w:rsidP="000F322D">
      <w:pPr>
        <w:pStyle w:val="TextPI"/>
        <w:keepNext/>
        <w:keepLines/>
        <w:rPr>
          <w:b/>
          <w:sz w:val="20"/>
          <w:lang w:val="en-GB"/>
        </w:rPr>
      </w:pPr>
      <w:r w:rsidRPr="004E11D0">
        <w:rPr>
          <w:bCs/>
          <w:lang w:val="en-GB"/>
        </w:rPr>
        <w:lastRenderedPageBreak/>
        <w:t xml:space="preserve">Table </w:t>
      </w:r>
      <w:r w:rsidR="009C3BE5">
        <w:rPr>
          <w:bCs/>
          <w:lang w:val="en-GB"/>
        </w:rPr>
        <w:t>4</w:t>
      </w:r>
      <w:r w:rsidRPr="00B44310">
        <w:rPr>
          <w:lang w:val="en-GB"/>
        </w:rPr>
        <w:t xml:space="preserve"> summari</w:t>
      </w:r>
      <w:r>
        <w:rPr>
          <w:lang w:val="en-GB"/>
        </w:rPr>
        <w:t>s</w:t>
      </w:r>
      <w:r w:rsidRPr="00B44310">
        <w:rPr>
          <w:lang w:val="en-GB"/>
        </w:rPr>
        <w:t xml:space="preserve">es the frequencies of adverse drug reactions (ADRs) </w:t>
      </w:r>
      <w:r>
        <w:rPr>
          <w:lang w:val="en-GB"/>
        </w:rPr>
        <w:t xml:space="preserve">by System Organ Class (SOC) </w:t>
      </w:r>
      <w:r w:rsidRPr="00B44310">
        <w:rPr>
          <w:lang w:val="en-GB"/>
        </w:rPr>
        <w:t>that were reported in the pivotal study LUME-Lung 1 for patients with NSCLC of adenocarcinoma tumour histology (n</w:t>
      </w:r>
      <w:r>
        <w:rPr>
          <w:lang w:val="en-GB"/>
        </w:rPr>
        <w:t xml:space="preserve"> </w:t>
      </w:r>
      <w:r w:rsidRPr="00B44310">
        <w:rPr>
          <w:lang w:val="en-GB"/>
        </w:rPr>
        <w:t>=</w:t>
      </w:r>
      <w:r>
        <w:rPr>
          <w:lang w:val="en-GB"/>
        </w:rPr>
        <w:t xml:space="preserve"> </w:t>
      </w:r>
      <w:r w:rsidRPr="00B44310">
        <w:rPr>
          <w:lang w:val="en-GB"/>
        </w:rPr>
        <w:t>320)</w:t>
      </w:r>
      <w:r w:rsidR="002A0608">
        <w:rPr>
          <w:lang w:val="en-GB"/>
        </w:rPr>
        <w:t xml:space="preserve"> and based on data observed during the </w:t>
      </w:r>
      <w:proofErr w:type="spellStart"/>
      <w:r w:rsidR="00DA073B">
        <w:rPr>
          <w:lang w:val="en-GB"/>
        </w:rPr>
        <w:t>nintedanib</w:t>
      </w:r>
      <w:proofErr w:type="spellEnd"/>
      <w:r w:rsidR="00DA073B">
        <w:rPr>
          <w:lang w:val="en-GB"/>
        </w:rPr>
        <w:t xml:space="preserve"> </w:t>
      </w:r>
      <w:r w:rsidR="002A0608">
        <w:rPr>
          <w:lang w:val="en-GB"/>
        </w:rPr>
        <w:t>post-marketing period</w:t>
      </w:r>
      <w:r w:rsidRPr="00B44310">
        <w:rPr>
          <w:lang w:val="en-GB"/>
        </w:rPr>
        <w:t xml:space="preserve">. </w:t>
      </w:r>
      <w:r>
        <w:rPr>
          <w:lang w:val="en-GB"/>
        </w:rPr>
        <w:t xml:space="preserve"> </w:t>
      </w:r>
      <w:r w:rsidRPr="00B44310">
        <w:rPr>
          <w:lang w:val="en-GB"/>
        </w:rPr>
        <w:t>The following terms are used to rank the ADRs by frequency: very common (≥ 1/10), common (≥ 1/100 &lt; 1/10), uncommon (≥ 1/1,000 &lt; 1/100</w:t>
      </w:r>
      <w:r>
        <w:rPr>
          <w:lang w:val="en-GB"/>
        </w:rPr>
        <w:t xml:space="preserve">). </w:t>
      </w:r>
      <w:r w:rsidRPr="00B44310">
        <w:rPr>
          <w:lang w:val="en-GB"/>
        </w:rPr>
        <w:t xml:space="preserve"> Within each frequency grouping adverse reactions are presented in order of decreased seriousness.</w:t>
      </w:r>
      <w:r>
        <w:rPr>
          <w:lang w:val="en-GB"/>
        </w:rPr>
        <w:t xml:space="preserve">  </w:t>
      </w:r>
      <w:r w:rsidRPr="00B44310">
        <w:rPr>
          <w:noProof/>
          <w:lang w:val="en-US"/>
        </w:rPr>
        <w:t xml:space="preserve">The most frequently reported adverse reactions specific for </w:t>
      </w:r>
      <w:r w:rsidR="00AC7098">
        <w:rPr>
          <w:noProof/>
          <w:lang w:val="en-US"/>
        </w:rPr>
        <w:t>OFEV</w:t>
      </w:r>
      <w:r w:rsidR="00AC7098" w:rsidRPr="00B44310">
        <w:rPr>
          <w:noProof/>
          <w:lang w:val="en-US"/>
        </w:rPr>
        <w:t xml:space="preserve"> </w:t>
      </w:r>
      <w:r w:rsidRPr="00B44310">
        <w:rPr>
          <w:noProof/>
          <w:lang w:val="en-US"/>
        </w:rPr>
        <w:t>were diarrhoea, increased liver enzyme val</w:t>
      </w:r>
      <w:r w:rsidR="000F322D">
        <w:rPr>
          <w:noProof/>
          <w:lang w:val="en-US"/>
        </w:rPr>
        <w:t>ues (ALT and AST) and vomiting.</w:t>
      </w:r>
      <w:bookmarkStart w:id="3" w:name="_Ref204515339"/>
    </w:p>
    <w:p w14:paraId="5C0F8F1A" w14:textId="5727DEE6" w:rsidR="00A64B76" w:rsidRPr="004E11D0" w:rsidRDefault="00A64B76" w:rsidP="00A50827">
      <w:pPr>
        <w:pStyle w:val="TextPI"/>
        <w:keepNext/>
        <w:keepLines/>
        <w:tabs>
          <w:tab w:val="left" w:pos="1134"/>
        </w:tabs>
        <w:rPr>
          <w:b/>
          <w:sz w:val="20"/>
          <w:szCs w:val="20"/>
          <w:lang w:val="en-GB"/>
        </w:rPr>
      </w:pPr>
      <w:r w:rsidRPr="004E11D0">
        <w:rPr>
          <w:b/>
          <w:sz w:val="20"/>
          <w:szCs w:val="20"/>
          <w:lang w:val="en-GB"/>
        </w:rPr>
        <w:t>Table</w:t>
      </w:r>
      <w:bookmarkEnd w:id="3"/>
      <w:r w:rsidRPr="004E11D0">
        <w:rPr>
          <w:b/>
          <w:sz w:val="20"/>
          <w:szCs w:val="20"/>
          <w:lang w:val="en-GB"/>
        </w:rPr>
        <w:t xml:space="preserve"> </w:t>
      </w:r>
      <w:r w:rsidR="009C3BE5">
        <w:rPr>
          <w:b/>
          <w:sz w:val="20"/>
          <w:szCs w:val="20"/>
          <w:lang w:val="en-GB"/>
        </w:rPr>
        <w:t>4</w:t>
      </w:r>
      <w:r>
        <w:rPr>
          <w:b/>
          <w:sz w:val="20"/>
          <w:szCs w:val="20"/>
          <w:lang w:val="en-GB"/>
        </w:rPr>
        <w:t>:</w:t>
      </w:r>
      <w:r>
        <w:rPr>
          <w:b/>
          <w:sz w:val="20"/>
          <w:szCs w:val="20"/>
          <w:lang w:val="en-GB"/>
        </w:rPr>
        <w:tab/>
      </w:r>
      <w:r w:rsidRPr="004E11D0">
        <w:rPr>
          <w:b/>
          <w:sz w:val="20"/>
          <w:szCs w:val="20"/>
          <w:lang w:val="en-GB"/>
        </w:rPr>
        <w:t xml:space="preserve">Summary of ADRs per frequency category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2560"/>
        <w:gridCol w:w="2409"/>
        <w:gridCol w:w="2268"/>
      </w:tblGrid>
      <w:tr w:rsidR="00A64B76" w:rsidRPr="00B44310" w14:paraId="477DF21E" w14:textId="77777777" w:rsidTr="00A64B76">
        <w:trPr>
          <w:trHeight w:val="293"/>
          <w:tblHeader/>
        </w:trPr>
        <w:tc>
          <w:tcPr>
            <w:tcW w:w="1835" w:type="dxa"/>
          </w:tcPr>
          <w:p w14:paraId="5BF1C9E3" w14:textId="77777777" w:rsidR="00A64B76" w:rsidRPr="0074190C" w:rsidRDefault="00A64B76" w:rsidP="00A50827">
            <w:pPr>
              <w:keepNext/>
              <w:keepLines/>
              <w:rPr>
                <w:rFonts w:ascii="Arial" w:hAnsi="Arial" w:cs="Arial"/>
                <w:b/>
                <w:sz w:val="20"/>
                <w:lang w:val="en-US" w:eastAsia="de-DE"/>
              </w:rPr>
            </w:pPr>
            <w:r w:rsidRPr="0074190C">
              <w:rPr>
                <w:rFonts w:ascii="Arial" w:hAnsi="Arial" w:cs="Arial"/>
                <w:b/>
                <w:sz w:val="20"/>
                <w:lang w:val="en-US" w:eastAsia="de-DE"/>
              </w:rPr>
              <w:t>System Organ Class</w:t>
            </w:r>
          </w:p>
          <w:p w14:paraId="65DAE374" w14:textId="77777777" w:rsidR="00A64B76" w:rsidRPr="0074190C" w:rsidRDefault="00A64B76" w:rsidP="00A50827">
            <w:pPr>
              <w:keepNext/>
              <w:keepLines/>
              <w:jc w:val="both"/>
              <w:rPr>
                <w:rFonts w:ascii="Arial" w:hAnsi="Arial" w:cs="Arial"/>
                <w:b/>
                <w:sz w:val="20"/>
                <w:lang w:val="en-US" w:eastAsia="de-DE"/>
              </w:rPr>
            </w:pPr>
          </w:p>
        </w:tc>
        <w:tc>
          <w:tcPr>
            <w:tcW w:w="2560" w:type="dxa"/>
          </w:tcPr>
          <w:p w14:paraId="1954B8C0" w14:textId="77777777" w:rsidR="00A64B76" w:rsidRPr="0074190C" w:rsidRDefault="00A64B76" w:rsidP="00A50827">
            <w:pPr>
              <w:keepNext/>
              <w:keepLines/>
              <w:tabs>
                <w:tab w:val="left" w:pos="270"/>
              </w:tabs>
              <w:rPr>
                <w:rFonts w:ascii="Arial" w:hAnsi="Arial" w:cs="Arial"/>
                <w:b/>
                <w:sz w:val="20"/>
                <w:lang w:val="en-GB" w:eastAsia="de-DE"/>
              </w:rPr>
            </w:pPr>
            <w:r w:rsidRPr="0074190C">
              <w:rPr>
                <w:rFonts w:ascii="Arial" w:hAnsi="Arial" w:cs="Arial"/>
                <w:b/>
                <w:sz w:val="20"/>
                <w:lang w:val="en-GB" w:eastAsia="de-DE"/>
              </w:rPr>
              <w:t xml:space="preserve">Very common </w:t>
            </w:r>
            <w:r w:rsidRPr="0074190C">
              <w:rPr>
                <w:rFonts w:ascii="Arial" w:hAnsi="Arial" w:cs="Arial"/>
                <w:b/>
                <w:sz w:val="20"/>
                <w:lang w:val="en-GB" w:eastAsia="de-DE"/>
              </w:rPr>
              <w:br/>
              <w:t>(≥ 1/10)</w:t>
            </w:r>
          </w:p>
        </w:tc>
        <w:tc>
          <w:tcPr>
            <w:tcW w:w="2409" w:type="dxa"/>
          </w:tcPr>
          <w:p w14:paraId="62406EE5" w14:textId="77777777" w:rsidR="00A64B76" w:rsidRPr="0074190C" w:rsidRDefault="00A64B76" w:rsidP="00A50827">
            <w:pPr>
              <w:keepNext/>
              <w:keepLines/>
              <w:jc w:val="both"/>
              <w:rPr>
                <w:rFonts w:ascii="Arial" w:hAnsi="Arial" w:cs="Arial"/>
                <w:b/>
                <w:sz w:val="20"/>
                <w:lang w:val="en-US" w:eastAsia="de-DE"/>
              </w:rPr>
            </w:pPr>
            <w:r w:rsidRPr="0074190C">
              <w:rPr>
                <w:rFonts w:ascii="Arial" w:hAnsi="Arial" w:cs="Arial"/>
                <w:b/>
                <w:sz w:val="20"/>
                <w:lang w:val="en-GB" w:eastAsia="de-DE"/>
              </w:rPr>
              <w:t xml:space="preserve">Common </w:t>
            </w:r>
            <w:r w:rsidRPr="0074190C">
              <w:rPr>
                <w:rFonts w:ascii="Arial" w:hAnsi="Arial" w:cs="Arial"/>
                <w:b/>
                <w:sz w:val="20"/>
                <w:lang w:val="en-GB" w:eastAsia="de-DE"/>
              </w:rPr>
              <w:br/>
              <w:t>(≥ 1/100 &lt; 1/10)</w:t>
            </w:r>
          </w:p>
        </w:tc>
        <w:tc>
          <w:tcPr>
            <w:tcW w:w="2268" w:type="dxa"/>
          </w:tcPr>
          <w:p w14:paraId="5CEB3C87" w14:textId="77777777" w:rsidR="00A64B76" w:rsidRPr="0074190C" w:rsidRDefault="00A64B76" w:rsidP="00A50827">
            <w:pPr>
              <w:keepNext/>
              <w:keepLines/>
              <w:tabs>
                <w:tab w:val="left" w:pos="270"/>
              </w:tabs>
              <w:rPr>
                <w:rFonts w:ascii="Arial" w:hAnsi="Arial" w:cs="Arial"/>
                <w:b/>
                <w:sz w:val="20"/>
                <w:lang w:val="en-GB" w:eastAsia="de-DE"/>
              </w:rPr>
            </w:pPr>
            <w:r w:rsidRPr="0074190C">
              <w:rPr>
                <w:rFonts w:ascii="Arial" w:hAnsi="Arial" w:cs="Arial"/>
                <w:b/>
                <w:sz w:val="20"/>
                <w:lang w:val="en-GB" w:eastAsia="de-DE"/>
              </w:rPr>
              <w:t xml:space="preserve">Uncommon </w:t>
            </w:r>
            <w:r w:rsidRPr="0074190C">
              <w:rPr>
                <w:rFonts w:ascii="Arial" w:hAnsi="Arial" w:cs="Arial"/>
                <w:b/>
                <w:sz w:val="20"/>
                <w:lang w:val="en-GB" w:eastAsia="de-DE"/>
              </w:rPr>
              <w:br/>
              <w:t>(≥ 1/1,000 &lt; 1/100)</w:t>
            </w:r>
          </w:p>
        </w:tc>
      </w:tr>
      <w:tr w:rsidR="00A64B76" w:rsidRPr="00B44310" w14:paraId="6FE721B6" w14:textId="77777777" w:rsidTr="00A64B76">
        <w:tc>
          <w:tcPr>
            <w:tcW w:w="1835" w:type="dxa"/>
          </w:tcPr>
          <w:p w14:paraId="45BE3207"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Infections and infestations</w:t>
            </w:r>
          </w:p>
        </w:tc>
        <w:tc>
          <w:tcPr>
            <w:tcW w:w="2560" w:type="dxa"/>
          </w:tcPr>
          <w:p w14:paraId="2C921B2C" w14:textId="77777777" w:rsidR="00A64B76" w:rsidRPr="0074190C" w:rsidRDefault="00A64B76" w:rsidP="00A50827">
            <w:pPr>
              <w:keepNext/>
              <w:keepLines/>
              <w:jc w:val="both"/>
              <w:rPr>
                <w:rFonts w:ascii="Arial" w:hAnsi="Arial" w:cs="Arial"/>
                <w:sz w:val="20"/>
                <w:lang w:val="en-US" w:eastAsia="de-DE"/>
              </w:rPr>
            </w:pPr>
          </w:p>
        </w:tc>
        <w:tc>
          <w:tcPr>
            <w:tcW w:w="2409" w:type="dxa"/>
          </w:tcPr>
          <w:p w14:paraId="7C293EA6" w14:textId="77777777" w:rsidR="00A64B76" w:rsidRPr="00D63C9E" w:rsidRDefault="00A64B76" w:rsidP="00A50827">
            <w:pPr>
              <w:keepNext/>
              <w:keepLines/>
              <w:rPr>
                <w:rFonts w:ascii="Arial" w:hAnsi="Arial" w:cs="Arial"/>
                <w:sz w:val="20"/>
                <w:lang w:val="en-US" w:eastAsia="de-DE"/>
              </w:rPr>
            </w:pPr>
            <w:r w:rsidRPr="00D63C9E">
              <w:rPr>
                <w:rFonts w:ascii="Arial" w:hAnsi="Arial" w:cs="Arial"/>
                <w:sz w:val="20"/>
                <w:lang w:val="en-US" w:eastAsia="de-DE"/>
              </w:rPr>
              <w:t>Febrile neutropenia</w:t>
            </w:r>
            <w:r w:rsidRPr="00D63C9E">
              <w:rPr>
                <w:rFonts w:ascii="Arial" w:hAnsi="Arial" w:cs="Arial"/>
                <w:sz w:val="20"/>
                <w:vertAlign w:val="superscript"/>
                <w:lang w:val="en-US" w:eastAsia="de-DE"/>
              </w:rPr>
              <w:t>1</w:t>
            </w:r>
            <w:r w:rsidRPr="00D63C9E">
              <w:rPr>
                <w:rFonts w:ascii="Arial" w:hAnsi="Arial" w:cs="Arial"/>
                <w:sz w:val="20"/>
                <w:lang w:val="en-US" w:eastAsia="de-DE"/>
              </w:rPr>
              <w:t>, Abscesses,</w:t>
            </w:r>
          </w:p>
          <w:p w14:paraId="55555413" w14:textId="77777777" w:rsidR="00A64B76" w:rsidRPr="0074190C" w:rsidRDefault="00A64B76" w:rsidP="00A50827">
            <w:pPr>
              <w:keepNext/>
              <w:keepLines/>
              <w:rPr>
                <w:rFonts w:ascii="Arial" w:hAnsi="Arial" w:cs="Arial"/>
                <w:sz w:val="20"/>
                <w:lang w:val="en-US" w:eastAsia="de-DE"/>
              </w:rPr>
            </w:pPr>
            <w:r w:rsidRPr="00D63C9E">
              <w:rPr>
                <w:rFonts w:ascii="Arial" w:hAnsi="Arial" w:cs="Arial"/>
                <w:sz w:val="20"/>
                <w:lang w:val="en-US" w:eastAsia="de-DE"/>
              </w:rPr>
              <w:t>Sepsis</w:t>
            </w:r>
            <w:r w:rsidRPr="00D63C9E">
              <w:rPr>
                <w:rFonts w:ascii="Arial" w:hAnsi="Arial" w:cs="Arial"/>
                <w:sz w:val="20"/>
                <w:vertAlign w:val="superscript"/>
                <w:lang w:val="en-US" w:eastAsia="de-DE"/>
              </w:rPr>
              <w:t>1</w:t>
            </w:r>
          </w:p>
        </w:tc>
        <w:tc>
          <w:tcPr>
            <w:tcW w:w="2268" w:type="dxa"/>
          </w:tcPr>
          <w:p w14:paraId="45873ACA" w14:textId="77777777" w:rsidR="00A64B76" w:rsidRPr="0074190C" w:rsidRDefault="00A64B76" w:rsidP="00A50827">
            <w:pPr>
              <w:keepNext/>
              <w:keepLines/>
              <w:jc w:val="both"/>
              <w:rPr>
                <w:rFonts w:ascii="Arial" w:hAnsi="Arial" w:cs="Arial"/>
                <w:sz w:val="20"/>
                <w:lang w:val="en-US" w:eastAsia="de-DE"/>
              </w:rPr>
            </w:pPr>
          </w:p>
        </w:tc>
      </w:tr>
      <w:tr w:rsidR="00A64B76" w:rsidRPr="00B44310" w14:paraId="70DB9E35" w14:textId="77777777" w:rsidTr="00A64B76">
        <w:tc>
          <w:tcPr>
            <w:tcW w:w="1835" w:type="dxa"/>
          </w:tcPr>
          <w:p w14:paraId="11052427"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Blood and lymphatic system disorders</w:t>
            </w:r>
          </w:p>
        </w:tc>
        <w:tc>
          <w:tcPr>
            <w:tcW w:w="2560" w:type="dxa"/>
          </w:tcPr>
          <w:p w14:paraId="0D48A857" w14:textId="77777777" w:rsidR="00A64B76" w:rsidRPr="0074190C" w:rsidRDefault="00A64B76" w:rsidP="00A50827">
            <w:pPr>
              <w:keepNext/>
              <w:keepLines/>
              <w:jc w:val="both"/>
              <w:rPr>
                <w:rFonts w:ascii="Arial" w:hAnsi="Arial" w:cs="Arial"/>
                <w:sz w:val="20"/>
                <w:lang w:val="en-US" w:eastAsia="de-DE"/>
              </w:rPr>
            </w:pPr>
            <w:r w:rsidRPr="00D63C9E">
              <w:rPr>
                <w:rFonts w:ascii="Arial" w:hAnsi="Arial" w:cs="Arial"/>
                <w:sz w:val="20"/>
                <w:lang w:val="en-US" w:eastAsia="de-DE"/>
              </w:rPr>
              <w:t>Neutropenia</w:t>
            </w:r>
            <w:r w:rsidRPr="00D63C9E">
              <w:rPr>
                <w:rFonts w:ascii="Arial" w:hAnsi="Arial" w:cs="Arial"/>
                <w:sz w:val="20"/>
                <w:vertAlign w:val="superscript"/>
                <w:lang w:val="en-US" w:eastAsia="de-DE"/>
              </w:rPr>
              <w:t>1</w:t>
            </w:r>
          </w:p>
          <w:p w14:paraId="376EBF9D"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(includes febrile neutropenia)</w:t>
            </w:r>
          </w:p>
        </w:tc>
        <w:tc>
          <w:tcPr>
            <w:tcW w:w="2409" w:type="dxa"/>
          </w:tcPr>
          <w:p w14:paraId="2EB9B1BE" w14:textId="77777777" w:rsidR="00A64B76" w:rsidRPr="0074190C" w:rsidRDefault="00A64B76" w:rsidP="00A50827">
            <w:pPr>
              <w:keepNext/>
              <w:keepLines/>
              <w:jc w:val="both"/>
              <w:rPr>
                <w:rFonts w:ascii="Arial" w:hAnsi="Arial" w:cs="Arial"/>
                <w:sz w:val="20"/>
                <w:lang w:val="en-US" w:eastAsia="de-DE"/>
              </w:rPr>
            </w:pPr>
            <w:r>
              <w:rPr>
                <w:rFonts w:ascii="Arial" w:hAnsi="Arial" w:cs="Arial"/>
                <w:sz w:val="20"/>
                <w:lang w:val="en-US" w:eastAsia="de-DE"/>
              </w:rPr>
              <w:t>Thrombocytopenia</w:t>
            </w:r>
          </w:p>
        </w:tc>
        <w:tc>
          <w:tcPr>
            <w:tcW w:w="2268" w:type="dxa"/>
          </w:tcPr>
          <w:p w14:paraId="24E49958" w14:textId="77777777" w:rsidR="00A64B76" w:rsidRPr="0074190C" w:rsidRDefault="00A64B76" w:rsidP="00A50827">
            <w:pPr>
              <w:keepNext/>
              <w:keepLines/>
              <w:jc w:val="both"/>
              <w:rPr>
                <w:rFonts w:ascii="Arial" w:hAnsi="Arial" w:cs="Arial"/>
                <w:sz w:val="20"/>
                <w:lang w:val="en-US" w:eastAsia="de-DE"/>
              </w:rPr>
            </w:pPr>
          </w:p>
        </w:tc>
      </w:tr>
      <w:tr w:rsidR="00A64B76" w:rsidRPr="00B44310" w14:paraId="3F32B93A" w14:textId="77777777" w:rsidTr="00A64B76">
        <w:tc>
          <w:tcPr>
            <w:tcW w:w="1835" w:type="dxa"/>
          </w:tcPr>
          <w:p w14:paraId="34513DE8"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Metabolism and nutrition disorders</w:t>
            </w:r>
          </w:p>
        </w:tc>
        <w:tc>
          <w:tcPr>
            <w:tcW w:w="2560" w:type="dxa"/>
          </w:tcPr>
          <w:p w14:paraId="2BC0C147"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Decreased appetite</w:t>
            </w:r>
            <w:r>
              <w:rPr>
                <w:rFonts w:ascii="Arial" w:hAnsi="Arial" w:cs="Arial"/>
                <w:sz w:val="20"/>
                <w:lang w:val="en-US" w:eastAsia="de-DE"/>
              </w:rPr>
              <w:t xml:space="preserve">, </w:t>
            </w:r>
            <w:r w:rsidRPr="0074190C">
              <w:rPr>
                <w:rFonts w:ascii="Arial" w:hAnsi="Arial" w:cs="Arial"/>
                <w:sz w:val="20"/>
                <w:lang w:val="en-US" w:eastAsia="de-DE"/>
              </w:rPr>
              <w:t>Electrolyte imbalance</w:t>
            </w:r>
          </w:p>
        </w:tc>
        <w:tc>
          <w:tcPr>
            <w:tcW w:w="2409" w:type="dxa"/>
          </w:tcPr>
          <w:p w14:paraId="1CC38C06" w14:textId="77777777" w:rsidR="00A64B76" w:rsidRDefault="00A64B76" w:rsidP="00A50827">
            <w:pPr>
              <w:keepNext/>
              <w:keepLines/>
              <w:rPr>
                <w:rFonts w:ascii="Arial" w:hAnsi="Arial" w:cs="Arial"/>
                <w:sz w:val="20"/>
                <w:lang w:val="en-US" w:eastAsia="de-DE"/>
              </w:rPr>
            </w:pPr>
            <w:r w:rsidRPr="0074190C">
              <w:rPr>
                <w:rFonts w:ascii="Arial" w:hAnsi="Arial" w:cs="Arial"/>
                <w:sz w:val="20"/>
                <w:lang w:val="en-US" w:eastAsia="de-DE"/>
              </w:rPr>
              <w:t>Dehydration</w:t>
            </w:r>
          </w:p>
          <w:p w14:paraId="14DF83BF" w14:textId="77777777" w:rsidR="00A64B76" w:rsidRPr="0074190C" w:rsidRDefault="00A64B76" w:rsidP="00A50827">
            <w:pPr>
              <w:keepNext/>
              <w:keepLines/>
              <w:rPr>
                <w:rFonts w:ascii="Arial" w:hAnsi="Arial" w:cs="Arial"/>
                <w:sz w:val="20"/>
                <w:lang w:val="en-US" w:eastAsia="de-DE"/>
              </w:rPr>
            </w:pPr>
            <w:r>
              <w:rPr>
                <w:rFonts w:ascii="Arial" w:hAnsi="Arial" w:cs="Arial"/>
                <w:sz w:val="20"/>
                <w:lang w:val="en-US" w:eastAsia="de-DE"/>
              </w:rPr>
              <w:t>Weight decreased</w:t>
            </w:r>
          </w:p>
        </w:tc>
        <w:tc>
          <w:tcPr>
            <w:tcW w:w="2268" w:type="dxa"/>
          </w:tcPr>
          <w:p w14:paraId="5DCDE763" w14:textId="77777777" w:rsidR="00A64B76" w:rsidRPr="0074190C" w:rsidRDefault="00A64B76" w:rsidP="00A50827">
            <w:pPr>
              <w:keepNext/>
              <w:keepLines/>
              <w:jc w:val="both"/>
              <w:rPr>
                <w:rFonts w:ascii="Arial" w:hAnsi="Arial" w:cs="Arial"/>
                <w:sz w:val="20"/>
                <w:lang w:val="en-US" w:eastAsia="de-DE"/>
              </w:rPr>
            </w:pPr>
          </w:p>
        </w:tc>
      </w:tr>
      <w:tr w:rsidR="00A64B76" w:rsidRPr="00B44310" w14:paraId="6116A9BB" w14:textId="77777777" w:rsidTr="00A64B76">
        <w:tc>
          <w:tcPr>
            <w:tcW w:w="1835" w:type="dxa"/>
          </w:tcPr>
          <w:p w14:paraId="17F8AE01" w14:textId="77777777" w:rsidR="00A64B76" w:rsidRPr="0074190C" w:rsidRDefault="00A64B76" w:rsidP="00A50827">
            <w:pPr>
              <w:keepNext/>
              <w:keepLines/>
              <w:rPr>
                <w:rFonts w:ascii="Arial" w:hAnsi="Arial" w:cs="Arial"/>
                <w:sz w:val="20"/>
                <w:lang w:val="en-US" w:eastAsia="de-DE"/>
              </w:rPr>
            </w:pPr>
            <w:r>
              <w:rPr>
                <w:rFonts w:ascii="Arial" w:hAnsi="Arial" w:cs="Arial"/>
                <w:sz w:val="20"/>
                <w:lang w:val="en-US" w:eastAsia="de-DE"/>
              </w:rPr>
              <w:t>Nervous system disorders</w:t>
            </w:r>
          </w:p>
        </w:tc>
        <w:tc>
          <w:tcPr>
            <w:tcW w:w="2560" w:type="dxa"/>
          </w:tcPr>
          <w:p w14:paraId="3A381E3A" w14:textId="77777777" w:rsidR="00A64B76" w:rsidRPr="00D63C9E" w:rsidRDefault="00A64B76" w:rsidP="00A50827">
            <w:pPr>
              <w:keepNext/>
              <w:keepLines/>
              <w:jc w:val="both"/>
              <w:rPr>
                <w:rFonts w:ascii="Arial" w:hAnsi="Arial" w:cs="Arial"/>
                <w:sz w:val="20"/>
                <w:lang w:val="en-US" w:eastAsia="de-DE"/>
              </w:rPr>
            </w:pPr>
            <w:r w:rsidRPr="00D63C9E">
              <w:rPr>
                <w:rFonts w:ascii="Arial" w:hAnsi="Arial" w:cs="Arial"/>
                <w:sz w:val="20"/>
                <w:lang w:val="en-US" w:eastAsia="de-DE"/>
              </w:rPr>
              <w:t>Peripheral neuropathy</w:t>
            </w:r>
            <w:r w:rsidRPr="00D63C9E">
              <w:rPr>
                <w:rFonts w:ascii="Arial" w:hAnsi="Arial" w:cs="Arial"/>
                <w:sz w:val="20"/>
                <w:vertAlign w:val="superscript"/>
                <w:lang w:val="en-US" w:eastAsia="de-DE"/>
              </w:rPr>
              <w:t>1</w:t>
            </w:r>
          </w:p>
        </w:tc>
        <w:tc>
          <w:tcPr>
            <w:tcW w:w="2409" w:type="dxa"/>
          </w:tcPr>
          <w:p w14:paraId="15EC63F3" w14:textId="485F8705" w:rsidR="00A64B76" w:rsidRPr="0074190C" w:rsidRDefault="00D95D28" w:rsidP="00A50827">
            <w:pPr>
              <w:keepNext/>
              <w:keepLines/>
              <w:jc w:val="both"/>
              <w:rPr>
                <w:rFonts w:ascii="Arial" w:hAnsi="Arial" w:cs="Arial"/>
                <w:sz w:val="20"/>
                <w:lang w:val="en-US" w:eastAsia="de-DE"/>
              </w:rPr>
            </w:pPr>
            <w:r>
              <w:rPr>
                <w:rFonts w:ascii="Arial" w:hAnsi="Arial" w:cs="Arial"/>
                <w:sz w:val="20"/>
                <w:lang w:val="en-US" w:eastAsia="de-DE"/>
              </w:rPr>
              <w:t>Headache</w:t>
            </w:r>
            <w:r w:rsidR="00B669A0" w:rsidRPr="00D63C9E">
              <w:rPr>
                <w:rFonts w:ascii="Arial" w:hAnsi="Arial" w:cs="Arial"/>
                <w:sz w:val="20"/>
                <w:vertAlign w:val="superscript"/>
                <w:lang w:val="en-US" w:eastAsia="de-DE"/>
              </w:rPr>
              <w:t>2</w:t>
            </w:r>
          </w:p>
        </w:tc>
        <w:tc>
          <w:tcPr>
            <w:tcW w:w="2268" w:type="dxa"/>
          </w:tcPr>
          <w:p w14:paraId="28C322B1" w14:textId="77777777" w:rsidR="00A64B76" w:rsidRPr="0074190C" w:rsidRDefault="00A64B76" w:rsidP="00A50827">
            <w:pPr>
              <w:keepNext/>
              <w:keepLines/>
              <w:jc w:val="both"/>
              <w:rPr>
                <w:rFonts w:ascii="Arial" w:hAnsi="Arial" w:cs="Arial"/>
                <w:sz w:val="20"/>
                <w:lang w:val="en-US" w:eastAsia="de-DE"/>
              </w:rPr>
            </w:pPr>
          </w:p>
        </w:tc>
      </w:tr>
      <w:tr w:rsidR="00A64B76" w:rsidRPr="00B44310" w14:paraId="73D5A032" w14:textId="77777777" w:rsidTr="00A64B76">
        <w:tc>
          <w:tcPr>
            <w:tcW w:w="1835" w:type="dxa"/>
          </w:tcPr>
          <w:p w14:paraId="3D7A4513"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Vascular disorders</w:t>
            </w:r>
          </w:p>
        </w:tc>
        <w:tc>
          <w:tcPr>
            <w:tcW w:w="2560" w:type="dxa"/>
          </w:tcPr>
          <w:p w14:paraId="16B8B116" w14:textId="77777777" w:rsidR="00A64B76" w:rsidRPr="00D63C9E" w:rsidRDefault="00A64B76" w:rsidP="00A50827">
            <w:pPr>
              <w:keepNext/>
              <w:keepLines/>
              <w:jc w:val="both"/>
              <w:rPr>
                <w:rFonts w:ascii="Arial" w:hAnsi="Arial" w:cs="Arial"/>
                <w:sz w:val="20"/>
                <w:lang w:val="en-US" w:eastAsia="de-DE"/>
              </w:rPr>
            </w:pPr>
            <w:r w:rsidRPr="00D63C9E">
              <w:rPr>
                <w:rFonts w:ascii="Arial" w:hAnsi="Arial" w:cs="Arial"/>
                <w:sz w:val="20"/>
                <w:lang w:val="en-US" w:eastAsia="de-DE"/>
              </w:rPr>
              <w:t>Bleeding</w:t>
            </w:r>
            <w:r w:rsidRPr="00D63C9E">
              <w:rPr>
                <w:rFonts w:ascii="Arial" w:hAnsi="Arial" w:cs="Arial"/>
                <w:sz w:val="20"/>
                <w:vertAlign w:val="superscript"/>
                <w:lang w:val="en-US" w:eastAsia="de-DE"/>
              </w:rPr>
              <w:t>2</w:t>
            </w:r>
            <w:r w:rsidRPr="00D63C9E">
              <w:rPr>
                <w:rFonts w:ascii="Arial" w:hAnsi="Arial" w:cs="Arial"/>
                <w:sz w:val="20"/>
                <w:lang w:val="en-US" w:eastAsia="de-DE"/>
              </w:rPr>
              <w:t xml:space="preserve"> </w:t>
            </w:r>
          </w:p>
        </w:tc>
        <w:tc>
          <w:tcPr>
            <w:tcW w:w="2409" w:type="dxa"/>
          </w:tcPr>
          <w:p w14:paraId="466E61E6" w14:textId="77777777" w:rsidR="00A64B76" w:rsidRDefault="00A64B76" w:rsidP="00A50827">
            <w:pPr>
              <w:keepNext/>
              <w:keepLines/>
              <w:jc w:val="both"/>
              <w:rPr>
                <w:rFonts w:ascii="Arial" w:hAnsi="Arial" w:cs="Arial"/>
                <w:sz w:val="20"/>
                <w:lang w:val="en-US" w:eastAsia="de-DE"/>
              </w:rPr>
            </w:pPr>
            <w:r w:rsidRPr="0074190C">
              <w:rPr>
                <w:rFonts w:ascii="Arial" w:hAnsi="Arial" w:cs="Arial"/>
                <w:sz w:val="20"/>
                <w:lang w:val="en-US" w:eastAsia="de-DE"/>
              </w:rPr>
              <w:t>Venous thromboembolism</w:t>
            </w:r>
            <w:r>
              <w:rPr>
                <w:rFonts w:ascii="Arial" w:hAnsi="Arial" w:cs="Arial"/>
                <w:sz w:val="20"/>
                <w:lang w:val="en-US" w:eastAsia="de-DE"/>
              </w:rPr>
              <w:t>,</w:t>
            </w:r>
          </w:p>
          <w:p w14:paraId="13AE8448" w14:textId="77777777" w:rsidR="00A64B76" w:rsidRPr="0074190C" w:rsidRDefault="00A64B76" w:rsidP="00A50827">
            <w:pPr>
              <w:keepNext/>
              <w:keepLines/>
              <w:jc w:val="both"/>
              <w:rPr>
                <w:rFonts w:ascii="Arial" w:hAnsi="Arial" w:cs="Arial"/>
                <w:sz w:val="20"/>
                <w:lang w:val="en-US" w:eastAsia="de-DE"/>
              </w:rPr>
            </w:pPr>
            <w:r w:rsidRPr="0074190C">
              <w:rPr>
                <w:rFonts w:ascii="Arial" w:hAnsi="Arial" w:cs="Arial"/>
                <w:sz w:val="20"/>
                <w:lang w:val="en-US" w:eastAsia="de-DE"/>
              </w:rPr>
              <w:t>Hypertension</w:t>
            </w:r>
          </w:p>
        </w:tc>
        <w:tc>
          <w:tcPr>
            <w:tcW w:w="2268" w:type="dxa"/>
          </w:tcPr>
          <w:p w14:paraId="29157BD3" w14:textId="77777777" w:rsidR="00A64B76" w:rsidRPr="0074190C" w:rsidRDefault="00A64B76" w:rsidP="00A50827">
            <w:pPr>
              <w:keepNext/>
              <w:keepLines/>
              <w:jc w:val="both"/>
              <w:rPr>
                <w:rFonts w:ascii="Arial" w:hAnsi="Arial" w:cs="Arial"/>
                <w:sz w:val="20"/>
                <w:lang w:val="en-US" w:eastAsia="de-DE"/>
              </w:rPr>
            </w:pPr>
          </w:p>
          <w:p w14:paraId="383C13F0" w14:textId="77777777" w:rsidR="00A64B76" w:rsidRPr="0074190C" w:rsidRDefault="00A64B76" w:rsidP="00A50827">
            <w:pPr>
              <w:keepNext/>
              <w:keepLines/>
              <w:jc w:val="both"/>
              <w:rPr>
                <w:rFonts w:ascii="Arial" w:hAnsi="Arial" w:cs="Arial"/>
                <w:sz w:val="20"/>
                <w:lang w:val="en-US" w:eastAsia="de-DE"/>
              </w:rPr>
            </w:pPr>
          </w:p>
        </w:tc>
      </w:tr>
      <w:tr w:rsidR="00A64B76" w:rsidRPr="00B44310" w14:paraId="1AE61028" w14:textId="77777777" w:rsidTr="00A64B76">
        <w:trPr>
          <w:trHeight w:val="280"/>
        </w:trPr>
        <w:tc>
          <w:tcPr>
            <w:tcW w:w="1835" w:type="dxa"/>
          </w:tcPr>
          <w:p w14:paraId="656F9F57"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US" w:eastAsia="de-DE"/>
              </w:rPr>
              <w:t>Gastrointestinal</w:t>
            </w:r>
            <w:r>
              <w:rPr>
                <w:rFonts w:ascii="Arial" w:hAnsi="Arial" w:cs="Arial"/>
                <w:sz w:val="20"/>
                <w:lang w:val="en-US" w:eastAsia="de-DE"/>
              </w:rPr>
              <w:t xml:space="preserve"> d</w:t>
            </w:r>
            <w:r w:rsidRPr="0074190C">
              <w:rPr>
                <w:rFonts w:ascii="Arial" w:hAnsi="Arial" w:cs="Arial"/>
                <w:sz w:val="20"/>
                <w:lang w:val="en-US" w:eastAsia="de-DE"/>
              </w:rPr>
              <w:t>isorder</w:t>
            </w:r>
            <w:r>
              <w:rPr>
                <w:rFonts w:ascii="Arial" w:hAnsi="Arial" w:cs="Arial"/>
                <w:sz w:val="20"/>
                <w:lang w:val="en-US" w:eastAsia="de-DE"/>
              </w:rPr>
              <w:t>s</w:t>
            </w:r>
          </w:p>
        </w:tc>
        <w:tc>
          <w:tcPr>
            <w:tcW w:w="2560" w:type="dxa"/>
          </w:tcPr>
          <w:p w14:paraId="0640AC25" w14:textId="77777777" w:rsidR="00A64B76" w:rsidRPr="0074190C" w:rsidRDefault="00A64B76" w:rsidP="00A50827">
            <w:pPr>
              <w:keepNext/>
              <w:keepLines/>
              <w:tabs>
                <w:tab w:val="left" w:pos="567"/>
              </w:tabs>
              <w:jc w:val="both"/>
              <w:rPr>
                <w:rFonts w:ascii="Arial" w:hAnsi="Arial" w:cs="Arial"/>
                <w:sz w:val="20"/>
                <w:lang w:val="en-GB"/>
              </w:rPr>
            </w:pPr>
            <w:r w:rsidRPr="0074190C">
              <w:rPr>
                <w:rFonts w:ascii="Arial" w:hAnsi="Arial" w:cs="Arial"/>
                <w:sz w:val="20"/>
                <w:lang w:val="en-GB"/>
              </w:rPr>
              <w:t>Diarrhoea,</w:t>
            </w:r>
          </w:p>
          <w:p w14:paraId="7A18AB41" w14:textId="77777777" w:rsidR="00A64B76" w:rsidRPr="0074190C" w:rsidRDefault="00A64B76" w:rsidP="00A50827">
            <w:pPr>
              <w:keepNext/>
              <w:keepLines/>
              <w:tabs>
                <w:tab w:val="left" w:pos="567"/>
              </w:tabs>
              <w:jc w:val="both"/>
              <w:rPr>
                <w:rFonts w:ascii="Arial" w:hAnsi="Arial" w:cs="Arial"/>
                <w:sz w:val="20"/>
                <w:lang w:val="en-GB"/>
              </w:rPr>
            </w:pPr>
            <w:r w:rsidRPr="0074190C">
              <w:rPr>
                <w:rFonts w:ascii="Arial" w:hAnsi="Arial" w:cs="Arial"/>
                <w:sz w:val="20"/>
                <w:lang w:val="en-GB"/>
              </w:rPr>
              <w:t>Vomiting,</w:t>
            </w:r>
          </w:p>
          <w:p w14:paraId="1F6ED613" w14:textId="77777777" w:rsidR="00A64B76" w:rsidRDefault="00A64B76" w:rsidP="00A50827">
            <w:pPr>
              <w:keepNext/>
              <w:keepLines/>
              <w:tabs>
                <w:tab w:val="left" w:pos="567"/>
              </w:tabs>
              <w:jc w:val="both"/>
              <w:rPr>
                <w:rFonts w:ascii="Arial" w:hAnsi="Arial" w:cs="Arial"/>
                <w:sz w:val="20"/>
                <w:lang w:val="en-GB"/>
              </w:rPr>
            </w:pPr>
            <w:r w:rsidRPr="0074190C">
              <w:rPr>
                <w:rFonts w:ascii="Arial" w:hAnsi="Arial" w:cs="Arial"/>
                <w:sz w:val="20"/>
                <w:lang w:val="en-GB"/>
              </w:rPr>
              <w:t>Nausea</w:t>
            </w:r>
            <w:r>
              <w:rPr>
                <w:rFonts w:ascii="Arial" w:hAnsi="Arial" w:cs="Arial"/>
                <w:sz w:val="20"/>
                <w:lang w:val="en-GB"/>
              </w:rPr>
              <w:t>,</w:t>
            </w:r>
          </w:p>
          <w:p w14:paraId="7A175B4F" w14:textId="77777777" w:rsidR="00A64B76" w:rsidRPr="0074190C" w:rsidRDefault="00A64B76" w:rsidP="00A50827">
            <w:pPr>
              <w:keepNext/>
              <w:keepLines/>
              <w:tabs>
                <w:tab w:val="left" w:pos="567"/>
              </w:tabs>
              <w:jc w:val="both"/>
              <w:rPr>
                <w:rFonts w:ascii="Arial" w:hAnsi="Arial" w:cs="Arial"/>
                <w:sz w:val="20"/>
                <w:lang w:val="en-GB"/>
              </w:rPr>
            </w:pPr>
            <w:r>
              <w:rPr>
                <w:rFonts w:ascii="Arial" w:hAnsi="Arial" w:cs="Arial"/>
                <w:sz w:val="20"/>
                <w:lang w:val="en-GB"/>
              </w:rPr>
              <w:t>Abdominal pain</w:t>
            </w:r>
          </w:p>
        </w:tc>
        <w:tc>
          <w:tcPr>
            <w:tcW w:w="2409" w:type="dxa"/>
          </w:tcPr>
          <w:p w14:paraId="6D16DFAE" w14:textId="77777777" w:rsidR="00A64B76" w:rsidRPr="0074190C" w:rsidRDefault="00A64B76" w:rsidP="00A50827">
            <w:pPr>
              <w:keepNext/>
              <w:keepLines/>
              <w:jc w:val="both"/>
              <w:rPr>
                <w:rFonts w:ascii="Arial" w:hAnsi="Arial" w:cs="Arial"/>
                <w:sz w:val="20"/>
                <w:lang w:val="en-US" w:eastAsia="de-DE"/>
              </w:rPr>
            </w:pPr>
          </w:p>
        </w:tc>
        <w:tc>
          <w:tcPr>
            <w:tcW w:w="2268" w:type="dxa"/>
          </w:tcPr>
          <w:p w14:paraId="21900B53" w14:textId="77777777" w:rsidR="00A64B76" w:rsidRDefault="00A64B76" w:rsidP="00A50827">
            <w:pPr>
              <w:keepNext/>
              <w:keepLines/>
              <w:jc w:val="both"/>
              <w:rPr>
                <w:rFonts w:ascii="Arial" w:hAnsi="Arial" w:cs="Arial"/>
                <w:sz w:val="20"/>
                <w:vertAlign w:val="superscript"/>
                <w:lang w:val="en-US" w:eastAsia="de-DE"/>
              </w:rPr>
            </w:pPr>
            <w:r w:rsidRPr="00D63C9E">
              <w:rPr>
                <w:rFonts w:ascii="Arial" w:hAnsi="Arial" w:cs="Arial"/>
                <w:sz w:val="20"/>
                <w:lang w:val="en-US" w:eastAsia="de-DE"/>
              </w:rPr>
              <w:t>Perforation</w:t>
            </w:r>
            <w:r w:rsidRPr="00D63C9E">
              <w:rPr>
                <w:rFonts w:ascii="Arial" w:hAnsi="Arial" w:cs="Arial"/>
                <w:sz w:val="20"/>
                <w:vertAlign w:val="superscript"/>
                <w:lang w:val="en-US" w:eastAsia="de-DE"/>
              </w:rPr>
              <w:t>2</w:t>
            </w:r>
          </w:p>
          <w:p w14:paraId="2E0F4565" w14:textId="77777777" w:rsidR="00A64B76" w:rsidRPr="00CC786B" w:rsidRDefault="00A64B76" w:rsidP="00A50827">
            <w:pPr>
              <w:keepNext/>
              <w:keepLines/>
              <w:jc w:val="both"/>
              <w:rPr>
                <w:rFonts w:ascii="Arial" w:hAnsi="Arial" w:cs="Arial"/>
                <w:sz w:val="20"/>
                <w:lang w:val="en-US" w:eastAsia="de-DE"/>
              </w:rPr>
            </w:pPr>
            <w:r>
              <w:rPr>
                <w:rFonts w:ascii="Arial" w:hAnsi="Arial" w:cs="Arial"/>
                <w:sz w:val="20"/>
                <w:lang w:val="en-US" w:eastAsia="de-DE"/>
              </w:rPr>
              <w:t>Pancreatitis</w:t>
            </w:r>
            <w:r w:rsidRPr="00CC786B">
              <w:rPr>
                <w:rFonts w:ascii="Arial" w:hAnsi="Arial" w:cs="Arial"/>
                <w:sz w:val="20"/>
                <w:vertAlign w:val="superscript"/>
                <w:lang w:val="en-US" w:eastAsia="de-DE"/>
              </w:rPr>
              <w:t>3</w:t>
            </w:r>
          </w:p>
        </w:tc>
      </w:tr>
      <w:tr w:rsidR="00A64B76" w:rsidRPr="00B44310" w14:paraId="52638497" w14:textId="77777777" w:rsidTr="00A64B76">
        <w:tc>
          <w:tcPr>
            <w:tcW w:w="1835" w:type="dxa"/>
          </w:tcPr>
          <w:p w14:paraId="0706878E" w14:textId="77777777" w:rsidR="00A64B76" w:rsidRPr="0074190C" w:rsidRDefault="00A64B76" w:rsidP="00A50827">
            <w:pPr>
              <w:keepNext/>
              <w:keepLines/>
              <w:rPr>
                <w:rFonts w:ascii="Arial" w:hAnsi="Arial" w:cs="Arial"/>
                <w:sz w:val="20"/>
                <w:lang w:val="en-US" w:eastAsia="de-DE"/>
              </w:rPr>
            </w:pPr>
            <w:r w:rsidRPr="0074190C">
              <w:rPr>
                <w:rFonts w:ascii="Arial" w:hAnsi="Arial" w:cs="Arial"/>
                <w:sz w:val="20"/>
                <w:lang w:val="en-GB" w:eastAsia="de-DE"/>
              </w:rPr>
              <w:t>Hepatobiliary disorders</w:t>
            </w:r>
          </w:p>
        </w:tc>
        <w:tc>
          <w:tcPr>
            <w:tcW w:w="2560" w:type="dxa"/>
          </w:tcPr>
          <w:p w14:paraId="208B0ED5" w14:textId="77777777" w:rsidR="00A64B76" w:rsidRPr="0074190C" w:rsidRDefault="00A64B76" w:rsidP="00A50827">
            <w:pPr>
              <w:keepNext/>
              <w:keepLines/>
              <w:tabs>
                <w:tab w:val="left" w:pos="567"/>
              </w:tabs>
              <w:rPr>
                <w:rFonts w:ascii="Arial" w:hAnsi="Arial" w:cs="Arial"/>
                <w:sz w:val="20"/>
                <w:lang w:val="en-GB"/>
              </w:rPr>
            </w:pPr>
            <w:r w:rsidRPr="0074190C">
              <w:rPr>
                <w:rFonts w:ascii="Arial" w:hAnsi="Arial" w:cs="Arial"/>
                <w:sz w:val="20"/>
                <w:lang w:val="en-GB"/>
              </w:rPr>
              <w:t>Alanine aminotransferase increased,</w:t>
            </w:r>
          </w:p>
          <w:p w14:paraId="11C4B65B" w14:textId="77777777" w:rsidR="00A64B76" w:rsidRDefault="00A64B76" w:rsidP="00A50827">
            <w:pPr>
              <w:keepNext/>
              <w:keepLines/>
              <w:tabs>
                <w:tab w:val="left" w:pos="567"/>
              </w:tabs>
              <w:jc w:val="both"/>
              <w:rPr>
                <w:rFonts w:ascii="Arial" w:hAnsi="Arial" w:cs="Arial"/>
                <w:sz w:val="20"/>
                <w:lang w:val="en-GB"/>
              </w:rPr>
            </w:pPr>
            <w:r w:rsidRPr="0074190C">
              <w:rPr>
                <w:rFonts w:ascii="Arial" w:hAnsi="Arial" w:cs="Arial"/>
                <w:sz w:val="20"/>
                <w:lang w:val="en-GB"/>
              </w:rPr>
              <w:t>Aspartate aminotransferase increased</w:t>
            </w:r>
            <w:r>
              <w:rPr>
                <w:rFonts w:ascii="Arial" w:hAnsi="Arial" w:cs="Arial"/>
                <w:sz w:val="20"/>
                <w:lang w:val="en-GB"/>
              </w:rPr>
              <w:t>,</w:t>
            </w:r>
          </w:p>
          <w:p w14:paraId="429484A5" w14:textId="77777777" w:rsidR="00A64B76" w:rsidRPr="0074190C" w:rsidRDefault="00A64B76" w:rsidP="00A50827">
            <w:pPr>
              <w:keepNext/>
              <w:keepLines/>
              <w:tabs>
                <w:tab w:val="left" w:pos="567"/>
              </w:tabs>
              <w:rPr>
                <w:rFonts w:ascii="Arial" w:hAnsi="Arial" w:cs="Arial"/>
                <w:sz w:val="20"/>
                <w:lang w:val="en-GB"/>
              </w:rPr>
            </w:pPr>
            <w:r w:rsidRPr="0074190C">
              <w:rPr>
                <w:rFonts w:ascii="Arial" w:hAnsi="Arial" w:cs="Arial"/>
                <w:sz w:val="20"/>
                <w:lang w:val="en-GB" w:eastAsia="de-DE"/>
              </w:rPr>
              <w:t>Blood alkaline phosphatase increase</w:t>
            </w:r>
            <w:r>
              <w:rPr>
                <w:rFonts w:ascii="Arial" w:hAnsi="Arial" w:cs="Arial"/>
                <w:sz w:val="20"/>
                <w:lang w:val="en-GB" w:eastAsia="de-DE"/>
              </w:rPr>
              <w:t>d</w:t>
            </w:r>
          </w:p>
        </w:tc>
        <w:tc>
          <w:tcPr>
            <w:tcW w:w="2409" w:type="dxa"/>
          </w:tcPr>
          <w:p w14:paraId="56B181A3" w14:textId="77777777" w:rsidR="00A64B76" w:rsidRDefault="00A64B76" w:rsidP="00A50827">
            <w:pPr>
              <w:keepNext/>
              <w:keepLines/>
              <w:jc w:val="both"/>
              <w:rPr>
                <w:rFonts w:ascii="Arial" w:hAnsi="Arial" w:cs="Arial"/>
                <w:sz w:val="20"/>
                <w:lang w:val="en-GB" w:eastAsia="de-DE"/>
              </w:rPr>
            </w:pPr>
            <w:proofErr w:type="spellStart"/>
            <w:r w:rsidRPr="0074190C">
              <w:rPr>
                <w:rFonts w:ascii="Arial" w:hAnsi="Arial" w:cs="Arial"/>
                <w:sz w:val="20"/>
                <w:lang w:val="en-GB" w:eastAsia="de-DE"/>
              </w:rPr>
              <w:t>Hyperbilirubinaemia</w:t>
            </w:r>
            <w:proofErr w:type="spellEnd"/>
            <w:r>
              <w:rPr>
                <w:rFonts w:ascii="Arial" w:hAnsi="Arial" w:cs="Arial"/>
                <w:sz w:val="20"/>
                <w:lang w:val="en-GB" w:eastAsia="de-DE"/>
              </w:rPr>
              <w:t>,</w:t>
            </w:r>
          </w:p>
          <w:p w14:paraId="72C71FEE" w14:textId="77777777" w:rsidR="00A64B76" w:rsidRDefault="00A64B76" w:rsidP="00A50827">
            <w:pPr>
              <w:keepNext/>
              <w:keepLines/>
              <w:jc w:val="both"/>
              <w:rPr>
                <w:rFonts w:ascii="Arial" w:hAnsi="Arial" w:cs="Arial"/>
                <w:sz w:val="20"/>
                <w:lang w:val="en-GB" w:eastAsia="de-DE"/>
              </w:rPr>
            </w:pPr>
            <w:r>
              <w:rPr>
                <w:rFonts w:ascii="Arial" w:hAnsi="Arial" w:cs="Arial"/>
                <w:sz w:val="20"/>
                <w:lang w:val="en-GB" w:eastAsia="de-DE"/>
              </w:rPr>
              <w:t>Gamma-</w:t>
            </w:r>
            <w:proofErr w:type="spellStart"/>
            <w:r>
              <w:rPr>
                <w:rFonts w:ascii="Arial" w:hAnsi="Arial" w:cs="Arial"/>
                <w:sz w:val="20"/>
                <w:lang w:val="en-GB" w:eastAsia="de-DE"/>
              </w:rPr>
              <w:t>Glutamyltransferase</w:t>
            </w:r>
            <w:proofErr w:type="spellEnd"/>
            <w:r>
              <w:rPr>
                <w:rFonts w:ascii="Arial" w:hAnsi="Arial" w:cs="Arial"/>
                <w:sz w:val="20"/>
                <w:lang w:val="en-GB" w:eastAsia="de-DE"/>
              </w:rPr>
              <w:t xml:space="preserve"> increased</w:t>
            </w:r>
          </w:p>
          <w:p w14:paraId="5C20E5DF" w14:textId="77777777" w:rsidR="00A64B76" w:rsidRPr="0074190C" w:rsidRDefault="00A64B76" w:rsidP="00A50827">
            <w:pPr>
              <w:keepNext/>
              <w:keepLines/>
              <w:jc w:val="both"/>
              <w:rPr>
                <w:rFonts w:ascii="Arial" w:hAnsi="Arial" w:cs="Arial"/>
                <w:sz w:val="20"/>
                <w:lang w:val="en-GB" w:eastAsia="de-DE"/>
              </w:rPr>
            </w:pPr>
          </w:p>
        </w:tc>
        <w:tc>
          <w:tcPr>
            <w:tcW w:w="2268" w:type="dxa"/>
          </w:tcPr>
          <w:p w14:paraId="751F71F4" w14:textId="77777777" w:rsidR="00A64B76" w:rsidRPr="0074190C" w:rsidRDefault="00A64B76" w:rsidP="00A50827">
            <w:pPr>
              <w:keepNext/>
              <w:keepLines/>
              <w:rPr>
                <w:rFonts w:ascii="Arial" w:hAnsi="Arial" w:cs="Arial"/>
                <w:sz w:val="20"/>
                <w:lang w:val="en-US" w:eastAsia="de-DE"/>
              </w:rPr>
            </w:pPr>
            <w:r>
              <w:rPr>
                <w:rFonts w:ascii="Arial" w:hAnsi="Arial" w:cs="Arial"/>
                <w:sz w:val="20"/>
                <w:lang w:val="en-US" w:eastAsia="de-DE"/>
              </w:rPr>
              <w:t>Drug-induced liver injury</w:t>
            </w:r>
          </w:p>
        </w:tc>
      </w:tr>
      <w:tr w:rsidR="00A64B76" w:rsidRPr="00B44310" w14:paraId="42B3FE4A" w14:textId="77777777" w:rsidTr="00A64B76">
        <w:tc>
          <w:tcPr>
            <w:tcW w:w="1835" w:type="dxa"/>
          </w:tcPr>
          <w:p w14:paraId="4EE284B9" w14:textId="77777777" w:rsidR="00A64B76" w:rsidRPr="0074190C" w:rsidRDefault="00A64B76" w:rsidP="00A50827">
            <w:pPr>
              <w:keepNext/>
              <w:keepLines/>
              <w:rPr>
                <w:rFonts w:ascii="Arial" w:hAnsi="Arial" w:cs="Arial"/>
                <w:sz w:val="20"/>
                <w:lang w:val="en-GB" w:eastAsia="de-DE"/>
              </w:rPr>
            </w:pPr>
            <w:r>
              <w:rPr>
                <w:rFonts w:ascii="Arial" w:hAnsi="Arial" w:cs="Arial"/>
                <w:sz w:val="20"/>
                <w:lang w:val="en-GB" w:eastAsia="de-DE"/>
              </w:rPr>
              <w:t>Skin and subcutaneous tissue disorders</w:t>
            </w:r>
          </w:p>
        </w:tc>
        <w:tc>
          <w:tcPr>
            <w:tcW w:w="2560" w:type="dxa"/>
          </w:tcPr>
          <w:p w14:paraId="630A8E50" w14:textId="77777777" w:rsidR="00A64B76" w:rsidRPr="00D63C9E" w:rsidRDefault="00A64B76" w:rsidP="00A50827">
            <w:pPr>
              <w:keepNext/>
              <w:keepLines/>
              <w:tabs>
                <w:tab w:val="left" w:pos="567"/>
              </w:tabs>
              <w:rPr>
                <w:rFonts w:ascii="Arial" w:hAnsi="Arial" w:cs="Arial"/>
                <w:sz w:val="20"/>
                <w:lang w:val="en-GB"/>
              </w:rPr>
            </w:pPr>
            <w:r w:rsidRPr="00D63C9E">
              <w:rPr>
                <w:rFonts w:ascii="Arial" w:hAnsi="Arial" w:cs="Arial"/>
                <w:sz w:val="20"/>
                <w:lang w:val="en-GB"/>
              </w:rPr>
              <w:t>Mucositis</w:t>
            </w:r>
            <w:r w:rsidRPr="00D63C9E">
              <w:rPr>
                <w:rFonts w:ascii="Arial" w:hAnsi="Arial" w:cs="Arial"/>
                <w:sz w:val="20"/>
                <w:vertAlign w:val="superscript"/>
                <w:lang w:val="en-US" w:eastAsia="de-DE"/>
              </w:rPr>
              <w:t>1</w:t>
            </w:r>
            <w:r w:rsidRPr="00D63C9E">
              <w:rPr>
                <w:rFonts w:ascii="Arial" w:hAnsi="Arial" w:cs="Arial"/>
                <w:sz w:val="20"/>
                <w:lang w:val="en-GB"/>
              </w:rPr>
              <w:t xml:space="preserve"> (including stomatitis), </w:t>
            </w:r>
          </w:p>
          <w:p w14:paraId="11263AB3" w14:textId="77777777" w:rsidR="00A64B76" w:rsidRDefault="00A64B76" w:rsidP="00A50827">
            <w:pPr>
              <w:keepNext/>
              <w:keepLines/>
              <w:tabs>
                <w:tab w:val="left" w:pos="567"/>
              </w:tabs>
              <w:rPr>
                <w:rFonts w:ascii="Arial" w:hAnsi="Arial" w:cs="Arial"/>
                <w:sz w:val="20"/>
                <w:lang w:val="en-GB"/>
              </w:rPr>
            </w:pPr>
            <w:r w:rsidRPr="00D63C9E">
              <w:rPr>
                <w:rFonts w:ascii="Arial" w:hAnsi="Arial" w:cs="Arial"/>
                <w:sz w:val="20"/>
                <w:lang w:val="en-GB"/>
              </w:rPr>
              <w:t>Rash</w:t>
            </w:r>
            <w:r w:rsidR="002B3C24">
              <w:rPr>
                <w:rFonts w:ascii="Arial" w:hAnsi="Arial" w:cs="Arial"/>
                <w:sz w:val="20"/>
                <w:lang w:val="en-GB"/>
              </w:rPr>
              <w:t>,</w:t>
            </w:r>
          </w:p>
          <w:p w14:paraId="27027C7D" w14:textId="1AD2CA38" w:rsidR="002B3C24" w:rsidRPr="00D63C9E" w:rsidRDefault="002B3C24" w:rsidP="00A50827">
            <w:pPr>
              <w:keepNext/>
              <w:keepLines/>
              <w:tabs>
                <w:tab w:val="left" w:pos="567"/>
              </w:tabs>
              <w:rPr>
                <w:rFonts w:ascii="Arial" w:hAnsi="Arial" w:cs="Arial"/>
                <w:sz w:val="20"/>
                <w:lang w:val="en-GB"/>
              </w:rPr>
            </w:pPr>
            <w:r>
              <w:rPr>
                <w:rFonts w:ascii="Arial" w:hAnsi="Arial" w:cs="Arial"/>
                <w:sz w:val="20"/>
                <w:lang w:val="en-GB"/>
              </w:rPr>
              <w:t>Alopecia</w:t>
            </w:r>
            <w:r w:rsidR="00B669A0" w:rsidRPr="00D63C9E">
              <w:rPr>
                <w:rFonts w:ascii="Arial" w:hAnsi="Arial" w:cs="Arial"/>
                <w:sz w:val="20"/>
                <w:vertAlign w:val="superscript"/>
                <w:lang w:val="en-US" w:eastAsia="de-DE"/>
              </w:rPr>
              <w:t>2</w:t>
            </w:r>
          </w:p>
        </w:tc>
        <w:tc>
          <w:tcPr>
            <w:tcW w:w="2409" w:type="dxa"/>
          </w:tcPr>
          <w:p w14:paraId="256E90B1" w14:textId="30EF2762" w:rsidR="00A64B76" w:rsidRPr="0074190C" w:rsidRDefault="00615531" w:rsidP="00A50827">
            <w:pPr>
              <w:keepNext/>
              <w:keepLines/>
              <w:rPr>
                <w:rFonts w:ascii="Arial" w:hAnsi="Arial" w:cs="Arial"/>
                <w:sz w:val="20"/>
                <w:lang w:val="en-GB" w:eastAsia="de-DE"/>
              </w:rPr>
            </w:pPr>
            <w:r>
              <w:rPr>
                <w:rFonts w:ascii="Arial" w:eastAsia="Arial" w:hAnsi="Arial" w:cs="Arial"/>
                <w:sz w:val="20"/>
              </w:rPr>
              <w:t>Pruritus</w:t>
            </w:r>
          </w:p>
        </w:tc>
        <w:tc>
          <w:tcPr>
            <w:tcW w:w="2268" w:type="dxa"/>
          </w:tcPr>
          <w:p w14:paraId="1DB1A281" w14:textId="77777777" w:rsidR="00A64B76" w:rsidRPr="0074190C" w:rsidRDefault="00A64B76" w:rsidP="00A50827">
            <w:pPr>
              <w:keepNext/>
              <w:keepLines/>
              <w:jc w:val="both"/>
              <w:rPr>
                <w:rFonts w:ascii="Arial" w:hAnsi="Arial" w:cs="Arial"/>
                <w:sz w:val="20"/>
                <w:lang w:val="en-US" w:eastAsia="de-DE"/>
              </w:rPr>
            </w:pPr>
          </w:p>
        </w:tc>
      </w:tr>
      <w:tr w:rsidR="00230D38" w:rsidRPr="00B44310" w14:paraId="78C198AD" w14:textId="77777777" w:rsidTr="00A64B76">
        <w:tc>
          <w:tcPr>
            <w:tcW w:w="1835" w:type="dxa"/>
          </w:tcPr>
          <w:p w14:paraId="523C1CE9" w14:textId="4D77F4BC" w:rsidR="00230D38" w:rsidRDefault="00230D38" w:rsidP="00230D38">
            <w:pPr>
              <w:keepNext/>
              <w:keepLines/>
              <w:rPr>
                <w:rFonts w:ascii="Arial" w:hAnsi="Arial" w:cs="Arial"/>
                <w:sz w:val="20"/>
                <w:lang w:val="en-GB" w:eastAsia="de-DE"/>
              </w:rPr>
            </w:pPr>
            <w:r>
              <w:rPr>
                <w:rFonts w:ascii="Arial" w:hAnsi="Arial" w:cs="Arial"/>
                <w:sz w:val="20"/>
                <w:lang w:val="en-GB" w:eastAsia="de-DE"/>
              </w:rPr>
              <w:t>Renal and urinary disorders</w:t>
            </w:r>
          </w:p>
        </w:tc>
        <w:tc>
          <w:tcPr>
            <w:tcW w:w="2560" w:type="dxa"/>
          </w:tcPr>
          <w:p w14:paraId="672E0037" w14:textId="77777777" w:rsidR="00230D38" w:rsidRPr="00D63C9E" w:rsidRDefault="00230D38" w:rsidP="00230D38">
            <w:pPr>
              <w:keepNext/>
              <w:keepLines/>
              <w:tabs>
                <w:tab w:val="left" w:pos="567"/>
              </w:tabs>
              <w:rPr>
                <w:rFonts w:ascii="Arial" w:hAnsi="Arial" w:cs="Arial"/>
                <w:sz w:val="20"/>
                <w:lang w:val="en-GB"/>
              </w:rPr>
            </w:pPr>
          </w:p>
        </w:tc>
        <w:tc>
          <w:tcPr>
            <w:tcW w:w="2409" w:type="dxa"/>
          </w:tcPr>
          <w:p w14:paraId="6ACB3B8F" w14:textId="706C8B16" w:rsidR="00230D38" w:rsidRDefault="00230D38" w:rsidP="00230D38">
            <w:pPr>
              <w:keepNext/>
              <w:keepLines/>
              <w:rPr>
                <w:rFonts w:ascii="Arial" w:eastAsia="Arial" w:hAnsi="Arial" w:cs="Arial"/>
                <w:sz w:val="20"/>
              </w:rPr>
            </w:pPr>
            <w:r>
              <w:rPr>
                <w:rFonts w:ascii="Arial" w:eastAsia="Arial" w:hAnsi="Arial" w:cs="Arial"/>
                <w:sz w:val="20"/>
              </w:rPr>
              <w:t>Proteinuria</w:t>
            </w:r>
            <w:r>
              <w:rPr>
                <w:rFonts w:ascii="Arial" w:eastAsia="Arial" w:hAnsi="Arial" w:cs="Arial"/>
                <w:sz w:val="20"/>
                <w:vertAlign w:val="superscript"/>
              </w:rPr>
              <w:t>2</w:t>
            </w:r>
          </w:p>
        </w:tc>
        <w:tc>
          <w:tcPr>
            <w:tcW w:w="2268" w:type="dxa"/>
          </w:tcPr>
          <w:p w14:paraId="11B8C747" w14:textId="77777777" w:rsidR="00230D38" w:rsidRPr="0074190C" w:rsidRDefault="00230D38" w:rsidP="00230D38">
            <w:pPr>
              <w:keepNext/>
              <w:keepLines/>
              <w:jc w:val="both"/>
              <w:rPr>
                <w:rFonts w:ascii="Arial" w:hAnsi="Arial" w:cs="Arial"/>
                <w:sz w:val="20"/>
                <w:lang w:val="en-US" w:eastAsia="de-DE"/>
              </w:rPr>
            </w:pPr>
          </w:p>
        </w:tc>
      </w:tr>
    </w:tbl>
    <w:p w14:paraId="0E2F250B" w14:textId="77777777" w:rsidR="00A64B76" w:rsidRPr="00D656D1" w:rsidRDefault="00A64B76" w:rsidP="00A50827">
      <w:pPr>
        <w:keepNext/>
        <w:keepLines/>
        <w:tabs>
          <w:tab w:val="left" w:pos="709"/>
        </w:tabs>
        <w:autoSpaceDE w:val="0"/>
        <w:autoSpaceDN w:val="0"/>
        <w:adjustRightInd w:val="0"/>
        <w:spacing w:before="60"/>
        <w:ind w:left="284" w:hanging="284"/>
        <w:rPr>
          <w:rFonts w:ascii="Arial" w:hAnsi="Arial" w:cs="Arial"/>
          <w:b/>
          <w:bCs/>
          <w:sz w:val="18"/>
          <w:szCs w:val="18"/>
          <w:lang w:val="en-GB" w:eastAsia="de-DE"/>
        </w:rPr>
      </w:pPr>
      <w:r w:rsidRPr="00D656D1">
        <w:rPr>
          <w:rFonts w:ascii="Arial" w:hAnsi="Arial" w:cs="Arial"/>
          <w:b/>
          <w:bCs/>
          <w:sz w:val="18"/>
          <w:szCs w:val="18"/>
          <w:vertAlign w:val="superscript"/>
          <w:lang w:val="en-GB" w:eastAsia="de-DE"/>
        </w:rPr>
        <w:t>1</w:t>
      </w:r>
      <w:r w:rsidRPr="00D656D1">
        <w:rPr>
          <w:rFonts w:ascii="Arial" w:hAnsi="Arial" w:cs="Arial"/>
          <w:b/>
          <w:bCs/>
          <w:sz w:val="18"/>
          <w:szCs w:val="18"/>
          <w:vertAlign w:val="superscript"/>
          <w:lang w:val="en-GB" w:eastAsia="de-DE"/>
        </w:rPr>
        <w:tab/>
      </w:r>
      <w:r w:rsidRPr="00D656D1">
        <w:rPr>
          <w:rFonts w:ascii="Arial" w:hAnsi="Arial" w:cs="Arial"/>
          <w:sz w:val="18"/>
          <w:szCs w:val="18"/>
          <w:lang w:val="en-GB"/>
        </w:rPr>
        <w:t>Please also refer to the product information for docetaxel</w:t>
      </w:r>
    </w:p>
    <w:p w14:paraId="41ACC766" w14:textId="77777777" w:rsidR="00A64B76" w:rsidRDefault="00A64B76" w:rsidP="00A50827">
      <w:pPr>
        <w:keepNext/>
        <w:keepLines/>
        <w:tabs>
          <w:tab w:val="left" w:pos="709"/>
        </w:tabs>
        <w:autoSpaceDE w:val="0"/>
        <w:autoSpaceDN w:val="0"/>
        <w:adjustRightInd w:val="0"/>
        <w:spacing w:before="60"/>
        <w:ind w:left="284" w:hanging="284"/>
        <w:rPr>
          <w:rFonts w:ascii="Arial" w:hAnsi="Arial" w:cs="Arial"/>
          <w:sz w:val="18"/>
          <w:szCs w:val="18"/>
          <w:lang w:eastAsia="zh-CN" w:bidi="th-TH"/>
        </w:rPr>
      </w:pPr>
      <w:r w:rsidRPr="00D656D1">
        <w:rPr>
          <w:rFonts w:ascii="Arial" w:hAnsi="Arial" w:cs="Arial"/>
          <w:b/>
          <w:bCs/>
          <w:sz w:val="18"/>
          <w:szCs w:val="18"/>
          <w:vertAlign w:val="superscript"/>
          <w:lang w:val="en-GB" w:eastAsia="de-DE"/>
        </w:rPr>
        <w:t>2</w:t>
      </w:r>
      <w:r w:rsidRPr="00D656D1">
        <w:rPr>
          <w:rFonts w:ascii="Arial" w:hAnsi="Arial" w:cs="Arial"/>
          <w:b/>
          <w:bCs/>
          <w:sz w:val="18"/>
          <w:szCs w:val="18"/>
          <w:vertAlign w:val="superscript"/>
          <w:lang w:val="en-GB" w:eastAsia="de-DE"/>
        </w:rPr>
        <w:tab/>
      </w:r>
      <w:r w:rsidRPr="00D656D1">
        <w:rPr>
          <w:rFonts w:ascii="Arial" w:hAnsi="Arial" w:cs="Arial"/>
          <w:sz w:val="18"/>
          <w:szCs w:val="18"/>
          <w:lang w:val="en-GB"/>
        </w:rPr>
        <w:t xml:space="preserve">Frequency was not increased in patients treated with </w:t>
      </w:r>
      <w:proofErr w:type="spellStart"/>
      <w:r w:rsidRPr="00D656D1">
        <w:rPr>
          <w:rFonts w:ascii="Arial" w:hAnsi="Arial" w:cs="Arial"/>
          <w:sz w:val="18"/>
          <w:szCs w:val="18"/>
          <w:lang w:val="en-GB"/>
        </w:rPr>
        <w:t>nintedanib</w:t>
      </w:r>
      <w:proofErr w:type="spellEnd"/>
      <w:r w:rsidRPr="00D656D1">
        <w:rPr>
          <w:rFonts w:ascii="Arial" w:hAnsi="Arial" w:cs="Arial"/>
          <w:sz w:val="18"/>
          <w:szCs w:val="18"/>
          <w:lang w:val="en-GB"/>
        </w:rPr>
        <w:t xml:space="preserve"> plus docetaxel as compared to</w:t>
      </w:r>
      <w:r>
        <w:rPr>
          <w:rFonts w:ascii="Arial" w:hAnsi="Arial" w:cs="Arial"/>
          <w:sz w:val="18"/>
          <w:szCs w:val="18"/>
          <w:lang w:val="en-GB"/>
        </w:rPr>
        <w:t xml:space="preserve"> </w:t>
      </w:r>
      <w:r w:rsidRPr="00D656D1">
        <w:rPr>
          <w:rFonts w:ascii="Arial" w:hAnsi="Arial" w:cs="Arial"/>
          <w:sz w:val="18"/>
          <w:szCs w:val="18"/>
          <w:lang w:val="en-GB"/>
        </w:rPr>
        <w:t>placebo</w:t>
      </w:r>
      <w:r>
        <w:rPr>
          <w:rFonts w:ascii="Arial" w:hAnsi="Arial" w:cs="Arial"/>
          <w:sz w:val="18"/>
          <w:szCs w:val="18"/>
          <w:lang w:val="en-GB"/>
        </w:rPr>
        <w:t xml:space="preserve"> </w:t>
      </w:r>
      <w:r w:rsidRPr="00D656D1">
        <w:rPr>
          <w:rFonts w:ascii="Arial" w:hAnsi="Arial" w:cs="Arial"/>
          <w:sz w:val="18"/>
          <w:szCs w:val="18"/>
          <w:lang w:val="en-GB"/>
        </w:rPr>
        <w:t xml:space="preserve">plus docetaxel. </w:t>
      </w:r>
      <w:r w:rsidRPr="00D656D1">
        <w:rPr>
          <w:rFonts w:ascii="Arial" w:hAnsi="Arial" w:cs="Arial"/>
          <w:sz w:val="18"/>
          <w:szCs w:val="18"/>
          <w:lang w:eastAsia="zh-CN" w:bidi="th-TH"/>
        </w:rPr>
        <w:t xml:space="preserve">For all other ADRs, the frequency was higher in patients treated with </w:t>
      </w:r>
      <w:proofErr w:type="spellStart"/>
      <w:r w:rsidRPr="00D656D1">
        <w:rPr>
          <w:rFonts w:ascii="Arial" w:hAnsi="Arial" w:cs="Arial"/>
          <w:sz w:val="18"/>
          <w:szCs w:val="18"/>
          <w:lang w:eastAsia="zh-CN" w:bidi="th-TH"/>
        </w:rPr>
        <w:t>nintedanib</w:t>
      </w:r>
      <w:proofErr w:type="spellEnd"/>
      <w:r w:rsidRPr="00D656D1">
        <w:rPr>
          <w:rFonts w:ascii="Arial" w:hAnsi="Arial" w:cs="Arial"/>
          <w:sz w:val="18"/>
          <w:szCs w:val="18"/>
          <w:lang w:eastAsia="zh-CN" w:bidi="th-TH"/>
        </w:rPr>
        <w:t xml:space="preserve"> plus</w:t>
      </w:r>
      <w:r>
        <w:rPr>
          <w:rFonts w:ascii="Arial" w:hAnsi="Arial" w:cs="Arial"/>
          <w:sz w:val="18"/>
          <w:szCs w:val="18"/>
          <w:lang w:eastAsia="zh-CN" w:bidi="th-TH"/>
        </w:rPr>
        <w:t xml:space="preserve"> </w:t>
      </w:r>
      <w:r w:rsidRPr="00D656D1">
        <w:rPr>
          <w:rFonts w:ascii="Arial" w:hAnsi="Arial" w:cs="Arial"/>
          <w:sz w:val="18"/>
          <w:szCs w:val="18"/>
          <w:lang w:eastAsia="zh-CN" w:bidi="th-TH"/>
        </w:rPr>
        <w:t>docetaxel compared to placebo plus docetaxel.</w:t>
      </w:r>
    </w:p>
    <w:p w14:paraId="1C6A7AEF" w14:textId="77777777" w:rsidR="00A64B76" w:rsidRPr="00CC786B" w:rsidRDefault="00A64B76" w:rsidP="00A50827">
      <w:pPr>
        <w:keepNext/>
        <w:keepLines/>
        <w:tabs>
          <w:tab w:val="left" w:pos="709"/>
        </w:tabs>
        <w:autoSpaceDE w:val="0"/>
        <w:autoSpaceDN w:val="0"/>
        <w:adjustRightInd w:val="0"/>
        <w:spacing w:before="60"/>
        <w:ind w:left="284" w:hanging="284"/>
        <w:rPr>
          <w:rFonts w:ascii="Arial" w:hAnsi="Arial" w:cs="Arial"/>
          <w:sz w:val="18"/>
          <w:szCs w:val="18"/>
        </w:rPr>
      </w:pPr>
      <w:r>
        <w:rPr>
          <w:rFonts w:ascii="Arial" w:hAnsi="Arial" w:cs="Arial"/>
          <w:b/>
          <w:bCs/>
          <w:sz w:val="18"/>
          <w:szCs w:val="18"/>
          <w:vertAlign w:val="superscript"/>
          <w:lang w:val="en-GB" w:eastAsia="de-DE"/>
        </w:rPr>
        <w:t>3</w:t>
      </w:r>
      <w:r>
        <w:rPr>
          <w:rFonts w:ascii="Arial" w:hAnsi="Arial" w:cs="Arial"/>
          <w:b/>
          <w:bCs/>
          <w:sz w:val="18"/>
          <w:szCs w:val="18"/>
          <w:vertAlign w:val="superscript"/>
          <w:lang w:val="en-GB" w:eastAsia="de-DE"/>
        </w:rPr>
        <w:tab/>
      </w:r>
      <w:r>
        <w:rPr>
          <w:rFonts w:ascii="Arial" w:hAnsi="Arial" w:cs="Arial"/>
          <w:sz w:val="18"/>
          <w:szCs w:val="18"/>
          <w:lang w:val="en-GB" w:eastAsia="de-DE"/>
        </w:rPr>
        <w:t xml:space="preserve">Events of pancreatitis have been reported in patients taking </w:t>
      </w:r>
      <w:proofErr w:type="spellStart"/>
      <w:r>
        <w:rPr>
          <w:rFonts w:ascii="Arial" w:hAnsi="Arial" w:cs="Arial"/>
          <w:sz w:val="18"/>
          <w:szCs w:val="18"/>
          <w:lang w:val="en-GB" w:eastAsia="de-DE"/>
        </w:rPr>
        <w:t>nintedanib</w:t>
      </w:r>
      <w:proofErr w:type="spellEnd"/>
      <w:r>
        <w:rPr>
          <w:rFonts w:ascii="Arial" w:hAnsi="Arial" w:cs="Arial"/>
          <w:sz w:val="18"/>
          <w:szCs w:val="18"/>
          <w:lang w:val="en-GB" w:eastAsia="de-DE"/>
        </w:rPr>
        <w:t xml:space="preserve"> for the treatment of IPF and NSCLC. The majority of these events </w:t>
      </w:r>
      <w:proofErr w:type="gramStart"/>
      <w:r>
        <w:rPr>
          <w:rFonts w:ascii="Arial" w:hAnsi="Arial" w:cs="Arial"/>
          <w:sz w:val="18"/>
          <w:szCs w:val="18"/>
          <w:lang w:val="en-GB" w:eastAsia="de-DE"/>
        </w:rPr>
        <w:t>were reported</w:t>
      </w:r>
      <w:proofErr w:type="gramEnd"/>
      <w:r>
        <w:rPr>
          <w:rFonts w:ascii="Arial" w:hAnsi="Arial" w:cs="Arial"/>
          <w:sz w:val="18"/>
          <w:szCs w:val="18"/>
          <w:lang w:val="en-GB" w:eastAsia="de-DE"/>
        </w:rPr>
        <w:t xml:space="preserve"> for patients in the IPF indication.</w:t>
      </w:r>
    </w:p>
    <w:p w14:paraId="3BFAE55C" w14:textId="77777777" w:rsidR="00A64B76" w:rsidRPr="000A038A" w:rsidRDefault="00A64B76" w:rsidP="00A64B76">
      <w:pPr>
        <w:tabs>
          <w:tab w:val="left" w:pos="567"/>
        </w:tabs>
        <w:autoSpaceDE w:val="0"/>
        <w:autoSpaceDN w:val="0"/>
        <w:adjustRightInd w:val="0"/>
        <w:jc w:val="both"/>
        <w:rPr>
          <w:rFonts w:ascii="Arial" w:hAnsi="Arial" w:cs="Arial"/>
          <w:sz w:val="22"/>
          <w:szCs w:val="24"/>
          <w:u w:val="single"/>
          <w:lang w:val="en-GB"/>
        </w:rPr>
      </w:pPr>
    </w:p>
    <w:p w14:paraId="233DDFA7" w14:textId="7AEDDA99" w:rsidR="00A64B76" w:rsidRPr="00BE189E" w:rsidRDefault="00A64B76" w:rsidP="003A25F5">
      <w:pPr>
        <w:pStyle w:val="PIHeading3"/>
        <w:keepNext/>
        <w:keepLines/>
        <w:rPr>
          <w:lang w:val="en-US" w:eastAsia="de-DE"/>
        </w:rPr>
      </w:pPr>
      <w:r w:rsidRPr="00BE189E">
        <w:rPr>
          <w:lang w:val="en-US" w:eastAsia="de-DE"/>
        </w:rPr>
        <w:lastRenderedPageBreak/>
        <w:t>IPF</w:t>
      </w:r>
      <w:r w:rsidR="00B465AE">
        <w:rPr>
          <w:lang w:val="en-US" w:eastAsia="de-DE"/>
        </w:rPr>
        <w:t xml:space="preserve">, </w:t>
      </w:r>
      <w:r w:rsidR="00B465AE" w:rsidRPr="00B465AE">
        <w:rPr>
          <w:lang w:val="en-US" w:eastAsia="de-DE"/>
        </w:rPr>
        <w:t>other chronic fibrosing ILD</w:t>
      </w:r>
      <w:r w:rsidR="00B465AE">
        <w:rPr>
          <w:lang w:val="en-US" w:eastAsia="de-DE"/>
        </w:rPr>
        <w:t>s with a progressive phenotype,</w:t>
      </w:r>
      <w:r w:rsidR="003403CA">
        <w:rPr>
          <w:lang w:val="en-US" w:eastAsia="de-DE"/>
        </w:rPr>
        <w:t xml:space="preserve"> </w:t>
      </w:r>
      <w:r w:rsidR="003403CA" w:rsidRPr="003403CA">
        <w:rPr>
          <w:lang w:val="en-US" w:eastAsia="de-DE"/>
        </w:rPr>
        <w:t xml:space="preserve">and </w:t>
      </w:r>
      <w:proofErr w:type="spellStart"/>
      <w:r w:rsidR="003403CA" w:rsidRPr="003403CA">
        <w:rPr>
          <w:lang w:val="en-US" w:eastAsia="de-DE"/>
        </w:rPr>
        <w:t>SSc</w:t>
      </w:r>
      <w:proofErr w:type="spellEnd"/>
      <w:r w:rsidR="003403CA" w:rsidRPr="003403CA">
        <w:rPr>
          <w:lang w:val="en-US" w:eastAsia="de-DE"/>
        </w:rPr>
        <w:t>-ILD</w:t>
      </w:r>
    </w:p>
    <w:p w14:paraId="17B9CC5B" w14:textId="250276C7" w:rsidR="00A64B76" w:rsidRPr="006149A5" w:rsidRDefault="00C41DE5" w:rsidP="003A25F5">
      <w:pPr>
        <w:pStyle w:val="TextPI"/>
        <w:keepNext/>
        <w:keepLines/>
        <w:rPr>
          <w:rFonts w:eastAsia="MS Mincho"/>
          <w:bCs/>
          <w:iCs/>
          <w:lang w:val="en-GB" w:eastAsia="de-DE"/>
        </w:rPr>
      </w:pPr>
      <w:r>
        <w:rPr>
          <w:rFonts w:eastAsia="MS Mincho"/>
          <w:bCs/>
          <w:iCs/>
          <w:lang w:val="en-GB" w:eastAsia="de-DE"/>
        </w:rPr>
        <w:t>OFEV</w:t>
      </w:r>
      <w:r w:rsidRPr="006149A5">
        <w:rPr>
          <w:rFonts w:eastAsia="MS Mincho"/>
          <w:bCs/>
          <w:iCs/>
          <w:lang w:val="en-GB" w:eastAsia="de-DE"/>
        </w:rPr>
        <w:t xml:space="preserve"> </w:t>
      </w:r>
      <w:r w:rsidR="00A64B76" w:rsidRPr="006149A5">
        <w:rPr>
          <w:rFonts w:eastAsia="MS Mincho"/>
          <w:bCs/>
          <w:iCs/>
          <w:lang w:val="en-GB" w:eastAsia="de-DE"/>
        </w:rPr>
        <w:t xml:space="preserve">has been studied in clinical trials </w:t>
      </w:r>
      <w:r w:rsidR="0042431B">
        <w:rPr>
          <w:rFonts w:eastAsia="MS Mincho"/>
          <w:bCs/>
          <w:iCs/>
          <w:lang w:val="en-GB" w:eastAsia="de-DE"/>
        </w:rPr>
        <w:t>including</w:t>
      </w:r>
      <w:r w:rsidR="0042431B" w:rsidRPr="006149A5">
        <w:rPr>
          <w:rFonts w:eastAsia="MS Mincho"/>
          <w:bCs/>
          <w:iCs/>
          <w:lang w:val="en-GB" w:eastAsia="de-DE"/>
        </w:rPr>
        <w:t xml:space="preserve"> </w:t>
      </w:r>
      <w:r w:rsidR="00A64B76" w:rsidRPr="006149A5">
        <w:rPr>
          <w:rFonts w:eastAsia="MS Mincho"/>
          <w:bCs/>
          <w:iCs/>
          <w:lang w:val="en-GB" w:eastAsia="de-DE"/>
        </w:rPr>
        <w:t>1529 patients suffering from IPF</w:t>
      </w:r>
      <w:r w:rsidR="0042431B">
        <w:rPr>
          <w:rFonts w:eastAsia="MS Mincho"/>
          <w:bCs/>
          <w:iCs/>
          <w:lang w:val="en-GB" w:eastAsia="de-DE"/>
        </w:rPr>
        <w:t xml:space="preserve">, 663 </w:t>
      </w:r>
      <w:r w:rsidR="0042431B" w:rsidRPr="00EB7AEA">
        <w:rPr>
          <w:rFonts w:eastAsia="MS Mincho"/>
          <w:bCs/>
          <w:iCs/>
          <w:lang w:val="en-GB" w:eastAsia="de-DE"/>
        </w:rPr>
        <w:t>patients with other chronic fibrosing Interstitial Lung Diseases (ILDs)</w:t>
      </w:r>
      <w:r w:rsidR="0042431B">
        <w:rPr>
          <w:rFonts w:eastAsia="MS Mincho"/>
          <w:bCs/>
          <w:iCs/>
          <w:lang w:val="en-GB" w:eastAsia="de-DE"/>
        </w:rPr>
        <w:t xml:space="preserve"> </w:t>
      </w:r>
      <w:r w:rsidR="0042431B" w:rsidRPr="00EB7AEA">
        <w:rPr>
          <w:rFonts w:eastAsia="MS Mincho"/>
          <w:bCs/>
          <w:iCs/>
          <w:lang w:val="en-GB" w:eastAsia="de-DE"/>
        </w:rPr>
        <w:t>with a progressive phenotype</w:t>
      </w:r>
      <w:proofErr w:type="gramStart"/>
      <w:r w:rsidR="0042431B">
        <w:rPr>
          <w:rFonts w:eastAsia="MS Mincho"/>
          <w:bCs/>
          <w:iCs/>
          <w:lang w:val="en-GB" w:eastAsia="de-DE"/>
        </w:rPr>
        <w:t xml:space="preserve">, </w:t>
      </w:r>
      <w:r>
        <w:rPr>
          <w:rFonts w:eastAsia="MS Mincho"/>
          <w:bCs/>
          <w:iCs/>
          <w:lang w:val="en-GB" w:eastAsia="de-DE"/>
        </w:rPr>
        <w:t xml:space="preserve"> </w:t>
      </w:r>
      <w:r w:rsidRPr="00970F0E">
        <w:rPr>
          <w:rFonts w:eastAsia="MS Mincho"/>
          <w:bCs/>
          <w:iCs/>
          <w:lang w:val="en-GB" w:eastAsia="de-DE"/>
        </w:rPr>
        <w:t>and</w:t>
      </w:r>
      <w:proofErr w:type="gramEnd"/>
      <w:r w:rsidRPr="00970F0E">
        <w:rPr>
          <w:rFonts w:eastAsia="MS Mincho"/>
          <w:bCs/>
          <w:iCs/>
          <w:lang w:val="en-GB" w:eastAsia="de-DE"/>
        </w:rPr>
        <w:t xml:space="preserve"> 576 patients with </w:t>
      </w:r>
      <w:proofErr w:type="spellStart"/>
      <w:r w:rsidRPr="00970F0E">
        <w:rPr>
          <w:rFonts w:eastAsia="MS Mincho"/>
          <w:bCs/>
          <w:iCs/>
          <w:lang w:val="en-GB" w:eastAsia="de-DE"/>
        </w:rPr>
        <w:t>SSc</w:t>
      </w:r>
      <w:proofErr w:type="spellEnd"/>
      <w:r w:rsidRPr="00970F0E">
        <w:rPr>
          <w:rFonts w:eastAsia="MS Mincho"/>
          <w:bCs/>
          <w:iCs/>
          <w:lang w:val="en-GB" w:eastAsia="de-DE"/>
        </w:rPr>
        <w:t>-ILD</w:t>
      </w:r>
      <w:r w:rsidR="00A64B76" w:rsidRPr="006149A5">
        <w:rPr>
          <w:rFonts w:eastAsia="MS Mincho"/>
          <w:bCs/>
          <w:iCs/>
          <w:lang w:val="en-GB" w:eastAsia="de-DE"/>
        </w:rPr>
        <w:t>.</w:t>
      </w:r>
    </w:p>
    <w:p w14:paraId="3E8DE03F" w14:textId="77777777" w:rsidR="00C659A9" w:rsidRDefault="00A64B76" w:rsidP="003A25F5">
      <w:pPr>
        <w:pStyle w:val="TextPI"/>
        <w:keepNext/>
        <w:keepLines/>
        <w:rPr>
          <w:rFonts w:eastAsia="MS Mincho"/>
          <w:bCs/>
          <w:iCs/>
          <w:lang w:val="en-GB" w:eastAsia="de-DE"/>
        </w:rPr>
      </w:pPr>
      <w:r w:rsidRPr="006149A5">
        <w:rPr>
          <w:rFonts w:eastAsia="MS Mincho"/>
          <w:bCs/>
          <w:iCs/>
          <w:lang w:val="en-GB" w:eastAsia="de-DE"/>
        </w:rPr>
        <w:t>The safety data provided in the following are based on</w:t>
      </w:r>
      <w:r w:rsidR="00C659A9">
        <w:rPr>
          <w:rFonts w:eastAsia="MS Mincho"/>
          <w:bCs/>
          <w:iCs/>
          <w:lang w:val="en-GB" w:eastAsia="de-DE"/>
        </w:rPr>
        <w:t>:</w:t>
      </w:r>
    </w:p>
    <w:p w14:paraId="3C51EA44" w14:textId="57665914" w:rsidR="00141830" w:rsidRPr="00370C3F" w:rsidRDefault="00C659A9" w:rsidP="00C659A9">
      <w:pPr>
        <w:pStyle w:val="TextPI"/>
        <w:numPr>
          <w:ilvl w:val="0"/>
          <w:numId w:val="28"/>
        </w:numPr>
        <w:rPr>
          <w:rFonts w:cs="Arial"/>
          <w:szCs w:val="24"/>
          <w:u w:val="single"/>
          <w:lang w:val="en-US"/>
        </w:rPr>
      </w:pPr>
      <w:r>
        <w:rPr>
          <w:rFonts w:eastAsia="MS Mincho"/>
          <w:bCs/>
          <w:iCs/>
          <w:lang w:val="en-GB" w:eastAsia="de-DE"/>
        </w:rPr>
        <w:t>T</w:t>
      </w:r>
      <w:r w:rsidR="00A64B76" w:rsidRPr="006149A5">
        <w:rPr>
          <w:rFonts w:eastAsia="MS Mincho"/>
          <w:bCs/>
          <w:iCs/>
          <w:lang w:val="en-GB" w:eastAsia="de-DE"/>
        </w:rPr>
        <w:t xml:space="preserve">wo Phase </w:t>
      </w:r>
      <w:r>
        <w:rPr>
          <w:rFonts w:eastAsia="MS Mincho"/>
          <w:bCs/>
          <w:iCs/>
          <w:lang w:val="en-GB" w:eastAsia="de-DE"/>
        </w:rPr>
        <w:t>III</w:t>
      </w:r>
      <w:r w:rsidR="00A64B76" w:rsidRPr="006149A5">
        <w:rPr>
          <w:rFonts w:eastAsia="MS Mincho"/>
          <w:bCs/>
          <w:iCs/>
          <w:lang w:val="en-GB" w:eastAsia="de-DE"/>
        </w:rPr>
        <w:t xml:space="preserve">, randomised, double-blind, placebo-controlled </w:t>
      </w:r>
      <w:r>
        <w:rPr>
          <w:rFonts w:eastAsia="MS Mincho"/>
          <w:bCs/>
          <w:iCs/>
          <w:lang w:val="en-GB" w:eastAsia="de-DE"/>
        </w:rPr>
        <w:t>trials</w:t>
      </w:r>
      <w:r w:rsidR="00A64B76" w:rsidRPr="006149A5">
        <w:rPr>
          <w:rFonts w:eastAsia="MS Mincho"/>
          <w:bCs/>
          <w:iCs/>
          <w:lang w:val="en-GB" w:eastAsia="de-DE"/>
        </w:rPr>
        <w:t xml:space="preserve"> comparing treatment with</w:t>
      </w:r>
      <w:r w:rsidR="00381F1A">
        <w:rPr>
          <w:rFonts w:eastAsia="MS Mincho"/>
          <w:bCs/>
          <w:iCs/>
          <w:lang w:val="en-GB" w:eastAsia="de-DE"/>
        </w:rPr>
        <w:t xml:space="preserve"> </w:t>
      </w:r>
      <w:r>
        <w:rPr>
          <w:rFonts w:cs="Arial"/>
          <w:szCs w:val="24"/>
          <w:lang w:val="en-US"/>
        </w:rPr>
        <w:t>OFEV</w:t>
      </w:r>
      <w:r w:rsidRPr="00A32C40">
        <w:rPr>
          <w:rFonts w:cs="Arial"/>
          <w:szCs w:val="24"/>
          <w:lang w:val="en-US"/>
        </w:rPr>
        <w:t xml:space="preserve"> </w:t>
      </w:r>
      <w:r w:rsidR="00A64B76" w:rsidRPr="00A32C40">
        <w:rPr>
          <w:rFonts w:cs="Arial"/>
          <w:szCs w:val="24"/>
          <w:lang w:val="en-US"/>
        </w:rPr>
        <w:t>150 mg twice daily to placebo for 52 weeks (INPULSIS-1 and INPULSIS-2)</w:t>
      </w:r>
      <w:r>
        <w:rPr>
          <w:rFonts w:cs="Arial"/>
          <w:szCs w:val="24"/>
          <w:lang w:val="en-US"/>
        </w:rPr>
        <w:t xml:space="preserve"> in 1061 patients with IPF</w:t>
      </w:r>
      <w:r w:rsidR="00A64B76" w:rsidRPr="00A32C40">
        <w:rPr>
          <w:rFonts w:cs="Arial"/>
          <w:szCs w:val="24"/>
          <w:lang w:val="en-US"/>
        </w:rPr>
        <w:t>.</w:t>
      </w:r>
    </w:p>
    <w:p w14:paraId="0C743168" w14:textId="71629493" w:rsidR="00370C3F" w:rsidRPr="00141830" w:rsidRDefault="00370C3F" w:rsidP="00C659A9">
      <w:pPr>
        <w:pStyle w:val="TextPI"/>
        <w:numPr>
          <w:ilvl w:val="0"/>
          <w:numId w:val="28"/>
        </w:numPr>
        <w:rPr>
          <w:rFonts w:cs="Arial"/>
          <w:szCs w:val="24"/>
          <w:u w:val="single"/>
          <w:lang w:val="en-US"/>
        </w:rPr>
      </w:pPr>
      <w:r w:rsidRPr="00F8394F">
        <w:rPr>
          <w:rFonts w:cs="Arial"/>
          <w:szCs w:val="24"/>
          <w:lang w:val="en-US"/>
        </w:rPr>
        <w:t xml:space="preserve">One Phase III </w:t>
      </w:r>
      <w:proofErr w:type="spellStart"/>
      <w:r w:rsidRPr="00F8394F">
        <w:rPr>
          <w:rFonts w:cs="Arial"/>
          <w:szCs w:val="24"/>
          <w:lang w:val="en-US"/>
        </w:rPr>
        <w:t>randomised</w:t>
      </w:r>
      <w:proofErr w:type="spellEnd"/>
      <w:r w:rsidRPr="00F8394F">
        <w:rPr>
          <w:rFonts w:cs="Arial"/>
          <w:szCs w:val="24"/>
          <w:lang w:val="en-US"/>
        </w:rPr>
        <w:t>, double-blind, placebo-controlled trial comparing treatment with OFEV 150 mg twice daily to placebo for at least 52 weeks in 663 patients with other chronic fibrosing ILDs with a progressive phenotype (INBUILD).</w:t>
      </w:r>
    </w:p>
    <w:p w14:paraId="4DE18BDC" w14:textId="7CD9ABAE" w:rsidR="00A64B76" w:rsidRPr="00141830" w:rsidRDefault="00141830" w:rsidP="00141830">
      <w:pPr>
        <w:pStyle w:val="TextPI"/>
        <w:numPr>
          <w:ilvl w:val="0"/>
          <w:numId w:val="29"/>
        </w:numPr>
        <w:rPr>
          <w:rFonts w:cs="Arial"/>
          <w:szCs w:val="24"/>
          <w:lang w:val="en-US"/>
        </w:rPr>
      </w:pPr>
      <w:r w:rsidRPr="009A48A7">
        <w:rPr>
          <w:rFonts w:cs="Arial"/>
          <w:szCs w:val="24"/>
          <w:lang w:val="en-US"/>
        </w:rPr>
        <w:t xml:space="preserve">One phase III </w:t>
      </w:r>
      <w:proofErr w:type="spellStart"/>
      <w:r w:rsidRPr="009A48A7">
        <w:rPr>
          <w:rFonts w:cs="Arial"/>
          <w:szCs w:val="24"/>
          <w:lang w:val="en-US"/>
        </w:rPr>
        <w:t>randomised</w:t>
      </w:r>
      <w:proofErr w:type="spellEnd"/>
      <w:r w:rsidRPr="009A48A7">
        <w:rPr>
          <w:rFonts w:cs="Arial"/>
          <w:szCs w:val="24"/>
          <w:lang w:val="en-US"/>
        </w:rPr>
        <w:t xml:space="preserve">, double-blind, placebo-controlled trial comparing treatment with OFEV 150 mg twice daily to placebo for at least 52 weeks in 576 patients with </w:t>
      </w:r>
      <w:proofErr w:type="spellStart"/>
      <w:r w:rsidRPr="009A48A7">
        <w:rPr>
          <w:rFonts w:cs="Arial"/>
          <w:szCs w:val="24"/>
          <w:lang w:val="en-US"/>
        </w:rPr>
        <w:t>SSc</w:t>
      </w:r>
      <w:proofErr w:type="spellEnd"/>
      <w:r w:rsidRPr="009A48A7">
        <w:rPr>
          <w:rFonts w:cs="Arial"/>
          <w:szCs w:val="24"/>
          <w:lang w:val="en-US"/>
        </w:rPr>
        <w:t xml:space="preserve">-ILD (SENSCIS). </w:t>
      </w:r>
    </w:p>
    <w:p w14:paraId="60BF57BA" w14:textId="20EB79F8" w:rsidR="00A64B76" w:rsidRPr="002309E5" w:rsidRDefault="00A2409E" w:rsidP="00A64B76">
      <w:pPr>
        <w:pStyle w:val="TextPI"/>
        <w:rPr>
          <w:rFonts w:eastAsia="MS Mincho"/>
          <w:bCs/>
          <w:iCs/>
          <w:lang w:val="en-GB" w:eastAsia="de-DE"/>
        </w:rPr>
      </w:pPr>
      <w:r>
        <w:rPr>
          <w:rFonts w:eastAsia="MS Mincho"/>
          <w:bCs/>
          <w:iCs/>
          <w:lang w:val="en-GB" w:eastAsia="de-DE"/>
        </w:rPr>
        <w:t>In clinical trials, t</w:t>
      </w:r>
      <w:r w:rsidR="00A64B76" w:rsidRPr="002309E5">
        <w:rPr>
          <w:rFonts w:eastAsia="MS Mincho"/>
          <w:bCs/>
          <w:iCs/>
          <w:lang w:val="en-GB" w:eastAsia="de-DE"/>
        </w:rPr>
        <w:t xml:space="preserve">he most frequently reported adverse events associated with the use of </w:t>
      </w:r>
      <w:r w:rsidR="006C7EC9">
        <w:rPr>
          <w:rFonts w:eastAsia="MS Mincho"/>
          <w:bCs/>
          <w:iCs/>
          <w:lang w:val="en-GB" w:eastAsia="de-DE"/>
        </w:rPr>
        <w:t>OFEV</w:t>
      </w:r>
      <w:r w:rsidR="006C7EC9" w:rsidRPr="002309E5">
        <w:rPr>
          <w:rFonts w:eastAsia="MS Mincho"/>
          <w:bCs/>
          <w:iCs/>
          <w:lang w:val="en-GB" w:eastAsia="de-DE"/>
        </w:rPr>
        <w:t xml:space="preserve"> </w:t>
      </w:r>
      <w:r w:rsidR="00A64B76" w:rsidRPr="002309E5">
        <w:rPr>
          <w:rFonts w:eastAsia="MS Mincho"/>
          <w:bCs/>
          <w:iCs/>
          <w:lang w:val="en-GB" w:eastAsia="de-DE"/>
        </w:rPr>
        <w:t>included diarrhoea, nausea and vomiting, abdominal pain, decreased appetite, weight decreased and hepatic enzyme increased.</w:t>
      </w:r>
    </w:p>
    <w:p w14:paraId="27956E7C" w14:textId="09091394" w:rsidR="00A64B76" w:rsidRDefault="00A64B76" w:rsidP="00A64B76">
      <w:pPr>
        <w:pStyle w:val="TextPI"/>
        <w:rPr>
          <w:noProof/>
          <w:lang w:val="en-US"/>
        </w:rPr>
      </w:pPr>
      <w:r w:rsidRPr="006149A5">
        <w:rPr>
          <w:noProof/>
          <w:lang w:val="en-US"/>
        </w:rPr>
        <w:t xml:space="preserve">Adverse events </w:t>
      </w:r>
      <w:r>
        <w:rPr>
          <w:noProof/>
          <w:lang w:val="en-US"/>
        </w:rPr>
        <w:t>occu</w:t>
      </w:r>
      <w:r w:rsidR="00FB373A">
        <w:rPr>
          <w:noProof/>
          <w:lang w:val="en-US"/>
        </w:rPr>
        <w:t>r</w:t>
      </w:r>
      <w:r>
        <w:rPr>
          <w:noProof/>
          <w:lang w:val="en-US"/>
        </w:rPr>
        <w:t>ring in at le</w:t>
      </w:r>
      <w:r w:rsidRPr="006149A5">
        <w:rPr>
          <w:noProof/>
          <w:lang w:val="en-US"/>
        </w:rPr>
        <w:t xml:space="preserve">ast </w:t>
      </w:r>
      <w:r>
        <w:rPr>
          <w:noProof/>
          <w:lang w:val="en-US"/>
        </w:rPr>
        <w:t>5</w:t>
      </w:r>
      <w:r w:rsidRPr="006149A5">
        <w:rPr>
          <w:noProof/>
          <w:lang w:val="en-US"/>
        </w:rPr>
        <w:t xml:space="preserve">% of patients in either treatment </w:t>
      </w:r>
      <w:r>
        <w:rPr>
          <w:noProof/>
          <w:lang w:val="en-US"/>
        </w:rPr>
        <w:t xml:space="preserve">arm in </w:t>
      </w:r>
      <w:r w:rsidRPr="006149A5">
        <w:rPr>
          <w:noProof/>
          <w:lang w:val="en-US"/>
        </w:rPr>
        <w:t>the pivotal trial</w:t>
      </w:r>
      <w:r>
        <w:rPr>
          <w:noProof/>
          <w:lang w:val="en-US"/>
        </w:rPr>
        <w:t>s INPULSIS-1 and INPULSIS-2</w:t>
      </w:r>
      <w:r w:rsidRPr="006149A5">
        <w:rPr>
          <w:noProof/>
          <w:lang w:val="en-US"/>
        </w:rPr>
        <w:t xml:space="preserve"> are summarised in Table </w:t>
      </w:r>
      <w:r w:rsidR="009C3BE5">
        <w:rPr>
          <w:noProof/>
          <w:lang w:val="en-US"/>
        </w:rPr>
        <w:t>5</w:t>
      </w:r>
      <w:r>
        <w:rPr>
          <w:noProof/>
          <w:lang w:val="en-US"/>
        </w:rPr>
        <w:t>.</w:t>
      </w:r>
    </w:p>
    <w:p w14:paraId="2ABC64D0" w14:textId="496006C4" w:rsidR="00A64B76" w:rsidRDefault="00A64B76" w:rsidP="00A64B76">
      <w:pPr>
        <w:rPr>
          <w:rFonts w:ascii="Arial" w:hAnsi="Arial"/>
          <w:b/>
          <w:sz w:val="20"/>
          <w:lang w:val="en-GB"/>
        </w:rPr>
      </w:pPr>
    </w:p>
    <w:p w14:paraId="18744A45" w14:textId="3BDE51C1" w:rsidR="00A64B76" w:rsidRDefault="00A64B76" w:rsidP="003045AE">
      <w:pPr>
        <w:pStyle w:val="TextPI"/>
        <w:keepNext/>
        <w:keepLines/>
        <w:tabs>
          <w:tab w:val="left" w:pos="1134"/>
        </w:tabs>
        <w:ind w:left="1122" w:hanging="1122"/>
        <w:rPr>
          <w:b/>
          <w:sz w:val="20"/>
          <w:szCs w:val="20"/>
          <w:lang w:val="en-GB"/>
        </w:rPr>
      </w:pPr>
      <w:r w:rsidRPr="004E11D0">
        <w:rPr>
          <w:b/>
          <w:sz w:val="20"/>
          <w:szCs w:val="20"/>
          <w:lang w:val="en-GB"/>
        </w:rPr>
        <w:lastRenderedPageBreak/>
        <w:t xml:space="preserve">Table </w:t>
      </w:r>
      <w:r w:rsidR="009C3BE5">
        <w:rPr>
          <w:b/>
          <w:sz w:val="20"/>
          <w:szCs w:val="20"/>
          <w:lang w:val="en-GB"/>
        </w:rPr>
        <w:t>5</w:t>
      </w:r>
      <w:r>
        <w:rPr>
          <w:b/>
          <w:sz w:val="20"/>
          <w:szCs w:val="20"/>
          <w:lang w:val="en-GB"/>
        </w:rPr>
        <w:t>:</w:t>
      </w:r>
      <w:r>
        <w:rPr>
          <w:b/>
          <w:sz w:val="20"/>
          <w:szCs w:val="20"/>
          <w:lang w:val="en-GB"/>
        </w:rPr>
        <w:tab/>
        <w:t xml:space="preserve">Adverse events occurring in at least 5% of patients in either treatment arm in </w:t>
      </w:r>
      <w:r w:rsidRPr="006149A5">
        <w:rPr>
          <w:b/>
          <w:sz w:val="20"/>
          <w:szCs w:val="20"/>
          <w:lang w:val="en-GB"/>
        </w:rPr>
        <w:t>INPULSIS-1 and INPULSIS-2</w:t>
      </w:r>
      <w:r>
        <w:rPr>
          <w:b/>
          <w:sz w:val="20"/>
          <w:szCs w:val="20"/>
          <w:lang w:val="en-GB"/>
        </w:rPr>
        <w:t xml:space="preserve"> – by SOC and preferred term – TS</w:t>
      </w:r>
    </w:p>
    <w:tbl>
      <w:tblPr>
        <w:tblStyle w:val="TableGrid"/>
        <w:tblW w:w="9214" w:type="dxa"/>
        <w:tblInd w:w="108" w:type="dxa"/>
        <w:tblLook w:val="04A0" w:firstRow="1" w:lastRow="0" w:firstColumn="1" w:lastColumn="0" w:noHBand="0" w:noVBand="1"/>
      </w:tblPr>
      <w:tblGrid>
        <w:gridCol w:w="4820"/>
        <w:gridCol w:w="1984"/>
        <w:gridCol w:w="2410"/>
      </w:tblGrid>
      <w:tr w:rsidR="00A64B76" w14:paraId="7FF6D41A" w14:textId="77777777" w:rsidTr="00A64B76">
        <w:tc>
          <w:tcPr>
            <w:tcW w:w="4820" w:type="dxa"/>
          </w:tcPr>
          <w:p w14:paraId="4051F037" w14:textId="77777777" w:rsidR="00A64B76" w:rsidRDefault="00A64B76" w:rsidP="003045AE">
            <w:pPr>
              <w:pStyle w:val="TextPI"/>
              <w:keepNext/>
              <w:keepLines/>
              <w:tabs>
                <w:tab w:val="left" w:pos="1134"/>
              </w:tabs>
              <w:spacing w:before="0" w:after="0" w:line="240" w:lineRule="auto"/>
              <w:rPr>
                <w:b/>
                <w:sz w:val="20"/>
                <w:szCs w:val="20"/>
                <w:lang w:val="en-GB"/>
              </w:rPr>
            </w:pPr>
          </w:p>
        </w:tc>
        <w:tc>
          <w:tcPr>
            <w:tcW w:w="1984" w:type="dxa"/>
          </w:tcPr>
          <w:p w14:paraId="22793BD5" w14:textId="77777777" w:rsidR="00A64B76" w:rsidRDefault="00A64B76" w:rsidP="003045AE">
            <w:pPr>
              <w:pStyle w:val="TextPI"/>
              <w:keepNext/>
              <w:keepLines/>
              <w:tabs>
                <w:tab w:val="left" w:pos="1134"/>
              </w:tabs>
              <w:spacing w:before="0" w:after="0" w:line="240" w:lineRule="auto"/>
              <w:jc w:val="center"/>
              <w:rPr>
                <w:b/>
                <w:sz w:val="20"/>
                <w:szCs w:val="20"/>
                <w:lang w:val="en-GB"/>
              </w:rPr>
            </w:pPr>
            <w:r>
              <w:rPr>
                <w:b/>
                <w:sz w:val="20"/>
                <w:szCs w:val="20"/>
                <w:lang w:val="en-GB"/>
              </w:rPr>
              <w:t>Placebo</w:t>
            </w:r>
          </w:p>
          <w:p w14:paraId="1FF929A8" w14:textId="77777777" w:rsidR="00A64B76" w:rsidRDefault="00A64B76" w:rsidP="003045AE">
            <w:pPr>
              <w:pStyle w:val="TextPI"/>
              <w:keepNext/>
              <w:keepLines/>
              <w:tabs>
                <w:tab w:val="left" w:pos="1134"/>
              </w:tabs>
              <w:spacing w:before="0" w:after="0" w:line="240" w:lineRule="auto"/>
              <w:jc w:val="center"/>
              <w:rPr>
                <w:b/>
                <w:sz w:val="20"/>
                <w:szCs w:val="20"/>
                <w:lang w:val="en-GB"/>
              </w:rPr>
            </w:pPr>
            <w:r>
              <w:rPr>
                <w:b/>
                <w:sz w:val="20"/>
                <w:szCs w:val="20"/>
                <w:lang w:val="en-GB"/>
              </w:rPr>
              <w:t>n (%)</w:t>
            </w:r>
          </w:p>
        </w:tc>
        <w:tc>
          <w:tcPr>
            <w:tcW w:w="2410" w:type="dxa"/>
          </w:tcPr>
          <w:p w14:paraId="34BFCC40" w14:textId="77777777" w:rsidR="00A64B76" w:rsidRDefault="00A64B76" w:rsidP="003045AE">
            <w:pPr>
              <w:pStyle w:val="TextPI"/>
              <w:keepNext/>
              <w:keepLines/>
              <w:tabs>
                <w:tab w:val="left" w:pos="1134"/>
              </w:tabs>
              <w:spacing w:before="0" w:after="0" w:line="240" w:lineRule="auto"/>
              <w:jc w:val="center"/>
              <w:rPr>
                <w:b/>
                <w:sz w:val="20"/>
                <w:szCs w:val="20"/>
                <w:lang w:val="en-GB"/>
              </w:rPr>
            </w:pPr>
            <w:proofErr w:type="spellStart"/>
            <w:r>
              <w:rPr>
                <w:b/>
                <w:sz w:val="20"/>
                <w:szCs w:val="20"/>
                <w:lang w:val="en-GB"/>
              </w:rPr>
              <w:t>Nintedanib</w:t>
            </w:r>
            <w:proofErr w:type="spellEnd"/>
            <w:r>
              <w:rPr>
                <w:b/>
                <w:sz w:val="20"/>
                <w:szCs w:val="20"/>
                <w:lang w:val="en-GB"/>
              </w:rPr>
              <w:t xml:space="preserve"> 150 mg twice daily</w:t>
            </w:r>
          </w:p>
          <w:p w14:paraId="3D0B9242" w14:textId="77777777" w:rsidR="00A64B76" w:rsidRDefault="00A64B76" w:rsidP="003045AE">
            <w:pPr>
              <w:pStyle w:val="TextPI"/>
              <w:keepNext/>
              <w:keepLines/>
              <w:tabs>
                <w:tab w:val="left" w:pos="1134"/>
              </w:tabs>
              <w:spacing w:before="0" w:after="0" w:line="240" w:lineRule="auto"/>
              <w:jc w:val="center"/>
              <w:rPr>
                <w:b/>
                <w:sz w:val="20"/>
                <w:szCs w:val="20"/>
                <w:lang w:val="en-GB"/>
              </w:rPr>
            </w:pPr>
            <w:r>
              <w:rPr>
                <w:b/>
                <w:sz w:val="20"/>
                <w:szCs w:val="20"/>
                <w:lang w:val="en-GB"/>
              </w:rPr>
              <w:t>n (%)</w:t>
            </w:r>
          </w:p>
        </w:tc>
      </w:tr>
      <w:tr w:rsidR="00A64B76" w14:paraId="1CDC7FD8" w14:textId="77777777" w:rsidTr="00A64B76">
        <w:tc>
          <w:tcPr>
            <w:tcW w:w="4820" w:type="dxa"/>
          </w:tcPr>
          <w:p w14:paraId="3B33D964"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Patients</w:t>
            </w:r>
          </w:p>
        </w:tc>
        <w:tc>
          <w:tcPr>
            <w:tcW w:w="1984" w:type="dxa"/>
          </w:tcPr>
          <w:p w14:paraId="4F27930A" w14:textId="77777777" w:rsidR="00A64B76" w:rsidRPr="004F1936" w:rsidRDefault="00A64B76" w:rsidP="003045AE">
            <w:pPr>
              <w:pStyle w:val="TextPI"/>
              <w:keepNext/>
              <w:keepLines/>
              <w:tabs>
                <w:tab w:val="left" w:pos="1134"/>
              </w:tabs>
              <w:spacing w:before="0" w:after="0" w:line="240" w:lineRule="auto"/>
              <w:jc w:val="center"/>
              <w:rPr>
                <w:b/>
                <w:sz w:val="20"/>
                <w:szCs w:val="20"/>
                <w:lang w:val="en-GB"/>
              </w:rPr>
            </w:pPr>
            <w:r w:rsidRPr="004F1936">
              <w:rPr>
                <w:sz w:val="20"/>
                <w:szCs w:val="20"/>
                <w:lang w:eastAsia="en-AU" w:bidi="th-TH"/>
              </w:rPr>
              <w:t>423 (100.0)</w:t>
            </w:r>
          </w:p>
        </w:tc>
        <w:tc>
          <w:tcPr>
            <w:tcW w:w="2410" w:type="dxa"/>
          </w:tcPr>
          <w:p w14:paraId="3C40CBF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638 (100.0)</w:t>
            </w:r>
          </w:p>
        </w:tc>
      </w:tr>
      <w:tr w:rsidR="00A64B76" w14:paraId="0302FDB7" w14:textId="77777777" w:rsidTr="00A64B76">
        <w:tc>
          <w:tcPr>
            <w:tcW w:w="4820" w:type="dxa"/>
          </w:tcPr>
          <w:p w14:paraId="52214A26"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Patients with any AE</w:t>
            </w:r>
          </w:p>
        </w:tc>
        <w:tc>
          <w:tcPr>
            <w:tcW w:w="1984" w:type="dxa"/>
          </w:tcPr>
          <w:p w14:paraId="622674FC" w14:textId="77777777" w:rsidR="00A64B76" w:rsidRPr="004F1936" w:rsidRDefault="00A64B76" w:rsidP="003045AE">
            <w:pPr>
              <w:pStyle w:val="TextPI"/>
              <w:keepNext/>
              <w:keepLines/>
              <w:tabs>
                <w:tab w:val="left" w:pos="1134"/>
              </w:tabs>
              <w:spacing w:before="0" w:after="0" w:line="240" w:lineRule="auto"/>
              <w:jc w:val="center"/>
              <w:rPr>
                <w:b/>
                <w:sz w:val="20"/>
                <w:szCs w:val="20"/>
                <w:lang w:val="en-GB"/>
              </w:rPr>
            </w:pPr>
            <w:r w:rsidRPr="004F1936">
              <w:rPr>
                <w:sz w:val="20"/>
                <w:szCs w:val="20"/>
                <w:lang w:eastAsia="en-AU" w:bidi="th-TH"/>
              </w:rPr>
              <w:t>379 (89.6)</w:t>
            </w:r>
          </w:p>
        </w:tc>
        <w:tc>
          <w:tcPr>
            <w:tcW w:w="2410" w:type="dxa"/>
          </w:tcPr>
          <w:p w14:paraId="7862D7F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609 (95.5)</w:t>
            </w:r>
          </w:p>
        </w:tc>
      </w:tr>
      <w:tr w:rsidR="00A64B76" w14:paraId="28CE5BA3" w14:textId="77777777" w:rsidTr="00A64B76">
        <w:tc>
          <w:tcPr>
            <w:tcW w:w="4820" w:type="dxa"/>
          </w:tcPr>
          <w:p w14:paraId="24CBFBC5"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Gastrointestinal disorders</w:t>
            </w:r>
          </w:p>
          <w:p w14:paraId="40868771"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Diarrhoea</w:t>
            </w:r>
          </w:p>
          <w:p w14:paraId="0406C07D"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Nausea</w:t>
            </w:r>
          </w:p>
          <w:p w14:paraId="12132500"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Vomiting</w:t>
            </w:r>
          </w:p>
          <w:p w14:paraId="037F1D36"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Abdominal pain</w:t>
            </w:r>
          </w:p>
          <w:p w14:paraId="3E905A8A"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Abdominal pain upper</w:t>
            </w:r>
          </w:p>
          <w:p w14:paraId="42EE2345"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Constipation</w:t>
            </w:r>
          </w:p>
        </w:tc>
        <w:tc>
          <w:tcPr>
            <w:tcW w:w="1984" w:type="dxa"/>
          </w:tcPr>
          <w:p w14:paraId="44CBDE51"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168 (39.7)</w:t>
            </w:r>
          </w:p>
          <w:p w14:paraId="5C1C9181"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78 (18.4)</w:t>
            </w:r>
          </w:p>
          <w:p w14:paraId="4F06F806"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28 (6.6)</w:t>
            </w:r>
          </w:p>
          <w:p w14:paraId="5965E92D"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11 (2.6)</w:t>
            </w:r>
          </w:p>
          <w:p w14:paraId="35AF4BE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10 (2.4)</w:t>
            </w:r>
          </w:p>
          <w:p w14:paraId="20FE92C4"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15 (3.5)</w:t>
            </w:r>
          </w:p>
          <w:p w14:paraId="61511A21" w14:textId="77777777" w:rsidR="00A64B76" w:rsidRPr="004F1936" w:rsidRDefault="00A64B76" w:rsidP="003045AE">
            <w:pPr>
              <w:pStyle w:val="TextPI"/>
              <w:keepNext/>
              <w:keepLines/>
              <w:tabs>
                <w:tab w:val="left" w:pos="1134"/>
              </w:tabs>
              <w:spacing w:before="0" w:after="0" w:line="240" w:lineRule="auto"/>
              <w:jc w:val="center"/>
              <w:rPr>
                <w:b/>
                <w:sz w:val="20"/>
                <w:szCs w:val="20"/>
                <w:lang w:val="en-GB"/>
              </w:rPr>
            </w:pPr>
            <w:r w:rsidRPr="004F1936">
              <w:rPr>
                <w:sz w:val="20"/>
                <w:szCs w:val="20"/>
                <w:lang w:eastAsia="en-AU" w:bidi="th-TH"/>
              </w:rPr>
              <w:t>17 (4.0)</w:t>
            </w:r>
          </w:p>
        </w:tc>
        <w:tc>
          <w:tcPr>
            <w:tcW w:w="2410" w:type="dxa"/>
          </w:tcPr>
          <w:p w14:paraId="7F64554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488 (76.5)</w:t>
            </w:r>
          </w:p>
          <w:p w14:paraId="47287735"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398 (62.4)</w:t>
            </w:r>
          </w:p>
          <w:p w14:paraId="7672142D"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156 (24.5)</w:t>
            </w:r>
          </w:p>
          <w:p w14:paraId="117D0015"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74 (11.6)</w:t>
            </w:r>
          </w:p>
          <w:p w14:paraId="0378D12B"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56 (8.8)</w:t>
            </w:r>
          </w:p>
          <w:p w14:paraId="4CFD003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41 (6.4)</w:t>
            </w:r>
          </w:p>
          <w:p w14:paraId="20FD19AA"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38 (6.0)</w:t>
            </w:r>
          </w:p>
        </w:tc>
      </w:tr>
      <w:tr w:rsidR="00A64B76" w14:paraId="3D685F36" w14:textId="77777777" w:rsidTr="00A64B76">
        <w:tc>
          <w:tcPr>
            <w:tcW w:w="4820" w:type="dxa"/>
          </w:tcPr>
          <w:p w14:paraId="0F9E3DA1"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Infections and infestations</w:t>
            </w:r>
          </w:p>
          <w:p w14:paraId="44AF12EB"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Nasopharyngitis</w:t>
            </w:r>
          </w:p>
          <w:p w14:paraId="0B759B83"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Bronchitis</w:t>
            </w:r>
          </w:p>
          <w:p w14:paraId="39DBB7C6"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Upper respiratory tract infection</w:t>
            </w:r>
          </w:p>
          <w:p w14:paraId="3D25EFD6"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Pneumonia</w:t>
            </w:r>
          </w:p>
        </w:tc>
        <w:tc>
          <w:tcPr>
            <w:tcW w:w="1984" w:type="dxa"/>
          </w:tcPr>
          <w:p w14:paraId="736EB47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228 (53.9)</w:t>
            </w:r>
          </w:p>
          <w:p w14:paraId="790E1D42"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68 (16.1)</w:t>
            </w:r>
          </w:p>
          <w:p w14:paraId="2D8559B3"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45 (10.6)</w:t>
            </w:r>
          </w:p>
          <w:p w14:paraId="6FCEF114"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42 (9.9)</w:t>
            </w:r>
          </w:p>
          <w:p w14:paraId="71039049"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24 (5.7)</w:t>
            </w:r>
          </w:p>
        </w:tc>
        <w:tc>
          <w:tcPr>
            <w:tcW w:w="2410" w:type="dxa"/>
          </w:tcPr>
          <w:p w14:paraId="30C342AC"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359 (56.3)</w:t>
            </w:r>
          </w:p>
          <w:p w14:paraId="4DE1879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87 (13.6)</w:t>
            </w:r>
          </w:p>
          <w:p w14:paraId="601B942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67 (10.5)</w:t>
            </w:r>
          </w:p>
          <w:p w14:paraId="1D0F9661"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58 (9.1)</w:t>
            </w:r>
          </w:p>
          <w:p w14:paraId="7A08C48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29 (4.5)</w:t>
            </w:r>
          </w:p>
        </w:tc>
      </w:tr>
      <w:tr w:rsidR="00A64B76" w14:paraId="60E9D0FE" w14:textId="77777777" w:rsidTr="00A64B76">
        <w:tc>
          <w:tcPr>
            <w:tcW w:w="4820" w:type="dxa"/>
          </w:tcPr>
          <w:p w14:paraId="6819714F"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Respiratory, thoracic and mediastinal disorders</w:t>
            </w:r>
          </w:p>
          <w:p w14:paraId="331CC39C"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Cough</w:t>
            </w:r>
          </w:p>
          <w:p w14:paraId="7188FE54"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Idiopathic pulmonary fibrosis</w:t>
            </w:r>
          </w:p>
          <w:p w14:paraId="2F91C15F"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Dyspnoea</w:t>
            </w:r>
          </w:p>
        </w:tc>
        <w:tc>
          <w:tcPr>
            <w:tcW w:w="1984" w:type="dxa"/>
          </w:tcPr>
          <w:p w14:paraId="05B41FB9"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177 (41.8)</w:t>
            </w:r>
          </w:p>
          <w:p w14:paraId="6A31B74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57 (13.5)</w:t>
            </w:r>
          </w:p>
          <w:p w14:paraId="104FF13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61 (14.4)</w:t>
            </w:r>
          </w:p>
          <w:p w14:paraId="65E4773B"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48 (11.3)</w:t>
            </w:r>
          </w:p>
        </w:tc>
        <w:tc>
          <w:tcPr>
            <w:tcW w:w="2410" w:type="dxa"/>
          </w:tcPr>
          <w:p w14:paraId="08BF068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254 (39.8)</w:t>
            </w:r>
          </w:p>
          <w:p w14:paraId="23691DD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85 (13.3)</w:t>
            </w:r>
          </w:p>
          <w:p w14:paraId="12AA8392"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64 (10.0)</w:t>
            </w:r>
          </w:p>
          <w:p w14:paraId="32862FF0"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49 (7.7)</w:t>
            </w:r>
          </w:p>
        </w:tc>
      </w:tr>
      <w:tr w:rsidR="00A64B76" w14:paraId="11B9C247" w14:textId="77777777" w:rsidTr="00A64B76">
        <w:tc>
          <w:tcPr>
            <w:tcW w:w="4820" w:type="dxa"/>
          </w:tcPr>
          <w:p w14:paraId="05039311"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Investigations</w:t>
            </w:r>
          </w:p>
          <w:p w14:paraId="752DB123"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Weight decreased</w:t>
            </w:r>
          </w:p>
        </w:tc>
        <w:tc>
          <w:tcPr>
            <w:tcW w:w="1984" w:type="dxa"/>
          </w:tcPr>
          <w:p w14:paraId="74F1943B"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69 (16.3)</w:t>
            </w:r>
          </w:p>
          <w:p w14:paraId="72D099AF"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15 (3.5)</w:t>
            </w:r>
          </w:p>
        </w:tc>
        <w:tc>
          <w:tcPr>
            <w:tcW w:w="2410" w:type="dxa"/>
          </w:tcPr>
          <w:p w14:paraId="47A4D153"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185 (29.0)</w:t>
            </w:r>
          </w:p>
          <w:p w14:paraId="18FF35A5"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62 (9.7)</w:t>
            </w:r>
          </w:p>
        </w:tc>
      </w:tr>
      <w:tr w:rsidR="00A64B76" w14:paraId="030A885B" w14:textId="77777777" w:rsidTr="00A64B76">
        <w:tc>
          <w:tcPr>
            <w:tcW w:w="4820" w:type="dxa"/>
          </w:tcPr>
          <w:p w14:paraId="1E5ECE46"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General disorders and administration site conditions</w:t>
            </w:r>
          </w:p>
          <w:p w14:paraId="361C1AEA"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Fatigue</w:t>
            </w:r>
          </w:p>
          <w:p w14:paraId="6F41416C" w14:textId="77777777" w:rsidR="00A64B76" w:rsidRPr="004F1936" w:rsidRDefault="00A64B76" w:rsidP="003045AE">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Chest pain</w:t>
            </w:r>
          </w:p>
        </w:tc>
        <w:tc>
          <w:tcPr>
            <w:tcW w:w="1984" w:type="dxa"/>
          </w:tcPr>
          <w:p w14:paraId="3577B1D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106 (25.1)</w:t>
            </w:r>
          </w:p>
          <w:p w14:paraId="4BEE4445"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33 (7.8)</w:t>
            </w:r>
          </w:p>
          <w:p w14:paraId="0EBDE9A1"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22 (5.2)</w:t>
            </w:r>
          </w:p>
        </w:tc>
        <w:tc>
          <w:tcPr>
            <w:tcW w:w="2410" w:type="dxa"/>
          </w:tcPr>
          <w:p w14:paraId="26B881CF"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152 (23.8)</w:t>
            </w:r>
          </w:p>
          <w:p w14:paraId="0F589E25"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40 (6.3)</w:t>
            </w:r>
          </w:p>
          <w:p w14:paraId="55B7B0E8"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34 (5.3)</w:t>
            </w:r>
          </w:p>
        </w:tc>
      </w:tr>
      <w:tr w:rsidR="00A64B76" w14:paraId="65A19C78" w14:textId="77777777" w:rsidTr="00A64B76">
        <w:tc>
          <w:tcPr>
            <w:tcW w:w="4820" w:type="dxa"/>
          </w:tcPr>
          <w:p w14:paraId="461DB6E4"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Musculoskeletal and connective tissue disorders</w:t>
            </w:r>
          </w:p>
          <w:p w14:paraId="7CFE2CA2"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Back pain</w:t>
            </w:r>
          </w:p>
          <w:p w14:paraId="3E033199"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Arthralgia</w:t>
            </w:r>
          </w:p>
        </w:tc>
        <w:tc>
          <w:tcPr>
            <w:tcW w:w="1984" w:type="dxa"/>
          </w:tcPr>
          <w:p w14:paraId="1B927FE5"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95 (22.5)</w:t>
            </w:r>
          </w:p>
          <w:p w14:paraId="5E41285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29 (6.9)</w:t>
            </w:r>
          </w:p>
          <w:p w14:paraId="04B57BA2"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21 (5.0)</w:t>
            </w:r>
          </w:p>
        </w:tc>
        <w:tc>
          <w:tcPr>
            <w:tcW w:w="2410" w:type="dxa"/>
          </w:tcPr>
          <w:p w14:paraId="4154AA2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118 (18.5)</w:t>
            </w:r>
          </w:p>
          <w:p w14:paraId="68106BC3"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37 (5.8)</w:t>
            </w:r>
          </w:p>
          <w:p w14:paraId="5903109F"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14 (2.2)</w:t>
            </w:r>
          </w:p>
        </w:tc>
      </w:tr>
      <w:tr w:rsidR="00A64B76" w14:paraId="4A2C4D5B" w14:textId="77777777" w:rsidTr="00A64B76">
        <w:tc>
          <w:tcPr>
            <w:tcW w:w="4820" w:type="dxa"/>
          </w:tcPr>
          <w:p w14:paraId="03FC9957"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Metabolism and nutrition disorders</w:t>
            </w:r>
          </w:p>
          <w:p w14:paraId="0C9347BF" w14:textId="77777777" w:rsidR="00A64B76" w:rsidRPr="004F1936" w:rsidRDefault="00A64B76" w:rsidP="003045AE">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Decreased appetite</w:t>
            </w:r>
          </w:p>
        </w:tc>
        <w:tc>
          <w:tcPr>
            <w:tcW w:w="1984" w:type="dxa"/>
          </w:tcPr>
          <w:p w14:paraId="09341327"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60 (14.2)</w:t>
            </w:r>
          </w:p>
          <w:p w14:paraId="2DCF6B74"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24 (5.7)</w:t>
            </w:r>
          </w:p>
        </w:tc>
        <w:tc>
          <w:tcPr>
            <w:tcW w:w="2410" w:type="dxa"/>
          </w:tcPr>
          <w:p w14:paraId="095A0208"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115 (18.0)</w:t>
            </w:r>
          </w:p>
          <w:p w14:paraId="5D0CABEB" w14:textId="77777777" w:rsidR="00A64B76" w:rsidRPr="004F1936" w:rsidRDefault="00A64B76" w:rsidP="003045AE">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68 (10.7)</w:t>
            </w:r>
          </w:p>
        </w:tc>
      </w:tr>
      <w:tr w:rsidR="00A64B76" w14:paraId="62428EEC" w14:textId="77777777" w:rsidTr="00A64B76">
        <w:tc>
          <w:tcPr>
            <w:tcW w:w="4820" w:type="dxa"/>
          </w:tcPr>
          <w:p w14:paraId="20A086FC" w14:textId="77777777" w:rsidR="00A64B76" w:rsidRPr="004F1936" w:rsidRDefault="00A64B76" w:rsidP="00A50827">
            <w:pPr>
              <w:pStyle w:val="TextPI"/>
              <w:keepNext/>
              <w:keepLines/>
              <w:tabs>
                <w:tab w:val="left" w:pos="1134"/>
              </w:tabs>
              <w:spacing w:before="0" w:after="0" w:line="240" w:lineRule="auto"/>
              <w:rPr>
                <w:bCs/>
                <w:sz w:val="20"/>
                <w:szCs w:val="20"/>
                <w:lang w:val="en-GB"/>
              </w:rPr>
            </w:pPr>
            <w:r w:rsidRPr="004F1936">
              <w:rPr>
                <w:bCs/>
                <w:sz w:val="20"/>
                <w:szCs w:val="20"/>
                <w:lang w:val="en-GB"/>
              </w:rPr>
              <w:t>Nervous system disorders</w:t>
            </w:r>
          </w:p>
          <w:p w14:paraId="49672CBD" w14:textId="77777777" w:rsidR="00A64B76" w:rsidRPr="004F1936" w:rsidRDefault="00A64B76" w:rsidP="00A50827">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Headache</w:t>
            </w:r>
          </w:p>
        </w:tc>
        <w:tc>
          <w:tcPr>
            <w:tcW w:w="1984" w:type="dxa"/>
          </w:tcPr>
          <w:p w14:paraId="162C3B89" w14:textId="77777777" w:rsidR="00A64B76" w:rsidRPr="004F1936" w:rsidRDefault="00A64B76" w:rsidP="00A50827">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65 (15.4)</w:t>
            </w:r>
          </w:p>
          <w:p w14:paraId="39F4A753" w14:textId="77777777" w:rsidR="00A64B76" w:rsidRPr="004F1936" w:rsidRDefault="00A64B76" w:rsidP="00A50827">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19 (4.5)</w:t>
            </w:r>
          </w:p>
        </w:tc>
        <w:tc>
          <w:tcPr>
            <w:tcW w:w="2410" w:type="dxa"/>
          </w:tcPr>
          <w:p w14:paraId="79C3E999" w14:textId="77777777" w:rsidR="00A64B76" w:rsidRPr="004F1936" w:rsidRDefault="00A64B76" w:rsidP="00A50827">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105 (16.5)</w:t>
            </w:r>
          </w:p>
          <w:p w14:paraId="6BE5999A" w14:textId="77777777" w:rsidR="00A64B76" w:rsidRPr="004F1936" w:rsidRDefault="00A64B76" w:rsidP="00A50827">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43 (6.7)</w:t>
            </w:r>
          </w:p>
        </w:tc>
      </w:tr>
    </w:tbl>
    <w:p w14:paraId="2E71D5D1" w14:textId="77777777" w:rsidR="00A64B76" w:rsidRPr="00DA68D9" w:rsidRDefault="00A64B76" w:rsidP="000F322D">
      <w:pPr>
        <w:pStyle w:val="CS-FootnoteText"/>
        <w:spacing w:after="180"/>
        <w:rPr>
          <w:rFonts w:ascii="Arial" w:hAnsi="Arial" w:cs="Arial"/>
        </w:rPr>
      </w:pPr>
      <w:r w:rsidRPr="00CD6C93">
        <w:rPr>
          <w:rFonts w:ascii="Arial" w:hAnsi="Arial" w:cs="Arial"/>
        </w:rPr>
        <w:t xml:space="preserve"> </w:t>
      </w:r>
      <w:r w:rsidRPr="00DA68D9">
        <w:rPr>
          <w:rFonts w:ascii="Arial" w:hAnsi="Arial" w:cs="Arial"/>
        </w:rPr>
        <w:t xml:space="preserve">Preferred terms are sorted by frequency in the </w:t>
      </w:r>
      <w:proofErr w:type="spellStart"/>
      <w:r w:rsidRPr="00DA68D9">
        <w:rPr>
          <w:rFonts w:ascii="Arial" w:hAnsi="Arial" w:cs="Arial"/>
        </w:rPr>
        <w:t>nintedanib</w:t>
      </w:r>
      <w:proofErr w:type="spellEnd"/>
      <w:r>
        <w:rPr>
          <w:rFonts w:ascii="Arial" w:hAnsi="Arial" w:cs="Arial"/>
        </w:rPr>
        <w:t xml:space="preserve"> 150 mg twice daily</w:t>
      </w:r>
      <w:r w:rsidRPr="00DA68D9">
        <w:rPr>
          <w:rFonts w:ascii="Arial" w:hAnsi="Arial" w:cs="Arial"/>
        </w:rPr>
        <w:t xml:space="preserve"> arm </w:t>
      </w:r>
    </w:p>
    <w:p w14:paraId="64079519" w14:textId="77777777" w:rsidR="003C612D" w:rsidRDefault="003C612D" w:rsidP="003C612D">
      <w:pPr>
        <w:pStyle w:val="TextPI"/>
        <w:rPr>
          <w:noProof/>
          <w:lang w:val="en-US"/>
        </w:rPr>
      </w:pPr>
      <w:r w:rsidRPr="006149A5">
        <w:rPr>
          <w:noProof/>
          <w:lang w:val="en-US"/>
        </w:rPr>
        <w:t xml:space="preserve">Adverse events </w:t>
      </w:r>
      <w:r>
        <w:rPr>
          <w:noProof/>
          <w:lang w:val="en-US"/>
        </w:rPr>
        <w:t>occurring in at le</w:t>
      </w:r>
      <w:r w:rsidRPr="006149A5">
        <w:rPr>
          <w:noProof/>
          <w:lang w:val="en-US"/>
        </w:rPr>
        <w:t xml:space="preserve">ast </w:t>
      </w:r>
      <w:r>
        <w:rPr>
          <w:noProof/>
          <w:lang w:val="en-US"/>
        </w:rPr>
        <w:t>5</w:t>
      </w:r>
      <w:r w:rsidRPr="006149A5">
        <w:rPr>
          <w:noProof/>
          <w:lang w:val="en-US"/>
        </w:rPr>
        <w:t xml:space="preserve">% of patients in either treatment </w:t>
      </w:r>
      <w:r>
        <w:rPr>
          <w:noProof/>
          <w:lang w:val="en-US"/>
        </w:rPr>
        <w:t xml:space="preserve">arm in </w:t>
      </w:r>
      <w:r w:rsidRPr="006149A5">
        <w:rPr>
          <w:noProof/>
          <w:lang w:val="en-US"/>
        </w:rPr>
        <w:t>the pivotal trial</w:t>
      </w:r>
      <w:r>
        <w:rPr>
          <w:noProof/>
          <w:lang w:val="en-US"/>
        </w:rPr>
        <w:t xml:space="preserve"> </w:t>
      </w:r>
      <w:r w:rsidRPr="00B462FB">
        <w:rPr>
          <w:rFonts w:cs="Arial"/>
          <w:szCs w:val="24"/>
          <w:lang w:val="en-US"/>
        </w:rPr>
        <w:t>SENSCIS</w:t>
      </w:r>
      <w:r w:rsidRPr="006149A5">
        <w:rPr>
          <w:noProof/>
          <w:lang w:val="en-US"/>
        </w:rPr>
        <w:t xml:space="preserve"> are summarised in Table </w:t>
      </w:r>
      <w:r>
        <w:rPr>
          <w:noProof/>
          <w:lang w:val="en-US"/>
        </w:rPr>
        <w:t>6.</w:t>
      </w:r>
    </w:p>
    <w:p w14:paraId="0BD27862" w14:textId="77777777" w:rsidR="003C612D" w:rsidRPr="00816D6E" w:rsidRDefault="003C612D" w:rsidP="003C612D">
      <w:pPr>
        <w:pStyle w:val="TextPI"/>
        <w:keepNext/>
        <w:keepLines/>
        <w:tabs>
          <w:tab w:val="left" w:pos="1134"/>
        </w:tabs>
        <w:ind w:left="1122" w:hanging="1122"/>
        <w:rPr>
          <w:noProof/>
          <w:lang w:val="en-GB"/>
        </w:rPr>
      </w:pPr>
      <w:r w:rsidRPr="004E11D0">
        <w:rPr>
          <w:b/>
          <w:sz w:val="20"/>
          <w:szCs w:val="20"/>
          <w:lang w:val="en-GB"/>
        </w:rPr>
        <w:lastRenderedPageBreak/>
        <w:t xml:space="preserve">Table </w:t>
      </w:r>
      <w:r>
        <w:rPr>
          <w:b/>
          <w:sz w:val="20"/>
          <w:szCs w:val="20"/>
          <w:lang w:val="en-GB"/>
        </w:rPr>
        <w:t>6:</w:t>
      </w:r>
      <w:r>
        <w:rPr>
          <w:b/>
          <w:sz w:val="20"/>
          <w:szCs w:val="20"/>
          <w:lang w:val="en-GB"/>
        </w:rPr>
        <w:tab/>
        <w:t>Adverse events occurring in at least 5% of patients in either treatment arm in SENSCIS – by SOC and preferred term – TS</w:t>
      </w:r>
    </w:p>
    <w:tbl>
      <w:tblPr>
        <w:tblStyle w:val="TableGrid"/>
        <w:tblW w:w="9214" w:type="dxa"/>
        <w:tblInd w:w="108" w:type="dxa"/>
        <w:tblLook w:val="04A0" w:firstRow="1" w:lastRow="0" w:firstColumn="1" w:lastColumn="0" w:noHBand="0" w:noVBand="1"/>
      </w:tblPr>
      <w:tblGrid>
        <w:gridCol w:w="4820"/>
        <w:gridCol w:w="1984"/>
        <w:gridCol w:w="2410"/>
      </w:tblGrid>
      <w:tr w:rsidR="003C612D" w14:paraId="7B9E6FBF" w14:textId="77777777" w:rsidTr="003809A8">
        <w:tc>
          <w:tcPr>
            <w:tcW w:w="4820" w:type="dxa"/>
          </w:tcPr>
          <w:p w14:paraId="2460F366" w14:textId="77777777" w:rsidR="003C612D" w:rsidRDefault="003C612D" w:rsidP="003809A8">
            <w:pPr>
              <w:pStyle w:val="TextPI"/>
              <w:keepNext/>
              <w:keepLines/>
              <w:tabs>
                <w:tab w:val="left" w:pos="1134"/>
              </w:tabs>
              <w:spacing w:before="0" w:after="0" w:line="240" w:lineRule="auto"/>
              <w:rPr>
                <w:b/>
                <w:sz w:val="20"/>
                <w:szCs w:val="20"/>
                <w:lang w:val="en-GB"/>
              </w:rPr>
            </w:pPr>
          </w:p>
        </w:tc>
        <w:tc>
          <w:tcPr>
            <w:tcW w:w="1984" w:type="dxa"/>
          </w:tcPr>
          <w:p w14:paraId="366668B2" w14:textId="77777777" w:rsidR="003C612D" w:rsidRDefault="003C612D" w:rsidP="003809A8">
            <w:pPr>
              <w:pStyle w:val="TextPI"/>
              <w:keepNext/>
              <w:keepLines/>
              <w:tabs>
                <w:tab w:val="left" w:pos="1134"/>
              </w:tabs>
              <w:spacing w:before="0" w:after="0" w:line="240" w:lineRule="auto"/>
              <w:jc w:val="center"/>
              <w:rPr>
                <w:b/>
                <w:sz w:val="20"/>
                <w:szCs w:val="20"/>
                <w:lang w:val="en-GB"/>
              </w:rPr>
            </w:pPr>
            <w:r>
              <w:rPr>
                <w:b/>
                <w:sz w:val="20"/>
                <w:szCs w:val="20"/>
                <w:lang w:val="en-GB"/>
              </w:rPr>
              <w:t>Placebo</w:t>
            </w:r>
          </w:p>
          <w:p w14:paraId="11CB49F0" w14:textId="77777777" w:rsidR="003C612D" w:rsidRDefault="003C612D" w:rsidP="003809A8">
            <w:pPr>
              <w:pStyle w:val="TextPI"/>
              <w:keepNext/>
              <w:keepLines/>
              <w:tabs>
                <w:tab w:val="left" w:pos="1134"/>
              </w:tabs>
              <w:spacing w:before="0" w:after="0" w:line="240" w:lineRule="auto"/>
              <w:jc w:val="center"/>
              <w:rPr>
                <w:b/>
                <w:sz w:val="20"/>
                <w:szCs w:val="20"/>
                <w:lang w:val="en-GB"/>
              </w:rPr>
            </w:pPr>
            <w:r>
              <w:rPr>
                <w:b/>
                <w:sz w:val="20"/>
                <w:szCs w:val="20"/>
                <w:lang w:val="en-GB"/>
              </w:rPr>
              <w:t>n (%)</w:t>
            </w:r>
          </w:p>
        </w:tc>
        <w:tc>
          <w:tcPr>
            <w:tcW w:w="2410" w:type="dxa"/>
          </w:tcPr>
          <w:p w14:paraId="3EE0246D" w14:textId="77777777" w:rsidR="003C612D" w:rsidRDefault="003C612D" w:rsidP="003809A8">
            <w:pPr>
              <w:pStyle w:val="TextPI"/>
              <w:keepNext/>
              <w:keepLines/>
              <w:tabs>
                <w:tab w:val="left" w:pos="1134"/>
              </w:tabs>
              <w:spacing w:before="0" w:after="0" w:line="240" w:lineRule="auto"/>
              <w:jc w:val="center"/>
              <w:rPr>
                <w:b/>
                <w:sz w:val="20"/>
                <w:szCs w:val="20"/>
                <w:lang w:val="en-GB"/>
              </w:rPr>
            </w:pPr>
            <w:proofErr w:type="spellStart"/>
            <w:r>
              <w:rPr>
                <w:b/>
                <w:sz w:val="20"/>
                <w:szCs w:val="20"/>
                <w:lang w:val="en-GB"/>
              </w:rPr>
              <w:t>Nintedanib</w:t>
            </w:r>
            <w:proofErr w:type="spellEnd"/>
            <w:r>
              <w:rPr>
                <w:b/>
                <w:sz w:val="20"/>
                <w:szCs w:val="20"/>
                <w:lang w:val="en-GB"/>
              </w:rPr>
              <w:t xml:space="preserve"> 150 mg twice daily</w:t>
            </w:r>
          </w:p>
          <w:p w14:paraId="37E231D4" w14:textId="77777777" w:rsidR="003C612D" w:rsidRDefault="003C612D" w:rsidP="003809A8">
            <w:pPr>
              <w:pStyle w:val="TextPI"/>
              <w:keepNext/>
              <w:keepLines/>
              <w:tabs>
                <w:tab w:val="left" w:pos="1134"/>
              </w:tabs>
              <w:spacing w:before="0" w:after="0" w:line="240" w:lineRule="auto"/>
              <w:jc w:val="center"/>
              <w:rPr>
                <w:b/>
                <w:sz w:val="20"/>
                <w:szCs w:val="20"/>
                <w:lang w:val="en-GB"/>
              </w:rPr>
            </w:pPr>
            <w:r>
              <w:rPr>
                <w:b/>
                <w:sz w:val="20"/>
                <w:szCs w:val="20"/>
                <w:lang w:val="en-GB"/>
              </w:rPr>
              <w:t>n (%)</w:t>
            </w:r>
          </w:p>
        </w:tc>
      </w:tr>
      <w:tr w:rsidR="003C612D" w14:paraId="70280C75" w14:textId="77777777" w:rsidTr="003809A8">
        <w:tc>
          <w:tcPr>
            <w:tcW w:w="4820" w:type="dxa"/>
          </w:tcPr>
          <w:p w14:paraId="0831FB82"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Patients</w:t>
            </w:r>
          </w:p>
        </w:tc>
        <w:tc>
          <w:tcPr>
            <w:tcW w:w="1984" w:type="dxa"/>
          </w:tcPr>
          <w:p w14:paraId="008A6D4B" w14:textId="77777777" w:rsidR="003C612D" w:rsidRPr="004F1936" w:rsidRDefault="003C612D" w:rsidP="003809A8">
            <w:pPr>
              <w:pStyle w:val="TextPI"/>
              <w:keepNext/>
              <w:keepLines/>
              <w:tabs>
                <w:tab w:val="left" w:pos="1134"/>
              </w:tabs>
              <w:spacing w:before="0" w:after="0" w:line="240" w:lineRule="auto"/>
              <w:jc w:val="center"/>
              <w:rPr>
                <w:b/>
                <w:sz w:val="20"/>
                <w:szCs w:val="20"/>
                <w:lang w:val="en-GB"/>
              </w:rPr>
            </w:pPr>
            <w:r>
              <w:rPr>
                <w:sz w:val="20"/>
                <w:szCs w:val="20"/>
                <w:lang w:eastAsia="en-AU" w:bidi="th-TH"/>
              </w:rPr>
              <w:t>288</w:t>
            </w:r>
            <w:r w:rsidRPr="004F1936">
              <w:rPr>
                <w:sz w:val="20"/>
                <w:szCs w:val="20"/>
                <w:lang w:eastAsia="en-AU" w:bidi="th-TH"/>
              </w:rPr>
              <w:t xml:space="preserve"> (100.0)</w:t>
            </w:r>
          </w:p>
        </w:tc>
        <w:tc>
          <w:tcPr>
            <w:tcW w:w="2410" w:type="dxa"/>
          </w:tcPr>
          <w:p w14:paraId="598F7929"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288</w:t>
            </w:r>
            <w:r w:rsidRPr="004F1936">
              <w:rPr>
                <w:sz w:val="20"/>
                <w:szCs w:val="20"/>
                <w:lang w:eastAsia="en-AU" w:bidi="th-TH"/>
              </w:rPr>
              <w:t xml:space="preserve"> (100.0)</w:t>
            </w:r>
          </w:p>
        </w:tc>
      </w:tr>
      <w:tr w:rsidR="003C612D" w14:paraId="2BBAE7DE" w14:textId="77777777" w:rsidTr="003809A8">
        <w:tc>
          <w:tcPr>
            <w:tcW w:w="4820" w:type="dxa"/>
          </w:tcPr>
          <w:p w14:paraId="4B72E5C1"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Patients with any AE</w:t>
            </w:r>
          </w:p>
        </w:tc>
        <w:tc>
          <w:tcPr>
            <w:tcW w:w="1984" w:type="dxa"/>
          </w:tcPr>
          <w:p w14:paraId="11E503B1" w14:textId="77777777" w:rsidR="003C612D" w:rsidRPr="004F1936" w:rsidRDefault="003C612D" w:rsidP="003809A8">
            <w:pPr>
              <w:pStyle w:val="TextPI"/>
              <w:keepNext/>
              <w:keepLines/>
              <w:tabs>
                <w:tab w:val="left" w:pos="1134"/>
              </w:tabs>
              <w:spacing w:before="0" w:after="0" w:line="240" w:lineRule="auto"/>
              <w:jc w:val="center"/>
              <w:rPr>
                <w:b/>
                <w:sz w:val="20"/>
                <w:szCs w:val="20"/>
                <w:lang w:val="en-GB"/>
              </w:rPr>
            </w:pPr>
            <w:r>
              <w:rPr>
                <w:sz w:val="20"/>
                <w:szCs w:val="20"/>
                <w:lang w:eastAsia="en-AU" w:bidi="th-TH"/>
              </w:rPr>
              <w:t>276</w:t>
            </w:r>
            <w:r w:rsidRPr="004F1936">
              <w:rPr>
                <w:sz w:val="20"/>
                <w:szCs w:val="20"/>
                <w:lang w:eastAsia="en-AU" w:bidi="th-TH"/>
              </w:rPr>
              <w:t xml:space="preserve"> (</w:t>
            </w:r>
            <w:r>
              <w:rPr>
                <w:sz w:val="20"/>
                <w:szCs w:val="20"/>
                <w:lang w:eastAsia="en-AU" w:bidi="th-TH"/>
              </w:rPr>
              <w:t>95.8</w:t>
            </w:r>
            <w:r w:rsidRPr="004F1936">
              <w:rPr>
                <w:sz w:val="20"/>
                <w:szCs w:val="20"/>
                <w:lang w:eastAsia="en-AU" w:bidi="th-TH"/>
              </w:rPr>
              <w:t>)</w:t>
            </w:r>
          </w:p>
        </w:tc>
        <w:tc>
          <w:tcPr>
            <w:tcW w:w="2410" w:type="dxa"/>
          </w:tcPr>
          <w:p w14:paraId="19CB6A54"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283</w:t>
            </w:r>
            <w:r w:rsidRPr="004F1936">
              <w:rPr>
                <w:sz w:val="20"/>
                <w:szCs w:val="20"/>
                <w:lang w:eastAsia="en-AU" w:bidi="th-TH"/>
              </w:rPr>
              <w:t xml:space="preserve"> (</w:t>
            </w:r>
            <w:r>
              <w:rPr>
                <w:sz w:val="20"/>
                <w:szCs w:val="20"/>
                <w:lang w:eastAsia="en-AU" w:bidi="th-TH"/>
              </w:rPr>
              <w:t>98.3</w:t>
            </w:r>
            <w:r w:rsidRPr="004F1936">
              <w:rPr>
                <w:sz w:val="20"/>
                <w:szCs w:val="20"/>
                <w:lang w:eastAsia="en-AU" w:bidi="th-TH"/>
              </w:rPr>
              <w:t>)</w:t>
            </w:r>
          </w:p>
        </w:tc>
      </w:tr>
      <w:tr w:rsidR="003C612D" w14:paraId="72CACD8E" w14:textId="77777777" w:rsidTr="003809A8">
        <w:tc>
          <w:tcPr>
            <w:tcW w:w="4820" w:type="dxa"/>
          </w:tcPr>
          <w:p w14:paraId="3C5DF0D6"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Gastrointestinal disorders</w:t>
            </w:r>
          </w:p>
          <w:p w14:paraId="7AED1CA0"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Diarrhoea</w:t>
            </w:r>
          </w:p>
          <w:p w14:paraId="757032FD"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Nausea</w:t>
            </w:r>
          </w:p>
          <w:p w14:paraId="6C610054"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Vomiting</w:t>
            </w:r>
          </w:p>
          <w:p w14:paraId="6056906C"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Abdominal pain</w:t>
            </w:r>
          </w:p>
          <w:p w14:paraId="73EF6D73"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Abdominal pain upper</w:t>
            </w:r>
          </w:p>
          <w:p w14:paraId="4346DC66"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w:t>
            </w:r>
            <w:proofErr w:type="spellStart"/>
            <w:r>
              <w:rPr>
                <w:bCs/>
                <w:sz w:val="20"/>
                <w:szCs w:val="20"/>
                <w:lang w:val="en-GB"/>
              </w:rPr>
              <w:t>Gastrooesophageal</w:t>
            </w:r>
            <w:proofErr w:type="spellEnd"/>
            <w:r>
              <w:rPr>
                <w:bCs/>
                <w:sz w:val="20"/>
                <w:szCs w:val="20"/>
                <w:lang w:val="en-GB"/>
              </w:rPr>
              <w:t xml:space="preserve"> reflux disease</w:t>
            </w:r>
          </w:p>
        </w:tc>
        <w:tc>
          <w:tcPr>
            <w:tcW w:w="1984" w:type="dxa"/>
          </w:tcPr>
          <w:p w14:paraId="10820635"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16</w:t>
            </w:r>
            <w:r>
              <w:rPr>
                <w:sz w:val="20"/>
                <w:szCs w:val="20"/>
                <w:lang w:eastAsia="en-AU" w:bidi="th-TH"/>
              </w:rPr>
              <w:t>4</w:t>
            </w:r>
            <w:r w:rsidRPr="004F1936">
              <w:rPr>
                <w:sz w:val="20"/>
                <w:szCs w:val="20"/>
                <w:lang w:eastAsia="en-AU" w:bidi="th-TH"/>
              </w:rPr>
              <w:t xml:space="preserve"> (</w:t>
            </w:r>
            <w:r>
              <w:rPr>
                <w:sz w:val="20"/>
                <w:szCs w:val="20"/>
                <w:lang w:eastAsia="en-AU" w:bidi="th-TH"/>
              </w:rPr>
              <w:t>56.9</w:t>
            </w:r>
            <w:r w:rsidRPr="004F1936">
              <w:rPr>
                <w:sz w:val="20"/>
                <w:szCs w:val="20"/>
                <w:lang w:eastAsia="en-AU" w:bidi="th-TH"/>
              </w:rPr>
              <w:t>)</w:t>
            </w:r>
          </w:p>
          <w:p w14:paraId="6734C7DD"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91</w:t>
            </w:r>
            <w:r w:rsidRPr="004F1936">
              <w:rPr>
                <w:sz w:val="20"/>
                <w:szCs w:val="20"/>
                <w:lang w:eastAsia="en-AU" w:bidi="th-TH"/>
              </w:rPr>
              <w:t xml:space="preserve"> (</w:t>
            </w:r>
            <w:r>
              <w:rPr>
                <w:sz w:val="20"/>
                <w:szCs w:val="20"/>
                <w:lang w:eastAsia="en-AU" w:bidi="th-TH"/>
              </w:rPr>
              <w:t>31.6</w:t>
            </w:r>
            <w:r w:rsidRPr="004F1936">
              <w:rPr>
                <w:sz w:val="20"/>
                <w:szCs w:val="20"/>
                <w:lang w:eastAsia="en-AU" w:bidi="th-TH"/>
              </w:rPr>
              <w:t>)</w:t>
            </w:r>
          </w:p>
          <w:p w14:paraId="6EE4545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39</w:t>
            </w:r>
            <w:r w:rsidRPr="004F1936">
              <w:rPr>
                <w:sz w:val="20"/>
                <w:szCs w:val="20"/>
                <w:lang w:eastAsia="en-AU" w:bidi="th-TH"/>
              </w:rPr>
              <w:t xml:space="preserve"> (</w:t>
            </w:r>
            <w:r>
              <w:rPr>
                <w:sz w:val="20"/>
                <w:szCs w:val="20"/>
                <w:lang w:eastAsia="en-AU" w:bidi="th-TH"/>
              </w:rPr>
              <w:t>13.5</w:t>
            </w:r>
            <w:r w:rsidRPr="004F1936">
              <w:rPr>
                <w:sz w:val="20"/>
                <w:szCs w:val="20"/>
                <w:lang w:eastAsia="en-AU" w:bidi="th-TH"/>
              </w:rPr>
              <w:t>)</w:t>
            </w:r>
          </w:p>
          <w:p w14:paraId="4885168D"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30</w:t>
            </w:r>
            <w:r w:rsidRPr="004F1936">
              <w:rPr>
                <w:sz w:val="20"/>
                <w:szCs w:val="20"/>
                <w:lang w:eastAsia="en-AU" w:bidi="th-TH"/>
              </w:rPr>
              <w:t xml:space="preserve"> (</w:t>
            </w:r>
            <w:r>
              <w:rPr>
                <w:sz w:val="20"/>
                <w:szCs w:val="20"/>
                <w:lang w:eastAsia="en-AU" w:bidi="th-TH"/>
              </w:rPr>
              <w:t>10.4</w:t>
            </w:r>
            <w:r w:rsidRPr="004F1936">
              <w:rPr>
                <w:sz w:val="20"/>
                <w:szCs w:val="20"/>
                <w:lang w:eastAsia="en-AU" w:bidi="th-TH"/>
              </w:rPr>
              <w:t>)</w:t>
            </w:r>
          </w:p>
          <w:p w14:paraId="34BF03DA"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21</w:t>
            </w:r>
            <w:r w:rsidRPr="004F1936">
              <w:rPr>
                <w:sz w:val="20"/>
                <w:szCs w:val="20"/>
                <w:lang w:eastAsia="en-AU" w:bidi="th-TH"/>
              </w:rPr>
              <w:t xml:space="preserve"> (</w:t>
            </w:r>
            <w:r>
              <w:rPr>
                <w:sz w:val="20"/>
                <w:szCs w:val="20"/>
                <w:lang w:eastAsia="en-AU" w:bidi="th-TH"/>
              </w:rPr>
              <w:t>7.3</w:t>
            </w:r>
            <w:r w:rsidRPr="004F1936">
              <w:rPr>
                <w:sz w:val="20"/>
                <w:szCs w:val="20"/>
                <w:lang w:eastAsia="en-AU" w:bidi="th-TH"/>
              </w:rPr>
              <w:t>)</w:t>
            </w:r>
          </w:p>
          <w:p w14:paraId="1F0399DD"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w:t>
            </w:r>
            <w:r>
              <w:rPr>
                <w:sz w:val="20"/>
                <w:szCs w:val="20"/>
                <w:lang w:eastAsia="en-AU" w:bidi="th-TH"/>
              </w:rPr>
              <w:t>3</w:t>
            </w:r>
            <w:r w:rsidRPr="004F1936">
              <w:rPr>
                <w:sz w:val="20"/>
                <w:szCs w:val="20"/>
                <w:lang w:eastAsia="en-AU" w:bidi="th-TH"/>
              </w:rPr>
              <w:t xml:space="preserve"> (</w:t>
            </w:r>
            <w:r>
              <w:rPr>
                <w:sz w:val="20"/>
                <w:szCs w:val="20"/>
                <w:lang w:eastAsia="en-AU" w:bidi="th-TH"/>
              </w:rPr>
              <w:t>4</w:t>
            </w:r>
            <w:r w:rsidRPr="004F1936">
              <w:rPr>
                <w:sz w:val="20"/>
                <w:szCs w:val="20"/>
                <w:lang w:eastAsia="en-AU" w:bidi="th-TH"/>
              </w:rPr>
              <w:t>.5)</w:t>
            </w:r>
          </w:p>
          <w:p w14:paraId="68327AB1" w14:textId="77777777" w:rsidR="003C612D" w:rsidRPr="004F1936" w:rsidRDefault="003C612D" w:rsidP="003809A8">
            <w:pPr>
              <w:pStyle w:val="TextPI"/>
              <w:keepNext/>
              <w:keepLines/>
              <w:tabs>
                <w:tab w:val="left" w:pos="1134"/>
              </w:tabs>
              <w:spacing w:before="0" w:after="0" w:line="240" w:lineRule="auto"/>
              <w:jc w:val="center"/>
              <w:rPr>
                <w:b/>
                <w:sz w:val="20"/>
                <w:szCs w:val="20"/>
                <w:lang w:val="en-GB"/>
              </w:rPr>
            </w:pPr>
            <w:r>
              <w:rPr>
                <w:sz w:val="20"/>
                <w:szCs w:val="20"/>
                <w:lang w:eastAsia="en-AU" w:bidi="th-TH"/>
              </w:rPr>
              <w:t>22</w:t>
            </w:r>
            <w:r w:rsidRPr="004F1936">
              <w:rPr>
                <w:sz w:val="20"/>
                <w:szCs w:val="20"/>
                <w:lang w:eastAsia="en-AU" w:bidi="th-TH"/>
              </w:rPr>
              <w:t xml:space="preserve"> (</w:t>
            </w:r>
            <w:r>
              <w:rPr>
                <w:sz w:val="20"/>
                <w:szCs w:val="20"/>
                <w:lang w:eastAsia="en-AU" w:bidi="th-TH"/>
              </w:rPr>
              <w:t>7.6</w:t>
            </w:r>
            <w:r w:rsidRPr="004F1936">
              <w:rPr>
                <w:sz w:val="20"/>
                <w:szCs w:val="20"/>
                <w:lang w:eastAsia="en-AU" w:bidi="th-TH"/>
              </w:rPr>
              <w:t>)</w:t>
            </w:r>
          </w:p>
        </w:tc>
        <w:tc>
          <w:tcPr>
            <w:tcW w:w="2410" w:type="dxa"/>
          </w:tcPr>
          <w:p w14:paraId="7399B61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254</w:t>
            </w:r>
            <w:r w:rsidRPr="004F1936">
              <w:rPr>
                <w:sz w:val="20"/>
                <w:szCs w:val="20"/>
                <w:lang w:eastAsia="en-AU" w:bidi="th-TH"/>
              </w:rPr>
              <w:t xml:space="preserve"> (</w:t>
            </w:r>
            <w:r>
              <w:rPr>
                <w:sz w:val="20"/>
                <w:szCs w:val="20"/>
                <w:lang w:eastAsia="en-AU" w:bidi="th-TH"/>
              </w:rPr>
              <w:t>88.2</w:t>
            </w:r>
            <w:r w:rsidRPr="004F1936">
              <w:rPr>
                <w:sz w:val="20"/>
                <w:szCs w:val="20"/>
                <w:lang w:eastAsia="en-AU" w:bidi="th-TH"/>
              </w:rPr>
              <w:t>)</w:t>
            </w:r>
          </w:p>
          <w:p w14:paraId="6AEC39E5"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218</w:t>
            </w:r>
            <w:r w:rsidRPr="004F1936">
              <w:rPr>
                <w:sz w:val="20"/>
                <w:szCs w:val="20"/>
                <w:lang w:eastAsia="en-AU" w:bidi="th-TH"/>
              </w:rPr>
              <w:t xml:space="preserve"> (</w:t>
            </w:r>
            <w:r>
              <w:rPr>
                <w:sz w:val="20"/>
                <w:szCs w:val="20"/>
                <w:lang w:eastAsia="en-AU" w:bidi="th-TH"/>
              </w:rPr>
              <w:t>75.7</w:t>
            </w:r>
            <w:r w:rsidRPr="004F1936">
              <w:rPr>
                <w:sz w:val="20"/>
                <w:szCs w:val="20"/>
                <w:lang w:eastAsia="en-AU" w:bidi="th-TH"/>
              </w:rPr>
              <w:t>)</w:t>
            </w:r>
          </w:p>
          <w:p w14:paraId="0375EB6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91</w:t>
            </w:r>
            <w:r w:rsidRPr="004F1936">
              <w:rPr>
                <w:sz w:val="20"/>
                <w:szCs w:val="20"/>
                <w:lang w:eastAsia="en-AU" w:bidi="th-TH"/>
              </w:rPr>
              <w:t xml:space="preserve"> (</w:t>
            </w:r>
            <w:r>
              <w:rPr>
                <w:sz w:val="20"/>
                <w:szCs w:val="20"/>
                <w:lang w:eastAsia="en-AU" w:bidi="th-TH"/>
              </w:rPr>
              <w:t>31.6</w:t>
            </w:r>
            <w:r w:rsidRPr="004F1936">
              <w:rPr>
                <w:sz w:val="20"/>
                <w:szCs w:val="20"/>
                <w:lang w:eastAsia="en-AU" w:bidi="th-TH"/>
              </w:rPr>
              <w:t>)</w:t>
            </w:r>
          </w:p>
          <w:p w14:paraId="5DD550FE"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7</w:t>
            </w:r>
            <w:r>
              <w:rPr>
                <w:sz w:val="20"/>
                <w:szCs w:val="20"/>
                <w:lang w:eastAsia="en-AU" w:bidi="th-TH"/>
              </w:rPr>
              <w:t>1</w:t>
            </w:r>
            <w:r w:rsidRPr="004F1936">
              <w:rPr>
                <w:sz w:val="20"/>
                <w:szCs w:val="20"/>
                <w:lang w:eastAsia="en-AU" w:bidi="th-TH"/>
              </w:rPr>
              <w:t xml:space="preserve"> (</w:t>
            </w:r>
            <w:r>
              <w:rPr>
                <w:sz w:val="20"/>
                <w:szCs w:val="20"/>
                <w:lang w:eastAsia="en-AU" w:bidi="th-TH"/>
              </w:rPr>
              <w:t>24.7</w:t>
            </w:r>
            <w:r w:rsidRPr="004F1936">
              <w:rPr>
                <w:sz w:val="20"/>
                <w:szCs w:val="20"/>
                <w:lang w:eastAsia="en-AU" w:bidi="th-TH"/>
              </w:rPr>
              <w:t>)</w:t>
            </w:r>
          </w:p>
          <w:p w14:paraId="5B911A68"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33</w:t>
            </w:r>
            <w:r w:rsidRPr="004F1936">
              <w:rPr>
                <w:sz w:val="20"/>
                <w:szCs w:val="20"/>
                <w:lang w:eastAsia="en-AU" w:bidi="th-TH"/>
              </w:rPr>
              <w:t xml:space="preserve"> (</w:t>
            </w:r>
            <w:r>
              <w:rPr>
                <w:sz w:val="20"/>
                <w:szCs w:val="20"/>
                <w:lang w:eastAsia="en-AU" w:bidi="th-TH"/>
              </w:rPr>
              <w:t>11.5</w:t>
            </w:r>
            <w:r w:rsidRPr="004F1936">
              <w:rPr>
                <w:sz w:val="20"/>
                <w:szCs w:val="20"/>
                <w:lang w:eastAsia="en-AU" w:bidi="th-TH"/>
              </w:rPr>
              <w:t>)</w:t>
            </w:r>
          </w:p>
          <w:p w14:paraId="68AEE477"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20</w:t>
            </w:r>
            <w:r w:rsidRPr="004F1936">
              <w:rPr>
                <w:sz w:val="20"/>
                <w:szCs w:val="20"/>
                <w:lang w:eastAsia="en-AU" w:bidi="th-TH"/>
              </w:rPr>
              <w:t xml:space="preserve"> (6.</w:t>
            </w:r>
            <w:r>
              <w:rPr>
                <w:sz w:val="20"/>
                <w:szCs w:val="20"/>
                <w:lang w:eastAsia="en-AU" w:bidi="th-TH"/>
              </w:rPr>
              <w:t>9</w:t>
            </w:r>
            <w:r w:rsidRPr="004F1936">
              <w:rPr>
                <w:sz w:val="20"/>
                <w:szCs w:val="20"/>
                <w:lang w:eastAsia="en-AU" w:bidi="th-TH"/>
              </w:rPr>
              <w:t>)</w:t>
            </w:r>
          </w:p>
          <w:p w14:paraId="187F9D86"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12</w:t>
            </w:r>
            <w:r w:rsidRPr="004F1936">
              <w:rPr>
                <w:sz w:val="20"/>
                <w:szCs w:val="20"/>
                <w:lang w:eastAsia="en-AU" w:bidi="th-TH"/>
              </w:rPr>
              <w:t xml:space="preserve"> (</w:t>
            </w:r>
            <w:r>
              <w:rPr>
                <w:sz w:val="20"/>
                <w:szCs w:val="20"/>
                <w:lang w:eastAsia="en-AU" w:bidi="th-TH"/>
              </w:rPr>
              <w:t>4.2</w:t>
            </w:r>
            <w:r w:rsidRPr="004F1936">
              <w:rPr>
                <w:sz w:val="20"/>
                <w:szCs w:val="20"/>
                <w:lang w:eastAsia="en-AU" w:bidi="th-TH"/>
              </w:rPr>
              <w:t>)</w:t>
            </w:r>
          </w:p>
        </w:tc>
      </w:tr>
      <w:tr w:rsidR="003C612D" w14:paraId="08A0A163" w14:textId="77777777" w:rsidTr="003809A8">
        <w:tc>
          <w:tcPr>
            <w:tcW w:w="4820" w:type="dxa"/>
          </w:tcPr>
          <w:p w14:paraId="693CC369"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Infections and infestations</w:t>
            </w:r>
          </w:p>
          <w:p w14:paraId="5B2172AD"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Nasopharyngitis</w:t>
            </w:r>
          </w:p>
          <w:p w14:paraId="2D394764" w14:textId="77777777" w:rsidR="003C612D"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Upper respiratory tract infection</w:t>
            </w:r>
          </w:p>
          <w:p w14:paraId="09749A6D"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w:t>
            </w:r>
            <w:r>
              <w:rPr>
                <w:bCs/>
                <w:sz w:val="20"/>
                <w:szCs w:val="20"/>
                <w:lang w:val="en-GB"/>
              </w:rPr>
              <w:t xml:space="preserve">  </w:t>
            </w:r>
            <w:r w:rsidRPr="002112C9">
              <w:rPr>
                <w:bCs/>
                <w:sz w:val="20"/>
                <w:szCs w:val="20"/>
                <w:lang w:val="en-GB"/>
              </w:rPr>
              <w:t>Urinary tract infection</w:t>
            </w:r>
          </w:p>
          <w:p w14:paraId="59550BEE"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Bronchitis</w:t>
            </w:r>
          </w:p>
          <w:p w14:paraId="2EB79C7A" w14:textId="77777777" w:rsidR="003C612D"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w:t>
            </w:r>
            <w:r>
              <w:rPr>
                <w:bCs/>
                <w:sz w:val="20"/>
                <w:szCs w:val="20"/>
                <w:lang w:val="en-GB"/>
              </w:rPr>
              <w:t>Influenza</w:t>
            </w:r>
          </w:p>
          <w:p w14:paraId="54FAC731"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Pr>
                <w:bCs/>
                <w:sz w:val="20"/>
                <w:szCs w:val="20"/>
                <w:lang w:val="en-GB"/>
              </w:rPr>
              <w:t xml:space="preserve">   </w:t>
            </w:r>
            <w:r w:rsidRPr="002112C9">
              <w:rPr>
                <w:bCs/>
                <w:sz w:val="20"/>
                <w:szCs w:val="20"/>
                <w:lang w:val="en-GB"/>
              </w:rPr>
              <w:t>Respiratory tract infection</w:t>
            </w:r>
          </w:p>
        </w:tc>
        <w:tc>
          <w:tcPr>
            <w:tcW w:w="1984" w:type="dxa"/>
          </w:tcPr>
          <w:p w14:paraId="33B87898"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183</w:t>
            </w:r>
            <w:r w:rsidRPr="004F1936">
              <w:rPr>
                <w:sz w:val="20"/>
                <w:szCs w:val="20"/>
                <w:lang w:eastAsia="en-AU" w:bidi="th-TH"/>
              </w:rPr>
              <w:t xml:space="preserve"> (</w:t>
            </w:r>
            <w:r>
              <w:rPr>
                <w:sz w:val="20"/>
                <w:szCs w:val="20"/>
                <w:lang w:eastAsia="en-AU" w:bidi="th-TH"/>
              </w:rPr>
              <w:t>63.5</w:t>
            </w:r>
            <w:r w:rsidRPr="004F1936">
              <w:rPr>
                <w:sz w:val="20"/>
                <w:szCs w:val="20"/>
                <w:lang w:eastAsia="en-AU" w:bidi="th-TH"/>
              </w:rPr>
              <w:t>)</w:t>
            </w:r>
          </w:p>
          <w:p w14:paraId="46F7383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49</w:t>
            </w:r>
            <w:r w:rsidRPr="004F1936">
              <w:rPr>
                <w:sz w:val="20"/>
                <w:szCs w:val="20"/>
                <w:lang w:eastAsia="en-AU" w:bidi="th-TH"/>
              </w:rPr>
              <w:t xml:space="preserve"> (</w:t>
            </w:r>
            <w:r>
              <w:rPr>
                <w:sz w:val="20"/>
                <w:szCs w:val="20"/>
                <w:lang w:eastAsia="en-AU" w:bidi="th-TH"/>
              </w:rPr>
              <w:t>17.0</w:t>
            </w:r>
            <w:r w:rsidRPr="004F1936">
              <w:rPr>
                <w:sz w:val="20"/>
                <w:szCs w:val="20"/>
                <w:lang w:eastAsia="en-AU" w:bidi="th-TH"/>
              </w:rPr>
              <w:t>)</w:t>
            </w:r>
          </w:p>
          <w:p w14:paraId="1535278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35</w:t>
            </w:r>
            <w:r w:rsidRPr="004F1936">
              <w:rPr>
                <w:sz w:val="20"/>
                <w:szCs w:val="20"/>
                <w:lang w:eastAsia="en-AU" w:bidi="th-TH"/>
              </w:rPr>
              <w:t xml:space="preserve"> (</w:t>
            </w:r>
            <w:r>
              <w:rPr>
                <w:sz w:val="20"/>
                <w:szCs w:val="20"/>
                <w:lang w:eastAsia="en-AU" w:bidi="th-TH"/>
              </w:rPr>
              <w:t>12.2</w:t>
            </w:r>
            <w:r w:rsidRPr="004F1936">
              <w:rPr>
                <w:sz w:val="20"/>
                <w:szCs w:val="20"/>
                <w:lang w:eastAsia="en-AU" w:bidi="th-TH"/>
              </w:rPr>
              <w:t>)</w:t>
            </w:r>
          </w:p>
          <w:p w14:paraId="333ADFD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23</w:t>
            </w:r>
            <w:r w:rsidRPr="004F1936">
              <w:rPr>
                <w:sz w:val="20"/>
                <w:szCs w:val="20"/>
                <w:lang w:eastAsia="en-AU" w:bidi="th-TH"/>
              </w:rPr>
              <w:t xml:space="preserve"> (</w:t>
            </w:r>
            <w:r>
              <w:rPr>
                <w:sz w:val="20"/>
                <w:szCs w:val="20"/>
                <w:lang w:eastAsia="en-AU" w:bidi="th-TH"/>
              </w:rPr>
              <w:t>8.0</w:t>
            </w:r>
            <w:r w:rsidRPr="004F1936">
              <w:rPr>
                <w:sz w:val="20"/>
                <w:szCs w:val="20"/>
                <w:lang w:eastAsia="en-AU" w:bidi="th-TH"/>
              </w:rPr>
              <w:t>)</w:t>
            </w:r>
          </w:p>
          <w:p w14:paraId="74AA9EA9"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24 (</w:t>
            </w:r>
            <w:r>
              <w:rPr>
                <w:sz w:val="20"/>
                <w:szCs w:val="20"/>
                <w:lang w:eastAsia="en-AU" w:bidi="th-TH"/>
              </w:rPr>
              <w:t>8.3</w:t>
            </w:r>
            <w:r w:rsidRPr="004F1936">
              <w:rPr>
                <w:sz w:val="20"/>
                <w:szCs w:val="20"/>
                <w:lang w:eastAsia="en-AU" w:bidi="th-TH"/>
              </w:rPr>
              <w:t>)</w:t>
            </w:r>
          </w:p>
          <w:p w14:paraId="5095ABE2"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15 (5.2)</w:t>
            </w:r>
          </w:p>
          <w:p w14:paraId="18EFEBE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15 (5.2)</w:t>
            </w:r>
          </w:p>
        </w:tc>
        <w:tc>
          <w:tcPr>
            <w:tcW w:w="2410" w:type="dxa"/>
          </w:tcPr>
          <w:p w14:paraId="473A8903"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180</w:t>
            </w:r>
            <w:r w:rsidRPr="004F1936">
              <w:rPr>
                <w:sz w:val="20"/>
                <w:szCs w:val="20"/>
                <w:lang w:eastAsia="en-AU" w:bidi="th-TH"/>
              </w:rPr>
              <w:t xml:space="preserve"> (</w:t>
            </w:r>
            <w:r>
              <w:rPr>
                <w:sz w:val="20"/>
                <w:szCs w:val="20"/>
                <w:lang w:eastAsia="en-AU" w:bidi="th-TH"/>
              </w:rPr>
              <w:t>62.5</w:t>
            </w:r>
            <w:r w:rsidRPr="004F1936">
              <w:rPr>
                <w:sz w:val="20"/>
                <w:szCs w:val="20"/>
                <w:lang w:eastAsia="en-AU" w:bidi="th-TH"/>
              </w:rPr>
              <w:t>)</w:t>
            </w:r>
          </w:p>
          <w:p w14:paraId="2BA70E7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36</w:t>
            </w:r>
            <w:r w:rsidRPr="004F1936">
              <w:rPr>
                <w:sz w:val="20"/>
                <w:szCs w:val="20"/>
                <w:lang w:eastAsia="en-AU" w:bidi="th-TH"/>
              </w:rPr>
              <w:t xml:space="preserve"> (</w:t>
            </w:r>
            <w:r>
              <w:rPr>
                <w:sz w:val="20"/>
                <w:szCs w:val="20"/>
                <w:lang w:eastAsia="en-AU" w:bidi="th-TH"/>
              </w:rPr>
              <w:t>12.5</w:t>
            </w:r>
            <w:r w:rsidRPr="004F1936">
              <w:rPr>
                <w:sz w:val="20"/>
                <w:szCs w:val="20"/>
                <w:lang w:eastAsia="en-AU" w:bidi="th-TH"/>
              </w:rPr>
              <w:t>)</w:t>
            </w:r>
          </w:p>
          <w:p w14:paraId="42E36F15"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33</w:t>
            </w:r>
            <w:r w:rsidRPr="004F1936">
              <w:rPr>
                <w:sz w:val="20"/>
                <w:szCs w:val="20"/>
                <w:lang w:eastAsia="en-AU" w:bidi="th-TH"/>
              </w:rPr>
              <w:t xml:space="preserve"> (1</w:t>
            </w:r>
            <w:r>
              <w:rPr>
                <w:sz w:val="20"/>
                <w:szCs w:val="20"/>
                <w:lang w:eastAsia="en-AU" w:bidi="th-TH"/>
              </w:rPr>
              <w:t>1</w:t>
            </w:r>
            <w:r w:rsidRPr="004F1936">
              <w:rPr>
                <w:sz w:val="20"/>
                <w:szCs w:val="20"/>
                <w:lang w:eastAsia="en-AU" w:bidi="th-TH"/>
              </w:rPr>
              <w:t>.5)</w:t>
            </w:r>
          </w:p>
          <w:p w14:paraId="2A294FC6"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24</w:t>
            </w:r>
            <w:r w:rsidRPr="004F1936">
              <w:rPr>
                <w:sz w:val="20"/>
                <w:szCs w:val="20"/>
                <w:lang w:eastAsia="en-AU" w:bidi="th-TH"/>
              </w:rPr>
              <w:t xml:space="preserve"> (</w:t>
            </w:r>
            <w:r>
              <w:rPr>
                <w:sz w:val="20"/>
                <w:szCs w:val="20"/>
                <w:lang w:eastAsia="en-AU" w:bidi="th-TH"/>
              </w:rPr>
              <w:t>8.3</w:t>
            </w:r>
            <w:r w:rsidRPr="004F1936">
              <w:rPr>
                <w:sz w:val="20"/>
                <w:szCs w:val="20"/>
                <w:lang w:eastAsia="en-AU" w:bidi="th-TH"/>
              </w:rPr>
              <w:t>)</w:t>
            </w:r>
          </w:p>
          <w:p w14:paraId="0DE61BED"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16 (5.6</w:t>
            </w:r>
            <w:r w:rsidRPr="004F1936">
              <w:rPr>
                <w:sz w:val="20"/>
                <w:szCs w:val="20"/>
                <w:lang w:eastAsia="en-AU" w:bidi="th-TH"/>
              </w:rPr>
              <w:t>)</w:t>
            </w:r>
          </w:p>
          <w:p w14:paraId="4FCA0107"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12 (4.2)</w:t>
            </w:r>
          </w:p>
          <w:p w14:paraId="139650A6"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5 (1.7)</w:t>
            </w:r>
          </w:p>
        </w:tc>
      </w:tr>
      <w:tr w:rsidR="003C612D" w14:paraId="7AB87293" w14:textId="77777777" w:rsidTr="003809A8">
        <w:tc>
          <w:tcPr>
            <w:tcW w:w="4820" w:type="dxa"/>
          </w:tcPr>
          <w:p w14:paraId="155C0578"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Respiratory, thoracic and mediastinal disorders</w:t>
            </w:r>
          </w:p>
          <w:p w14:paraId="064A9068"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Cough</w:t>
            </w:r>
          </w:p>
          <w:p w14:paraId="7592A804"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Dyspnoea</w:t>
            </w:r>
          </w:p>
        </w:tc>
        <w:tc>
          <w:tcPr>
            <w:tcW w:w="1984" w:type="dxa"/>
          </w:tcPr>
          <w:p w14:paraId="1644912D"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111</w:t>
            </w:r>
            <w:r w:rsidRPr="004F1936">
              <w:rPr>
                <w:sz w:val="20"/>
                <w:szCs w:val="20"/>
                <w:lang w:eastAsia="en-AU" w:bidi="th-TH"/>
              </w:rPr>
              <w:t xml:space="preserve"> (</w:t>
            </w:r>
            <w:r>
              <w:rPr>
                <w:sz w:val="20"/>
                <w:szCs w:val="20"/>
                <w:lang w:eastAsia="en-AU" w:bidi="th-TH"/>
              </w:rPr>
              <w:t>38.5</w:t>
            </w:r>
            <w:r w:rsidRPr="004F1936">
              <w:rPr>
                <w:sz w:val="20"/>
                <w:szCs w:val="20"/>
                <w:lang w:eastAsia="en-AU" w:bidi="th-TH"/>
              </w:rPr>
              <w:t>)</w:t>
            </w:r>
          </w:p>
          <w:p w14:paraId="5F82183A"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52</w:t>
            </w:r>
            <w:r w:rsidRPr="004F1936">
              <w:rPr>
                <w:sz w:val="20"/>
                <w:szCs w:val="20"/>
                <w:lang w:eastAsia="en-AU" w:bidi="th-TH"/>
              </w:rPr>
              <w:t xml:space="preserve"> (</w:t>
            </w:r>
            <w:r>
              <w:rPr>
                <w:sz w:val="20"/>
                <w:szCs w:val="20"/>
                <w:lang w:eastAsia="en-AU" w:bidi="th-TH"/>
              </w:rPr>
              <w:t>18.1</w:t>
            </w:r>
            <w:r w:rsidRPr="004F1936">
              <w:rPr>
                <w:sz w:val="20"/>
                <w:szCs w:val="20"/>
                <w:lang w:eastAsia="en-AU" w:bidi="th-TH"/>
              </w:rPr>
              <w:t>)</w:t>
            </w:r>
          </w:p>
          <w:p w14:paraId="1CE861B5"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25</w:t>
            </w:r>
            <w:r w:rsidRPr="004F1936">
              <w:rPr>
                <w:sz w:val="20"/>
                <w:szCs w:val="20"/>
                <w:lang w:eastAsia="en-AU" w:bidi="th-TH"/>
              </w:rPr>
              <w:t xml:space="preserve"> (</w:t>
            </w:r>
            <w:r>
              <w:rPr>
                <w:sz w:val="20"/>
                <w:szCs w:val="20"/>
                <w:lang w:eastAsia="en-AU" w:bidi="th-TH"/>
              </w:rPr>
              <w:t>8.7</w:t>
            </w:r>
            <w:r w:rsidRPr="004F1936">
              <w:rPr>
                <w:sz w:val="20"/>
                <w:szCs w:val="20"/>
                <w:lang w:eastAsia="en-AU" w:bidi="th-TH"/>
              </w:rPr>
              <w:t>)</w:t>
            </w:r>
          </w:p>
        </w:tc>
        <w:tc>
          <w:tcPr>
            <w:tcW w:w="2410" w:type="dxa"/>
          </w:tcPr>
          <w:p w14:paraId="19F9212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101</w:t>
            </w:r>
            <w:r w:rsidRPr="004F1936">
              <w:rPr>
                <w:sz w:val="20"/>
                <w:szCs w:val="20"/>
                <w:lang w:eastAsia="en-AU" w:bidi="th-TH"/>
              </w:rPr>
              <w:t xml:space="preserve"> (</w:t>
            </w:r>
            <w:r>
              <w:rPr>
                <w:sz w:val="20"/>
                <w:szCs w:val="20"/>
                <w:lang w:eastAsia="en-AU" w:bidi="th-TH"/>
              </w:rPr>
              <w:t>35.1</w:t>
            </w:r>
            <w:r w:rsidRPr="004F1936">
              <w:rPr>
                <w:sz w:val="20"/>
                <w:szCs w:val="20"/>
                <w:lang w:eastAsia="en-AU" w:bidi="th-TH"/>
              </w:rPr>
              <w:t>)</w:t>
            </w:r>
          </w:p>
          <w:p w14:paraId="057A1BE2"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34</w:t>
            </w:r>
            <w:r w:rsidRPr="004F1936">
              <w:rPr>
                <w:sz w:val="20"/>
                <w:szCs w:val="20"/>
                <w:lang w:eastAsia="en-AU" w:bidi="th-TH"/>
              </w:rPr>
              <w:t xml:space="preserve"> (</w:t>
            </w:r>
            <w:r>
              <w:rPr>
                <w:sz w:val="20"/>
                <w:szCs w:val="20"/>
                <w:lang w:eastAsia="en-AU" w:bidi="th-TH"/>
              </w:rPr>
              <w:t>11.8</w:t>
            </w:r>
            <w:r w:rsidRPr="004F1936">
              <w:rPr>
                <w:sz w:val="20"/>
                <w:szCs w:val="20"/>
                <w:lang w:eastAsia="en-AU" w:bidi="th-TH"/>
              </w:rPr>
              <w:t>)</w:t>
            </w:r>
          </w:p>
          <w:p w14:paraId="388C557D"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21</w:t>
            </w:r>
            <w:r w:rsidRPr="004F1936">
              <w:rPr>
                <w:sz w:val="20"/>
                <w:szCs w:val="20"/>
                <w:lang w:eastAsia="en-AU" w:bidi="th-TH"/>
              </w:rPr>
              <w:t xml:space="preserve"> (7.</w:t>
            </w:r>
            <w:r>
              <w:rPr>
                <w:sz w:val="20"/>
                <w:szCs w:val="20"/>
                <w:lang w:eastAsia="en-AU" w:bidi="th-TH"/>
              </w:rPr>
              <w:t>3</w:t>
            </w:r>
            <w:r w:rsidRPr="004F1936">
              <w:rPr>
                <w:sz w:val="20"/>
                <w:szCs w:val="20"/>
                <w:lang w:eastAsia="en-AU" w:bidi="th-TH"/>
              </w:rPr>
              <w:t>)</w:t>
            </w:r>
          </w:p>
        </w:tc>
      </w:tr>
      <w:tr w:rsidR="003C612D" w14:paraId="581367BB" w14:textId="77777777" w:rsidTr="003809A8">
        <w:tc>
          <w:tcPr>
            <w:tcW w:w="4820" w:type="dxa"/>
          </w:tcPr>
          <w:p w14:paraId="11106D43"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Musculoskeletal and connective tissue disorders</w:t>
            </w:r>
          </w:p>
          <w:p w14:paraId="3E3C608F"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Arthralgia</w:t>
            </w:r>
          </w:p>
          <w:p w14:paraId="2D5110C9"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Back pain</w:t>
            </w:r>
          </w:p>
        </w:tc>
        <w:tc>
          <w:tcPr>
            <w:tcW w:w="1984" w:type="dxa"/>
          </w:tcPr>
          <w:p w14:paraId="19FDC9C3"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87</w:t>
            </w:r>
            <w:r w:rsidRPr="004F1936">
              <w:rPr>
                <w:sz w:val="20"/>
                <w:szCs w:val="20"/>
                <w:lang w:eastAsia="en-AU" w:bidi="th-TH"/>
              </w:rPr>
              <w:t xml:space="preserve"> (</w:t>
            </w:r>
            <w:r>
              <w:rPr>
                <w:sz w:val="20"/>
                <w:szCs w:val="20"/>
                <w:lang w:eastAsia="en-AU" w:bidi="th-TH"/>
              </w:rPr>
              <w:t>30.2</w:t>
            </w:r>
            <w:r w:rsidRPr="004F1936">
              <w:rPr>
                <w:sz w:val="20"/>
                <w:szCs w:val="20"/>
                <w:lang w:eastAsia="en-AU" w:bidi="th-TH"/>
              </w:rPr>
              <w:t>)</w:t>
            </w:r>
          </w:p>
          <w:p w14:paraId="3831F00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19</w:t>
            </w:r>
            <w:r w:rsidRPr="004F1936">
              <w:rPr>
                <w:sz w:val="20"/>
                <w:szCs w:val="20"/>
                <w:lang w:eastAsia="en-AU" w:bidi="th-TH"/>
              </w:rPr>
              <w:t xml:space="preserve"> (6.</w:t>
            </w:r>
            <w:r>
              <w:rPr>
                <w:sz w:val="20"/>
                <w:szCs w:val="20"/>
                <w:lang w:eastAsia="en-AU" w:bidi="th-TH"/>
              </w:rPr>
              <w:t>6</w:t>
            </w:r>
            <w:r w:rsidRPr="004F1936">
              <w:rPr>
                <w:sz w:val="20"/>
                <w:szCs w:val="20"/>
                <w:lang w:eastAsia="en-AU" w:bidi="th-TH"/>
              </w:rPr>
              <w:t>)</w:t>
            </w:r>
          </w:p>
          <w:p w14:paraId="6ED2A44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12</w:t>
            </w:r>
            <w:r w:rsidRPr="004F1936">
              <w:rPr>
                <w:sz w:val="20"/>
                <w:szCs w:val="20"/>
                <w:lang w:eastAsia="en-AU" w:bidi="th-TH"/>
              </w:rPr>
              <w:t xml:space="preserve"> (</w:t>
            </w:r>
            <w:r>
              <w:rPr>
                <w:sz w:val="20"/>
                <w:szCs w:val="20"/>
                <w:lang w:eastAsia="en-AU" w:bidi="th-TH"/>
              </w:rPr>
              <w:t>4.2</w:t>
            </w:r>
            <w:r w:rsidRPr="004F1936">
              <w:rPr>
                <w:sz w:val="20"/>
                <w:szCs w:val="20"/>
                <w:lang w:eastAsia="en-AU" w:bidi="th-TH"/>
              </w:rPr>
              <w:t>)</w:t>
            </w:r>
          </w:p>
        </w:tc>
        <w:tc>
          <w:tcPr>
            <w:tcW w:w="2410" w:type="dxa"/>
          </w:tcPr>
          <w:p w14:paraId="21F5CA55"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100</w:t>
            </w:r>
            <w:r w:rsidRPr="004F1936">
              <w:rPr>
                <w:sz w:val="20"/>
                <w:szCs w:val="20"/>
                <w:lang w:eastAsia="en-AU" w:bidi="th-TH"/>
              </w:rPr>
              <w:t xml:space="preserve"> (</w:t>
            </w:r>
            <w:r>
              <w:rPr>
                <w:sz w:val="20"/>
                <w:szCs w:val="20"/>
                <w:lang w:eastAsia="en-AU" w:bidi="th-TH"/>
              </w:rPr>
              <w:t>34.7</w:t>
            </w:r>
            <w:r w:rsidRPr="004F1936">
              <w:rPr>
                <w:sz w:val="20"/>
                <w:szCs w:val="20"/>
                <w:lang w:eastAsia="en-AU" w:bidi="th-TH"/>
              </w:rPr>
              <w:t>)</w:t>
            </w:r>
          </w:p>
          <w:p w14:paraId="6D5FE6B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17</w:t>
            </w:r>
            <w:r w:rsidRPr="004F1936">
              <w:rPr>
                <w:sz w:val="20"/>
                <w:szCs w:val="20"/>
                <w:lang w:eastAsia="en-AU" w:bidi="th-TH"/>
              </w:rPr>
              <w:t xml:space="preserve"> (5.</w:t>
            </w:r>
            <w:r>
              <w:rPr>
                <w:sz w:val="20"/>
                <w:szCs w:val="20"/>
                <w:lang w:eastAsia="en-AU" w:bidi="th-TH"/>
              </w:rPr>
              <w:t>9</w:t>
            </w:r>
            <w:r w:rsidRPr="004F1936">
              <w:rPr>
                <w:sz w:val="20"/>
                <w:szCs w:val="20"/>
                <w:lang w:eastAsia="en-AU" w:bidi="th-TH"/>
              </w:rPr>
              <w:t>)</w:t>
            </w:r>
          </w:p>
          <w:p w14:paraId="13239B8F"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16</w:t>
            </w:r>
            <w:r w:rsidRPr="004F1936">
              <w:rPr>
                <w:sz w:val="20"/>
                <w:szCs w:val="20"/>
                <w:lang w:eastAsia="en-AU" w:bidi="th-TH"/>
              </w:rPr>
              <w:t xml:space="preserve"> (</w:t>
            </w:r>
            <w:r>
              <w:rPr>
                <w:sz w:val="20"/>
                <w:szCs w:val="20"/>
                <w:lang w:eastAsia="en-AU" w:bidi="th-TH"/>
              </w:rPr>
              <w:t>5.6</w:t>
            </w:r>
            <w:r w:rsidRPr="004F1936">
              <w:rPr>
                <w:sz w:val="20"/>
                <w:szCs w:val="20"/>
                <w:lang w:eastAsia="en-AU" w:bidi="th-TH"/>
              </w:rPr>
              <w:t>)</w:t>
            </w:r>
          </w:p>
        </w:tc>
      </w:tr>
      <w:tr w:rsidR="003C612D" w14:paraId="424085A3" w14:textId="77777777" w:rsidTr="003809A8">
        <w:tc>
          <w:tcPr>
            <w:tcW w:w="4820" w:type="dxa"/>
          </w:tcPr>
          <w:p w14:paraId="7B7F6645" w14:textId="77777777" w:rsidR="003C612D" w:rsidRDefault="003C612D" w:rsidP="003809A8">
            <w:pPr>
              <w:pStyle w:val="TextPI"/>
              <w:keepNext/>
              <w:keepLines/>
              <w:tabs>
                <w:tab w:val="left" w:pos="1134"/>
              </w:tabs>
              <w:spacing w:before="0" w:after="0" w:line="240" w:lineRule="auto"/>
              <w:rPr>
                <w:bCs/>
                <w:sz w:val="20"/>
                <w:szCs w:val="20"/>
                <w:lang w:val="en-GB"/>
              </w:rPr>
            </w:pPr>
            <w:r w:rsidRPr="00E67415">
              <w:rPr>
                <w:bCs/>
                <w:sz w:val="20"/>
                <w:szCs w:val="20"/>
                <w:lang w:val="en-GB"/>
              </w:rPr>
              <w:t>Skin and subcutaneous tissue disorders</w:t>
            </w:r>
          </w:p>
          <w:p w14:paraId="61835023"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w:t>
            </w:r>
            <w:r>
              <w:rPr>
                <w:bCs/>
                <w:sz w:val="20"/>
                <w:szCs w:val="20"/>
                <w:lang w:val="en-GB"/>
              </w:rPr>
              <w:t>Skin ulcer</w:t>
            </w:r>
          </w:p>
        </w:tc>
        <w:tc>
          <w:tcPr>
            <w:tcW w:w="1984" w:type="dxa"/>
          </w:tcPr>
          <w:p w14:paraId="05A63E49"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94 (32.6)</w:t>
            </w:r>
          </w:p>
          <w:p w14:paraId="55B03BC1"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50 (17.4)</w:t>
            </w:r>
          </w:p>
        </w:tc>
        <w:tc>
          <w:tcPr>
            <w:tcW w:w="2410" w:type="dxa"/>
          </w:tcPr>
          <w:p w14:paraId="64F12EA8"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96 (33.3)</w:t>
            </w:r>
          </w:p>
          <w:p w14:paraId="1397D12E"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53 (18.4)</w:t>
            </w:r>
          </w:p>
        </w:tc>
      </w:tr>
      <w:tr w:rsidR="003C612D" w14:paraId="246635AF" w14:textId="77777777" w:rsidTr="003809A8">
        <w:tc>
          <w:tcPr>
            <w:tcW w:w="4820" w:type="dxa"/>
          </w:tcPr>
          <w:p w14:paraId="40539355"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Investigations</w:t>
            </w:r>
          </w:p>
          <w:p w14:paraId="61480AE7" w14:textId="77777777" w:rsidR="003C612D"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Weight decreased</w:t>
            </w:r>
          </w:p>
          <w:p w14:paraId="23D736C2" w14:textId="77777777" w:rsidR="003C612D" w:rsidRDefault="003C612D" w:rsidP="003809A8">
            <w:pPr>
              <w:pStyle w:val="TextPI"/>
              <w:keepNext/>
              <w:keepLines/>
              <w:tabs>
                <w:tab w:val="left" w:pos="1134"/>
              </w:tabs>
              <w:spacing w:before="0" w:after="0" w:line="240" w:lineRule="auto"/>
              <w:rPr>
                <w:bCs/>
                <w:sz w:val="20"/>
                <w:szCs w:val="20"/>
                <w:lang w:val="en-GB"/>
              </w:rPr>
            </w:pPr>
            <w:r>
              <w:rPr>
                <w:bCs/>
                <w:sz w:val="20"/>
                <w:szCs w:val="20"/>
                <w:lang w:val="en-GB"/>
              </w:rPr>
              <w:t xml:space="preserve">   </w:t>
            </w:r>
            <w:r w:rsidRPr="00E67415">
              <w:rPr>
                <w:bCs/>
                <w:sz w:val="20"/>
                <w:szCs w:val="20"/>
                <w:lang w:val="en-GB"/>
              </w:rPr>
              <w:t>Alanine aminotransferase increased</w:t>
            </w:r>
          </w:p>
          <w:p w14:paraId="125C671A" w14:textId="77777777" w:rsidR="003C612D" w:rsidRDefault="003C612D" w:rsidP="003809A8">
            <w:pPr>
              <w:pStyle w:val="TextPI"/>
              <w:keepNext/>
              <w:keepLines/>
              <w:tabs>
                <w:tab w:val="left" w:pos="1134"/>
              </w:tabs>
              <w:spacing w:before="0" w:after="0" w:line="240" w:lineRule="auto"/>
              <w:rPr>
                <w:bCs/>
                <w:sz w:val="20"/>
                <w:szCs w:val="20"/>
                <w:lang w:val="en-GB"/>
              </w:rPr>
            </w:pPr>
            <w:r>
              <w:rPr>
                <w:bCs/>
                <w:sz w:val="20"/>
                <w:szCs w:val="20"/>
                <w:lang w:val="en-GB"/>
              </w:rPr>
              <w:t xml:space="preserve">   </w:t>
            </w:r>
            <w:r w:rsidRPr="00E67415">
              <w:rPr>
                <w:bCs/>
                <w:sz w:val="20"/>
                <w:szCs w:val="20"/>
                <w:lang w:val="en-GB"/>
              </w:rPr>
              <w:t>Gamma-</w:t>
            </w:r>
            <w:proofErr w:type="spellStart"/>
            <w:r w:rsidRPr="00E67415">
              <w:rPr>
                <w:bCs/>
                <w:sz w:val="20"/>
                <w:szCs w:val="20"/>
                <w:lang w:val="en-GB"/>
              </w:rPr>
              <w:t>glutamyltransferase</w:t>
            </w:r>
            <w:proofErr w:type="spellEnd"/>
            <w:r w:rsidRPr="00E67415">
              <w:rPr>
                <w:bCs/>
                <w:sz w:val="20"/>
                <w:szCs w:val="20"/>
                <w:lang w:val="en-GB"/>
              </w:rPr>
              <w:t xml:space="preserve"> increased</w:t>
            </w:r>
          </w:p>
          <w:p w14:paraId="7DEC13E1"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Pr>
                <w:bCs/>
                <w:sz w:val="20"/>
                <w:szCs w:val="20"/>
                <w:lang w:val="en-GB"/>
              </w:rPr>
              <w:t xml:space="preserve">   </w:t>
            </w:r>
            <w:r w:rsidRPr="00E67415">
              <w:rPr>
                <w:bCs/>
                <w:sz w:val="20"/>
                <w:szCs w:val="20"/>
                <w:lang w:val="en-GB"/>
              </w:rPr>
              <w:t>Aspartate aminotransferase increased</w:t>
            </w:r>
          </w:p>
        </w:tc>
        <w:tc>
          <w:tcPr>
            <w:tcW w:w="1984" w:type="dxa"/>
          </w:tcPr>
          <w:p w14:paraId="64C38ADC"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48</w:t>
            </w:r>
            <w:r w:rsidRPr="004F1936">
              <w:rPr>
                <w:sz w:val="20"/>
                <w:szCs w:val="20"/>
                <w:lang w:eastAsia="en-AU" w:bidi="th-TH"/>
              </w:rPr>
              <w:t xml:space="preserve"> (16.</w:t>
            </w:r>
            <w:r>
              <w:rPr>
                <w:sz w:val="20"/>
                <w:szCs w:val="20"/>
                <w:lang w:eastAsia="en-AU" w:bidi="th-TH"/>
              </w:rPr>
              <w:t>7</w:t>
            </w:r>
            <w:r w:rsidRPr="004F1936">
              <w:rPr>
                <w:sz w:val="20"/>
                <w:szCs w:val="20"/>
                <w:lang w:eastAsia="en-AU" w:bidi="th-TH"/>
              </w:rPr>
              <w:t>)</w:t>
            </w:r>
          </w:p>
          <w:p w14:paraId="3CB2F7F5"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sidRPr="004F1936">
              <w:rPr>
                <w:sz w:val="20"/>
                <w:szCs w:val="20"/>
                <w:lang w:eastAsia="en-AU" w:bidi="th-TH"/>
              </w:rPr>
              <w:t>1</w:t>
            </w:r>
            <w:r>
              <w:rPr>
                <w:sz w:val="20"/>
                <w:szCs w:val="20"/>
                <w:lang w:eastAsia="en-AU" w:bidi="th-TH"/>
              </w:rPr>
              <w:t>2</w:t>
            </w:r>
            <w:r w:rsidRPr="004F1936">
              <w:rPr>
                <w:sz w:val="20"/>
                <w:szCs w:val="20"/>
                <w:lang w:eastAsia="en-AU" w:bidi="th-TH"/>
              </w:rPr>
              <w:t xml:space="preserve"> (</w:t>
            </w:r>
            <w:r>
              <w:rPr>
                <w:sz w:val="20"/>
                <w:szCs w:val="20"/>
                <w:lang w:eastAsia="en-AU" w:bidi="th-TH"/>
              </w:rPr>
              <w:t>4.2</w:t>
            </w:r>
            <w:r w:rsidRPr="004F1936">
              <w:rPr>
                <w:sz w:val="20"/>
                <w:szCs w:val="20"/>
                <w:lang w:eastAsia="en-AU" w:bidi="th-TH"/>
              </w:rPr>
              <w:t>)</w:t>
            </w:r>
          </w:p>
          <w:p w14:paraId="38DF4A45"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 (1.0)</w:t>
            </w:r>
          </w:p>
          <w:p w14:paraId="693111DB"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4 (1.4)</w:t>
            </w:r>
          </w:p>
          <w:p w14:paraId="1A86E1C4"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 (0.3)</w:t>
            </w:r>
          </w:p>
        </w:tc>
        <w:tc>
          <w:tcPr>
            <w:tcW w:w="2410" w:type="dxa"/>
          </w:tcPr>
          <w:p w14:paraId="438FE290"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86</w:t>
            </w:r>
            <w:r w:rsidRPr="004F1936">
              <w:rPr>
                <w:sz w:val="20"/>
                <w:szCs w:val="20"/>
                <w:lang w:eastAsia="en-AU" w:bidi="th-TH"/>
              </w:rPr>
              <w:t xml:space="preserve"> (29.</w:t>
            </w:r>
            <w:r>
              <w:rPr>
                <w:sz w:val="20"/>
                <w:szCs w:val="20"/>
                <w:lang w:eastAsia="en-AU" w:bidi="th-TH"/>
              </w:rPr>
              <w:t>9</w:t>
            </w:r>
            <w:r w:rsidRPr="004F1936">
              <w:rPr>
                <w:sz w:val="20"/>
                <w:szCs w:val="20"/>
                <w:lang w:eastAsia="en-AU" w:bidi="th-TH"/>
              </w:rPr>
              <w:t>)</w:t>
            </w:r>
          </w:p>
          <w:p w14:paraId="01F3774C"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34</w:t>
            </w:r>
            <w:r w:rsidRPr="004F1936">
              <w:rPr>
                <w:sz w:val="20"/>
                <w:szCs w:val="20"/>
                <w:lang w:eastAsia="en-AU" w:bidi="th-TH"/>
              </w:rPr>
              <w:t xml:space="preserve"> (</w:t>
            </w:r>
            <w:r>
              <w:rPr>
                <w:sz w:val="20"/>
                <w:szCs w:val="20"/>
                <w:lang w:eastAsia="en-AU" w:bidi="th-TH"/>
              </w:rPr>
              <w:t>11.8</w:t>
            </w:r>
            <w:r w:rsidRPr="004F1936">
              <w:rPr>
                <w:sz w:val="20"/>
                <w:szCs w:val="20"/>
                <w:lang w:eastAsia="en-AU" w:bidi="th-TH"/>
              </w:rPr>
              <w:t>)</w:t>
            </w:r>
          </w:p>
          <w:p w14:paraId="74344EEF"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21 (7.3)</w:t>
            </w:r>
          </w:p>
          <w:p w14:paraId="15C52D1A"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17 (5.9)</w:t>
            </w:r>
          </w:p>
          <w:p w14:paraId="485FF5D1"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15 (5.2)</w:t>
            </w:r>
          </w:p>
        </w:tc>
      </w:tr>
      <w:tr w:rsidR="003C612D" w14:paraId="173D56D6" w14:textId="77777777" w:rsidTr="003809A8">
        <w:tc>
          <w:tcPr>
            <w:tcW w:w="4820" w:type="dxa"/>
          </w:tcPr>
          <w:p w14:paraId="00263D7D"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General disorders and administration site conditions</w:t>
            </w:r>
          </w:p>
          <w:p w14:paraId="56119FC1"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Fatigue</w:t>
            </w:r>
          </w:p>
          <w:p w14:paraId="7D2A838E" w14:textId="77777777" w:rsidR="003C612D" w:rsidRPr="004F1936" w:rsidRDefault="003C612D" w:rsidP="003809A8">
            <w:pPr>
              <w:pStyle w:val="TextPI"/>
              <w:keepNext/>
              <w:keepLines/>
              <w:tabs>
                <w:tab w:val="left" w:pos="1134"/>
              </w:tabs>
              <w:spacing w:before="0" w:after="0" w:line="240" w:lineRule="auto"/>
              <w:jc w:val="left"/>
              <w:rPr>
                <w:bCs/>
                <w:sz w:val="20"/>
                <w:szCs w:val="20"/>
                <w:lang w:val="en-GB"/>
              </w:rPr>
            </w:pPr>
            <w:r w:rsidRPr="004F1936">
              <w:rPr>
                <w:bCs/>
                <w:sz w:val="20"/>
                <w:szCs w:val="20"/>
                <w:lang w:val="en-GB"/>
              </w:rPr>
              <w:t xml:space="preserve">   </w:t>
            </w:r>
            <w:r>
              <w:rPr>
                <w:bCs/>
                <w:sz w:val="20"/>
                <w:szCs w:val="20"/>
                <w:lang w:val="en-GB"/>
              </w:rPr>
              <w:t>Pyrexia</w:t>
            </w:r>
          </w:p>
        </w:tc>
        <w:tc>
          <w:tcPr>
            <w:tcW w:w="1984" w:type="dxa"/>
          </w:tcPr>
          <w:p w14:paraId="6305E202"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72</w:t>
            </w:r>
            <w:r w:rsidRPr="004F1936">
              <w:rPr>
                <w:sz w:val="20"/>
                <w:szCs w:val="20"/>
                <w:lang w:eastAsia="en-AU" w:bidi="th-TH"/>
              </w:rPr>
              <w:t xml:space="preserve"> (25.</w:t>
            </w:r>
            <w:r>
              <w:rPr>
                <w:sz w:val="20"/>
                <w:szCs w:val="20"/>
                <w:lang w:eastAsia="en-AU" w:bidi="th-TH"/>
              </w:rPr>
              <w:t>0</w:t>
            </w:r>
            <w:r w:rsidRPr="004F1936">
              <w:rPr>
                <w:sz w:val="20"/>
                <w:szCs w:val="20"/>
                <w:lang w:eastAsia="en-AU" w:bidi="th-TH"/>
              </w:rPr>
              <w:t>)</w:t>
            </w:r>
          </w:p>
          <w:p w14:paraId="73BC57A4"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20</w:t>
            </w:r>
            <w:r w:rsidRPr="004F1936">
              <w:rPr>
                <w:sz w:val="20"/>
                <w:szCs w:val="20"/>
                <w:lang w:eastAsia="en-AU" w:bidi="th-TH"/>
              </w:rPr>
              <w:t xml:space="preserve"> (</w:t>
            </w:r>
            <w:r>
              <w:rPr>
                <w:sz w:val="20"/>
                <w:szCs w:val="20"/>
                <w:lang w:eastAsia="en-AU" w:bidi="th-TH"/>
              </w:rPr>
              <w:t>6.9</w:t>
            </w:r>
            <w:r w:rsidRPr="004F1936">
              <w:rPr>
                <w:sz w:val="20"/>
                <w:szCs w:val="20"/>
                <w:lang w:eastAsia="en-AU" w:bidi="th-TH"/>
              </w:rPr>
              <w:t>)</w:t>
            </w:r>
          </w:p>
          <w:p w14:paraId="1B7B2485"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13</w:t>
            </w:r>
            <w:r w:rsidRPr="004F1936">
              <w:rPr>
                <w:sz w:val="20"/>
                <w:szCs w:val="20"/>
                <w:lang w:eastAsia="en-AU" w:bidi="th-TH"/>
              </w:rPr>
              <w:t xml:space="preserve"> (</w:t>
            </w:r>
            <w:r>
              <w:rPr>
                <w:sz w:val="20"/>
                <w:szCs w:val="20"/>
                <w:lang w:eastAsia="en-AU" w:bidi="th-TH"/>
              </w:rPr>
              <w:t>4.5</w:t>
            </w:r>
            <w:r w:rsidRPr="004F1936">
              <w:rPr>
                <w:sz w:val="20"/>
                <w:szCs w:val="20"/>
                <w:lang w:eastAsia="en-AU" w:bidi="th-TH"/>
              </w:rPr>
              <w:t>)</w:t>
            </w:r>
          </w:p>
        </w:tc>
        <w:tc>
          <w:tcPr>
            <w:tcW w:w="2410" w:type="dxa"/>
          </w:tcPr>
          <w:p w14:paraId="5E34B232"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77</w:t>
            </w:r>
            <w:r w:rsidRPr="004F1936">
              <w:rPr>
                <w:sz w:val="20"/>
                <w:szCs w:val="20"/>
                <w:lang w:eastAsia="en-AU" w:bidi="th-TH"/>
              </w:rPr>
              <w:t xml:space="preserve"> (</w:t>
            </w:r>
            <w:r>
              <w:rPr>
                <w:sz w:val="20"/>
                <w:szCs w:val="20"/>
                <w:lang w:eastAsia="en-AU" w:bidi="th-TH"/>
              </w:rPr>
              <w:t>26.7</w:t>
            </w:r>
            <w:r w:rsidRPr="004F1936">
              <w:rPr>
                <w:sz w:val="20"/>
                <w:szCs w:val="20"/>
                <w:lang w:eastAsia="en-AU" w:bidi="th-TH"/>
              </w:rPr>
              <w:t>)</w:t>
            </w:r>
          </w:p>
          <w:p w14:paraId="26A504A1"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31</w:t>
            </w:r>
            <w:r w:rsidRPr="004F1936">
              <w:rPr>
                <w:sz w:val="20"/>
                <w:szCs w:val="20"/>
                <w:lang w:eastAsia="en-AU" w:bidi="th-TH"/>
              </w:rPr>
              <w:t xml:space="preserve"> (</w:t>
            </w:r>
            <w:r>
              <w:rPr>
                <w:sz w:val="20"/>
                <w:szCs w:val="20"/>
                <w:lang w:eastAsia="en-AU" w:bidi="th-TH"/>
              </w:rPr>
              <w:t>10.8</w:t>
            </w:r>
            <w:r w:rsidRPr="004F1936">
              <w:rPr>
                <w:sz w:val="20"/>
                <w:szCs w:val="20"/>
                <w:lang w:eastAsia="en-AU" w:bidi="th-TH"/>
              </w:rPr>
              <w:t>)</w:t>
            </w:r>
          </w:p>
          <w:p w14:paraId="23AF4D83"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17</w:t>
            </w:r>
            <w:r w:rsidRPr="004F1936">
              <w:rPr>
                <w:sz w:val="20"/>
                <w:szCs w:val="20"/>
                <w:lang w:eastAsia="en-AU" w:bidi="th-TH"/>
              </w:rPr>
              <w:t xml:space="preserve"> (5.</w:t>
            </w:r>
            <w:r>
              <w:rPr>
                <w:sz w:val="20"/>
                <w:szCs w:val="20"/>
                <w:lang w:eastAsia="en-AU" w:bidi="th-TH"/>
              </w:rPr>
              <w:t>9</w:t>
            </w:r>
            <w:r w:rsidRPr="004F1936">
              <w:rPr>
                <w:sz w:val="20"/>
                <w:szCs w:val="20"/>
                <w:lang w:eastAsia="en-AU" w:bidi="th-TH"/>
              </w:rPr>
              <w:t>)</w:t>
            </w:r>
          </w:p>
        </w:tc>
      </w:tr>
      <w:tr w:rsidR="003C612D" w14:paraId="01722088" w14:textId="77777777" w:rsidTr="003809A8">
        <w:tc>
          <w:tcPr>
            <w:tcW w:w="4820" w:type="dxa"/>
          </w:tcPr>
          <w:p w14:paraId="273904B8"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Nervous system disorders</w:t>
            </w:r>
          </w:p>
          <w:p w14:paraId="5176CA6E" w14:textId="77777777" w:rsidR="003C612D"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Headache</w:t>
            </w:r>
          </w:p>
          <w:p w14:paraId="5540B1A8"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Pr>
                <w:bCs/>
                <w:sz w:val="20"/>
                <w:szCs w:val="20"/>
                <w:lang w:val="en-GB"/>
              </w:rPr>
              <w:t xml:space="preserve">   Dizziness</w:t>
            </w:r>
          </w:p>
        </w:tc>
        <w:tc>
          <w:tcPr>
            <w:tcW w:w="1984" w:type="dxa"/>
          </w:tcPr>
          <w:p w14:paraId="2DEC4FC0"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59</w:t>
            </w:r>
            <w:r w:rsidRPr="004F1936">
              <w:rPr>
                <w:sz w:val="20"/>
                <w:szCs w:val="20"/>
                <w:lang w:eastAsia="en-AU" w:bidi="th-TH"/>
              </w:rPr>
              <w:t xml:space="preserve"> (</w:t>
            </w:r>
            <w:r>
              <w:rPr>
                <w:sz w:val="20"/>
                <w:szCs w:val="20"/>
                <w:lang w:eastAsia="en-AU" w:bidi="th-TH"/>
              </w:rPr>
              <w:t>20.5</w:t>
            </w:r>
            <w:r w:rsidRPr="004F1936">
              <w:rPr>
                <w:sz w:val="20"/>
                <w:szCs w:val="20"/>
                <w:lang w:eastAsia="en-AU" w:bidi="th-TH"/>
              </w:rPr>
              <w:t>)</w:t>
            </w:r>
          </w:p>
          <w:p w14:paraId="5DBC4ACC"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24</w:t>
            </w:r>
            <w:r w:rsidRPr="004F1936">
              <w:rPr>
                <w:sz w:val="20"/>
                <w:szCs w:val="20"/>
                <w:lang w:eastAsia="en-AU" w:bidi="th-TH"/>
              </w:rPr>
              <w:t xml:space="preserve"> (</w:t>
            </w:r>
            <w:r>
              <w:rPr>
                <w:sz w:val="20"/>
                <w:szCs w:val="20"/>
                <w:lang w:eastAsia="en-AU" w:bidi="th-TH"/>
              </w:rPr>
              <w:t>8.3</w:t>
            </w:r>
            <w:r w:rsidRPr="004F1936">
              <w:rPr>
                <w:sz w:val="20"/>
                <w:szCs w:val="20"/>
                <w:lang w:eastAsia="en-AU" w:bidi="th-TH"/>
              </w:rPr>
              <w:t>)</w:t>
            </w:r>
          </w:p>
          <w:p w14:paraId="1B8E49F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12 (4.2)</w:t>
            </w:r>
          </w:p>
        </w:tc>
        <w:tc>
          <w:tcPr>
            <w:tcW w:w="2410" w:type="dxa"/>
          </w:tcPr>
          <w:p w14:paraId="3CB8DBCE"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60</w:t>
            </w:r>
            <w:r w:rsidRPr="004F1936">
              <w:rPr>
                <w:sz w:val="20"/>
                <w:szCs w:val="20"/>
                <w:lang w:eastAsia="en-AU" w:bidi="th-TH"/>
              </w:rPr>
              <w:t xml:space="preserve"> (</w:t>
            </w:r>
            <w:r>
              <w:rPr>
                <w:sz w:val="20"/>
                <w:szCs w:val="20"/>
                <w:lang w:eastAsia="en-AU" w:bidi="th-TH"/>
              </w:rPr>
              <w:t>20.8</w:t>
            </w:r>
            <w:r w:rsidRPr="004F1936">
              <w:rPr>
                <w:sz w:val="20"/>
                <w:szCs w:val="20"/>
                <w:lang w:eastAsia="en-AU" w:bidi="th-TH"/>
              </w:rPr>
              <w:t>)</w:t>
            </w:r>
          </w:p>
          <w:p w14:paraId="1AD53B77" w14:textId="77777777" w:rsidR="003C612D"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27</w:t>
            </w:r>
            <w:r w:rsidRPr="004F1936">
              <w:rPr>
                <w:sz w:val="20"/>
                <w:szCs w:val="20"/>
                <w:lang w:eastAsia="en-AU" w:bidi="th-TH"/>
              </w:rPr>
              <w:t xml:space="preserve"> (</w:t>
            </w:r>
            <w:r>
              <w:rPr>
                <w:sz w:val="20"/>
                <w:szCs w:val="20"/>
                <w:lang w:eastAsia="en-AU" w:bidi="th-TH"/>
              </w:rPr>
              <w:t>9.4</w:t>
            </w:r>
            <w:r w:rsidRPr="004F1936">
              <w:rPr>
                <w:sz w:val="20"/>
                <w:szCs w:val="20"/>
                <w:lang w:eastAsia="en-AU" w:bidi="th-TH"/>
              </w:rPr>
              <w:t>)</w:t>
            </w:r>
          </w:p>
          <w:p w14:paraId="0156FE9B"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17 (5.9)</w:t>
            </w:r>
          </w:p>
        </w:tc>
      </w:tr>
      <w:tr w:rsidR="003C612D" w14:paraId="1EA4A734" w14:textId="77777777" w:rsidTr="003809A8">
        <w:tc>
          <w:tcPr>
            <w:tcW w:w="4820" w:type="dxa"/>
          </w:tcPr>
          <w:p w14:paraId="1256B8EF"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Metabolism and nutrition disorders</w:t>
            </w:r>
          </w:p>
          <w:p w14:paraId="2401584A" w14:textId="77777777" w:rsidR="003C612D" w:rsidRPr="004F1936" w:rsidRDefault="003C612D" w:rsidP="003809A8">
            <w:pPr>
              <w:pStyle w:val="TextPI"/>
              <w:keepNext/>
              <w:keepLines/>
              <w:tabs>
                <w:tab w:val="left" w:pos="1134"/>
              </w:tabs>
              <w:spacing w:before="0" w:after="0" w:line="240" w:lineRule="auto"/>
              <w:rPr>
                <w:bCs/>
                <w:sz w:val="20"/>
                <w:szCs w:val="20"/>
                <w:lang w:val="en-GB"/>
              </w:rPr>
            </w:pPr>
            <w:r w:rsidRPr="004F1936">
              <w:rPr>
                <w:bCs/>
                <w:sz w:val="20"/>
                <w:szCs w:val="20"/>
                <w:lang w:val="en-GB"/>
              </w:rPr>
              <w:t xml:space="preserve">   Decreased appetite</w:t>
            </w:r>
          </w:p>
        </w:tc>
        <w:tc>
          <w:tcPr>
            <w:tcW w:w="1984" w:type="dxa"/>
          </w:tcPr>
          <w:p w14:paraId="62A4E78F"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22</w:t>
            </w:r>
            <w:r w:rsidRPr="004F1936">
              <w:rPr>
                <w:sz w:val="20"/>
                <w:szCs w:val="20"/>
                <w:lang w:eastAsia="en-AU" w:bidi="th-TH"/>
              </w:rPr>
              <w:t xml:space="preserve"> (</w:t>
            </w:r>
            <w:r>
              <w:rPr>
                <w:sz w:val="20"/>
                <w:szCs w:val="20"/>
                <w:lang w:eastAsia="en-AU" w:bidi="th-TH"/>
              </w:rPr>
              <w:t>7.6</w:t>
            </w:r>
            <w:r w:rsidRPr="004F1936">
              <w:rPr>
                <w:sz w:val="20"/>
                <w:szCs w:val="20"/>
                <w:lang w:eastAsia="en-AU" w:bidi="th-TH"/>
              </w:rPr>
              <w:t>)</w:t>
            </w:r>
          </w:p>
          <w:p w14:paraId="6B5444E2"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12</w:t>
            </w:r>
            <w:r w:rsidRPr="004F1936">
              <w:rPr>
                <w:sz w:val="20"/>
                <w:szCs w:val="20"/>
                <w:lang w:eastAsia="en-AU" w:bidi="th-TH"/>
              </w:rPr>
              <w:t xml:space="preserve"> (</w:t>
            </w:r>
            <w:r>
              <w:rPr>
                <w:sz w:val="20"/>
                <w:szCs w:val="20"/>
                <w:lang w:eastAsia="en-AU" w:bidi="th-TH"/>
              </w:rPr>
              <w:t>4.2</w:t>
            </w:r>
            <w:r w:rsidRPr="004F1936">
              <w:rPr>
                <w:sz w:val="20"/>
                <w:szCs w:val="20"/>
                <w:lang w:eastAsia="en-AU" w:bidi="th-TH"/>
              </w:rPr>
              <w:t>)</w:t>
            </w:r>
          </w:p>
        </w:tc>
        <w:tc>
          <w:tcPr>
            <w:tcW w:w="2410" w:type="dxa"/>
          </w:tcPr>
          <w:p w14:paraId="1AE371DD"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44</w:t>
            </w:r>
            <w:r w:rsidRPr="004F1936">
              <w:rPr>
                <w:sz w:val="20"/>
                <w:szCs w:val="20"/>
                <w:lang w:eastAsia="en-AU" w:bidi="th-TH"/>
              </w:rPr>
              <w:t xml:space="preserve"> (</w:t>
            </w:r>
            <w:r>
              <w:rPr>
                <w:sz w:val="20"/>
                <w:szCs w:val="20"/>
                <w:lang w:eastAsia="en-AU" w:bidi="th-TH"/>
              </w:rPr>
              <w:t>15.3</w:t>
            </w:r>
            <w:r w:rsidRPr="004F1936">
              <w:rPr>
                <w:sz w:val="20"/>
                <w:szCs w:val="20"/>
                <w:lang w:eastAsia="en-AU" w:bidi="th-TH"/>
              </w:rPr>
              <w:t>)</w:t>
            </w:r>
          </w:p>
          <w:p w14:paraId="2293E428" w14:textId="77777777" w:rsidR="003C612D" w:rsidRPr="004F1936" w:rsidRDefault="003C612D" w:rsidP="003809A8">
            <w:pPr>
              <w:pStyle w:val="TextPI"/>
              <w:keepNext/>
              <w:keepLines/>
              <w:tabs>
                <w:tab w:val="left" w:pos="1134"/>
              </w:tabs>
              <w:spacing w:before="0" w:after="0" w:line="240" w:lineRule="auto"/>
              <w:jc w:val="center"/>
              <w:rPr>
                <w:sz w:val="20"/>
                <w:szCs w:val="20"/>
                <w:lang w:eastAsia="en-AU" w:bidi="th-TH"/>
              </w:rPr>
            </w:pPr>
            <w:r>
              <w:rPr>
                <w:sz w:val="20"/>
                <w:szCs w:val="20"/>
                <w:lang w:eastAsia="en-AU" w:bidi="th-TH"/>
              </w:rPr>
              <w:t>27</w:t>
            </w:r>
            <w:r w:rsidRPr="004F1936">
              <w:rPr>
                <w:sz w:val="20"/>
                <w:szCs w:val="20"/>
                <w:lang w:eastAsia="en-AU" w:bidi="th-TH"/>
              </w:rPr>
              <w:t xml:space="preserve"> (</w:t>
            </w:r>
            <w:r>
              <w:rPr>
                <w:sz w:val="20"/>
                <w:szCs w:val="20"/>
                <w:lang w:eastAsia="en-AU" w:bidi="th-TH"/>
              </w:rPr>
              <w:t>9.4</w:t>
            </w:r>
            <w:r w:rsidRPr="004F1936">
              <w:rPr>
                <w:sz w:val="20"/>
                <w:szCs w:val="20"/>
                <w:lang w:eastAsia="en-AU" w:bidi="th-TH"/>
              </w:rPr>
              <w:t>)</w:t>
            </w:r>
          </w:p>
        </w:tc>
      </w:tr>
    </w:tbl>
    <w:p w14:paraId="051CF726" w14:textId="501562F0" w:rsidR="00336D79" w:rsidRDefault="003045AE" w:rsidP="000F322D">
      <w:pPr>
        <w:pStyle w:val="TextPI"/>
        <w:rPr>
          <w:rFonts w:eastAsia="MS Mincho"/>
          <w:bCs/>
          <w:iCs/>
          <w:lang w:val="en-GB" w:eastAsia="de-DE"/>
        </w:rPr>
      </w:pPr>
      <w:r w:rsidRPr="00D1404F">
        <w:rPr>
          <w:rFonts w:cs="Arial"/>
          <w:szCs w:val="24"/>
        </w:rPr>
        <w:t>Adverse events occu</w:t>
      </w:r>
      <w:r>
        <w:rPr>
          <w:rFonts w:cs="Arial"/>
          <w:szCs w:val="24"/>
        </w:rPr>
        <w:t>r</w:t>
      </w:r>
      <w:r w:rsidRPr="00D1404F">
        <w:rPr>
          <w:rFonts w:cs="Arial"/>
          <w:szCs w:val="24"/>
        </w:rPr>
        <w:t xml:space="preserve">ring in at least 5% of patients in either treatment arm in the pivotal trial </w:t>
      </w:r>
      <w:r>
        <w:rPr>
          <w:rFonts w:cs="Arial"/>
          <w:szCs w:val="24"/>
        </w:rPr>
        <w:t>INBUILD</w:t>
      </w:r>
      <w:r w:rsidRPr="00D1404F">
        <w:rPr>
          <w:rFonts w:cs="Arial"/>
          <w:szCs w:val="24"/>
        </w:rPr>
        <w:t xml:space="preserve"> are summarised in Table</w:t>
      </w:r>
      <w:r>
        <w:rPr>
          <w:rFonts w:cs="Arial"/>
          <w:szCs w:val="24"/>
        </w:rPr>
        <w:t xml:space="preserve"> 7.</w:t>
      </w:r>
      <w:r w:rsidR="00336D79">
        <w:rPr>
          <w:rFonts w:eastAsia="MS Mincho"/>
          <w:bCs/>
          <w:iCs/>
          <w:lang w:val="en-GB" w:eastAsia="de-DE"/>
        </w:rPr>
        <w:br w:type="page"/>
      </w:r>
    </w:p>
    <w:p w14:paraId="751B38A0" w14:textId="7E01B44A" w:rsidR="00336D79" w:rsidRPr="00F67224" w:rsidRDefault="00336D79" w:rsidP="00336D79">
      <w:pPr>
        <w:keepNext/>
        <w:keepLines/>
        <w:tabs>
          <w:tab w:val="left" w:pos="1134"/>
        </w:tabs>
        <w:spacing w:before="120" w:after="120" w:line="240" w:lineRule="atLeast"/>
        <w:ind w:left="1122" w:hanging="1122"/>
        <w:jc w:val="both"/>
        <w:rPr>
          <w:rFonts w:ascii="Arial" w:hAnsi="Arial"/>
          <w:noProof/>
          <w:sz w:val="22"/>
          <w:szCs w:val="22"/>
          <w:lang w:val="en-GB"/>
        </w:rPr>
      </w:pPr>
      <w:r w:rsidRPr="00F67224">
        <w:rPr>
          <w:rFonts w:ascii="Arial" w:hAnsi="Arial"/>
          <w:b/>
          <w:sz w:val="20"/>
          <w:lang w:val="en-GB"/>
        </w:rPr>
        <w:lastRenderedPageBreak/>
        <w:t xml:space="preserve">Table </w:t>
      </w:r>
      <w:r>
        <w:rPr>
          <w:rFonts w:ascii="Arial" w:hAnsi="Arial"/>
          <w:b/>
          <w:sz w:val="20"/>
          <w:lang w:val="en-GB"/>
        </w:rPr>
        <w:t>7</w:t>
      </w:r>
      <w:r w:rsidRPr="00F67224">
        <w:rPr>
          <w:rFonts w:ascii="Arial" w:hAnsi="Arial"/>
          <w:b/>
          <w:sz w:val="20"/>
          <w:lang w:val="en-GB"/>
        </w:rPr>
        <w:t>:</w:t>
      </w:r>
      <w:r w:rsidRPr="00F67224">
        <w:rPr>
          <w:rFonts w:ascii="Arial" w:hAnsi="Arial"/>
          <w:b/>
          <w:sz w:val="20"/>
          <w:lang w:val="en-GB"/>
        </w:rPr>
        <w:tab/>
        <w:t>Adverse events occurring in at least 5% of patients</w:t>
      </w:r>
      <w:r w:rsidR="00B503CB">
        <w:rPr>
          <w:rFonts w:ascii="Arial" w:hAnsi="Arial"/>
          <w:b/>
          <w:sz w:val="20"/>
          <w:lang w:val="en-GB"/>
        </w:rPr>
        <w:t xml:space="preserve"> over 52 weeks</w:t>
      </w:r>
      <w:r w:rsidRPr="00F67224">
        <w:rPr>
          <w:rFonts w:ascii="Arial" w:hAnsi="Arial"/>
          <w:b/>
          <w:sz w:val="20"/>
          <w:lang w:val="en-GB"/>
        </w:rPr>
        <w:t xml:space="preserve"> in either treatment arm in </w:t>
      </w:r>
      <w:r>
        <w:rPr>
          <w:rFonts w:ascii="Arial" w:hAnsi="Arial"/>
          <w:b/>
          <w:sz w:val="20"/>
          <w:lang w:val="en-GB"/>
        </w:rPr>
        <w:t>INBUILD</w:t>
      </w:r>
      <w:r w:rsidRPr="00F67224">
        <w:rPr>
          <w:rFonts w:ascii="Arial" w:hAnsi="Arial"/>
          <w:b/>
          <w:sz w:val="20"/>
          <w:lang w:val="en-GB"/>
        </w:rPr>
        <w:t xml:space="preserve"> – by SOC and preferred term – TS</w:t>
      </w:r>
    </w:p>
    <w:tbl>
      <w:tblPr>
        <w:tblStyle w:val="TableGrid"/>
        <w:tblW w:w="9214" w:type="dxa"/>
        <w:tblInd w:w="108" w:type="dxa"/>
        <w:tblLook w:val="04A0" w:firstRow="1" w:lastRow="0" w:firstColumn="1" w:lastColumn="0" w:noHBand="0" w:noVBand="1"/>
      </w:tblPr>
      <w:tblGrid>
        <w:gridCol w:w="4820"/>
        <w:gridCol w:w="1984"/>
        <w:gridCol w:w="2410"/>
      </w:tblGrid>
      <w:tr w:rsidR="00336D79" w:rsidRPr="00182E86" w14:paraId="491B0C62" w14:textId="77777777" w:rsidTr="00A30D45">
        <w:tc>
          <w:tcPr>
            <w:tcW w:w="4820" w:type="dxa"/>
          </w:tcPr>
          <w:p w14:paraId="305836E8" w14:textId="77777777" w:rsidR="00336D79" w:rsidRPr="00182E86" w:rsidRDefault="00336D79" w:rsidP="00A30D45">
            <w:pPr>
              <w:keepNext/>
              <w:keepLines/>
              <w:tabs>
                <w:tab w:val="left" w:pos="1134"/>
              </w:tabs>
              <w:jc w:val="both"/>
              <w:rPr>
                <w:rFonts w:ascii="Arial" w:hAnsi="Arial"/>
                <w:b/>
                <w:sz w:val="20"/>
                <w:lang w:val="en-GB"/>
              </w:rPr>
            </w:pPr>
          </w:p>
        </w:tc>
        <w:tc>
          <w:tcPr>
            <w:tcW w:w="1984" w:type="dxa"/>
          </w:tcPr>
          <w:p w14:paraId="433F2199" w14:textId="77777777" w:rsidR="00336D79" w:rsidRPr="00182E86" w:rsidRDefault="00336D79" w:rsidP="00A30D45">
            <w:pPr>
              <w:keepNext/>
              <w:keepLines/>
              <w:tabs>
                <w:tab w:val="left" w:pos="1134"/>
              </w:tabs>
              <w:jc w:val="center"/>
              <w:rPr>
                <w:rFonts w:ascii="Arial" w:hAnsi="Arial"/>
                <w:b/>
                <w:sz w:val="20"/>
                <w:lang w:val="en-GB"/>
              </w:rPr>
            </w:pPr>
            <w:r w:rsidRPr="00182E86">
              <w:rPr>
                <w:rFonts w:ascii="Arial" w:hAnsi="Arial"/>
                <w:b/>
                <w:sz w:val="20"/>
                <w:lang w:val="en-GB"/>
              </w:rPr>
              <w:t>Placebo</w:t>
            </w:r>
          </w:p>
          <w:p w14:paraId="67F8B0B6" w14:textId="77777777" w:rsidR="00336D79" w:rsidRPr="00182E86" w:rsidRDefault="00336D79" w:rsidP="00A30D45">
            <w:pPr>
              <w:keepNext/>
              <w:keepLines/>
              <w:tabs>
                <w:tab w:val="left" w:pos="1134"/>
              </w:tabs>
              <w:jc w:val="center"/>
              <w:rPr>
                <w:rFonts w:ascii="Arial" w:hAnsi="Arial"/>
                <w:b/>
                <w:sz w:val="20"/>
                <w:lang w:val="en-GB"/>
              </w:rPr>
            </w:pPr>
            <w:r w:rsidRPr="00182E86">
              <w:rPr>
                <w:rFonts w:ascii="Arial" w:hAnsi="Arial"/>
                <w:b/>
                <w:sz w:val="20"/>
                <w:lang w:val="en-GB"/>
              </w:rPr>
              <w:t>n (%)</w:t>
            </w:r>
          </w:p>
        </w:tc>
        <w:tc>
          <w:tcPr>
            <w:tcW w:w="2410" w:type="dxa"/>
          </w:tcPr>
          <w:p w14:paraId="4AA036EB" w14:textId="77777777" w:rsidR="00336D79" w:rsidRPr="00182E86" w:rsidRDefault="00336D79" w:rsidP="00A30D45">
            <w:pPr>
              <w:keepNext/>
              <w:keepLines/>
              <w:tabs>
                <w:tab w:val="left" w:pos="1134"/>
              </w:tabs>
              <w:jc w:val="center"/>
              <w:rPr>
                <w:rFonts w:ascii="Arial" w:hAnsi="Arial"/>
                <w:b/>
                <w:sz w:val="20"/>
                <w:lang w:val="en-GB"/>
              </w:rPr>
            </w:pPr>
            <w:proofErr w:type="spellStart"/>
            <w:r w:rsidRPr="00182E86">
              <w:rPr>
                <w:rFonts w:ascii="Arial" w:hAnsi="Arial"/>
                <w:b/>
                <w:sz w:val="20"/>
                <w:lang w:val="en-GB"/>
              </w:rPr>
              <w:t>Nintedanib</w:t>
            </w:r>
            <w:proofErr w:type="spellEnd"/>
            <w:r w:rsidRPr="00182E86">
              <w:rPr>
                <w:rFonts w:ascii="Arial" w:hAnsi="Arial"/>
                <w:b/>
                <w:sz w:val="20"/>
                <w:lang w:val="en-GB"/>
              </w:rPr>
              <w:t xml:space="preserve"> 150 mg twice daily</w:t>
            </w:r>
          </w:p>
          <w:p w14:paraId="7F67B86C" w14:textId="77777777" w:rsidR="00336D79" w:rsidRPr="00182E86" w:rsidRDefault="00336D79" w:rsidP="00A30D45">
            <w:pPr>
              <w:keepNext/>
              <w:keepLines/>
              <w:tabs>
                <w:tab w:val="left" w:pos="1134"/>
              </w:tabs>
              <w:jc w:val="center"/>
              <w:rPr>
                <w:rFonts w:ascii="Arial" w:hAnsi="Arial"/>
                <w:b/>
                <w:sz w:val="20"/>
                <w:lang w:val="en-GB"/>
              </w:rPr>
            </w:pPr>
            <w:r w:rsidRPr="00182E86">
              <w:rPr>
                <w:rFonts w:ascii="Arial" w:hAnsi="Arial"/>
                <w:b/>
                <w:sz w:val="20"/>
                <w:lang w:val="en-GB"/>
              </w:rPr>
              <w:t>n (%)</w:t>
            </w:r>
          </w:p>
        </w:tc>
      </w:tr>
      <w:tr w:rsidR="00336D79" w:rsidRPr="00182E86" w14:paraId="0E2747B2" w14:textId="77777777" w:rsidTr="00A30D45">
        <w:tc>
          <w:tcPr>
            <w:tcW w:w="4820" w:type="dxa"/>
          </w:tcPr>
          <w:p w14:paraId="2DB6DCE6"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Patients</w:t>
            </w:r>
          </w:p>
        </w:tc>
        <w:tc>
          <w:tcPr>
            <w:tcW w:w="1984" w:type="dxa"/>
          </w:tcPr>
          <w:p w14:paraId="5B454077" w14:textId="77777777" w:rsidR="00336D79" w:rsidRPr="00182E86"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331 (100.0)</w:t>
            </w:r>
          </w:p>
        </w:tc>
        <w:tc>
          <w:tcPr>
            <w:tcW w:w="2410" w:type="dxa"/>
          </w:tcPr>
          <w:p w14:paraId="0AC6F811"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332 (100.0)</w:t>
            </w:r>
          </w:p>
        </w:tc>
      </w:tr>
      <w:tr w:rsidR="00336D79" w:rsidRPr="00182E86" w14:paraId="6F43DD70" w14:textId="77777777" w:rsidTr="00A30D45">
        <w:tc>
          <w:tcPr>
            <w:tcW w:w="4820" w:type="dxa"/>
          </w:tcPr>
          <w:p w14:paraId="13F62EE4"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Patients with any AE</w:t>
            </w:r>
          </w:p>
        </w:tc>
        <w:tc>
          <w:tcPr>
            <w:tcW w:w="1984" w:type="dxa"/>
          </w:tcPr>
          <w:p w14:paraId="66718F48" w14:textId="77777777" w:rsidR="00336D79" w:rsidRPr="00182E86"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296 (89.4)</w:t>
            </w:r>
          </w:p>
        </w:tc>
        <w:tc>
          <w:tcPr>
            <w:tcW w:w="2410" w:type="dxa"/>
          </w:tcPr>
          <w:p w14:paraId="2D92AEAD"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317 (95.5)</w:t>
            </w:r>
          </w:p>
        </w:tc>
      </w:tr>
      <w:tr w:rsidR="00336D79" w:rsidRPr="00182E86" w14:paraId="0ED7FF8F" w14:textId="77777777" w:rsidTr="00A30D45">
        <w:tc>
          <w:tcPr>
            <w:tcW w:w="4820" w:type="dxa"/>
          </w:tcPr>
          <w:p w14:paraId="1993138A"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Gastrointestinal disorders</w:t>
            </w:r>
          </w:p>
          <w:p w14:paraId="3A6166BB"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Diarrhoea</w:t>
            </w:r>
          </w:p>
          <w:p w14:paraId="45AEE65B"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Nausea</w:t>
            </w:r>
          </w:p>
          <w:p w14:paraId="61C80367"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Vomiting</w:t>
            </w:r>
          </w:p>
          <w:p w14:paraId="51377829"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Abdominal pain</w:t>
            </w:r>
          </w:p>
          <w:p w14:paraId="58098C64"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Abdominal pain upper</w:t>
            </w:r>
          </w:p>
          <w:p w14:paraId="015BCDD2"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w:t>
            </w:r>
            <w:r>
              <w:rPr>
                <w:rFonts w:ascii="Arial" w:hAnsi="Arial"/>
                <w:bCs/>
                <w:sz w:val="20"/>
                <w:lang w:val="en-GB"/>
              </w:rPr>
              <w:t xml:space="preserve"> Constipation</w:t>
            </w:r>
          </w:p>
        </w:tc>
        <w:tc>
          <w:tcPr>
            <w:tcW w:w="1984" w:type="dxa"/>
          </w:tcPr>
          <w:p w14:paraId="39F39D93" w14:textId="77777777" w:rsidR="00336D79" w:rsidRPr="00FC4604"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149 (45.0)</w:t>
            </w:r>
          </w:p>
          <w:p w14:paraId="51F0D14A" w14:textId="77777777" w:rsidR="00336D79" w:rsidRPr="00FC4604"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79 (23.9)</w:t>
            </w:r>
          </w:p>
          <w:p w14:paraId="1E99F4BA" w14:textId="77777777" w:rsidR="00336D79" w:rsidRPr="00FC4604"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31 (9.4)</w:t>
            </w:r>
          </w:p>
          <w:p w14:paraId="134E4C2E" w14:textId="77777777" w:rsidR="00336D79" w:rsidRPr="00FC4604"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17 (5.1)</w:t>
            </w:r>
          </w:p>
          <w:p w14:paraId="3DCD3490" w14:textId="77777777" w:rsidR="00336D79" w:rsidRPr="00FC4604"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8 (2.4)</w:t>
            </w:r>
          </w:p>
          <w:p w14:paraId="04664677" w14:textId="77777777" w:rsidR="00336D79" w:rsidRPr="00FC4604"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6 (1.8)</w:t>
            </w:r>
          </w:p>
          <w:p w14:paraId="62AA0803" w14:textId="77777777" w:rsidR="00336D79" w:rsidRPr="00182E86" w:rsidRDefault="00336D79" w:rsidP="00A30D45">
            <w:pPr>
              <w:keepNext/>
              <w:keepLines/>
              <w:tabs>
                <w:tab w:val="left" w:pos="1134"/>
              </w:tabs>
              <w:jc w:val="center"/>
              <w:rPr>
                <w:rFonts w:ascii="Arial" w:hAnsi="Arial"/>
                <w:bCs/>
                <w:sz w:val="20"/>
                <w:lang w:val="en-GB"/>
              </w:rPr>
            </w:pPr>
            <w:r w:rsidRPr="00FC4604">
              <w:rPr>
                <w:rFonts w:ascii="Arial" w:hAnsi="Arial"/>
                <w:bCs/>
                <w:sz w:val="20"/>
                <w:lang w:val="en-GB"/>
              </w:rPr>
              <w:t>25 (7.6)</w:t>
            </w:r>
          </w:p>
        </w:tc>
        <w:tc>
          <w:tcPr>
            <w:tcW w:w="2410" w:type="dxa"/>
          </w:tcPr>
          <w:p w14:paraId="3002518E"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268 (80.7)</w:t>
            </w:r>
          </w:p>
          <w:p w14:paraId="63FF6EBA"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222 (66.9)</w:t>
            </w:r>
          </w:p>
          <w:p w14:paraId="5947D3F9"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96 (28.9)</w:t>
            </w:r>
          </w:p>
          <w:p w14:paraId="339BE1B5"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61 (18.4)</w:t>
            </w:r>
          </w:p>
          <w:p w14:paraId="7E2EA5F5"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34 (10.2)</w:t>
            </w:r>
          </w:p>
          <w:p w14:paraId="5EA19399"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30 (9.0)</w:t>
            </w:r>
          </w:p>
          <w:p w14:paraId="77A84E7D"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23 (6.9)</w:t>
            </w:r>
          </w:p>
        </w:tc>
      </w:tr>
      <w:tr w:rsidR="00336D79" w:rsidRPr="00182E86" w14:paraId="2FE15AA4" w14:textId="77777777" w:rsidTr="00A30D45">
        <w:tc>
          <w:tcPr>
            <w:tcW w:w="4820" w:type="dxa"/>
          </w:tcPr>
          <w:p w14:paraId="0F73C507"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Infections and infestations</w:t>
            </w:r>
          </w:p>
          <w:p w14:paraId="675A5A3C"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Nasopharyngitis</w:t>
            </w:r>
          </w:p>
          <w:p w14:paraId="10448E96" w14:textId="77777777" w:rsidR="00336D79"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Bronchitis </w:t>
            </w:r>
          </w:p>
          <w:p w14:paraId="311EBB5A" w14:textId="77777777" w:rsidR="00336D79" w:rsidRPr="00182E86" w:rsidRDefault="00336D79" w:rsidP="00A30D45">
            <w:pPr>
              <w:keepNext/>
              <w:keepLines/>
              <w:tabs>
                <w:tab w:val="left" w:pos="1134"/>
              </w:tabs>
              <w:rPr>
                <w:rFonts w:ascii="Arial" w:hAnsi="Arial"/>
                <w:bCs/>
                <w:sz w:val="20"/>
                <w:lang w:val="en-GB"/>
              </w:rPr>
            </w:pPr>
            <w:r>
              <w:rPr>
                <w:rFonts w:ascii="Arial" w:hAnsi="Arial"/>
                <w:bCs/>
                <w:sz w:val="20"/>
                <w:lang w:val="en-GB"/>
              </w:rPr>
              <w:t xml:space="preserve">   </w:t>
            </w:r>
            <w:r w:rsidRPr="00182E86">
              <w:rPr>
                <w:rFonts w:ascii="Arial" w:hAnsi="Arial"/>
                <w:bCs/>
                <w:sz w:val="20"/>
                <w:lang w:val="en-GB"/>
              </w:rPr>
              <w:t>Upper respiratory tract infection</w:t>
            </w:r>
          </w:p>
          <w:p w14:paraId="030641A4"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Urinary tract infection</w:t>
            </w:r>
          </w:p>
          <w:p w14:paraId="2210F12B"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Pneumonia</w:t>
            </w:r>
          </w:p>
        </w:tc>
        <w:tc>
          <w:tcPr>
            <w:tcW w:w="1984" w:type="dxa"/>
          </w:tcPr>
          <w:p w14:paraId="7F00C820" w14:textId="77777777" w:rsidR="00336D79" w:rsidRDefault="00336D79" w:rsidP="00A30D45">
            <w:pPr>
              <w:keepNext/>
              <w:keepLines/>
              <w:tabs>
                <w:tab w:val="left" w:pos="1134"/>
              </w:tabs>
              <w:jc w:val="center"/>
              <w:rPr>
                <w:rFonts w:ascii="Arial" w:hAnsi="Arial"/>
                <w:bCs/>
                <w:sz w:val="20"/>
                <w:lang w:eastAsia="en-AU" w:bidi="th-TH"/>
              </w:rPr>
            </w:pPr>
            <w:r w:rsidRPr="00FC4604">
              <w:rPr>
                <w:rFonts w:ascii="Arial" w:hAnsi="Arial"/>
                <w:bCs/>
                <w:sz w:val="20"/>
                <w:lang w:eastAsia="en-AU" w:bidi="th-TH"/>
              </w:rPr>
              <w:t>185 (55.9)</w:t>
            </w:r>
          </w:p>
          <w:p w14:paraId="5C0A6BBC"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40 (12.1)</w:t>
            </w:r>
          </w:p>
          <w:p w14:paraId="16D3EBBC"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47 (14.2)</w:t>
            </w:r>
          </w:p>
          <w:p w14:paraId="5B073601"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19 (5.7)</w:t>
            </w:r>
          </w:p>
          <w:p w14:paraId="3EAFB2BC"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13 (3.9)</w:t>
            </w:r>
          </w:p>
          <w:p w14:paraId="75689F20"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20 (6.0)</w:t>
            </w:r>
          </w:p>
        </w:tc>
        <w:tc>
          <w:tcPr>
            <w:tcW w:w="2410" w:type="dxa"/>
          </w:tcPr>
          <w:p w14:paraId="49AD7DBE"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177 (53.3)</w:t>
            </w:r>
          </w:p>
          <w:p w14:paraId="1FBDCA40"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44 (13.3)</w:t>
            </w:r>
          </w:p>
          <w:p w14:paraId="4F04C620"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41 (12.3)</w:t>
            </w:r>
          </w:p>
          <w:p w14:paraId="0531A168"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24 (7.2)</w:t>
            </w:r>
          </w:p>
          <w:p w14:paraId="5C09B5D9"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20 (6.0)</w:t>
            </w:r>
          </w:p>
          <w:p w14:paraId="7B921FF8"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19 (5.7)</w:t>
            </w:r>
          </w:p>
        </w:tc>
      </w:tr>
      <w:tr w:rsidR="00336D79" w:rsidRPr="00182E86" w14:paraId="25B8200D" w14:textId="77777777" w:rsidTr="00A30D45">
        <w:tc>
          <w:tcPr>
            <w:tcW w:w="4820" w:type="dxa"/>
          </w:tcPr>
          <w:p w14:paraId="735F0EA1"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Respiratory, thoracic and mediastinal disorders</w:t>
            </w:r>
          </w:p>
          <w:p w14:paraId="20C13A84" w14:textId="77777777" w:rsidR="00336D79"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Dyspnoea </w:t>
            </w:r>
          </w:p>
          <w:p w14:paraId="2FEE8F87" w14:textId="77777777" w:rsidR="00336D79" w:rsidRPr="00182E86" w:rsidRDefault="00336D79" w:rsidP="00A30D45">
            <w:pPr>
              <w:keepNext/>
              <w:keepLines/>
              <w:tabs>
                <w:tab w:val="left" w:pos="1134"/>
              </w:tabs>
              <w:rPr>
                <w:rFonts w:ascii="Arial" w:hAnsi="Arial"/>
                <w:bCs/>
                <w:sz w:val="20"/>
                <w:lang w:val="en-GB"/>
              </w:rPr>
            </w:pPr>
            <w:r>
              <w:rPr>
                <w:rFonts w:ascii="Arial" w:hAnsi="Arial"/>
                <w:bCs/>
                <w:sz w:val="20"/>
                <w:lang w:val="en-GB"/>
              </w:rPr>
              <w:t xml:space="preserve">   </w:t>
            </w:r>
            <w:r w:rsidRPr="00182E86">
              <w:rPr>
                <w:rFonts w:ascii="Arial" w:hAnsi="Arial"/>
                <w:bCs/>
                <w:sz w:val="20"/>
                <w:lang w:val="en-GB"/>
              </w:rPr>
              <w:t>Cough</w:t>
            </w:r>
          </w:p>
          <w:p w14:paraId="6E050302"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Interstitial lung disease</w:t>
            </w:r>
          </w:p>
        </w:tc>
        <w:tc>
          <w:tcPr>
            <w:tcW w:w="1984" w:type="dxa"/>
          </w:tcPr>
          <w:p w14:paraId="5151632E"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144 (43.5)</w:t>
            </w:r>
          </w:p>
          <w:p w14:paraId="3A56B480"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44 (13.3)</w:t>
            </w:r>
          </w:p>
          <w:p w14:paraId="2B5775B5"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44 (13.3)</w:t>
            </w:r>
          </w:p>
          <w:p w14:paraId="554B671C"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39 (11.8)</w:t>
            </w:r>
          </w:p>
        </w:tc>
        <w:tc>
          <w:tcPr>
            <w:tcW w:w="2410" w:type="dxa"/>
          </w:tcPr>
          <w:p w14:paraId="48BF8C84"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128 (38.6)</w:t>
            </w:r>
          </w:p>
          <w:p w14:paraId="777E7AA4"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36 (10.8)</w:t>
            </w:r>
          </w:p>
          <w:p w14:paraId="4A33EBD9"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33 (9.9)</w:t>
            </w:r>
          </w:p>
          <w:p w14:paraId="44EBD0DA"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16 (4.8)</w:t>
            </w:r>
          </w:p>
        </w:tc>
      </w:tr>
      <w:tr w:rsidR="00336D79" w:rsidRPr="00182E86" w14:paraId="7E6FA00F" w14:textId="77777777" w:rsidTr="00A30D45">
        <w:tc>
          <w:tcPr>
            <w:tcW w:w="4820" w:type="dxa"/>
          </w:tcPr>
          <w:p w14:paraId="23B258EF"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Investigations</w:t>
            </w:r>
          </w:p>
          <w:p w14:paraId="0C0A83DF" w14:textId="77777777" w:rsidR="00336D79"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Alanine aminotransferase increased </w:t>
            </w:r>
          </w:p>
          <w:p w14:paraId="0A71BA96" w14:textId="77777777" w:rsidR="00336D79" w:rsidRPr="00182E86" w:rsidRDefault="00336D79" w:rsidP="00A30D45">
            <w:pPr>
              <w:keepNext/>
              <w:keepLines/>
              <w:tabs>
                <w:tab w:val="left" w:pos="1134"/>
              </w:tabs>
              <w:jc w:val="both"/>
              <w:rPr>
                <w:rFonts w:ascii="Arial" w:hAnsi="Arial"/>
                <w:bCs/>
                <w:sz w:val="20"/>
                <w:lang w:val="en-GB"/>
              </w:rPr>
            </w:pPr>
            <w:r>
              <w:rPr>
                <w:rFonts w:ascii="Arial" w:hAnsi="Arial"/>
                <w:bCs/>
                <w:sz w:val="20"/>
                <w:lang w:val="en-GB"/>
              </w:rPr>
              <w:t xml:space="preserve">   </w:t>
            </w:r>
            <w:r w:rsidRPr="00182E86">
              <w:rPr>
                <w:rFonts w:ascii="Arial" w:hAnsi="Arial"/>
                <w:bCs/>
                <w:sz w:val="20"/>
                <w:lang w:val="en-GB"/>
              </w:rPr>
              <w:t>Weight decreased</w:t>
            </w:r>
          </w:p>
          <w:p w14:paraId="480FC54A" w14:textId="77777777" w:rsidR="00336D79"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Aspartate aminotransferase increased </w:t>
            </w:r>
          </w:p>
          <w:p w14:paraId="20107596" w14:textId="77777777" w:rsidR="00336D79" w:rsidRPr="00182E86" w:rsidRDefault="00336D79" w:rsidP="00A30D45">
            <w:pPr>
              <w:keepNext/>
              <w:keepLines/>
              <w:tabs>
                <w:tab w:val="left" w:pos="1134"/>
              </w:tabs>
              <w:jc w:val="both"/>
              <w:rPr>
                <w:rFonts w:ascii="Arial" w:hAnsi="Arial"/>
                <w:bCs/>
                <w:sz w:val="20"/>
                <w:lang w:val="en-GB"/>
              </w:rPr>
            </w:pPr>
            <w:r>
              <w:rPr>
                <w:rFonts w:ascii="Arial" w:hAnsi="Arial"/>
                <w:bCs/>
                <w:sz w:val="20"/>
                <w:lang w:val="en-GB"/>
              </w:rPr>
              <w:t xml:space="preserve">   </w:t>
            </w:r>
            <w:r w:rsidRPr="00182E86">
              <w:rPr>
                <w:rFonts w:ascii="Arial" w:hAnsi="Arial"/>
                <w:bCs/>
                <w:sz w:val="20"/>
                <w:lang w:val="en-GB"/>
              </w:rPr>
              <w:t>Gamma-</w:t>
            </w:r>
            <w:proofErr w:type="spellStart"/>
            <w:r w:rsidRPr="00182E86">
              <w:rPr>
                <w:rFonts w:ascii="Arial" w:hAnsi="Arial"/>
                <w:bCs/>
                <w:sz w:val="20"/>
                <w:lang w:val="en-GB"/>
              </w:rPr>
              <w:t>glutamyltransferase</w:t>
            </w:r>
            <w:proofErr w:type="spellEnd"/>
            <w:r w:rsidRPr="00182E86">
              <w:rPr>
                <w:rFonts w:ascii="Arial" w:hAnsi="Arial"/>
                <w:bCs/>
                <w:sz w:val="20"/>
                <w:lang w:val="en-GB"/>
              </w:rPr>
              <w:t xml:space="preserve"> increase</w:t>
            </w:r>
            <w:r>
              <w:rPr>
                <w:rFonts w:ascii="Arial" w:hAnsi="Arial"/>
                <w:bCs/>
                <w:sz w:val="20"/>
                <w:lang w:val="en-GB"/>
              </w:rPr>
              <w:t>d</w:t>
            </w:r>
          </w:p>
        </w:tc>
        <w:tc>
          <w:tcPr>
            <w:tcW w:w="1984" w:type="dxa"/>
          </w:tcPr>
          <w:p w14:paraId="327BBCD5"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56 (16.9)</w:t>
            </w:r>
          </w:p>
          <w:p w14:paraId="5007F9D7"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12 (3.6)</w:t>
            </w:r>
          </w:p>
          <w:p w14:paraId="5D088B5D"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11 (3.3)</w:t>
            </w:r>
          </w:p>
          <w:p w14:paraId="2BD75BF5"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12 (3.6)</w:t>
            </w:r>
          </w:p>
          <w:p w14:paraId="7FEF926D"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7 (2.1)</w:t>
            </w:r>
          </w:p>
        </w:tc>
        <w:tc>
          <w:tcPr>
            <w:tcW w:w="2410" w:type="dxa"/>
          </w:tcPr>
          <w:p w14:paraId="24D16A4B"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114 (34.3)</w:t>
            </w:r>
          </w:p>
          <w:p w14:paraId="10E77B1E"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43 (13.0)</w:t>
            </w:r>
          </w:p>
          <w:p w14:paraId="1B6AE666"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41 (12.3)</w:t>
            </w:r>
          </w:p>
          <w:p w14:paraId="6F1588E1"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38 (11.4)</w:t>
            </w:r>
          </w:p>
          <w:p w14:paraId="283117ED"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19 (5.7)</w:t>
            </w:r>
          </w:p>
        </w:tc>
      </w:tr>
      <w:tr w:rsidR="00336D79" w:rsidRPr="00182E86" w14:paraId="72CA1985" w14:textId="77777777" w:rsidTr="00A30D45">
        <w:tc>
          <w:tcPr>
            <w:tcW w:w="4820" w:type="dxa"/>
          </w:tcPr>
          <w:p w14:paraId="1B5C4BCC"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General disorders and administration site conditions</w:t>
            </w:r>
          </w:p>
          <w:p w14:paraId="3ED49DC3"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Fatigue</w:t>
            </w:r>
          </w:p>
          <w:p w14:paraId="7DB514B5" w14:textId="77777777" w:rsidR="00336D79"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Asthenia</w:t>
            </w:r>
          </w:p>
          <w:p w14:paraId="26E85FE9" w14:textId="77777777" w:rsidR="00336D79" w:rsidRPr="00182E86" w:rsidRDefault="00336D79" w:rsidP="00A30D45">
            <w:pPr>
              <w:keepNext/>
              <w:keepLines/>
              <w:tabs>
                <w:tab w:val="left" w:pos="1134"/>
              </w:tabs>
              <w:jc w:val="both"/>
              <w:rPr>
                <w:rFonts w:ascii="Arial" w:hAnsi="Arial"/>
                <w:bCs/>
                <w:sz w:val="20"/>
                <w:lang w:val="en-GB"/>
              </w:rPr>
            </w:pPr>
            <w:r>
              <w:rPr>
                <w:rFonts w:ascii="Arial" w:hAnsi="Arial"/>
                <w:bCs/>
                <w:sz w:val="20"/>
                <w:lang w:val="en-GB"/>
              </w:rPr>
              <w:t xml:space="preserve">   </w:t>
            </w:r>
            <w:r w:rsidRPr="00182E86">
              <w:rPr>
                <w:rFonts w:ascii="Arial" w:hAnsi="Arial"/>
                <w:bCs/>
                <w:sz w:val="20"/>
                <w:lang w:val="en-GB"/>
              </w:rPr>
              <w:t>Oedema peripheral</w:t>
            </w:r>
          </w:p>
        </w:tc>
        <w:tc>
          <w:tcPr>
            <w:tcW w:w="1984" w:type="dxa"/>
          </w:tcPr>
          <w:p w14:paraId="3BB446BC"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85 (25.7)</w:t>
            </w:r>
          </w:p>
          <w:p w14:paraId="0E0A7304"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20 (6.0)</w:t>
            </w:r>
          </w:p>
          <w:p w14:paraId="41EB1654"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10 (3.0)</w:t>
            </w:r>
          </w:p>
          <w:p w14:paraId="72C45EFE"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20 (6.0)</w:t>
            </w:r>
          </w:p>
        </w:tc>
        <w:tc>
          <w:tcPr>
            <w:tcW w:w="2410" w:type="dxa"/>
          </w:tcPr>
          <w:p w14:paraId="727D253D"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86 (25.9)</w:t>
            </w:r>
          </w:p>
          <w:p w14:paraId="460A95D0"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33 (9.9)</w:t>
            </w:r>
          </w:p>
          <w:p w14:paraId="1F2221C2"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18 (5.4)</w:t>
            </w:r>
          </w:p>
          <w:p w14:paraId="7B75D71B"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12 (3.6)</w:t>
            </w:r>
          </w:p>
        </w:tc>
      </w:tr>
      <w:tr w:rsidR="00336D79" w:rsidRPr="00182E86" w14:paraId="68B9C9BC" w14:textId="77777777" w:rsidTr="00A30D45">
        <w:tc>
          <w:tcPr>
            <w:tcW w:w="4820" w:type="dxa"/>
          </w:tcPr>
          <w:p w14:paraId="4E42071D"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Musculoskeletal and connective tissue disorders</w:t>
            </w:r>
          </w:p>
          <w:p w14:paraId="5617D0DB" w14:textId="77777777" w:rsidR="00336D79"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Back pain </w:t>
            </w:r>
          </w:p>
          <w:p w14:paraId="6AB43BEB" w14:textId="77777777" w:rsidR="00336D79" w:rsidRPr="00182E86" w:rsidRDefault="00336D79" w:rsidP="00A30D45">
            <w:pPr>
              <w:keepNext/>
              <w:keepLines/>
              <w:tabs>
                <w:tab w:val="left" w:pos="1134"/>
              </w:tabs>
              <w:jc w:val="both"/>
              <w:rPr>
                <w:rFonts w:ascii="Arial" w:hAnsi="Arial"/>
                <w:bCs/>
                <w:sz w:val="20"/>
                <w:lang w:val="en-GB"/>
              </w:rPr>
            </w:pPr>
            <w:r>
              <w:rPr>
                <w:rFonts w:ascii="Arial" w:hAnsi="Arial"/>
                <w:bCs/>
                <w:sz w:val="20"/>
                <w:lang w:val="en-GB"/>
              </w:rPr>
              <w:t xml:space="preserve">   </w:t>
            </w:r>
            <w:r w:rsidRPr="00182E86">
              <w:rPr>
                <w:rFonts w:ascii="Arial" w:hAnsi="Arial"/>
                <w:bCs/>
                <w:sz w:val="20"/>
                <w:lang w:val="en-GB"/>
              </w:rPr>
              <w:t>Arthralgia</w:t>
            </w:r>
          </w:p>
        </w:tc>
        <w:tc>
          <w:tcPr>
            <w:tcW w:w="1984" w:type="dxa"/>
          </w:tcPr>
          <w:p w14:paraId="1F6BA8D3"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87 (26.3)</w:t>
            </w:r>
          </w:p>
          <w:p w14:paraId="00386333"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16 (4.8)</w:t>
            </w:r>
          </w:p>
          <w:p w14:paraId="0E424604" w14:textId="77777777" w:rsidR="00336D79" w:rsidRPr="00FC4604"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20 (6.0)</w:t>
            </w:r>
          </w:p>
        </w:tc>
        <w:tc>
          <w:tcPr>
            <w:tcW w:w="2410" w:type="dxa"/>
          </w:tcPr>
          <w:p w14:paraId="1F84BA8F"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77 (23.2)</w:t>
            </w:r>
          </w:p>
          <w:p w14:paraId="41F5BD26"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19 (5.7)</w:t>
            </w:r>
          </w:p>
          <w:p w14:paraId="0B662583" w14:textId="77777777" w:rsidR="00336D79" w:rsidRPr="00FC4604"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10 (3.0)</w:t>
            </w:r>
          </w:p>
        </w:tc>
      </w:tr>
      <w:tr w:rsidR="00336D79" w:rsidRPr="00182E86" w14:paraId="6819153C" w14:textId="77777777" w:rsidTr="00A30D45">
        <w:tc>
          <w:tcPr>
            <w:tcW w:w="4820" w:type="dxa"/>
          </w:tcPr>
          <w:p w14:paraId="3A7D2583"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Metabolism and nutrition disorders</w:t>
            </w:r>
          </w:p>
          <w:p w14:paraId="6E14E1DD" w14:textId="77777777" w:rsidR="00336D79" w:rsidRPr="00182E86" w:rsidRDefault="00336D79" w:rsidP="00A30D45">
            <w:pPr>
              <w:keepNext/>
              <w:keepLines/>
              <w:tabs>
                <w:tab w:val="left" w:pos="1134"/>
              </w:tabs>
              <w:rPr>
                <w:rFonts w:ascii="Arial" w:hAnsi="Arial"/>
                <w:bCs/>
                <w:sz w:val="20"/>
                <w:lang w:val="en-GB"/>
              </w:rPr>
            </w:pPr>
            <w:r w:rsidRPr="00182E86">
              <w:rPr>
                <w:rFonts w:ascii="Arial" w:hAnsi="Arial"/>
                <w:bCs/>
                <w:sz w:val="20"/>
                <w:lang w:val="en-GB"/>
              </w:rPr>
              <w:t xml:space="preserve">   Decreased appetite</w:t>
            </w:r>
          </w:p>
        </w:tc>
        <w:tc>
          <w:tcPr>
            <w:tcW w:w="1984" w:type="dxa"/>
          </w:tcPr>
          <w:p w14:paraId="3229BBDE"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38 (11.5)</w:t>
            </w:r>
          </w:p>
          <w:p w14:paraId="061912BC"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17 (5.1)</w:t>
            </w:r>
          </w:p>
        </w:tc>
        <w:tc>
          <w:tcPr>
            <w:tcW w:w="2410" w:type="dxa"/>
          </w:tcPr>
          <w:p w14:paraId="0AF07D08"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69 (20.8)</w:t>
            </w:r>
          </w:p>
          <w:p w14:paraId="46F9615D"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48 (14.5)</w:t>
            </w:r>
          </w:p>
        </w:tc>
      </w:tr>
      <w:tr w:rsidR="00336D79" w:rsidRPr="00182E86" w14:paraId="39F9D089" w14:textId="77777777" w:rsidTr="00A30D45">
        <w:tc>
          <w:tcPr>
            <w:tcW w:w="4820" w:type="dxa"/>
          </w:tcPr>
          <w:p w14:paraId="25508095"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Nervous system disorders</w:t>
            </w:r>
          </w:p>
          <w:p w14:paraId="1C61892E" w14:textId="77777777" w:rsidR="00336D79" w:rsidRPr="00182E86"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 xml:space="preserve">   Headache</w:t>
            </w:r>
          </w:p>
        </w:tc>
        <w:tc>
          <w:tcPr>
            <w:tcW w:w="1984" w:type="dxa"/>
          </w:tcPr>
          <w:p w14:paraId="64D87443"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54 (16.3)</w:t>
            </w:r>
          </w:p>
          <w:p w14:paraId="5EF12447"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23 (6.9)</w:t>
            </w:r>
          </w:p>
        </w:tc>
        <w:tc>
          <w:tcPr>
            <w:tcW w:w="2410" w:type="dxa"/>
          </w:tcPr>
          <w:p w14:paraId="64098DE2"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69 (20.8)</w:t>
            </w:r>
          </w:p>
          <w:p w14:paraId="5D950BFD"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35 (10.5)</w:t>
            </w:r>
          </w:p>
        </w:tc>
      </w:tr>
      <w:tr w:rsidR="00336D79" w:rsidRPr="00182E86" w14:paraId="3013FAC5" w14:textId="77777777" w:rsidTr="00A30D45">
        <w:tc>
          <w:tcPr>
            <w:tcW w:w="4820" w:type="dxa"/>
          </w:tcPr>
          <w:p w14:paraId="3FC1F9A0" w14:textId="77777777" w:rsidR="00336D79" w:rsidRDefault="00336D79" w:rsidP="00A30D45">
            <w:pPr>
              <w:keepNext/>
              <w:keepLines/>
              <w:tabs>
                <w:tab w:val="left" w:pos="1134"/>
              </w:tabs>
              <w:jc w:val="both"/>
              <w:rPr>
                <w:rFonts w:ascii="Arial" w:hAnsi="Arial"/>
                <w:bCs/>
                <w:sz w:val="20"/>
                <w:lang w:val="en-GB"/>
              </w:rPr>
            </w:pPr>
            <w:r w:rsidRPr="00182E86">
              <w:rPr>
                <w:rFonts w:ascii="Arial" w:hAnsi="Arial"/>
                <w:bCs/>
                <w:sz w:val="20"/>
                <w:lang w:val="en-GB"/>
              </w:rPr>
              <w:t>Hepatobiliary disorders</w:t>
            </w:r>
          </w:p>
          <w:p w14:paraId="0F925182" w14:textId="77777777" w:rsidR="00336D79" w:rsidRPr="00182E86" w:rsidRDefault="00336D79" w:rsidP="00A30D45">
            <w:pPr>
              <w:keepNext/>
              <w:keepLines/>
              <w:tabs>
                <w:tab w:val="left" w:pos="1134"/>
              </w:tabs>
              <w:jc w:val="both"/>
              <w:rPr>
                <w:rFonts w:ascii="Arial" w:hAnsi="Arial"/>
                <w:bCs/>
                <w:sz w:val="20"/>
                <w:lang w:val="en-GB"/>
              </w:rPr>
            </w:pPr>
            <w:r>
              <w:rPr>
                <w:rFonts w:ascii="Arial" w:hAnsi="Arial"/>
                <w:bCs/>
                <w:sz w:val="20"/>
                <w:lang w:val="en-GB"/>
              </w:rPr>
              <w:t xml:space="preserve">   </w:t>
            </w:r>
            <w:r w:rsidRPr="00182E86">
              <w:rPr>
                <w:rFonts w:ascii="Arial" w:hAnsi="Arial"/>
                <w:bCs/>
                <w:sz w:val="20"/>
                <w:lang w:val="en-GB"/>
              </w:rPr>
              <w:t>Hepatic function abnormal</w:t>
            </w:r>
          </w:p>
        </w:tc>
        <w:tc>
          <w:tcPr>
            <w:tcW w:w="1984" w:type="dxa"/>
          </w:tcPr>
          <w:p w14:paraId="7B4DAEA8"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10 (3.0)</w:t>
            </w:r>
          </w:p>
          <w:p w14:paraId="6E325957"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 (0.9)</w:t>
            </w:r>
          </w:p>
        </w:tc>
        <w:tc>
          <w:tcPr>
            <w:tcW w:w="2410" w:type="dxa"/>
          </w:tcPr>
          <w:p w14:paraId="1C9A579E" w14:textId="77777777" w:rsidR="00336D79"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38 (11.4)</w:t>
            </w:r>
          </w:p>
          <w:p w14:paraId="6820095C" w14:textId="77777777" w:rsidR="00336D79" w:rsidRPr="00182E86" w:rsidRDefault="00336D79" w:rsidP="00A30D45">
            <w:pPr>
              <w:keepNext/>
              <w:keepLines/>
              <w:tabs>
                <w:tab w:val="left" w:pos="1134"/>
              </w:tabs>
              <w:jc w:val="center"/>
              <w:rPr>
                <w:rFonts w:ascii="Arial" w:hAnsi="Arial"/>
                <w:bCs/>
                <w:sz w:val="20"/>
                <w:lang w:eastAsia="en-AU" w:bidi="th-TH"/>
              </w:rPr>
            </w:pPr>
            <w:r>
              <w:rPr>
                <w:rFonts w:ascii="Arial" w:hAnsi="Arial"/>
                <w:bCs/>
                <w:sz w:val="20"/>
                <w:lang w:eastAsia="en-AU" w:bidi="th-TH"/>
              </w:rPr>
              <w:t>19 (5.7)</w:t>
            </w:r>
          </w:p>
        </w:tc>
      </w:tr>
    </w:tbl>
    <w:p w14:paraId="73E2FC43" w14:textId="6A93711B" w:rsidR="00A64B76" w:rsidRPr="00A32C40" w:rsidRDefault="00A64B76" w:rsidP="00A64B76">
      <w:pPr>
        <w:pStyle w:val="TextPI"/>
        <w:rPr>
          <w:rFonts w:cs="Arial"/>
          <w:szCs w:val="24"/>
        </w:rPr>
      </w:pPr>
      <w:proofErr w:type="gramStart"/>
      <w:r w:rsidRPr="00A32C40">
        <w:rPr>
          <w:rFonts w:cs="Arial"/>
          <w:szCs w:val="24"/>
        </w:rPr>
        <w:t xml:space="preserve">Table </w:t>
      </w:r>
      <w:r w:rsidR="005D2799">
        <w:rPr>
          <w:rFonts w:cs="Arial"/>
          <w:szCs w:val="24"/>
        </w:rPr>
        <w:t>8</w:t>
      </w:r>
      <w:r w:rsidRPr="00A32C40">
        <w:rPr>
          <w:rFonts w:cs="Arial"/>
          <w:szCs w:val="24"/>
        </w:rPr>
        <w:t xml:space="preserve"> summarises the frequencies of ADRs by MedDRA SOC that were reported in the </w:t>
      </w:r>
      <w:proofErr w:type="spellStart"/>
      <w:r w:rsidRPr="00A32C40">
        <w:rPr>
          <w:rFonts w:cs="Arial"/>
          <w:szCs w:val="24"/>
        </w:rPr>
        <w:t>nintedanib</w:t>
      </w:r>
      <w:proofErr w:type="spellEnd"/>
      <w:r w:rsidRPr="00A32C40">
        <w:rPr>
          <w:rFonts w:cs="Arial"/>
          <w:szCs w:val="24"/>
        </w:rPr>
        <w:t xml:space="preserve"> group pooled from the two placebo-controlled Phase </w:t>
      </w:r>
      <w:r w:rsidR="00417E42">
        <w:rPr>
          <w:rFonts w:cs="Arial"/>
          <w:szCs w:val="24"/>
        </w:rPr>
        <w:t>III</w:t>
      </w:r>
      <w:r w:rsidRPr="00A32C40">
        <w:rPr>
          <w:rFonts w:cs="Arial"/>
          <w:szCs w:val="24"/>
        </w:rPr>
        <w:t xml:space="preserve"> clinical trials of 52 weeks duration</w:t>
      </w:r>
      <w:r w:rsidR="00A02A61">
        <w:rPr>
          <w:rFonts w:cs="Arial"/>
          <w:szCs w:val="24"/>
        </w:rPr>
        <w:t xml:space="preserve"> </w:t>
      </w:r>
      <w:r w:rsidR="00417E42">
        <w:rPr>
          <w:rFonts w:cs="Arial"/>
          <w:szCs w:val="24"/>
        </w:rPr>
        <w:t xml:space="preserve">in 638 IPF patients, the placebo-controlled Phase III clinical trial of 52 weeks duration </w:t>
      </w:r>
      <w:r w:rsidR="005D2799">
        <w:rPr>
          <w:rFonts w:cs="Arial"/>
          <w:szCs w:val="24"/>
        </w:rPr>
        <w:t xml:space="preserve">in 663 patients </w:t>
      </w:r>
      <w:r w:rsidR="005D2799" w:rsidRPr="003D6B73">
        <w:rPr>
          <w:rFonts w:cs="Arial"/>
          <w:szCs w:val="24"/>
        </w:rPr>
        <w:t>with other chronic fibrosing ILDs with a progressive phenotype</w:t>
      </w:r>
      <w:r w:rsidR="005D2799">
        <w:rPr>
          <w:rFonts w:cs="Arial"/>
          <w:szCs w:val="24"/>
        </w:rPr>
        <w:t xml:space="preserve">, the placebo-controlled Phase III clinical trial of 52 weeks duration </w:t>
      </w:r>
      <w:r w:rsidR="00417E42">
        <w:rPr>
          <w:rFonts w:cs="Arial"/>
          <w:szCs w:val="24"/>
        </w:rPr>
        <w:t xml:space="preserve">in 288 </w:t>
      </w:r>
      <w:proofErr w:type="spellStart"/>
      <w:r w:rsidR="00417E42">
        <w:rPr>
          <w:rFonts w:cs="Arial"/>
          <w:szCs w:val="24"/>
        </w:rPr>
        <w:t>SSc</w:t>
      </w:r>
      <w:proofErr w:type="spellEnd"/>
      <w:r w:rsidR="00417E42">
        <w:rPr>
          <w:rFonts w:cs="Arial"/>
          <w:szCs w:val="24"/>
        </w:rPr>
        <w:t xml:space="preserve">-ILD patients </w:t>
      </w:r>
      <w:r w:rsidR="00A02A61">
        <w:rPr>
          <w:rFonts w:cs="Arial"/>
          <w:szCs w:val="24"/>
        </w:rPr>
        <w:t xml:space="preserve">and data observed during the post-marketing </w:t>
      </w:r>
      <w:r w:rsidR="00417E42">
        <w:rPr>
          <w:rFonts w:cs="Arial"/>
          <w:szCs w:val="24"/>
        </w:rPr>
        <w:t>experience</w:t>
      </w:r>
      <w:r w:rsidRPr="00A32C40">
        <w:rPr>
          <w:rFonts w:cs="Arial"/>
          <w:szCs w:val="24"/>
        </w:rPr>
        <w:t>.</w:t>
      </w:r>
      <w:proofErr w:type="gramEnd"/>
    </w:p>
    <w:p w14:paraId="65F48DC6" w14:textId="77777777" w:rsidR="00A64B76" w:rsidRPr="00A32C40" w:rsidRDefault="00A64B76" w:rsidP="00A64B76">
      <w:pPr>
        <w:pStyle w:val="TextPI"/>
        <w:rPr>
          <w:rFonts w:cs="Arial"/>
          <w:szCs w:val="24"/>
        </w:rPr>
      </w:pPr>
      <w:r w:rsidRPr="00A32C40">
        <w:rPr>
          <w:rFonts w:cs="Arial"/>
          <w:szCs w:val="24"/>
        </w:rPr>
        <w:t xml:space="preserve">Frequency categories are defined using the following convention: </w:t>
      </w:r>
    </w:p>
    <w:p w14:paraId="71EFD34C" w14:textId="77777777" w:rsidR="00A64B76" w:rsidRPr="00A32C40" w:rsidRDefault="00A64B76" w:rsidP="00A64B76">
      <w:pPr>
        <w:pStyle w:val="TextPI"/>
        <w:rPr>
          <w:rFonts w:cs="Arial"/>
          <w:szCs w:val="24"/>
        </w:rPr>
      </w:pPr>
      <w:r w:rsidRPr="00A32C40">
        <w:rPr>
          <w:rFonts w:cs="Arial"/>
          <w:szCs w:val="24"/>
        </w:rPr>
        <w:t>very common (≥ 1/10), common (≥ 1/100 to &lt; 1/10), uncommon (≥ 1/1,000 to &lt; 1/100), rare (≥ 1/10,000 to &lt; 1/1,000), very rare (&lt; 1/10,000), not known (cannot be estimated from the available data).</w:t>
      </w:r>
    </w:p>
    <w:p w14:paraId="5CF2B501" w14:textId="3566F738" w:rsidR="00A64B76" w:rsidRPr="004E11D0" w:rsidRDefault="00A64B76" w:rsidP="006675AE">
      <w:pPr>
        <w:pStyle w:val="TextPI"/>
        <w:keepNext/>
        <w:keepLines/>
        <w:tabs>
          <w:tab w:val="left" w:pos="1134"/>
        </w:tabs>
        <w:ind w:left="1122" w:hanging="1122"/>
        <w:rPr>
          <w:b/>
          <w:sz w:val="20"/>
          <w:szCs w:val="20"/>
          <w:lang w:val="en-GB"/>
        </w:rPr>
      </w:pPr>
      <w:r w:rsidRPr="004E11D0">
        <w:rPr>
          <w:b/>
          <w:sz w:val="20"/>
          <w:szCs w:val="20"/>
          <w:lang w:val="en-GB"/>
        </w:rPr>
        <w:lastRenderedPageBreak/>
        <w:t xml:space="preserve">Table </w:t>
      </w:r>
      <w:r w:rsidR="00231922">
        <w:rPr>
          <w:b/>
          <w:sz w:val="20"/>
          <w:szCs w:val="20"/>
          <w:lang w:val="en-GB"/>
        </w:rPr>
        <w:t>8</w:t>
      </w:r>
      <w:r>
        <w:rPr>
          <w:b/>
          <w:sz w:val="20"/>
          <w:szCs w:val="20"/>
          <w:lang w:val="en-GB"/>
        </w:rPr>
        <w:t>:</w:t>
      </w:r>
      <w:r>
        <w:rPr>
          <w:b/>
          <w:sz w:val="20"/>
          <w:szCs w:val="20"/>
          <w:lang w:val="en-GB"/>
        </w:rPr>
        <w:tab/>
      </w:r>
      <w:r w:rsidRPr="004E11D0">
        <w:rPr>
          <w:b/>
          <w:sz w:val="20"/>
          <w:szCs w:val="20"/>
          <w:lang w:val="en-GB"/>
        </w:rPr>
        <w:t xml:space="preserve">Summary of ADRs per frequency category </w:t>
      </w:r>
      <w:r w:rsidR="006675AE" w:rsidRPr="006675AE">
        <w:rPr>
          <w:b/>
          <w:sz w:val="20"/>
          <w:szCs w:val="20"/>
          <w:lang w:val="en-GB"/>
        </w:rPr>
        <w:t>in IPF patients, other chronic</w:t>
      </w:r>
      <w:r w:rsidR="006675AE">
        <w:rPr>
          <w:b/>
          <w:sz w:val="20"/>
          <w:szCs w:val="20"/>
          <w:lang w:val="en-GB"/>
        </w:rPr>
        <w:t xml:space="preserve"> </w:t>
      </w:r>
      <w:r w:rsidR="006675AE" w:rsidRPr="006675AE">
        <w:rPr>
          <w:b/>
          <w:sz w:val="20"/>
          <w:szCs w:val="20"/>
          <w:lang w:val="en-GB"/>
        </w:rPr>
        <w:t xml:space="preserve">fibrosing ILDs with a progressive phenotype and </w:t>
      </w:r>
      <w:proofErr w:type="spellStart"/>
      <w:r w:rsidR="006675AE" w:rsidRPr="006675AE">
        <w:rPr>
          <w:b/>
          <w:sz w:val="20"/>
          <w:szCs w:val="20"/>
          <w:lang w:val="en-GB"/>
        </w:rPr>
        <w:t>SSc</w:t>
      </w:r>
      <w:proofErr w:type="spellEnd"/>
      <w:r w:rsidR="006675AE" w:rsidRPr="006675AE">
        <w:rPr>
          <w:b/>
          <w:sz w:val="20"/>
          <w:szCs w:val="20"/>
          <w:lang w:val="en-GB"/>
        </w:rPr>
        <w:t>-ILD.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161"/>
        <w:gridCol w:w="1523"/>
        <w:gridCol w:w="1984"/>
        <w:gridCol w:w="1701"/>
      </w:tblGrid>
      <w:tr w:rsidR="005B0700" w:rsidRPr="00816D6E" w14:paraId="5ED5EC9F" w14:textId="77777777" w:rsidTr="005B0700">
        <w:trPr>
          <w:trHeight w:val="620"/>
        </w:trPr>
        <w:tc>
          <w:tcPr>
            <w:tcW w:w="2832" w:type="dxa"/>
            <w:vMerge w:val="restart"/>
            <w:shd w:val="clear" w:color="auto" w:fill="auto"/>
          </w:tcPr>
          <w:p w14:paraId="7B8A2652" w14:textId="77777777" w:rsidR="005B0700" w:rsidRPr="00816D6E" w:rsidRDefault="005B0700" w:rsidP="00E249A2">
            <w:pPr>
              <w:pStyle w:val="TextPI"/>
              <w:keepNext/>
              <w:keepLines/>
              <w:spacing w:before="80" w:after="80" w:line="240" w:lineRule="auto"/>
              <w:rPr>
                <w:b/>
                <w:noProof/>
                <w:sz w:val="20"/>
                <w:szCs w:val="20"/>
                <w:lang w:val="en-GB"/>
              </w:rPr>
            </w:pPr>
            <w:r w:rsidRPr="00816D6E">
              <w:rPr>
                <w:b/>
                <w:noProof/>
                <w:sz w:val="20"/>
                <w:szCs w:val="20"/>
                <w:lang w:val="en-GB"/>
              </w:rPr>
              <w:t>System Organ Class</w:t>
            </w:r>
          </w:p>
        </w:tc>
        <w:tc>
          <w:tcPr>
            <w:tcW w:w="2161" w:type="dxa"/>
            <w:vMerge w:val="restart"/>
            <w:shd w:val="clear" w:color="auto" w:fill="auto"/>
          </w:tcPr>
          <w:p w14:paraId="7DED11C5" w14:textId="77777777" w:rsidR="005B0700" w:rsidRPr="00816D6E" w:rsidRDefault="005B0700" w:rsidP="00E249A2">
            <w:pPr>
              <w:pStyle w:val="TextPI"/>
              <w:keepNext/>
              <w:keepLines/>
              <w:spacing w:before="80" w:after="80" w:line="240" w:lineRule="auto"/>
              <w:rPr>
                <w:b/>
                <w:noProof/>
                <w:sz w:val="20"/>
                <w:szCs w:val="20"/>
                <w:lang w:val="en-GB"/>
              </w:rPr>
            </w:pPr>
            <w:r w:rsidRPr="00816D6E">
              <w:rPr>
                <w:b/>
                <w:bCs/>
                <w:noProof/>
                <w:sz w:val="20"/>
                <w:szCs w:val="20"/>
                <w:lang w:val="en-GB"/>
              </w:rPr>
              <w:t>Adverse reaction</w:t>
            </w:r>
          </w:p>
        </w:tc>
        <w:tc>
          <w:tcPr>
            <w:tcW w:w="5208" w:type="dxa"/>
            <w:gridSpan w:val="3"/>
            <w:shd w:val="clear" w:color="auto" w:fill="auto"/>
          </w:tcPr>
          <w:p w14:paraId="0ACFBEC3" w14:textId="73345C92" w:rsidR="005B0700" w:rsidRPr="00816D6E" w:rsidRDefault="005B0700" w:rsidP="005B0700">
            <w:pPr>
              <w:pStyle w:val="TextPI"/>
              <w:keepNext/>
              <w:keepLines/>
              <w:spacing w:before="80" w:after="80" w:line="240" w:lineRule="auto"/>
              <w:jc w:val="center"/>
              <w:rPr>
                <w:b/>
                <w:noProof/>
                <w:sz w:val="20"/>
                <w:szCs w:val="20"/>
                <w:lang w:val="en-GB"/>
              </w:rPr>
            </w:pPr>
            <w:r w:rsidRPr="00816D6E">
              <w:rPr>
                <w:b/>
                <w:noProof/>
                <w:sz w:val="20"/>
                <w:szCs w:val="20"/>
                <w:lang w:val="en-GB"/>
              </w:rPr>
              <w:t>Frequency category</w:t>
            </w:r>
          </w:p>
        </w:tc>
      </w:tr>
      <w:tr w:rsidR="005B0700" w:rsidRPr="00EB61C4" w14:paraId="0D12E91B" w14:textId="77777777" w:rsidTr="005B0700">
        <w:trPr>
          <w:trHeight w:val="528"/>
        </w:trPr>
        <w:tc>
          <w:tcPr>
            <w:tcW w:w="2832" w:type="dxa"/>
            <w:vMerge/>
            <w:shd w:val="clear" w:color="auto" w:fill="auto"/>
          </w:tcPr>
          <w:p w14:paraId="4FE368ED" w14:textId="77777777" w:rsidR="005B0700" w:rsidRPr="00EB61C4" w:rsidRDefault="005B0700" w:rsidP="00E249A2">
            <w:pPr>
              <w:pStyle w:val="TextPI"/>
              <w:keepNext/>
              <w:keepLines/>
              <w:spacing w:before="80" w:after="80" w:line="240" w:lineRule="auto"/>
              <w:rPr>
                <w:b/>
                <w:i/>
                <w:iCs/>
                <w:noProof/>
                <w:sz w:val="20"/>
                <w:szCs w:val="20"/>
                <w:lang w:val="en-GB"/>
              </w:rPr>
            </w:pPr>
          </w:p>
        </w:tc>
        <w:tc>
          <w:tcPr>
            <w:tcW w:w="2161" w:type="dxa"/>
            <w:vMerge/>
            <w:shd w:val="clear" w:color="auto" w:fill="auto"/>
          </w:tcPr>
          <w:p w14:paraId="623D2BC8" w14:textId="77777777" w:rsidR="005B0700" w:rsidRPr="00EB61C4" w:rsidRDefault="005B0700" w:rsidP="00E249A2">
            <w:pPr>
              <w:pStyle w:val="TextPI"/>
              <w:keepNext/>
              <w:keepLines/>
              <w:spacing w:before="80" w:after="80" w:line="240" w:lineRule="auto"/>
              <w:rPr>
                <w:b/>
                <w:bCs/>
                <w:i/>
                <w:iCs/>
                <w:noProof/>
                <w:sz w:val="20"/>
                <w:szCs w:val="20"/>
                <w:lang w:val="en-GB"/>
              </w:rPr>
            </w:pPr>
          </w:p>
        </w:tc>
        <w:tc>
          <w:tcPr>
            <w:tcW w:w="1523" w:type="dxa"/>
            <w:shd w:val="clear" w:color="auto" w:fill="auto"/>
          </w:tcPr>
          <w:p w14:paraId="5FC56FC5" w14:textId="77777777" w:rsidR="005B0700" w:rsidRPr="00816D6E" w:rsidRDefault="005B0700" w:rsidP="005B0700">
            <w:pPr>
              <w:pStyle w:val="TextPI"/>
              <w:keepNext/>
              <w:keepLines/>
              <w:spacing w:before="80" w:after="80" w:line="240" w:lineRule="auto"/>
              <w:jc w:val="center"/>
              <w:rPr>
                <w:b/>
                <w:noProof/>
                <w:sz w:val="20"/>
                <w:szCs w:val="20"/>
                <w:lang w:val="en-GB"/>
              </w:rPr>
            </w:pPr>
            <w:r w:rsidRPr="00816D6E">
              <w:rPr>
                <w:b/>
                <w:noProof/>
                <w:sz w:val="20"/>
                <w:szCs w:val="20"/>
                <w:lang w:val="en-GB"/>
              </w:rPr>
              <w:t>IPF</w:t>
            </w:r>
          </w:p>
        </w:tc>
        <w:tc>
          <w:tcPr>
            <w:tcW w:w="1984" w:type="dxa"/>
          </w:tcPr>
          <w:p w14:paraId="67371A6D" w14:textId="7DD3BB4B" w:rsidR="005B0700" w:rsidRPr="00816D6E" w:rsidRDefault="005B0700" w:rsidP="005B0700">
            <w:pPr>
              <w:pStyle w:val="TextPI"/>
              <w:keepNext/>
              <w:keepLines/>
              <w:spacing w:before="80" w:after="80" w:line="240" w:lineRule="auto"/>
              <w:jc w:val="center"/>
              <w:rPr>
                <w:b/>
                <w:noProof/>
                <w:sz w:val="20"/>
                <w:szCs w:val="20"/>
                <w:lang w:val="en-GB"/>
              </w:rPr>
            </w:pPr>
            <w:r w:rsidRPr="005B0700">
              <w:rPr>
                <w:b/>
                <w:noProof/>
                <w:sz w:val="20"/>
                <w:szCs w:val="20"/>
                <w:lang w:val="en-GB"/>
              </w:rPr>
              <w:t>Other chronic fibrosing ILDs with a progressive phenotype</w:t>
            </w:r>
          </w:p>
        </w:tc>
        <w:tc>
          <w:tcPr>
            <w:tcW w:w="1701" w:type="dxa"/>
            <w:shd w:val="clear" w:color="auto" w:fill="auto"/>
          </w:tcPr>
          <w:p w14:paraId="345DC9C9" w14:textId="7EB0FF17" w:rsidR="005B0700" w:rsidRPr="00816D6E" w:rsidRDefault="005B0700" w:rsidP="005B0700">
            <w:pPr>
              <w:pStyle w:val="TextPI"/>
              <w:keepNext/>
              <w:keepLines/>
              <w:spacing w:before="80" w:after="80" w:line="240" w:lineRule="auto"/>
              <w:jc w:val="center"/>
              <w:rPr>
                <w:b/>
                <w:noProof/>
                <w:sz w:val="20"/>
                <w:szCs w:val="20"/>
                <w:lang w:val="en-GB"/>
              </w:rPr>
            </w:pPr>
            <w:r w:rsidRPr="00816D6E">
              <w:rPr>
                <w:b/>
                <w:noProof/>
                <w:sz w:val="20"/>
                <w:szCs w:val="20"/>
                <w:lang w:val="en-GB"/>
              </w:rPr>
              <w:t>SSc-ILD</w:t>
            </w:r>
          </w:p>
        </w:tc>
      </w:tr>
      <w:tr w:rsidR="005B0700" w:rsidRPr="00EB61C4" w14:paraId="7B4032FA" w14:textId="77777777" w:rsidTr="005B0700">
        <w:tc>
          <w:tcPr>
            <w:tcW w:w="2832" w:type="dxa"/>
            <w:tcBorders>
              <w:bottom w:val="single" w:sz="4" w:space="0" w:color="auto"/>
            </w:tcBorders>
            <w:shd w:val="clear" w:color="auto" w:fill="auto"/>
          </w:tcPr>
          <w:p w14:paraId="2985766B" w14:textId="77777777" w:rsidR="005B0700" w:rsidRPr="00EB61C4" w:rsidRDefault="005B0700" w:rsidP="00E249A2">
            <w:pPr>
              <w:pStyle w:val="TextPI"/>
              <w:keepNext/>
              <w:keepLines/>
              <w:spacing w:before="80" w:after="80" w:line="240" w:lineRule="auto"/>
              <w:jc w:val="left"/>
              <w:rPr>
                <w:bCs/>
                <w:noProof/>
                <w:sz w:val="20"/>
                <w:szCs w:val="20"/>
                <w:lang w:val="en-GB"/>
              </w:rPr>
            </w:pPr>
            <w:r w:rsidRPr="00EB61C4">
              <w:rPr>
                <w:bCs/>
                <w:noProof/>
                <w:sz w:val="20"/>
                <w:szCs w:val="20"/>
                <w:lang w:val="en-GB"/>
              </w:rPr>
              <w:t>Blood and lymphatic system disorders</w:t>
            </w:r>
          </w:p>
        </w:tc>
        <w:tc>
          <w:tcPr>
            <w:tcW w:w="2161" w:type="dxa"/>
            <w:shd w:val="clear" w:color="auto" w:fill="auto"/>
          </w:tcPr>
          <w:p w14:paraId="001CB6E6" w14:textId="77777777" w:rsidR="005B0700" w:rsidRPr="00EB61C4" w:rsidRDefault="005B0700" w:rsidP="00E249A2">
            <w:pPr>
              <w:pStyle w:val="TextPI"/>
              <w:keepNext/>
              <w:keepLines/>
              <w:spacing w:before="80" w:after="80" w:line="240" w:lineRule="auto"/>
              <w:rPr>
                <w:noProof/>
                <w:sz w:val="20"/>
                <w:szCs w:val="20"/>
                <w:lang w:val="en-GB"/>
              </w:rPr>
            </w:pPr>
            <w:r w:rsidRPr="00EB61C4">
              <w:rPr>
                <w:noProof/>
                <w:sz w:val="20"/>
                <w:szCs w:val="20"/>
                <w:lang w:val="en-GB"/>
              </w:rPr>
              <w:t>Thrombocytopenia</w:t>
            </w:r>
          </w:p>
        </w:tc>
        <w:tc>
          <w:tcPr>
            <w:tcW w:w="1523" w:type="dxa"/>
            <w:shd w:val="clear" w:color="auto" w:fill="auto"/>
          </w:tcPr>
          <w:p w14:paraId="68A148BB" w14:textId="77777777" w:rsidR="005B0700" w:rsidRPr="00EB61C4" w:rsidRDefault="005B0700" w:rsidP="00E249A2">
            <w:pPr>
              <w:pStyle w:val="TextPI"/>
              <w:keepNext/>
              <w:keepLines/>
              <w:spacing w:before="80" w:after="80" w:line="240" w:lineRule="auto"/>
              <w:rPr>
                <w:noProof/>
                <w:sz w:val="20"/>
                <w:szCs w:val="20"/>
                <w:lang w:val="en-GB"/>
              </w:rPr>
            </w:pPr>
            <w:r w:rsidRPr="00EB61C4">
              <w:rPr>
                <w:noProof/>
                <w:sz w:val="20"/>
                <w:szCs w:val="20"/>
                <w:lang w:val="en-GB"/>
              </w:rPr>
              <w:t>Uncommon</w:t>
            </w:r>
          </w:p>
        </w:tc>
        <w:tc>
          <w:tcPr>
            <w:tcW w:w="1984" w:type="dxa"/>
          </w:tcPr>
          <w:p w14:paraId="6B90F00B" w14:textId="75B8E3B9" w:rsidR="005B0700" w:rsidRPr="00EB61C4" w:rsidRDefault="005B0700" w:rsidP="00E249A2">
            <w:pPr>
              <w:pStyle w:val="TextPI"/>
              <w:keepNext/>
              <w:keepLines/>
              <w:spacing w:before="80" w:after="80" w:line="240" w:lineRule="auto"/>
              <w:rPr>
                <w:noProof/>
                <w:sz w:val="20"/>
                <w:szCs w:val="20"/>
                <w:lang w:val="en-GB"/>
              </w:rPr>
            </w:pPr>
            <w:r w:rsidRPr="00295D29">
              <w:rPr>
                <w:noProof/>
                <w:sz w:val="20"/>
                <w:szCs w:val="20"/>
                <w:lang w:val="en-GB"/>
              </w:rPr>
              <w:t>Uncommon</w:t>
            </w:r>
          </w:p>
        </w:tc>
        <w:tc>
          <w:tcPr>
            <w:tcW w:w="1701" w:type="dxa"/>
            <w:shd w:val="clear" w:color="auto" w:fill="auto"/>
          </w:tcPr>
          <w:p w14:paraId="0E700A1A" w14:textId="47FDB837" w:rsidR="005B0700" w:rsidRPr="00EB61C4" w:rsidRDefault="005B0700" w:rsidP="00E249A2">
            <w:pPr>
              <w:pStyle w:val="TextPI"/>
              <w:keepNext/>
              <w:keepLines/>
              <w:spacing w:before="80" w:after="80" w:line="240" w:lineRule="auto"/>
              <w:rPr>
                <w:noProof/>
                <w:sz w:val="20"/>
                <w:szCs w:val="20"/>
                <w:lang w:val="en-GB"/>
              </w:rPr>
            </w:pPr>
            <w:r w:rsidRPr="00EB61C4">
              <w:rPr>
                <w:noProof/>
                <w:sz w:val="20"/>
                <w:szCs w:val="20"/>
                <w:lang w:val="en-GB"/>
              </w:rPr>
              <w:t>Uncommon</w:t>
            </w:r>
          </w:p>
        </w:tc>
      </w:tr>
      <w:tr w:rsidR="005B0700" w:rsidRPr="00EB61C4" w14:paraId="212DDD26" w14:textId="77777777" w:rsidTr="005B0700">
        <w:tc>
          <w:tcPr>
            <w:tcW w:w="2832" w:type="dxa"/>
            <w:vMerge w:val="restart"/>
            <w:shd w:val="clear" w:color="auto" w:fill="auto"/>
          </w:tcPr>
          <w:p w14:paraId="68F08F1D" w14:textId="77777777" w:rsidR="005B0700" w:rsidRPr="00EB61C4" w:rsidRDefault="005B0700" w:rsidP="005B0700">
            <w:pPr>
              <w:pStyle w:val="TextPI"/>
              <w:spacing w:before="80" w:after="80" w:line="240" w:lineRule="auto"/>
              <w:jc w:val="left"/>
              <w:rPr>
                <w:bCs/>
                <w:noProof/>
                <w:sz w:val="20"/>
                <w:szCs w:val="20"/>
                <w:lang w:val="en-GB"/>
              </w:rPr>
            </w:pPr>
            <w:r w:rsidRPr="00EB61C4">
              <w:rPr>
                <w:bCs/>
                <w:noProof/>
                <w:sz w:val="20"/>
                <w:szCs w:val="20"/>
                <w:lang w:val="en-GB"/>
              </w:rPr>
              <w:t>Metabolism and nutrition disorders</w:t>
            </w:r>
          </w:p>
        </w:tc>
        <w:tc>
          <w:tcPr>
            <w:tcW w:w="2161" w:type="dxa"/>
            <w:shd w:val="clear" w:color="auto" w:fill="auto"/>
          </w:tcPr>
          <w:p w14:paraId="6FAF33C2"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 xml:space="preserve">Decreased appetite </w:t>
            </w:r>
          </w:p>
        </w:tc>
        <w:tc>
          <w:tcPr>
            <w:tcW w:w="1523" w:type="dxa"/>
            <w:shd w:val="clear" w:color="auto" w:fill="auto"/>
          </w:tcPr>
          <w:p w14:paraId="2F618CB8"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1E302082" w14:textId="2E2557CA"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Very common</w:t>
            </w:r>
          </w:p>
        </w:tc>
        <w:tc>
          <w:tcPr>
            <w:tcW w:w="1701" w:type="dxa"/>
            <w:shd w:val="clear" w:color="auto" w:fill="auto"/>
          </w:tcPr>
          <w:p w14:paraId="4C603068" w14:textId="3255BC93"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r>
      <w:tr w:rsidR="005B0700" w:rsidRPr="00EB61C4" w14:paraId="4CF2FF29" w14:textId="77777777" w:rsidTr="005B0700">
        <w:tc>
          <w:tcPr>
            <w:tcW w:w="2832" w:type="dxa"/>
            <w:vMerge/>
            <w:tcBorders>
              <w:bottom w:val="single" w:sz="4" w:space="0" w:color="auto"/>
            </w:tcBorders>
            <w:shd w:val="clear" w:color="auto" w:fill="auto"/>
          </w:tcPr>
          <w:p w14:paraId="7789CCB3" w14:textId="77777777" w:rsidR="005B0700" w:rsidRPr="00EB61C4" w:rsidRDefault="005B0700" w:rsidP="005B0700">
            <w:pPr>
              <w:pStyle w:val="TextPI"/>
              <w:spacing w:before="80" w:after="80" w:line="240" w:lineRule="auto"/>
              <w:jc w:val="left"/>
              <w:rPr>
                <w:bCs/>
                <w:noProof/>
                <w:sz w:val="20"/>
                <w:szCs w:val="20"/>
                <w:lang w:val="en-GB"/>
              </w:rPr>
            </w:pPr>
          </w:p>
        </w:tc>
        <w:tc>
          <w:tcPr>
            <w:tcW w:w="2161" w:type="dxa"/>
            <w:shd w:val="clear" w:color="auto" w:fill="auto"/>
          </w:tcPr>
          <w:p w14:paraId="7C7EDD52"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Weight decreased</w:t>
            </w:r>
          </w:p>
        </w:tc>
        <w:tc>
          <w:tcPr>
            <w:tcW w:w="1523" w:type="dxa"/>
            <w:shd w:val="clear" w:color="auto" w:fill="auto"/>
          </w:tcPr>
          <w:p w14:paraId="29FD7B04"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578E8724" w14:textId="5AC05A85"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Common</w:t>
            </w:r>
          </w:p>
        </w:tc>
        <w:tc>
          <w:tcPr>
            <w:tcW w:w="1701" w:type="dxa"/>
            <w:shd w:val="clear" w:color="auto" w:fill="auto"/>
          </w:tcPr>
          <w:p w14:paraId="7C651567" w14:textId="375BCB2E"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r>
      <w:tr w:rsidR="005B0700" w:rsidRPr="00EB61C4" w14:paraId="6DD7E5BD" w14:textId="77777777" w:rsidTr="005B0700">
        <w:tc>
          <w:tcPr>
            <w:tcW w:w="2832" w:type="dxa"/>
            <w:vMerge w:val="restart"/>
            <w:shd w:val="clear" w:color="auto" w:fill="auto"/>
          </w:tcPr>
          <w:p w14:paraId="2133B3B8" w14:textId="77777777" w:rsidR="005B0700" w:rsidRPr="00EB61C4" w:rsidRDefault="005B0700" w:rsidP="005B0700">
            <w:pPr>
              <w:pStyle w:val="TextPI"/>
              <w:spacing w:before="80" w:after="80" w:line="240" w:lineRule="auto"/>
              <w:jc w:val="left"/>
              <w:rPr>
                <w:bCs/>
                <w:noProof/>
                <w:sz w:val="20"/>
                <w:szCs w:val="20"/>
                <w:lang w:val="en-GB"/>
              </w:rPr>
            </w:pPr>
            <w:r w:rsidRPr="00EB61C4">
              <w:rPr>
                <w:bCs/>
                <w:noProof/>
                <w:sz w:val="20"/>
                <w:szCs w:val="20"/>
                <w:lang w:val="en-GB"/>
              </w:rPr>
              <w:t>Vascular disorders</w:t>
            </w:r>
          </w:p>
        </w:tc>
        <w:tc>
          <w:tcPr>
            <w:tcW w:w="2161" w:type="dxa"/>
            <w:shd w:val="clear" w:color="auto" w:fill="auto"/>
          </w:tcPr>
          <w:p w14:paraId="57825BEE"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Hypertension</w:t>
            </w:r>
          </w:p>
        </w:tc>
        <w:tc>
          <w:tcPr>
            <w:tcW w:w="1523" w:type="dxa"/>
            <w:shd w:val="clear" w:color="auto" w:fill="auto"/>
          </w:tcPr>
          <w:p w14:paraId="3F0D9B3E"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Uncommon</w:t>
            </w:r>
          </w:p>
        </w:tc>
        <w:tc>
          <w:tcPr>
            <w:tcW w:w="1984" w:type="dxa"/>
          </w:tcPr>
          <w:p w14:paraId="57CE2B96" w14:textId="1243A710"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Common</w:t>
            </w:r>
          </w:p>
        </w:tc>
        <w:tc>
          <w:tcPr>
            <w:tcW w:w="1701" w:type="dxa"/>
            <w:shd w:val="clear" w:color="auto" w:fill="auto"/>
          </w:tcPr>
          <w:p w14:paraId="080974F1" w14:textId="11E34B58"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r>
      <w:tr w:rsidR="005B0700" w:rsidRPr="00EB61C4" w14:paraId="4D183FFA" w14:textId="77777777" w:rsidTr="005B0700">
        <w:tc>
          <w:tcPr>
            <w:tcW w:w="2832" w:type="dxa"/>
            <w:vMerge/>
            <w:tcBorders>
              <w:bottom w:val="single" w:sz="4" w:space="0" w:color="auto"/>
            </w:tcBorders>
            <w:shd w:val="clear" w:color="auto" w:fill="auto"/>
          </w:tcPr>
          <w:p w14:paraId="0E95799A" w14:textId="77777777" w:rsidR="005B0700" w:rsidRPr="00EB61C4" w:rsidRDefault="005B0700" w:rsidP="005B0700">
            <w:pPr>
              <w:pStyle w:val="TextPI"/>
              <w:spacing w:before="80" w:after="80" w:line="240" w:lineRule="auto"/>
              <w:jc w:val="left"/>
              <w:rPr>
                <w:bCs/>
                <w:noProof/>
                <w:sz w:val="20"/>
                <w:szCs w:val="20"/>
                <w:lang w:val="en-GB"/>
              </w:rPr>
            </w:pPr>
          </w:p>
        </w:tc>
        <w:tc>
          <w:tcPr>
            <w:tcW w:w="2161" w:type="dxa"/>
            <w:shd w:val="clear" w:color="auto" w:fill="auto"/>
          </w:tcPr>
          <w:p w14:paraId="1766B8D4"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Bleeding</w:t>
            </w:r>
            <w:r w:rsidRPr="00EB61C4">
              <w:rPr>
                <w:noProof/>
                <w:sz w:val="20"/>
                <w:szCs w:val="20"/>
                <w:vertAlign w:val="superscript"/>
                <w:lang w:val="en-GB"/>
              </w:rPr>
              <w:t>1,2</w:t>
            </w:r>
          </w:p>
        </w:tc>
        <w:tc>
          <w:tcPr>
            <w:tcW w:w="1523" w:type="dxa"/>
            <w:shd w:val="clear" w:color="auto" w:fill="auto"/>
          </w:tcPr>
          <w:p w14:paraId="5ACD531D"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70B8390A" w14:textId="43401B66"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Common</w:t>
            </w:r>
          </w:p>
        </w:tc>
        <w:tc>
          <w:tcPr>
            <w:tcW w:w="1701" w:type="dxa"/>
            <w:shd w:val="clear" w:color="auto" w:fill="auto"/>
          </w:tcPr>
          <w:p w14:paraId="11FA5EEC" w14:textId="1B6AF150"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r>
      <w:tr w:rsidR="005B0700" w:rsidRPr="00EB61C4" w14:paraId="58C34E0D" w14:textId="77777777" w:rsidTr="005B0700">
        <w:tc>
          <w:tcPr>
            <w:tcW w:w="2832" w:type="dxa"/>
            <w:vMerge w:val="restart"/>
            <w:shd w:val="clear" w:color="auto" w:fill="auto"/>
          </w:tcPr>
          <w:p w14:paraId="365B3529" w14:textId="77777777" w:rsidR="005B0700" w:rsidRPr="00EB61C4" w:rsidRDefault="005B0700" w:rsidP="005B0700">
            <w:pPr>
              <w:pStyle w:val="TextPI"/>
              <w:spacing w:before="80" w:after="80" w:line="240" w:lineRule="auto"/>
              <w:jc w:val="left"/>
              <w:rPr>
                <w:bCs/>
                <w:noProof/>
                <w:sz w:val="20"/>
                <w:szCs w:val="20"/>
                <w:lang w:val="en-GB"/>
              </w:rPr>
            </w:pPr>
            <w:r w:rsidRPr="00EB61C4">
              <w:rPr>
                <w:bCs/>
                <w:noProof/>
                <w:sz w:val="20"/>
                <w:szCs w:val="20"/>
                <w:lang w:val="en-GB"/>
              </w:rPr>
              <w:t>Gastrointestinal disorders</w:t>
            </w:r>
          </w:p>
        </w:tc>
        <w:tc>
          <w:tcPr>
            <w:tcW w:w="2161" w:type="dxa"/>
            <w:shd w:val="clear" w:color="auto" w:fill="auto"/>
          </w:tcPr>
          <w:p w14:paraId="6413297A"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Diarrhoea</w:t>
            </w:r>
          </w:p>
        </w:tc>
        <w:tc>
          <w:tcPr>
            <w:tcW w:w="1523" w:type="dxa"/>
            <w:shd w:val="clear" w:color="auto" w:fill="auto"/>
          </w:tcPr>
          <w:p w14:paraId="4E2B2761"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c>
          <w:tcPr>
            <w:tcW w:w="1984" w:type="dxa"/>
          </w:tcPr>
          <w:p w14:paraId="1F60EEF0" w14:textId="0C56E2A3"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Very common</w:t>
            </w:r>
          </w:p>
        </w:tc>
        <w:tc>
          <w:tcPr>
            <w:tcW w:w="1701" w:type="dxa"/>
            <w:shd w:val="clear" w:color="auto" w:fill="auto"/>
          </w:tcPr>
          <w:p w14:paraId="689289F4" w14:textId="66713090"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r>
      <w:tr w:rsidR="005B0700" w:rsidRPr="00EB61C4" w14:paraId="4481DFB4" w14:textId="77777777" w:rsidTr="005B0700">
        <w:tc>
          <w:tcPr>
            <w:tcW w:w="2832" w:type="dxa"/>
            <w:vMerge/>
            <w:shd w:val="clear" w:color="auto" w:fill="auto"/>
          </w:tcPr>
          <w:p w14:paraId="57961E97" w14:textId="77777777" w:rsidR="005B0700" w:rsidRPr="00EB61C4" w:rsidRDefault="005B0700" w:rsidP="005B0700">
            <w:pPr>
              <w:pStyle w:val="TextPI"/>
              <w:spacing w:before="80" w:after="80" w:line="240" w:lineRule="auto"/>
              <w:jc w:val="left"/>
              <w:rPr>
                <w:bCs/>
                <w:noProof/>
                <w:sz w:val="20"/>
                <w:szCs w:val="20"/>
                <w:lang w:val="en-GB"/>
              </w:rPr>
            </w:pPr>
          </w:p>
        </w:tc>
        <w:tc>
          <w:tcPr>
            <w:tcW w:w="2161" w:type="dxa"/>
            <w:shd w:val="clear" w:color="auto" w:fill="auto"/>
          </w:tcPr>
          <w:p w14:paraId="352066D7"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Nausea</w:t>
            </w:r>
          </w:p>
        </w:tc>
        <w:tc>
          <w:tcPr>
            <w:tcW w:w="1523" w:type="dxa"/>
            <w:shd w:val="clear" w:color="auto" w:fill="auto"/>
          </w:tcPr>
          <w:p w14:paraId="371613BB"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c>
          <w:tcPr>
            <w:tcW w:w="1984" w:type="dxa"/>
          </w:tcPr>
          <w:p w14:paraId="7C9B6C00" w14:textId="6ACE5AB8"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Very common</w:t>
            </w:r>
          </w:p>
        </w:tc>
        <w:tc>
          <w:tcPr>
            <w:tcW w:w="1701" w:type="dxa"/>
            <w:shd w:val="clear" w:color="auto" w:fill="auto"/>
          </w:tcPr>
          <w:p w14:paraId="64FFCDAA" w14:textId="64BB32DE"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r>
      <w:tr w:rsidR="005B0700" w:rsidRPr="00EB61C4" w14:paraId="22A43FAA" w14:textId="77777777" w:rsidTr="005B0700">
        <w:tc>
          <w:tcPr>
            <w:tcW w:w="2832" w:type="dxa"/>
            <w:vMerge/>
            <w:shd w:val="clear" w:color="auto" w:fill="auto"/>
          </w:tcPr>
          <w:p w14:paraId="456FDA47" w14:textId="77777777" w:rsidR="005B0700" w:rsidRPr="00EB61C4" w:rsidRDefault="005B0700" w:rsidP="005B0700">
            <w:pPr>
              <w:pStyle w:val="TextPI"/>
              <w:spacing w:before="80" w:after="80" w:line="240" w:lineRule="auto"/>
              <w:jc w:val="left"/>
              <w:rPr>
                <w:bCs/>
                <w:noProof/>
                <w:sz w:val="20"/>
                <w:szCs w:val="20"/>
                <w:lang w:val="en-GB"/>
              </w:rPr>
            </w:pPr>
          </w:p>
        </w:tc>
        <w:tc>
          <w:tcPr>
            <w:tcW w:w="2161" w:type="dxa"/>
            <w:shd w:val="clear" w:color="auto" w:fill="auto"/>
          </w:tcPr>
          <w:p w14:paraId="6F15A01F"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Abdominal pain</w:t>
            </w:r>
          </w:p>
        </w:tc>
        <w:tc>
          <w:tcPr>
            <w:tcW w:w="1523" w:type="dxa"/>
            <w:shd w:val="clear" w:color="auto" w:fill="auto"/>
          </w:tcPr>
          <w:p w14:paraId="2BACA64C"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c>
          <w:tcPr>
            <w:tcW w:w="1984" w:type="dxa"/>
          </w:tcPr>
          <w:p w14:paraId="04E7D032" w14:textId="1AADE817"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Very common</w:t>
            </w:r>
          </w:p>
        </w:tc>
        <w:tc>
          <w:tcPr>
            <w:tcW w:w="1701" w:type="dxa"/>
            <w:shd w:val="clear" w:color="auto" w:fill="auto"/>
          </w:tcPr>
          <w:p w14:paraId="19746DC8" w14:textId="718B37C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r>
      <w:tr w:rsidR="005B0700" w:rsidRPr="00EB61C4" w14:paraId="0C27D977" w14:textId="77777777" w:rsidTr="005B0700">
        <w:tc>
          <w:tcPr>
            <w:tcW w:w="2832" w:type="dxa"/>
            <w:vMerge/>
            <w:shd w:val="clear" w:color="auto" w:fill="auto"/>
          </w:tcPr>
          <w:p w14:paraId="122B2478" w14:textId="77777777" w:rsidR="005B0700" w:rsidRPr="00EB61C4" w:rsidRDefault="005B0700" w:rsidP="005B0700">
            <w:pPr>
              <w:pStyle w:val="TextPI"/>
              <w:spacing w:before="80" w:after="80" w:line="240" w:lineRule="auto"/>
              <w:jc w:val="left"/>
              <w:rPr>
                <w:bCs/>
                <w:noProof/>
                <w:sz w:val="20"/>
                <w:szCs w:val="20"/>
                <w:lang w:val="en-GB"/>
              </w:rPr>
            </w:pPr>
          </w:p>
        </w:tc>
        <w:tc>
          <w:tcPr>
            <w:tcW w:w="2161" w:type="dxa"/>
            <w:shd w:val="clear" w:color="auto" w:fill="auto"/>
          </w:tcPr>
          <w:p w14:paraId="1C22BC8E"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Vomiting</w:t>
            </w:r>
          </w:p>
        </w:tc>
        <w:tc>
          <w:tcPr>
            <w:tcW w:w="1523" w:type="dxa"/>
            <w:shd w:val="clear" w:color="auto" w:fill="auto"/>
          </w:tcPr>
          <w:p w14:paraId="7BA84675"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21366C87" w14:textId="04A1DB71"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Very common</w:t>
            </w:r>
          </w:p>
        </w:tc>
        <w:tc>
          <w:tcPr>
            <w:tcW w:w="1701" w:type="dxa"/>
            <w:shd w:val="clear" w:color="auto" w:fill="auto"/>
          </w:tcPr>
          <w:p w14:paraId="01A40386" w14:textId="4C2ACE3A"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Very common</w:t>
            </w:r>
          </w:p>
        </w:tc>
      </w:tr>
      <w:tr w:rsidR="005B0700" w:rsidRPr="00EB61C4" w14:paraId="1CA6C61C" w14:textId="77777777" w:rsidTr="005B0700">
        <w:tc>
          <w:tcPr>
            <w:tcW w:w="2832" w:type="dxa"/>
            <w:vMerge/>
            <w:tcBorders>
              <w:bottom w:val="single" w:sz="4" w:space="0" w:color="auto"/>
            </w:tcBorders>
            <w:shd w:val="clear" w:color="auto" w:fill="auto"/>
          </w:tcPr>
          <w:p w14:paraId="6FCE5D08" w14:textId="77777777" w:rsidR="005B0700" w:rsidRPr="00EB61C4" w:rsidRDefault="005B0700" w:rsidP="005B0700">
            <w:pPr>
              <w:pStyle w:val="TextPI"/>
              <w:spacing w:before="80" w:after="80" w:line="240" w:lineRule="auto"/>
              <w:jc w:val="left"/>
              <w:rPr>
                <w:bCs/>
                <w:noProof/>
                <w:sz w:val="20"/>
                <w:szCs w:val="20"/>
                <w:lang w:val="en-GB"/>
              </w:rPr>
            </w:pPr>
          </w:p>
        </w:tc>
        <w:tc>
          <w:tcPr>
            <w:tcW w:w="2161" w:type="dxa"/>
            <w:shd w:val="clear" w:color="auto" w:fill="auto"/>
          </w:tcPr>
          <w:p w14:paraId="5AD3E717"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Pancreatitis</w:t>
            </w:r>
          </w:p>
        </w:tc>
        <w:tc>
          <w:tcPr>
            <w:tcW w:w="1523" w:type="dxa"/>
            <w:shd w:val="clear" w:color="auto" w:fill="auto"/>
          </w:tcPr>
          <w:p w14:paraId="0E55443C"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Uncommon</w:t>
            </w:r>
          </w:p>
        </w:tc>
        <w:tc>
          <w:tcPr>
            <w:tcW w:w="1984" w:type="dxa"/>
          </w:tcPr>
          <w:p w14:paraId="2E8BC5DF" w14:textId="46BB9174" w:rsidR="005B0700" w:rsidRPr="00EB61C4" w:rsidRDefault="005B0700" w:rsidP="005B0700">
            <w:pPr>
              <w:pStyle w:val="TextPI"/>
              <w:spacing w:before="80" w:after="80" w:line="240" w:lineRule="auto"/>
              <w:rPr>
                <w:noProof/>
                <w:sz w:val="20"/>
                <w:szCs w:val="20"/>
                <w:lang w:val="en-GB"/>
              </w:rPr>
            </w:pPr>
            <w:r w:rsidRPr="00295D29">
              <w:rPr>
                <w:noProof/>
                <w:sz w:val="20"/>
                <w:szCs w:val="20"/>
                <w:lang w:val="en-GB"/>
              </w:rPr>
              <w:t>Uncommon</w:t>
            </w:r>
          </w:p>
        </w:tc>
        <w:tc>
          <w:tcPr>
            <w:tcW w:w="1701" w:type="dxa"/>
            <w:shd w:val="clear" w:color="auto" w:fill="auto"/>
          </w:tcPr>
          <w:p w14:paraId="78277455" w14:textId="3FEE2845"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Not known</w:t>
            </w:r>
          </w:p>
        </w:tc>
      </w:tr>
      <w:tr w:rsidR="005B0700" w:rsidRPr="00EB61C4" w14:paraId="793E827E" w14:textId="77777777" w:rsidTr="005B0700">
        <w:tc>
          <w:tcPr>
            <w:tcW w:w="2832" w:type="dxa"/>
            <w:vMerge w:val="restart"/>
            <w:shd w:val="clear" w:color="auto" w:fill="auto"/>
          </w:tcPr>
          <w:p w14:paraId="450AE2EF" w14:textId="77777777" w:rsidR="005B0700" w:rsidRPr="00EB61C4" w:rsidRDefault="005B0700" w:rsidP="005B0700">
            <w:pPr>
              <w:pStyle w:val="TextPI"/>
              <w:spacing w:before="80" w:after="80" w:line="240" w:lineRule="auto"/>
              <w:jc w:val="left"/>
              <w:rPr>
                <w:bCs/>
                <w:noProof/>
                <w:sz w:val="20"/>
                <w:szCs w:val="20"/>
                <w:lang w:val="en-GB"/>
              </w:rPr>
            </w:pPr>
            <w:r w:rsidRPr="00EB61C4">
              <w:rPr>
                <w:bCs/>
                <w:noProof/>
                <w:sz w:val="20"/>
                <w:szCs w:val="20"/>
                <w:lang w:val="en-GB"/>
              </w:rPr>
              <w:t>Hepatobiliary disorders</w:t>
            </w:r>
          </w:p>
        </w:tc>
        <w:tc>
          <w:tcPr>
            <w:tcW w:w="2161" w:type="dxa"/>
            <w:shd w:val="clear" w:color="auto" w:fill="auto"/>
          </w:tcPr>
          <w:p w14:paraId="4DB0BE98" w14:textId="77777777" w:rsidR="005B0700" w:rsidRPr="00EB61C4" w:rsidRDefault="005B0700" w:rsidP="005B0700">
            <w:pPr>
              <w:pStyle w:val="TextPI"/>
              <w:spacing w:before="80" w:after="80" w:line="240" w:lineRule="auto"/>
              <w:jc w:val="left"/>
              <w:rPr>
                <w:noProof/>
                <w:sz w:val="20"/>
                <w:szCs w:val="20"/>
                <w:lang w:val="en-GB"/>
              </w:rPr>
            </w:pPr>
            <w:r w:rsidRPr="00EB61C4">
              <w:rPr>
                <w:noProof/>
                <w:sz w:val="20"/>
                <w:szCs w:val="20"/>
                <w:lang w:val="en-GB"/>
              </w:rPr>
              <w:t>Drug-induced liver injury</w:t>
            </w:r>
          </w:p>
        </w:tc>
        <w:tc>
          <w:tcPr>
            <w:tcW w:w="1523" w:type="dxa"/>
            <w:shd w:val="clear" w:color="auto" w:fill="auto"/>
          </w:tcPr>
          <w:p w14:paraId="108CA9E9" w14:textId="77777777"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Uncommon</w:t>
            </w:r>
          </w:p>
        </w:tc>
        <w:tc>
          <w:tcPr>
            <w:tcW w:w="1984" w:type="dxa"/>
          </w:tcPr>
          <w:p w14:paraId="0BB9921E" w14:textId="3E8CC425" w:rsidR="005B0700" w:rsidRPr="00EB61C4" w:rsidRDefault="00C547BE" w:rsidP="005B0700">
            <w:pPr>
              <w:pStyle w:val="TextPI"/>
              <w:spacing w:before="80" w:after="80" w:line="240" w:lineRule="auto"/>
              <w:rPr>
                <w:noProof/>
                <w:sz w:val="20"/>
                <w:szCs w:val="20"/>
                <w:lang w:val="en-GB"/>
              </w:rPr>
            </w:pPr>
            <w:r w:rsidRPr="00320AC3">
              <w:rPr>
                <w:noProof/>
                <w:sz w:val="20"/>
                <w:szCs w:val="20"/>
                <w:lang w:val="en-GB"/>
              </w:rPr>
              <w:t>Common</w:t>
            </w:r>
          </w:p>
        </w:tc>
        <w:tc>
          <w:tcPr>
            <w:tcW w:w="1701" w:type="dxa"/>
            <w:shd w:val="clear" w:color="auto" w:fill="auto"/>
          </w:tcPr>
          <w:p w14:paraId="7F5EF734" w14:textId="4332B794" w:rsidR="005B0700" w:rsidRPr="00EB61C4" w:rsidRDefault="005B0700" w:rsidP="005B0700">
            <w:pPr>
              <w:pStyle w:val="TextPI"/>
              <w:spacing w:before="80" w:after="80" w:line="240" w:lineRule="auto"/>
              <w:rPr>
                <w:noProof/>
                <w:sz w:val="20"/>
                <w:szCs w:val="20"/>
                <w:lang w:val="en-GB"/>
              </w:rPr>
            </w:pPr>
            <w:r w:rsidRPr="00EB61C4">
              <w:rPr>
                <w:noProof/>
                <w:sz w:val="20"/>
                <w:szCs w:val="20"/>
                <w:lang w:val="en-GB"/>
              </w:rPr>
              <w:t>Uncommon</w:t>
            </w:r>
          </w:p>
        </w:tc>
      </w:tr>
      <w:tr w:rsidR="00C547BE" w:rsidRPr="00EB61C4" w14:paraId="280EBF2E" w14:textId="77777777" w:rsidTr="005B0700">
        <w:tc>
          <w:tcPr>
            <w:tcW w:w="2832" w:type="dxa"/>
            <w:vMerge/>
            <w:shd w:val="clear" w:color="auto" w:fill="auto"/>
          </w:tcPr>
          <w:p w14:paraId="6E211EAC" w14:textId="77777777" w:rsidR="00C547BE" w:rsidRPr="00EB61C4" w:rsidRDefault="00C547BE" w:rsidP="00C547BE">
            <w:pPr>
              <w:pStyle w:val="TextPI"/>
              <w:spacing w:before="80" w:after="80" w:line="240" w:lineRule="auto"/>
              <w:jc w:val="left"/>
              <w:rPr>
                <w:bCs/>
                <w:noProof/>
                <w:sz w:val="20"/>
                <w:szCs w:val="20"/>
                <w:lang w:val="en-GB"/>
              </w:rPr>
            </w:pPr>
          </w:p>
        </w:tc>
        <w:tc>
          <w:tcPr>
            <w:tcW w:w="2161" w:type="dxa"/>
            <w:shd w:val="clear" w:color="auto" w:fill="auto"/>
          </w:tcPr>
          <w:p w14:paraId="07A292EA" w14:textId="77777777" w:rsidR="00C547BE" w:rsidRPr="00EB61C4" w:rsidRDefault="00C547BE" w:rsidP="00C547BE">
            <w:pPr>
              <w:pStyle w:val="TextPI"/>
              <w:spacing w:before="80" w:after="80" w:line="240" w:lineRule="auto"/>
              <w:jc w:val="left"/>
              <w:rPr>
                <w:noProof/>
                <w:sz w:val="20"/>
                <w:szCs w:val="20"/>
                <w:lang w:val="en-GB"/>
              </w:rPr>
            </w:pPr>
            <w:r w:rsidRPr="00EB61C4">
              <w:rPr>
                <w:noProof/>
                <w:sz w:val="20"/>
                <w:szCs w:val="20"/>
                <w:lang w:val="en-GB"/>
              </w:rPr>
              <w:t>Hepatic enzyme increased</w:t>
            </w:r>
          </w:p>
        </w:tc>
        <w:tc>
          <w:tcPr>
            <w:tcW w:w="1523" w:type="dxa"/>
            <w:shd w:val="clear" w:color="auto" w:fill="auto"/>
          </w:tcPr>
          <w:p w14:paraId="02EADA2D"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Very common</w:t>
            </w:r>
          </w:p>
        </w:tc>
        <w:tc>
          <w:tcPr>
            <w:tcW w:w="1984" w:type="dxa"/>
          </w:tcPr>
          <w:p w14:paraId="237D26F1" w14:textId="4122C0A4" w:rsidR="00C547BE" w:rsidRPr="00EB61C4" w:rsidRDefault="00C547BE" w:rsidP="00C547BE">
            <w:pPr>
              <w:pStyle w:val="TextPI"/>
              <w:spacing w:before="80" w:after="80" w:line="240" w:lineRule="auto"/>
              <w:rPr>
                <w:noProof/>
                <w:sz w:val="20"/>
                <w:szCs w:val="20"/>
                <w:lang w:val="en-GB"/>
              </w:rPr>
            </w:pPr>
            <w:r w:rsidRPr="00320AC3">
              <w:rPr>
                <w:noProof/>
                <w:sz w:val="20"/>
                <w:szCs w:val="20"/>
                <w:lang w:val="en-GB"/>
              </w:rPr>
              <w:t>Very common</w:t>
            </w:r>
          </w:p>
        </w:tc>
        <w:tc>
          <w:tcPr>
            <w:tcW w:w="1701" w:type="dxa"/>
            <w:shd w:val="clear" w:color="auto" w:fill="auto"/>
          </w:tcPr>
          <w:p w14:paraId="06C0A88C" w14:textId="69274B35"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Very common</w:t>
            </w:r>
          </w:p>
        </w:tc>
      </w:tr>
      <w:tr w:rsidR="00C547BE" w:rsidRPr="00EB61C4" w14:paraId="7E13ABE9" w14:textId="77777777" w:rsidTr="005B0700">
        <w:tc>
          <w:tcPr>
            <w:tcW w:w="2832" w:type="dxa"/>
            <w:vMerge/>
            <w:shd w:val="clear" w:color="auto" w:fill="auto"/>
          </w:tcPr>
          <w:p w14:paraId="58C91AA5" w14:textId="77777777" w:rsidR="00C547BE" w:rsidRPr="00EB61C4" w:rsidRDefault="00C547BE" w:rsidP="00C547BE">
            <w:pPr>
              <w:pStyle w:val="TextPI"/>
              <w:spacing w:before="80" w:after="80" w:line="240" w:lineRule="auto"/>
              <w:jc w:val="left"/>
              <w:rPr>
                <w:bCs/>
                <w:noProof/>
                <w:sz w:val="20"/>
                <w:szCs w:val="20"/>
                <w:lang w:val="en-GB"/>
              </w:rPr>
            </w:pPr>
          </w:p>
        </w:tc>
        <w:tc>
          <w:tcPr>
            <w:tcW w:w="2161" w:type="dxa"/>
            <w:shd w:val="clear" w:color="auto" w:fill="auto"/>
          </w:tcPr>
          <w:p w14:paraId="36101FD2" w14:textId="77777777" w:rsidR="00C547BE" w:rsidRPr="00EB61C4" w:rsidRDefault="00C547BE" w:rsidP="00C547BE">
            <w:pPr>
              <w:pStyle w:val="TextPI"/>
              <w:spacing w:before="80" w:after="80" w:line="240" w:lineRule="auto"/>
              <w:jc w:val="left"/>
              <w:rPr>
                <w:noProof/>
                <w:sz w:val="20"/>
                <w:szCs w:val="20"/>
                <w:lang w:val="en-GB"/>
              </w:rPr>
            </w:pPr>
            <w:r w:rsidRPr="00EB61C4">
              <w:rPr>
                <w:noProof/>
                <w:sz w:val="20"/>
                <w:szCs w:val="20"/>
                <w:lang w:val="en-GB"/>
              </w:rPr>
              <w:t>Alanine aminotransferase (ALT) increased</w:t>
            </w:r>
          </w:p>
        </w:tc>
        <w:tc>
          <w:tcPr>
            <w:tcW w:w="1523" w:type="dxa"/>
            <w:shd w:val="clear" w:color="auto" w:fill="auto"/>
          </w:tcPr>
          <w:p w14:paraId="23A17E6D"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5B42719F" w14:textId="5CE8953F" w:rsidR="00C547BE" w:rsidRPr="00EB61C4" w:rsidRDefault="00C547BE" w:rsidP="00C547BE">
            <w:pPr>
              <w:pStyle w:val="TextPI"/>
              <w:spacing w:before="80" w:after="80" w:line="240" w:lineRule="auto"/>
              <w:rPr>
                <w:noProof/>
                <w:sz w:val="20"/>
                <w:szCs w:val="20"/>
                <w:lang w:val="en-GB"/>
              </w:rPr>
            </w:pPr>
            <w:r w:rsidRPr="00320AC3">
              <w:rPr>
                <w:noProof/>
                <w:sz w:val="20"/>
                <w:szCs w:val="20"/>
                <w:lang w:val="en-GB"/>
              </w:rPr>
              <w:t>Very common</w:t>
            </w:r>
          </w:p>
        </w:tc>
        <w:tc>
          <w:tcPr>
            <w:tcW w:w="1701" w:type="dxa"/>
            <w:shd w:val="clear" w:color="auto" w:fill="auto"/>
          </w:tcPr>
          <w:p w14:paraId="057BEBDA" w14:textId="134BBA9A"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r>
      <w:tr w:rsidR="00C547BE" w:rsidRPr="00EB61C4" w14:paraId="28753C9E" w14:textId="77777777" w:rsidTr="005B0700">
        <w:tc>
          <w:tcPr>
            <w:tcW w:w="2832" w:type="dxa"/>
            <w:vMerge/>
            <w:shd w:val="clear" w:color="auto" w:fill="auto"/>
          </w:tcPr>
          <w:p w14:paraId="53B6FFCE" w14:textId="77777777" w:rsidR="00C547BE" w:rsidRPr="00EB61C4" w:rsidRDefault="00C547BE" w:rsidP="00C547BE">
            <w:pPr>
              <w:pStyle w:val="TextPI"/>
              <w:spacing w:before="80" w:after="80" w:line="240" w:lineRule="auto"/>
              <w:jc w:val="left"/>
              <w:rPr>
                <w:bCs/>
                <w:noProof/>
                <w:sz w:val="20"/>
                <w:szCs w:val="20"/>
                <w:lang w:val="en-GB"/>
              </w:rPr>
            </w:pPr>
          </w:p>
        </w:tc>
        <w:tc>
          <w:tcPr>
            <w:tcW w:w="2161" w:type="dxa"/>
            <w:shd w:val="clear" w:color="auto" w:fill="auto"/>
          </w:tcPr>
          <w:p w14:paraId="2E806CE9" w14:textId="77777777" w:rsidR="00C547BE" w:rsidRPr="00EB61C4" w:rsidRDefault="00C547BE" w:rsidP="00C547BE">
            <w:pPr>
              <w:pStyle w:val="TextPI"/>
              <w:spacing w:before="80" w:after="80" w:line="240" w:lineRule="auto"/>
              <w:jc w:val="left"/>
              <w:rPr>
                <w:noProof/>
                <w:sz w:val="20"/>
                <w:szCs w:val="20"/>
                <w:lang w:val="en-GB"/>
              </w:rPr>
            </w:pPr>
            <w:r w:rsidRPr="00EB61C4">
              <w:rPr>
                <w:noProof/>
                <w:sz w:val="20"/>
                <w:szCs w:val="20"/>
                <w:lang w:val="en-GB"/>
              </w:rPr>
              <w:t>Aspartate aminotransferase (AST) increased</w:t>
            </w:r>
          </w:p>
        </w:tc>
        <w:tc>
          <w:tcPr>
            <w:tcW w:w="1523" w:type="dxa"/>
            <w:shd w:val="clear" w:color="auto" w:fill="auto"/>
          </w:tcPr>
          <w:p w14:paraId="0FDEEFC7"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6F5D195A" w14:textId="3DBAF5D4" w:rsidR="00C547BE" w:rsidRPr="00EB61C4" w:rsidRDefault="00C547BE" w:rsidP="00C547BE">
            <w:pPr>
              <w:pStyle w:val="TextPI"/>
              <w:spacing w:before="80" w:after="80" w:line="240" w:lineRule="auto"/>
              <w:rPr>
                <w:noProof/>
                <w:sz w:val="20"/>
                <w:szCs w:val="20"/>
                <w:lang w:val="en-GB"/>
              </w:rPr>
            </w:pPr>
            <w:r w:rsidRPr="00C547BE">
              <w:rPr>
                <w:noProof/>
                <w:sz w:val="20"/>
                <w:szCs w:val="20"/>
                <w:lang w:val="en-GB"/>
              </w:rPr>
              <w:t>Common</w:t>
            </w:r>
          </w:p>
        </w:tc>
        <w:tc>
          <w:tcPr>
            <w:tcW w:w="1701" w:type="dxa"/>
            <w:shd w:val="clear" w:color="auto" w:fill="auto"/>
          </w:tcPr>
          <w:p w14:paraId="76A1638E" w14:textId="1F0DCC23"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r>
      <w:tr w:rsidR="00C547BE" w:rsidRPr="00EB61C4" w14:paraId="3CFE6869" w14:textId="77777777" w:rsidTr="005B0700">
        <w:tc>
          <w:tcPr>
            <w:tcW w:w="2832" w:type="dxa"/>
            <w:vMerge/>
            <w:shd w:val="clear" w:color="auto" w:fill="auto"/>
          </w:tcPr>
          <w:p w14:paraId="34A340F5" w14:textId="77777777" w:rsidR="00C547BE" w:rsidRPr="00EB61C4" w:rsidRDefault="00C547BE" w:rsidP="00C547BE">
            <w:pPr>
              <w:pStyle w:val="TextPI"/>
              <w:spacing w:before="80" w:after="80" w:line="240" w:lineRule="auto"/>
              <w:jc w:val="left"/>
              <w:rPr>
                <w:bCs/>
                <w:noProof/>
                <w:sz w:val="20"/>
                <w:szCs w:val="20"/>
                <w:lang w:val="en-GB"/>
              </w:rPr>
            </w:pPr>
          </w:p>
        </w:tc>
        <w:tc>
          <w:tcPr>
            <w:tcW w:w="2161" w:type="dxa"/>
            <w:shd w:val="clear" w:color="auto" w:fill="auto"/>
          </w:tcPr>
          <w:p w14:paraId="75FFBC62" w14:textId="77777777" w:rsidR="00C547BE" w:rsidRPr="00EB61C4" w:rsidRDefault="00C547BE" w:rsidP="00C547BE">
            <w:pPr>
              <w:pStyle w:val="TextPI"/>
              <w:spacing w:before="80" w:after="80" w:line="240" w:lineRule="auto"/>
              <w:jc w:val="left"/>
              <w:rPr>
                <w:noProof/>
                <w:sz w:val="20"/>
                <w:szCs w:val="20"/>
                <w:lang w:val="en-GB"/>
              </w:rPr>
            </w:pPr>
            <w:r w:rsidRPr="00EB61C4">
              <w:rPr>
                <w:noProof/>
                <w:sz w:val="20"/>
                <w:szCs w:val="20"/>
                <w:lang w:val="en-GB"/>
              </w:rPr>
              <w:t>Gamma-glutamyltransferase (GGT) increased</w:t>
            </w:r>
          </w:p>
        </w:tc>
        <w:tc>
          <w:tcPr>
            <w:tcW w:w="1523" w:type="dxa"/>
            <w:shd w:val="clear" w:color="auto" w:fill="auto"/>
          </w:tcPr>
          <w:p w14:paraId="6EEB0372"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33E98022" w14:textId="1DB490F7" w:rsidR="00C547BE" w:rsidRPr="00EB61C4" w:rsidRDefault="00C547BE" w:rsidP="00C547BE">
            <w:pPr>
              <w:pStyle w:val="TextPI"/>
              <w:spacing w:before="80" w:after="80" w:line="240" w:lineRule="auto"/>
              <w:rPr>
                <w:noProof/>
                <w:sz w:val="20"/>
                <w:szCs w:val="20"/>
                <w:lang w:val="en-GB"/>
              </w:rPr>
            </w:pPr>
            <w:r w:rsidRPr="00C547BE">
              <w:rPr>
                <w:noProof/>
                <w:sz w:val="20"/>
                <w:szCs w:val="20"/>
                <w:lang w:val="en-GB"/>
              </w:rPr>
              <w:t>Common</w:t>
            </w:r>
          </w:p>
        </w:tc>
        <w:tc>
          <w:tcPr>
            <w:tcW w:w="1701" w:type="dxa"/>
            <w:shd w:val="clear" w:color="auto" w:fill="auto"/>
          </w:tcPr>
          <w:p w14:paraId="48F01264" w14:textId="61A28C34"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r>
      <w:tr w:rsidR="00C547BE" w:rsidRPr="00EB61C4" w14:paraId="07AB1057" w14:textId="77777777" w:rsidTr="005B0700">
        <w:tc>
          <w:tcPr>
            <w:tcW w:w="2832" w:type="dxa"/>
            <w:vMerge/>
            <w:shd w:val="clear" w:color="auto" w:fill="auto"/>
          </w:tcPr>
          <w:p w14:paraId="06F85512" w14:textId="77777777" w:rsidR="00C547BE" w:rsidRPr="00EB61C4" w:rsidRDefault="00C547BE" w:rsidP="00C547BE">
            <w:pPr>
              <w:pStyle w:val="TextPI"/>
              <w:spacing w:before="80" w:after="80" w:line="240" w:lineRule="auto"/>
              <w:jc w:val="left"/>
              <w:rPr>
                <w:bCs/>
                <w:noProof/>
                <w:sz w:val="20"/>
                <w:szCs w:val="20"/>
                <w:lang w:val="en-GB"/>
              </w:rPr>
            </w:pPr>
          </w:p>
        </w:tc>
        <w:tc>
          <w:tcPr>
            <w:tcW w:w="2161" w:type="dxa"/>
            <w:shd w:val="clear" w:color="auto" w:fill="auto"/>
          </w:tcPr>
          <w:p w14:paraId="7FE44D9B" w14:textId="77777777" w:rsidR="00C547BE" w:rsidRPr="00EB61C4" w:rsidRDefault="00C547BE" w:rsidP="00C547BE">
            <w:pPr>
              <w:pStyle w:val="TextPI"/>
              <w:spacing w:before="80" w:after="80" w:line="240" w:lineRule="auto"/>
              <w:jc w:val="left"/>
              <w:rPr>
                <w:noProof/>
                <w:sz w:val="20"/>
                <w:szCs w:val="20"/>
                <w:lang w:val="en-GB"/>
              </w:rPr>
            </w:pPr>
            <w:r w:rsidRPr="00EB61C4">
              <w:rPr>
                <w:noProof/>
                <w:sz w:val="20"/>
                <w:szCs w:val="20"/>
                <w:lang w:val="en-GB"/>
              </w:rPr>
              <w:t>Blood alkaline Phosphatase (ALP) increased</w:t>
            </w:r>
          </w:p>
        </w:tc>
        <w:tc>
          <w:tcPr>
            <w:tcW w:w="1523" w:type="dxa"/>
            <w:shd w:val="clear" w:color="auto" w:fill="auto"/>
          </w:tcPr>
          <w:p w14:paraId="74822ABE"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Uncommon</w:t>
            </w:r>
          </w:p>
        </w:tc>
        <w:tc>
          <w:tcPr>
            <w:tcW w:w="1984" w:type="dxa"/>
          </w:tcPr>
          <w:p w14:paraId="3C865F93" w14:textId="23CCB1BE" w:rsidR="00C547BE" w:rsidRPr="00EB61C4" w:rsidRDefault="00C547BE" w:rsidP="00C547BE">
            <w:pPr>
              <w:pStyle w:val="TextPI"/>
              <w:spacing w:before="80" w:after="80" w:line="240" w:lineRule="auto"/>
              <w:rPr>
                <w:noProof/>
                <w:sz w:val="20"/>
                <w:szCs w:val="20"/>
                <w:lang w:val="en-GB"/>
              </w:rPr>
            </w:pPr>
            <w:r w:rsidRPr="00C547BE">
              <w:rPr>
                <w:noProof/>
                <w:sz w:val="20"/>
                <w:szCs w:val="20"/>
                <w:lang w:val="en-GB"/>
              </w:rPr>
              <w:t>Common</w:t>
            </w:r>
          </w:p>
        </w:tc>
        <w:tc>
          <w:tcPr>
            <w:tcW w:w="1701" w:type="dxa"/>
            <w:shd w:val="clear" w:color="auto" w:fill="auto"/>
          </w:tcPr>
          <w:p w14:paraId="40AEA98B" w14:textId="1FE558A4"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r>
      <w:tr w:rsidR="00C547BE" w:rsidRPr="00EB61C4" w14:paraId="43698F5D" w14:textId="77777777" w:rsidTr="005B0700">
        <w:tc>
          <w:tcPr>
            <w:tcW w:w="2832" w:type="dxa"/>
            <w:vMerge/>
            <w:tcBorders>
              <w:bottom w:val="single" w:sz="4" w:space="0" w:color="auto"/>
            </w:tcBorders>
            <w:shd w:val="clear" w:color="auto" w:fill="auto"/>
          </w:tcPr>
          <w:p w14:paraId="489EA116" w14:textId="77777777" w:rsidR="00C547BE" w:rsidRPr="00EB61C4" w:rsidRDefault="00C547BE" w:rsidP="00C547BE">
            <w:pPr>
              <w:pStyle w:val="TextPI"/>
              <w:spacing w:before="80" w:after="80" w:line="240" w:lineRule="auto"/>
              <w:jc w:val="left"/>
              <w:rPr>
                <w:bCs/>
                <w:noProof/>
                <w:sz w:val="20"/>
                <w:szCs w:val="20"/>
                <w:lang w:val="en-GB"/>
              </w:rPr>
            </w:pPr>
          </w:p>
        </w:tc>
        <w:tc>
          <w:tcPr>
            <w:tcW w:w="2161" w:type="dxa"/>
            <w:shd w:val="clear" w:color="auto" w:fill="auto"/>
          </w:tcPr>
          <w:p w14:paraId="0896ADC6" w14:textId="77777777" w:rsidR="00C547BE" w:rsidRPr="00EB61C4" w:rsidRDefault="00C547BE" w:rsidP="00C547BE">
            <w:pPr>
              <w:pStyle w:val="TextPI"/>
              <w:spacing w:before="80" w:after="80" w:line="240" w:lineRule="auto"/>
              <w:jc w:val="left"/>
              <w:rPr>
                <w:noProof/>
                <w:sz w:val="20"/>
                <w:szCs w:val="20"/>
                <w:lang w:val="en-GB"/>
              </w:rPr>
            </w:pPr>
            <w:r w:rsidRPr="00EB61C4">
              <w:rPr>
                <w:noProof/>
                <w:sz w:val="20"/>
                <w:szCs w:val="20"/>
                <w:lang w:val="en-GB"/>
              </w:rPr>
              <w:t>Hyperbilirubinaemia</w:t>
            </w:r>
          </w:p>
        </w:tc>
        <w:tc>
          <w:tcPr>
            <w:tcW w:w="1523" w:type="dxa"/>
            <w:shd w:val="clear" w:color="auto" w:fill="auto"/>
          </w:tcPr>
          <w:p w14:paraId="1795442C"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Uncommon</w:t>
            </w:r>
          </w:p>
        </w:tc>
        <w:tc>
          <w:tcPr>
            <w:tcW w:w="1984" w:type="dxa"/>
          </w:tcPr>
          <w:p w14:paraId="3C9AE96A" w14:textId="4C4D26AA" w:rsidR="00C547BE" w:rsidRPr="00EB61C4" w:rsidRDefault="00C547BE" w:rsidP="00C547BE">
            <w:pPr>
              <w:pStyle w:val="TextPI"/>
              <w:spacing w:before="80" w:after="80" w:line="240" w:lineRule="auto"/>
              <w:rPr>
                <w:noProof/>
                <w:sz w:val="20"/>
                <w:szCs w:val="20"/>
                <w:lang w:val="en-GB"/>
              </w:rPr>
            </w:pPr>
            <w:r w:rsidRPr="00320AC3">
              <w:rPr>
                <w:noProof/>
                <w:sz w:val="20"/>
                <w:szCs w:val="20"/>
                <w:lang w:val="en-GB"/>
              </w:rPr>
              <w:t>Uncommon</w:t>
            </w:r>
          </w:p>
        </w:tc>
        <w:tc>
          <w:tcPr>
            <w:tcW w:w="1701" w:type="dxa"/>
            <w:shd w:val="clear" w:color="auto" w:fill="auto"/>
          </w:tcPr>
          <w:p w14:paraId="54650B26" w14:textId="0A0D55A2"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Not known</w:t>
            </w:r>
          </w:p>
        </w:tc>
      </w:tr>
      <w:tr w:rsidR="00C547BE" w:rsidRPr="00EB61C4" w14:paraId="3A35D2D0" w14:textId="77777777" w:rsidTr="005B0700">
        <w:tc>
          <w:tcPr>
            <w:tcW w:w="2832" w:type="dxa"/>
            <w:vMerge w:val="restart"/>
            <w:shd w:val="clear" w:color="auto" w:fill="auto"/>
          </w:tcPr>
          <w:p w14:paraId="43ADC577" w14:textId="77777777" w:rsidR="00C547BE" w:rsidRPr="00EB61C4" w:rsidRDefault="00C547BE" w:rsidP="00C547BE">
            <w:pPr>
              <w:pStyle w:val="TextPI"/>
              <w:spacing w:before="80" w:after="80" w:line="240" w:lineRule="auto"/>
              <w:jc w:val="left"/>
              <w:rPr>
                <w:bCs/>
                <w:noProof/>
                <w:sz w:val="20"/>
                <w:szCs w:val="20"/>
                <w:lang w:val="en-GB"/>
              </w:rPr>
            </w:pPr>
            <w:r w:rsidRPr="00EB61C4">
              <w:rPr>
                <w:noProof/>
                <w:sz w:val="20"/>
                <w:szCs w:val="20"/>
                <w:lang w:val="en-GB"/>
              </w:rPr>
              <w:t>Skin and subcutaneous tissue disorders</w:t>
            </w:r>
          </w:p>
        </w:tc>
        <w:tc>
          <w:tcPr>
            <w:tcW w:w="2161" w:type="dxa"/>
            <w:shd w:val="clear" w:color="auto" w:fill="auto"/>
          </w:tcPr>
          <w:p w14:paraId="7C7D4888"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Rash</w:t>
            </w:r>
          </w:p>
        </w:tc>
        <w:tc>
          <w:tcPr>
            <w:tcW w:w="1523" w:type="dxa"/>
            <w:shd w:val="clear" w:color="auto" w:fill="auto"/>
          </w:tcPr>
          <w:p w14:paraId="6D549598"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Common</w:t>
            </w:r>
          </w:p>
        </w:tc>
        <w:tc>
          <w:tcPr>
            <w:tcW w:w="1984" w:type="dxa"/>
          </w:tcPr>
          <w:p w14:paraId="02B98947" w14:textId="1700AAB9" w:rsidR="00C547BE" w:rsidRPr="00EB61C4" w:rsidRDefault="00C547BE" w:rsidP="00C547BE">
            <w:pPr>
              <w:pStyle w:val="TextPI"/>
              <w:spacing w:before="80" w:after="80" w:line="240" w:lineRule="auto"/>
              <w:rPr>
                <w:noProof/>
                <w:sz w:val="20"/>
                <w:szCs w:val="20"/>
                <w:lang w:val="en-GB"/>
              </w:rPr>
            </w:pPr>
            <w:r w:rsidRPr="00C547BE">
              <w:rPr>
                <w:noProof/>
                <w:sz w:val="20"/>
                <w:szCs w:val="20"/>
                <w:lang w:val="en-GB"/>
              </w:rPr>
              <w:t>Common</w:t>
            </w:r>
          </w:p>
        </w:tc>
        <w:tc>
          <w:tcPr>
            <w:tcW w:w="1701" w:type="dxa"/>
            <w:shd w:val="clear" w:color="auto" w:fill="auto"/>
          </w:tcPr>
          <w:p w14:paraId="60FBE2BA" w14:textId="1DF95EE0"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Uncommon</w:t>
            </w:r>
          </w:p>
        </w:tc>
      </w:tr>
      <w:tr w:rsidR="00C547BE" w:rsidRPr="00EB61C4" w14:paraId="5F9DB1F5" w14:textId="77777777" w:rsidTr="005B0700">
        <w:tc>
          <w:tcPr>
            <w:tcW w:w="2832" w:type="dxa"/>
            <w:vMerge/>
            <w:shd w:val="clear" w:color="auto" w:fill="auto"/>
          </w:tcPr>
          <w:p w14:paraId="3DE535DA" w14:textId="77777777" w:rsidR="00C547BE" w:rsidRPr="00EB61C4" w:rsidRDefault="00C547BE" w:rsidP="00C547BE">
            <w:pPr>
              <w:pStyle w:val="TextPI"/>
              <w:spacing w:before="80" w:after="80" w:line="240" w:lineRule="auto"/>
              <w:jc w:val="left"/>
              <w:rPr>
                <w:noProof/>
                <w:sz w:val="20"/>
                <w:szCs w:val="20"/>
                <w:lang w:val="en-GB"/>
              </w:rPr>
            </w:pPr>
          </w:p>
        </w:tc>
        <w:tc>
          <w:tcPr>
            <w:tcW w:w="2161" w:type="dxa"/>
            <w:shd w:val="clear" w:color="auto" w:fill="auto"/>
          </w:tcPr>
          <w:p w14:paraId="1D4FC031"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de-DE"/>
              </w:rPr>
              <w:t>Pruritus</w:t>
            </w:r>
          </w:p>
        </w:tc>
        <w:tc>
          <w:tcPr>
            <w:tcW w:w="1523" w:type="dxa"/>
            <w:shd w:val="clear" w:color="auto" w:fill="auto"/>
          </w:tcPr>
          <w:p w14:paraId="178CE308" w14:textId="77777777"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Uncommon</w:t>
            </w:r>
          </w:p>
        </w:tc>
        <w:tc>
          <w:tcPr>
            <w:tcW w:w="1984" w:type="dxa"/>
          </w:tcPr>
          <w:p w14:paraId="3B9E53A6" w14:textId="2ADA5DE0" w:rsidR="00C547BE" w:rsidRPr="00EB61C4" w:rsidRDefault="00C547BE" w:rsidP="00C547BE">
            <w:pPr>
              <w:pStyle w:val="TextPI"/>
              <w:spacing w:before="80" w:after="80" w:line="240" w:lineRule="auto"/>
              <w:rPr>
                <w:noProof/>
                <w:sz w:val="20"/>
                <w:szCs w:val="20"/>
                <w:lang w:val="en-GB"/>
              </w:rPr>
            </w:pPr>
            <w:r w:rsidRPr="00320AC3">
              <w:rPr>
                <w:noProof/>
                <w:sz w:val="20"/>
                <w:szCs w:val="20"/>
                <w:lang w:val="en-GB"/>
              </w:rPr>
              <w:t>Uncommon</w:t>
            </w:r>
          </w:p>
        </w:tc>
        <w:tc>
          <w:tcPr>
            <w:tcW w:w="1701" w:type="dxa"/>
            <w:shd w:val="clear" w:color="auto" w:fill="auto"/>
          </w:tcPr>
          <w:p w14:paraId="12EE6B79" w14:textId="22D40A5D" w:rsidR="00C547BE" w:rsidRPr="00EB61C4" w:rsidRDefault="00C547BE" w:rsidP="00C547BE">
            <w:pPr>
              <w:pStyle w:val="TextPI"/>
              <w:spacing w:before="80" w:after="80" w:line="240" w:lineRule="auto"/>
              <w:rPr>
                <w:noProof/>
                <w:sz w:val="20"/>
                <w:szCs w:val="20"/>
                <w:lang w:val="en-GB"/>
              </w:rPr>
            </w:pPr>
            <w:r w:rsidRPr="00EB61C4">
              <w:rPr>
                <w:noProof/>
                <w:sz w:val="20"/>
                <w:szCs w:val="20"/>
                <w:lang w:val="en-GB"/>
              </w:rPr>
              <w:t>Uncommon</w:t>
            </w:r>
          </w:p>
        </w:tc>
      </w:tr>
      <w:tr w:rsidR="00C547BE" w:rsidRPr="00EB61C4" w14:paraId="3020E3DB" w14:textId="77777777" w:rsidTr="005B0700">
        <w:tc>
          <w:tcPr>
            <w:tcW w:w="2832" w:type="dxa"/>
            <w:vMerge/>
            <w:tcBorders>
              <w:bottom w:val="single" w:sz="4" w:space="0" w:color="auto"/>
            </w:tcBorders>
            <w:shd w:val="clear" w:color="auto" w:fill="auto"/>
          </w:tcPr>
          <w:p w14:paraId="3FC0FC44" w14:textId="77777777" w:rsidR="00C547BE" w:rsidRPr="00EB61C4" w:rsidRDefault="00C547BE" w:rsidP="00C547BE">
            <w:pPr>
              <w:pStyle w:val="TextPI"/>
              <w:spacing w:before="80" w:after="80" w:line="240" w:lineRule="auto"/>
              <w:jc w:val="left"/>
              <w:rPr>
                <w:noProof/>
                <w:sz w:val="20"/>
                <w:szCs w:val="20"/>
                <w:lang w:val="en-GB"/>
              </w:rPr>
            </w:pPr>
          </w:p>
        </w:tc>
        <w:tc>
          <w:tcPr>
            <w:tcW w:w="2161" w:type="dxa"/>
            <w:shd w:val="clear" w:color="auto" w:fill="auto"/>
          </w:tcPr>
          <w:p w14:paraId="699A84A2" w14:textId="77777777" w:rsidR="00C547BE" w:rsidRPr="00EB61C4" w:rsidRDefault="00C547BE" w:rsidP="00C547BE">
            <w:pPr>
              <w:pStyle w:val="TextPI"/>
              <w:spacing w:before="80" w:after="80" w:line="240" w:lineRule="auto"/>
              <w:rPr>
                <w:noProof/>
                <w:sz w:val="20"/>
                <w:szCs w:val="20"/>
                <w:lang w:val="de-DE"/>
              </w:rPr>
            </w:pPr>
            <w:r w:rsidRPr="000161AA">
              <w:rPr>
                <w:noProof/>
                <w:sz w:val="20"/>
                <w:szCs w:val="20"/>
                <w:lang w:val="en-GB"/>
              </w:rPr>
              <w:t>Alopecia</w:t>
            </w:r>
          </w:p>
        </w:tc>
        <w:tc>
          <w:tcPr>
            <w:tcW w:w="1523" w:type="dxa"/>
            <w:shd w:val="clear" w:color="auto" w:fill="auto"/>
          </w:tcPr>
          <w:p w14:paraId="67DF2313" w14:textId="77777777" w:rsidR="00C547BE" w:rsidRPr="00EB61C4" w:rsidRDefault="00C547BE" w:rsidP="00C547BE">
            <w:pPr>
              <w:pStyle w:val="TextPI"/>
              <w:spacing w:before="80" w:after="80" w:line="240" w:lineRule="auto"/>
              <w:rPr>
                <w:noProof/>
                <w:sz w:val="20"/>
                <w:szCs w:val="20"/>
                <w:lang w:val="en-GB"/>
              </w:rPr>
            </w:pPr>
            <w:r w:rsidRPr="000161AA">
              <w:rPr>
                <w:noProof/>
                <w:sz w:val="20"/>
                <w:szCs w:val="20"/>
                <w:lang w:val="en-GB"/>
              </w:rPr>
              <w:t>Uncommon</w:t>
            </w:r>
          </w:p>
        </w:tc>
        <w:tc>
          <w:tcPr>
            <w:tcW w:w="1984" w:type="dxa"/>
          </w:tcPr>
          <w:p w14:paraId="327A48C9" w14:textId="48C992E5" w:rsidR="00C547BE" w:rsidRPr="000161AA" w:rsidRDefault="00C547BE" w:rsidP="00C547BE">
            <w:pPr>
              <w:pStyle w:val="TextPI"/>
              <w:spacing w:before="80" w:after="80" w:line="240" w:lineRule="auto"/>
              <w:rPr>
                <w:noProof/>
                <w:sz w:val="20"/>
                <w:szCs w:val="20"/>
                <w:lang w:val="en-GB"/>
              </w:rPr>
            </w:pPr>
            <w:r w:rsidRPr="00320AC3">
              <w:rPr>
                <w:noProof/>
                <w:sz w:val="20"/>
                <w:szCs w:val="20"/>
                <w:lang w:val="en-GB"/>
              </w:rPr>
              <w:t>Uncommon</w:t>
            </w:r>
          </w:p>
        </w:tc>
        <w:tc>
          <w:tcPr>
            <w:tcW w:w="1701" w:type="dxa"/>
            <w:shd w:val="clear" w:color="auto" w:fill="auto"/>
          </w:tcPr>
          <w:p w14:paraId="76518324" w14:textId="43FBEB2F" w:rsidR="00C547BE" w:rsidRPr="00EB61C4" w:rsidRDefault="00C547BE" w:rsidP="00C547BE">
            <w:pPr>
              <w:pStyle w:val="TextPI"/>
              <w:spacing w:before="80" w:after="80" w:line="240" w:lineRule="auto"/>
              <w:rPr>
                <w:noProof/>
                <w:sz w:val="20"/>
                <w:szCs w:val="20"/>
                <w:lang w:val="en-GB"/>
              </w:rPr>
            </w:pPr>
            <w:r w:rsidRPr="000161AA">
              <w:rPr>
                <w:noProof/>
                <w:sz w:val="20"/>
                <w:szCs w:val="20"/>
                <w:lang w:val="en-GB"/>
              </w:rPr>
              <w:t>Not known</w:t>
            </w:r>
          </w:p>
        </w:tc>
      </w:tr>
      <w:tr w:rsidR="00C547BE" w:rsidRPr="00EB61C4" w14:paraId="3A820788" w14:textId="77777777" w:rsidTr="00467FF3">
        <w:tc>
          <w:tcPr>
            <w:tcW w:w="2832" w:type="dxa"/>
            <w:shd w:val="clear" w:color="auto" w:fill="auto"/>
          </w:tcPr>
          <w:p w14:paraId="78D2120F" w14:textId="77777777" w:rsidR="00C547BE" w:rsidRPr="00EB61C4" w:rsidRDefault="00C547BE" w:rsidP="00C547BE">
            <w:pPr>
              <w:pStyle w:val="TextPI"/>
              <w:spacing w:before="80" w:after="80" w:line="240" w:lineRule="auto"/>
              <w:jc w:val="left"/>
              <w:rPr>
                <w:noProof/>
                <w:sz w:val="20"/>
                <w:szCs w:val="20"/>
                <w:lang w:val="en-GB"/>
              </w:rPr>
            </w:pPr>
            <w:r w:rsidRPr="000161AA">
              <w:rPr>
                <w:noProof/>
                <w:sz w:val="20"/>
                <w:szCs w:val="20"/>
                <w:lang w:val="en-GB"/>
              </w:rPr>
              <w:t>Nervous system</w:t>
            </w:r>
            <w:r>
              <w:rPr>
                <w:noProof/>
                <w:sz w:val="20"/>
                <w:szCs w:val="20"/>
                <w:lang w:val="en-GB"/>
              </w:rPr>
              <w:t xml:space="preserve"> </w:t>
            </w:r>
            <w:r w:rsidRPr="000161AA">
              <w:rPr>
                <w:noProof/>
                <w:sz w:val="20"/>
                <w:szCs w:val="20"/>
                <w:lang w:val="en-GB"/>
              </w:rPr>
              <w:t>disorders</w:t>
            </w:r>
          </w:p>
        </w:tc>
        <w:tc>
          <w:tcPr>
            <w:tcW w:w="2161" w:type="dxa"/>
            <w:shd w:val="clear" w:color="auto" w:fill="auto"/>
          </w:tcPr>
          <w:p w14:paraId="2E0BD0EC" w14:textId="77777777" w:rsidR="00C547BE" w:rsidRPr="000161AA" w:rsidRDefault="00C547BE" w:rsidP="00C547BE">
            <w:pPr>
              <w:pStyle w:val="TextPI"/>
              <w:spacing w:before="80" w:after="80" w:line="240" w:lineRule="auto"/>
              <w:rPr>
                <w:noProof/>
                <w:sz w:val="20"/>
                <w:szCs w:val="20"/>
                <w:lang w:val="en-GB"/>
              </w:rPr>
            </w:pPr>
            <w:r w:rsidRPr="000161AA">
              <w:rPr>
                <w:noProof/>
                <w:sz w:val="20"/>
                <w:szCs w:val="20"/>
                <w:lang w:val="en-GB"/>
              </w:rPr>
              <w:t>Headache</w:t>
            </w:r>
          </w:p>
        </w:tc>
        <w:tc>
          <w:tcPr>
            <w:tcW w:w="1523" w:type="dxa"/>
            <w:shd w:val="clear" w:color="auto" w:fill="auto"/>
          </w:tcPr>
          <w:p w14:paraId="165AB0CC" w14:textId="77777777" w:rsidR="00C547BE" w:rsidRPr="00EB61C4" w:rsidRDefault="00C547BE" w:rsidP="00C547BE">
            <w:pPr>
              <w:pStyle w:val="TextPI"/>
              <w:spacing w:before="80" w:after="80" w:line="240" w:lineRule="auto"/>
              <w:rPr>
                <w:noProof/>
                <w:sz w:val="20"/>
                <w:szCs w:val="20"/>
                <w:lang w:val="en-GB"/>
              </w:rPr>
            </w:pPr>
            <w:r w:rsidRPr="000161AA">
              <w:rPr>
                <w:noProof/>
                <w:sz w:val="20"/>
                <w:szCs w:val="20"/>
                <w:lang w:val="en-GB"/>
              </w:rPr>
              <w:t>Common</w:t>
            </w:r>
          </w:p>
        </w:tc>
        <w:tc>
          <w:tcPr>
            <w:tcW w:w="1984" w:type="dxa"/>
          </w:tcPr>
          <w:p w14:paraId="796E847E" w14:textId="31B0C8D4" w:rsidR="00C547BE" w:rsidRPr="000161AA" w:rsidRDefault="00C547BE" w:rsidP="00C547BE">
            <w:pPr>
              <w:pStyle w:val="TextPI"/>
              <w:spacing w:before="80" w:after="80" w:line="240" w:lineRule="auto"/>
              <w:rPr>
                <w:noProof/>
                <w:sz w:val="20"/>
                <w:szCs w:val="20"/>
                <w:lang w:val="en-GB"/>
              </w:rPr>
            </w:pPr>
            <w:r w:rsidRPr="00C547BE">
              <w:rPr>
                <w:noProof/>
                <w:sz w:val="20"/>
                <w:szCs w:val="20"/>
                <w:lang w:val="en-GB"/>
              </w:rPr>
              <w:t>Common</w:t>
            </w:r>
          </w:p>
        </w:tc>
        <w:tc>
          <w:tcPr>
            <w:tcW w:w="1701" w:type="dxa"/>
            <w:shd w:val="clear" w:color="auto" w:fill="auto"/>
          </w:tcPr>
          <w:p w14:paraId="303D4B64" w14:textId="18471147" w:rsidR="00C547BE" w:rsidRPr="00EB61C4" w:rsidRDefault="00C547BE" w:rsidP="00C547BE">
            <w:pPr>
              <w:pStyle w:val="TextPI"/>
              <w:spacing w:before="80" w:after="80" w:line="240" w:lineRule="auto"/>
              <w:rPr>
                <w:noProof/>
                <w:sz w:val="20"/>
                <w:szCs w:val="20"/>
                <w:lang w:val="en-GB"/>
              </w:rPr>
            </w:pPr>
            <w:r w:rsidRPr="000161AA">
              <w:rPr>
                <w:noProof/>
                <w:sz w:val="20"/>
                <w:szCs w:val="20"/>
                <w:lang w:val="en-GB"/>
              </w:rPr>
              <w:t>Common</w:t>
            </w:r>
          </w:p>
        </w:tc>
      </w:tr>
      <w:tr w:rsidR="00467FF3" w:rsidRPr="00EB61C4" w14:paraId="40EACE36" w14:textId="77777777" w:rsidTr="005B0700">
        <w:tc>
          <w:tcPr>
            <w:tcW w:w="2832" w:type="dxa"/>
            <w:tcBorders>
              <w:bottom w:val="single" w:sz="4" w:space="0" w:color="auto"/>
            </w:tcBorders>
            <w:shd w:val="clear" w:color="auto" w:fill="auto"/>
          </w:tcPr>
          <w:p w14:paraId="1E8E05FA" w14:textId="4F8F02A0" w:rsidR="00467FF3" w:rsidRPr="000161AA" w:rsidRDefault="00467FF3" w:rsidP="00C547BE">
            <w:pPr>
              <w:pStyle w:val="TextPI"/>
              <w:spacing w:before="80" w:after="80" w:line="240" w:lineRule="auto"/>
              <w:jc w:val="left"/>
              <w:rPr>
                <w:noProof/>
                <w:sz w:val="20"/>
                <w:szCs w:val="20"/>
                <w:lang w:val="en-GB"/>
              </w:rPr>
            </w:pPr>
            <w:r>
              <w:rPr>
                <w:noProof/>
                <w:sz w:val="20"/>
                <w:szCs w:val="20"/>
                <w:lang w:val="en-GB"/>
              </w:rPr>
              <w:lastRenderedPageBreak/>
              <w:t>Renal and urinary disorders</w:t>
            </w:r>
          </w:p>
        </w:tc>
        <w:tc>
          <w:tcPr>
            <w:tcW w:w="2161" w:type="dxa"/>
            <w:shd w:val="clear" w:color="auto" w:fill="auto"/>
          </w:tcPr>
          <w:p w14:paraId="4987FD52" w14:textId="471EC347" w:rsidR="00467FF3" w:rsidRPr="000161AA" w:rsidRDefault="00467FF3" w:rsidP="00C547BE">
            <w:pPr>
              <w:pStyle w:val="TextPI"/>
              <w:spacing w:before="80" w:after="80" w:line="240" w:lineRule="auto"/>
              <w:rPr>
                <w:noProof/>
                <w:sz w:val="20"/>
                <w:szCs w:val="20"/>
                <w:lang w:val="en-GB"/>
              </w:rPr>
            </w:pPr>
            <w:r>
              <w:rPr>
                <w:noProof/>
                <w:sz w:val="20"/>
                <w:szCs w:val="20"/>
                <w:lang w:val="en-GB"/>
              </w:rPr>
              <w:t>Proteinuria</w:t>
            </w:r>
          </w:p>
        </w:tc>
        <w:tc>
          <w:tcPr>
            <w:tcW w:w="1523" w:type="dxa"/>
            <w:shd w:val="clear" w:color="auto" w:fill="auto"/>
          </w:tcPr>
          <w:p w14:paraId="010E00CB" w14:textId="0F542173" w:rsidR="00467FF3" w:rsidRPr="000161AA" w:rsidRDefault="00467FF3" w:rsidP="00C547BE">
            <w:pPr>
              <w:pStyle w:val="TextPI"/>
              <w:spacing w:before="80" w:after="80" w:line="240" w:lineRule="auto"/>
              <w:rPr>
                <w:noProof/>
                <w:sz w:val="20"/>
                <w:szCs w:val="20"/>
                <w:lang w:val="en-GB"/>
              </w:rPr>
            </w:pPr>
            <w:r>
              <w:rPr>
                <w:noProof/>
                <w:sz w:val="20"/>
                <w:szCs w:val="20"/>
                <w:lang w:val="en-GB"/>
              </w:rPr>
              <w:t>Uncommon</w:t>
            </w:r>
          </w:p>
        </w:tc>
        <w:tc>
          <w:tcPr>
            <w:tcW w:w="1984" w:type="dxa"/>
          </w:tcPr>
          <w:p w14:paraId="11412299" w14:textId="26AF42DE" w:rsidR="00467FF3" w:rsidRPr="00C547BE" w:rsidRDefault="00467FF3" w:rsidP="00C547BE">
            <w:pPr>
              <w:pStyle w:val="TextPI"/>
              <w:spacing w:before="80" w:after="80" w:line="240" w:lineRule="auto"/>
              <w:rPr>
                <w:noProof/>
                <w:sz w:val="20"/>
                <w:szCs w:val="20"/>
                <w:lang w:val="en-GB"/>
              </w:rPr>
            </w:pPr>
            <w:r w:rsidRPr="00467FF3">
              <w:rPr>
                <w:noProof/>
                <w:sz w:val="20"/>
                <w:szCs w:val="20"/>
                <w:lang w:val="en-GB"/>
              </w:rPr>
              <w:t>Uncommon</w:t>
            </w:r>
          </w:p>
        </w:tc>
        <w:tc>
          <w:tcPr>
            <w:tcW w:w="1701" w:type="dxa"/>
            <w:shd w:val="clear" w:color="auto" w:fill="auto"/>
          </w:tcPr>
          <w:p w14:paraId="0AD8F990" w14:textId="74AF3E6A" w:rsidR="00467FF3" w:rsidRPr="000161AA" w:rsidRDefault="00467FF3" w:rsidP="00C547BE">
            <w:pPr>
              <w:pStyle w:val="TextPI"/>
              <w:spacing w:before="80" w:after="80" w:line="240" w:lineRule="auto"/>
              <w:rPr>
                <w:noProof/>
                <w:sz w:val="20"/>
                <w:szCs w:val="20"/>
                <w:lang w:val="en-GB"/>
              </w:rPr>
            </w:pPr>
            <w:r>
              <w:rPr>
                <w:noProof/>
                <w:sz w:val="20"/>
                <w:szCs w:val="20"/>
                <w:lang w:val="en-GB"/>
              </w:rPr>
              <w:t>Not known</w:t>
            </w:r>
          </w:p>
        </w:tc>
      </w:tr>
    </w:tbl>
    <w:p w14:paraId="2967BBD5" w14:textId="77777777" w:rsidR="003809A8" w:rsidRPr="004D748E" w:rsidRDefault="003809A8" w:rsidP="003809A8">
      <w:pPr>
        <w:keepNext/>
        <w:keepLines/>
        <w:tabs>
          <w:tab w:val="left" w:pos="709"/>
        </w:tabs>
        <w:autoSpaceDE w:val="0"/>
        <w:autoSpaceDN w:val="0"/>
        <w:adjustRightInd w:val="0"/>
        <w:spacing w:before="60"/>
        <w:ind w:left="284" w:hanging="284"/>
        <w:rPr>
          <w:rFonts w:ascii="Arial" w:hAnsi="Arial" w:cs="Arial"/>
          <w:b/>
          <w:bCs/>
          <w:sz w:val="18"/>
          <w:szCs w:val="18"/>
          <w:vertAlign w:val="superscript"/>
          <w:lang w:val="en-GB" w:eastAsia="de-DE"/>
        </w:rPr>
      </w:pPr>
      <w:r w:rsidRPr="004D748E">
        <w:rPr>
          <w:rFonts w:ascii="Arial" w:hAnsi="Arial" w:cs="Arial"/>
          <w:b/>
          <w:bCs/>
          <w:sz w:val="18"/>
          <w:szCs w:val="18"/>
          <w:vertAlign w:val="superscript"/>
          <w:lang w:val="en-GB" w:eastAsia="de-DE"/>
        </w:rPr>
        <w:t xml:space="preserve">1 </w:t>
      </w:r>
      <w:r>
        <w:rPr>
          <w:rFonts w:ascii="Arial" w:hAnsi="Arial" w:cs="Arial"/>
          <w:b/>
          <w:bCs/>
          <w:sz w:val="18"/>
          <w:szCs w:val="18"/>
          <w:vertAlign w:val="superscript"/>
          <w:lang w:val="en-GB" w:eastAsia="de-DE"/>
        </w:rPr>
        <w:tab/>
      </w:r>
      <w:r w:rsidRPr="004D748E">
        <w:rPr>
          <w:rFonts w:ascii="Arial" w:hAnsi="Arial" w:cs="Arial"/>
          <w:sz w:val="18"/>
          <w:szCs w:val="18"/>
          <w:lang w:val="en-GB" w:eastAsia="de-DE"/>
        </w:rPr>
        <w:t xml:space="preserve">Term represents a group of events that describe a broader medical concept rather than a single condition or </w:t>
      </w:r>
      <w:proofErr w:type="spellStart"/>
      <w:r w:rsidRPr="004D748E">
        <w:rPr>
          <w:rFonts w:ascii="Arial" w:hAnsi="Arial" w:cs="Arial"/>
          <w:sz w:val="18"/>
          <w:szCs w:val="18"/>
          <w:lang w:val="en-GB" w:eastAsia="de-DE"/>
        </w:rPr>
        <w:t>MedDRA</w:t>
      </w:r>
      <w:proofErr w:type="spellEnd"/>
      <w:r w:rsidRPr="004D748E">
        <w:rPr>
          <w:rFonts w:ascii="Arial" w:hAnsi="Arial" w:cs="Arial"/>
          <w:sz w:val="18"/>
          <w:szCs w:val="18"/>
          <w:lang w:val="en-GB" w:eastAsia="de-DE"/>
        </w:rPr>
        <w:t xml:space="preserve"> </w:t>
      </w:r>
      <w:proofErr w:type="spellStart"/>
      <w:r w:rsidRPr="004D748E">
        <w:rPr>
          <w:rFonts w:ascii="Arial" w:hAnsi="Arial" w:cs="Arial"/>
          <w:sz w:val="18"/>
          <w:szCs w:val="18"/>
          <w:lang w:val="en-GB" w:eastAsia="de-DE"/>
        </w:rPr>
        <w:t>preferrred</w:t>
      </w:r>
      <w:proofErr w:type="spellEnd"/>
      <w:r w:rsidRPr="004D748E">
        <w:rPr>
          <w:rFonts w:ascii="Arial" w:hAnsi="Arial" w:cs="Arial"/>
          <w:sz w:val="18"/>
          <w:szCs w:val="18"/>
          <w:lang w:val="en-GB" w:eastAsia="de-DE"/>
        </w:rPr>
        <w:t xml:space="preserve"> term.</w:t>
      </w:r>
    </w:p>
    <w:p w14:paraId="0B9DA28A" w14:textId="77777777" w:rsidR="003809A8" w:rsidRPr="008A6EEC" w:rsidRDefault="003809A8" w:rsidP="003809A8">
      <w:pPr>
        <w:keepNext/>
        <w:keepLines/>
        <w:tabs>
          <w:tab w:val="left" w:pos="709"/>
        </w:tabs>
        <w:autoSpaceDE w:val="0"/>
        <w:autoSpaceDN w:val="0"/>
        <w:adjustRightInd w:val="0"/>
        <w:spacing w:before="60"/>
        <w:ind w:left="284" w:hanging="284"/>
        <w:rPr>
          <w:noProof/>
          <w:lang w:val="en-GB"/>
        </w:rPr>
      </w:pPr>
      <w:r w:rsidRPr="004D748E">
        <w:rPr>
          <w:rFonts w:ascii="Arial" w:hAnsi="Arial" w:cs="Arial"/>
          <w:b/>
          <w:bCs/>
          <w:sz w:val="18"/>
          <w:szCs w:val="18"/>
          <w:vertAlign w:val="superscript"/>
          <w:lang w:val="en-GB" w:eastAsia="de-DE"/>
        </w:rPr>
        <w:t xml:space="preserve">2 </w:t>
      </w:r>
      <w:r>
        <w:rPr>
          <w:rFonts w:ascii="Arial" w:hAnsi="Arial" w:cs="Arial"/>
          <w:b/>
          <w:bCs/>
          <w:sz w:val="18"/>
          <w:szCs w:val="18"/>
          <w:vertAlign w:val="superscript"/>
          <w:lang w:val="en-GB" w:eastAsia="de-DE"/>
        </w:rPr>
        <w:tab/>
      </w:r>
      <w:r w:rsidRPr="004D748E">
        <w:rPr>
          <w:rFonts w:ascii="Arial" w:hAnsi="Arial" w:cs="Arial"/>
          <w:sz w:val="18"/>
          <w:szCs w:val="18"/>
          <w:lang w:val="en-GB" w:eastAsia="de-DE"/>
        </w:rPr>
        <w:t>Non-serious and serious bleeding events</w:t>
      </w:r>
      <w:r>
        <w:rPr>
          <w:rFonts w:ascii="Arial" w:hAnsi="Arial" w:cs="Arial"/>
          <w:sz w:val="18"/>
          <w:szCs w:val="18"/>
          <w:lang w:val="en-GB" w:eastAsia="de-DE"/>
        </w:rPr>
        <w:t>, some of which were fatal,</w:t>
      </w:r>
      <w:r w:rsidRPr="004D748E">
        <w:rPr>
          <w:rFonts w:ascii="Arial" w:hAnsi="Arial" w:cs="Arial"/>
          <w:sz w:val="18"/>
          <w:szCs w:val="18"/>
          <w:lang w:val="en-GB" w:eastAsia="de-DE"/>
        </w:rPr>
        <w:t xml:space="preserve"> have been observed in the post-marketing period.</w:t>
      </w:r>
    </w:p>
    <w:p w14:paraId="28715A0B" w14:textId="5C544915" w:rsidR="00A64B76" w:rsidRDefault="00A64B76" w:rsidP="00A64B76">
      <w:pPr>
        <w:pStyle w:val="TextPI"/>
        <w:rPr>
          <w:noProof/>
          <w:lang w:val="en-US"/>
        </w:rPr>
      </w:pPr>
      <w:r w:rsidRPr="006149A5">
        <w:rPr>
          <w:noProof/>
          <w:lang w:val="en-US"/>
        </w:rPr>
        <w:t>For the management</w:t>
      </w:r>
      <w:r w:rsidRPr="00B44310">
        <w:rPr>
          <w:noProof/>
          <w:lang w:val="en-US"/>
        </w:rPr>
        <w:t xml:space="preserve"> of selected adverse reactions please </w:t>
      </w:r>
      <w:r>
        <w:rPr>
          <w:noProof/>
          <w:lang w:val="en-US"/>
        </w:rPr>
        <w:t xml:space="preserve">also refer to </w:t>
      </w:r>
      <w:r w:rsidR="009C3BE5">
        <w:rPr>
          <w:noProof/>
          <w:lang w:val="en-US"/>
        </w:rPr>
        <w:t>Section 4.4 Special Warnings and Precautions for Use</w:t>
      </w:r>
      <w:r w:rsidRPr="00B44310">
        <w:rPr>
          <w:noProof/>
          <w:lang w:val="en-US"/>
        </w:rPr>
        <w:t>.</w:t>
      </w:r>
    </w:p>
    <w:p w14:paraId="00B50BEE" w14:textId="77777777" w:rsidR="00AA7C16" w:rsidRPr="006D270F" w:rsidRDefault="00AA7C16" w:rsidP="00AA7C16">
      <w:pPr>
        <w:pStyle w:val="PIheading30"/>
        <w:ind w:left="0" w:right="0" w:firstLine="0"/>
        <w:rPr>
          <w:b/>
          <w:bCs/>
          <w:u w:val="none"/>
        </w:rPr>
      </w:pPr>
      <w:r w:rsidRPr="006D270F">
        <w:rPr>
          <w:b/>
          <w:bCs/>
          <w:u w:val="none"/>
        </w:rPr>
        <w:t>P</w:t>
      </w:r>
      <w:r>
        <w:rPr>
          <w:b/>
          <w:bCs/>
          <w:u w:val="none"/>
        </w:rPr>
        <w:t>ost marketing experience</w:t>
      </w:r>
      <w:r w:rsidRPr="006D270F">
        <w:rPr>
          <w:b/>
          <w:bCs/>
          <w:u w:val="none"/>
        </w:rPr>
        <w:t xml:space="preserve"> </w:t>
      </w:r>
    </w:p>
    <w:p w14:paraId="3C97670D" w14:textId="77777777" w:rsidR="00AA7C16" w:rsidRPr="006D270F" w:rsidRDefault="00AA7C16" w:rsidP="00AA7C16">
      <w:pPr>
        <w:pStyle w:val="TextPI"/>
        <w:rPr>
          <w:u w:val="single"/>
        </w:rPr>
      </w:pPr>
      <w:r w:rsidRPr="006D270F">
        <w:rPr>
          <w:u w:val="single"/>
        </w:rPr>
        <w:t xml:space="preserve">Vascular disorders </w:t>
      </w:r>
    </w:p>
    <w:p w14:paraId="288490D5" w14:textId="4A70CA24" w:rsidR="00AA7C16" w:rsidRPr="00AA7C16" w:rsidRDefault="00AA7C16" w:rsidP="00A64B76">
      <w:pPr>
        <w:pStyle w:val="TextPI"/>
      </w:pPr>
      <w:r w:rsidRPr="006D270F">
        <w:t>Cases of aneurysms and artery dissections, sometimes fatal, have been reported with VEGFR pathway inhibitors.</w:t>
      </w:r>
    </w:p>
    <w:p w14:paraId="2C66744C" w14:textId="77777777" w:rsidR="00A64B76" w:rsidRPr="00AB6D58" w:rsidRDefault="00A64B76" w:rsidP="00AB6D58">
      <w:pPr>
        <w:pStyle w:val="PIheading2"/>
        <w:rPr>
          <w:caps/>
        </w:rPr>
      </w:pPr>
      <w:r w:rsidRPr="00AB6D58">
        <w:rPr>
          <w:caps/>
        </w:rPr>
        <w:t>4.9 OVERDOSE</w:t>
      </w:r>
    </w:p>
    <w:p w14:paraId="1655D566" w14:textId="77777777" w:rsidR="00EC4DF6" w:rsidRPr="00362DF0" w:rsidRDefault="00EC4DF6" w:rsidP="00EC4DF6">
      <w:pPr>
        <w:pStyle w:val="TextPI"/>
      </w:pPr>
      <w:r w:rsidRPr="00362DF0">
        <w:t>For information on the management of overdose, contact the Poison Information Centre on 13</w:t>
      </w:r>
      <w:r>
        <w:t xml:space="preserve"> </w:t>
      </w:r>
      <w:r w:rsidRPr="00362DF0">
        <w:t>11</w:t>
      </w:r>
      <w:r>
        <w:t xml:space="preserve"> </w:t>
      </w:r>
      <w:r w:rsidRPr="00362DF0">
        <w:t>26 (Australia).</w:t>
      </w:r>
    </w:p>
    <w:p w14:paraId="75E857AF" w14:textId="77777777" w:rsidR="00EC4DF6" w:rsidRDefault="00EC4DF6" w:rsidP="00EC4DF6">
      <w:pPr>
        <w:pStyle w:val="TextPI"/>
        <w:rPr>
          <w:rFonts w:cs="Arial"/>
          <w:lang w:val="en-GB"/>
        </w:rPr>
      </w:pPr>
      <w:r w:rsidRPr="00954076">
        <w:rPr>
          <w:rFonts w:eastAsia="MS Mincho" w:cs="Arial"/>
          <w:lang w:val="en-GB" w:eastAsia="ja-JP"/>
        </w:rPr>
        <w:t xml:space="preserve">There is no specific antidote or treatment for </w:t>
      </w:r>
      <w:r>
        <w:rPr>
          <w:rFonts w:eastAsia="MS Mincho" w:cs="Arial"/>
          <w:bCs/>
          <w:iCs/>
          <w:lang w:val="en-GB" w:eastAsia="ja-JP"/>
        </w:rPr>
        <w:t>OFEV</w:t>
      </w:r>
      <w:r w:rsidRPr="00954076">
        <w:rPr>
          <w:rFonts w:eastAsia="MS Mincho" w:cs="Arial"/>
          <w:b/>
          <w:i/>
          <w:iCs/>
          <w:vertAlign w:val="superscript"/>
          <w:lang w:val="en-GB" w:eastAsia="ja-JP"/>
        </w:rPr>
        <w:t xml:space="preserve"> </w:t>
      </w:r>
      <w:r w:rsidRPr="00954076">
        <w:rPr>
          <w:rFonts w:eastAsia="MS Mincho" w:cs="Arial"/>
          <w:lang w:val="en-GB" w:eastAsia="ja-JP"/>
        </w:rPr>
        <w:t xml:space="preserve">overdose. </w:t>
      </w:r>
      <w:r>
        <w:rPr>
          <w:rFonts w:eastAsia="MS Mincho" w:cs="Arial"/>
          <w:lang w:val="en-GB" w:eastAsia="ja-JP"/>
        </w:rPr>
        <w:t xml:space="preserve"> </w:t>
      </w:r>
      <w:r w:rsidRPr="00954076">
        <w:rPr>
          <w:rFonts w:eastAsia="MS Mincho" w:cs="Arial"/>
          <w:lang w:val="en-GB" w:eastAsia="ja-JP"/>
        </w:rPr>
        <w:t xml:space="preserve">The highest single dose of </w:t>
      </w:r>
      <w:proofErr w:type="spellStart"/>
      <w:r w:rsidRPr="00954076">
        <w:rPr>
          <w:rFonts w:eastAsia="MS Mincho" w:cs="Arial"/>
          <w:lang w:val="en-GB" w:eastAsia="ja-JP"/>
        </w:rPr>
        <w:t>nintedanib</w:t>
      </w:r>
      <w:proofErr w:type="spellEnd"/>
      <w:r w:rsidRPr="00954076">
        <w:rPr>
          <w:rFonts w:eastAsia="MS Mincho" w:cs="Arial"/>
          <w:lang w:val="en-GB" w:eastAsia="ja-JP"/>
        </w:rPr>
        <w:t xml:space="preserve"> administered in phase I studies was 450 mg once daily. In addition, 2 patients</w:t>
      </w:r>
      <w:r>
        <w:rPr>
          <w:rFonts w:eastAsia="MS Mincho" w:cs="Arial"/>
          <w:lang w:val="en-GB" w:eastAsia="ja-JP"/>
        </w:rPr>
        <w:t xml:space="preserve"> in the oncology programme</w:t>
      </w:r>
      <w:r w:rsidRPr="00954076">
        <w:rPr>
          <w:rFonts w:eastAsia="MS Mincho" w:cs="Arial"/>
          <w:lang w:val="en-GB" w:eastAsia="ja-JP"/>
        </w:rPr>
        <w:t xml:space="preserve"> had an overdose of maximum 600 mg </w:t>
      </w:r>
      <w:r>
        <w:rPr>
          <w:rFonts w:eastAsia="MS Mincho" w:cs="Arial"/>
          <w:lang w:val="en-GB" w:eastAsia="ja-JP"/>
        </w:rPr>
        <w:t>twice daily</w:t>
      </w:r>
      <w:r w:rsidRPr="00954076">
        <w:rPr>
          <w:rFonts w:eastAsia="MS Mincho" w:cs="Arial"/>
          <w:lang w:val="en-GB" w:eastAsia="ja-JP"/>
        </w:rPr>
        <w:t xml:space="preserve"> </w:t>
      </w:r>
      <w:r>
        <w:rPr>
          <w:rFonts w:eastAsia="MS Mincho" w:cs="Arial"/>
          <w:lang w:val="en-GB" w:eastAsia="ja-JP"/>
        </w:rPr>
        <w:t>(</w:t>
      </w:r>
      <w:proofErr w:type="spellStart"/>
      <w:r>
        <w:rPr>
          <w:rFonts w:eastAsia="MS Mincho" w:cs="Arial"/>
          <w:lang w:val="en-GB" w:eastAsia="ja-JP"/>
        </w:rPr>
        <w:t>b.i.d</w:t>
      </w:r>
      <w:proofErr w:type="spellEnd"/>
      <w:r>
        <w:rPr>
          <w:rFonts w:eastAsia="MS Mincho" w:cs="Arial"/>
          <w:lang w:val="en-GB" w:eastAsia="ja-JP"/>
        </w:rPr>
        <w:t xml:space="preserve">) </w:t>
      </w:r>
      <w:r w:rsidRPr="00954076">
        <w:rPr>
          <w:rFonts w:eastAsia="MS Mincho" w:cs="Arial"/>
          <w:lang w:val="en-GB" w:eastAsia="ja-JP"/>
        </w:rPr>
        <w:t xml:space="preserve">up to eight days. </w:t>
      </w:r>
      <w:r>
        <w:rPr>
          <w:rFonts w:eastAsia="MS Mincho" w:cs="Arial"/>
          <w:lang w:val="en-GB" w:eastAsia="ja-JP"/>
        </w:rPr>
        <w:t xml:space="preserve"> </w:t>
      </w:r>
      <w:r w:rsidRPr="00954076">
        <w:rPr>
          <w:rFonts w:eastAsia="MS Mincho" w:cs="Arial"/>
          <w:lang w:val="en-GB" w:eastAsia="ja-JP"/>
        </w:rPr>
        <w:t xml:space="preserve">Observed </w:t>
      </w:r>
      <w:r w:rsidRPr="00954076">
        <w:rPr>
          <w:rFonts w:cs="Arial"/>
          <w:lang w:val="en-GB"/>
        </w:rPr>
        <w:t xml:space="preserve">adverse events were consistent with the known safety profile of </w:t>
      </w:r>
      <w:proofErr w:type="spellStart"/>
      <w:r w:rsidRPr="00954076">
        <w:rPr>
          <w:rFonts w:cs="Arial"/>
          <w:lang w:val="en-GB"/>
        </w:rPr>
        <w:t>nintedanib</w:t>
      </w:r>
      <w:proofErr w:type="spellEnd"/>
      <w:r w:rsidRPr="00954076">
        <w:rPr>
          <w:rFonts w:cs="Arial"/>
          <w:lang w:val="en-GB"/>
        </w:rPr>
        <w:t xml:space="preserve">, i.e. increased liver enzymes and gastrointestinal symptoms. </w:t>
      </w:r>
      <w:r>
        <w:rPr>
          <w:rFonts w:cs="Arial"/>
          <w:lang w:val="en-GB"/>
        </w:rPr>
        <w:t xml:space="preserve"> </w:t>
      </w:r>
      <w:r w:rsidRPr="00954076">
        <w:rPr>
          <w:rFonts w:cs="Arial"/>
          <w:lang w:val="en-GB"/>
        </w:rPr>
        <w:t xml:space="preserve">Both patients recovered from these adverse reactions. </w:t>
      </w:r>
      <w:r>
        <w:rPr>
          <w:rFonts w:cs="Arial"/>
          <w:lang w:val="en-GB"/>
        </w:rPr>
        <w:t xml:space="preserve"> </w:t>
      </w:r>
    </w:p>
    <w:p w14:paraId="6D78C62A" w14:textId="77777777" w:rsidR="00EC4DF6" w:rsidRDefault="00EC4DF6" w:rsidP="00EC4DF6">
      <w:pPr>
        <w:pStyle w:val="TextPI"/>
        <w:rPr>
          <w:rFonts w:cs="Arial"/>
          <w:lang w:val="en-GB"/>
        </w:rPr>
      </w:pPr>
      <w:r w:rsidRPr="00F16FAC">
        <w:rPr>
          <w:rFonts w:cs="Arial"/>
          <w:lang w:val="en-GB"/>
        </w:rPr>
        <w:t>In the INPULSIS trials</w:t>
      </w:r>
      <w:r>
        <w:rPr>
          <w:rFonts w:cs="Arial"/>
          <w:lang w:val="en-GB"/>
        </w:rPr>
        <w:t xml:space="preserve"> (IPF)</w:t>
      </w:r>
      <w:r w:rsidRPr="00F16FAC">
        <w:rPr>
          <w:rFonts w:cs="Arial"/>
          <w:lang w:val="en-GB"/>
        </w:rPr>
        <w:t>, one patient was inadvertently exposed to a dose of 600 mg daily for a total of 21 days. A non-serious adverse event (nasopharyngitis) occurred and resolved during the period of incorrect dosing, with no onset of other reported events</w:t>
      </w:r>
      <w:r>
        <w:rPr>
          <w:rFonts w:cs="Arial"/>
          <w:lang w:val="en-GB"/>
        </w:rPr>
        <w:t>.</w:t>
      </w:r>
    </w:p>
    <w:p w14:paraId="4D57212F" w14:textId="77777777" w:rsidR="00EC4DF6" w:rsidRPr="00954076" w:rsidRDefault="00EC4DF6" w:rsidP="00EC4DF6">
      <w:pPr>
        <w:pStyle w:val="TextPI"/>
        <w:rPr>
          <w:rFonts w:eastAsia="MS Mincho" w:cs="Arial"/>
          <w:lang w:val="en-GB" w:eastAsia="ja-JP"/>
        </w:rPr>
      </w:pPr>
      <w:r w:rsidRPr="00954076">
        <w:rPr>
          <w:rFonts w:eastAsia="MS Mincho" w:cs="Arial"/>
          <w:lang w:val="en-GB" w:eastAsia="ja-JP"/>
        </w:rPr>
        <w:t xml:space="preserve">In case of overdose, treatment </w:t>
      </w:r>
      <w:proofErr w:type="gramStart"/>
      <w:r w:rsidRPr="00954076">
        <w:rPr>
          <w:rFonts w:eastAsia="MS Mincho" w:cs="Arial"/>
          <w:lang w:val="en-GB" w:eastAsia="ja-JP"/>
        </w:rPr>
        <w:t>should be interrupted</w:t>
      </w:r>
      <w:proofErr w:type="gramEnd"/>
      <w:r w:rsidRPr="00954076">
        <w:rPr>
          <w:rFonts w:eastAsia="MS Mincho" w:cs="Arial"/>
          <w:lang w:val="en-GB" w:eastAsia="ja-JP"/>
        </w:rPr>
        <w:t xml:space="preserve"> and general supportive measures initiated as appropriate</w:t>
      </w:r>
      <w:r>
        <w:rPr>
          <w:rFonts w:eastAsia="MS Mincho" w:cs="Arial"/>
          <w:lang w:val="en-GB" w:eastAsia="ja-JP"/>
        </w:rPr>
        <w:t>.</w:t>
      </w:r>
    </w:p>
    <w:p w14:paraId="76246EAE" w14:textId="4C078807" w:rsidR="00EC4DF6" w:rsidRPr="00956A33" w:rsidRDefault="00EC4DF6" w:rsidP="00EC4DF6">
      <w:pPr>
        <w:pStyle w:val="PIHeading1"/>
        <w:spacing w:after="120"/>
        <w:rPr>
          <w:rFonts w:cs="Arial"/>
          <w:caps w:val="0"/>
        </w:rPr>
      </w:pPr>
      <w:r w:rsidRPr="00956A33">
        <w:rPr>
          <w:rFonts w:cs="Arial"/>
          <w:caps w:val="0"/>
        </w:rPr>
        <w:t>5 PHARMACOLOG</w:t>
      </w:r>
      <w:r w:rsidR="00956A33">
        <w:rPr>
          <w:rFonts w:cs="Arial"/>
          <w:caps w:val="0"/>
        </w:rPr>
        <w:t>ICAL PROPERTIES</w:t>
      </w:r>
    </w:p>
    <w:p w14:paraId="6EB6F8ED" w14:textId="77777777" w:rsidR="00EC4DF6" w:rsidRPr="00AB6D58" w:rsidRDefault="00EC4DF6" w:rsidP="00AB6D58">
      <w:pPr>
        <w:pStyle w:val="PIheading2"/>
        <w:rPr>
          <w:caps/>
        </w:rPr>
      </w:pPr>
      <w:r w:rsidRPr="00AB6D58">
        <w:rPr>
          <w:caps/>
        </w:rPr>
        <w:t>5.1 PHARMACODYNAMIC PROPERTIES</w:t>
      </w:r>
    </w:p>
    <w:p w14:paraId="2E915A0E" w14:textId="77777777" w:rsidR="00D11950" w:rsidRPr="00D11950" w:rsidRDefault="00D11950" w:rsidP="00D11950">
      <w:pPr>
        <w:autoSpaceDE w:val="0"/>
        <w:autoSpaceDN w:val="0"/>
        <w:adjustRightInd w:val="0"/>
        <w:ind w:left="2832" w:hanging="2832"/>
        <w:rPr>
          <w:rFonts w:ascii="Arial" w:eastAsia="MS Mincho" w:hAnsi="Arial" w:cs="Arial"/>
          <w:sz w:val="22"/>
          <w:szCs w:val="22"/>
          <w:lang w:eastAsia="ja-JP"/>
        </w:rPr>
      </w:pPr>
      <w:r w:rsidRPr="00D11950">
        <w:rPr>
          <w:rFonts w:ascii="Arial" w:hAnsi="Arial" w:cs="Arial"/>
          <w:noProof/>
          <w:sz w:val="22"/>
          <w:szCs w:val="22"/>
        </w:rPr>
        <w:t xml:space="preserve">Pharmacotherapeutic group:  </w:t>
      </w:r>
      <w:r w:rsidR="00B35876">
        <w:rPr>
          <w:rFonts w:ascii="Arial" w:eastAsia="MS Mincho" w:hAnsi="Arial" w:cs="Arial"/>
          <w:sz w:val="22"/>
          <w:szCs w:val="22"/>
          <w:lang w:eastAsia="ja-JP"/>
        </w:rPr>
        <w:t xml:space="preserve">Antineoplastic agents - </w:t>
      </w:r>
      <w:r w:rsidRPr="00D11950">
        <w:rPr>
          <w:rFonts w:ascii="Arial" w:eastAsia="MS Mincho" w:hAnsi="Arial" w:cs="Arial"/>
          <w:sz w:val="22"/>
          <w:szCs w:val="22"/>
          <w:lang w:eastAsia="ja-JP"/>
        </w:rPr>
        <w:t>Protein-tyrosine kinase inhibitor</w:t>
      </w:r>
      <w:r w:rsidR="00FE637D">
        <w:rPr>
          <w:rFonts w:ascii="Arial" w:eastAsia="MS Mincho" w:hAnsi="Arial" w:cs="Arial"/>
          <w:sz w:val="22"/>
          <w:szCs w:val="22"/>
          <w:lang w:eastAsia="ja-JP"/>
        </w:rPr>
        <w:t>s</w:t>
      </w:r>
      <w:r w:rsidRPr="00D11950">
        <w:rPr>
          <w:rFonts w:ascii="Arial" w:eastAsia="MS Mincho" w:hAnsi="Arial" w:cs="Arial"/>
          <w:sz w:val="22"/>
          <w:szCs w:val="22"/>
          <w:lang w:eastAsia="ja-JP"/>
        </w:rPr>
        <w:t>.</w:t>
      </w:r>
    </w:p>
    <w:p w14:paraId="2E915A0F" w14:textId="77777777" w:rsidR="000E1693" w:rsidRPr="00D11950" w:rsidRDefault="003B2190" w:rsidP="000E1693">
      <w:pPr>
        <w:pStyle w:val="TextPI"/>
        <w:rPr>
          <w:rFonts w:cs="Arial"/>
          <w:color w:val="000000" w:themeColor="text1"/>
        </w:rPr>
      </w:pPr>
      <w:r w:rsidRPr="00D11950">
        <w:rPr>
          <w:rFonts w:cs="Arial"/>
          <w:color w:val="000000" w:themeColor="text1"/>
        </w:rPr>
        <w:t xml:space="preserve">ATC code: </w:t>
      </w:r>
      <w:r w:rsidR="00F35B09">
        <w:rPr>
          <w:rFonts w:cs="Arial"/>
          <w:color w:val="000000" w:themeColor="text1"/>
        </w:rPr>
        <w:t>L01XE31</w:t>
      </w:r>
      <w:r w:rsidR="000E1693" w:rsidRPr="00D11950">
        <w:rPr>
          <w:rFonts w:cs="Arial"/>
          <w:color w:val="000000" w:themeColor="text1"/>
        </w:rPr>
        <w:t>.</w:t>
      </w:r>
    </w:p>
    <w:p w14:paraId="2E915A11" w14:textId="77777777" w:rsidR="00AD1AE7" w:rsidRPr="000F3BA1" w:rsidRDefault="00AD1AE7" w:rsidP="005D33C9">
      <w:pPr>
        <w:pStyle w:val="PIheading30"/>
        <w:ind w:left="0" w:right="0" w:firstLine="0"/>
        <w:rPr>
          <w:b/>
          <w:bCs/>
          <w:u w:val="none"/>
        </w:rPr>
      </w:pPr>
      <w:r w:rsidRPr="000F3BA1">
        <w:rPr>
          <w:b/>
          <w:bCs/>
          <w:u w:val="none"/>
        </w:rPr>
        <w:t>Mechanism of Action</w:t>
      </w:r>
    </w:p>
    <w:p w14:paraId="2E915A12" w14:textId="452EF443" w:rsidR="002E39AC" w:rsidRPr="0022627D" w:rsidRDefault="00F16FAC" w:rsidP="00EA610F">
      <w:pPr>
        <w:pStyle w:val="TextPI"/>
        <w:keepNext/>
        <w:rPr>
          <w:rFonts w:eastAsia="MS Mincho" w:cs="Arial"/>
          <w:lang w:val="en-GB" w:eastAsia="ja-JP"/>
        </w:rPr>
      </w:pPr>
      <w:r w:rsidRPr="0022627D">
        <w:rPr>
          <w:rFonts w:eastAsia="MS Mincho" w:cs="Arial"/>
          <w:i/>
          <w:iCs/>
          <w:lang w:val="en-GB" w:eastAsia="ja-JP"/>
        </w:rPr>
        <w:t>NSCLC</w:t>
      </w:r>
      <w:r w:rsidRPr="0022627D">
        <w:rPr>
          <w:rFonts w:eastAsia="MS Mincho" w:cs="Arial"/>
          <w:lang w:val="en-GB" w:eastAsia="ja-JP"/>
        </w:rPr>
        <w:t xml:space="preserve"> </w:t>
      </w:r>
    </w:p>
    <w:p w14:paraId="2E915A13" w14:textId="77777777" w:rsidR="00AD1AE7" w:rsidRDefault="00D11950" w:rsidP="00C72070">
      <w:pPr>
        <w:pStyle w:val="TextPI"/>
        <w:rPr>
          <w:rFonts w:eastAsia="MS Mincho" w:cs="Arial"/>
          <w:lang w:val="en-GB" w:eastAsia="ja-JP"/>
        </w:rPr>
      </w:pPr>
      <w:proofErr w:type="spellStart"/>
      <w:r w:rsidRPr="00D11950">
        <w:rPr>
          <w:rFonts w:eastAsia="MS Mincho" w:cs="Arial"/>
          <w:lang w:val="en-GB" w:eastAsia="ja-JP"/>
        </w:rPr>
        <w:t>Nintedanib</w:t>
      </w:r>
      <w:proofErr w:type="spellEnd"/>
      <w:r w:rsidRPr="00D11950">
        <w:rPr>
          <w:rFonts w:eastAsia="MS Mincho" w:cs="Arial"/>
          <w:lang w:val="en-GB" w:eastAsia="ja-JP"/>
        </w:rPr>
        <w:t xml:space="preserve"> is a triple angiokinase inhibitor blocking vascular endothelial growth factor receptors (VEGFR 1-3), platelet-derived growth factor receptors (PDGFR α and </w:t>
      </w:r>
      <w:r w:rsidR="0006227F" w:rsidRPr="00F16FAC">
        <w:rPr>
          <w:rFonts w:eastAsia="MS Mincho" w:cs="Arial"/>
          <w:lang w:val="en-GB" w:eastAsia="ja-JP"/>
        </w:rPr>
        <w:t>β</w:t>
      </w:r>
      <w:r w:rsidRPr="00D11950">
        <w:rPr>
          <w:rFonts w:eastAsia="MS Mincho" w:cs="Arial"/>
          <w:lang w:val="en-GB" w:eastAsia="ja-JP"/>
        </w:rPr>
        <w:t xml:space="preserve">) and fibroblast growth factor receptors (FGFR 1-3) kinase activity. </w:t>
      </w:r>
      <w:proofErr w:type="spellStart"/>
      <w:r w:rsidRPr="00D11950">
        <w:rPr>
          <w:rFonts w:eastAsia="MS Mincho" w:cs="Arial"/>
          <w:lang w:val="en-GB" w:eastAsia="ja-JP"/>
        </w:rPr>
        <w:t>Nintedanib</w:t>
      </w:r>
      <w:proofErr w:type="spellEnd"/>
      <w:r w:rsidRPr="00D11950">
        <w:rPr>
          <w:rFonts w:eastAsia="MS Mincho" w:cs="Arial"/>
          <w:lang w:val="en-GB" w:eastAsia="ja-JP"/>
        </w:rPr>
        <w:t xml:space="preserve"> binds competitively to the </w:t>
      </w:r>
      <w:r w:rsidR="00567AEF">
        <w:rPr>
          <w:rFonts w:eastAsia="MS Mincho" w:cs="Arial"/>
          <w:lang w:val="en-GB" w:eastAsia="ja-JP"/>
        </w:rPr>
        <w:t>adenosine triphosphate (</w:t>
      </w:r>
      <w:r w:rsidRPr="00D11950">
        <w:rPr>
          <w:rFonts w:eastAsia="MS Mincho" w:cs="Arial"/>
          <w:lang w:val="en-GB" w:eastAsia="ja-JP"/>
        </w:rPr>
        <w:t>ATP</w:t>
      </w:r>
      <w:r w:rsidR="00567AEF">
        <w:rPr>
          <w:rFonts w:eastAsia="MS Mincho" w:cs="Arial"/>
          <w:lang w:val="en-GB" w:eastAsia="ja-JP"/>
        </w:rPr>
        <w:t>)</w:t>
      </w:r>
      <w:r w:rsidRPr="00D11950">
        <w:rPr>
          <w:rFonts w:eastAsia="MS Mincho" w:cs="Arial"/>
          <w:lang w:val="en-GB" w:eastAsia="ja-JP"/>
        </w:rPr>
        <w:t xml:space="preserve"> binding pocket of these receptors and blocks the intracellular signalling which is crucial for the proliferation and survival of endothelial as well as perivascular cells (pericytes and vascular smooth muscle cells). </w:t>
      </w:r>
      <w:r w:rsidR="00567AEF">
        <w:rPr>
          <w:rFonts w:eastAsia="MS Mincho" w:cs="Arial"/>
          <w:lang w:val="en-GB" w:eastAsia="ja-JP"/>
        </w:rPr>
        <w:t xml:space="preserve">In addition </w:t>
      </w:r>
      <w:proofErr w:type="spellStart"/>
      <w:r w:rsidR="00567AEF">
        <w:rPr>
          <w:rFonts w:eastAsia="MS Mincho" w:cs="Arial"/>
          <w:lang w:val="en-GB" w:eastAsia="ja-JP"/>
        </w:rPr>
        <w:t>Fms</w:t>
      </w:r>
      <w:proofErr w:type="spellEnd"/>
      <w:r w:rsidR="00567AEF">
        <w:rPr>
          <w:rFonts w:eastAsia="MS Mincho" w:cs="Arial"/>
          <w:lang w:val="en-GB" w:eastAsia="ja-JP"/>
        </w:rPr>
        <w:t>-like tyrosine-protein kinase</w:t>
      </w:r>
      <w:r w:rsidR="00BF112E">
        <w:rPr>
          <w:rFonts w:eastAsia="MS Mincho" w:cs="Arial"/>
          <w:lang w:val="en-GB" w:eastAsia="ja-JP"/>
        </w:rPr>
        <w:t>-3</w:t>
      </w:r>
      <w:r w:rsidR="00567AEF">
        <w:rPr>
          <w:rFonts w:eastAsia="MS Mincho" w:cs="Arial"/>
          <w:lang w:val="en-GB" w:eastAsia="ja-JP"/>
        </w:rPr>
        <w:t xml:space="preserve"> (Flt-3</w:t>
      </w:r>
      <w:r w:rsidR="00BF112E">
        <w:rPr>
          <w:rFonts w:eastAsia="MS Mincho" w:cs="Arial"/>
          <w:lang w:val="en-GB" w:eastAsia="ja-JP"/>
        </w:rPr>
        <w:t>)</w:t>
      </w:r>
      <w:r w:rsidR="00567AEF">
        <w:rPr>
          <w:rFonts w:eastAsia="MS Mincho" w:cs="Arial"/>
          <w:lang w:val="en-GB" w:eastAsia="ja-JP"/>
        </w:rPr>
        <w:t>, lymphocyte-specific tyrosine-protein kinase</w:t>
      </w:r>
      <w:r w:rsidR="00BF112E">
        <w:rPr>
          <w:rFonts w:eastAsia="MS Mincho" w:cs="Arial"/>
          <w:lang w:val="en-GB" w:eastAsia="ja-JP"/>
        </w:rPr>
        <w:t xml:space="preserve"> (</w:t>
      </w:r>
      <w:proofErr w:type="spellStart"/>
      <w:r w:rsidR="00BF112E">
        <w:rPr>
          <w:rFonts w:eastAsia="MS Mincho" w:cs="Arial"/>
          <w:lang w:val="en-GB" w:eastAsia="ja-JP"/>
        </w:rPr>
        <w:t>Lck</w:t>
      </w:r>
      <w:proofErr w:type="spellEnd"/>
      <w:r w:rsidR="00BF112E">
        <w:rPr>
          <w:rFonts w:eastAsia="MS Mincho" w:cs="Arial"/>
          <w:lang w:val="en-GB" w:eastAsia="ja-JP"/>
        </w:rPr>
        <w:t>), tyrosine-protein kinase Lyn (Lyn) and proto-oncogene tyros</w:t>
      </w:r>
      <w:r w:rsidR="00567AEF">
        <w:rPr>
          <w:rFonts w:eastAsia="MS Mincho" w:cs="Arial"/>
          <w:lang w:val="en-GB" w:eastAsia="ja-JP"/>
        </w:rPr>
        <w:t xml:space="preserve">ine-protein kinase </w:t>
      </w:r>
      <w:proofErr w:type="spellStart"/>
      <w:r w:rsidR="00567AEF">
        <w:rPr>
          <w:rFonts w:eastAsia="MS Mincho" w:cs="Arial"/>
          <w:lang w:val="en-GB" w:eastAsia="ja-JP"/>
        </w:rPr>
        <w:t>Src</w:t>
      </w:r>
      <w:proofErr w:type="spellEnd"/>
      <w:r w:rsidR="00567AEF">
        <w:rPr>
          <w:rFonts w:eastAsia="MS Mincho" w:cs="Arial"/>
          <w:lang w:val="en-GB" w:eastAsia="ja-JP"/>
        </w:rPr>
        <w:t xml:space="preserve"> (</w:t>
      </w:r>
      <w:proofErr w:type="spellStart"/>
      <w:r w:rsidR="00567AEF">
        <w:rPr>
          <w:rFonts w:eastAsia="MS Mincho" w:cs="Arial"/>
          <w:lang w:val="en-GB" w:eastAsia="ja-JP"/>
        </w:rPr>
        <w:t>Src</w:t>
      </w:r>
      <w:proofErr w:type="spellEnd"/>
      <w:r w:rsidR="00567AEF">
        <w:rPr>
          <w:rFonts w:eastAsia="MS Mincho" w:cs="Arial"/>
          <w:lang w:val="en-GB" w:eastAsia="ja-JP"/>
        </w:rPr>
        <w:t>) are inhibited</w:t>
      </w:r>
      <w:r>
        <w:rPr>
          <w:rFonts w:eastAsia="MS Mincho" w:cs="Arial"/>
          <w:lang w:val="en-GB" w:eastAsia="ja-JP"/>
        </w:rPr>
        <w:t>.</w:t>
      </w:r>
    </w:p>
    <w:p w14:paraId="2E915A14" w14:textId="4D105422" w:rsidR="002E39AC" w:rsidRDefault="00F16FAC" w:rsidP="00C72070">
      <w:pPr>
        <w:pStyle w:val="TextPI"/>
        <w:rPr>
          <w:rFonts w:eastAsia="MS Mincho" w:cs="Arial"/>
          <w:lang w:val="en-GB" w:eastAsia="ja-JP"/>
        </w:rPr>
      </w:pPr>
      <w:r w:rsidRPr="00F16FAC">
        <w:rPr>
          <w:rFonts w:eastAsia="MS Mincho" w:cs="Arial"/>
          <w:i/>
          <w:iCs/>
          <w:lang w:val="en-GB" w:eastAsia="ja-JP"/>
        </w:rPr>
        <w:t>IPF</w:t>
      </w:r>
      <w:r w:rsidR="00EE4FAB">
        <w:rPr>
          <w:rFonts w:eastAsia="MS Mincho" w:cs="Arial"/>
          <w:i/>
          <w:iCs/>
          <w:lang w:val="en-GB" w:eastAsia="ja-JP"/>
        </w:rPr>
        <w:t xml:space="preserve">, </w:t>
      </w:r>
      <w:r w:rsidR="00EE4FAB" w:rsidRPr="00E510C9">
        <w:rPr>
          <w:rFonts w:eastAsia="MS Mincho" w:cs="Arial"/>
          <w:i/>
          <w:iCs/>
          <w:lang w:val="en-GB" w:eastAsia="ja-JP"/>
        </w:rPr>
        <w:t>other chronic fibrosing ILDs with a progressive phenotype</w:t>
      </w:r>
      <w:r w:rsidR="00EE4FAB">
        <w:rPr>
          <w:rFonts w:eastAsia="MS Mincho" w:cs="Arial"/>
          <w:i/>
          <w:iCs/>
          <w:lang w:val="en-GB" w:eastAsia="ja-JP"/>
        </w:rPr>
        <w:t>,</w:t>
      </w:r>
      <w:r w:rsidR="001C7B43">
        <w:rPr>
          <w:rFonts w:eastAsia="MS Mincho" w:cs="Arial"/>
          <w:i/>
          <w:iCs/>
          <w:lang w:val="en-GB" w:eastAsia="ja-JP"/>
        </w:rPr>
        <w:t xml:space="preserve"> and </w:t>
      </w:r>
      <w:proofErr w:type="spellStart"/>
      <w:r w:rsidR="001C7B43">
        <w:rPr>
          <w:rFonts w:eastAsia="MS Mincho" w:cs="Arial"/>
          <w:i/>
          <w:iCs/>
          <w:lang w:val="en-GB" w:eastAsia="ja-JP"/>
        </w:rPr>
        <w:t>SSc</w:t>
      </w:r>
      <w:proofErr w:type="spellEnd"/>
      <w:r w:rsidR="001C7B43">
        <w:rPr>
          <w:rFonts w:eastAsia="MS Mincho" w:cs="Arial"/>
          <w:i/>
          <w:iCs/>
          <w:lang w:val="en-GB" w:eastAsia="ja-JP"/>
        </w:rPr>
        <w:t>-ILD</w:t>
      </w:r>
      <w:r>
        <w:rPr>
          <w:rFonts w:eastAsia="MS Mincho" w:cs="Arial"/>
          <w:lang w:val="en-GB" w:eastAsia="ja-JP"/>
        </w:rPr>
        <w:t xml:space="preserve"> </w:t>
      </w:r>
    </w:p>
    <w:p w14:paraId="2E915A15" w14:textId="0FD24CF8" w:rsidR="00F16FAC" w:rsidRPr="00D11950" w:rsidRDefault="00F16FAC" w:rsidP="00C72070">
      <w:pPr>
        <w:pStyle w:val="TextPI"/>
        <w:rPr>
          <w:rFonts w:cs="Arial"/>
          <w:color w:val="000000" w:themeColor="text1"/>
        </w:rPr>
      </w:pPr>
      <w:proofErr w:type="spellStart"/>
      <w:r w:rsidRPr="00F16FAC">
        <w:rPr>
          <w:rFonts w:eastAsia="MS Mincho" w:cs="Arial"/>
          <w:lang w:val="en-GB" w:eastAsia="ja-JP"/>
        </w:rPr>
        <w:lastRenderedPageBreak/>
        <w:t>Nintedanib</w:t>
      </w:r>
      <w:proofErr w:type="spellEnd"/>
      <w:r w:rsidRPr="00F16FAC">
        <w:rPr>
          <w:rFonts w:eastAsia="MS Mincho" w:cs="Arial"/>
          <w:lang w:val="en-GB" w:eastAsia="ja-JP"/>
        </w:rPr>
        <w:t xml:space="preserve"> is a small molecule tyrosine kinase inhibitor including the receptors platelet-derived growth factor receptor (PDGFR) α and β, fibroblast growth factor receptor (FGFR) 1</w:t>
      </w:r>
      <w:r w:rsidR="00231546">
        <w:rPr>
          <w:rFonts w:eastAsia="MS Mincho" w:cs="Arial"/>
          <w:lang w:val="en-GB" w:eastAsia="ja-JP"/>
        </w:rPr>
        <w:noBreakHyphen/>
      </w:r>
      <w:r w:rsidRPr="00F16FAC">
        <w:rPr>
          <w:rFonts w:eastAsia="MS Mincho" w:cs="Arial"/>
          <w:lang w:val="en-GB" w:eastAsia="ja-JP"/>
        </w:rPr>
        <w:t xml:space="preserve">3, and vascular endothelial growth factor receptor (VEGFR) 1-3. </w:t>
      </w:r>
      <w:r w:rsidR="00933B93" w:rsidRPr="00260BBE">
        <w:rPr>
          <w:rFonts w:eastAsia="MS Mincho" w:cs="Arial"/>
          <w:lang w:val="en-GB" w:eastAsia="ja-JP"/>
        </w:rPr>
        <w:t xml:space="preserve">In addition, </w:t>
      </w:r>
      <w:proofErr w:type="spellStart"/>
      <w:r w:rsidR="00933B93" w:rsidRPr="00260BBE">
        <w:rPr>
          <w:rFonts w:eastAsia="MS Mincho" w:cs="Arial"/>
          <w:lang w:val="en-GB" w:eastAsia="ja-JP"/>
        </w:rPr>
        <w:t>nintedanib</w:t>
      </w:r>
      <w:proofErr w:type="spellEnd"/>
      <w:r w:rsidR="00933B93" w:rsidRPr="00260BBE">
        <w:rPr>
          <w:rFonts w:eastAsia="MS Mincho" w:cs="Arial"/>
          <w:lang w:val="en-GB" w:eastAsia="ja-JP"/>
        </w:rPr>
        <w:t xml:space="preserve"> inhibits </w:t>
      </w:r>
      <w:proofErr w:type="spellStart"/>
      <w:r w:rsidR="00933B93" w:rsidRPr="00260BBE">
        <w:rPr>
          <w:rFonts w:eastAsia="MS Mincho" w:cs="Arial"/>
          <w:lang w:val="en-GB" w:eastAsia="ja-JP"/>
        </w:rPr>
        <w:t>Lck</w:t>
      </w:r>
      <w:proofErr w:type="spellEnd"/>
      <w:r w:rsidR="00933B93" w:rsidRPr="00260BBE">
        <w:rPr>
          <w:rFonts w:eastAsia="MS Mincho" w:cs="Arial"/>
          <w:lang w:val="en-GB" w:eastAsia="ja-JP"/>
        </w:rPr>
        <w:t xml:space="preserve">, Lyn, </w:t>
      </w:r>
      <w:proofErr w:type="spellStart"/>
      <w:r w:rsidR="00933B93" w:rsidRPr="00260BBE">
        <w:rPr>
          <w:rFonts w:eastAsia="MS Mincho" w:cs="Arial"/>
          <w:lang w:val="en-GB" w:eastAsia="ja-JP"/>
        </w:rPr>
        <w:t>Src</w:t>
      </w:r>
      <w:proofErr w:type="spellEnd"/>
      <w:r w:rsidR="00933B93" w:rsidRPr="00260BBE">
        <w:rPr>
          <w:rFonts w:eastAsia="MS Mincho" w:cs="Arial"/>
          <w:lang w:val="en-GB" w:eastAsia="ja-JP"/>
        </w:rPr>
        <w:t>, and CSF1R kinases.</w:t>
      </w:r>
      <w:r w:rsidR="00933B93">
        <w:rPr>
          <w:rFonts w:eastAsia="MS Mincho" w:cs="Arial"/>
          <w:lang w:val="en-GB" w:eastAsia="ja-JP"/>
        </w:rPr>
        <w:t xml:space="preserve"> </w:t>
      </w:r>
      <w:proofErr w:type="spellStart"/>
      <w:r w:rsidRPr="00F16FAC">
        <w:rPr>
          <w:rFonts w:eastAsia="MS Mincho" w:cs="Arial"/>
          <w:lang w:val="en-GB" w:eastAsia="ja-JP"/>
        </w:rPr>
        <w:t>Nintedanib</w:t>
      </w:r>
      <w:proofErr w:type="spellEnd"/>
      <w:r w:rsidRPr="00F16FAC">
        <w:rPr>
          <w:rFonts w:eastAsia="MS Mincho" w:cs="Arial"/>
          <w:lang w:val="en-GB" w:eastAsia="ja-JP"/>
        </w:rPr>
        <w:t xml:space="preserve"> binds competitively to the ATP binding pocket of these </w:t>
      </w:r>
      <w:r w:rsidR="00933B93">
        <w:rPr>
          <w:rFonts w:eastAsia="MS Mincho" w:cs="Arial"/>
          <w:lang w:val="en-GB" w:eastAsia="ja-JP"/>
        </w:rPr>
        <w:t>kinases</w:t>
      </w:r>
      <w:r w:rsidR="00933B93" w:rsidRPr="00F16FAC">
        <w:rPr>
          <w:rFonts w:eastAsia="MS Mincho" w:cs="Arial"/>
          <w:lang w:val="en-GB" w:eastAsia="ja-JP"/>
        </w:rPr>
        <w:t xml:space="preserve"> </w:t>
      </w:r>
      <w:r w:rsidRPr="00F16FAC">
        <w:rPr>
          <w:rFonts w:eastAsia="MS Mincho" w:cs="Arial"/>
          <w:lang w:val="en-GB" w:eastAsia="ja-JP"/>
        </w:rPr>
        <w:t xml:space="preserve">and blocks the intracellular signalling </w:t>
      </w:r>
      <w:r w:rsidR="00933B93">
        <w:rPr>
          <w:rFonts w:eastAsia="MS Mincho" w:cs="Arial"/>
          <w:lang w:val="en-GB" w:eastAsia="ja-JP"/>
        </w:rPr>
        <w:t>cascades,</w:t>
      </w:r>
      <w:r w:rsidR="00933B93" w:rsidRPr="00F16FAC">
        <w:rPr>
          <w:rFonts w:eastAsia="MS Mincho" w:cs="Arial"/>
          <w:lang w:val="en-GB" w:eastAsia="ja-JP"/>
        </w:rPr>
        <w:t xml:space="preserve"> </w:t>
      </w:r>
      <w:r w:rsidRPr="00F16FAC">
        <w:rPr>
          <w:rFonts w:eastAsia="MS Mincho" w:cs="Arial"/>
          <w:lang w:val="en-GB" w:eastAsia="ja-JP"/>
        </w:rPr>
        <w:t xml:space="preserve">which </w:t>
      </w:r>
      <w:r w:rsidR="00933B93" w:rsidRPr="00330307">
        <w:rPr>
          <w:iCs/>
        </w:rPr>
        <w:t>have been demonstrated to be involved in the pathogenesis of fibrotic tissue remodelling</w:t>
      </w:r>
      <w:r w:rsidR="00F4152C">
        <w:rPr>
          <w:iCs/>
        </w:rPr>
        <w:t xml:space="preserve"> in interstitial lung diseases</w:t>
      </w:r>
      <w:r>
        <w:rPr>
          <w:rFonts w:eastAsia="MS Mincho" w:cs="Arial"/>
          <w:lang w:val="en-GB" w:eastAsia="ja-JP"/>
        </w:rPr>
        <w:t>.</w:t>
      </w:r>
    </w:p>
    <w:p w14:paraId="2E915A16" w14:textId="77777777" w:rsidR="00362DF0" w:rsidRPr="000F3BA1" w:rsidRDefault="00362DF0" w:rsidP="000F3BA1">
      <w:pPr>
        <w:pStyle w:val="TextPI"/>
        <w:rPr>
          <w:u w:val="single"/>
        </w:rPr>
      </w:pPr>
      <w:r w:rsidRPr="000F3BA1">
        <w:rPr>
          <w:u w:val="single"/>
        </w:rPr>
        <w:t>Pharmacodynamic</w:t>
      </w:r>
      <w:r w:rsidR="0003332A" w:rsidRPr="000F3BA1">
        <w:rPr>
          <w:u w:val="single"/>
        </w:rPr>
        <w:t xml:space="preserve"> effects</w:t>
      </w:r>
    </w:p>
    <w:p w14:paraId="2E915A17" w14:textId="52CF03E6" w:rsidR="002E39AC" w:rsidRDefault="00F16FAC" w:rsidP="00362DF0">
      <w:pPr>
        <w:pStyle w:val="TextPI"/>
        <w:rPr>
          <w:rFonts w:cs="Arial"/>
          <w:lang w:val="en-GB" w:eastAsia="de-DE"/>
        </w:rPr>
      </w:pPr>
      <w:r w:rsidRPr="00F16FAC">
        <w:rPr>
          <w:rFonts w:cs="Arial"/>
          <w:i/>
          <w:iCs/>
          <w:lang w:val="en-GB" w:eastAsia="de-DE"/>
        </w:rPr>
        <w:t>NSCLC</w:t>
      </w:r>
      <w:r>
        <w:rPr>
          <w:rFonts w:cs="Arial"/>
          <w:lang w:val="en-GB" w:eastAsia="de-DE"/>
        </w:rPr>
        <w:t xml:space="preserve"> </w:t>
      </w:r>
    </w:p>
    <w:p w14:paraId="2E915A18" w14:textId="77777777" w:rsidR="00D11950" w:rsidRPr="00D50AFD" w:rsidRDefault="00D50AFD" w:rsidP="00362DF0">
      <w:pPr>
        <w:pStyle w:val="TextPI"/>
        <w:rPr>
          <w:rFonts w:cs="Arial"/>
          <w:color w:val="000000" w:themeColor="text1"/>
        </w:rPr>
      </w:pPr>
      <w:r w:rsidRPr="00D50AFD">
        <w:rPr>
          <w:rFonts w:cs="Arial"/>
          <w:lang w:val="en-GB" w:eastAsia="de-DE"/>
        </w:rPr>
        <w:t xml:space="preserve">Tumour angiogenesis is an essential feature contributing to tumour growth, progression and metastasis formation and is predominantly triggered by the release of pro-angiogenic factors secreted by the tumour cell (i.e. VEGF and </w:t>
      </w:r>
      <w:proofErr w:type="spellStart"/>
      <w:r w:rsidRPr="00D50AFD">
        <w:rPr>
          <w:rFonts w:cs="Arial"/>
          <w:lang w:val="en-GB" w:eastAsia="de-DE"/>
        </w:rPr>
        <w:t>bFGF</w:t>
      </w:r>
      <w:proofErr w:type="spellEnd"/>
      <w:r w:rsidRPr="00D50AFD">
        <w:rPr>
          <w:rFonts w:cs="Arial"/>
          <w:lang w:val="en-GB" w:eastAsia="de-DE"/>
        </w:rPr>
        <w:t xml:space="preserve">) to attract host endothelial as well as perivascular cells to facilitate oxygen and nutrient supply through the host vascular system. In preclinical disease models </w:t>
      </w:r>
      <w:proofErr w:type="spellStart"/>
      <w:r w:rsidRPr="00D50AFD">
        <w:rPr>
          <w:rFonts w:cs="Arial"/>
          <w:lang w:val="en-GB" w:eastAsia="de-DE"/>
        </w:rPr>
        <w:t>nintedanib</w:t>
      </w:r>
      <w:proofErr w:type="spellEnd"/>
      <w:r w:rsidRPr="00D50AFD">
        <w:rPr>
          <w:rFonts w:cs="Arial"/>
          <w:lang w:val="en-GB" w:eastAsia="de-DE"/>
        </w:rPr>
        <w:t xml:space="preserve">, as single agent, effectively interfered with the formation and maintenance of the tumour vascular system resulting in tumour growth inhibition and tumour stasis. </w:t>
      </w:r>
      <w:r w:rsidR="00F84FCD">
        <w:rPr>
          <w:rFonts w:cs="Arial"/>
          <w:lang w:val="en-GB" w:eastAsia="de-DE"/>
        </w:rPr>
        <w:t>T</w:t>
      </w:r>
      <w:r w:rsidRPr="00D50AFD">
        <w:rPr>
          <w:rFonts w:cs="Arial"/>
          <w:lang w:val="en-GB" w:eastAsia="de-DE"/>
        </w:rPr>
        <w:t xml:space="preserve">reatment of tumour xenografts with </w:t>
      </w:r>
      <w:proofErr w:type="spellStart"/>
      <w:r w:rsidRPr="00D50AFD">
        <w:rPr>
          <w:rFonts w:cs="Arial"/>
          <w:lang w:val="en-GB" w:eastAsia="de-DE"/>
        </w:rPr>
        <w:t>nintedanib</w:t>
      </w:r>
      <w:proofErr w:type="spellEnd"/>
      <w:r w:rsidRPr="00D50AFD">
        <w:rPr>
          <w:rFonts w:cs="Arial"/>
          <w:lang w:val="en-GB" w:eastAsia="de-DE"/>
        </w:rPr>
        <w:t xml:space="preserve"> led to a reduction in tumour micro vessel density</w:t>
      </w:r>
      <w:r w:rsidRPr="00D50AFD">
        <w:rPr>
          <w:rFonts w:cs="Arial"/>
          <w:i/>
          <w:iCs/>
          <w:lang w:val="en-GB" w:eastAsia="de-DE"/>
        </w:rPr>
        <w:t>.</w:t>
      </w:r>
    </w:p>
    <w:p w14:paraId="2E915A19" w14:textId="77777777" w:rsidR="00D11950" w:rsidRDefault="00EE197A" w:rsidP="00C34899">
      <w:pPr>
        <w:pStyle w:val="TextPI"/>
        <w:rPr>
          <w:rFonts w:cs="Arial"/>
          <w:lang w:val="en-GB" w:eastAsia="de-DE"/>
        </w:rPr>
      </w:pPr>
      <w:r>
        <w:rPr>
          <w:rFonts w:cs="Arial"/>
          <w:lang w:val="en-GB" w:eastAsia="de-DE"/>
        </w:rPr>
        <w:t xml:space="preserve">Dynamic contrast enhanced magnetic resonance imaging (DCE-MRI) </w:t>
      </w:r>
      <w:r w:rsidR="0003332A" w:rsidRPr="0003332A">
        <w:rPr>
          <w:rFonts w:cs="Arial"/>
          <w:lang w:val="en-GB" w:eastAsia="de-DE"/>
        </w:rPr>
        <w:t xml:space="preserve">measurements showed an anti-angiogenic effect of </w:t>
      </w:r>
      <w:proofErr w:type="spellStart"/>
      <w:r w:rsidR="0003332A" w:rsidRPr="0003332A">
        <w:rPr>
          <w:rFonts w:cs="Arial"/>
          <w:lang w:val="en-GB" w:eastAsia="de-DE"/>
        </w:rPr>
        <w:t>nintedanib</w:t>
      </w:r>
      <w:proofErr w:type="spellEnd"/>
      <w:r w:rsidR="0003332A" w:rsidRPr="0003332A">
        <w:rPr>
          <w:rFonts w:cs="Arial"/>
          <w:lang w:val="en-GB" w:eastAsia="de-DE"/>
        </w:rPr>
        <w:t xml:space="preserve"> in humans. It was not clearly dose dependent, but most responses were seen at doses of ≥ 200 mg. Logistic regression revealed a statistically significant association of the anti-angiogenic effect to </w:t>
      </w:r>
      <w:proofErr w:type="spellStart"/>
      <w:r w:rsidR="0003332A" w:rsidRPr="0003332A">
        <w:rPr>
          <w:rFonts w:cs="Arial"/>
          <w:lang w:val="en-GB" w:eastAsia="de-DE"/>
        </w:rPr>
        <w:t>nintedanib</w:t>
      </w:r>
      <w:proofErr w:type="spellEnd"/>
      <w:r w:rsidR="0003332A" w:rsidRPr="0003332A">
        <w:rPr>
          <w:rFonts w:cs="Arial"/>
          <w:lang w:val="en-GB" w:eastAsia="de-DE"/>
        </w:rPr>
        <w:t xml:space="preserve"> exposure. DCE-MRI effects were seen 24-48 h</w:t>
      </w:r>
      <w:r w:rsidR="00E67F1D">
        <w:rPr>
          <w:rFonts w:cs="Arial"/>
          <w:lang w:val="en-GB" w:eastAsia="de-DE"/>
        </w:rPr>
        <w:t>ours</w:t>
      </w:r>
      <w:r w:rsidR="0003332A" w:rsidRPr="0003332A">
        <w:rPr>
          <w:rFonts w:cs="Arial"/>
          <w:lang w:val="en-GB" w:eastAsia="de-DE"/>
        </w:rPr>
        <w:t xml:space="preserve"> after the first intake</w:t>
      </w:r>
      <w:r w:rsidR="00D10FA8">
        <w:rPr>
          <w:rFonts w:cs="Arial"/>
          <w:lang w:val="en-GB" w:eastAsia="de-DE"/>
        </w:rPr>
        <w:t xml:space="preserve"> of the medicinal product</w:t>
      </w:r>
      <w:r w:rsidR="0003332A" w:rsidRPr="0003332A">
        <w:rPr>
          <w:rFonts w:cs="Arial"/>
          <w:lang w:val="en-GB" w:eastAsia="de-DE"/>
        </w:rPr>
        <w:t xml:space="preserve"> and were preserved or even increased after continuous treatment over several weeks. No correlation of the DCE-MRI response and subsequent clinically significant reduction in target lesion size was found, but DCE-MRI response was associated with disease stabili</w:t>
      </w:r>
      <w:r w:rsidR="00E67F1D">
        <w:rPr>
          <w:rFonts w:cs="Arial"/>
          <w:lang w:val="en-GB" w:eastAsia="de-DE"/>
        </w:rPr>
        <w:t>s</w:t>
      </w:r>
      <w:r w:rsidR="0003332A" w:rsidRPr="0003332A">
        <w:rPr>
          <w:rFonts w:cs="Arial"/>
          <w:lang w:val="en-GB" w:eastAsia="de-DE"/>
        </w:rPr>
        <w:t>ation.</w:t>
      </w:r>
    </w:p>
    <w:p w14:paraId="2E915A1A" w14:textId="56BD8AF0" w:rsidR="002E39AC" w:rsidRDefault="00F16FAC" w:rsidP="001D38DC">
      <w:pPr>
        <w:pStyle w:val="TextPI"/>
        <w:keepNext/>
        <w:rPr>
          <w:rFonts w:cs="Arial"/>
          <w:lang w:val="en-GB" w:eastAsia="de-DE"/>
        </w:rPr>
      </w:pPr>
      <w:r w:rsidRPr="00F16FAC">
        <w:rPr>
          <w:rFonts w:cs="Arial"/>
          <w:i/>
          <w:iCs/>
          <w:lang w:val="en-GB" w:eastAsia="de-DE"/>
        </w:rPr>
        <w:t>IPF</w:t>
      </w:r>
      <w:r w:rsidR="004F2959">
        <w:rPr>
          <w:rFonts w:cs="Arial"/>
          <w:i/>
          <w:iCs/>
          <w:lang w:val="en-GB" w:eastAsia="de-DE"/>
        </w:rPr>
        <w:t xml:space="preserve">, </w:t>
      </w:r>
      <w:r w:rsidR="004F2959" w:rsidRPr="008F3192">
        <w:rPr>
          <w:rFonts w:cs="Arial"/>
          <w:i/>
          <w:iCs/>
          <w:lang w:val="en-GB" w:eastAsia="de-DE"/>
        </w:rPr>
        <w:t>other chronic fibrosing ILDs with a progressive phenotype</w:t>
      </w:r>
      <w:r w:rsidR="004F2959">
        <w:rPr>
          <w:rFonts w:cs="Arial"/>
          <w:i/>
          <w:iCs/>
          <w:lang w:val="en-GB" w:eastAsia="de-DE"/>
        </w:rPr>
        <w:t>,</w:t>
      </w:r>
      <w:r w:rsidR="00C627B8">
        <w:rPr>
          <w:rFonts w:cs="Arial"/>
          <w:i/>
          <w:iCs/>
          <w:lang w:val="en-GB" w:eastAsia="de-DE"/>
        </w:rPr>
        <w:t xml:space="preserve"> and </w:t>
      </w:r>
      <w:proofErr w:type="spellStart"/>
      <w:r w:rsidR="00C627B8">
        <w:rPr>
          <w:rFonts w:cs="Arial"/>
          <w:i/>
          <w:iCs/>
          <w:lang w:val="en-GB" w:eastAsia="de-DE"/>
        </w:rPr>
        <w:t>SSc</w:t>
      </w:r>
      <w:proofErr w:type="spellEnd"/>
      <w:r w:rsidR="00C627B8">
        <w:rPr>
          <w:rFonts w:cs="Arial"/>
          <w:i/>
          <w:iCs/>
          <w:lang w:val="en-GB" w:eastAsia="de-DE"/>
        </w:rPr>
        <w:t>-ILD</w:t>
      </w:r>
      <w:r>
        <w:rPr>
          <w:rFonts w:cs="Arial"/>
          <w:lang w:val="en-GB" w:eastAsia="de-DE"/>
        </w:rPr>
        <w:t xml:space="preserve"> </w:t>
      </w:r>
    </w:p>
    <w:p w14:paraId="2E915A1B" w14:textId="69D81D9A" w:rsidR="00F16FAC" w:rsidRDefault="00E0328C" w:rsidP="00C34899">
      <w:pPr>
        <w:pStyle w:val="TextPI"/>
      </w:pPr>
      <w:r w:rsidRPr="00401C59">
        <w:rPr>
          <w:rFonts w:cs="Arial"/>
          <w:lang w:val="en-GB" w:eastAsia="de-DE"/>
        </w:rPr>
        <w:t xml:space="preserve">In </w:t>
      </w:r>
      <w:r w:rsidRPr="00401C59">
        <w:rPr>
          <w:rFonts w:cs="Arial"/>
          <w:i/>
          <w:iCs/>
          <w:lang w:val="en-GB" w:eastAsia="de-DE"/>
        </w:rPr>
        <w:t>in vitro</w:t>
      </w:r>
      <w:r w:rsidRPr="00401C59">
        <w:rPr>
          <w:rFonts w:cs="Arial"/>
          <w:lang w:val="en-GB" w:eastAsia="de-DE"/>
        </w:rPr>
        <w:t xml:space="preserve"> studies using human cells </w:t>
      </w:r>
      <w:proofErr w:type="spellStart"/>
      <w:r w:rsidRPr="00401C59">
        <w:rPr>
          <w:rFonts w:cs="Arial"/>
          <w:lang w:val="en-GB" w:eastAsia="de-DE"/>
        </w:rPr>
        <w:t>nintedanib</w:t>
      </w:r>
      <w:proofErr w:type="spellEnd"/>
      <w:r w:rsidRPr="00401C59">
        <w:rPr>
          <w:rFonts w:cs="Arial"/>
          <w:lang w:val="en-GB" w:eastAsia="de-DE"/>
        </w:rPr>
        <w:t xml:space="preserve"> has been shown to inhibit processes assumed to be involved in the initiation of the fibrotic pathogenesis, the release of pro-fibrotic mediators from peripheral blood monocytic cells and macrophage polarisation to alternatively activated macrophages. </w:t>
      </w:r>
      <w:proofErr w:type="spellStart"/>
      <w:r w:rsidRPr="00401C59">
        <w:rPr>
          <w:rFonts w:cs="Arial"/>
          <w:lang w:val="en-GB" w:eastAsia="de-DE"/>
        </w:rPr>
        <w:t>Nintedanib</w:t>
      </w:r>
      <w:proofErr w:type="spellEnd"/>
      <w:r w:rsidRPr="00401C59">
        <w:rPr>
          <w:rFonts w:cs="Arial"/>
          <w:lang w:val="en-GB" w:eastAsia="de-DE"/>
        </w:rPr>
        <w:t xml:space="preserve"> has been demonstrated to inhibit fundamental processes in organ fibrosis, proliferation and migration of fibroblasts and transformation to the active myofibroblast phenotype and secretion of extracellular matrix. In animal studies in multiple models of IPF, </w:t>
      </w:r>
      <w:proofErr w:type="spellStart"/>
      <w:r w:rsidRPr="00401C59">
        <w:rPr>
          <w:rFonts w:cs="Arial"/>
          <w:lang w:val="en-GB" w:eastAsia="de-DE"/>
        </w:rPr>
        <w:t>SSc</w:t>
      </w:r>
      <w:proofErr w:type="spellEnd"/>
      <w:r w:rsidRPr="00401C59">
        <w:rPr>
          <w:rFonts w:cs="Arial"/>
          <w:lang w:val="en-GB" w:eastAsia="de-DE"/>
        </w:rPr>
        <w:t>/</w:t>
      </w:r>
      <w:proofErr w:type="spellStart"/>
      <w:r w:rsidRPr="00401C59">
        <w:rPr>
          <w:rFonts w:cs="Arial"/>
          <w:lang w:val="en-GB" w:eastAsia="de-DE"/>
        </w:rPr>
        <w:t>SSc</w:t>
      </w:r>
      <w:proofErr w:type="spellEnd"/>
      <w:r w:rsidRPr="00401C59">
        <w:rPr>
          <w:rFonts w:cs="Arial"/>
          <w:lang w:val="en-GB" w:eastAsia="de-DE"/>
        </w:rPr>
        <w:t xml:space="preserve">-ILD, RA-ILD and other organ fibrosis, </w:t>
      </w:r>
      <w:proofErr w:type="spellStart"/>
      <w:r w:rsidRPr="00401C59">
        <w:rPr>
          <w:rFonts w:cs="Arial"/>
          <w:lang w:val="en-GB" w:eastAsia="de-DE"/>
        </w:rPr>
        <w:t>nintedanib</w:t>
      </w:r>
      <w:proofErr w:type="spellEnd"/>
      <w:r w:rsidRPr="00401C59">
        <w:rPr>
          <w:rFonts w:cs="Arial"/>
          <w:lang w:val="en-GB" w:eastAsia="de-DE"/>
        </w:rPr>
        <w:t xml:space="preserve"> has shown anti-inflammatory effects and anti-fibrotic effects in the lung, skin, heart, kidney, and liver. </w:t>
      </w:r>
      <w:proofErr w:type="spellStart"/>
      <w:r w:rsidRPr="00401C59">
        <w:rPr>
          <w:rFonts w:cs="Arial"/>
          <w:lang w:val="en-GB" w:eastAsia="de-DE"/>
        </w:rPr>
        <w:t>Nintedanib</w:t>
      </w:r>
      <w:proofErr w:type="spellEnd"/>
      <w:r w:rsidRPr="00401C59">
        <w:rPr>
          <w:rFonts w:cs="Arial"/>
          <w:lang w:val="en-GB" w:eastAsia="de-DE"/>
        </w:rPr>
        <w:t xml:space="preserve"> also exerted vascular activity. It reduced dermal microvascular endothelial cell apoptosis and attenuated pulmonary vascular remodelling by reducing the proliferation of vascular smooth muscle cells, the thickness of pulmonary vessel walls and percentage of occluded pulmonary vessels</w:t>
      </w:r>
      <w:r>
        <w:rPr>
          <w:rFonts w:cs="Arial"/>
          <w:lang w:val="en-GB" w:eastAsia="de-DE"/>
        </w:rPr>
        <w:t>.</w:t>
      </w:r>
    </w:p>
    <w:p w14:paraId="799C6CBC" w14:textId="5AF222FB" w:rsidR="00EC4DF6" w:rsidRPr="000F3BA1" w:rsidRDefault="00EC4DF6" w:rsidP="005D33C9">
      <w:pPr>
        <w:pStyle w:val="PIheading30"/>
        <w:ind w:left="0" w:right="0" w:firstLine="0"/>
        <w:rPr>
          <w:b/>
          <w:bCs/>
          <w:u w:val="none"/>
        </w:rPr>
      </w:pPr>
      <w:r w:rsidRPr="000F3BA1">
        <w:rPr>
          <w:b/>
          <w:bCs/>
          <w:u w:val="none"/>
        </w:rPr>
        <w:t>Clinical Trials</w:t>
      </w:r>
    </w:p>
    <w:p w14:paraId="01047444" w14:textId="77777777" w:rsidR="00EC4DF6" w:rsidRPr="000F3BA1" w:rsidRDefault="00EC4DF6" w:rsidP="000F3BA1">
      <w:pPr>
        <w:spacing w:after="120"/>
        <w:rPr>
          <w:rFonts w:ascii="Arial" w:hAnsi="Arial"/>
          <w:b/>
          <w:bCs/>
          <w:sz w:val="22"/>
          <w:szCs w:val="22"/>
          <w:lang w:val="en-GB" w:eastAsia="de-DE"/>
        </w:rPr>
      </w:pPr>
      <w:r w:rsidRPr="000F3BA1">
        <w:rPr>
          <w:rFonts w:ascii="Arial" w:hAnsi="Arial"/>
          <w:b/>
          <w:bCs/>
          <w:sz w:val="22"/>
          <w:szCs w:val="22"/>
          <w:lang w:val="en-GB" w:eastAsia="de-DE"/>
        </w:rPr>
        <w:t>NSCLC</w:t>
      </w:r>
    </w:p>
    <w:p w14:paraId="22ED13DF" w14:textId="22F481BA" w:rsidR="00EC4DF6" w:rsidRPr="000F3BA1" w:rsidRDefault="00EC4DF6" w:rsidP="00401969">
      <w:pPr>
        <w:rPr>
          <w:rFonts w:ascii="Arial" w:hAnsi="Arial"/>
          <w:sz w:val="22"/>
          <w:szCs w:val="22"/>
          <w:u w:val="single"/>
          <w:lang w:val="en-GB" w:eastAsia="de-DE"/>
        </w:rPr>
      </w:pPr>
      <w:r w:rsidRPr="000F3BA1">
        <w:rPr>
          <w:rFonts w:ascii="Arial" w:hAnsi="Arial"/>
          <w:sz w:val="22"/>
          <w:szCs w:val="22"/>
          <w:u w:val="single"/>
          <w:lang w:val="en-GB" w:eastAsia="de-DE"/>
        </w:rPr>
        <w:t xml:space="preserve">Efficacy in the pivotal phase </w:t>
      </w:r>
      <w:r w:rsidR="00D0731A">
        <w:rPr>
          <w:rFonts w:ascii="Arial" w:hAnsi="Arial"/>
          <w:sz w:val="22"/>
          <w:szCs w:val="22"/>
          <w:u w:val="single"/>
          <w:lang w:val="en-US" w:eastAsia="de-DE"/>
        </w:rPr>
        <w:t>III</w:t>
      </w:r>
      <w:r w:rsidRPr="000F3BA1">
        <w:rPr>
          <w:rFonts w:ascii="Arial" w:hAnsi="Arial"/>
          <w:sz w:val="22"/>
          <w:szCs w:val="22"/>
          <w:u w:val="single"/>
          <w:lang w:val="en-GB" w:eastAsia="de-DE"/>
        </w:rPr>
        <w:t xml:space="preserve"> trial LUME-Lung 1</w:t>
      </w:r>
    </w:p>
    <w:p w14:paraId="7C200A35" w14:textId="77777777" w:rsidR="00EC4DF6" w:rsidRPr="001F368B" w:rsidRDefault="00EC4DF6" w:rsidP="00EC4DF6">
      <w:pPr>
        <w:pStyle w:val="TextPI"/>
        <w:rPr>
          <w:color w:val="000000"/>
          <w:lang w:val="en-US" w:eastAsia="de-DE"/>
        </w:rPr>
      </w:pPr>
      <w:r w:rsidRPr="001F368B">
        <w:rPr>
          <w:lang w:val="en-GB" w:eastAsia="de-DE"/>
        </w:rPr>
        <w:t xml:space="preserve">The efficacy and safety of </w:t>
      </w:r>
      <w:r>
        <w:rPr>
          <w:lang w:val="en-GB" w:eastAsia="de-DE"/>
        </w:rPr>
        <w:t>OFEV</w:t>
      </w:r>
      <w:r w:rsidRPr="001F368B">
        <w:rPr>
          <w:lang w:val="en-GB" w:eastAsia="de-DE"/>
        </w:rPr>
        <w:t xml:space="preserve"> was investigated in 1314 patients with locally advanced</w:t>
      </w:r>
      <w:r>
        <w:rPr>
          <w:lang w:val="en-GB" w:eastAsia="de-DE"/>
        </w:rPr>
        <w:t xml:space="preserve">, </w:t>
      </w:r>
      <w:r w:rsidRPr="001F368B">
        <w:rPr>
          <w:lang w:val="en-GB" w:eastAsia="de-DE"/>
        </w:rPr>
        <w:t>metastatic</w:t>
      </w:r>
      <w:r>
        <w:rPr>
          <w:lang w:val="en-GB" w:eastAsia="de-DE"/>
        </w:rPr>
        <w:t xml:space="preserve"> or recurrent</w:t>
      </w:r>
      <w:r w:rsidRPr="001F368B">
        <w:rPr>
          <w:lang w:val="en-GB" w:eastAsia="de-DE"/>
        </w:rPr>
        <w:t xml:space="preserve"> NSCLC after one prior line of chemotherap</w:t>
      </w:r>
      <w:r>
        <w:rPr>
          <w:lang w:val="en-GB" w:eastAsia="de-DE"/>
        </w:rPr>
        <w:t>y.  The trial included 658 patients (50.1</w:t>
      </w:r>
      <w:r w:rsidRPr="001F368B">
        <w:rPr>
          <w:lang w:val="en-GB" w:eastAsia="de-DE"/>
        </w:rPr>
        <w:t>%) with adenocarcinoma, 555 patients (42.2%) with squamous cell c</w:t>
      </w:r>
      <w:r>
        <w:rPr>
          <w:lang w:val="en-GB" w:eastAsia="de-DE"/>
        </w:rPr>
        <w:t>arcinoma, and 101 patients (7.7</w:t>
      </w:r>
      <w:r w:rsidRPr="001F368B">
        <w:rPr>
          <w:lang w:val="en-GB" w:eastAsia="de-DE"/>
        </w:rPr>
        <w:t xml:space="preserve">%) with other tumour </w:t>
      </w:r>
      <w:proofErr w:type="spellStart"/>
      <w:r w:rsidRPr="001F368B">
        <w:rPr>
          <w:lang w:val="en-GB" w:eastAsia="de-DE"/>
        </w:rPr>
        <w:t>histologies</w:t>
      </w:r>
      <w:proofErr w:type="spellEnd"/>
      <w:r w:rsidRPr="001F368B">
        <w:rPr>
          <w:color w:val="000000"/>
          <w:lang w:val="en-US" w:eastAsia="de-DE"/>
        </w:rPr>
        <w:t>.</w:t>
      </w:r>
    </w:p>
    <w:p w14:paraId="7434816F" w14:textId="36F15321" w:rsidR="00EC4DF6" w:rsidRPr="001F368B" w:rsidRDefault="00EC4DF6" w:rsidP="00EC4DF6">
      <w:pPr>
        <w:pStyle w:val="TextPI"/>
        <w:keepNext/>
        <w:keepLines/>
        <w:rPr>
          <w:color w:val="000000"/>
          <w:lang w:val="en-GB" w:eastAsia="de-DE"/>
        </w:rPr>
      </w:pPr>
      <w:r w:rsidRPr="001F368B">
        <w:rPr>
          <w:lang w:val="en-GB"/>
        </w:rPr>
        <w:lastRenderedPageBreak/>
        <w:t>Patients were randomi</w:t>
      </w:r>
      <w:r>
        <w:rPr>
          <w:lang w:val="en-GB"/>
        </w:rPr>
        <w:t>s</w:t>
      </w:r>
      <w:r w:rsidRPr="001F368B">
        <w:rPr>
          <w:lang w:val="en-GB"/>
        </w:rPr>
        <w:t xml:space="preserve">ed (1:1) to receive </w:t>
      </w:r>
      <w:r w:rsidR="003C51C2">
        <w:rPr>
          <w:iCs/>
          <w:lang w:val="en-GB"/>
        </w:rPr>
        <w:t>OFEV</w:t>
      </w:r>
      <w:r w:rsidR="003C51C2" w:rsidRPr="001F368B">
        <w:rPr>
          <w:b/>
          <w:i/>
          <w:iCs/>
          <w:vertAlign w:val="superscript"/>
          <w:lang w:val="en-GB"/>
        </w:rPr>
        <w:t xml:space="preserve"> </w:t>
      </w:r>
      <w:r w:rsidRPr="001F368B">
        <w:rPr>
          <w:lang w:val="en-GB"/>
        </w:rPr>
        <w:t>200 mg orally twice daily in combination with 75 mg/m</w:t>
      </w:r>
      <w:r w:rsidRPr="001F368B">
        <w:rPr>
          <w:vertAlign w:val="superscript"/>
          <w:lang w:val="en-GB"/>
        </w:rPr>
        <w:t>2</w:t>
      </w:r>
      <w:r w:rsidRPr="001F368B">
        <w:rPr>
          <w:lang w:val="en-GB"/>
        </w:rPr>
        <w:t xml:space="preserve"> of </w:t>
      </w:r>
      <w:proofErr w:type="spellStart"/>
      <w:r w:rsidRPr="001F368B">
        <w:rPr>
          <w:lang w:val="en-GB"/>
        </w:rPr>
        <w:t>i.v.</w:t>
      </w:r>
      <w:proofErr w:type="spellEnd"/>
      <w:r w:rsidRPr="001F368B">
        <w:rPr>
          <w:lang w:val="en-GB"/>
        </w:rPr>
        <w:t xml:space="preserve"> docetaxel every 21 days (n = 655) or placebo orally twice daily in combination with 75 mg/m</w:t>
      </w:r>
      <w:r w:rsidRPr="001F368B">
        <w:rPr>
          <w:vertAlign w:val="superscript"/>
          <w:lang w:val="en-GB"/>
        </w:rPr>
        <w:t>2</w:t>
      </w:r>
      <w:r w:rsidRPr="001F368B">
        <w:rPr>
          <w:lang w:val="en-GB"/>
        </w:rPr>
        <w:t xml:space="preserve"> of docetaxel every 21 days (n = 659). </w:t>
      </w:r>
      <w:r>
        <w:rPr>
          <w:lang w:val="en-GB"/>
        </w:rPr>
        <w:t xml:space="preserve"> </w:t>
      </w:r>
      <w:r w:rsidR="003C51C2">
        <w:rPr>
          <w:lang w:val="en-GB"/>
        </w:rPr>
        <w:t>OFEV</w:t>
      </w:r>
      <w:r w:rsidR="003C51C2" w:rsidRPr="00E55B53">
        <w:rPr>
          <w:lang w:val="en-GB"/>
        </w:rPr>
        <w:t xml:space="preserve"> </w:t>
      </w:r>
      <w:r w:rsidRPr="00E55B53">
        <w:rPr>
          <w:lang w:val="en-GB"/>
        </w:rPr>
        <w:t>was not given on day 1 of each cycle, i.e. the day when docetaxel was given.</w:t>
      </w:r>
      <w:r>
        <w:t xml:space="preserve"> </w:t>
      </w:r>
      <w:r>
        <w:rPr>
          <w:lang w:val="en-GB"/>
        </w:rPr>
        <w:t>Randomis</w:t>
      </w:r>
      <w:r w:rsidRPr="001F368B">
        <w:rPr>
          <w:lang w:val="en-GB"/>
        </w:rPr>
        <w:t xml:space="preserve">ation was stratified according to </w:t>
      </w:r>
      <w:r>
        <w:rPr>
          <w:lang w:val="en-GB"/>
        </w:rPr>
        <w:t>Eastern Cooperative Oncology Group (</w:t>
      </w:r>
      <w:r w:rsidRPr="001F368B">
        <w:rPr>
          <w:lang w:val="en-GB"/>
        </w:rPr>
        <w:t>ECOG</w:t>
      </w:r>
      <w:r>
        <w:rPr>
          <w:lang w:val="en-GB"/>
        </w:rPr>
        <w:t>)</w:t>
      </w:r>
      <w:r w:rsidRPr="001F368B">
        <w:rPr>
          <w:lang w:val="en-GB"/>
        </w:rPr>
        <w:t xml:space="preserve"> status (0 </w:t>
      </w:r>
      <w:r w:rsidRPr="00FA3C5C">
        <w:rPr>
          <w:iCs/>
          <w:lang w:val="en-GB"/>
        </w:rPr>
        <w:t>vs.</w:t>
      </w:r>
      <w:r w:rsidRPr="001F368B">
        <w:rPr>
          <w:lang w:val="en-GB"/>
        </w:rPr>
        <w:t xml:space="preserve"> 1), bevacizumab pre</w:t>
      </w:r>
      <w:r>
        <w:rPr>
          <w:lang w:val="en-GB"/>
        </w:rPr>
        <w:t>-</w:t>
      </w:r>
      <w:r w:rsidRPr="001F368B">
        <w:rPr>
          <w:lang w:val="en-GB"/>
        </w:rPr>
        <w:t xml:space="preserve">treatment (yes </w:t>
      </w:r>
      <w:r w:rsidRPr="00E277AE">
        <w:rPr>
          <w:iCs/>
          <w:lang w:val="en-GB"/>
        </w:rPr>
        <w:t>vs</w:t>
      </w:r>
      <w:r w:rsidRPr="001F368B">
        <w:rPr>
          <w:lang w:val="en-GB"/>
        </w:rPr>
        <w:t xml:space="preserve">. no), brain metastasis (yes </w:t>
      </w:r>
      <w:r w:rsidRPr="00E277AE">
        <w:rPr>
          <w:iCs/>
          <w:lang w:val="en-GB"/>
        </w:rPr>
        <w:t>vs</w:t>
      </w:r>
      <w:r w:rsidRPr="001F368B">
        <w:rPr>
          <w:lang w:val="en-GB"/>
        </w:rPr>
        <w:t xml:space="preserve">. no) and tumour histology (squamous </w:t>
      </w:r>
      <w:r w:rsidRPr="00E277AE">
        <w:rPr>
          <w:iCs/>
          <w:lang w:val="en-GB"/>
        </w:rPr>
        <w:t>vs</w:t>
      </w:r>
      <w:r w:rsidRPr="001F368B">
        <w:rPr>
          <w:i/>
          <w:lang w:val="en-GB"/>
        </w:rPr>
        <w:t>.</w:t>
      </w:r>
      <w:r w:rsidRPr="001F368B">
        <w:rPr>
          <w:lang w:val="en-GB"/>
        </w:rPr>
        <w:t xml:space="preserve"> non-squamous tumour histology).</w:t>
      </w:r>
    </w:p>
    <w:p w14:paraId="1D56703E" w14:textId="77777777" w:rsidR="00EC4DF6" w:rsidRDefault="00EC4DF6" w:rsidP="00EC4DF6">
      <w:pPr>
        <w:pStyle w:val="TextPI"/>
        <w:rPr>
          <w:lang w:val="en-GB"/>
        </w:rPr>
      </w:pPr>
      <w:r w:rsidRPr="001F368B">
        <w:rPr>
          <w:lang w:val="en-GB" w:eastAsia="de-DE"/>
        </w:rPr>
        <w:t>Patient characteristics were balanced between treatment arms within the overall population and within the adenocarcinoma patients.</w:t>
      </w:r>
      <w:r>
        <w:rPr>
          <w:lang w:val="en-GB" w:eastAsia="de-DE"/>
        </w:rPr>
        <w:t xml:space="preserve"> </w:t>
      </w:r>
      <w:r w:rsidRPr="001F368B">
        <w:rPr>
          <w:lang w:val="en-GB" w:eastAsia="de-DE"/>
        </w:rPr>
        <w:t xml:space="preserve"> </w:t>
      </w:r>
      <w:r>
        <w:rPr>
          <w:lang w:val="en-GB" w:eastAsia="de-DE"/>
        </w:rPr>
        <w:t xml:space="preserve">In the overall population </w:t>
      </w:r>
      <w:r w:rsidRPr="001F368B">
        <w:rPr>
          <w:lang w:val="en-GB" w:eastAsia="de-DE"/>
        </w:rPr>
        <w:t xml:space="preserve">72.7% of the patients were male. </w:t>
      </w:r>
      <w:r>
        <w:rPr>
          <w:lang w:val="en-GB" w:eastAsia="de-DE"/>
        </w:rPr>
        <w:t xml:space="preserve"> </w:t>
      </w:r>
      <w:r w:rsidRPr="001F368B">
        <w:rPr>
          <w:lang w:val="en-GB" w:eastAsia="de-DE"/>
        </w:rPr>
        <w:t xml:space="preserve">The majority of patients were non-Asian (81.6%), </w:t>
      </w:r>
      <w:r w:rsidRPr="001F368B">
        <w:rPr>
          <w:lang w:val="en-GB"/>
        </w:rPr>
        <w:t>the median age was 60.0 years, the baseline ECOG performance status was 0 (28.6%) or 1 (71.3%); one patient had a baseline ECOG performance status of 2.</w:t>
      </w:r>
      <w:r>
        <w:rPr>
          <w:lang w:val="en-GB"/>
        </w:rPr>
        <w:t xml:space="preserve"> </w:t>
      </w:r>
      <w:r w:rsidRPr="001F368B">
        <w:rPr>
          <w:lang w:val="en-GB"/>
        </w:rPr>
        <w:t xml:space="preserve"> 5.8% of the patients had stable brain metastasis at study entry and 3.8% had prior bevacizumab treatment.</w:t>
      </w:r>
    </w:p>
    <w:p w14:paraId="181CCA2D" w14:textId="77777777" w:rsidR="00EC4DF6" w:rsidRPr="001F368B" w:rsidRDefault="00EC4DF6" w:rsidP="00EC4DF6">
      <w:pPr>
        <w:pStyle w:val="TextPI"/>
        <w:rPr>
          <w:lang w:val="en-GB" w:eastAsia="de-DE"/>
        </w:rPr>
      </w:pPr>
      <w:r>
        <w:rPr>
          <w:lang w:val="en-GB"/>
        </w:rPr>
        <w:t xml:space="preserve">The disease stage was determined at the time of diagnosis using Union Internationale </w:t>
      </w:r>
      <w:proofErr w:type="spellStart"/>
      <w:r>
        <w:rPr>
          <w:lang w:val="en-GB"/>
        </w:rPr>
        <w:t>Contre</w:t>
      </w:r>
      <w:proofErr w:type="spellEnd"/>
      <w:r>
        <w:rPr>
          <w:lang w:val="en-GB"/>
        </w:rPr>
        <w:t xml:space="preserve"> le Cancer (UICC) / American Joint Committee on Cancer (AJCC) Edition 6 or Edition 7.  In the overall population, 16.0% of the patients had disease stage &lt; IIIB/IV, 22.4% had disease stage IIIB and 61.6% had disease stage IV.  9.2% of the patients entered the study with locally recurrent disease stage as had been evaluated at baseline.  For patients with tumour of adenocarcinoma histology, 15.8% had disease stage &lt; IIIB/IV, 15.2% had disease stage IIIB and 69.0% had disease stage IV.  5.8% of the adenocarcinoma patients entered the study with locally recurrent disease stage as had been evaluated at baseline.  ‘Locally recurrent’ was defined as local re-occurrence of the tumour without metastases at study entry.</w:t>
      </w:r>
    </w:p>
    <w:p w14:paraId="2384D70C" w14:textId="77777777" w:rsidR="00EC4DF6" w:rsidRPr="001F368B" w:rsidRDefault="00EC4DF6" w:rsidP="00EC4DF6">
      <w:pPr>
        <w:pStyle w:val="TextPI"/>
        <w:rPr>
          <w:rFonts w:cs="Arial"/>
          <w:lang w:val="en-GB" w:eastAsia="de-DE"/>
        </w:rPr>
      </w:pPr>
      <w:r w:rsidRPr="001F368B">
        <w:rPr>
          <w:rFonts w:cs="Arial"/>
          <w:lang w:val="en-GB" w:eastAsia="de-DE"/>
        </w:rPr>
        <w:t xml:space="preserve">The primary endpoint was progression-free survival (PFS) </w:t>
      </w:r>
      <w:r w:rsidRPr="001F368B">
        <w:rPr>
          <w:rFonts w:cs="Arial"/>
          <w:lang w:val="en-GB"/>
        </w:rPr>
        <w:t>as assessed by an independent review committee (IRC)</w:t>
      </w:r>
      <w:r>
        <w:rPr>
          <w:rFonts w:cs="Arial"/>
          <w:lang w:val="en-GB"/>
        </w:rPr>
        <w:t xml:space="preserve"> based on the intent-to-treat (ITT) population and tested by histology</w:t>
      </w:r>
      <w:r w:rsidRPr="001F368B">
        <w:rPr>
          <w:rFonts w:cs="Arial"/>
          <w:lang w:val="en-GB"/>
        </w:rPr>
        <w:t>.</w:t>
      </w:r>
      <w:r>
        <w:rPr>
          <w:rFonts w:cs="Arial"/>
          <w:lang w:val="en-GB"/>
        </w:rPr>
        <w:t xml:space="preserve"> </w:t>
      </w:r>
      <w:r w:rsidRPr="001F368B">
        <w:rPr>
          <w:rFonts w:cs="Arial"/>
          <w:lang w:val="en-GB"/>
        </w:rPr>
        <w:t xml:space="preserve"> </w:t>
      </w:r>
      <w:r w:rsidRPr="001F368B">
        <w:rPr>
          <w:rFonts w:cs="Arial"/>
          <w:lang w:val="en-GB" w:eastAsia="de-DE"/>
        </w:rPr>
        <w:t xml:space="preserve">Overall survival (OS) was the key secondary endpoint. </w:t>
      </w:r>
      <w:r>
        <w:rPr>
          <w:rFonts w:cs="Arial"/>
          <w:lang w:val="en-GB" w:eastAsia="de-DE"/>
        </w:rPr>
        <w:t xml:space="preserve"> </w:t>
      </w:r>
      <w:r w:rsidRPr="001F368B">
        <w:rPr>
          <w:rFonts w:cs="Arial"/>
          <w:lang w:val="en-GB" w:eastAsia="de-DE"/>
        </w:rPr>
        <w:t xml:space="preserve">Other efficacy outcomes </w:t>
      </w:r>
      <w:r w:rsidRPr="001F368B">
        <w:rPr>
          <w:rFonts w:cs="Arial"/>
          <w:lang w:val="en-GB"/>
        </w:rPr>
        <w:t xml:space="preserve">included objective response, disease control, change in tumour size </w:t>
      </w:r>
      <w:r w:rsidRPr="001F368B">
        <w:rPr>
          <w:rFonts w:cs="Arial"/>
          <w:lang w:val="en-GB" w:eastAsia="de-DE"/>
        </w:rPr>
        <w:t>and health-related quality of life.</w:t>
      </w:r>
    </w:p>
    <w:p w14:paraId="3A3AB1C4" w14:textId="4A26F416" w:rsidR="00EC4DF6" w:rsidRDefault="00EC4DF6" w:rsidP="00EC4DF6">
      <w:pPr>
        <w:pStyle w:val="TextPI"/>
      </w:pPr>
      <w:r w:rsidRPr="00EE5C33">
        <w:t xml:space="preserve">As shown in Table </w:t>
      </w:r>
      <w:r w:rsidR="0092668E">
        <w:t>9</w:t>
      </w:r>
      <w:r w:rsidRPr="00EE5C33">
        <w:t xml:space="preserve">, the addition of </w:t>
      </w:r>
      <w:r w:rsidR="00462A22">
        <w:t>OFEV</w:t>
      </w:r>
      <w:r w:rsidR="00462A22" w:rsidRPr="00EE5C33">
        <w:t xml:space="preserve"> </w:t>
      </w:r>
      <w:r w:rsidRPr="00EE5C33">
        <w:t xml:space="preserve">to docetaxel led to a statistically significant reduction in the risk of progression or death by 21% for the overall population (HR 0.79; </w:t>
      </w:r>
      <w:r w:rsidRPr="00EE5C33">
        <w:br/>
        <w:t xml:space="preserve">95% CI: 0.68 - 0.92; p = 0.0019) as determined by the IRC.  This result was confirmed in the follow-up PFS analysis (HR 0.85, 95% CI: 0.75 - 0.96; p = 0.0070) which included all events collected at the time of the final OS analysis.  </w:t>
      </w:r>
      <w:r>
        <w:t>OS analysis in the overall population did not reach statistical significance (HR 0.94; 95% CI: 0.83 – 1.05).  Of note, pre-planned analyses according to histology showed statistically significant difference in OS between treatment arms in the adenocarcinoma population only.</w:t>
      </w:r>
    </w:p>
    <w:p w14:paraId="2E1FB461" w14:textId="240B6F21" w:rsidR="00146B79" w:rsidRPr="000F322D" w:rsidRDefault="00EC4DF6" w:rsidP="000F322D">
      <w:pPr>
        <w:pStyle w:val="TextPI"/>
      </w:pPr>
      <w:r>
        <w:t xml:space="preserve">The addition of </w:t>
      </w:r>
      <w:r w:rsidR="0017365A">
        <w:t xml:space="preserve">OFEV </w:t>
      </w:r>
      <w:r>
        <w:t xml:space="preserve">to docetaxel led to a statistically significant reduction in the risk of progression or death by 23% for the adenocarcinoma population (HR 0.77; 95% CI: 0.62 – 0.96).  </w:t>
      </w:r>
      <w:r w:rsidRPr="00EE5C33">
        <w:t>In line with these observations, related study endpoints such as disease control and change in tumour size showed significant improvements.</w:t>
      </w:r>
      <w:bookmarkStart w:id="4" w:name="_Toc350513940"/>
      <w:bookmarkStart w:id="5" w:name="_Toc356546274"/>
      <w:bookmarkStart w:id="6" w:name="_Toc357087118"/>
      <w:bookmarkStart w:id="7" w:name="_Toc357409293"/>
      <w:bookmarkStart w:id="8" w:name="_Toc357519233"/>
      <w:r w:rsidR="00146B79">
        <w:rPr>
          <w:b/>
          <w:sz w:val="20"/>
          <w:lang w:val="en-GB"/>
        </w:rPr>
        <w:br w:type="page"/>
      </w:r>
    </w:p>
    <w:p w14:paraId="55FCAF70" w14:textId="4264BFD2" w:rsidR="00EC4DF6" w:rsidRPr="00F7090C" w:rsidRDefault="00EC4DF6" w:rsidP="00D979D5">
      <w:pPr>
        <w:pStyle w:val="TextPI"/>
        <w:widowControl w:val="0"/>
        <w:tabs>
          <w:tab w:val="left" w:pos="1134"/>
        </w:tabs>
        <w:rPr>
          <w:b/>
          <w:sz w:val="20"/>
          <w:szCs w:val="20"/>
          <w:lang w:val="en-GB"/>
        </w:rPr>
      </w:pPr>
      <w:r w:rsidRPr="00F7090C">
        <w:rPr>
          <w:b/>
          <w:sz w:val="20"/>
          <w:szCs w:val="20"/>
          <w:lang w:val="en-GB"/>
        </w:rPr>
        <w:lastRenderedPageBreak/>
        <w:t xml:space="preserve">Table </w:t>
      </w:r>
      <w:r w:rsidR="0092668E">
        <w:rPr>
          <w:b/>
          <w:sz w:val="20"/>
          <w:szCs w:val="20"/>
          <w:lang w:val="en-GB"/>
        </w:rPr>
        <w:t>9</w:t>
      </w:r>
      <w:r w:rsidRPr="00F7090C">
        <w:rPr>
          <w:b/>
          <w:sz w:val="20"/>
          <w:szCs w:val="20"/>
          <w:lang w:val="en-GB"/>
        </w:rPr>
        <w:t>:</w:t>
      </w:r>
      <w:r w:rsidRPr="00F7090C">
        <w:rPr>
          <w:b/>
          <w:sz w:val="20"/>
          <w:szCs w:val="20"/>
          <w:lang w:val="en-GB"/>
        </w:rPr>
        <w:tab/>
        <w:t xml:space="preserve">Efficacy results for study LUME-Lung 1 </w:t>
      </w:r>
      <w:bookmarkEnd w:id="4"/>
      <w:bookmarkEnd w:id="5"/>
      <w:bookmarkEnd w:id="6"/>
      <w:bookmarkEnd w:id="7"/>
      <w:bookmarkEnd w:id="8"/>
      <w:r w:rsidRPr="00F7090C">
        <w:rPr>
          <w:b/>
          <w:sz w:val="20"/>
          <w:szCs w:val="20"/>
          <w:lang w:val="en-GB"/>
        </w:rPr>
        <w:t>for all patients and for patients with adenocarcinoma tumour histology</w:t>
      </w:r>
    </w:p>
    <w:tbl>
      <w:tblPr>
        <w:tblStyle w:val="TableGrid"/>
        <w:tblW w:w="8755" w:type="dxa"/>
        <w:tblLayout w:type="fixed"/>
        <w:tblLook w:val="01E0" w:firstRow="1" w:lastRow="1" w:firstColumn="1" w:lastColumn="1" w:noHBand="0" w:noVBand="0"/>
      </w:tblPr>
      <w:tblGrid>
        <w:gridCol w:w="3504"/>
        <w:gridCol w:w="1282"/>
        <w:gridCol w:w="1418"/>
        <w:gridCol w:w="1275"/>
        <w:gridCol w:w="1276"/>
      </w:tblGrid>
      <w:tr w:rsidR="00D979D5" w:rsidRPr="007609BA" w14:paraId="340845FB" w14:textId="77777777" w:rsidTr="00040F33">
        <w:trPr>
          <w:trHeight w:val="440"/>
        </w:trPr>
        <w:tc>
          <w:tcPr>
            <w:tcW w:w="3504" w:type="dxa"/>
            <w:tcBorders>
              <w:left w:val="single" w:sz="4" w:space="0" w:color="FFFFFF" w:themeColor="background1"/>
              <w:right w:val="single" w:sz="4" w:space="0" w:color="FFFFFF" w:themeColor="background1"/>
            </w:tcBorders>
          </w:tcPr>
          <w:p w14:paraId="226FF938" w14:textId="77777777" w:rsidR="00D979D5" w:rsidRPr="00D979D5" w:rsidRDefault="00D979D5" w:rsidP="00040F33">
            <w:pPr>
              <w:widowControl w:val="0"/>
              <w:spacing w:before="20" w:after="20"/>
              <w:jc w:val="center"/>
              <w:rPr>
                <w:rFonts w:ascii="Arial" w:hAnsi="Arial" w:cs="Arial"/>
                <w:sz w:val="20"/>
                <w:lang w:val="en-GB"/>
              </w:rPr>
            </w:pPr>
          </w:p>
        </w:tc>
        <w:tc>
          <w:tcPr>
            <w:tcW w:w="2700" w:type="dxa"/>
            <w:gridSpan w:val="2"/>
            <w:tcBorders>
              <w:left w:val="single" w:sz="4" w:space="0" w:color="FFFFFF" w:themeColor="background1"/>
              <w:right w:val="single" w:sz="4" w:space="0" w:color="FFFFFF" w:themeColor="background1"/>
            </w:tcBorders>
          </w:tcPr>
          <w:p w14:paraId="3CB89643"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All patients</w:t>
            </w:r>
          </w:p>
        </w:tc>
        <w:tc>
          <w:tcPr>
            <w:tcW w:w="2551" w:type="dxa"/>
            <w:gridSpan w:val="2"/>
            <w:tcBorders>
              <w:left w:val="single" w:sz="4" w:space="0" w:color="FFFFFF" w:themeColor="background1"/>
              <w:right w:val="single" w:sz="4" w:space="0" w:color="FFFFFF" w:themeColor="background1"/>
            </w:tcBorders>
          </w:tcPr>
          <w:p w14:paraId="106955AB"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Adenocarcinoma tumour histology</w:t>
            </w:r>
          </w:p>
        </w:tc>
      </w:tr>
      <w:tr w:rsidR="00D979D5" w:rsidRPr="007609BA" w14:paraId="3ADF29C1" w14:textId="77777777" w:rsidTr="00040F33">
        <w:trPr>
          <w:trHeight w:val="440"/>
        </w:trPr>
        <w:tc>
          <w:tcPr>
            <w:tcW w:w="3504" w:type="dxa"/>
            <w:tcBorders>
              <w:left w:val="single" w:sz="4" w:space="0" w:color="FFFFFF" w:themeColor="background1"/>
              <w:right w:val="single" w:sz="4" w:space="0" w:color="FFFFFF" w:themeColor="background1"/>
            </w:tcBorders>
          </w:tcPr>
          <w:p w14:paraId="3C718540" w14:textId="77777777" w:rsidR="00D979D5" w:rsidRPr="007609BA" w:rsidRDefault="00D979D5" w:rsidP="00040F33">
            <w:pPr>
              <w:widowControl w:val="0"/>
              <w:spacing w:before="20" w:after="20"/>
              <w:rPr>
                <w:rFonts w:ascii="Arial" w:hAnsi="Arial" w:cs="Arial"/>
                <w:sz w:val="20"/>
              </w:rPr>
            </w:pPr>
          </w:p>
        </w:tc>
        <w:tc>
          <w:tcPr>
            <w:tcW w:w="1282" w:type="dxa"/>
            <w:tcBorders>
              <w:left w:val="single" w:sz="4" w:space="0" w:color="FFFFFF" w:themeColor="background1"/>
              <w:right w:val="single" w:sz="4" w:space="0" w:color="FFFFFF" w:themeColor="background1"/>
            </w:tcBorders>
          </w:tcPr>
          <w:p w14:paraId="6A11C4A2" w14:textId="77777777" w:rsidR="00D979D5" w:rsidRPr="00B0295E" w:rsidRDefault="00D979D5" w:rsidP="00040F33">
            <w:pPr>
              <w:widowControl w:val="0"/>
              <w:spacing w:before="20" w:after="20"/>
              <w:jc w:val="center"/>
              <w:rPr>
                <w:rFonts w:ascii="Arial" w:hAnsi="Arial" w:cs="Arial"/>
                <w:b/>
                <w:sz w:val="18"/>
                <w:szCs w:val="18"/>
              </w:rPr>
            </w:pPr>
            <w:r>
              <w:rPr>
                <w:rFonts w:ascii="Arial" w:hAnsi="Arial" w:cs="Arial"/>
                <w:b/>
                <w:sz w:val="18"/>
                <w:szCs w:val="18"/>
              </w:rPr>
              <w:t>OFEV</w:t>
            </w:r>
          </w:p>
          <w:p w14:paraId="46B179A1"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 565)</w:t>
            </w:r>
          </w:p>
        </w:tc>
        <w:tc>
          <w:tcPr>
            <w:tcW w:w="1418" w:type="dxa"/>
            <w:tcBorders>
              <w:left w:val="single" w:sz="4" w:space="0" w:color="FFFFFF" w:themeColor="background1"/>
              <w:right w:val="single" w:sz="4" w:space="0" w:color="FFFFFF" w:themeColor="background1"/>
            </w:tcBorders>
          </w:tcPr>
          <w:p w14:paraId="2193FC38"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Placebo</w:t>
            </w:r>
          </w:p>
          <w:p w14:paraId="453FA4F2"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 569)</w:t>
            </w:r>
          </w:p>
        </w:tc>
        <w:tc>
          <w:tcPr>
            <w:tcW w:w="1275" w:type="dxa"/>
            <w:tcBorders>
              <w:left w:val="single" w:sz="4" w:space="0" w:color="FFFFFF" w:themeColor="background1"/>
              <w:right w:val="single" w:sz="4" w:space="0" w:color="FFFFFF" w:themeColor="background1"/>
            </w:tcBorders>
          </w:tcPr>
          <w:p w14:paraId="35A79F06" w14:textId="77777777" w:rsidR="00D979D5" w:rsidRPr="00B0295E" w:rsidRDefault="00D979D5" w:rsidP="00040F33">
            <w:pPr>
              <w:widowControl w:val="0"/>
              <w:spacing w:before="20" w:after="20"/>
              <w:jc w:val="center"/>
              <w:rPr>
                <w:rFonts w:ascii="Arial" w:hAnsi="Arial" w:cs="Arial"/>
                <w:b/>
                <w:sz w:val="18"/>
                <w:szCs w:val="18"/>
              </w:rPr>
            </w:pPr>
            <w:r>
              <w:rPr>
                <w:rFonts w:ascii="Arial" w:hAnsi="Arial" w:cs="Arial"/>
                <w:b/>
                <w:sz w:val="18"/>
                <w:szCs w:val="18"/>
              </w:rPr>
              <w:t>OFEV</w:t>
            </w:r>
          </w:p>
          <w:p w14:paraId="7A8C6B1D"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 277)</w:t>
            </w:r>
          </w:p>
        </w:tc>
        <w:tc>
          <w:tcPr>
            <w:tcW w:w="1276" w:type="dxa"/>
            <w:tcBorders>
              <w:left w:val="single" w:sz="4" w:space="0" w:color="FFFFFF" w:themeColor="background1"/>
              <w:right w:val="single" w:sz="4" w:space="0" w:color="FFFFFF" w:themeColor="background1"/>
            </w:tcBorders>
          </w:tcPr>
          <w:p w14:paraId="77F631BD"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Placebo</w:t>
            </w:r>
            <w:r w:rsidRPr="007609BA">
              <w:rPr>
                <w:rFonts w:ascii="Arial" w:hAnsi="Arial" w:cs="Arial"/>
                <w:b/>
                <w:sz w:val="20"/>
              </w:rPr>
              <w:br/>
              <w:t>(n = 285)</w:t>
            </w:r>
          </w:p>
        </w:tc>
      </w:tr>
      <w:tr w:rsidR="00D979D5" w:rsidRPr="007609BA" w14:paraId="1E6B0C20" w14:textId="77777777" w:rsidTr="00040F33">
        <w:trPr>
          <w:trHeight w:val="286"/>
        </w:trPr>
        <w:tc>
          <w:tcPr>
            <w:tcW w:w="3504" w:type="dxa"/>
            <w:tcBorders>
              <w:left w:val="single" w:sz="4" w:space="0" w:color="FFFFFF" w:themeColor="background1"/>
              <w:right w:val="single" w:sz="4" w:space="0" w:color="FFFFFF" w:themeColor="background1"/>
            </w:tcBorders>
          </w:tcPr>
          <w:p w14:paraId="1E51A1F7" w14:textId="77777777" w:rsidR="00D979D5" w:rsidRPr="007609BA" w:rsidRDefault="00D979D5" w:rsidP="00040F33">
            <w:pPr>
              <w:widowControl w:val="0"/>
              <w:spacing w:before="20" w:after="20"/>
              <w:rPr>
                <w:rFonts w:ascii="Arial" w:hAnsi="Arial" w:cs="Arial"/>
                <w:b/>
                <w:sz w:val="20"/>
              </w:rPr>
            </w:pPr>
            <w:r w:rsidRPr="007609BA">
              <w:rPr>
                <w:rFonts w:ascii="Arial" w:hAnsi="Arial" w:cs="Arial"/>
                <w:b/>
                <w:sz w:val="20"/>
              </w:rPr>
              <w:t>Progression free survival*</w:t>
            </w:r>
          </w:p>
        </w:tc>
        <w:tc>
          <w:tcPr>
            <w:tcW w:w="1282" w:type="dxa"/>
            <w:tcBorders>
              <w:left w:val="single" w:sz="4" w:space="0" w:color="FFFFFF" w:themeColor="background1"/>
              <w:right w:val="single" w:sz="4" w:space="0" w:color="FFFFFF" w:themeColor="background1"/>
            </w:tcBorders>
          </w:tcPr>
          <w:p w14:paraId="3CBF33D5" w14:textId="77777777" w:rsidR="00D979D5" w:rsidRPr="007609BA" w:rsidRDefault="00D979D5" w:rsidP="00040F33">
            <w:pPr>
              <w:widowControl w:val="0"/>
              <w:spacing w:before="20" w:after="20"/>
              <w:rPr>
                <w:rFonts w:ascii="Arial" w:hAnsi="Arial" w:cs="Arial"/>
                <w:b/>
                <w:sz w:val="20"/>
              </w:rPr>
            </w:pPr>
          </w:p>
        </w:tc>
        <w:tc>
          <w:tcPr>
            <w:tcW w:w="1418" w:type="dxa"/>
            <w:tcBorders>
              <w:left w:val="single" w:sz="4" w:space="0" w:color="FFFFFF" w:themeColor="background1"/>
              <w:right w:val="single" w:sz="4" w:space="0" w:color="FFFFFF" w:themeColor="background1"/>
            </w:tcBorders>
          </w:tcPr>
          <w:p w14:paraId="0E344793" w14:textId="77777777" w:rsidR="00D979D5" w:rsidRPr="007609BA" w:rsidRDefault="00D979D5" w:rsidP="00040F33">
            <w:pPr>
              <w:widowControl w:val="0"/>
              <w:spacing w:before="20" w:after="20"/>
              <w:rPr>
                <w:rFonts w:ascii="Arial" w:hAnsi="Arial" w:cs="Arial"/>
                <w:b/>
                <w:sz w:val="20"/>
              </w:rPr>
            </w:pPr>
          </w:p>
        </w:tc>
        <w:tc>
          <w:tcPr>
            <w:tcW w:w="1275" w:type="dxa"/>
            <w:tcBorders>
              <w:left w:val="single" w:sz="4" w:space="0" w:color="FFFFFF" w:themeColor="background1"/>
              <w:right w:val="single" w:sz="4" w:space="0" w:color="FFFFFF" w:themeColor="background1"/>
            </w:tcBorders>
          </w:tcPr>
          <w:p w14:paraId="06AA9A0A" w14:textId="77777777" w:rsidR="00D979D5" w:rsidRPr="007609BA" w:rsidRDefault="00D979D5" w:rsidP="00040F33">
            <w:pPr>
              <w:widowControl w:val="0"/>
              <w:spacing w:before="20" w:after="20"/>
              <w:rPr>
                <w:rFonts w:ascii="Arial" w:hAnsi="Arial" w:cs="Arial"/>
                <w:b/>
                <w:sz w:val="20"/>
              </w:rPr>
            </w:pPr>
          </w:p>
        </w:tc>
        <w:tc>
          <w:tcPr>
            <w:tcW w:w="1276" w:type="dxa"/>
            <w:tcBorders>
              <w:left w:val="single" w:sz="4" w:space="0" w:color="FFFFFF" w:themeColor="background1"/>
              <w:right w:val="single" w:sz="4" w:space="0" w:color="FFFFFF" w:themeColor="background1"/>
            </w:tcBorders>
          </w:tcPr>
          <w:p w14:paraId="59E4179F" w14:textId="77777777" w:rsidR="00D979D5" w:rsidRPr="007609BA" w:rsidRDefault="00D979D5" w:rsidP="00040F33">
            <w:pPr>
              <w:widowControl w:val="0"/>
              <w:spacing w:before="20" w:after="20"/>
              <w:rPr>
                <w:rFonts w:ascii="Arial" w:hAnsi="Arial" w:cs="Arial"/>
                <w:b/>
                <w:sz w:val="20"/>
              </w:rPr>
            </w:pPr>
          </w:p>
        </w:tc>
      </w:tr>
      <w:tr w:rsidR="00D979D5" w:rsidRPr="007609BA" w14:paraId="641B0649" w14:textId="77777777" w:rsidTr="00040F33">
        <w:trPr>
          <w:trHeight w:val="524"/>
        </w:trPr>
        <w:tc>
          <w:tcPr>
            <w:tcW w:w="3504" w:type="dxa"/>
            <w:tcBorders>
              <w:left w:val="single" w:sz="4" w:space="0" w:color="FFFFFF" w:themeColor="background1"/>
              <w:right w:val="single" w:sz="4" w:space="0" w:color="FFFFFF" w:themeColor="background1"/>
            </w:tcBorders>
          </w:tcPr>
          <w:p w14:paraId="0BBCE78B"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 xml:space="preserve">Number of Deaths or Progressions, </w:t>
            </w:r>
            <w:r w:rsidRPr="007609BA">
              <w:rPr>
                <w:rFonts w:ascii="Arial" w:hAnsi="Arial" w:cs="Arial"/>
                <w:sz w:val="20"/>
              </w:rPr>
              <w:br/>
              <w:t>n (%)</w:t>
            </w:r>
          </w:p>
        </w:tc>
        <w:tc>
          <w:tcPr>
            <w:tcW w:w="1282" w:type="dxa"/>
            <w:tcBorders>
              <w:left w:val="single" w:sz="4" w:space="0" w:color="FFFFFF" w:themeColor="background1"/>
              <w:right w:val="single" w:sz="4" w:space="0" w:color="FFFFFF" w:themeColor="background1"/>
            </w:tcBorders>
          </w:tcPr>
          <w:p w14:paraId="690B70A6"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339 (60.0)</w:t>
            </w:r>
          </w:p>
        </w:tc>
        <w:tc>
          <w:tcPr>
            <w:tcW w:w="1418" w:type="dxa"/>
            <w:tcBorders>
              <w:left w:val="single" w:sz="4" w:space="0" w:color="FFFFFF" w:themeColor="background1"/>
              <w:right w:val="single" w:sz="4" w:space="0" w:color="FFFFFF" w:themeColor="background1"/>
            </w:tcBorders>
          </w:tcPr>
          <w:p w14:paraId="76ED7023"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375 (65.9)</w:t>
            </w:r>
          </w:p>
        </w:tc>
        <w:tc>
          <w:tcPr>
            <w:tcW w:w="1275" w:type="dxa"/>
            <w:tcBorders>
              <w:left w:val="single" w:sz="4" w:space="0" w:color="FFFFFF" w:themeColor="background1"/>
              <w:right w:val="single" w:sz="4" w:space="0" w:color="FFFFFF" w:themeColor="background1"/>
            </w:tcBorders>
          </w:tcPr>
          <w:p w14:paraId="0DF3D4C5"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152 (54.9)</w:t>
            </w:r>
          </w:p>
        </w:tc>
        <w:tc>
          <w:tcPr>
            <w:tcW w:w="1276" w:type="dxa"/>
            <w:tcBorders>
              <w:left w:val="single" w:sz="4" w:space="0" w:color="FFFFFF" w:themeColor="background1"/>
              <w:right w:val="single" w:sz="4" w:space="0" w:color="FFFFFF" w:themeColor="background1"/>
            </w:tcBorders>
          </w:tcPr>
          <w:p w14:paraId="5E364C53"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180 (63.2)</w:t>
            </w:r>
          </w:p>
        </w:tc>
      </w:tr>
      <w:tr w:rsidR="00D979D5" w:rsidRPr="007609BA" w14:paraId="6DA9D8EA" w14:textId="77777777" w:rsidTr="00040F33">
        <w:trPr>
          <w:trHeight w:val="314"/>
        </w:trPr>
        <w:tc>
          <w:tcPr>
            <w:tcW w:w="3504" w:type="dxa"/>
            <w:tcBorders>
              <w:left w:val="single" w:sz="4" w:space="0" w:color="FFFFFF" w:themeColor="background1"/>
              <w:right w:val="single" w:sz="4" w:space="0" w:color="FFFFFF" w:themeColor="background1"/>
            </w:tcBorders>
          </w:tcPr>
          <w:p w14:paraId="7BCCFB34"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Median PFS [months]</w:t>
            </w:r>
          </w:p>
        </w:tc>
        <w:tc>
          <w:tcPr>
            <w:tcW w:w="1282" w:type="dxa"/>
            <w:tcBorders>
              <w:left w:val="single" w:sz="4" w:space="0" w:color="FFFFFF" w:themeColor="background1"/>
              <w:right w:val="single" w:sz="4" w:space="0" w:color="FFFFFF" w:themeColor="background1"/>
            </w:tcBorders>
          </w:tcPr>
          <w:p w14:paraId="01CDEE2F"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3.4</w:t>
            </w:r>
          </w:p>
        </w:tc>
        <w:tc>
          <w:tcPr>
            <w:tcW w:w="1418" w:type="dxa"/>
            <w:tcBorders>
              <w:left w:val="single" w:sz="4" w:space="0" w:color="FFFFFF" w:themeColor="background1"/>
              <w:right w:val="single" w:sz="4" w:space="0" w:color="FFFFFF" w:themeColor="background1"/>
            </w:tcBorders>
          </w:tcPr>
          <w:p w14:paraId="543730F4"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2.7</w:t>
            </w:r>
          </w:p>
        </w:tc>
        <w:tc>
          <w:tcPr>
            <w:tcW w:w="1275" w:type="dxa"/>
            <w:tcBorders>
              <w:left w:val="single" w:sz="4" w:space="0" w:color="FFFFFF" w:themeColor="background1"/>
              <w:right w:val="single" w:sz="4" w:space="0" w:color="FFFFFF" w:themeColor="background1"/>
            </w:tcBorders>
          </w:tcPr>
          <w:p w14:paraId="645DDD1A"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4.0</w:t>
            </w:r>
          </w:p>
        </w:tc>
        <w:tc>
          <w:tcPr>
            <w:tcW w:w="1276" w:type="dxa"/>
            <w:tcBorders>
              <w:left w:val="single" w:sz="4" w:space="0" w:color="FFFFFF" w:themeColor="background1"/>
              <w:right w:val="single" w:sz="4" w:space="0" w:color="FFFFFF" w:themeColor="background1"/>
            </w:tcBorders>
          </w:tcPr>
          <w:p w14:paraId="7FF824D4"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2.8</w:t>
            </w:r>
          </w:p>
        </w:tc>
      </w:tr>
      <w:tr w:rsidR="00D979D5" w:rsidRPr="007609BA" w14:paraId="58738A08" w14:textId="77777777" w:rsidTr="00040F33">
        <w:trPr>
          <w:trHeight w:val="286"/>
        </w:trPr>
        <w:tc>
          <w:tcPr>
            <w:tcW w:w="3504" w:type="dxa"/>
            <w:tcBorders>
              <w:left w:val="single" w:sz="4" w:space="0" w:color="FFFFFF" w:themeColor="background1"/>
              <w:right w:val="single" w:sz="4" w:space="0" w:color="FFFFFF" w:themeColor="background1"/>
            </w:tcBorders>
          </w:tcPr>
          <w:p w14:paraId="27F38B9C"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HR (95% CI)**</w:t>
            </w:r>
          </w:p>
        </w:tc>
        <w:tc>
          <w:tcPr>
            <w:tcW w:w="2700" w:type="dxa"/>
            <w:gridSpan w:val="2"/>
            <w:tcBorders>
              <w:left w:val="single" w:sz="4" w:space="0" w:color="FFFFFF" w:themeColor="background1"/>
              <w:right w:val="single" w:sz="4" w:space="0" w:color="FFFFFF" w:themeColor="background1"/>
            </w:tcBorders>
          </w:tcPr>
          <w:p w14:paraId="453FAA3A"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0.79 (0.68, 0.92)</w:t>
            </w:r>
          </w:p>
        </w:tc>
        <w:tc>
          <w:tcPr>
            <w:tcW w:w="2551" w:type="dxa"/>
            <w:gridSpan w:val="2"/>
            <w:tcBorders>
              <w:left w:val="single" w:sz="4" w:space="0" w:color="FFFFFF" w:themeColor="background1"/>
              <w:right w:val="single" w:sz="4" w:space="0" w:color="FFFFFF" w:themeColor="background1"/>
            </w:tcBorders>
          </w:tcPr>
          <w:p w14:paraId="367242A5"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0.77 (0.62, 0.96)</w:t>
            </w:r>
          </w:p>
        </w:tc>
      </w:tr>
      <w:tr w:rsidR="00D979D5" w:rsidRPr="007609BA" w14:paraId="664C7687" w14:textId="77777777" w:rsidTr="00040F33">
        <w:trPr>
          <w:trHeight w:val="286"/>
        </w:trPr>
        <w:tc>
          <w:tcPr>
            <w:tcW w:w="3504" w:type="dxa"/>
            <w:tcBorders>
              <w:left w:val="single" w:sz="4" w:space="0" w:color="FFFFFF" w:themeColor="background1"/>
              <w:right w:val="single" w:sz="4" w:space="0" w:color="FFFFFF" w:themeColor="background1"/>
            </w:tcBorders>
          </w:tcPr>
          <w:p w14:paraId="638349CB"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 xml:space="preserve">Stratified Log-Rank Test p-value** </w:t>
            </w:r>
          </w:p>
        </w:tc>
        <w:tc>
          <w:tcPr>
            <w:tcW w:w="2700" w:type="dxa"/>
            <w:gridSpan w:val="2"/>
            <w:tcBorders>
              <w:left w:val="single" w:sz="4" w:space="0" w:color="FFFFFF" w:themeColor="background1"/>
              <w:right w:val="single" w:sz="4" w:space="0" w:color="FFFFFF" w:themeColor="background1"/>
            </w:tcBorders>
          </w:tcPr>
          <w:p w14:paraId="3EB2D85F"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0.0019</w:t>
            </w:r>
          </w:p>
        </w:tc>
        <w:tc>
          <w:tcPr>
            <w:tcW w:w="2551" w:type="dxa"/>
            <w:gridSpan w:val="2"/>
            <w:tcBorders>
              <w:left w:val="single" w:sz="4" w:space="0" w:color="FFFFFF" w:themeColor="background1"/>
              <w:right w:val="single" w:sz="4" w:space="0" w:color="FFFFFF" w:themeColor="background1"/>
            </w:tcBorders>
          </w:tcPr>
          <w:p w14:paraId="6E23965E"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0.0193</w:t>
            </w:r>
          </w:p>
        </w:tc>
      </w:tr>
      <w:tr w:rsidR="00D979D5" w:rsidRPr="007609BA" w14:paraId="1AC1EA36" w14:textId="77777777" w:rsidTr="00040F33">
        <w:trPr>
          <w:trHeight w:val="286"/>
        </w:trPr>
        <w:tc>
          <w:tcPr>
            <w:tcW w:w="3504" w:type="dxa"/>
            <w:tcBorders>
              <w:left w:val="single" w:sz="4" w:space="0" w:color="FFFFFF" w:themeColor="background1"/>
              <w:right w:val="single" w:sz="4" w:space="0" w:color="FFFFFF" w:themeColor="background1"/>
            </w:tcBorders>
          </w:tcPr>
          <w:p w14:paraId="1E6C05EB"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Disease control [%]</w:t>
            </w:r>
          </w:p>
        </w:tc>
        <w:tc>
          <w:tcPr>
            <w:tcW w:w="1282" w:type="dxa"/>
            <w:tcBorders>
              <w:left w:val="single" w:sz="4" w:space="0" w:color="FFFFFF" w:themeColor="background1"/>
              <w:right w:val="single" w:sz="4" w:space="0" w:color="FFFFFF" w:themeColor="background1"/>
            </w:tcBorders>
          </w:tcPr>
          <w:p w14:paraId="312BB8ED"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48.5</w:t>
            </w:r>
          </w:p>
        </w:tc>
        <w:tc>
          <w:tcPr>
            <w:tcW w:w="1418" w:type="dxa"/>
            <w:tcBorders>
              <w:left w:val="single" w:sz="4" w:space="0" w:color="FFFFFF" w:themeColor="background1"/>
              <w:right w:val="single" w:sz="4" w:space="0" w:color="FFFFFF" w:themeColor="background1"/>
            </w:tcBorders>
          </w:tcPr>
          <w:p w14:paraId="75622A8B"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37.6</w:t>
            </w:r>
          </w:p>
        </w:tc>
        <w:tc>
          <w:tcPr>
            <w:tcW w:w="1275" w:type="dxa"/>
            <w:tcBorders>
              <w:left w:val="single" w:sz="4" w:space="0" w:color="FFFFFF" w:themeColor="background1"/>
              <w:right w:val="single" w:sz="4" w:space="0" w:color="FFFFFF" w:themeColor="background1"/>
            </w:tcBorders>
          </w:tcPr>
          <w:p w14:paraId="52071D84"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60.6</w:t>
            </w:r>
          </w:p>
        </w:tc>
        <w:tc>
          <w:tcPr>
            <w:tcW w:w="1276" w:type="dxa"/>
            <w:tcBorders>
              <w:left w:val="single" w:sz="4" w:space="0" w:color="FFFFFF" w:themeColor="background1"/>
              <w:right w:val="single" w:sz="4" w:space="0" w:color="FFFFFF" w:themeColor="background1"/>
            </w:tcBorders>
          </w:tcPr>
          <w:p w14:paraId="76043714"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43.9</w:t>
            </w:r>
          </w:p>
        </w:tc>
      </w:tr>
      <w:tr w:rsidR="00D979D5" w:rsidRPr="007609BA" w14:paraId="37BA2400" w14:textId="77777777" w:rsidTr="00040F33">
        <w:trPr>
          <w:trHeight w:val="286"/>
        </w:trPr>
        <w:tc>
          <w:tcPr>
            <w:tcW w:w="3504" w:type="dxa"/>
            <w:tcBorders>
              <w:left w:val="single" w:sz="4" w:space="0" w:color="FFFFFF" w:themeColor="background1"/>
              <w:right w:val="single" w:sz="4" w:space="0" w:color="FFFFFF" w:themeColor="background1"/>
            </w:tcBorders>
          </w:tcPr>
          <w:p w14:paraId="1C42DB7B"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ab/>
              <w:t>Odds ratio (95% CI)</w:t>
            </w:r>
            <w:r w:rsidRPr="007609BA">
              <w:rPr>
                <w:rFonts w:ascii="Arial" w:hAnsi="Arial" w:cs="Arial"/>
                <w:sz w:val="20"/>
                <w:vertAlign w:val="superscript"/>
              </w:rPr>
              <w:t>+</w:t>
            </w:r>
          </w:p>
        </w:tc>
        <w:tc>
          <w:tcPr>
            <w:tcW w:w="2700" w:type="dxa"/>
            <w:gridSpan w:val="2"/>
            <w:tcBorders>
              <w:left w:val="single" w:sz="4" w:space="0" w:color="FFFFFF" w:themeColor="background1"/>
              <w:right w:val="single" w:sz="4" w:space="0" w:color="FFFFFF" w:themeColor="background1"/>
            </w:tcBorders>
          </w:tcPr>
          <w:p w14:paraId="4BEACA8F"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1.56 (1.23, 1.98)</w:t>
            </w:r>
          </w:p>
        </w:tc>
        <w:tc>
          <w:tcPr>
            <w:tcW w:w="2551" w:type="dxa"/>
            <w:gridSpan w:val="2"/>
            <w:tcBorders>
              <w:left w:val="single" w:sz="4" w:space="0" w:color="FFFFFF" w:themeColor="background1"/>
              <w:right w:val="single" w:sz="4" w:space="0" w:color="FFFFFF" w:themeColor="background1"/>
            </w:tcBorders>
          </w:tcPr>
          <w:p w14:paraId="0969B7BB"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1.98 (1.41, 2.77)</w:t>
            </w:r>
          </w:p>
        </w:tc>
      </w:tr>
      <w:tr w:rsidR="00D979D5" w:rsidRPr="007609BA" w14:paraId="787CD959" w14:textId="77777777" w:rsidTr="00040F33">
        <w:trPr>
          <w:trHeight w:val="286"/>
        </w:trPr>
        <w:tc>
          <w:tcPr>
            <w:tcW w:w="3504" w:type="dxa"/>
            <w:tcBorders>
              <w:left w:val="single" w:sz="4" w:space="0" w:color="FFFFFF" w:themeColor="background1"/>
              <w:right w:val="single" w:sz="4" w:space="0" w:color="FFFFFF" w:themeColor="background1"/>
            </w:tcBorders>
          </w:tcPr>
          <w:p w14:paraId="7B03EE23"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ab/>
              <w:t>p-value+</w:t>
            </w:r>
          </w:p>
        </w:tc>
        <w:tc>
          <w:tcPr>
            <w:tcW w:w="2700" w:type="dxa"/>
            <w:gridSpan w:val="2"/>
            <w:tcBorders>
              <w:left w:val="single" w:sz="4" w:space="0" w:color="FFFFFF" w:themeColor="background1"/>
              <w:right w:val="single" w:sz="4" w:space="0" w:color="FFFFFF" w:themeColor="background1"/>
            </w:tcBorders>
          </w:tcPr>
          <w:p w14:paraId="60D3A242"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0.0002</w:t>
            </w:r>
          </w:p>
        </w:tc>
        <w:tc>
          <w:tcPr>
            <w:tcW w:w="2551" w:type="dxa"/>
            <w:gridSpan w:val="2"/>
            <w:tcBorders>
              <w:left w:val="single" w:sz="4" w:space="0" w:color="FFFFFF" w:themeColor="background1"/>
              <w:right w:val="single" w:sz="4" w:space="0" w:color="FFFFFF" w:themeColor="background1"/>
            </w:tcBorders>
          </w:tcPr>
          <w:p w14:paraId="3204AD65"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&lt;0.0001</w:t>
            </w:r>
          </w:p>
        </w:tc>
      </w:tr>
      <w:tr w:rsidR="00D979D5" w:rsidRPr="007609BA" w14:paraId="38ED81C6" w14:textId="77777777" w:rsidTr="00040F33">
        <w:trPr>
          <w:trHeight w:val="286"/>
        </w:trPr>
        <w:tc>
          <w:tcPr>
            <w:tcW w:w="3504" w:type="dxa"/>
            <w:tcBorders>
              <w:left w:val="single" w:sz="4" w:space="0" w:color="FFFFFF" w:themeColor="background1"/>
              <w:right w:val="single" w:sz="4" w:space="0" w:color="FFFFFF" w:themeColor="background1"/>
            </w:tcBorders>
          </w:tcPr>
          <w:p w14:paraId="68AB2D7B"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Objective response [%]</w:t>
            </w:r>
          </w:p>
        </w:tc>
        <w:tc>
          <w:tcPr>
            <w:tcW w:w="1282" w:type="dxa"/>
            <w:tcBorders>
              <w:left w:val="single" w:sz="4" w:space="0" w:color="FFFFFF" w:themeColor="background1"/>
              <w:right w:val="single" w:sz="4" w:space="0" w:color="FFFFFF" w:themeColor="background1"/>
            </w:tcBorders>
          </w:tcPr>
          <w:p w14:paraId="09FCB528"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3.4</w:t>
            </w:r>
          </w:p>
        </w:tc>
        <w:tc>
          <w:tcPr>
            <w:tcW w:w="1418" w:type="dxa"/>
            <w:tcBorders>
              <w:left w:val="single" w:sz="4" w:space="0" w:color="FFFFFF" w:themeColor="background1"/>
              <w:right w:val="single" w:sz="4" w:space="0" w:color="FFFFFF" w:themeColor="background1"/>
            </w:tcBorders>
          </w:tcPr>
          <w:p w14:paraId="3EBE8178"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1.9</w:t>
            </w:r>
          </w:p>
        </w:tc>
        <w:tc>
          <w:tcPr>
            <w:tcW w:w="1275" w:type="dxa"/>
            <w:tcBorders>
              <w:left w:val="single" w:sz="4" w:space="0" w:color="FFFFFF" w:themeColor="background1"/>
              <w:right w:val="single" w:sz="4" w:space="0" w:color="FFFFFF" w:themeColor="background1"/>
            </w:tcBorders>
          </w:tcPr>
          <w:p w14:paraId="2D79AC71"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4.3</w:t>
            </w:r>
          </w:p>
        </w:tc>
        <w:tc>
          <w:tcPr>
            <w:tcW w:w="1276" w:type="dxa"/>
            <w:tcBorders>
              <w:left w:val="single" w:sz="4" w:space="0" w:color="FFFFFF" w:themeColor="background1"/>
              <w:right w:val="single" w:sz="4" w:space="0" w:color="FFFFFF" w:themeColor="background1"/>
            </w:tcBorders>
          </w:tcPr>
          <w:p w14:paraId="2FD92858"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3.5</w:t>
            </w:r>
          </w:p>
        </w:tc>
      </w:tr>
      <w:tr w:rsidR="00D979D5" w:rsidRPr="007609BA" w14:paraId="2EDE98BB" w14:textId="77777777" w:rsidTr="00040F33">
        <w:trPr>
          <w:trHeight w:val="286"/>
        </w:trPr>
        <w:tc>
          <w:tcPr>
            <w:tcW w:w="3504" w:type="dxa"/>
            <w:tcBorders>
              <w:left w:val="single" w:sz="4" w:space="0" w:color="FFFFFF" w:themeColor="background1"/>
              <w:right w:val="single" w:sz="4" w:space="0" w:color="FFFFFF" w:themeColor="background1"/>
            </w:tcBorders>
          </w:tcPr>
          <w:p w14:paraId="0A985F8D"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ab/>
              <w:t>Odds ratio (95% CI)</w:t>
            </w:r>
            <w:r w:rsidRPr="007609BA">
              <w:rPr>
                <w:rFonts w:ascii="Arial" w:hAnsi="Arial" w:cs="Arial"/>
                <w:sz w:val="20"/>
                <w:vertAlign w:val="superscript"/>
              </w:rPr>
              <w:t>+</w:t>
            </w:r>
          </w:p>
        </w:tc>
        <w:tc>
          <w:tcPr>
            <w:tcW w:w="2700" w:type="dxa"/>
            <w:gridSpan w:val="2"/>
            <w:tcBorders>
              <w:left w:val="single" w:sz="4" w:space="0" w:color="FFFFFF" w:themeColor="background1"/>
              <w:right w:val="single" w:sz="4" w:space="0" w:color="FFFFFF" w:themeColor="background1"/>
            </w:tcBorders>
          </w:tcPr>
          <w:p w14:paraId="129656CD"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1.77 (0.85, 3.89)</w:t>
            </w:r>
          </w:p>
        </w:tc>
        <w:tc>
          <w:tcPr>
            <w:tcW w:w="2551" w:type="dxa"/>
            <w:gridSpan w:val="2"/>
            <w:tcBorders>
              <w:left w:val="single" w:sz="4" w:space="0" w:color="FFFFFF" w:themeColor="background1"/>
              <w:right w:val="single" w:sz="4" w:space="0" w:color="FFFFFF" w:themeColor="background1"/>
            </w:tcBorders>
          </w:tcPr>
          <w:p w14:paraId="2C8CC141"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1.25 (0.53, 3.01)</w:t>
            </w:r>
          </w:p>
        </w:tc>
      </w:tr>
      <w:tr w:rsidR="00D979D5" w:rsidRPr="007609BA" w14:paraId="12C906E0" w14:textId="77777777" w:rsidTr="00040F33">
        <w:trPr>
          <w:trHeight w:val="286"/>
        </w:trPr>
        <w:tc>
          <w:tcPr>
            <w:tcW w:w="3504" w:type="dxa"/>
            <w:tcBorders>
              <w:left w:val="single" w:sz="4" w:space="0" w:color="FFFFFF" w:themeColor="background1"/>
              <w:right w:val="single" w:sz="4" w:space="0" w:color="FFFFFF" w:themeColor="background1"/>
            </w:tcBorders>
          </w:tcPr>
          <w:p w14:paraId="2C9607AA"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ab/>
              <w:t>p-value+</w:t>
            </w:r>
          </w:p>
        </w:tc>
        <w:tc>
          <w:tcPr>
            <w:tcW w:w="2700" w:type="dxa"/>
            <w:gridSpan w:val="2"/>
            <w:tcBorders>
              <w:left w:val="single" w:sz="4" w:space="0" w:color="FFFFFF" w:themeColor="background1"/>
              <w:right w:val="single" w:sz="4" w:space="0" w:color="FFFFFF" w:themeColor="background1"/>
            </w:tcBorders>
          </w:tcPr>
          <w:p w14:paraId="12B0D469"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0.1283</w:t>
            </w:r>
          </w:p>
        </w:tc>
        <w:tc>
          <w:tcPr>
            <w:tcW w:w="2551" w:type="dxa"/>
            <w:gridSpan w:val="2"/>
            <w:tcBorders>
              <w:left w:val="single" w:sz="4" w:space="0" w:color="FFFFFF" w:themeColor="background1"/>
              <w:right w:val="single" w:sz="4" w:space="0" w:color="FFFFFF" w:themeColor="background1"/>
            </w:tcBorders>
          </w:tcPr>
          <w:p w14:paraId="24D176D8"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0.6122</w:t>
            </w:r>
          </w:p>
        </w:tc>
      </w:tr>
      <w:tr w:rsidR="00D979D5" w:rsidRPr="007609BA" w14:paraId="407B99ED" w14:textId="77777777" w:rsidTr="00040F33">
        <w:trPr>
          <w:trHeight w:val="286"/>
        </w:trPr>
        <w:tc>
          <w:tcPr>
            <w:tcW w:w="3504" w:type="dxa"/>
            <w:tcBorders>
              <w:left w:val="single" w:sz="4" w:space="0" w:color="FFFFFF" w:themeColor="background1"/>
              <w:right w:val="single" w:sz="4" w:space="0" w:color="FFFFFF" w:themeColor="background1"/>
            </w:tcBorders>
          </w:tcPr>
          <w:p w14:paraId="45198103" w14:textId="77777777" w:rsidR="00D979D5" w:rsidRPr="007609BA" w:rsidRDefault="00D979D5" w:rsidP="00040F33">
            <w:pPr>
              <w:widowControl w:val="0"/>
              <w:spacing w:before="20" w:after="20"/>
              <w:rPr>
                <w:rFonts w:ascii="Arial" w:hAnsi="Arial" w:cs="Arial"/>
                <w:b/>
                <w:sz w:val="20"/>
              </w:rPr>
            </w:pPr>
            <w:r w:rsidRPr="007609BA">
              <w:rPr>
                <w:rFonts w:ascii="Arial" w:hAnsi="Arial" w:cs="Arial"/>
                <w:b/>
                <w:sz w:val="20"/>
              </w:rPr>
              <w:t>Overall Survival***</w:t>
            </w:r>
          </w:p>
        </w:tc>
        <w:tc>
          <w:tcPr>
            <w:tcW w:w="1282" w:type="dxa"/>
            <w:tcBorders>
              <w:left w:val="single" w:sz="4" w:space="0" w:color="FFFFFF" w:themeColor="background1"/>
              <w:right w:val="single" w:sz="4" w:space="0" w:color="FFFFFF" w:themeColor="background1"/>
            </w:tcBorders>
          </w:tcPr>
          <w:p w14:paraId="7E772E6C"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655)</w:t>
            </w:r>
          </w:p>
        </w:tc>
        <w:tc>
          <w:tcPr>
            <w:tcW w:w="1418" w:type="dxa"/>
            <w:tcBorders>
              <w:left w:val="single" w:sz="4" w:space="0" w:color="FFFFFF" w:themeColor="background1"/>
              <w:right w:val="single" w:sz="4" w:space="0" w:color="FFFFFF" w:themeColor="background1"/>
            </w:tcBorders>
          </w:tcPr>
          <w:p w14:paraId="3D3CD960"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659)</w:t>
            </w:r>
          </w:p>
        </w:tc>
        <w:tc>
          <w:tcPr>
            <w:tcW w:w="1275" w:type="dxa"/>
            <w:tcBorders>
              <w:left w:val="single" w:sz="4" w:space="0" w:color="FFFFFF" w:themeColor="background1"/>
              <w:right w:val="single" w:sz="4" w:space="0" w:color="FFFFFF" w:themeColor="background1"/>
            </w:tcBorders>
          </w:tcPr>
          <w:p w14:paraId="626C0054"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322)</w:t>
            </w:r>
          </w:p>
        </w:tc>
        <w:tc>
          <w:tcPr>
            <w:tcW w:w="1276" w:type="dxa"/>
            <w:tcBorders>
              <w:left w:val="single" w:sz="4" w:space="0" w:color="FFFFFF" w:themeColor="background1"/>
              <w:right w:val="single" w:sz="4" w:space="0" w:color="FFFFFF" w:themeColor="background1"/>
            </w:tcBorders>
          </w:tcPr>
          <w:p w14:paraId="64558927" w14:textId="77777777" w:rsidR="00D979D5" w:rsidRPr="007609BA" w:rsidRDefault="00D979D5" w:rsidP="00040F33">
            <w:pPr>
              <w:widowControl w:val="0"/>
              <w:spacing w:before="20" w:after="20"/>
              <w:jc w:val="center"/>
              <w:rPr>
                <w:rFonts w:ascii="Arial" w:hAnsi="Arial" w:cs="Arial"/>
                <w:b/>
                <w:sz w:val="20"/>
              </w:rPr>
            </w:pPr>
            <w:r w:rsidRPr="007609BA">
              <w:rPr>
                <w:rFonts w:ascii="Arial" w:hAnsi="Arial" w:cs="Arial"/>
                <w:b/>
                <w:sz w:val="20"/>
              </w:rPr>
              <w:t>(n= 336)</w:t>
            </w:r>
          </w:p>
        </w:tc>
      </w:tr>
      <w:tr w:rsidR="00D979D5" w:rsidRPr="007609BA" w14:paraId="335354BD" w14:textId="77777777" w:rsidTr="00040F33">
        <w:trPr>
          <w:trHeight w:val="131"/>
        </w:trPr>
        <w:tc>
          <w:tcPr>
            <w:tcW w:w="3504" w:type="dxa"/>
            <w:tcBorders>
              <w:left w:val="single" w:sz="4" w:space="0" w:color="FFFFFF" w:themeColor="background1"/>
              <w:right w:val="single" w:sz="4" w:space="0" w:color="FFFFFF" w:themeColor="background1"/>
            </w:tcBorders>
          </w:tcPr>
          <w:p w14:paraId="60CCDD22"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Number of OS events, n (%)</w:t>
            </w:r>
          </w:p>
        </w:tc>
        <w:tc>
          <w:tcPr>
            <w:tcW w:w="1282" w:type="dxa"/>
            <w:tcBorders>
              <w:left w:val="single" w:sz="4" w:space="0" w:color="FFFFFF" w:themeColor="background1"/>
              <w:right w:val="single" w:sz="4" w:space="0" w:color="FFFFFF" w:themeColor="background1"/>
            </w:tcBorders>
          </w:tcPr>
          <w:p w14:paraId="2E4C387F"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564 (86.1)</w:t>
            </w:r>
          </w:p>
        </w:tc>
        <w:tc>
          <w:tcPr>
            <w:tcW w:w="1418" w:type="dxa"/>
            <w:tcBorders>
              <w:left w:val="single" w:sz="4" w:space="0" w:color="FFFFFF" w:themeColor="background1"/>
              <w:right w:val="single" w:sz="4" w:space="0" w:color="FFFFFF" w:themeColor="background1"/>
            </w:tcBorders>
          </w:tcPr>
          <w:p w14:paraId="3D201D21"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557 (84.5)</w:t>
            </w:r>
          </w:p>
        </w:tc>
        <w:tc>
          <w:tcPr>
            <w:tcW w:w="1275" w:type="dxa"/>
            <w:tcBorders>
              <w:left w:val="single" w:sz="4" w:space="0" w:color="FFFFFF" w:themeColor="background1"/>
              <w:right w:val="single" w:sz="4" w:space="0" w:color="FFFFFF" w:themeColor="background1"/>
            </w:tcBorders>
          </w:tcPr>
          <w:p w14:paraId="140A4F49"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259 (80.4)</w:t>
            </w:r>
          </w:p>
        </w:tc>
        <w:tc>
          <w:tcPr>
            <w:tcW w:w="1276" w:type="dxa"/>
            <w:tcBorders>
              <w:left w:val="single" w:sz="4" w:space="0" w:color="FFFFFF" w:themeColor="background1"/>
              <w:right w:val="single" w:sz="4" w:space="0" w:color="FFFFFF" w:themeColor="background1"/>
            </w:tcBorders>
          </w:tcPr>
          <w:p w14:paraId="6A906441"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276</w:t>
            </w:r>
          </w:p>
          <w:p w14:paraId="40630F6B"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(82.1)</w:t>
            </w:r>
          </w:p>
        </w:tc>
      </w:tr>
      <w:tr w:rsidR="00D979D5" w:rsidRPr="007609BA" w14:paraId="342044C1" w14:textId="77777777" w:rsidTr="00040F33">
        <w:trPr>
          <w:trHeight w:val="255"/>
        </w:trPr>
        <w:tc>
          <w:tcPr>
            <w:tcW w:w="3504" w:type="dxa"/>
            <w:tcBorders>
              <w:left w:val="single" w:sz="4" w:space="0" w:color="FFFFFF" w:themeColor="background1"/>
              <w:right w:val="single" w:sz="4" w:space="0" w:color="FFFFFF" w:themeColor="background1"/>
            </w:tcBorders>
          </w:tcPr>
          <w:p w14:paraId="1EE69A79"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Median OS [months]</w:t>
            </w:r>
          </w:p>
        </w:tc>
        <w:tc>
          <w:tcPr>
            <w:tcW w:w="1282" w:type="dxa"/>
            <w:tcBorders>
              <w:left w:val="single" w:sz="4" w:space="0" w:color="FFFFFF" w:themeColor="background1"/>
              <w:right w:val="single" w:sz="4" w:space="0" w:color="FFFFFF" w:themeColor="background1"/>
            </w:tcBorders>
          </w:tcPr>
          <w:p w14:paraId="0FC0D632"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10.1</w:t>
            </w:r>
          </w:p>
        </w:tc>
        <w:tc>
          <w:tcPr>
            <w:tcW w:w="1418" w:type="dxa"/>
            <w:tcBorders>
              <w:left w:val="single" w:sz="4" w:space="0" w:color="FFFFFF" w:themeColor="background1"/>
              <w:right w:val="single" w:sz="4" w:space="0" w:color="FFFFFF" w:themeColor="background1"/>
            </w:tcBorders>
          </w:tcPr>
          <w:p w14:paraId="73E60584"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9.1</w:t>
            </w:r>
          </w:p>
        </w:tc>
        <w:tc>
          <w:tcPr>
            <w:tcW w:w="1275" w:type="dxa"/>
            <w:tcBorders>
              <w:left w:val="single" w:sz="4" w:space="0" w:color="FFFFFF" w:themeColor="background1"/>
              <w:right w:val="single" w:sz="4" w:space="0" w:color="FFFFFF" w:themeColor="background1"/>
            </w:tcBorders>
          </w:tcPr>
          <w:p w14:paraId="5A6E927C"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12.6</w:t>
            </w:r>
          </w:p>
        </w:tc>
        <w:tc>
          <w:tcPr>
            <w:tcW w:w="1276" w:type="dxa"/>
            <w:tcBorders>
              <w:left w:val="single" w:sz="4" w:space="0" w:color="FFFFFF" w:themeColor="background1"/>
              <w:right w:val="single" w:sz="4" w:space="0" w:color="FFFFFF" w:themeColor="background1"/>
            </w:tcBorders>
          </w:tcPr>
          <w:p w14:paraId="5EF690DD"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10.3</w:t>
            </w:r>
          </w:p>
        </w:tc>
      </w:tr>
      <w:tr w:rsidR="00D979D5" w:rsidRPr="007609BA" w14:paraId="156E3539" w14:textId="77777777" w:rsidTr="00040F33">
        <w:trPr>
          <w:trHeight w:val="216"/>
        </w:trPr>
        <w:tc>
          <w:tcPr>
            <w:tcW w:w="3504" w:type="dxa"/>
            <w:tcBorders>
              <w:left w:val="single" w:sz="4" w:space="0" w:color="FFFFFF" w:themeColor="background1"/>
              <w:right w:val="single" w:sz="4" w:space="0" w:color="FFFFFF" w:themeColor="background1"/>
            </w:tcBorders>
          </w:tcPr>
          <w:p w14:paraId="54FA6B1E"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HR (95% CI)</w:t>
            </w:r>
          </w:p>
        </w:tc>
        <w:tc>
          <w:tcPr>
            <w:tcW w:w="2700" w:type="dxa"/>
            <w:gridSpan w:val="2"/>
            <w:tcBorders>
              <w:left w:val="single" w:sz="4" w:space="0" w:color="FFFFFF" w:themeColor="background1"/>
              <w:right w:val="single" w:sz="4" w:space="0" w:color="FFFFFF" w:themeColor="background1"/>
            </w:tcBorders>
          </w:tcPr>
          <w:p w14:paraId="25EC30EC"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0.94 (0.83, 1.05)</w:t>
            </w:r>
          </w:p>
        </w:tc>
        <w:tc>
          <w:tcPr>
            <w:tcW w:w="2551" w:type="dxa"/>
            <w:gridSpan w:val="2"/>
            <w:tcBorders>
              <w:left w:val="single" w:sz="4" w:space="0" w:color="FFFFFF" w:themeColor="background1"/>
              <w:right w:val="single" w:sz="4" w:space="0" w:color="FFFFFF" w:themeColor="background1"/>
            </w:tcBorders>
          </w:tcPr>
          <w:p w14:paraId="711D8B19"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0.83 (0.70, 0.99)</w:t>
            </w:r>
          </w:p>
        </w:tc>
      </w:tr>
      <w:tr w:rsidR="00D979D5" w:rsidRPr="007609BA" w14:paraId="24975C0E" w14:textId="77777777" w:rsidTr="00040F33">
        <w:trPr>
          <w:trHeight w:val="286"/>
        </w:trPr>
        <w:tc>
          <w:tcPr>
            <w:tcW w:w="3504" w:type="dxa"/>
            <w:tcBorders>
              <w:left w:val="single" w:sz="4" w:space="0" w:color="FFFFFF" w:themeColor="background1"/>
              <w:right w:val="single" w:sz="4" w:space="0" w:color="FFFFFF" w:themeColor="background1"/>
            </w:tcBorders>
          </w:tcPr>
          <w:p w14:paraId="3FFC77FD" w14:textId="77777777" w:rsidR="00D979D5" w:rsidRPr="007609BA" w:rsidRDefault="00D979D5" w:rsidP="00040F33">
            <w:pPr>
              <w:widowControl w:val="0"/>
              <w:spacing w:before="20" w:after="20"/>
              <w:rPr>
                <w:rFonts w:ascii="Arial" w:hAnsi="Arial" w:cs="Arial"/>
                <w:sz w:val="20"/>
              </w:rPr>
            </w:pPr>
            <w:r w:rsidRPr="007609BA">
              <w:rPr>
                <w:rFonts w:ascii="Arial" w:hAnsi="Arial" w:cs="Arial"/>
                <w:sz w:val="20"/>
              </w:rPr>
              <w:t xml:space="preserve">Stratified Log-Rank Test p-value* </w:t>
            </w:r>
          </w:p>
        </w:tc>
        <w:tc>
          <w:tcPr>
            <w:tcW w:w="2700" w:type="dxa"/>
            <w:gridSpan w:val="2"/>
            <w:tcBorders>
              <w:left w:val="single" w:sz="4" w:space="0" w:color="FFFFFF" w:themeColor="background1"/>
              <w:right w:val="single" w:sz="4" w:space="0" w:color="FFFFFF" w:themeColor="background1"/>
            </w:tcBorders>
          </w:tcPr>
          <w:p w14:paraId="53940C29"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0.2720</w:t>
            </w:r>
          </w:p>
        </w:tc>
        <w:tc>
          <w:tcPr>
            <w:tcW w:w="2551" w:type="dxa"/>
            <w:gridSpan w:val="2"/>
            <w:tcBorders>
              <w:left w:val="single" w:sz="4" w:space="0" w:color="FFFFFF" w:themeColor="background1"/>
              <w:right w:val="single" w:sz="4" w:space="0" w:color="FFFFFF" w:themeColor="background1"/>
            </w:tcBorders>
          </w:tcPr>
          <w:p w14:paraId="71A36645" w14:textId="77777777" w:rsidR="00D979D5" w:rsidRPr="007609BA" w:rsidRDefault="00D979D5" w:rsidP="00040F33">
            <w:pPr>
              <w:widowControl w:val="0"/>
              <w:spacing w:before="20" w:after="20"/>
              <w:jc w:val="center"/>
              <w:rPr>
                <w:rFonts w:ascii="Arial" w:hAnsi="Arial" w:cs="Arial"/>
                <w:sz w:val="20"/>
              </w:rPr>
            </w:pPr>
            <w:r w:rsidRPr="007609BA">
              <w:rPr>
                <w:rFonts w:ascii="Arial" w:hAnsi="Arial" w:cs="Arial"/>
                <w:sz w:val="20"/>
              </w:rPr>
              <w:t>0.0359</w:t>
            </w:r>
          </w:p>
        </w:tc>
      </w:tr>
    </w:tbl>
    <w:p w14:paraId="7E99EBDC" w14:textId="77777777" w:rsidR="00EC4DF6" w:rsidRPr="0020404D" w:rsidRDefault="00EC4DF6" w:rsidP="00D979D5">
      <w:pPr>
        <w:widowControl w:val="0"/>
        <w:tabs>
          <w:tab w:val="left" w:pos="284"/>
        </w:tabs>
        <w:autoSpaceDE w:val="0"/>
        <w:autoSpaceDN w:val="0"/>
        <w:adjustRightInd w:val="0"/>
        <w:spacing w:before="120"/>
        <w:ind w:left="284" w:hanging="284"/>
        <w:jc w:val="both"/>
        <w:rPr>
          <w:rFonts w:ascii="Arial" w:hAnsi="Arial" w:cs="Arial"/>
          <w:sz w:val="20"/>
          <w:lang w:val="en-GB" w:eastAsia="de-DE"/>
        </w:rPr>
      </w:pPr>
      <w:r w:rsidRPr="0020404D">
        <w:rPr>
          <w:rFonts w:ascii="Arial" w:hAnsi="Arial" w:cs="Arial"/>
          <w:sz w:val="20"/>
          <w:vertAlign w:val="superscript"/>
          <w:lang w:val="en-GB" w:eastAsia="de-DE"/>
        </w:rPr>
        <w:t>*</w:t>
      </w:r>
      <w:r w:rsidRPr="0020404D">
        <w:rPr>
          <w:rFonts w:ascii="Arial" w:hAnsi="Arial" w:cs="Arial"/>
          <w:sz w:val="20"/>
          <w:lang w:val="en-GB" w:eastAsia="de-DE"/>
        </w:rPr>
        <w:tab/>
        <w:t>Primary PFS analysis based on a total of 713</w:t>
      </w:r>
      <w:r w:rsidRPr="0020404D">
        <w:rPr>
          <w:rFonts w:ascii="Arial" w:hAnsi="Arial" w:cs="Arial"/>
          <w:sz w:val="20"/>
          <w:vertAlign w:val="superscript"/>
          <w:lang w:val="en-GB" w:eastAsia="de-DE"/>
        </w:rPr>
        <w:t>th</w:t>
      </w:r>
      <w:r w:rsidRPr="0020404D">
        <w:rPr>
          <w:rFonts w:ascii="Arial" w:hAnsi="Arial" w:cs="Arial"/>
          <w:sz w:val="20"/>
          <w:lang w:val="en-GB" w:eastAsia="de-DE"/>
        </w:rPr>
        <w:t xml:space="preserve"> PFS events in the overall population. </w:t>
      </w:r>
      <w:r w:rsidRPr="00E55B53">
        <w:rPr>
          <w:rFonts w:ascii="Arial" w:hAnsi="Arial" w:cs="Arial"/>
          <w:sz w:val="20"/>
          <w:lang w:val="en-GB" w:eastAsia="de-DE"/>
        </w:rPr>
        <w:t>Recruitment was ongoing when the primary analysis was conducted.</w:t>
      </w:r>
    </w:p>
    <w:p w14:paraId="71FA4583" w14:textId="77777777" w:rsidR="00EC4DF6" w:rsidRPr="0020404D" w:rsidRDefault="00EC4DF6" w:rsidP="00D979D5">
      <w:pPr>
        <w:widowControl w:val="0"/>
        <w:tabs>
          <w:tab w:val="left" w:pos="284"/>
        </w:tabs>
        <w:autoSpaceDE w:val="0"/>
        <w:autoSpaceDN w:val="0"/>
        <w:adjustRightInd w:val="0"/>
        <w:ind w:left="284" w:hanging="284"/>
        <w:jc w:val="both"/>
        <w:rPr>
          <w:rFonts w:ascii="Arial" w:hAnsi="Arial" w:cs="Arial"/>
          <w:sz w:val="20"/>
          <w:lang w:val="en-GB"/>
        </w:rPr>
      </w:pPr>
      <w:r w:rsidRPr="0020404D">
        <w:rPr>
          <w:rFonts w:ascii="Arial" w:hAnsi="Arial" w:cs="Arial"/>
          <w:sz w:val="20"/>
          <w:vertAlign w:val="superscript"/>
          <w:lang w:val="en-GB" w:eastAsia="de-DE"/>
        </w:rPr>
        <w:t>**</w:t>
      </w:r>
      <w:r w:rsidRPr="0020404D">
        <w:rPr>
          <w:rFonts w:ascii="Arial" w:hAnsi="Arial" w:cs="Arial"/>
          <w:sz w:val="20"/>
          <w:vertAlign w:val="superscript"/>
          <w:lang w:val="en-GB" w:eastAsia="de-DE"/>
        </w:rPr>
        <w:tab/>
      </w:r>
      <w:r w:rsidRPr="0020404D">
        <w:rPr>
          <w:rFonts w:ascii="Arial" w:hAnsi="Arial" w:cs="Arial"/>
          <w:sz w:val="20"/>
          <w:lang w:val="en-GB" w:eastAsia="de-DE"/>
        </w:rPr>
        <w:t>Stratified by baseline ECOG PS</w:t>
      </w:r>
      <w:r w:rsidRPr="0020404D">
        <w:rPr>
          <w:rFonts w:ascii="Arial" w:hAnsi="Arial" w:cs="Arial"/>
          <w:sz w:val="20"/>
          <w:lang w:val="en-GB"/>
        </w:rPr>
        <w:t xml:space="preserve"> (0 </w:t>
      </w:r>
      <w:r w:rsidRPr="0020404D">
        <w:rPr>
          <w:rFonts w:ascii="Arial" w:hAnsi="Arial" w:cs="Arial"/>
          <w:i/>
          <w:sz w:val="20"/>
          <w:lang w:val="en-GB"/>
        </w:rPr>
        <w:t>vs</w:t>
      </w:r>
      <w:r w:rsidRPr="0020404D">
        <w:rPr>
          <w:rFonts w:ascii="Arial" w:hAnsi="Arial" w:cs="Arial"/>
          <w:sz w:val="20"/>
          <w:lang w:val="en-GB"/>
        </w:rPr>
        <w:t xml:space="preserve">. 1), brain metastases at baseline (yes vs. no) and prior treatment with bevacizumab (yes </w:t>
      </w:r>
      <w:r w:rsidRPr="0020404D">
        <w:rPr>
          <w:rFonts w:ascii="Arial" w:hAnsi="Arial" w:cs="Arial"/>
          <w:i/>
          <w:sz w:val="20"/>
          <w:lang w:val="en-GB"/>
        </w:rPr>
        <w:t>vs</w:t>
      </w:r>
      <w:r w:rsidRPr="0020404D">
        <w:rPr>
          <w:rFonts w:ascii="Arial" w:hAnsi="Arial" w:cs="Arial"/>
          <w:sz w:val="20"/>
          <w:lang w:val="en-GB"/>
        </w:rPr>
        <w:t>. no)</w:t>
      </w:r>
      <w:r>
        <w:rPr>
          <w:rFonts w:ascii="Arial" w:hAnsi="Arial" w:cs="Arial"/>
          <w:sz w:val="20"/>
          <w:lang w:val="en-GB"/>
        </w:rPr>
        <w:t xml:space="preserve"> </w:t>
      </w:r>
      <w:r w:rsidRPr="0020404D">
        <w:rPr>
          <w:rFonts w:ascii="Arial" w:hAnsi="Arial" w:cs="Arial"/>
          <w:sz w:val="20"/>
          <w:lang w:val="en-GB"/>
        </w:rPr>
        <w:t xml:space="preserve">and in the all patients population additionally stratified by tumour histology (squamous </w:t>
      </w:r>
      <w:r w:rsidRPr="0020404D">
        <w:rPr>
          <w:rFonts w:ascii="Arial" w:hAnsi="Arial" w:cs="Arial"/>
          <w:i/>
          <w:sz w:val="20"/>
          <w:lang w:val="en-GB"/>
        </w:rPr>
        <w:t>vs</w:t>
      </w:r>
      <w:r w:rsidRPr="0020404D">
        <w:rPr>
          <w:rFonts w:ascii="Arial" w:hAnsi="Arial" w:cs="Arial"/>
          <w:sz w:val="20"/>
          <w:lang w:val="en-GB"/>
        </w:rPr>
        <w:t>. non−squamous).</w:t>
      </w:r>
      <w:r w:rsidRPr="0020404D">
        <w:rPr>
          <w:rFonts w:ascii="Arial" w:hAnsi="Arial" w:cs="Arial"/>
          <w:sz w:val="20"/>
          <w:lang w:val="en-GB" w:eastAsia="de-DE"/>
        </w:rPr>
        <w:t xml:space="preserve"> </w:t>
      </w:r>
    </w:p>
    <w:p w14:paraId="2949B6B1" w14:textId="77777777" w:rsidR="00EC4DF6" w:rsidRPr="0020404D" w:rsidRDefault="00EC4DF6" w:rsidP="00D979D5">
      <w:pPr>
        <w:widowControl w:val="0"/>
        <w:tabs>
          <w:tab w:val="left" w:pos="284"/>
        </w:tabs>
        <w:autoSpaceDE w:val="0"/>
        <w:autoSpaceDN w:val="0"/>
        <w:adjustRightInd w:val="0"/>
        <w:ind w:left="284" w:hanging="284"/>
        <w:jc w:val="both"/>
        <w:rPr>
          <w:rFonts w:ascii="Arial" w:hAnsi="Arial" w:cs="Arial"/>
          <w:sz w:val="20"/>
          <w:lang w:val="en-GB" w:eastAsia="de-DE"/>
        </w:rPr>
      </w:pPr>
      <w:r w:rsidRPr="0020404D">
        <w:rPr>
          <w:rFonts w:ascii="Arial" w:hAnsi="Arial" w:cs="Arial"/>
          <w:sz w:val="20"/>
          <w:vertAlign w:val="superscript"/>
          <w:lang w:val="en-GB" w:eastAsia="de-DE"/>
        </w:rPr>
        <w:t>***</w:t>
      </w:r>
      <w:r w:rsidRPr="0020404D">
        <w:rPr>
          <w:rFonts w:ascii="Arial" w:hAnsi="Arial" w:cs="Arial"/>
          <w:sz w:val="20"/>
          <w:vertAlign w:val="superscript"/>
          <w:lang w:val="en-GB" w:eastAsia="de-DE"/>
        </w:rPr>
        <w:tab/>
      </w:r>
      <w:r w:rsidRPr="0020404D">
        <w:rPr>
          <w:rFonts w:ascii="Arial" w:hAnsi="Arial" w:cs="Arial"/>
          <w:sz w:val="20"/>
          <w:lang w:val="en-GB" w:eastAsia="de-DE"/>
        </w:rPr>
        <w:t>OS analysis based on a total of 1121 deaths in the overall population</w:t>
      </w:r>
    </w:p>
    <w:p w14:paraId="0BF260C5" w14:textId="77777777" w:rsidR="00EC4DF6" w:rsidRPr="0020404D" w:rsidRDefault="00EC4DF6" w:rsidP="00D979D5">
      <w:pPr>
        <w:widowControl w:val="0"/>
        <w:tabs>
          <w:tab w:val="left" w:pos="284"/>
        </w:tabs>
        <w:autoSpaceDE w:val="0"/>
        <w:autoSpaceDN w:val="0"/>
        <w:adjustRightInd w:val="0"/>
        <w:ind w:left="284" w:hanging="284"/>
        <w:jc w:val="both"/>
        <w:rPr>
          <w:rFonts w:ascii="Arial" w:hAnsi="Arial" w:cs="Arial"/>
          <w:sz w:val="20"/>
          <w:lang w:val="en-GB"/>
        </w:rPr>
      </w:pPr>
      <w:r w:rsidRPr="0020404D">
        <w:rPr>
          <w:rFonts w:ascii="Arial" w:hAnsi="Arial" w:cs="Arial"/>
          <w:sz w:val="20"/>
          <w:lang w:val="en-GB"/>
        </w:rPr>
        <w:t>+</w:t>
      </w:r>
      <w:r w:rsidRPr="0020404D">
        <w:rPr>
          <w:rFonts w:ascii="Arial" w:hAnsi="Arial" w:cs="Arial"/>
          <w:sz w:val="20"/>
          <w:lang w:val="en-GB"/>
        </w:rPr>
        <w:tab/>
        <w:t xml:space="preserve">Odds ratio and p-value are obtained from a logistic regression model adjusted for baseline ECOG Performance Score (0 </w:t>
      </w:r>
      <w:r w:rsidRPr="0020404D">
        <w:rPr>
          <w:rFonts w:ascii="Arial" w:hAnsi="Arial" w:cs="Arial"/>
          <w:i/>
          <w:sz w:val="20"/>
          <w:lang w:val="en-GB"/>
        </w:rPr>
        <w:t>vs</w:t>
      </w:r>
      <w:r w:rsidRPr="0020404D">
        <w:rPr>
          <w:rFonts w:ascii="Arial" w:hAnsi="Arial" w:cs="Arial"/>
          <w:sz w:val="20"/>
          <w:lang w:val="en-GB"/>
        </w:rPr>
        <w:t>. 1) and in the all patients population it is additionally adjusted by tumour histology (squamous vs. non-squamous).</w:t>
      </w:r>
    </w:p>
    <w:p w14:paraId="6F51FDE0" w14:textId="77777777" w:rsidR="00146B79" w:rsidRDefault="00146B79" w:rsidP="00D979D5">
      <w:pPr>
        <w:pStyle w:val="TextPI"/>
        <w:widowControl w:val="0"/>
        <w:rPr>
          <w:lang w:val="en-GB" w:eastAsia="de-DE"/>
        </w:rPr>
      </w:pPr>
    </w:p>
    <w:p w14:paraId="6C772F71" w14:textId="1157C5F5" w:rsidR="00EC4DF6" w:rsidRDefault="00EC4DF6" w:rsidP="00D979D5">
      <w:pPr>
        <w:pStyle w:val="TextPI"/>
        <w:widowControl w:val="0"/>
        <w:rPr>
          <w:lang w:val="en-GB" w:eastAsia="de-DE"/>
        </w:rPr>
      </w:pPr>
      <w:r w:rsidRPr="001F368B">
        <w:rPr>
          <w:lang w:val="en-GB" w:eastAsia="de-DE"/>
        </w:rPr>
        <w:t xml:space="preserve">A statistically significant improvement in OS favouring treatment with </w:t>
      </w:r>
      <w:r w:rsidR="00270D04">
        <w:rPr>
          <w:lang w:val="en-GB" w:eastAsia="de-DE"/>
        </w:rPr>
        <w:t>OFEV</w:t>
      </w:r>
      <w:r w:rsidR="00270D04" w:rsidRPr="001F368B">
        <w:rPr>
          <w:lang w:val="en-GB" w:eastAsia="de-DE"/>
        </w:rPr>
        <w:t xml:space="preserve"> </w:t>
      </w:r>
      <w:r w:rsidRPr="001F368B">
        <w:rPr>
          <w:lang w:val="en-GB" w:eastAsia="de-DE"/>
        </w:rPr>
        <w:t xml:space="preserve">plus docetaxel was demonstrated in patients with adenocarcinoma with a 17% reduction in the risk of death (HR 0.83, p = 0.0359) and a median OS improvement of 2.3 months (10.3 </w:t>
      </w:r>
      <w:r w:rsidRPr="0020404D">
        <w:rPr>
          <w:iCs/>
          <w:lang w:val="en-GB" w:eastAsia="de-DE"/>
        </w:rPr>
        <w:t>vs</w:t>
      </w:r>
      <w:r w:rsidRPr="001F368B">
        <w:rPr>
          <w:lang w:val="en-GB" w:eastAsia="de-DE"/>
        </w:rPr>
        <w:t>. 12.6 months</w:t>
      </w:r>
      <w:r w:rsidRPr="00E37488">
        <w:rPr>
          <w:bCs/>
          <w:lang w:val="en-GB" w:eastAsia="de-DE"/>
        </w:rPr>
        <w:t xml:space="preserve">, </w:t>
      </w:r>
      <w:r w:rsidRPr="0020404D">
        <w:rPr>
          <w:lang w:val="en-GB" w:eastAsia="de-DE"/>
        </w:rPr>
        <w:t>Figure 1</w:t>
      </w:r>
      <w:r>
        <w:rPr>
          <w:lang w:val="en-GB" w:eastAsia="de-DE"/>
        </w:rPr>
        <w:t>).</w:t>
      </w:r>
    </w:p>
    <w:p w14:paraId="33640600" w14:textId="77777777" w:rsidR="00EC4DF6" w:rsidRPr="00F7090C" w:rsidRDefault="00EC4DF6" w:rsidP="00F21F80">
      <w:pPr>
        <w:pStyle w:val="TextPI"/>
        <w:keepNext/>
        <w:keepLines/>
        <w:tabs>
          <w:tab w:val="left" w:pos="1134"/>
        </w:tabs>
        <w:ind w:left="1123" w:hanging="1123"/>
        <w:rPr>
          <w:b/>
          <w:sz w:val="20"/>
          <w:szCs w:val="20"/>
          <w:lang w:val="en-GB"/>
        </w:rPr>
      </w:pPr>
      <w:r w:rsidRPr="00F7090C">
        <w:rPr>
          <w:b/>
          <w:sz w:val="20"/>
          <w:szCs w:val="20"/>
          <w:lang w:val="en-GB"/>
        </w:rPr>
        <w:lastRenderedPageBreak/>
        <w:t>Figure 1:</w:t>
      </w:r>
      <w:r w:rsidRPr="00F7090C">
        <w:rPr>
          <w:b/>
          <w:sz w:val="20"/>
          <w:szCs w:val="20"/>
          <w:lang w:val="en-GB"/>
        </w:rPr>
        <w:tab/>
        <w:t xml:space="preserve">Kaplan-Meier Curve </w:t>
      </w:r>
      <w:proofErr w:type="gramStart"/>
      <w:r w:rsidRPr="00F7090C">
        <w:rPr>
          <w:b/>
          <w:sz w:val="20"/>
          <w:szCs w:val="20"/>
          <w:lang w:val="en-GB"/>
        </w:rPr>
        <w:t>for overall survival for patients with adenocarcinoma tumour histology by treatment group in trial LUME-Lung 1</w:t>
      </w:r>
      <w:proofErr w:type="gramEnd"/>
    </w:p>
    <w:p w14:paraId="1F4702E5" w14:textId="77777777" w:rsidR="00EC4DF6" w:rsidRPr="001F368B" w:rsidRDefault="00EC4DF6" w:rsidP="00EC4DF6">
      <w:pPr>
        <w:jc w:val="both"/>
        <w:rPr>
          <w:rFonts w:ascii="Arial" w:hAnsi="Arial" w:cs="Arial"/>
          <w:sz w:val="22"/>
          <w:szCs w:val="22"/>
          <w:lang w:val="en-GB" w:eastAsia="de-DE"/>
        </w:rPr>
      </w:pPr>
      <w:r w:rsidRPr="001F368B">
        <w:rPr>
          <w:rFonts w:ascii="Arial" w:hAnsi="Arial" w:cs="Arial"/>
          <w:noProof/>
          <w:sz w:val="22"/>
          <w:szCs w:val="22"/>
          <w:lang w:eastAsia="en-AU"/>
        </w:rPr>
        <mc:AlternateContent>
          <mc:Choice Requires="wps">
            <w:drawing>
              <wp:anchor distT="0" distB="0" distL="114300" distR="114300" simplePos="0" relativeHeight="251645952" behindDoc="0" locked="0" layoutInCell="1" allowOverlap="1" wp14:anchorId="3AA8E249" wp14:editId="7BFDCB1B">
                <wp:simplePos x="0" y="0"/>
                <wp:positionH relativeFrom="column">
                  <wp:posOffset>-302895</wp:posOffset>
                </wp:positionH>
                <wp:positionV relativeFrom="paragraph">
                  <wp:posOffset>3597275</wp:posOffset>
                </wp:positionV>
                <wp:extent cx="1319530" cy="307340"/>
                <wp:effectExtent l="0" t="2540" r="0" b="444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B9DFD" w14:textId="77777777" w:rsidR="000F322D" w:rsidRPr="00B25A2B" w:rsidRDefault="000F322D" w:rsidP="00EC4DF6">
                            <w:pPr>
                              <w:rPr>
                                <w:b/>
                                <w:sz w:val="18"/>
                              </w:rPr>
                            </w:pPr>
                            <w:r w:rsidRPr="00B25A2B">
                              <w:rPr>
                                <w:b/>
                                <w:sz w:val="18"/>
                              </w:rPr>
                              <w:t>No. of patients at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8E249" id="_x0000_t202" coordsize="21600,21600" o:spt="202" path="m,l,21600r21600,l21600,xe">
                <v:stroke joinstyle="miter"/>
                <v:path gradientshapeok="t" o:connecttype="rect"/>
              </v:shapetype>
              <v:shape id="Text Box 250" o:spid="_x0000_s1026" type="#_x0000_t202" style="position:absolute;left:0;text-align:left;margin-left:-23.85pt;margin-top:283.25pt;width:103.9pt;height:2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d4hAIAABM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" stroked="f">
                <v:textbox>
                  <w:txbxContent>
                    <w:p w14:paraId="305B9DFD" w14:textId="77777777" w:rsidR="000F322D" w:rsidRPr="00B25A2B" w:rsidRDefault="000F322D" w:rsidP="00EC4DF6">
                      <w:pPr>
                        <w:rPr>
                          <w:b/>
                          <w:sz w:val="18"/>
                        </w:rPr>
                      </w:pPr>
                      <w:r w:rsidRPr="00B25A2B">
                        <w:rPr>
                          <w:b/>
                          <w:sz w:val="18"/>
                        </w:rPr>
                        <w:t>No. of patients at risk</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54144" behindDoc="0" locked="0" layoutInCell="1" allowOverlap="1" wp14:anchorId="5265BAAD" wp14:editId="23B76008">
                <wp:simplePos x="0" y="0"/>
                <wp:positionH relativeFrom="column">
                  <wp:posOffset>1664970</wp:posOffset>
                </wp:positionH>
                <wp:positionV relativeFrom="paragraph">
                  <wp:posOffset>1898650</wp:posOffset>
                </wp:positionV>
                <wp:extent cx="473075" cy="197485"/>
                <wp:effectExtent l="1905" t="0" r="1270" b="317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8B273" w14:textId="77777777" w:rsidR="000F322D" w:rsidRPr="00FC2C7C" w:rsidRDefault="000F322D" w:rsidP="00EC4DF6">
                            <w:pPr>
                              <w:jc w:val="right"/>
                              <w:rPr>
                                <w:sz w:val="16"/>
                              </w:rPr>
                            </w:pPr>
                            <w:r>
                              <w:rPr>
                                <w:sz w:val="16"/>
                              </w:rPr>
                              <w:t>44.7 %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5BAAD" id="Text Box 249" o:spid="_x0000_s1027" type="#_x0000_t202" style="position:absolute;left:0;text-align:left;margin-left:131.1pt;margin-top:149.5pt;width:37.25pt;height:1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" stroked="f">
                <v:textbox>
                  <w:txbxContent>
                    <w:p w14:paraId="45C8B273" w14:textId="77777777" w:rsidR="000F322D" w:rsidRPr="00FC2C7C" w:rsidRDefault="000F322D" w:rsidP="00EC4DF6">
                      <w:pPr>
                        <w:jc w:val="right"/>
                        <w:rPr>
                          <w:sz w:val="16"/>
                        </w:rPr>
                      </w:pPr>
                      <w:r>
                        <w:rPr>
                          <w:sz w:val="16"/>
                        </w:rPr>
                        <w:t>44.7 %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52096" behindDoc="0" locked="0" layoutInCell="1" allowOverlap="1" wp14:anchorId="4CEBDCEF" wp14:editId="0F87A859">
                <wp:simplePos x="0" y="0"/>
                <wp:positionH relativeFrom="column">
                  <wp:posOffset>2178685</wp:posOffset>
                </wp:positionH>
                <wp:positionV relativeFrom="paragraph">
                  <wp:posOffset>1473200</wp:posOffset>
                </wp:positionV>
                <wp:extent cx="522605" cy="190500"/>
                <wp:effectExtent l="1270" t="254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2C0D1" w14:textId="77777777" w:rsidR="000F322D" w:rsidRPr="00FC2C7C" w:rsidRDefault="000F322D" w:rsidP="00EC4DF6">
                            <w:pPr>
                              <w:rPr>
                                <w:sz w:val="16"/>
                              </w:rPr>
                            </w:pPr>
                            <w:r>
                              <w:rPr>
                                <w:sz w:val="16"/>
                              </w:rPr>
                              <w:t>52.7 %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BDCEF" id="Text Box 248" o:spid="_x0000_s1028" type="#_x0000_t202" style="position:absolute;left:0;text-align:left;margin-left:171.55pt;margin-top:116pt;width:41.1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" stroked="f">
                <v:textbox>
                  <w:txbxContent>
                    <w:p w14:paraId="3F72C0D1" w14:textId="77777777" w:rsidR="000F322D" w:rsidRPr="00FC2C7C" w:rsidRDefault="000F322D" w:rsidP="00EC4DF6">
                      <w:pPr>
                        <w:rPr>
                          <w:sz w:val="16"/>
                        </w:rPr>
                      </w:pPr>
                      <w:r>
                        <w:rPr>
                          <w:sz w:val="16"/>
                        </w:rPr>
                        <w:t>52.7 %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58240" behindDoc="0" locked="0" layoutInCell="1" allowOverlap="1" wp14:anchorId="62522AE8" wp14:editId="0544F88D">
                <wp:simplePos x="0" y="0"/>
                <wp:positionH relativeFrom="column">
                  <wp:posOffset>3413125</wp:posOffset>
                </wp:positionH>
                <wp:positionV relativeFrom="paragraph">
                  <wp:posOffset>2744470</wp:posOffset>
                </wp:positionV>
                <wp:extent cx="473075" cy="197485"/>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BE001" w14:textId="77777777" w:rsidR="000F322D" w:rsidRPr="00FC2C7C" w:rsidRDefault="000F322D" w:rsidP="00EC4DF6">
                            <w:pPr>
                              <w:jc w:val="right"/>
                              <w:rPr>
                                <w:sz w:val="16"/>
                              </w:rPr>
                            </w:pPr>
                            <w:r>
                              <w:rPr>
                                <w:sz w:val="16"/>
                              </w:rPr>
                              <w:t>19.1 %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22AE8" id="Text Box 247" o:spid="_x0000_s1029" type="#_x0000_t202" style="position:absolute;left:0;text-align:left;margin-left:268.75pt;margin-top:216.1pt;width:37.2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" stroked="f">
                <v:textbox>
                  <w:txbxContent>
                    <w:p w14:paraId="305BE001" w14:textId="77777777" w:rsidR="000F322D" w:rsidRPr="00FC2C7C" w:rsidRDefault="000F322D" w:rsidP="00EC4DF6">
                      <w:pPr>
                        <w:jc w:val="right"/>
                        <w:rPr>
                          <w:sz w:val="16"/>
                        </w:rPr>
                      </w:pPr>
                      <w:r>
                        <w:rPr>
                          <w:sz w:val="16"/>
                        </w:rPr>
                        <w:t>19.1 %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56192" behindDoc="0" locked="0" layoutInCell="1" allowOverlap="1" wp14:anchorId="41FFECC6" wp14:editId="122B4093">
                <wp:simplePos x="0" y="0"/>
                <wp:positionH relativeFrom="column">
                  <wp:posOffset>3895090</wp:posOffset>
                </wp:positionH>
                <wp:positionV relativeFrom="paragraph">
                  <wp:posOffset>2275840</wp:posOffset>
                </wp:positionV>
                <wp:extent cx="522605" cy="190500"/>
                <wp:effectExtent l="3175" t="0" r="0" b="444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D442E" w14:textId="77777777" w:rsidR="000F322D" w:rsidRPr="00FC2C7C" w:rsidRDefault="000F322D" w:rsidP="00EC4DF6">
                            <w:pPr>
                              <w:rPr>
                                <w:sz w:val="16"/>
                              </w:rPr>
                            </w:pPr>
                            <w:r>
                              <w:rPr>
                                <w:sz w:val="16"/>
                              </w:rPr>
                              <w:t>25.7  %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FECC6" id="Text Box 246" o:spid="_x0000_s1030" type="#_x0000_t202" style="position:absolute;left:0;text-align:left;margin-left:306.7pt;margin-top:179.2pt;width:41.1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" stroked="f">
                <v:textbox>
                  <w:txbxContent>
                    <w:p w14:paraId="4FAD442E" w14:textId="77777777" w:rsidR="000F322D" w:rsidRPr="00FC2C7C" w:rsidRDefault="000F322D" w:rsidP="00EC4DF6">
                      <w:pPr>
                        <w:rPr>
                          <w:sz w:val="16"/>
                        </w:rPr>
                      </w:pPr>
                      <w:r>
                        <w:rPr>
                          <w:sz w:val="16"/>
                        </w:rPr>
                        <w:t>25.7  %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70528" behindDoc="0" locked="0" layoutInCell="1" allowOverlap="1" wp14:anchorId="2058F64F" wp14:editId="0FEE034D">
                <wp:simplePos x="0" y="0"/>
                <wp:positionH relativeFrom="column">
                  <wp:posOffset>-150495</wp:posOffset>
                </wp:positionH>
                <wp:positionV relativeFrom="paragraph">
                  <wp:posOffset>890270</wp:posOffset>
                </wp:positionV>
                <wp:extent cx="336550" cy="1434465"/>
                <wp:effectExtent l="0" t="635" r="635" b="317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D6CEE" w14:textId="77777777" w:rsidR="000F322D" w:rsidRPr="00DD5440" w:rsidRDefault="000F322D" w:rsidP="00EC4DF6">
                            <w:pPr>
                              <w:rPr>
                                <w:b/>
                                <w:sz w:val="18"/>
                              </w:rPr>
                            </w:pPr>
                            <w:r w:rsidRPr="00DD5440">
                              <w:rPr>
                                <w:b/>
                                <w:sz w:val="18"/>
                              </w:rPr>
                              <w:t>Probability of survival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F64F" id="Text Box 245" o:spid="_x0000_s1031" type="#_x0000_t202" style="position:absolute;left:0;text-align:left;margin-left:-11.85pt;margin-top:70.1pt;width:26.5pt;height:11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" stroked="f">
                <v:textbox style="layout-flow:vertical;mso-layout-flow-alt:bottom-to-top">
                  <w:txbxContent>
                    <w:p w14:paraId="451D6CEE" w14:textId="77777777" w:rsidR="000F322D" w:rsidRPr="00DD5440" w:rsidRDefault="000F322D" w:rsidP="00EC4DF6">
                      <w:pPr>
                        <w:rPr>
                          <w:b/>
                          <w:sz w:val="18"/>
                        </w:rPr>
                      </w:pPr>
                      <w:r w:rsidRPr="00DD5440">
                        <w:rPr>
                          <w:b/>
                          <w:sz w:val="18"/>
                        </w:rPr>
                        <w:t>Probability of survival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8480" behindDoc="0" locked="0" layoutInCell="1" allowOverlap="1" wp14:anchorId="39016934" wp14:editId="062DCDA1">
                <wp:simplePos x="0" y="0"/>
                <wp:positionH relativeFrom="column">
                  <wp:posOffset>-150495</wp:posOffset>
                </wp:positionH>
                <wp:positionV relativeFrom="paragraph">
                  <wp:posOffset>91440</wp:posOffset>
                </wp:positionV>
                <wp:extent cx="336550" cy="1434465"/>
                <wp:effectExtent l="0" t="1905" r="635" b="190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8C699" w14:textId="77777777" w:rsidR="000F322D" w:rsidRPr="00DD5440" w:rsidRDefault="000F322D" w:rsidP="00EC4DF6">
                            <w:pPr>
                              <w:rPr>
                                <w:sz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16934" id="Text Box 244" o:spid="_x0000_s1032" type="#_x0000_t202" style="position:absolute;left:0;text-align:left;margin-left:-11.85pt;margin-top:7.2pt;width:26.5pt;height:11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" stroked="f">
                <v:textbox style="layout-flow:vertical;mso-layout-flow-alt:bottom-to-top">
                  <w:txbxContent>
                    <w:p w14:paraId="14E8C699" w14:textId="77777777" w:rsidR="000F322D" w:rsidRPr="00DD5440" w:rsidRDefault="000F322D" w:rsidP="00EC4DF6">
                      <w:pPr>
                        <w:rPr>
                          <w:sz w:val="18"/>
                        </w:rPr>
                      </w:pP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6432" behindDoc="0" locked="0" layoutInCell="1" allowOverlap="1" wp14:anchorId="263655E2" wp14:editId="0D898204">
                <wp:simplePos x="0" y="0"/>
                <wp:positionH relativeFrom="column">
                  <wp:posOffset>3395345</wp:posOffset>
                </wp:positionH>
                <wp:positionV relativeFrom="paragraph">
                  <wp:posOffset>166370</wp:posOffset>
                </wp:positionV>
                <wp:extent cx="1470025" cy="205105"/>
                <wp:effectExtent l="0" t="635" r="0" b="381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790C8" w14:textId="77777777" w:rsidR="000F322D" w:rsidRPr="00DD5440" w:rsidRDefault="000F322D" w:rsidP="00EC4DF6">
                            <w:pPr>
                              <w:rPr>
                                <w:b/>
                                <w:sz w:val="18"/>
                              </w:rPr>
                            </w:pPr>
                            <w:r w:rsidRPr="00DD5440">
                              <w:rPr>
                                <w:b/>
                                <w:sz w:val="18"/>
                              </w:rPr>
                              <w:t>Median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655E2" id="Text Box 243" o:spid="_x0000_s1033" type="#_x0000_t202" style="position:absolute;left:0;text-align:left;margin-left:267.35pt;margin-top:13.1pt;width:115.75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cYhgIAABo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" stroked="f">
                <v:textbox>
                  <w:txbxContent>
                    <w:p w14:paraId="411790C8" w14:textId="77777777" w:rsidR="000F322D" w:rsidRPr="00DD5440" w:rsidRDefault="000F322D" w:rsidP="00EC4DF6">
                      <w:pPr>
                        <w:rPr>
                          <w:b/>
                          <w:sz w:val="18"/>
                        </w:rPr>
                      </w:pPr>
                      <w:r w:rsidRPr="00DD5440">
                        <w:rPr>
                          <w:b/>
                          <w:sz w:val="18"/>
                        </w:rPr>
                        <w:t>Median (months)</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4384" behindDoc="0" locked="0" layoutInCell="1" allowOverlap="1" wp14:anchorId="6F4D8ECB" wp14:editId="0D6BFC8F">
                <wp:simplePos x="0" y="0"/>
                <wp:positionH relativeFrom="column">
                  <wp:posOffset>4345305</wp:posOffset>
                </wp:positionH>
                <wp:positionV relativeFrom="paragraph">
                  <wp:posOffset>3538855</wp:posOffset>
                </wp:positionV>
                <wp:extent cx="1382395" cy="212725"/>
                <wp:effectExtent l="0" t="1270" r="254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A2126" w14:textId="77777777" w:rsidR="000F322D" w:rsidRPr="00313A3F" w:rsidRDefault="000F322D" w:rsidP="00EC4DF6">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D8ECB" id="Text Box 242" o:spid="_x0000_s1034" type="#_x0000_t202" style="position:absolute;left:0;text-align:left;margin-left:342.15pt;margin-top:278.65pt;width:108.8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chwIAABo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" stroked="f">
                <v:textbox>
                  <w:txbxContent>
                    <w:p w14:paraId="401A2126" w14:textId="77777777" w:rsidR="000F322D" w:rsidRPr="00313A3F" w:rsidRDefault="000F322D" w:rsidP="00EC4DF6">
                      <w:pPr>
                        <w:rPr>
                          <w:sz w:val="18"/>
                        </w:rPr>
                      </w:pP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0288" behindDoc="0" locked="0" layoutInCell="1" allowOverlap="1" wp14:anchorId="02C4A257" wp14:editId="4C949369">
                <wp:simplePos x="0" y="0"/>
                <wp:positionH relativeFrom="column">
                  <wp:posOffset>2369820</wp:posOffset>
                </wp:positionH>
                <wp:positionV relativeFrom="paragraph">
                  <wp:posOffset>539750</wp:posOffset>
                </wp:positionV>
                <wp:extent cx="332740" cy="635"/>
                <wp:effectExtent l="11430" t="12065" r="17780" b="1587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5AE5E3" id="_x0000_t32" coordsize="21600,21600" o:spt="32" o:oned="t" path="m,l21600,21600e" filled="f">
                <v:path arrowok="t" fillok="f" o:connecttype="none"/>
                <o:lock v:ext="edit" shapetype="t"/>
              </v:shapetype>
              <v:shape id="Straight Arrow Connector 241" o:spid="_x0000_s1026" type="#_x0000_t32" style="position:absolute;margin-left:186.6pt;margin-top:42.5pt;width:26.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" strokeweight="1.5pt"/>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2336" behindDoc="0" locked="0" layoutInCell="1" allowOverlap="1" wp14:anchorId="7AE7F8A3" wp14:editId="303A7FB9">
                <wp:simplePos x="0" y="0"/>
                <wp:positionH relativeFrom="column">
                  <wp:posOffset>2515870</wp:posOffset>
                </wp:positionH>
                <wp:positionV relativeFrom="paragraph">
                  <wp:posOffset>3538855</wp:posOffset>
                </wp:positionV>
                <wp:extent cx="1274445" cy="212725"/>
                <wp:effectExtent l="0" t="127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67623" w14:textId="77777777" w:rsidR="000F322D" w:rsidRPr="00B25A2B" w:rsidRDefault="000F322D" w:rsidP="00EC4DF6">
                            <w:pPr>
                              <w:rPr>
                                <w:b/>
                                <w:sz w:val="18"/>
                              </w:rPr>
                            </w:pPr>
                            <w:r w:rsidRPr="00B25A2B">
                              <w:rPr>
                                <w:b/>
                                <w:sz w:val="18"/>
                              </w:rPr>
                              <w:t>Time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7F8A3" id="Text Box 240" o:spid="_x0000_s1035" type="#_x0000_t202" style="position:absolute;left:0;text-align:left;margin-left:198.1pt;margin-top:278.65pt;width:100.3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" stroked="f">
                <v:textbox>
                  <w:txbxContent>
                    <w:p w14:paraId="45767623" w14:textId="77777777" w:rsidR="000F322D" w:rsidRPr="00B25A2B" w:rsidRDefault="000F322D" w:rsidP="00EC4DF6">
                      <w:pPr>
                        <w:rPr>
                          <w:b/>
                          <w:sz w:val="18"/>
                        </w:rPr>
                      </w:pPr>
                      <w:r w:rsidRPr="00B25A2B">
                        <w:rPr>
                          <w:b/>
                          <w:sz w:val="18"/>
                        </w:rPr>
                        <w:t>Time (months)</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48000" behindDoc="0" locked="0" layoutInCell="1" allowOverlap="1" wp14:anchorId="4F42B572" wp14:editId="4D37BD11">
                <wp:simplePos x="0" y="0"/>
                <wp:positionH relativeFrom="column">
                  <wp:posOffset>-288290</wp:posOffset>
                </wp:positionH>
                <wp:positionV relativeFrom="paragraph">
                  <wp:posOffset>3853180</wp:posOffset>
                </wp:positionV>
                <wp:extent cx="522605" cy="197485"/>
                <wp:effectExtent l="1270" t="1270" r="0" b="127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EF38E" w14:textId="77777777" w:rsidR="000F322D" w:rsidRPr="00FC2C7C" w:rsidRDefault="000F322D" w:rsidP="00EC4DF6">
                            <w:pPr>
                              <w:rPr>
                                <w:sz w:val="16"/>
                              </w:rPr>
                            </w:pPr>
                            <w:r>
                              <w:rPr>
                                <w:sz w:val="16"/>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42B572" id="Text Box 239" o:spid="_x0000_s1036" type="#_x0000_t202" style="position:absolute;left:0;text-align:left;margin-left:-22.7pt;margin-top:303.4pt;width:41.15pt;height:15.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U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" stroked="f">
                <v:textbox>
                  <w:txbxContent>
                    <w:p w14:paraId="6C9EF38E" w14:textId="77777777" w:rsidR="000F322D" w:rsidRPr="00FC2C7C" w:rsidRDefault="000F322D" w:rsidP="00EC4DF6">
                      <w:pPr>
                        <w:rPr>
                          <w:sz w:val="16"/>
                        </w:rPr>
                      </w:pPr>
                      <w:r>
                        <w:rPr>
                          <w:sz w:val="16"/>
                        </w:rPr>
                        <w:t>Placebo</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50048" behindDoc="0" locked="0" layoutInCell="1" allowOverlap="1" wp14:anchorId="6E5D092B" wp14:editId="0235A837">
                <wp:simplePos x="0" y="0"/>
                <wp:positionH relativeFrom="column">
                  <wp:posOffset>-288290</wp:posOffset>
                </wp:positionH>
                <wp:positionV relativeFrom="paragraph">
                  <wp:posOffset>3999865</wp:posOffset>
                </wp:positionV>
                <wp:extent cx="668655" cy="197485"/>
                <wp:effectExtent l="127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7C6F" w14:textId="77777777" w:rsidR="000F322D" w:rsidRPr="00FC2C7C" w:rsidRDefault="000F322D" w:rsidP="00EC4DF6">
                            <w:pPr>
                              <w:rPr>
                                <w:sz w:val="16"/>
                              </w:rPr>
                            </w:pPr>
                            <w:r>
                              <w:rPr>
                                <w:sz w:val="16"/>
                              </w:rPr>
                              <w:t>Nintedanib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D092B" id="Text Box 238" o:spid="_x0000_s1037" type="#_x0000_t202" style="position:absolute;left:0;text-align:left;margin-left:-22.7pt;margin-top:314.95pt;width:52.65pt;height:1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j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" stroked="f">
                <v:textbox>
                  <w:txbxContent>
                    <w:p w14:paraId="28F27C6F" w14:textId="77777777" w:rsidR="000F322D" w:rsidRPr="00FC2C7C" w:rsidRDefault="000F322D" w:rsidP="00EC4DF6">
                      <w:pPr>
                        <w:rPr>
                          <w:sz w:val="16"/>
                        </w:rPr>
                      </w:pPr>
                      <w:r>
                        <w:rPr>
                          <w:sz w:val="16"/>
                        </w:rPr>
                        <w:t>Nintedanib</w:t>
                      </w:r>
                    </w:p>
                  </w:txbxContent>
                </v:textbox>
              </v:shape>
            </w:pict>
          </mc:Fallback>
        </mc:AlternateContent>
      </w:r>
      <w:r w:rsidRPr="001F368B">
        <w:rPr>
          <w:rFonts w:ascii="Arial" w:hAnsi="Arial" w:cs="Arial"/>
          <w:noProof/>
          <w:sz w:val="22"/>
          <w:szCs w:val="22"/>
          <w:lang w:eastAsia="en-AU"/>
        </w:rPr>
        <w:drawing>
          <wp:inline distT="0" distB="0" distL="0" distR="0" wp14:anchorId="5F83078B" wp14:editId="40C536DD">
            <wp:extent cx="5756275" cy="41910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4191000"/>
                    </a:xfrm>
                    <a:prstGeom prst="rect">
                      <a:avLst/>
                    </a:prstGeom>
                    <a:noFill/>
                    <a:ln>
                      <a:noFill/>
                    </a:ln>
                  </pic:spPr>
                </pic:pic>
              </a:graphicData>
            </a:graphic>
          </wp:inline>
        </w:drawing>
      </w:r>
    </w:p>
    <w:p w14:paraId="73A522E5" w14:textId="078D10F4" w:rsidR="00EC4DF6" w:rsidRDefault="00EC4DF6" w:rsidP="00EC4DF6">
      <w:pPr>
        <w:pStyle w:val="TextPI"/>
        <w:rPr>
          <w:lang w:val="en-GB" w:eastAsia="de-DE"/>
        </w:rPr>
      </w:pPr>
      <w:r w:rsidRPr="001F368B">
        <w:rPr>
          <w:lang w:val="en-GB" w:eastAsia="de-DE"/>
        </w:rPr>
        <w:t>A</w:t>
      </w:r>
      <w:r>
        <w:rPr>
          <w:lang w:val="en-GB" w:eastAsia="de-DE"/>
        </w:rPr>
        <w:t xml:space="preserve"> pre-specified </w:t>
      </w:r>
      <w:r w:rsidRPr="001F368B">
        <w:rPr>
          <w:lang w:val="en-GB" w:eastAsia="de-DE"/>
        </w:rPr>
        <w:t xml:space="preserve">evaluation </w:t>
      </w:r>
      <w:proofErr w:type="gramStart"/>
      <w:r w:rsidRPr="001F368B">
        <w:rPr>
          <w:lang w:val="en-GB" w:eastAsia="de-DE"/>
        </w:rPr>
        <w:t>was performed</w:t>
      </w:r>
      <w:proofErr w:type="gramEnd"/>
      <w:r w:rsidRPr="001F368B">
        <w:rPr>
          <w:lang w:val="en-GB" w:eastAsia="de-DE"/>
        </w:rPr>
        <w:t xml:space="preserve"> in the population of adenocarcinoma patients considered to have entered the study with a particularly poor treatment prognosis, namely, patients who progressed during or shortly after 1</w:t>
      </w:r>
      <w:r w:rsidRPr="001F368B">
        <w:rPr>
          <w:vertAlign w:val="superscript"/>
          <w:lang w:val="en-GB" w:eastAsia="de-DE"/>
        </w:rPr>
        <w:t>st</w:t>
      </w:r>
      <w:r w:rsidRPr="001F368B">
        <w:rPr>
          <w:lang w:val="en-GB" w:eastAsia="de-DE"/>
        </w:rPr>
        <w:t xml:space="preserve"> line therapy prior to study entry. This population included those adenocarcinoma patients identified at baseline as having progressed and entered the study less than 9 months since start of their first-line therapy.</w:t>
      </w:r>
      <w:r>
        <w:rPr>
          <w:lang w:val="en-GB" w:eastAsia="de-DE"/>
        </w:rPr>
        <w:t xml:space="preserve"> </w:t>
      </w:r>
      <w:r w:rsidRPr="001F368B">
        <w:rPr>
          <w:lang w:val="en-GB" w:eastAsia="de-DE"/>
        </w:rPr>
        <w:t xml:space="preserve"> Treatment of these patients with </w:t>
      </w:r>
      <w:r w:rsidR="006B2B3D">
        <w:rPr>
          <w:lang w:val="en-GB" w:eastAsia="de-DE"/>
        </w:rPr>
        <w:t>OFEV</w:t>
      </w:r>
      <w:r w:rsidR="006B2B3D" w:rsidRPr="001F368B">
        <w:rPr>
          <w:lang w:val="en-GB" w:eastAsia="de-DE"/>
        </w:rPr>
        <w:t xml:space="preserve"> </w:t>
      </w:r>
      <w:r w:rsidRPr="001F368B">
        <w:rPr>
          <w:lang w:val="en-GB" w:eastAsia="de-DE"/>
        </w:rPr>
        <w:t>in combination with docetaxel reduced the risk of death by 25%, compared with placebo plus docetaxel (HR 0.75; 95% CI: 0.60 - 0.92; p</w:t>
      </w:r>
      <w:r>
        <w:rPr>
          <w:lang w:val="en-GB" w:eastAsia="de-DE"/>
        </w:rPr>
        <w:t> </w:t>
      </w:r>
      <w:r w:rsidRPr="001F368B">
        <w:rPr>
          <w:lang w:val="en-GB" w:eastAsia="de-DE"/>
        </w:rPr>
        <w:t>=</w:t>
      </w:r>
      <w:r>
        <w:rPr>
          <w:lang w:val="en-GB" w:eastAsia="de-DE"/>
        </w:rPr>
        <w:t> </w:t>
      </w:r>
      <w:r w:rsidRPr="001F368B">
        <w:rPr>
          <w:lang w:val="en-GB" w:eastAsia="de-DE"/>
        </w:rPr>
        <w:t>0.0073).</w:t>
      </w:r>
      <w:r>
        <w:rPr>
          <w:lang w:val="en-GB" w:eastAsia="de-DE"/>
        </w:rPr>
        <w:t xml:space="preserve"> </w:t>
      </w:r>
      <w:r w:rsidRPr="001F368B">
        <w:rPr>
          <w:lang w:val="en-GB" w:eastAsia="de-DE"/>
        </w:rPr>
        <w:t xml:space="preserve"> Median OS improved by 3 months (</w:t>
      </w:r>
      <w:r w:rsidR="006B2B3D">
        <w:rPr>
          <w:lang w:val="en-GB" w:eastAsia="de-DE"/>
        </w:rPr>
        <w:t>OFEV</w:t>
      </w:r>
      <w:r w:rsidRPr="001F368B">
        <w:rPr>
          <w:lang w:val="en-GB" w:eastAsia="de-DE"/>
        </w:rPr>
        <w:t>: 10.9 months; placebo: 7.9 months).</w:t>
      </w:r>
    </w:p>
    <w:p w14:paraId="2138AD6C" w14:textId="77777777" w:rsidR="00EC4DF6" w:rsidRDefault="00EC4DF6" w:rsidP="00EC4DF6">
      <w:pPr>
        <w:pStyle w:val="TextPI"/>
        <w:rPr>
          <w:lang w:val="en-GB" w:eastAsia="de-DE"/>
        </w:rPr>
      </w:pPr>
      <w:r>
        <w:rPr>
          <w:lang w:val="en-GB" w:eastAsia="de-DE"/>
        </w:rPr>
        <w:t xml:space="preserve">In a post-hoc analysis in adenocarcinoma patients having progressed and entered the study </w:t>
      </w:r>
      <w:r>
        <w:rPr>
          <w:rFonts w:cs="Arial"/>
          <w:lang w:val="en-GB" w:eastAsia="de-DE"/>
        </w:rPr>
        <w:t>≥</w:t>
      </w:r>
      <w:r>
        <w:rPr>
          <w:lang w:val="en-GB" w:eastAsia="de-DE"/>
        </w:rPr>
        <w:t xml:space="preserve"> 9 months since start of their first-line therapy the difference did not reach statistical significance (HR for OS: 0.89, 95% CI 0.66 – 1.19).</w:t>
      </w:r>
    </w:p>
    <w:p w14:paraId="1661C6CD" w14:textId="49D0171D" w:rsidR="00EC4DF6" w:rsidRDefault="00EC4DF6" w:rsidP="00EC4DF6">
      <w:pPr>
        <w:pStyle w:val="TextPI"/>
        <w:rPr>
          <w:lang w:val="en-GB" w:eastAsia="de-DE"/>
        </w:rPr>
      </w:pPr>
      <w:r>
        <w:rPr>
          <w:lang w:val="en-GB" w:eastAsia="de-DE"/>
        </w:rPr>
        <w:t xml:space="preserve">The proportion of adenocarcinoma patients with stage &lt; IIIB/IV at diagnosis was small and balanced across treatment arms (placebo: 54 patients (16.1%); </w:t>
      </w:r>
      <w:r w:rsidR="006027E9">
        <w:rPr>
          <w:lang w:val="en-GB" w:eastAsia="de-DE"/>
        </w:rPr>
        <w:t>OFEV</w:t>
      </w:r>
      <w:r>
        <w:rPr>
          <w:lang w:val="en-GB" w:eastAsia="de-DE"/>
        </w:rPr>
        <w:t>: 50 patients, (15.5%)).  The HR for these patients for PFS and OS was 1.24 (95% CI: 0.68, 2.28) and 1.09 (95% CI: 0.70, 1.70), respectively.  However, the sample size was small, there was no significant interaction and the CI was wide and included the HR for OS of the overall adenocarcinoma population.</w:t>
      </w:r>
    </w:p>
    <w:p w14:paraId="401473A6" w14:textId="77777777" w:rsidR="00EC4DF6" w:rsidRPr="00757945" w:rsidRDefault="00EC4DF6" w:rsidP="000F3BA1">
      <w:pPr>
        <w:pStyle w:val="TextPI"/>
        <w:keepNext/>
        <w:rPr>
          <w:rFonts w:cs="Arial"/>
          <w:i/>
          <w:iCs/>
          <w:lang w:val="en-GB" w:eastAsia="de-DE"/>
        </w:rPr>
      </w:pPr>
      <w:r w:rsidRPr="00757945">
        <w:rPr>
          <w:rFonts w:cs="Arial"/>
          <w:i/>
          <w:iCs/>
          <w:lang w:val="en-GB" w:eastAsia="de-DE"/>
        </w:rPr>
        <w:t>Quality of Life</w:t>
      </w:r>
    </w:p>
    <w:p w14:paraId="6BA58497" w14:textId="76D2A693" w:rsidR="00EC4DF6" w:rsidRDefault="00EC4DF6" w:rsidP="00EC4DF6">
      <w:pPr>
        <w:pStyle w:val="TextPI"/>
        <w:rPr>
          <w:rFonts w:ascii="Times New Roman" w:hAnsi="Times New Roman"/>
          <w:lang w:eastAsia="zh-CN" w:bidi="th-TH"/>
        </w:rPr>
      </w:pPr>
      <w:r w:rsidRPr="000E0953">
        <w:rPr>
          <w:lang w:val="en-GB" w:eastAsia="de-DE"/>
        </w:rPr>
        <w:t xml:space="preserve">Treatment with </w:t>
      </w:r>
      <w:r w:rsidR="001131BA">
        <w:rPr>
          <w:lang w:val="en-GB" w:eastAsia="de-DE"/>
        </w:rPr>
        <w:t>OFEV</w:t>
      </w:r>
      <w:r w:rsidR="001131BA" w:rsidRPr="000E0953">
        <w:rPr>
          <w:lang w:val="en-GB" w:eastAsia="de-DE"/>
        </w:rPr>
        <w:t xml:space="preserve"> </w:t>
      </w:r>
      <w:r w:rsidRPr="000E0953">
        <w:rPr>
          <w:lang w:val="en-GB" w:eastAsia="de-DE"/>
        </w:rPr>
        <w:t>did not significantly change the time to deterioration of the pre-specified symptoms cough, dyspnoea and pain</w:t>
      </w:r>
      <w:r>
        <w:rPr>
          <w:lang w:val="en-GB" w:eastAsia="de-DE"/>
        </w:rPr>
        <w:t xml:space="preserve">.  </w:t>
      </w:r>
      <w:r w:rsidRPr="000E0953">
        <w:rPr>
          <w:lang w:eastAsia="zh-CN" w:bidi="th-TH"/>
        </w:rPr>
        <w:t xml:space="preserve">Patients receiving </w:t>
      </w:r>
      <w:r w:rsidR="001131BA">
        <w:rPr>
          <w:lang w:eastAsia="zh-CN" w:bidi="th-TH"/>
        </w:rPr>
        <w:t>OFEV</w:t>
      </w:r>
      <w:r w:rsidR="001131BA" w:rsidRPr="000E0953">
        <w:rPr>
          <w:lang w:eastAsia="zh-CN" w:bidi="th-TH"/>
        </w:rPr>
        <w:t xml:space="preserve"> </w:t>
      </w:r>
      <w:r w:rsidRPr="000E0953">
        <w:rPr>
          <w:lang w:eastAsia="zh-CN" w:bidi="th-TH"/>
        </w:rPr>
        <w:t xml:space="preserve">plus docetaxel reported a statistically significant, small deterioration in the symptom assessment of diarrhoea used in </w:t>
      </w:r>
      <w:r w:rsidRPr="000E0953">
        <w:rPr>
          <w:lang w:eastAsia="zh-CN" w:bidi="th-TH"/>
        </w:rPr>
        <w:lastRenderedPageBreak/>
        <w:t xml:space="preserve">the European Organization for Research and Treatment of Cancer (EORTC) core questionnaire QLQ-C30. This finding did not compromise patients’ self-reported Global health status/Quality of life. </w:t>
      </w:r>
      <w:r w:rsidRPr="000E0953">
        <w:rPr>
          <w:lang w:val="en-GB" w:eastAsia="de-DE"/>
        </w:rPr>
        <w:t xml:space="preserve">Patients receiving </w:t>
      </w:r>
      <w:r w:rsidR="00742767">
        <w:rPr>
          <w:lang w:val="en-GB" w:eastAsia="de-DE"/>
        </w:rPr>
        <w:t>OFEV</w:t>
      </w:r>
      <w:r w:rsidR="00742767" w:rsidRPr="000E0953">
        <w:rPr>
          <w:lang w:val="en-GB" w:eastAsia="de-DE"/>
        </w:rPr>
        <w:t xml:space="preserve"> </w:t>
      </w:r>
      <w:r w:rsidRPr="000E0953">
        <w:rPr>
          <w:lang w:val="en-GB" w:eastAsia="de-DE"/>
        </w:rPr>
        <w:t>plus docetaxel reported statistically significant improvements in other individual lung cancer symptoms (e.g. pain in chest and pain in arm and shoulder).</w:t>
      </w:r>
      <w:r>
        <w:rPr>
          <w:rFonts w:ascii="Times New Roman" w:hAnsi="Times New Roman"/>
          <w:lang w:eastAsia="zh-CN" w:bidi="th-TH"/>
        </w:rPr>
        <w:t xml:space="preserve"> </w:t>
      </w:r>
    </w:p>
    <w:p w14:paraId="47DC742A" w14:textId="77777777" w:rsidR="00EC4DF6" w:rsidRPr="000F3BA1" w:rsidRDefault="00EC4DF6" w:rsidP="00401969">
      <w:pPr>
        <w:rPr>
          <w:rFonts w:ascii="Arial" w:hAnsi="Arial"/>
          <w:b/>
          <w:bCs/>
          <w:sz w:val="22"/>
          <w:szCs w:val="22"/>
          <w:lang w:val="en-GB" w:eastAsia="en-GB"/>
        </w:rPr>
      </w:pPr>
      <w:r w:rsidRPr="000F3BA1">
        <w:rPr>
          <w:rFonts w:ascii="Arial" w:hAnsi="Arial"/>
          <w:b/>
          <w:bCs/>
          <w:sz w:val="22"/>
          <w:szCs w:val="22"/>
          <w:lang w:val="en-GB" w:eastAsia="en-GB"/>
        </w:rPr>
        <w:t>IPF</w:t>
      </w:r>
    </w:p>
    <w:p w14:paraId="6F614AE4" w14:textId="53EE0C39" w:rsidR="00EC4DF6" w:rsidRPr="00223FA3" w:rsidRDefault="00EC4DF6" w:rsidP="00EC4DF6">
      <w:pPr>
        <w:pStyle w:val="TextPI"/>
        <w:rPr>
          <w:lang w:val="en-GB" w:eastAsia="en-GB"/>
        </w:rPr>
      </w:pPr>
      <w:r w:rsidRPr="00223FA3">
        <w:rPr>
          <w:lang w:val="en-GB" w:eastAsia="en-GB"/>
        </w:rPr>
        <w:t xml:space="preserve">The clinical efficacy of </w:t>
      </w:r>
      <w:r w:rsidR="00D9664F">
        <w:rPr>
          <w:lang w:val="en-GB" w:eastAsia="en-GB"/>
        </w:rPr>
        <w:t>OFEV</w:t>
      </w:r>
      <w:r w:rsidR="00D9664F" w:rsidRPr="00223FA3">
        <w:rPr>
          <w:lang w:val="en-GB" w:eastAsia="en-GB"/>
        </w:rPr>
        <w:t xml:space="preserve"> </w:t>
      </w:r>
      <w:r w:rsidRPr="00223FA3">
        <w:rPr>
          <w:lang w:val="en-GB" w:eastAsia="en-GB"/>
        </w:rPr>
        <w:t xml:space="preserve">has been studied in patients with IPF in two phase </w:t>
      </w:r>
      <w:r w:rsidR="00D9664F">
        <w:rPr>
          <w:lang w:val="en-GB" w:eastAsia="en-GB"/>
        </w:rPr>
        <w:t>III</w:t>
      </w:r>
      <w:r w:rsidRPr="00223FA3">
        <w:rPr>
          <w:lang w:val="en-GB" w:eastAsia="en-GB"/>
        </w:rPr>
        <w:t xml:space="preserve">, randomised, </w:t>
      </w:r>
      <w:proofErr w:type="gramStart"/>
      <w:r w:rsidRPr="00223FA3">
        <w:rPr>
          <w:lang w:val="en-GB" w:eastAsia="en-GB"/>
        </w:rPr>
        <w:t>double-blind</w:t>
      </w:r>
      <w:proofErr w:type="gramEnd"/>
      <w:r w:rsidRPr="00223FA3">
        <w:rPr>
          <w:lang w:val="en-GB" w:eastAsia="en-GB"/>
        </w:rPr>
        <w:t>, placebo-controlled studies with identical design (INPULSIS-1 and INP</w:t>
      </w:r>
      <w:r>
        <w:rPr>
          <w:lang w:val="en-GB" w:eastAsia="en-GB"/>
        </w:rPr>
        <w:t xml:space="preserve">ULSIS-2). The studies enrolled subjects with FVC </w:t>
      </w:r>
      <w:r>
        <w:rPr>
          <w:rFonts w:cs="Arial"/>
          <w:lang w:val="en-GB" w:eastAsia="en-GB"/>
        </w:rPr>
        <w:t xml:space="preserve">≥ </w:t>
      </w:r>
      <w:r>
        <w:rPr>
          <w:lang w:val="en-GB" w:eastAsia="en-GB"/>
        </w:rPr>
        <w:t>50% of predicted and DL</w:t>
      </w:r>
      <w:r w:rsidRPr="00C02FFA">
        <w:rPr>
          <w:vertAlign w:val="subscript"/>
          <w:lang w:val="en-GB" w:eastAsia="en-GB"/>
        </w:rPr>
        <w:t>CO</w:t>
      </w:r>
      <w:r>
        <w:rPr>
          <w:lang w:val="en-GB" w:eastAsia="en-GB"/>
        </w:rPr>
        <w:t xml:space="preserve"> corrected for haemoglobin 30-79% of predicted at baseline.  Patients were randomis</w:t>
      </w:r>
      <w:r w:rsidRPr="00223FA3">
        <w:rPr>
          <w:lang w:val="en-GB" w:eastAsia="en-GB"/>
        </w:rPr>
        <w:t>ed in a 3:2 ratio to treatment with</w:t>
      </w:r>
      <w:r>
        <w:rPr>
          <w:lang w:val="en-GB" w:eastAsia="en-GB"/>
        </w:rPr>
        <w:t xml:space="preserve"> OFEV</w:t>
      </w:r>
      <w:r w:rsidRPr="00223FA3">
        <w:rPr>
          <w:lang w:val="en-GB" w:eastAsia="en-GB"/>
        </w:rPr>
        <w:t xml:space="preserve"> 150 mg or placebo twice daily for 52 weeks.</w:t>
      </w:r>
    </w:p>
    <w:p w14:paraId="028312A7" w14:textId="77777777" w:rsidR="00EC4DF6" w:rsidRPr="00223FA3" w:rsidRDefault="00EC4DF6" w:rsidP="00EC4DF6">
      <w:pPr>
        <w:pStyle w:val="TextPI"/>
        <w:rPr>
          <w:lang w:val="en-GB" w:eastAsia="en-GB"/>
        </w:rPr>
      </w:pPr>
      <w:r w:rsidRPr="00223FA3">
        <w:rPr>
          <w:lang w:val="en-GB" w:eastAsia="en-GB"/>
        </w:rPr>
        <w:t>The primary endpoint was the annual rate of decline in Forced Vital Capacity (FVC). The key secondary endpoints were change from baseline in Saint George's Respiratory Questionnaire (SGRQ) total score at 52 weeks and time to first acute IPF exacerbation.</w:t>
      </w:r>
    </w:p>
    <w:p w14:paraId="796F53E0" w14:textId="77777777" w:rsidR="00EC4DF6" w:rsidRPr="00223FA3" w:rsidRDefault="00EC4DF6" w:rsidP="00EC4DF6">
      <w:pPr>
        <w:pStyle w:val="TextPI"/>
        <w:rPr>
          <w:u w:val="single"/>
          <w:lang w:val="en-GB" w:eastAsia="en-GB"/>
        </w:rPr>
      </w:pPr>
      <w:r w:rsidRPr="00223FA3">
        <w:rPr>
          <w:u w:val="single"/>
          <w:lang w:val="en-GB" w:eastAsia="en-GB"/>
        </w:rPr>
        <w:t xml:space="preserve">Annual rate of decline in FVC </w:t>
      </w:r>
    </w:p>
    <w:p w14:paraId="3EF1B5F5" w14:textId="30D1BA9B" w:rsidR="00EC4DF6" w:rsidRDefault="00EC4DF6" w:rsidP="000F322D">
      <w:pPr>
        <w:pStyle w:val="TextPI"/>
        <w:spacing w:after="180"/>
        <w:rPr>
          <w:lang w:val="en-GB" w:eastAsia="en-GB"/>
        </w:rPr>
      </w:pPr>
      <w:r w:rsidRPr="00223FA3">
        <w:rPr>
          <w:lang w:val="en-GB" w:eastAsia="en-GB"/>
        </w:rPr>
        <w:t xml:space="preserve">The annual rate of decline of FVC (in mL) was significantly reduced in patients receiving </w:t>
      </w:r>
      <w:r w:rsidR="00CB5D2A">
        <w:rPr>
          <w:lang w:val="en-GB" w:eastAsia="en-GB"/>
        </w:rPr>
        <w:t>OFEV</w:t>
      </w:r>
      <w:r w:rsidR="00CB5D2A" w:rsidRPr="00223FA3">
        <w:rPr>
          <w:lang w:val="en-GB" w:eastAsia="en-GB"/>
        </w:rPr>
        <w:t xml:space="preserve"> </w:t>
      </w:r>
      <w:r w:rsidRPr="00223FA3">
        <w:rPr>
          <w:lang w:val="en-GB" w:eastAsia="en-GB"/>
        </w:rPr>
        <w:t xml:space="preserve">compared to patients receiving placebo. The treatment effect was consistent in both trials. See Table </w:t>
      </w:r>
      <w:r w:rsidR="00AD4557">
        <w:rPr>
          <w:lang w:val="en-GB" w:eastAsia="en-GB"/>
        </w:rPr>
        <w:t>10</w:t>
      </w:r>
      <w:r w:rsidRPr="00223FA3">
        <w:rPr>
          <w:lang w:val="en-GB" w:eastAsia="en-GB"/>
        </w:rPr>
        <w:t xml:space="preserve"> for individual and pooled study results.</w:t>
      </w:r>
    </w:p>
    <w:p w14:paraId="411EDB55" w14:textId="78F08AB9" w:rsidR="00EC4DF6" w:rsidRPr="00F7090C" w:rsidRDefault="00EC4DF6" w:rsidP="00C72070">
      <w:pPr>
        <w:pStyle w:val="TextPI"/>
        <w:keepLines/>
        <w:tabs>
          <w:tab w:val="left" w:pos="1134"/>
        </w:tabs>
        <w:ind w:left="1122" w:hanging="1122"/>
        <w:rPr>
          <w:b/>
          <w:sz w:val="20"/>
          <w:szCs w:val="20"/>
          <w:lang w:val="en-GB"/>
        </w:rPr>
      </w:pPr>
      <w:r w:rsidRPr="00F7090C">
        <w:rPr>
          <w:b/>
          <w:sz w:val="20"/>
          <w:szCs w:val="20"/>
          <w:lang w:val="en-GB"/>
        </w:rPr>
        <w:t xml:space="preserve">Table </w:t>
      </w:r>
      <w:r w:rsidR="00AD4557">
        <w:rPr>
          <w:b/>
          <w:sz w:val="20"/>
          <w:szCs w:val="20"/>
          <w:lang w:val="en-GB"/>
        </w:rPr>
        <w:t>10</w:t>
      </w:r>
      <w:r w:rsidRPr="00F7090C">
        <w:rPr>
          <w:b/>
          <w:sz w:val="20"/>
          <w:szCs w:val="20"/>
          <w:lang w:val="en-GB"/>
        </w:rPr>
        <w:t xml:space="preserve">: </w:t>
      </w:r>
      <w:r w:rsidRPr="00F7090C">
        <w:rPr>
          <w:b/>
          <w:sz w:val="20"/>
          <w:szCs w:val="20"/>
          <w:lang w:val="en-GB"/>
        </w:rPr>
        <w:tab/>
        <w:t>Annual rate of decline in FVC (mL) in trials INPULSIS-1, INPULSIS-2 and their pooled data - treated set</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1485"/>
        <w:gridCol w:w="1159"/>
        <w:gridCol w:w="1559"/>
        <w:gridCol w:w="1085"/>
        <w:gridCol w:w="1472"/>
        <w:gridCol w:w="988"/>
        <w:gridCol w:w="1478"/>
      </w:tblGrid>
      <w:tr w:rsidR="00EC4DF6" w:rsidRPr="002E39AC" w14:paraId="75630880" w14:textId="77777777" w:rsidTr="006E09EC">
        <w:trPr>
          <w:tblHeader/>
          <w:jc w:val="center"/>
        </w:trPr>
        <w:tc>
          <w:tcPr>
            <w:tcW w:w="1485" w:type="dxa"/>
            <w:tcBorders>
              <w:top w:val="single" w:sz="4" w:space="0" w:color="auto"/>
              <w:left w:val="single" w:sz="4" w:space="0" w:color="auto"/>
              <w:bottom w:val="single" w:sz="4" w:space="0" w:color="auto"/>
              <w:right w:val="nil"/>
            </w:tcBorders>
            <w:shd w:val="clear" w:color="auto" w:fill="auto"/>
          </w:tcPr>
          <w:p w14:paraId="57D111F0" w14:textId="77777777" w:rsidR="00EC4DF6" w:rsidRPr="002E39AC" w:rsidRDefault="00EC4DF6" w:rsidP="00C72070">
            <w:pPr>
              <w:pStyle w:val="TextPI"/>
              <w:keepLines/>
              <w:rPr>
                <w:sz w:val="20"/>
                <w:szCs w:val="20"/>
                <w:lang w:val="en-GB" w:eastAsia="en-GB"/>
              </w:rPr>
            </w:pPr>
          </w:p>
        </w:tc>
        <w:tc>
          <w:tcPr>
            <w:tcW w:w="2718" w:type="dxa"/>
            <w:gridSpan w:val="2"/>
            <w:tcBorders>
              <w:top w:val="single" w:sz="4" w:space="0" w:color="auto"/>
              <w:left w:val="nil"/>
              <w:bottom w:val="single" w:sz="4" w:space="0" w:color="auto"/>
              <w:right w:val="single" w:sz="4" w:space="0" w:color="auto"/>
            </w:tcBorders>
            <w:shd w:val="clear" w:color="auto" w:fill="auto"/>
            <w:vAlign w:val="bottom"/>
          </w:tcPr>
          <w:p w14:paraId="0AA9F7A9"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INPULSIS-1</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8ECF35"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INPULSIS-2</w:t>
            </w: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B002AA"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 xml:space="preserve">INPULSIS-1 and INPULSIS-2 </w:t>
            </w:r>
            <w:r w:rsidRPr="002E39AC">
              <w:rPr>
                <w:sz w:val="20"/>
                <w:szCs w:val="20"/>
                <w:lang w:val="en-GB" w:eastAsia="en-GB"/>
              </w:rPr>
              <w:br/>
              <w:t>pooled</w:t>
            </w:r>
          </w:p>
        </w:tc>
      </w:tr>
      <w:tr w:rsidR="00EC4DF6" w:rsidRPr="002E39AC" w14:paraId="6C5A79AB" w14:textId="77777777" w:rsidTr="006E09EC">
        <w:trPr>
          <w:tblHeader/>
          <w:jc w:val="center"/>
        </w:trPr>
        <w:tc>
          <w:tcPr>
            <w:tcW w:w="1485" w:type="dxa"/>
            <w:tcBorders>
              <w:top w:val="single" w:sz="4" w:space="0" w:color="auto"/>
              <w:left w:val="single" w:sz="4" w:space="0" w:color="auto"/>
              <w:bottom w:val="single" w:sz="4" w:space="0" w:color="auto"/>
              <w:right w:val="nil"/>
            </w:tcBorders>
            <w:shd w:val="clear" w:color="auto" w:fill="auto"/>
          </w:tcPr>
          <w:p w14:paraId="734A010C" w14:textId="77777777" w:rsidR="00EC4DF6" w:rsidRPr="002E39AC" w:rsidRDefault="00EC4DF6" w:rsidP="00C72070">
            <w:pPr>
              <w:pStyle w:val="TextPI"/>
              <w:keepLines/>
              <w:rPr>
                <w:sz w:val="20"/>
                <w:szCs w:val="20"/>
                <w:lang w:val="en-GB" w:eastAsia="en-GB"/>
              </w:rPr>
            </w:pPr>
          </w:p>
        </w:tc>
        <w:tc>
          <w:tcPr>
            <w:tcW w:w="1159" w:type="dxa"/>
            <w:tcBorders>
              <w:top w:val="single" w:sz="4" w:space="0" w:color="auto"/>
              <w:left w:val="nil"/>
              <w:bottom w:val="single" w:sz="4" w:space="0" w:color="auto"/>
              <w:right w:val="nil"/>
            </w:tcBorders>
            <w:shd w:val="clear" w:color="auto" w:fill="auto"/>
          </w:tcPr>
          <w:p w14:paraId="79170E6F"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Placebo</w:t>
            </w:r>
          </w:p>
        </w:tc>
        <w:tc>
          <w:tcPr>
            <w:tcW w:w="1559" w:type="dxa"/>
            <w:tcBorders>
              <w:top w:val="single" w:sz="4" w:space="0" w:color="auto"/>
              <w:left w:val="nil"/>
              <w:bottom w:val="single" w:sz="4" w:space="0" w:color="auto"/>
              <w:right w:val="nil"/>
            </w:tcBorders>
            <w:shd w:val="clear" w:color="auto" w:fill="auto"/>
          </w:tcPr>
          <w:p w14:paraId="0491B9E1" w14:textId="77777777" w:rsidR="00EC4DF6" w:rsidRPr="002E39AC" w:rsidRDefault="00EC4DF6" w:rsidP="00914C5E">
            <w:pPr>
              <w:pStyle w:val="TextPI"/>
              <w:keepLines/>
              <w:spacing w:before="100" w:after="100" w:line="240" w:lineRule="auto"/>
              <w:jc w:val="center"/>
              <w:rPr>
                <w:sz w:val="20"/>
                <w:szCs w:val="20"/>
                <w:lang w:val="en-GB" w:eastAsia="en-GB"/>
              </w:rPr>
            </w:pPr>
            <w:r>
              <w:rPr>
                <w:sz w:val="20"/>
                <w:szCs w:val="20"/>
                <w:lang w:val="en-GB" w:eastAsia="en-GB"/>
              </w:rPr>
              <w:t>OFEV</w:t>
            </w:r>
            <w:r w:rsidRPr="002E39AC">
              <w:rPr>
                <w:sz w:val="20"/>
                <w:szCs w:val="20"/>
                <w:lang w:val="en-GB" w:eastAsia="en-GB"/>
              </w:rPr>
              <w:t xml:space="preserve"> 150</w:t>
            </w:r>
            <w:r>
              <w:rPr>
                <w:sz w:val="20"/>
                <w:szCs w:val="20"/>
                <w:lang w:val="en-GB" w:eastAsia="en-GB"/>
              </w:rPr>
              <w:t> </w:t>
            </w:r>
            <w:r w:rsidRPr="002E39AC">
              <w:rPr>
                <w:sz w:val="20"/>
                <w:szCs w:val="20"/>
                <w:lang w:val="en-GB" w:eastAsia="en-GB"/>
              </w:rPr>
              <w:t>mg twice daily</w:t>
            </w:r>
          </w:p>
        </w:tc>
        <w:tc>
          <w:tcPr>
            <w:tcW w:w="1085" w:type="dxa"/>
            <w:tcBorders>
              <w:top w:val="single" w:sz="4" w:space="0" w:color="auto"/>
              <w:left w:val="single" w:sz="4" w:space="0" w:color="auto"/>
              <w:bottom w:val="single" w:sz="4" w:space="0" w:color="auto"/>
              <w:right w:val="nil"/>
            </w:tcBorders>
            <w:shd w:val="clear" w:color="auto" w:fill="auto"/>
          </w:tcPr>
          <w:p w14:paraId="6594A276"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Placebo</w:t>
            </w:r>
          </w:p>
        </w:tc>
        <w:tc>
          <w:tcPr>
            <w:tcW w:w="1472" w:type="dxa"/>
            <w:tcBorders>
              <w:top w:val="single" w:sz="4" w:space="0" w:color="auto"/>
              <w:left w:val="nil"/>
              <w:bottom w:val="single" w:sz="4" w:space="0" w:color="auto"/>
              <w:right w:val="single" w:sz="4" w:space="0" w:color="auto"/>
            </w:tcBorders>
            <w:shd w:val="clear" w:color="auto" w:fill="auto"/>
          </w:tcPr>
          <w:p w14:paraId="12296BC7" w14:textId="77777777" w:rsidR="00EC4DF6" w:rsidRPr="002E39AC" w:rsidRDefault="00EC4DF6" w:rsidP="00914C5E">
            <w:pPr>
              <w:pStyle w:val="TextPI"/>
              <w:keepLines/>
              <w:spacing w:before="100" w:after="100" w:line="240" w:lineRule="auto"/>
              <w:jc w:val="center"/>
              <w:rPr>
                <w:sz w:val="20"/>
                <w:szCs w:val="20"/>
                <w:lang w:val="en-GB" w:eastAsia="en-GB"/>
              </w:rPr>
            </w:pPr>
            <w:r>
              <w:rPr>
                <w:sz w:val="20"/>
                <w:szCs w:val="20"/>
                <w:lang w:val="en-GB" w:eastAsia="en-GB"/>
              </w:rPr>
              <w:t>OFEV</w:t>
            </w:r>
            <w:r w:rsidRPr="002E39AC">
              <w:rPr>
                <w:sz w:val="20"/>
                <w:szCs w:val="20"/>
                <w:lang w:val="en-GB" w:eastAsia="en-GB"/>
              </w:rPr>
              <w:t xml:space="preserve"> 150</w:t>
            </w:r>
            <w:r>
              <w:rPr>
                <w:sz w:val="20"/>
                <w:szCs w:val="20"/>
                <w:lang w:val="en-GB" w:eastAsia="en-GB"/>
              </w:rPr>
              <w:t> </w:t>
            </w:r>
            <w:r w:rsidRPr="002E39AC">
              <w:rPr>
                <w:sz w:val="20"/>
                <w:szCs w:val="20"/>
                <w:lang w:val="en-GB" w:eastAsia="en-GB"/>
              </w:rPr>
              <w:t>mg twice daily</w:t>
            </w:r>
          </w:p>
        </w:tc>
        <w:tc>
          <w:tcPr>
            <w:tcW w:w="988" w:type="dxa"/>
            <w:tcBorders>
              <w:top w:val="single" w:sz="4" w:space="0" w:color="auto"/>
              <w:left w:val="single" w:sz="4" w:space="0" w:color="auto"/>
              <w:bottom w:val="single" w:sz="4" w:space="0" w:color="auto"/>
              <w:right w:val="nil"/>
            </w:tcBorders>
            <w:shd w:val="clear" w:color="auto" w:fill="auto"/>
          </w:tcPr>
          <w:p w14:paraId="5A185BC7"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Placebo</w:t>
            </w:r>
          </w:p>
        </w:tc>
        <w:tc>
          <w:tcPr>
            <w:tcW w:w="1478" w:type="dxa"/>
            <w:tcBorders>
              <w:top w:val="single" w:sz="4" w:space="0" w:color="auto"/>
              <w:left w:val="nil"/>
              <w:bottom w:val="single" w:sz="4" w:space="0" w:color="auto"/>
              <w:right w:val="single" w:sz="4" w:space="0" w:color="auto"/>
            </w:tcBorders>
            <w:shd w:val="clear" w:color="auto" w:fill="auto"/>
          </w:tcPr>
          <w:p w14:paraId="7385BAC1" w14:textId="77777777" w:rsidR="00EC4DF6" w:rsidRPr="002E39AC" w:rsidRDefault="00EC4DF6" w:rsidP="00914C5E">
            <w:pPr>
              <w:pStyle w:val="TextPI"/>
              <w:keepLines/>
              <w:spacing w:before="100" w:after="100" w:line="240" w:lineRule="auto"/>
              <w:jc w:val="center"/>
              <w:rPr>
                <w:sz w:val="20"/>
                <w:szCs w:val="20"/>
                <w:lang w:val="en-GB" w:eastAsia="en-GB"/>
              </w:rPr>
            </w:pPr>
            <w:r>
              <w:rPr>
                <w:sz w:val="20"/>
                <w:szCs w:val="20"/>
                <w:lang w:val="en-GB" w:eastAsia="en-GB"/>
              </w:rPr>
              <w:t>OFEV</w:t>
            </w:r>
            <w:r w:rsidRPr="002E39AC">
              <w:rPr>
                <w:sz w:val="20"/>
                <w:szCs w:val="20"/>
                <w:lang w:val="en-GB" w:eastAsia="en-GB"/>
              </w:rPr>
              <w:t xml:space="preserve"> 150</w:t>
            </w:r>
            <w:r>
              <w:rPr>
                <w:sz w:val="20"/>
                <w:szCs w:val="20"/>
                <w:lang w:val="en-GB" w:eastAsia="en-GB"/>
              </w:rPr>
              <w:t> </w:t>
            </w:r>
            <w:r w:rsidRPr="002E39AC">
              <w:rPr>
                <w:sz w:val="20"/>
                <w:szCs w:val="20"/>
                <w:lang w:val="en-GB" w:eastAsia="en-GB"/>
              </w:rPr>
              <w:t>mg twice daily</w:t>
            </w:r>
          </w:p>
        </w:tc>
      </w:tr>
      <w:tr w:rsidR="00EC4DF6" w:rsidRPr="002E39AC" w14:paraId="065652FB" w14:textId="77777777" w:rsidTr="006E09EC">
        <w:trPr>
          <w:jc w:val="center"/>
        </w:trPr>
        <w:tc>
          <w:tcPr>
            <w:tcW w:w="1485" w:type="dxa"/>
            <w:tcBorders>
              <w:top w:val="nil"/>
              <w:left w:val="single" w:sz="4" w:space="0" w:color="auto"/>
              <w:bottom w:val="nil"/>
              <w:right w:val="nil"/>
            </w:tcBorders>
            <w:shd w:val="clear" w:color="auto" w:fill="auto"/>
          </w:tcPr>
          <w:p w14:paraId="65FA8330" w14:textId="77777777" w:rsidR="00EC4DF6" w:rsidRPr="002E39AC" w:rsidRDefault="00EC4DF6" w:rsidP="00C72070">
            <w:pPr>
              <w:pStyle w:val="TextPI"/>
              <w:keepLines/>
              <w:jc w:val="left"/>
              <w:rPr>
                <w:sz w:val="20"/>
                <w:szCs w:val="20"/>
                <w:lang w:val="en-GB" w:eastAsia="en-GB"/>
              </w:rPr>
            </w:pPr>
            <w:r w:rsidRPr="002E39AC">
              <w:rPr>
                <w:sz w:val="20"/>
                <w:szCs w:val="20"/>
                <w:lang w:val="en-GB" w:eastAsia="en-GB"/>
              </w:rPr>
              <w:t>Number of analysed patients</w:t>
            </w:r>
          </w:p>
        </w:tc>
        <w:tc>
          <w:tcPr>
            <w:tcW w:w="1159" w:type="dxa"/>
            <w:tcBorders>
              <w:top w:val="nil"/>
              <w:left w:val="nil"/>
              <w:bottom w:val="nil"/>
              <w:right w:val="nil"/>
            </w:tcBorders>
            <w:shd w:val="clear" w:color="auto" w:fill="auto"/>
            <w:vAlign w:val="bottom"/>
          </w:tcPr>
          <w:p w14:paraId="5687C232"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204</w:t>
            </w:r>
          </w:p>
        </w:tc>
        <w:tc>
          <w:tcPr>
            <w:tcW w:w="1559" w:type="dxa"/>
            <w:tcBorders>
              <w:top w:val="nil"/>
              <w:left w:val="nil"/>
              <w:bottom w:val="nil"/>
              <w:right w:val="nil"/>
            </w:tcBorders>
            <w:shd w:val="clear" w:color="auto" w:fill="auto"/>
            <w:vAlign w:val="bottom"/>
          </w:tcPr>
          <w:p w14:paraId="3131D860"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309</w:t>
            </w:r>
          </w:p>
        </w:tc>
        <w:tc>
          <w:tcPr>
            <w:tcW w:w="1085" w:type="dxa"/>
            <w:tcBorders>
              <w:top w:val="nil"/>
              <w:left w:val="single" w:sz="4" w:space="0" w:color="auto"/>
              <w:bottom w:val="nil"/>
              <w:right w:val="nil"/>
            </w:tcBorders>
            <w:shd w:val="clear" w:color="auto" w:fill="auto"/>
            <w:vAlign w:val="bottom"/>
          </w:tcPr>
          <w:p w14:paraId="6046970A"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219</w:t>
            </w:r>
          </w:p>
        </w:tc>
        <w:tc>
          <w:tcPr>
            <w:tcW w:w="1472" w:type="dxa"/>
            <w:tcBorders>
              <w:top w:val="nil"/>
              <w:left w:val="nil"/>
              <w:bottom w:val="nil"/>
              <w:right w:val="single" w:sz="4" w:space="0" w:color="auto"/>
            </w:tcBorders>
            <w:shd w:val="clear" w:color="auto" w:fill="auto"/>
            <w:vAlign w:val="bottom"/>
          </w:tcPr>
          <w:p w14:paraId="0F1D555E"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329</w:t>
            </w:r>
          </w:p>
        </w:tc>
        <w:tc>
          <w:tcPr>
            <w:tcW w:w="988" w:type="dxa"/>
            <w:tcBorders>
              <w:top w:val="nil"/>
              <w:left w:val="single" w:sz="4" w:space="0" w:color="auto"/>
              <w:bottom w:val="nil"/>
              <w:right w:val="nil"/>
            </w:tcBorders>
            <w:shd w:val="clear" w:color="auto" w:fill="auto"/>
            <w:vAlign w:val="bottom"/>
          </w:tcPr>
          <w:p w14:paraId="7360BEDA"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423</w:t>
            </w:r>
          </w:p>
        </w:tc>
        <w:tc>
          <w:tcPr>
            <w:tcW w:w="1478" w:type="dxa"/>
            <w:tcBorders>
              <w:top w:val="nil"/>
              <w:left w:val="nil"/>
              <w:bottom w:val="nil"/>
              <w:right w:val="single" w:sz="4" w:space="0" w:color="auto"/>
            </w:tcBorders>
            <w:shd w:val="clear" w:color="auto" w:fill="auto"/>
            <w:vAlign w:val="bottom"/>
          </w:tcPr>
          <w:p w14:paraId="6186AAE1"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638</w:t>
            </w:r>
          </w:p>
        </w:tc>
      </w:tr>
      <w:tr w:rsidR="00EC4DF6" w:rsidRPr="002E39AC" w14:paraId="7867061E" w14:textId="77777777" w:rsidTr="006E09EC">
        <w:trPr>
          <w:jc w:val="center"/>
        </w:trPr>
        <w:tc>
          <w:tcPr>
            <w:tcW w:w="1485" w:type="dxa"/>
            <w:tcBorders>
              <w:top w:val="nil"/>
              <w:left w:val="single" w:sz="4" w:space="0" w:color="auto"/>
              <w:bottom w:val="nil"/>
              <w:right w:val="nil"/>
            </w:tcBorders>
            <w:shd w:val="clear" w:color="auto" w:fill="auto"/>
          </w:tcPr>
          <w:p w14:paraId="38BA2779" w14:textId="77777777" w:rsidR="00EC4DF6" w:rsidRPr="002E39AC" w:rsidRDefault="00EC4DF6" w:rsidP="00C72070">
            <w:pPr>
              <w:pStyle w:val="TextPI"/>
              <w:keepLines/>
              <w:jc w:val="left"/>
              <w:rPr>
                <w:sz w:val="20"/>
                <w:szCs w:val="20"/>
                <w:lang w:val="en-GB" w:eastAsia="en-GB"/>
              </w:rPr>
            </w:pPr>
            <w:r w:rsidRPr="002E39AC">
              <w:rPr>
                <w:sz w:val="20"/>
                <w:szCs w:val="20"/>
                <w:lang w:val="en-GB" w:eastAsia="en-GB"/>
              </w:rPr>
              <w:t>Rate</w:t>
            </w:r>
            <w:r w:rsidRPr="00A03A48">
              <w:rPr>
                <w:sz w:val="20"/>
                <w:szCs w:val="20"/>
                <w:vertAlign w:val="superscript"/>
                <w:lang w:val="en-GB" w:eastAsia="en-GB"/>
              </w:rPr>
              <w:t>1</w:t>
            </w:r>
            <w:r w:rsidRPr="002E39AC">
              <w:rPr>
                <w:sz w:val="20"/>
                <w:szCs w:val="20"/>
                <w:lang w:val="en-GB" w:eastAsia="en-GB"/>
              </w:rPr>
              <w:t xml:space="preserve"> (SE) of decline over 52 weeks</w:t>
            </w:r>
          </w:p>
        </w:tc>
        <w:tc>
          <w:tcPr>
            <w:tcW w:w="1159" w:type="dxa"/>
            <w:tcBorders>
              <w:top w:val="nil"/>
              <w:left w:val="nil"/>
              <w:bottom w:val="nil"/>
              <w:right w:val="nil"/>
            </w:tcBorders>
            <w:shd w:val="clear" w:color="auto" w:fill="auto"/>
            <w:vAlign w:val="bottom"/>
          </w:tcPr>
          <w:p w14:paraId="588920F3"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−239.9 (18.71)</w:t>
            </w:r>
          </w:p>
        </w:tc>
        <w:tc>
          <w:tcPr>
            <w:tcW w:w="1559" w:type="dxa"/>
            <w:tcBorders>
              <w:top w:val="nil"/>
              <w:left w:val="nil"/>
              <w:bottom w:val="nil"/>
              <w:right w:val="nil"/>
            </w:tcBorders>
            <w:shd w:val="clear" w:color="auto" w:fill="auto"/>
            <w:vAlign w:val="bottom"/>
          </w:tcPr>
          <w:p w14:paraId="1FC1FBDF"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−114.7  (15.33)</w:t>
            </w:r>
          </w:p>
        </w:tc>
        <w:tc>
          <w:tcPr>
            <w:tcW w:w="1085" w:type="dxa"/>
            <w:tcBorders>
              <w:top w:val="nil"/>
              <w:left w:val="single" w:sz="4" w:space="0" w:color="auto"/>
              <w:bottom w:val="nil"/>
              <w:right w:val="nil"/>
            </w:tcBorders>
            <w:shd w:val="clear" w:color="auto" w:fill="auto"/>
            <w:vAlign w:val="bottom"/>
          </w:tcPr>
          <w:p w14:paraId="6FE85B92"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−207.3 (19.31)</w:t>
            </w:r>
          </w:p>
        </w:tc>
        <w:tc>
          <w:tcPr>
            <w:tcW w:w="1472" w:type="dxa"/>
            <w:tcBorders>
              <w:top w:val="nil"/>
              <w:left w:val="nil"/>
              <w:bottom w:val="nil"/>
              <w:right w:val="single" w:sz="4" w:space="0" w:color="auto"/>
            </w:tcBorders>
            <w:shd w:val="clear" w:color="auto" w:fill="auto"/>
            <w:vAlign w:val="bottom"/>
          </w:tcPr>
          <w:p w14:paraId="400DEDC5"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−113.6 (15.73)</w:t>
            </w:r>
          </w:p>
        </w:tc>
        <w:tc>
          <w:tcPr>
            <w:tcW w:w="988" w:type="dxa"/>
            <w:tcBorders>
              <w:top w:val="nil"/>
              <w:left w:val="single" w:sz="4" w:space="0" w:color="auto"/>
              <w:bottom w:val="nil"/>
              <w:right w:val="nil"/>
            </w:tcBorders>
            <w:shd w:val="clear" w:color="auto" w:fill="auto"/>
            <w:vAlign w:val="bottom"/>
          </w:tcPr>
          <w:p w14:paraId="71677076"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−223.5 (13.45)</w:t>
            </w:r>
          </w:p>
        </w:tc>
        <w:tc>
          <w:tcPr>
            <w:tcW w:w="1478" w:type="dxa"/>
            <w:tcBorders>
              <w:top w:val="nil"/>
              <w:left w:val="nil"/>
              <w:bottom w:val="nil"/>
              <w:right w:val="single" w:sz="4" w:space="0" w:color="auto"/>
            </w:tcBorders>
            <w:shd w:val="clear" w:color="auto" w:fill="auto"/>
            <w:vAlign w:val="bottom"/>
          </w:tcPr>
          <w:p w14:paraId="28524D2A"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−113.6 (10.98)</w:t>
            </w:r>
          </w:p>
        </w:tc>
      </w:tr>
      <w:tr w:rsidR="00EC4DF6" w:rsidRPr="002E39AC" w14:paraId="31DB8AD8" w14:textId="77777777" w:rsidTr="006E09EC">
        <w:trPr>
          <w:jc w:val="center"/>
        </w:trPr>
        <w:tc>
          <w:tcPr>
            <w:tcW w:w="1485" w:type="dxa"/>
            <w:tcBorders>
              <w:top w:val="nil"/>
              <w:left w:val="single" w:sz="4" w:space="0" w:color="auto"/>
              <w:bottom w:val="nil"/>
              <w:right w:val="nil"/>
            </w:tcBorders>
            <w:shd w:val="clear" w:color="auto" w:fill="auto"/>
          </w:tcPr>
          <w:p w14:paraId="2362A024" w14:textId="77777777" w:rsidR="00EC4DF6" w:rsidRPr="002E39AC" w:rsidRDefault="00EC4DF6" w:rsidP="00C72070">
            <w:pPr>
              <w:pStyle w:val="TextPI"/>
              <w:keepLines/>
              <w:jc w:val="left"/>
              <w:rPr>
                <w:sz w:val="20"/>
                <w:szCs w:val="20"/>
                <w:lang w:val="en-GB" w:eastAsia="en-GB"/>
              </w:rPr>
            </w:pPr>
            <w:r w:rsidRPr="002E39AC">
              <w:rPr>
                <w:sz w:val="20"/>
                <w:szCs w:val="20"/>
                <w:lang w:val="en-GB" w:eastAsia="en-GB"/>
              </w:rPr>
              <w:t>Comparison vs placebo</w:t>
            </w:r>
          </w:p>
        </w:tc>
        <w:tc>
          <w:tcPr>
            <w:tcW w:w="1159" w:type="dxa"/>
            <w:tcBorders>
              <w:top w:val="nil"/>
              <w:left w:val="nil"/>
              <w:bottom w:val="nil"/>
              <w:right w:val="nil"/>
            </w:tcBorders>
            <w:shd w:val="clear" w:color="auto" w:fill="auto"/>
            <w:vAlign w:val="bottom"/>
          </w:tcPr>
          <w:p w14:paraId="19A6467E"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559" w:type="dxa"/>
            <w:tcBorders>
              <w:top w:val="nil"/>
              <w:left w:val="nil"/>
              <w:bottom w:val="nil"/>
              <w:right w:val="nil"/>
            </w:tcBorders>
            <w:shd w:val="clear" w:color="auto" w:fill="auto"/>
            <w:vAlign w:val="bottom"/>
          </w:tcPr>
          <w:p w14:paraId="1AEB1935"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085" w:type="dxa"/>
            <w:tcBorders>
              <w:top w:val="nil"/>
              <w:left w:val="single" w:sz="4" w:space="0" w:color="auto"/>
              <w:bottom w:val="nil"/>
              <w:right w:val="nil"/>
            </w:tcBorders>
            <w:shd w:val="clear" w:color="auto" w:fill="auto"/>
            <w:vAlign w:val="bottom"/>
          </w:tcPr>
          <w:p w14:paraId="4832BA07"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2" w:type="dxa"/>
            <w:tcBorders>
              <w:top w:val="nil"/>
              <w:left w:val="nil"/>
              <w:bottom w:val="nil"/>
              <w:right w:val="single" w:sz="4" w:space="0" w:color="auto"/>
            </w:tcBorders>
            <w:shd w:val="clear" w:color="auto" w:fill="auto"/>
            <w:vAlign w:val="bottom"/>
          </w:tcPr>
          <w:p w14:paraId="5D178C16"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988" w:type="dxa"/>
            <w:tcBorders>
              <w:top w:val="nil"/>
              <w:left w:val="single" w:sz="4" w:space="0" w:color="auto"/>
              <w:bottom w:val="nil"/>
              <w:right w:val="nil"/>
            </w:tcBorders>
            <w:shd w:val="clear" w:color="auto" w:fill="auto"/>
            <w:vAlign w:val="bottom"/>
          </w:tcPr>
          <w:p w14:paraId="6B661742"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8" w:type="dxa"/>
            <w:tcBorders>
              <w:top w:val="nil"/>
              <w:left w:val="nil"/>
              <w:bottom w:val="nil"/>
              <w:right w:val="single" w:sz="4" w:space="0" w:color="auto"/>
            </w:tcBorders>
            <w:shd w:val="clear" w:color="auto" w:fill="auto"/>
            <w:vAlign w:val="bottom"/>
          </w:tcPr>
          <w:p w14:paraId="46973510" w14:textId="77777777" w:rsidR="00EC4DF6" w:rsidRPr="002E39AC" w:rsidRDefault="00EC4DF6" w:rsidP="00914C5E">
            <w:pPr>
              <w:pStyle w:val="TextPI"/>
              <w:keepLines/>
              <w:spacing w:before="100" w:after="100" w:line="240" w:lineRule="auto"/>
              <w:jc w:val="center"/>
              <w:rPr>
                <w:sz w:val="20"/>
                <w:szCs w:val="20"/>
                <w:lang w:val="en-GB" w:eastAsia="en-GB"/>
              </w:rPr>
            </w:pPr>
          </w:p>
        </w:tc>
      </w:tr>
      <w:tr w:rsidR="00EC4DF6" w:rsidRPr="002E39AC" w14:paraId="1A8993A3" w14:textId="77777777" w:rsidTr="006E09EC">
        <w:trPr>
          <w:trHeight w:val="740"/>
          <w:jc w:val="center"/>
        </w:trPr>
        <w:tc>
          <w:tcPr>
            <w:tcW w:w="1485" w:type="dxa"/>
            <w:tcBorders>
              <w:top w:val="nil"/>
              <w:left w:val="single" w:sz="4" w:space="0" w:color="auto"/>
              <w:bottom w:val="nil"/>
              <w:right w:val="nil"/>
            </w:tcBorders>
            <w:shd w:val="clear" w:color="auto" w:fill="auto"/>
          </w:tcPr>
          <w:p w14:paraId="4E6A46C0" w14:textId="77777777" w:rsidR="00EC4DF6" w:rsidRPr="002E39AC" w:rsidRDefault="00EC4DF6" w:rsidP="00C72070">
            <w:pPr>
              <w:pStyle w:val="TextPI"/>
              <w:keepLines/>
              <w:jc w:val="left"/>
              <w:rPr>
                <w:sz w:val="20"/>
                <w:szCs w:val="20"/>
                <w:lang w:val="en-GB" w:eastAsia="en-GB"/>
              </w:rPr>
            </w:pPr>
            <w:r w:rsidRPr="002E39AC">
              <w:rPr>
                <w:sz w:val="20"/>
                <w:szCs w:val="20"/>
                <w:lang w:val="en-GB" w:eastAsia="en-GB"/>
              </w:rPr>
              <w:t>Difference</w:t>
            </w:r>
            <w:r w:rsidRPr="002E39AC">
              <w:rPr>
                <w:sz w:val="20"/>
                <w:szCs w:val="20"/>
                <w:vertAlign w:val="superscript"/>
                <w:lang w:val="en-GB" w:eastAsia="en-GB"/>
              </w:rPr>
              <w:t>1</w:t>
            </w:r>
          </w:p>
        </w:tc>
        <w:tc>
          <w:tcPr>
            <w:tcW w:w="1159" w:type="dxa"/>
            <w:tcBorders>
              <w:top w:val="nil"/>
              <w:left w:val="nil"/>
              <w:bottom w:val="nil"/>
              <w:right w:val="nil"/>
            </w:tcBorders>
            <w:shd w:val="clear" w:color="auto" w:fill="auto"/>
            <w:vAlign w:val="bottom"/>
          </w:tcPr>
          <w:p w14:paraId="5E291C20"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559" w:type="dxa"/>
            <w:tcBorders>
              <w:top w:val="nil"/>
              <w:left w:val="nil"/>
              <w:bottom w:val="nil"/>
              <w:right w:val="nil"/>
            </w:tcBorders>
            <w:shd w:val="clear" w:color="auto" w:fill="auto"/>
            <w:vAlign w:val="bottom"/>
          </w:tcPr>
          <w:p w14:paraId="6A28D270"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125.3</w:t>
            </w:r>
          </w:p>
          <w:p w14:paraId="3B1DF239" w14:textId="77777777" w:rsidR="00EC4DF6" w:rsidRPr="002E39AC" w:rsidRDefault="00EC4DF6" w:rsidP="00914C5E">
            <w:pPr>
              <w:pStyle w:val="TextPI"/>
              <w:keepLines/>
              <w:spacing w:before="100" w:after="100" w:line="240" w:lineRule="auto"/>
              <w:rPr>
                <w:sz w:val="20"/>
                <w:szCs w:val="20"/>
                <w:lang w:val="en-GB" w:eastAsia="en-GB"/>
              </w:rPr>
            </w:pPr>
          </w:p>
        </w:tc>
        <w:tc>
          <w:tcPr>
            <w:tcW w:w="1085" w:type="dxa"/>
            <w:tcBorders>
              <w:top w:val="nil"/>
              <w:left w:val="single" w:sz="4" w:space="0" w:color="auto"/>
              <w:bottom w:val="nil"/>
              <w:right w:val="nil"/>
            </w:tcBorders>
            <w:shd w:val="clear" w:color="auto" w:fill="auto"/>
            <w:vAlign w:val="bottom"/>
          </w:tcPr>
          <w:p w14:paraId="06E23EE4"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2" w:type="dxa"/>
            <w:tcBorders>
              <w:top w:val="nil"/>
              <w:left w:val="nil"/>
              <w:bottom w:val="nil"/>
              <w:right w:val="single" w:sz="4" w:space="0" w:color="auto"/>
            </w:tcBorders>
            <w:shd w:val="clear" w:color="auto" w:fill="auto"/>
            <w:vAlign w:val="bottom"/>
          </w:tcPr>
          <w:p w14:paraId="30935D90"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93.7</w:t>
            </w:r>
          </w:p>
          <w:p w14:paraId="207921A6"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988" w:type="dxa"/>
            <w:tcBorders>
              <w:top w:val="nil"/>
              <w:left w:val="single" w:sz="4" w:space="0" w:color="auto"/>
              <w:bottom w:val="nil"/>
              <w:right w:val="nil"/>
            </w:tcBorders>
            <w:shd w:val="clear" w:color="auto" w:fill="auto"/>
            <w:vAlign w:val="bottom"/>
          </w:tcPr>
          <w:p w14:paraId="620CA9F4"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8" w:type="dxa"/>
            <w:tcBorders>
              <w:top w:val="nil"/>
              <w:left w:val="nil"/>
              <w:bottom w:val="nil"/>
              <w:right w:val="single" w:sz="4" w:space="0" w:color="auto"/>
            </w:tcBorders>
            <w:shd w:val="clear" w:color="auto" w:fill="auto"/>
            <w:vAlign w:val="bottom"/>
          </w:tcPr>
          <w:p w14:paraId="1AE0EEE1"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109.9</w:t>
            </w:r>
          </w:p>
          <w:p w14:paraId="4238DD2B" w14:textId="77777777" w:rsidR="00EC4DF6" w:rsidRPr="002E39AC" w:rsidRDefault="00EC4DF6" w:rsidP="00914C5E">
            <w:pPr>
              <w:pStyle w:val="TextPI"/>
              <w:keepLines/>
              <w:spacing w:before="100" w:after="100" w:line="240" w:lineRule="auto"/>
              <w:jc w:val="center"/>
              <w:rPr>
                <w:sz w:val="20"/>
                <w:szCs w:val="20"/>
                <w:lang w:val="en-GB" w:eastAsia="en-GB"/>
              </w:rPr>
            </w:pPr>
          </w:p>
        </w:tc>
      </w:tr>
      <w:tr w:rsidR="00EC4DF6" w:rsidRPr="002E39AC" w14:paraId="0EDCD2F0" w14:textId="77777777" w:rsidTr="006E09EC">
        <w:trPr>
          <w:jc w:val="center"/>
        </w:trPr>
        <w:tc>
          <w:tcPr>
            <w:tcW w:w="1485" w:type="dxa"/>
            <w:tcBorders>
              <w:top w:val="nil"/>
              <w:left w:val="single" w:sz="4" w:space="0" w:color="auto"/>
              <w:bottom w:val="nil"/>
              <w:right w:val="nil"/>
            </w:tcBorders>
            <w:shd w:val="clear" w:color="auto" w:fill="auto"/>
          </w:tcPr>
          <w:p w14:paraId="2AF1A5F7" w14:textId="77777777" w:rsidR="00EC4DF6" w:rsidRPr="002E39AC" w:rsidRDefault="00EC4DF6" w:rsidP="00C72070">
            <w:pPr>
              <w:pStyle w:val="TextPI"/>
              <w:keepLines/>
              <w:jc w:val="left"/>
              <w:rPr>
                <w:sz w:val="20"/>
                <w:szCs w:val="20"/>
                <w:lang w:val="en-GB" w:eastAsia="en-GB"/>
              </w:rPr>
            </w:pPr>
            <w:r w:rsidRPr="002E39AC">
              <w:rPr>
                <w:sz w:val="20"/>
                <w:szCs w:val="20"/>
                <w:lang w:val="en-GB" w:eastAsia="en-GB"/>
              </w:rPr>
              <w:tab/>
              <w:t>95%</w:t>
            </w:r>
            <w:r>
              <w:rPr>
                <w:sz w:val="20"/>
                <w:szCs w:val="20"/>
                <w:lang w:val="en-GB" w:eastAsia="en-GB"/>
              </w:rPr>
              <w:t xml:space="preserve"> </w:t>
            </w:r>
            <w:r w:rsidRPr="002E39AC">
              <w:rPr>
                <w:sz w:val="20"/>
                <w:szCs w:val="20"/>
                <w:lang w:val="en-GB" w:eastAsia="en-GB"/>
              </w:rPr>
              <w:t>CI</w:t>
            </w:r>
          </w:p>
        </w:tc>
        <w:tc>
          <w:tcPr>
            <w:tcW w:w="1159" w:type="dxa"/>
            <w:tcBorders>
              <w:top w:val="nil"/>
              <w:left w:val="nil"/>
              <w:bottom w:val="nil"/>
              <w:right w:val="nil"/>
            </w:tcBorders>
            <w:shd w:val="clear" w:color="auto" w:fill="auto"/>
            <w:vAlign w:val="bottom"/>
          </w:tcPr>
          <w:p w14:paraId="1378AEBA"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559" w:type="dxa"/>
            <w:tcBorders>
              <w:top w:val="nil"/>
              <w:left w:val="nil"/>
              <w:bottom w:val="nil"/>
              <w:right w:val="nil"/>
            </w:tcBorders>
            <w:shd w:val="clear" w:color="auto" w:fill="auto"/>
            <w:vAlign w:val="bottom"/>
          </w:tcPr>
          <w:p w14:paraId="17D3DFAD"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(77.7, 172.8)</w:t>
            </w:r>
          </w:p>
        </w:tc>
        <w:tc>
          <w:tcPr>
            <w:tcW w:w="1085" w:type="dxa"/>
            <w:tcBorders>
              <w:top w:val="nil"/>
              <w:left w:val="single" w:sz="4" w:space="0" w:color="auto"/>
              <w:bottom w:val="nil"/>
              <w:right w:val="nil"/>
            </w:tcBorders>
            <w:shd w:val="clear" w:color="auto" w:fill="auto"/>
            <w:vAlign w:val="bottom"/>
          </w:tcPr>
          <w:p w14:paraId="3638BBFA"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2" w:type="dxa"/>
            <w:tcBorders>
              <w:top w:val="nil"/>
              <w:left w:val="nil"/>
              <w:bottom w:val="nil"/>
              <w:right w:val="single" w:sz="4" w:space="0" w:color="auto"/>
            </w:tcBorders>
            <w:shd w:val="clear" w:color="auto" w:fill="auto"/>
            <w:vAlign w:val="bottom"/>
          </w:tcPr>
          <w:p w14:paraId="39902E47"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(44.8, 142.7)</w:t>
            </w:r>
          </w:p>
        </w:tc>
        <w:tc>
          <w:tcPr>
            <w:tcW w:w="988" w:type="dxa"/>
            <w:tcBorders>
              <w:top w:val="nil"/>
              <w:left w:val="single" w:sz="4" w:space="0" w:color="auto"/>
              <w:bottom w:val="nil"/>
              <w:right w:val="nil"/>
            </w:tcBorders>
            <w:shd w:val="clear" w:color="auto" w:fill="auto"/>
            <w:vAlign w:val="bottom"/>
          </w:tcPr>
          <w:p w14:paraId="6B4C2611"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8" w:type="dxa"/>
            <w:tcBorders>
              <w:top w:val="nil"/>
              <w:left w:val="nil"/>
              <w:bottom w:val="nil"/>
              <w:right w:val="single" w:sz="4" w:space="0" w:color="auto"/>
            </w:tcBorders>
            <w:shd w:val="clear" w:color="auto" w:fill="auto"/>
            <w:vAlign w:val="bottom"/>
          </w:tcPr>
          <w:p w14:paraId="635D56EE"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(75.9, 144.0)</w:t>
            </w:r>
          </w:p>
        </w:tc>
      </w:tr>
      <w:tr w:rsidR="00EC4DF6" w:rsidRPr="002E39AC" w14:paraId="0B2635F9" w14:textId="77777777" w:rsidTr="006E09EC">
        <w:trPr>
          <w:jc w:val="center"/>
        </w:trPr>
        <w:tc>
          <w:tcPr>
            <w:tcW w:w="1485" w:type="dxa"/>
            <w:tcBorders>
              <w:top w:val="nil"/>
              <w:left w:val="single" w:sz="4" w:space="0" w:color="auto"/>
              <w:bottom w:val="single" w:sz="4" w:space="0" w:color="auto"/>
              <w:right w:val="nil"/>
            </w:tcBorders>
            <w:shd w:val="clear" w:color="auto" w:fill="auto"/>
          </w:tcPr>
          <w:p w14:paraId="4894F8EF" w14:textId="77777777" w:rsidR="00EC4DF6" w:rsidRPr="002E39AC" w:rsidRDefault="00EC4DF6" w:rsidP="00C72070">
            <w:pPr>
              <w:pStyle w:val="TextPI"/>
              <w:keepLines/>
              <w:jc w:val="left"/>
              <w:rPr>
                <w:sz w:val="20"/>
                <w:szCs w:val="20"/>
                <w:lang w:val="en-GB" w:eastAsia="en-GB"/>
              </w:rPr>
            </w:pPr>
            <w:r w:rsidRPr="002E39AC">
              <w:rPr>
                <w:sz w:val="20"/>
                <w:szCs w:val="20"/>
                <w:lang w:val="en-GB" w:eastAsia="en-GB"/>
              </w:rPr>
              <w:tab/>
              <w:t>p-value</w:t>
            </w:r>
          </w:p>
        </w:tc>
        <w:tc>
          <w:tcPr>
            <w:tcW w:w="1159" w:type="dxa"/>
            <w:tcBorders>
              <w:top w:val="nil"/>
              <w:left w:val="nil"/>
              <w:bottom w:val="single" w:sz="4" w:space="0" w:color="auto"/>
              <w:right w:val="nil"/>
            </w:tcBorders>
            <w:shd w:val="clear" w:color="auto" w:fill="auto"/>
            <w:vAlign w:val="bottom"/>
          </w:tcPr>
          <w:p w14:paraId="161EC810"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559" w:type="dxa"/>
            <w:tcBorders>
              <w:top w:val="nil"/>
              <w:left w:val="nil"/>
              <w:bottom w:val="single" w:sz="4" w:space="0" w:color="auto"/>
              <w:right w:val="nil"/>
            </w:tcBorders>
            <w:shd w:val="clear" w:color="auto" w:fill="auto"/>
            <w:vAlign w:val="bottom"/>
          </w:tcPr>
          <w:p w14:paraId="35EDBC1E"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&lt;0.0001</w:t>
            </w:r>
          </w:p>
        </w:tc>
        <w:tc>
          <w:tcPr>
            <w:tcW w:w="1085" w:type="dxa"/>
            <w:tcBorders>
              <w:top w:val="nil"/>
              <w:left w:val="single" w:sz="4" w:space="0" w:color="auto"/>
              <w:bottom w:val="single" w:sz="4" w:space="0" w:color="auto"/>
              <w:right w:val="nil"/>
            </w:tcBorders>
            <w:shd w:val="clear" w:color="auto" w:fill="auto"/>
            <w:vAlign w:val="bottom"/>
          </w:tcPr>
          <w:p w14:paraId="7C56AE7A"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2" w:type="dxa"/>
            <w:tcBorders>
              <w:top w:val="nil"/>
              <w:left w:val="nil"/>
              <w:bottom w:val="single" w:sz="4" w:space="0" w:color="auto"/>
              <w:right w:val="single" w:sz="4" w:space="0" w:color="auto"/>
            </w:tcBorders>
            <w:shd w:val="clear" w:color="auto" w:fill="auto"/>
            <w:vAlign w:val="bottom"/>
          </w:tcPr>
          <w:p w14:paraId="24706786"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0.0002</w:t>
            </w:r>
          </w:p>
        </w:tc>
        <w:tc>
          <w:tcPr>
            <w:tcW w:w="988" w:type="dxa"/>
            <w:tcBorders>
              <w:top w:val="nil"/>
              <w:left w:val="single" w:sz="4" w:space="0" w:color="auto"/>
              <w:bottom w:val="single" w:sz="4" w:space="0" w:color="auto"/>
              <w:right w:val="nil"/>
            </w:tcBorders>
            <w:shd w:val="clear" w:color="auto" w:fill="auto"/>
            <w:vAlign w:val="bottom"/>
          </w:tcPr>
          <w:p w14:paraId="0740340F" w14:textId="77777777" w:rsidR="00EC4DF6" w:rsidRPr="002E39AC" w:rsidRDefault="00EC4DF6" w:rsidP="00914C5E">
            <w:pPr>
              <w:pStyle w:val="TextPI"/>
              <w:keepLines/>
              <w:spacing w:before="100" w:after="100" w:line="240" w:lineRule="auto"/>
              <w:jc w:val="center"/>
              <w:rPr>
                <w:sz w:val="20"/>
                <w:szCs w:val="20"/>
                <w:lang w:val="en-GB" w:eastAsia="en-GB"/>
              </w:rPr>
            </w:pPr>
          </w:p>
        </w:tc>
        <w:tc>
          <w:tcPr>
            <w:tcW w:w="1478" w:type="dxa"/>
            <w:tcBorders>
              <w:top w:val="nil"/>
              <w:left w:val="nil"/>
              <w:bottom w:val="single" w:sz="4" w:space="0" w:color="auto"/>
              <w:right w:val="single" w:sz="4" w:space="0" w:color="auto"/>
            </w:tcBorders>
            <w:shd w:val="clear" w:color="auto" w:fill="auto"/>
            <w:vAlign w:val="bottom"/>
          </w:tcPr>
          <w:p w14:paraId="4519D5A7" w14:textId="77777777" w:rsidR="00EC4DF6" w:rsidRPr="002E39AC" w:rsidRDefault="00EC4DF6" w:rsidP="00914C5E">
            <w:pPr>
              <w:pStyle w:val="TextPI"/>
              <w:keepLines/>
              <w:spacing w:before="100" w:after="100" w:line="240" w:lineRule="auto"/>
              <w:jc w:val="center"/>
              <w:rPr>
                <w:sz w:val="20"/>
                <w:szCs w:val="20"/>
                <w:lang w:val="en-GB" w:eastAsia="en-GB"/>
              </w:rPr>
            </w:pPr>
            <w:r w:rsidRPr="002E39AC">
              <w:rPr>
                <w:sz w:val="20"/>
                <w:szCs w:val="20"/>
                <w:lang w:val="en-GB" w:eastAsia="en-GB"/>
              </w:rPr>
              <w:t>&lt;0.0001</w:t>
            </w:r>
          </w:p>
        </w:tc>
      </w:tr>
    </w:tbl>
    <w:p w14:paraId="53F13DD0" w14:textId="77777777" w:rsidR="00EC4DF6" w:rsidRPr="002E39AC" w:rsidRDefault="00EC4DF6" w:rsidP="00C72070">
      <w:pPr>
        <w:pStyle w:val="TextPI"/>
        <w:keepLines/>
        <w:rPr>
          <w:sz w:val="20"/>
          <w:szCs w:val="20"/>
          <w:lang w:val="en-GB" w:eastAsia="en-GB"/>
        </w:rPr>
      </w:pPr>
      <w:r w:rsidRPr="002E39AC">
        <w:rPr>
          <w:sz w:val="20"/>
          <w:szCs w:val="20"/>
          <w:vertAlign w:val="superscript"/>
          <w:lang w:val="en-GB" w:eastAsia="en-GB"/>
        </w:rPr>
        <w:t>1</w:t>
      </w:r>
      <w:r w:rsidRPr="002E39AC">
        <w:rPr>
          <w:sz w:val="20"/>
          <w:szCs w:val="20"/>
          <w:lang w:val="en-GB" w:eastAsia="en-GB"/>
        </w:rPr>
        <w:t xml:space="preserve"> Estimated based on a random coefficient regression model. </w:t>
      </w:r>
    </w:p>
    <w:p w14:paraId="1A9B4A3D" w14:textId="443C6C74" w:rsidR="00823120" w:rsidRDefault="00EC4DF6" w:rsidP="00C72070">
      <w:pPr>
        <w:pStyle w:val="TextPI"/>
        <w:keepNext/>
        <w:keepLines/>
        <w:rPr>
          <w:lang w:val="en-GB" w:eastAsia="en-GB"/>
        </w:rPr>
      </w:pPr>
      <w:r w:rsidRPr="002E39AC">
        <w:rPr>
          <w:lang w:val="en-GB" w:eastAsia="en-GB"/>
        </w:rPr>
        <w:lastRenderedPageBreak/>
        <w:t xml:space="preserve">The robustness of the effect of </w:t>
      </w:r>
      <w:r w:rsidR="00823120">
        <w:rPr>
          <w:lang w:val="en-GB" w:eastAsia="en-GB"/>
        </w:rPr>
        <w:t>OFEV</w:t>
      </w:r>
      <w:r w:rsidR="00823120" w:rsidRPr="002E39AC">
        <w:rPr>
          <w:lang w:val="en-GB" w:eastAsia="en-GB"/>
        </w:rPr>
        <w:t xml:space="preserve"> </w:t>
      </w:r>
      <w:r w:rsidRPr="002E39AC">
        <w:rPr>
          <w:lang w:val="en-GB" w:eastAsia="en-GB"/>
        </w:rPr>
        <w:t xml:space="preserve">in reducing the annual rate of decline in FVC was confirmed in all pre-specified sensitivity analyses. </w:t>
      </w:r>
    </w:p>
    <w:p w14:paraId="68DD42C8" w14:textId="5D19852A" w:rsidR="00EC4DF6" w:rsidRDefault="00EC4DF6" w:rsidP="00C72070">
      <w:pPr>
        <w:pStyle w:val="TextPI"/>
        <w:keepNext/>
        <w:keepLines/>
        <w:rPr>
          <w:lang w:val="en-GB" w:eastAsia="en-GB"/>
        </w:rPr>
      </w:pPr>
      <w:r w:rsidRPr="002E39AC">
        <w:rPr>
          <w:lang w:val="en-GB" w:eastAsia="en-GB"/>
        </w:rPr>
        <w:t xml:space="preserve">In addition, similar effects were observed on other lung function endpoints e.g. change from baseline in FVC at week 52 and FVC responder analyses providing further substantiation of the effects of </w:t>
      </w:r>
      <w:r w:rsidR="00823120">
        <w:rPr>
          <w:lang w:val="en-GB" w:eastAsia="en-GB"/>
        </w:rPr>
        <w:t>OFEV</w:t>
      </w:r>
      <w:r w:rsidR="00823120" w:rsidRPr="002E39AC">
        <w:rPr>
          <w:lang w:val="en-GB" w:eastAsia="en-GB"/>
        </w:rPr>
        <w:t xml:space="preserve"> </w:t>
      </w:r>
      <w:r w:rsidRPr="002E39AC">
        <w:rPr>
          <w:lang w:val="en-GB" w:eastAsia="en-GB"/>
        </w:rPr>
        <w:t>on slowing disease progression. See Figure 2 for the evolution of change from baseline over time in both treatment groups, based on the pooled analysis of studies</w:t>
      </w:r>
      <w:r>
        <w:rPr>
          <w:lang w:val="en-GB" w:eastAsia="en-GB"/>
        </w:rPr>
        <w:t xml:space="preserve"> (</w:t>
      </w:r>
      <w:r w:rsidRPr="002E39AC">
        <w:rPr>
          <w:lang w:val="en-GB" w:eastAsia="en-GB"/>
        </w:rPr>
        <w:t>INPULSIS-1 and INPULSIS</w:t>
      </w:r>
      <w:r>
        <w:rPr>
          <w:lang w:val="en-GB" w:eastAsia="en-GB"/>
        </w:rPr>
        <w:noBreakHyphen/>
      </w:r>
      <w:r w:rsidRPr="002E39AC">
        <w:rPr>
          <w:lang w:val="en-GB" w:eastAsia="en-GB"/>
        </w:rPr>
        <w:t>2</w:t>
      </w:r>
      <w:r>
        <w:rPr>
          <w:lang w:val="en-GB" w:eastAsia="en-GB"/>
        </w:rPr>
        <w:t>)</w:t>
      </w:r>
      <w:r w:rsidRPr="002E39AC">
        <w:rPr>
          <w:lang w:val="en-GB" w:eastAsia="en-GB"/>
        </w:rPr>
        <w:t>.</w:t>
      </w:r>
    </w:p>
    <w:p w14:paraId="0B57D3EB" w14:textId="77777777" w:rsidR="00EC4DF6" w:rsidRPr="000E6EB5" w:rsidRDefault="00EC4DF6" w:rsidP="00EC4DF6">
      <w:pPr>
        <w:pStyle w:val="TextPI"/>
        <w:rPr>
          <w:lang w:val="en-GB" w:eastAsia="en-GB"/>
        </w:rPr>
      </w:pPr>
    </w:p>
    <w:p w14:paraId="43698901" w14:textId="77777777" w:rsidR="00EC4DF6" w:rsidRPr="00F7090C" w:rsidRDefault="00EC4DF6" w:rsidP="00EC4DF6">
      <w:pPr>
        <w:pStyle w:val="TextPI"/>
        <w:tabs>
          <w:tab w:val="left" w:pos="1134"/>
        </w:tabs>
        <w:ind w:left="1122" w:hanging="1122"/>
        <w:rPr>
          <w:b/>
          <w:sz w:val="20"/>
          <w:szCs w:val="20"/>
          <w:lang w:val="en-GB"/>
        </w:rPr>
      </w:pPr>
      <w:r w:rsidRPr="00F7090C">
        <w:rPr>
          <w:b/>
          <w:sz w:val="20"/>
          <w:szCs w:val="20"/>
          <w:lang w:val="en-GB"/>
        </w:rPr>
        <w:t xml:space="preserve">Figure 2: </w:t>
      </w:r>
      <w:r w:rsidRPr="00F7090C">
        <w:rPr>
          <w:b/>
          <w:sz w:val="20"/>
          <w:szCs w:val="20"/>
          <w:lang w:val="en-GB"/>
        </w:rPr>
        <w:tab/>
        <w:t>Mean (SEM) observed FVC change from baseline (mL) over time, studies INPULSIS-1 and INPULSIS-2 pooled</w:t>
      </w:r>
    </w:p>
    <w:p w14:paraId="42B9D2C4" w14:textId="77777777" w:rsidR="00EC4DF6" w:rsidRDefault="00EC4DF6" w:rsidP="00EC4DF6">
      <w:pPr>
        <w:rPr>
          <w:rFonts w:ascii="Arial" w:hAnsi="Arial"/>
          <w:sz w:val="20"/>
          <w:lang w:val="en-GB" w:eastAsia="en-GB"/>
        </w:rPr>
      </w:pPr>
      <w:r w:rsidRPr="003F172B">
        <w:rPr>
          <w:color w:val="FF0000"/>
        </w:rPr>
        <w:object w:dxaOrig="14700" w:dyaOrig="8295" w14:anchorId="5D76C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59.5pt" o:ole="">
            <v:imagedata r:id="rId13" o:title=""/>
          </v:shape>
          <o:OLEObject Type="Embed" ProgID="PBrush" ShapeID="_x0000_i1025" DrawAspect="Content" ObjectID="_1677506765" r:id="rId14"/>
        </w:object>
      </w:r>
    </w:p>
    <w:p w14:paraId="6DD77627" w14:textId="77777777" w:rsidR="00EC4DF6" w:rsidRDefault="00EC4DF6" w:rsidP="00EC4DF6">
      <w:pPr>
        <w:rPr>
          <w:rFonts w:ascii="Arial" w:hAnsi="Arial"/>
          <w:sz w:val="20"/>
          <w:lang w:val="en-GB" w:eastAsia="en-GB"/>
        </w:rPr>
      </w:pPr>
      <w:r w:rsidRPr="000E6EB5">
        <w:rPr>
          <w:rFonts w:ascii="Arial" w:hAnsi="Arial"/>
          <w:sz w:val="20"/>
          <w:lang w:val="en-GB" w:eastAsia="en-GB"/>
        </w:rPr>
        <w:t>bid = twice daily</w:t>
      </w:r>
    </w:p>
    <w:p w14:paraId="7DDCA4E9" w14:textId="77777777" w:rsidR="00EC4DF6" w:rsidRPr="000E6EB5" w:rsidRDefault="00EC4DF6" w:rsidP="000F322D">
      <w:pPr>
        <w:spacing w:after="180"/>
        <w:rPr>
          <w:lang w:val="en-GB" w:eastAsia="en-GB"/>
        </w:rPr>
      </w:pPr>
      <w:r>
        <w:rPr>
          <w:rFonts w:ascii="Arial" w:hAnsi="Arial"/>
          <w:sz w:val="20"/>
          <w:lang w:val="en-GB" w:eastAsia="en-GB"/>
        </w:rPr>
        <w:t>SEM = standard error of the mean</w:t>
      </w:r>
    </w:p>
    <w:p w14:paraId="288E8004" w14:textId="77777777" w:rsidR="00EC4DF6" w:rsidRDefault="00EC4DF6" w:rsidP="00EC4DF6">
      <w:pPr>
        <w:spacing w:after="60"/>
        <w:jc w:val="both"/>
        <w:rPr>
          <w:rFonts w:ascii="Arial" w:hAnsi="Arial"/>
          <w:sz w:val="22"/>
          <w:szCs w:val="22"/>
          <w:u w:val="single"/>
          <w:lang w:val="en-GB" w:eastAsia="en-GB"/>
        </w:rPr>
      </w:pPr>
      <w:r w:rsidRPr="00C3419E">
        <w:rPr>
          <w:rFonts w:ascii="Arial" w:hAnsi="Arial"/>
          <w:sz w:val="22"/>
          <w:szCs w:val="22"/>
          <w:u w:val="single"/>
          <w:lang w:val="en-GB" w:eastAsia="en-GB"/>
        </w:rPr>
        <w:t>FVC responder analysis</w:t>
      </w:r>
    </w:p>
    <w:p w14:paraId="7DD1E414" w14:textId="3F06C0CF" w:rsidR="00EC4DF6" w:rsidRDefault="00EC4DF6" w:rsidP="00EC4DF6">
      <w:pPr>
        <w:spacing w:before="120"/>
        <w:jc w:val="both"/>
        <w:rPr>
          <w:rFonts w:ascii="Arial" w:hAnsi="Arial"/>
          <w:sz w:val="22"/>
          <w:szCs w:val="22"/>
          <w:lang w:val="en-GB" w:eastAsia="en-GB"/>
        </w:rPr>
      </w:pPr>
      <w:r w:rsidRPr="00C3419E">
        <w:rPr>
          <w:rFonts w:ascii="Arial" w:hAnsi="Arial"/>
          <w:sz w:val="22"/>
          <w:szCs w:val="22"/>
          <w:lang w:val="en-GB" w:eastAsia="en-GB"/>
        </w:rPr>
        <w:t xml:space="preserve">In both INPULSIS trials, the proportion of FVC responders, defined as patients with an absolute decline in FVC % predicted no greater than 5% (a threshold indicative of the increasing risk of mortality in IPF), was significantly higher in the </w:t>
      </w:r>
      <w:r w:rsidR="006B4441">
        <w:rPr>
          <w:rFonts w:ascii="Arial" w:hAnsi="Arial"/>
          <w:sz w:val="22"/>
          <w:szCs w:val="22"/>
          <w:lang w:val="en-GB" w:eastAsia="en-GB"/>
        </w:rPr>
        <w:t>OFEV</w:t>
      </w:r>
      <w:r w:rsidR="006B4441" w:rsidRPr="00C3419E">
        <w:rPr>
          <w:rFonts w:ascii="Arial" w:hAnsi="Arial"/>
          <w:sz w:val="22"/>
          <w:szCs w:val="22"/>
          <w:lang w:val="en-GB" w:eastAsia="en-GB"/>
        </w:rPr>
        <w:t xml:space="preserve"> </w:t>
      </w:r>
      <w:r w:rsidRPr="00C3419E">
        <w:rPr>
          <w:rFonts w:ascii="Arial" w:hAnsi="Arial"/>
          <w:sz w:val="22"/>
          <w:szCs w:val="22"/>
          <w:lang w:val="en-GB" w:eastAsia="en-GB"/>
        </w:rPr>
        <w:t xml:space="preserve">group as compared to placebo. Similar results were observed in analyses using a conservative threshold of 10%. See Table </w:t>
      </w:r>
      <w:r w:rsidR="00B04D56">
        <w:rPr>
          <w:rFonts w:ascii="Arial" w:hAnsi="Arial"/>
          <w:sz w:val="22"/>
          <w:szCs w:val="22"/>
          <w:lang w:val="en-GB" w:eastAsia="en-GB"/>
        </w:rPr>
        <w:t>11</w:t>
      </w:r>
      <w:r w:rsidRPr="00C3419E">
        <w:rPr>
          <w:rFonts w:ascii="Arial" w:hAnsi="Arial"/>
          <w:sz w:val="22"/>
          <w:szCs w:val="22"/>
          <w:lang w:val="en-GB" w:eastAsia="en-GB"/>
        </w:rPr>
        <w:t xml:space="preserve"> for individual and pooled study results.</w:t>
      </w:r>
    </w:p>
    <w:p w14:paraId="2A69FA08" w14:textId="011FAABB" w:rsidR="00EC4DF6" w:rsidRPr="00F7090C" w:rsidRDefault="00EC4DF6" w:rsidP="00146B79">
      <w:pPr>
        <w:pStyle w:val="TextPI"/>
        <w:keepNext/>
        <w:keepLines/>
        <w:tabs>
          <w:tab w:val="left" w:pos="1134"/>
        </w:tabs>
        <w:ind w:left="1122" w:hanging="1122"/>
        <w:rPr>
          <w:b/>
          <w:sz w:val="20"/>
          <w:szCs w:val="20"/>
          <w:lang w:val="en-GB"/>
        </w:rPr>
      </w:pPr>
      <w:r w:rsidRPr="00F7090C">
        <w:rPr>
          <w:b/>
          <w:sz w:val="20"/>
          <w:szCs w:val="20"/>
          <w:lang w:val="en-GB"/>
        </w:rPr>
        <w:lastRenderedPageBreak/>
        <w:t xml:space="preserve">Table </w:t>
      </w:r>
      <w:r w:rsidR="00B04D56">
        <w:rPr>
          <w:b/>
          <w:sz w:val="20"/>
          <w:szCs w:val="20"/>
          <w:lang w:val="en-GB"/>
        </w:rPr>
        <w:t>11</w:t>
      </w:r>
      <w:r w:rsidRPr="00F7090C">
        <w:rPr>
          <w:b/>
          <w:sz w:val="20"/>
          <w:szCs w:val="20"/>
          <w:lang w:val="en-GB"/>
        </w:rPr>
        <w:t xml:space="preserve">: </w:t>
      </w:r>
      <w:r w:rsidRPr="00F7090C">
        <w:rPr>
          <w:b/>
          <w:sz w:val="20"/>
          <w:szCs w:val="20"/>
          <w:lang w:val="en-GB"/>
        </w:rPr>
        <w:tab/>
        <w:t>Proportion of FVC responders at 52 weeks in trials INPULSIS-1, INPULSIS-2 and their pooled data - treated set</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1491"/>
        <w:gridCol w:w="1085"/>
        <w:gridCol w:w="1472"/>
        <w:gridCol w:w="1204"/>
        <w:gridCol w:w="1472"/>
        <w:gridCol w:w="1203"/>
        <w:gridCol w:w="1375"/>
      </w:tblGrid>
      <w:tr w:rsidR="00EC4DF6" w:rsidRPr="000E6EB5" w14:paraId="503FD8B1" w14:textId="77777777" w:rsidTr="006E09EC">
        <w:trPr>
          <w:jc w:val="center"/>
        </w:trPr>
        <w:tc>
          <w:tcPr>
            <w:tcW w:w="1491" w:type="dxa"/>
            <w:tcBorders>
              <w:top w:val="single" w:sz="4" w:space="0" w:color="auto"/>
              <w:left w:val="single" w:sz="4" w:space="0" w:color="auto"/>
              <w:bottom w:val="single" w:sz="4" w:space="0" w:color="auto"/>
              <w:right w:val="nil"/>
            </w:tcBorders>
            <w:shd w:val="clear" w:color="auto" w:fill="auto"/>
          </w:tcPr>
          <w:p w14:paraId="3EA9DAD9"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2557" w:type="dxa"/>
            <w:gridSpan w:val="2"/>
            <w:tcBorders>
              <w:top w:val="single" w:sz="4" w:space="0" w:color="auto"/>
              <w:left w:val="nil"/>
              <w:bottom w:val="single" w:sz="4" w:space="0" w:color="auto"/>
              <w:right w:val="single" w:sz="4" w:space="0" w:color="auto"/>
            </w:tcBorders>
            <w:shd w:val="clear" w:color="auto" w:fill="auto"/>
            <w:vAlign w:val="bottom"/>
          </w:tcPr>
          <w:p w14:paraId="153D9DC9"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INPULSIS-1</w:t>
            </w:r>
          </w:p>
        </w:tc>
        <w:tc>
          <w:tcPr>
            <w:tcW w:w="2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DAF185"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INPULSIS-2</w:t>
            </w:r>
          </w:p>
        </w:tc>
        <w:tc>
          <w:tcPr>
            <w:tcW w:w="25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7082CA"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INPULSIS-1 and INPULSIS-2</w:t>
            </w:r>
          </w:p>
          <w:p w14:paraId="68564271"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pooled</w:t>
            </w:r>
          </w:p>
        </w:tc>
      </w:tr>
      <w:tr w:rsidR="00EC4DF6" w:rsidRPr="000E6EB5" w14:paraId="44E46548" w14:textId="77777777" w:rsidTr="006E09EC">
        <w:trPr>
          <w:jc w:val="center"/>
        </w:trPr>
        <w:tc>
          <w:tcPr>
            <w:tcW w:w="1491" w:type="dxa"/>
            <w:tcBorders>
              <w:top w:val="single" w:sz="4" w:space="0" w:color="auto"/>
              <w:left w:val="single" w:sz="4" w:space="0" w:color="auto"/>
              <w:bottom w:val="single" w:sz="4" w:space="0" w:color="auto"/>
              <w:right w:val="nil"/>
            </w:tcBorders>
            <w:shd w:val="clear" w:color="auto" w:fill="auto"/>
          </w:tcPr>
          <w:p w14:paraId="3C68F0DE"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085" w:type="dxa"/>
            <w:tcBorders>
              <w:top w:val="single" w:sz="4" w:space="0" w:color="auto"/>
              <w:left w:val="nil"/>
              <w:bottom w:val="single" w:sz="4" w:space="0" w:color="auto"/>
              <w:right w:val="nil"/>
            </w:tcBorders>
            <w:shd w:val="clear" w:color="auto" w:fill="auto"/>
          </w:tcPr>
          <w:p w14:paraId="20ED4413"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Placebo</w:t>
            </w:r>
          </w:p>
        </w:tc>
        <w:tc>
          <w:tcPr>
            <w:tcW w:w="1472" w:type="dxa"/>
            <w:tcBorders>
              <w:top w:val="single" w:sz="4" w:space="0" w:color="auto"/>
              <w:left w:val="nil"/>
              <w:bottom w:val="single" w:sz="4" w:space="0" w:color="auto"/>
              <w:right w:val="nil"/>
            </w:tcBorders>
            <w:shd w:val="clear" w:color="auto" w:fill="auto"/>
          </w:tcPr>
          <w:p w14:paraId="4959550F" w14:textId="77777777" w:rsidR="00EC4DF6" w:rsidRPr="000E6EB5" w:rsidRDefault="00EC4DF6" w:rsidP="00146B79">
            <w:pPr>
              <w:pStyle w:val="TextPI"/>
              <w:keepNext/>
              <w:keepLines/>
              <w:jc w:val="center"/>
              <w:rPr>
                <w:sz w:val="20"/>
                <w:szCs w:val="20"/>
                <w:lang w:val="en-GB" w:eastAsia="en-GB"/>
              </w:rPr>
            </w:pPr>
            <w:r>
              <w:rPr>
                <w:sz w:val="20"/>
                <w:szCs w:val="20"/>
                <w:lang w:val="en-GB" w:eastAsia="en-GB"/>
              </w:rPr>
              <w:t>OFEV</w:t>
            </w:r>
            <w:r w:rsidRPr="000E6EB5">
              <w:rPr>
                <w:sz w:val="20"/>
                <w:szCs w:val="20"/>
                <w:lang w:val="en-GB" w:eastAsia="en-GB"/>
              </w:rPr>
              <w:t xml:space="preserve"> 150</w:t>
            </w:r>
            <w:r>
              <w:rPr>
                <w:sz w:val="20"/>
                <w:szCs w:val="20"/>
                <w:lang w:val="en-GB" w:eastAsia="en-GB"/>
              </w:rPr>
              <w:t> </w:t>
            </w:r>
            <w:r w:rsidRPr="000E6EB5">
              <w:rPr>
                <w:sz w:val="20"/>
                <w:szCs w:val="20"/>
                <w:lang w:val="en-GB" w:eastAsia="en-GB"/>
              </w:rPr>
              <w:t>mg twice daily</w:t>
            </w:r>
          </w:p>
        </w:tc>
        <w:tc>
          <w:tcPr>
            <w:tcW w:w="1204" w:type="dxa"/>
            <w:tcBorders>
              <w:top w:val="single" w:sz="4" w:space="0" w:color="auto"/>
              <w:left w:val="single" w:sz="4" w:space="0" w:color="auto"/>
              <w:bottom w:val="single" w:sz="4" w:space="0" w:color="auto"/>
              <w:right w:val="nil"/>
            </w:tcBorders>
            <w:shd w:val="clear" w:color="auto" w:fill="auto"/>
          </w:tcPr>
          <w:p w14:paraId="0320F738"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Placebo</w:t>
            </w:r>
          </w:p>
        </w:tc>
        <w:tc>
          <w:tcPr>
            <w:tcW w:w="1472" w:type="dxa"/>
            <w:tcBorders>
              <w:top w:val="single" w:sz="4" w:space="0" w:color="auto"/>
              <w:left w:val="nil"/>
              <w:bottom w:val="single" w:sz="4" w:space="0" w:color="auto"/>
              <w:right w:val="single" w:sz="4" w:space="0" w:color="auto"/>
            </w:tcBorders>
            <w:shd w:val="clear" w:color="auto" w:fill="auto"/>
          </w:tcPr>
          <w:p w14:paraId="22B8DFDC" w14:textId="77777777" w:rsidR="00EC4DF6" w:rsidRPr="000E6EB5" w:rsidRDefault="00EC4DF6" w:rsidP="00146B79">
            <w:pPr>
              <w:pStyle w:val="TextPI"/>
              <w:keepNext/>
              <w:keepLines/>
              <w:jc w:val="center"/>
              <w:rPr>
                <w:sz w:val="20"/>
                <w:szCs w:val="20"/>
                <w:lang w:val="en-GB" w:eastAsia="en-GB"/>
              </w:rPr>
            </w:pPr>
            <w:r>
              <w:rPr>
                <w:sz w:val="20"/>
                <w:szCs w:val="20"/>
                <w:lang w:val="en-GB" w:eastAsia="en-GB"/>
              </w:rPr>
              <w:t>OFEV</w:t>
            </w:r>
            <w:r w:rsidRPr="000E6EB5">
              <w:rPr>
                <w:sz w:val="20"/>
                <w:szCs w:val="20"/>
                <w:lang w:val="en-GB" w:eastAsia="en-GB"/>
              </w:rPr>
              <w:t xml:space="preserve"> 150</w:t>
            </w:r>
            <w:r>
              <w:rPr>
                <w:sz w:val="20"/>
                <w:szCs w:val="20"/>
                <w:lang w:val="en-GB" w:eastAsia="en-GB"/>
              </w:rPr>
              <w:t> </w:t>
            </w:r>
            <w:r w:rsidRPr="000E6EB5">
              <w:rPr>
                <w:sz w:val="20"/>
                <w:szCs w:val="20"/>
                <w:lang w:val="en-GB" w:eastAsia="en-GB"/>
              </w:rPr>
              <w:t>mg twice daily</w:t>
            </w:r>
          </w:p>
        </w:tc>
        <w:tc>
          <w:tcPr>
            <w:tcW w:w="1203" w:type="dxa"/>
            <w:tcBorders>
              <w:top w:val="single" w:sz="4" w:space="0" w:color="auto"/>
              <w:left w:val="single" w:sz="4" w:space="0" w:color="auto"/>
              <w:bottom w:val="single" w:sz="4" w:space="0" w:color="auto"/>
              <w:right w:val="nil"/>
            </w:tcBorders>
            <w:shd w:val="clear" w:color="auto" w:fill="auto"/>
          </w:tcPr>
          <w:p w14:paraId="2970BD76"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Placebo</w:t>
            </w:r>
          </w:p>
        </w:tc>
        <w:tc>
          <w:tcPr>
            <w:tcW w:w="1375" w:type="dxa"/>
            <w:tcBorders>
              <w:top w:val="single" w:sz="4" w:space="0" w:color="auto"/>
              <w:left w:val="nil"/>
              <w:bottom w:val="single" w:sz="4" w:space="0" w:color="auto"/>
              <w:right w:val="single" w:sz="4" w:space="0" w:color="auto"/>
            </w:tcBorders>
            <w:shd w:val="clear" w:color="auto" w:fill="auto"/>
          </w:tcPr>
          <w:p w14:paraId="65212DBC" w14:textId="77777777" w:rsidR="00EC4DF6" w:rsidRPr="000E6EB5" w:rsidRDefault="00EC4DF6" w:rsidP="00146B79">
            <w:pPr>
              <w:pStyle w:val="TextPI"/>
              <w:keepNext/>
              <w:keepLines/>
              <w:jc w:val="center"/>
              <w:rPr>
                <w:sz w:val="20"/>
                <w:szCs w:val="20"/>
                <w:lang w:val="en-GB" w:eastAsia="en-GB"/>
              </w:rPr>
            </w:pPr>
            <w:r>
              <w:rPr>
                <w:sz w:val="20"/>
                <w:szCs w:val="20"/>
                <w:lang w:val="en-GB" w:eastAsia="en-GB"/>
              </w:rPr>
              <w:t>OFEV</w:t>
            </w:r>
            <w:r w:rsidRPr="000E6EB5">
              <w:rPr>
                <w:sz w:val="20"/>
                <w:szCs w:val="20"/>
                <w:lang w:val="en-GB" w:eastAsia="en-GB"/>
              </w:rPr>
              <w:t xml:space="preserve"> 150</w:t>
            </w:r>
            <w:r>
              <w:rPr>
                <w:sz w:val="20"/>
                <w:szCs w:val="20"/>
                <w:lang w:val="en-GB" w:eastAsia="en-GB"/>
              </w:rPr>
              <w:t> </w:t>
            </w:r>
            <w:r w:rsidRPr="000E6EB5">
              <w:rPr>
                <w:sz w:val="20"/>
                <w:szCs w:val="20"/>
                <w:lang w:val="en-GB" w:eastAsia="en-GB"/>
              </w:rPr>
              <w:t>mg twice daily</w:t>
            </w:r>
          </w:p>
        </w:tc>
      </w:tr>
      <w:tr w:rsidR="00EC4DF6" w:rsidRPr="000E6EB5" w14:paraId="0FDCBCDC" w14:textId="77777777" w:rsidTr="006E09EC">
        <w:trPr>
          <w:jc w:val="center"/>
        </w:trPr>
        <w:tc>
          <w:tcPr>
            <w:tcW w:w="1491" w:type="dxa"/>
            <w:tcBorders>
              <w:top w:val="nil"/>
              <w:left w:val="single" w:sz="4" w:space="0" w:color="auto"/>
              <w:bottom w:val="nil"/>
              <w:right w:val="nil"/>
            </w:tcBorders>
            <w:shd w:val="clear" w:color="auto" w:fill="auto"/>
          </w:tcPr>
          <w:p w14:paraId="090E48C9"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Number of analysed patients</w:t>
            </w:r>
          </w:p>
        </w:tc>
        <w:tc>
          <w:tcPr>
            <w:tcW w:w="1085" w:type="dxa"/>
            <w:tcBorders>
              <w:top w:val="nil"/>
              <w:left w:val="nil"/>
              <w:bottom w:val="nil"/>
              <w:right w:val="nil"/>
            </w:tcBorders>
            <w:shd w:val="clear" w:color="auto" w:fill="auto"/>
            <w:vAlign w:val="bottom"/>
          </w:tcPr>
          <w:p w14:paraId="040B0165"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204</w:t>
            </w:r>
          </w:p>
        </w:tc>
        <w:tc>
          <w:tcPr>
            <w:tcW w:w="1472" w:type="dxa"/>
            <w:tcBorders>
              <w:top w:val="nil"/>
              <w:left w:val="nil"/>
              <w:bottom w:val="nil"/>
              <w:right w:val="nil"/>
            </w:tcBorders>
            <w:shd w:val="clear" w:color="auto" w:fill="auto"/>
            <w:vAlign w:val="bottom"/>
          </w:tcPr>
          <w:p w14:paraId="35411FE9"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309</w:t>
            </w:r>
          </w:p>
        </w:tc>
        <w:tc>
          <w:tcPr>
            <w:tcW w:w="1204" w:type="dxa"/>
            <w:tcBorders>
              <w:top w:val="nil"/>
              <w:left w:val="single" w:sz="4" w:space="0" w:color="auto"/>
              <w:bottom w:val="nil"/>
              <w:right w:val="nil"/>
            </w:tcBorders>
            <w:shd w:val="clear" w:color="auto" w:fill="auto"/>
            <w:vAlign w:val="bottom"/>
          </w:tcPr>
          <w:p w14:paraId="1E720B88"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219</w:t>
            </w:r>
          </w:p>
        </w:tc>
        <w:tc>
          <w:tcPr>
            <w:tcW w:w="1472" w:type="dxa"/>
            <w:tcBorders>
              <w:top w:val="nil"/>
              <w:left w:val="nil"/>
              <w:bottom w:val="nil"/>
              <w:right w:val="single" w:sz="4" w:space="0" w:color="auto"/>
            </w:tcBorders>
            <w:shd w:val="clear" w:color="auto" w:fill="auto"/>
            <w:vAlign w:val="bottom"/>
          </w:tcPr>
          <w:p w14:paraId="18312ABD"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329</w:t>
            </w:r>
          </w:p>
        </w:tc>
        <w:tc>
          <w:tcPr>
            <w:tcW w:w="1203" w:type="dxa"/>
            <w:tcBorders>
              <w:top w:val="nil"/>
              <w:left w:val="single" w:sz="4" w:space="0" w:color="auto"/>
              <w:bottom w:val="nil"/>
              <w:right w:val="nil"/>
            </w:tcBorders>
            <w:shd w:val="clear" w:color="auto" w:fill="auto"/>
            <w:vAlign w:val="bottom"/>
          </w:tcPr>
          <w:p w14:paraId="31414F55"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423</w:t>
            </w:r>
          </w:p>
        </w:tc>
        <w:tc>
          <w:tcPr>
            <w:tcW w:w="1375" w:type="dxa"/>
            <w:tcBorders>
              <w:top w:val="nil"/>
              <w:left w:val="nil"/>
              <w:bottom w:val="nil"/>
              <w:right w:val="single" w:sz="4" w:space="0" w:color="auto"/>
            </w:tcBorders>
            <w:shd w:val="clear" w:color="auto" w:fill="auto"/>
            <w:vAlign w:val="bottom"/>
          </w:tcPr>
          <w:p w14:paraId="318D2BF9"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638</w:t>
            </w:r>
          </w:p>
        </w:tc>
      </w:tr>
      <w:tr w:rsidR="00EC4DF6" w:rsidRPr="000E6EB5" w14:paraId="5D476D4B" w14:textId="77777777" w:rsidTr="006E09EC">
        <w:trPr>
          <w:trHeight w:val="117"/>
          <w:jc w:val="center"/>
        </w:trPr>
        <w:tc>
          <w:tcPr>
            <w:tcW w:w="2576" w:type="dxa"/>
            <w:gridSpan w:val="2"/>
            <w:tcBorders>
              <w:top w:val="nil"/>
              <w:left w:val="single" w:sz="4" w:space="0" w:color="auto"/>
              <w:bottom w:val="nil"/>
              <w:right w:val="nil"/>
            </w:tcBorders>
            <w:shd w:val="clear" w:color="auto" w:fill="auto"/>
          </w:tcPr>
          <w:p w14:paraId="22460FC0" w14:textId="77777777" w:rsidR="00EC4DF6" w:rsidRPr="000E6EB5" w:rsidRDefault="00EC4DF6" w:rsidP="00146B79">
            <w:pPr>
              <w:keepNext/>
              <w:keepLines/>
              <w:autoSpaceDE w:val="0"/>
              <w:autoSpaceDN w:val="0"/>
              <w:adjustRightInd w:val="0"/>
              <w:rPr>
                <w:rFonts w:ascii="Arial" w:hAnsi="Arial"/>
                <w:b/>
                <w:bCs/>
                <w:sz w:val="20"/>
                <w:lang w:val="en-GB" w:eastAsia="en-GB"/>
              </w:rPr>
            </w:pPr>
            <w:r w:rsidRPr="000E6EB5">
              <w:rPr>
                <w:rFonts w:ascii="Arial" w:hAnsi="Arial"/>
                <w:b/>
                <w:bCs/>
                <w:sz w:val="20"/>
                <w:lang w:val="en-GB" w:eastAsia="en-GB"/>
              </w:rPr>
              <w:t>5% threshold</w:t>
            </w:r>
          </w:p>
        </w:tc>
        <w:tc>
          <w:tcPr>
            <w:tcW w:w="1472" w:type="dxa"/>
            <w:tcBorders>
              <w:top w:val="nil"/>
              <w:left w:val="nil"/>
              <w:bottom w:val="nil"/>
              <w:right w:val="nil"/>
            </w:tcBorders>
            <w:shd w:val="clear" w:color="auto" w:fill="auto"/>
            <w:vAlign w:val="bottom"/>
          </w:tcPr>
          <w:p w14:paraId="74D70BB1"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14:paraId="78E8886C"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0BC6927F"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14:paraId="5BEEBDF8"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70FAB6E5" w14:textId="77777777" w:rsidR="00EC4DF6" w:rsidRPr="000E6EB5" w:rsidRDefault="00EC4DF6" w:rsidP="00146B79">
            <w:pPr>
              <w:keepNext/>
              <w:keepLines/>
              <w:autoSpaceDE w:val="0"/>
              <w:autoSpaceDN w:val="0"/>
              <w:adjustRightInd w:val="0"/>
              <w:rPr>
                <w:rFonts w:ascii="Arial" w:hAnsi="Arial"/>
                <w:sz w:val="20"/>
                <w:lang w:val="en-GB" w:eastAsia="en-GB"/>
              </w:rPr>
            </w:pPr>
          </w:p>
        </w:tc>
      </w:tr>
      <w:tr w:rsidR="00EC4DF6" w:rsidRPr="000E6EB5" w14:paraId="73F8959A" w14:textId="77777777" w:rsidTr="006E09EC">
        <w:trPr>
          <w:trHeight w:val="117"/>
          <w:jc w:val="center"/>
        </w:trPr>
        <w:tc>
          <w:tcPr>
            <w:tcW w:w="1491" w:type="dxa"/>
            <w:tcBorders>
              <w:top w:val="nil"/>
              <w:left w:val="single" w:sz="4" w:space="0" w:color="auto"/>
              <w:bottom w:val="nil"/>
              <w:right w:val="nil"/>
            </w:tcBorders>
            <w:shd w:val="clear" w:color="auto" w:fill="auto"/>
          </w:tcPr>
          <w:p w14:paraId="1838CB10"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Number (%) of FVC responders</w:t>
            </w:r>
            <w:r w:rsidRPr="000E6EB5">
              <w:rPr>
                <w:rFonts w:ascii="Arial" w:hAnsi="Arial"/>
                <w:sz w:val="20"/>
                <w:vertAlign w:val="superscript"/>
                <w:lang w:val="en-GB" w:eastAsia="en-GB"/>
              </w:rPr>
              <w:t>1</w:t>
            </w:r>
          </w:p>
        </w:tc>
        <w:tc>
          <w:tcPr>
            <w:tcW w:w="1085" w:type="dxa"/>
            <w:tcBorders>
              <w:top w:val="nil"/>
              <w:left w:val="nil"/>
              <w:bottom w:val="nil"/>
              <w:right w:val="nil"/>
            </w:tcBorders>
            <w:shd w:val="clear" w:color="auto" w:fill="auto"/>
            <w:vAlign w:val="bottom"/>
          </w:tcPr>
          <w:p w14:paraId="55D2DF1B"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78 (38.2)</w:t>
            </w:r>
          </w:p>
        </w:tc>
        <w:tc>
          <w:tcPr>
            <w:tcW w:w="1472" w:type="dxa"/>
            <w:tcBorders>
              <w:top w:val="nil"/>
              <w:left w:val="nil"/>
              <w:bottom w:val="nil"/>
              <w:right w:val="nil"/>
            </w:tcBorders>
            <w:shd w:val="clear" w:color="auto" w:fill="auto"/>
            <w:vAlign w:val="bottom"/>
          </w:tcPr>
          <w:p w14:paraId="15C5F4CA"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163 (52.8)</w:t>
            </w:r>
          </w:p>
        </w:tc>
        <w:tc>
          <w:tcPr>
            <w:tcW w:w="1204" w:type="dxa"/>
            <w:tcBorders>
              <w:top w:val="nil"/>
              <w:left w:val="single" w:sz="4" w:space="0" w:color="auto"/>
              <w:bottom w:val="nil"/>
              <w:right w:val="nil"/>
            </w:tcBorders>
            <w:shd w:val="clear" w:color="auto" w:fill="auto"/>
            <w:vAlign w:val="bottom"/>
          </w:tcPr>
          <w:p w14:paraId="664CA506"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86 (39.3)</w:t>
            </w:r>
          </w:p>
        </w:tc>
        <w:tc>
          <w:tcPr>
            <w:tcW w:w="1472" w:type="dxa"/>
            <w:tcBorders>
              <w:top w:val="nil"/>
              <w:left w:val="nil"/>
              <w:bottom w:val="nil"/>
              <w:right w:val="single" w:sz="4" w:space="0" w:color="auto"/>
            </w:tcBorders>
            <w:shd w:val="clear" w:color="auto" w:fill="auto"/>
            <w:vAlign w:val="bottom"/>
          </w:tcPr>
          <w:p w14:paraId="2563C78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175 (53.2)</w:t>
            </w:r>
          </w:p>
        </w:tc>
        <w:tc>
          <w:tcPr>
            <w:tcW w:w="1203" w:type="dxa"/>
            <w:tcBorders>
              <w:top w:val="nil"/>
              <w:left w:val="single" w:sz="4" w:space="0" w:color="auto"/>
              <w:bottom w:val="nil"/>
              <w:right w:val="nil"/>
            </w:tcBorders>
            <w:shd w:val="clear" w:color="auto" w:fill="auto"/>
            <w:vAlign w:val="bottom"/>
          </w:tcPr>
          <w:p w14:paraId="7FE937B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164 (38.8)</w:t>
            </w:r>
          </w:p>
        </w:tc>
        <w:tc>
          <w:tcPr>
            <w:tcW w:w="1375" w:type="dxa"/>
            <w:tcBorders>
              <w:top w:val="nil"/>
              <w:left w:val="nil"/>
              <w:bottom w:val="nil"/>
              <w:right w:val="single" w:sz="4" w:space="0" w:color="auto"/>
            </w:tcBorders>
            <w:shd w:val="clear" w:color="auto" w:fill="auto"/>
            <w:vAlign w:val="bottom"/>
          </w:tcPr>
          <w:p w14:paraId="310A520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338 (53.0)</w:t>
            </w:r>
          </w:p>
        </w:tc>
      </w:tr>
      <w:tr w:rsidR="00EC4DF6" w:rsidRPr="000E6EB5" w14:paraId="1173A90E" w14:textId="77777777" w:rsidTr="006E09EC">
        <w:trPr>
          <w:jc w:val="center"/>
        </w:trPr>
        <w:tc>
          <w:tcPr>
            <w:tcW w:w="1491" w:type="dxa"/>
            <w:tcBorders>
              <w:top w:val="nil"/>
              <w:left w:val="single" w:sz="4" w:space="0" w:color="auto"/>
              <w:bottom w:val="nil"/>
              <w:right w:val="nil"/>
            </w:tcBorders>
            <w:shd w:val="clear" w:color="auto" w:fill="auto"/>
          </w:tcPr>
          <w:p w14:paraId="2290195A"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 xml:space="preserve">Comparison vs placebo </w:t>
            </w:r>
          </w:p>
        </w:tc>
        <w:tc>
          <w:tcPr>
            <w:tcW w:w="1085" w:type="dxa"/>
            <w:tcBorders>
              <w:top w:val="nil"/>
              <w:left w:val="nil"/>
              <w:bottom w:val="nil"/>
              <w:right w:val="nil"/>
            </w:tcBorders>
            <w:shd w:val="clear" w:color="auto" w:fill="auto"/>
            <w:vAlign w:val="bottom"/>
          </w:tcPr>
          <w:p w14:paraId="0D295476"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nil"/>
            </w:tcBorders>
            <w:shd w:val="clear" w:color="auto" w:fill="auto"/>
            <w:vAlign w:val="bottom"/>
          </w:tcPr>
          <w:p w14:paraId="0599E047"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14:paraId="7B3DBA1D"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0A19DED4"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14:paraId="1D861AE6"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3CC29FA7" w14:textId="77777777" w:rsidR="00EC4DF6" w:rsidRPr="000E6EB5" w:rsidRDefault="00EC4DF6" w:rsidP="00146B79">
            <w:pPr>
              <w:keepNext/>
              <w:keepLines/>
              <w:autoSpaceDE w:val="0"/>
              <w:autoSpaceDN w:val="0"/>
              <w:adjustRightInd w:val="0"/>
              <w:rPr>
                <w:rFonts w:ascii="Arial" w:hAnsi="Arial"/>
                <w:sz w:val="20"/>
                <w:lang w:val="en-GB" w:eastAsia="en-GB"/>
              </w:rPr>
            </w:pPr>
          </w:p>
        </w:tc>
      </w:tr>
      <w:tr w:rsidR="00EC4DF6" w:rsidRPr="000E6EB5" w14:paraId="1AC6B639" w14:textId="77777777" w:rsidTr="006E09EC">
        <w:trPr>
          <w:jc w:val="center"/>
        </w:trPr>
        <w:tc>
          <w:tcPr>
            <w:tcW w:w="1491" w:type="dxa"/>
            <w:tcBorders>
              <w:top w:val="nil"/>
              <w:left w:val="single" w:sz="4" w:space="0" w:color="auto"/>
              <w:bottom w:val="nil"/>
              <w:right w:val="nil"/>
            </w:tcBorders>
            <w:shd w:val="clear" w:color="auto" w:fill="auto"/>
          </w:tcPr>
          <w:p w14:paraId="1D293A55"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 xml:space="preserve">Odds ratio </w:t>
            </w:r>
          </w:p>
        </w:tc>
        <w:tc>
          <w:tcPr>
            <w:tcW w:w="1085" w:type="dxa"/>
            <w:tcBorders>
              <w:top w:val="nil"/>
              <w:left w:val="nil"/>
              <w:bottom w:val="nil"/>
              <w:right w:val="nil"/>
            </w:tcBorders>
            <w:shd w:val="clear" w:color="auto" w:fill="auto"/>
            <w:vAlign w:val="bottom"/>
          </w:tcPr>
          <w:p w14:paraId="51AF83DA"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472" w:type="dxa"/>
            <w:tcBorders>
              <w:top w:val="nil"/>
              <w:left w:val="nil"/>
              <w:bottom w:val="nil"/>
              <w:right w:val="nil"/>
            </w:tcBorders>
            <w:shd w:val="clear" w:color="auto" w:fill="auto"/>
            <w:vAlign w:val="bottom"/>
          </w:tcPr>
          <w:p w14:paraId="55622C25"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1.85</w:t>
            </w:r>
          </w:p>
        </w:tc>
        <w:tc>
          <w:tcPr>
            <w:tcW w:w="1204" w:type="dxa"/>
            <w:tcBorders>
              <w:top w:val="nil"/>
              <w:left w:val="single" w:sz="4" w:space="0" w:color="auto"/>
              <w:bottom w:val="nil"/>
              <w:right w:val="nil"/>
            </w:tcBorders>
            <w:shd w:val="clear" w:color="auto" w:fill="auto"/>
            <w:vAlign w:val="bottom"/>
          </w:tcPr>
          <w:p w14:paraId="32445B23"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0369237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1.79</w:t>
            </w:r>
          </w:p>
        </w:tc>
        <w:tc>
          <w:tcPr>
            <w:tcW w:w="1203" w:type="dxa"/>
            <w:tcBorders>
              <w:top w:val="nil"/>
              <w:left w:val="single" w:sz="4" w:space="0" w:color="auto"/>
              <w:bottom w:val="nil"/>
              <w:right w:val="nil"/>
            </w:tcBorders>
            <w:shd w:val="clear" w:color="auto" w:fill="auto"/>
            <w:vAlign w:val="bottom"/>
          </w:tcPr>
          <w:p w14:paraId="73812B5E"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3D69B161"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1.84</w:t>
            </w:r>
          </w:p>
        </w:tc>
      </w:tr>
      <w:tr w:rsidR="00EC4DF6" w:rsidRPr="000E6EB5" w14:paraId="0F5406DE" w14:textId="77777777" w:rsidTr="006E09EC">
        <w:trPr>
          <w:jc w:val="center"/>
        </w:trPr>
        <w:tc>
          <w:tcPr>
            <w:tcW w:w="1491" w:type="dxa"/>
            <w:tcBorders>
              <w:top w:val="nil"/>
              <w:left w:val="single" w:sz="4" w:space="0" w:color="auto"/>
              <w:bottom w:val="nil"/>
              <w:right w:val="nil"/>
            </w:tcBorders>
            <w:shd w:val="clear" w:color="auto" w:fill="auto"/>
          </w:tcPr>
          <w:p w14:paraId="54497655"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95% CI</w:t>
            </w:r>
          </w:p>
        </w:tc>
        <w:tc>
          <w:tcPr>
            <w:tcW w:w="2557" w:type="dxa"/>
            <w:gridSpan w:val="2"/>
            <w:tcBorders>
              <w:top w:val="nil"/>
              <w:left w:val="nil"/>
              <w:bottom w:val="nil"/>
              <w:right w:val="nil"/>
            </w:tcBorders>
            <w:shd w:val="clear" w:color="auto" w:fill="auto"/>
            <w:vAlign w:val="bottom"/>
          </w:tcPr>
          <w:p w14:paraId="214D7B9D"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(1.28, 2.66)</w:t>
            </w:r>
          </w:p>
        </w:tc>
        <w:tc>
          <w:tcPr>
            <w:tcW w:w="2676" w:type="dxa"/>
            <w:gridSpan w:val="2"/>
            <w:tcBorders>
              <w:top w:val="nil"/>
              <w:left w:val="single" w:sz="4" w:space="0" w:color="auto"/>
              <w:bottom w:val="nil"/>
              <w:right w:val="single" w:sz="4" w:space="0" w:color="auto"/>
            </w:tcBorders>
            <w:shd w:val="clear" w:color="auto" w:fill="auto"/>
            <w:vAlign w:val="bottom"/>
          </w:tcPr>
          <w:p w14:paraId="348BFC9E"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(1.26, 2.55)</w:t>
            </w:r>
          </w:p>
        </w:tc>
        <w:tc>
          <w:tcPr>
            <w:tcW w:w="1203" w:type="dxa"/>
            <w:tcBorders>
              <w:top w:val="nil"/>
              <w:left w:val="single" w:sz="4" w:space="0" w:color="auto"/>
              <w:bottom w:val="nil"/>
              <w:right w:val="nil"/>
            </w:tcBorders>
            <w:shd w:val="clear" w:color="auto" w:fill="auto"/>
            <w:vAlign w:val="bottom"/>
          </w:tcPr>
          <w:p w14:paraId="79671748"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02F515DA"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(1.43, 2.36)</w:t>
            </w:r>
          </w:p>
        </w:tc>
      </w:tr>
      <w:tr w:rsidR="00EC4DF6" w:rsidRPr="000E6EB5" w14:paraId="651C4B9B" w14:textId="77777777" w:rsidTr="006E09EC">
        <w:trPr>
          <w:jc w:val="center"/>
        </w:trPr>
        <w:tc>
          <w:tcPr>
            <w:tcW w:w="1491" w:type="dxa"/>
            <w:tcBorders>
              <w:top w:val="nil"/>
              <w:left w:val="single" w:sz="4" w:space="0" w:color="auto"/>
              <w:bottom w:val="nil"/>
              <w:right w:val="nil"/>
            </w:tcBorders>
            <w:shd w:val="clear" w:color="auto" w:fill="auto"/>
          </w:tcPr>
          <w:p w14:paraId="25982EBF"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p-value</w:t>
            </w:r>
            <w:r w:rsidRPr="000E6EB5">
              <w:rPr>
                <w:rFonts w:ascii="Arial" w:hAnsi="Arial"/>
                <w:sz w:val="20"/>
                <w:vertAlign w:val="superscript"/>
                <w:lang w:val="en-GB" w:eastAsia="en-GB"/>
              </w:rPr>
              <w:t>2</w:t>
            </w:r>
          </w:p>
        </w:tc>
        <w:tc>
          <w:tcPr>
            <w:tcW w:w="1085" w:type="dxa"/>
            <w:tcBorders>
              <w:top w:val="nil"/>
              <w:left w:val="nil"/>
              <w:bottom w:val="nil"/>
              <w:right w:val="nil"/>
            </w:tcBorders>
            <w:shd w:val="clear" w:color="auto" w:fill="auto"/>
            <w:vAlign w:val="bottom"/>
          </w:tcPr>
          <w:p w14:paraId="5A46136D"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472" w:type="dxa"/>
            <w:tcBorders>
              <w:top w:val="nil"/>
              <w:left w:val="nil"/>
              <w:bottom w:val="nil"/>
              <w:right w:val="nil"/>
            </w:tcBorders>
            <w:shd w:val="clear" w:color="auto" w:fill="auto"/>
            <w:vAlign w:val="bottom"/>
          </w:tcPr>
          <w:p w14:paraId="4D6425B9"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0.0010</w:t>
            </w:r>
          </w:p>
        </w:tc>
        <w:tc>
          <w:tcPr>
            <w:tcW w:w="1204" w:type="dxa"/>
            <w:tcBorders>
              <w:top w:val="nil"/>
              <w:left w:val="single" w:sz="4" w:space="0" w:color="auto"/>
              <w:bottom w:val="nil"/>
              <w:right w:val="nil"/>
            </w:tcBorders>
            <w:shd w:val="clear" w:color="auto" w:fill="auto"/>
            <w:vAlign w:val="bottom"/>
          </w:tcPr>
          <w:p w14:paraId="1607FDFB"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4BA73C82"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0.0011</w:t>
            </w:r>
          </w:p>
        </w:tc>
        <w:tc>
          <w:tcPr>
            <w:tcW w:w="1203" w:type="dxa"/>
            <w:tcBorders>
              <w:top w:val="nil"/>
              <w:left w:val="single" w:sz="4" w:space="0" w:color="auto"/>
              <w:bottom w:val="nil"/>
              <w:right w:val="nil"/>
            </w:tcBorders>
            <w:shd w:val="clear" w:color="auto" w:fill="auto"/>
            <w:vAlign w:val="bottom"/>
          </w:tcPr>
          <w:p w14:paraId="69C91526"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623D4F69"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&lt;.0001</w:t>
            </w:r>
          </w:p>
        </w:tc>
      </w:tr>
      <w:tr w:rsidR="00EC4DF6" w:rsidRPr="000E6EB5" w14:paraId="7CEC9262" w14:textId="77777777" w:rsidTr="006E09EC">
        <w:trPr>
          <w:trHeight w:val="117"/>
          <w:jc w:val="center"/>
        </w:trPr>
        <w:tc>
          <w:tcPr>
            <w:tcW w:w="2576" w:type="dxa"/>
            <w:gridSpan w:val="2"/>
            <w:tcBorders>
              <w:top w:val="nil"/>
              <w:left w:val="single" w:sz="4" w:space="0" w:color="auto"/>
              <w:bottom w:val="nil"/>
              <w:right w:val="nil"/>
            </w:tcBorders>
            <w:shd w:val="clear" w:color="auto" w:fill="auto"/>
          </w:tcPr>
          <w:p w14:paraId="098D58B2" w14:textId="77777777" w:rsidR="00EC4DF6" w:rsidRPr="000E6EB5" w:rsidRDefault="00EC4DF6" w:rsidP="00146B79">
            <w:pPr>
              <w:keepNext/>
              <w:keepLines/>
              <w:autoSpaceDE w:val="0"/>
              <w:autoSpaceDN w:val="0"/>
              <w:adjustRightInd w:val="0"/>
              <w:rPr>
                <w:rFonts w:ascii="Arial" w:hAnsi="Arial"/>
                <w:b/>
                <w:bCs/>
                <w:sz w:val="20"/>
                <w:lang w:val="en-GB" w:eastAsia="en-GB"/>
              </w:rPr>
            </w:pPr>
            <w:r w:rsidRPr="000E6EB5">
              <w:rPr>
                <w:rFonts w:ascii="Arial" w:hAnsi="Arial"/>
                <w:b/>
                <w:bCs/>
                <w:sz w:val="20"/>
                <w:lang w:val="en-GB" w:eastAsia="en-GB"/>
              </w:rPr>
              <w:t>10% threshold</w:t>
            </w:r>
          </w:p>
        </w:tc>
        <w:tc>
          <w:tcPr>
            <w:tcW w:w="1472" w:type="dxa"/>
            <w:tcBorders>
              <w:top w:val="nil"/>
              <w:left w:val="nil"/>
              <w:bottom w:val="nil"/>
              <w:right w:val="nil"/>
            </w:tcBorders>
            <w:shd w:val="clear" w:color="auto" w:fill="auto"/>
            <w:vAlign w:val="bottom"/>
          </w:tcPr>
          <w:p w14:paraId="0E9060E9"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14:paraId="53E27F9E"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3346BA59"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14:paraId="3B67BC07"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15A52E44" w14:textId="77777777" w:rsidR="00EC4DF6" w:rsidRPr="000E6EB5" w:rsidRDefault="00EC4DF6" w:rsidP="00146B79">
            <w:pPr>
              <w:keepNext/>
              <w:keepLines/>
              <w:autoSpaceDE w:val="0"/>
              <w:autoSpaceDN w:val="0"/>
              <w:adjustRightInd w:val="0"/>
              <w:rPr>
                <w:rFonts w:ascii="Arial" w:hAnsi="Arial"/>
                <w:sz w:val="20"/>
                <w:lang w:val="en-GB" w:eastAsia="en-GB"/>
              </w:rPr>
            </w:pPr>
          </w:p>
        </w:tc>
      </w:tr>
      <w:tr w:rsidR="00EC4DF6" w:rsidRPr="000E6EB5" w14:paraId="672F3061" w14:textId="77777777" w:rsidTr="006E09EC">
        <w:trPr>
          <w:trHeight w:val="117"/>
          <w:jc w:val="center"/>
        </w:trPr>
        <w:tc>
          <w:tcPr>
            <w:tcW w:w="1491" w:type="dxa"/>
            <w:tcBorders>
              <w:top w:val="nil"/>
              <w:left w:val="single" w:sz="4" w:space="0" w:color="auto"/>
              <w:bottom w:val="nil"/>
              <w:right w:val="nil"/>
            </w:tcBorders>
            <w:shd w:val="clear" w:color="auto" w:fill="auto"/>
          </w:tcPr>
          <w:p w14:paraId="1AB8B5D6"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Number (%) of FVC responders</w:t>
            </w:r>
            <w:r w:rsidRPr="000E6EB5">
              <w:rPr>
                <w:rFonts w:ascii="Arial" w:hAnsi="Arial"/>
                <w:sz w:val="20"/>
                <w:vertAlign w:val="superscript"/>
                <w:lang w:val="en-GB" w:eastAsia="en-GB"/>
              </w:rPr>
              <w:t>1</w:t>
            </w:r>
          </w:p>
        </w:tc>
        <w:tc>
          <w:tcPr>
            <w:tcW w:w="1085" w:type="dxa"/>
            <w:tcBorders>
              <w:top w:val="nil"/>
              <w:left w:val="nil"/>
              <w:bottom w:val="nil"/>
              <w:right w:val="nil"/>
            </w:tcBorders>
            <w:shd w:val="clear" w:color="auto" w:fill="auto"/>
            <w:tcMar>
              <w:left w:w="57" w:type="dxa"/>
              <w:right w:w="57" w:type="dxa"/>
            </w:tcMar>
            <w:vAlign w:val="bottom"/>
          </w:tcPr>
          <w:p w14:paraId="3B248C5D"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116 (56.9)</w:t>
            </w:r>
          </w:p>
        </w:tc>
        <w:tc>
          <w:tcPr>
            <w:tcW w:w="1472" w:type="dxa"/>
            <w:tcBorders>
              <w:top w:val="nil"/>
              <w:left w:val="nil"/>
              <w:bottom w:val="nil"/>
              <w:right w:val="nil"/>
            </w:tcBorders>
            <w:shd w:val="clear" w:color="auto" w:fill="auto"/>
            <w:vAlign w:val="bottom"/>
          </w:tcPr>
          <w:p w14:paraId="0429996A"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218 (70.6)</w:t>
            </w:r>
          </w:p>
        </w:tc>
        <w:tc>
          <w:tcPr>
            <w:tcW w:w="1204" w:type="dxa"/>
            <w:tcBorders>
              <w:top w:val="nil"/>
              <w:left w:val="single" w:sz="4" w:space="0" w:color="auto"/>
              <w:bottom w:val="nil"/>
              <w:right w:val="nil"/>
            </w:tcBorders>
            <w:shd w:val="clear" w:color="auto" w:fill="auto"/>
            <w:vAlign w:val="bottom"/>
          </w:tcPr>
          <w:p w14:paraId="4AEF31E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140 (63.9)</w:t>
            </w:r>
          </w:p>
        </w:tc>
        <w:tc>
          <w:tcPr>
            <w:tcW w:w="1472" w:type="dxa"/>
            <w:tcBorders>
              <w:top w:val="nil"/>
              <w:left w:val="nil"/>
              <w:bottom w:val="nil"/>
              <w:right w:val="single" w:sz="4" w:space="0" w:color="auto"/>
            </w:tcBorders>
            <w:shd w:val="clear" w:color="auto" w:fill="auto"/>
            <w:vAlign w:val="bottom"/>
          </w:tcPr>
          <w:p w14:paraId="55594B52"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229 (69.6)</w:t>
            </w:r>
          </w:p>
        </w:tc>
        <w:tc>
          <w:tcPr>
            <w:tcW w:w="1203" w:type="dxa"/>
            <w:tcBorders>
              <w:top w:val="nil"/>
              <w:left w:val="single" w:sz="4" w:space="0" w:color="auto"/>
              <w:bottom w:val="nil"/>
              <w:right w:val="nil"/>
            </w:tcBorders>
            <w:shd w:val="clear" w:color="auto" w:fill="auto"/>
            <w:vAlign w:val="bottom"/>
          </w:tcPr>
          <w:p w14:paraId="5DAB66AC"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256 (60.5)</w:t>
            </w:r>
          </w:p>
        </w:tc>
        <w:tc>
          <w:tcPr>
            <w:tcW w:w="1375" w:type="dxa"/>
            <w:tcBorders>
              <w:top w:val="nil"/>
              <w:left w:val="nil"/>
              <w:bottom w:val="nil"/>
              <w:right w:val="single" w:sz="4" w:space="0" w:color="auto"/>
            </w:tcBorders>
            <w:shd w:val="clear" w:color="auto" w:fill="auto"/>
            <w:vAlign w:val="bottom"/>
          </w:tcPr>
          <w:p w14:paraId="138EC52E"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447 (70.1)</w:t>
            </w:r>
          </w:p>
        </w:tc>
      </w:tr>
      <w:tr w:rsidR="00EC4DF6" w:rsidRPr="000E6EB5" w14:paraId="61FA5834" w14:textId="77777777" w:rsidTr="006E09EC">
        <w:trPr>
          <w:jc w:val="center"/>
        </w:trPr>
        <w:tc>
          <w:tcPr>
            <w:tcW w:w="1491" w:type="dxa"/>
            <w:tcBorders>
              <w:top w:val="nil"/>
              <w:left w:val="single" w:sz="4" w:space="0" w:color="auto"/>
              <w:bottom w:val="nil"/>
              <w:right w:val="nil"/>
            </w:tcBorders>
            <w:shd w:val="clear" w:color="auto" w:fill="auto"/>
          </w:tcPr>
          <w:p w14:paraId="185FDBB2" w14:textId="77777777" w:rsidR="00EC4DF6" w:rsidRPr="000E6EB5" w:rsidRDefault="00EC4DF6" w:rsidP="00146B79">
            <w:pPr>
              <w:keepNext/>
              <w:keepLines/>
              <w:autoSpaceDE w:val="0"/>
              <w:autoSpaceDN w:val="0"/>
              <w:adjustRightInd w:val="0"/>
              <w:rPr>
                <w:rFonts w:ascii="Arial" w:hAnsi="Arial"/>
                <w:sz w:val="20"/>
                <w:lang w:val="en-GB" w:eastAsia="en-GB"/>
              </w:rPr>
            </w:pPr>
            <w:r w:rsidRPr="000E6EB5">
              <w:rPr>
                <w:rFonts w:ascii="Arial" w:hAnsi="Arial"/>
                <w:sz w:val="20"/>
                <w:lang w:val="en-GB" w:eastAsia="en-GB"/>
              </w:rPr>
              <w:t xml:space="preserve">Comparison vs placebo </w:t>
            </w:r>
          </w:p>
        </w:tc>
        <w:tc>
          <w:tcPr>
            <w:tcW w:w="1085" w:type="dxa"/>
            <w:tcBorders>
              <w:top w:val="nil"/>
              <w:left w:val="nil"/>
              <w:bottom w:val="nil"/>
              <w:right w:val="nil"/>
            </w:tcBorders>
            <w:shd w:val="clear" w:color="auto" w:fill="auto"/>
            <w:vAlign w:val="bottom"/>
          </w:tcPr>
          <w:p w14:paraId="307C0911"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nil"/>
            </w:tcBorders>
            <w:shd w:val="clear" w:color="auto" w:fill="auto"/>
            <w:vAlign w:val="bottom"/>
          </w:tcPr>
          <w:p w14:paraId="21749D01"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14:paraId="11B80250"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5B3D6D76"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14:paraId="5E9D1CC2"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4C6536F6" w14:textId="77777777" w:rsidR="00EC4DF6" w:rsidRPr="000E6EB5" w:rsidRDefault="00EC4DF6" w:rsidP="00146B79">
            <w:pPr>
              <w:keepNext/>
              <w:keepLines/>
              <w:autoSpaceDE w:val="0"/>
              <w:autoSpaceDN w:val="0"/>
              <w:adjustRightInd w:val="0"/>
              <w:rPr>
                <w:rFonts w:ascii="Arial" w:hAnsi="Arial"/>
                <w:sz w:val="20"/>
                <w:lang w:val="en-GB" w:eastAsia="en-GB"/>
              </w:rPr>
            </w:pPr>
          </w:p>
        </w:tc>
      </w:tr>
      <w:tr w:rsidR="00EC4DF6" w:rsidRPr="000E6EB5" w14:paraId="1D4FFAAC" w14:textId="77777777" w:rsidTr="006E09EC">
        <w:trPr>
          <w:jc w:val="center"/>
        </w:trPr>
        <w:tc>
          <w:tcPr>
            <w:tcW w:w="1491" w:type="dxa"/>
            <w:tcBorders>
              <w:top w:val="nil"/>
              <w:left w:val="single" w:sz="4" w:space="0" w:color="auto"/>
              <w:bottom w:val="nil"/>
              <w:right w:val="nil"/>
            </w:tcBorders>
            <w:shd w:val="clear" w:color="auto" w:fill="auto"/>
          </w:tcPr>
          <w:p w14:paraId="5C169EC0"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 xml:space="preserve">Odds ratio </w:t>
            </w:r>
          </w:p>
        </w:tc>
        <w:tc>
          <w:tcPr>
            <w:tcW w:w="1085" w:type="dxa"/>
            <w:tcBorders>
              <w:top w:val="nil"/>
              <w:left w:val="nil"/>
              <w:bottom w:val="nil"/>
              <w:right w:val="nil"/>
            </w:tcBorders>
            <w:shd w:val="clear" w:color="auto" w:fill="auto"/>
            <w:vAlign w:val="bottom"/>
          </w:tcPr>
          <w:p w14:paraId="6AD5201D"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nil"/>
              <w:right w:val="nil"/>
            </w:tcBorders>
            <w:shd w:val="clear" w:color="auto" w:fill="auto"/>
            <w:vAlign w:val="bottom"/>
          </w:tcPr>
          <w:p w14:paraId="0D3DD5C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1.91</w:t>
            </w:r>
          </w:p>
        </w:tc>
        <w:tc>
          <w:tcPr>
            <w:tcW w:w="1204" w:type="dxa"/>
            <w:tcBorders>
              <w:top w:val="nil"/>
              <w:left w:val="single" w:sz="4" w:space="0" w:color="auto"/>
              <w:bottom w:val="nil"/>
              <w:right w:val="nil"/>
            </w:tcBorders>
            <w:shd w:val="clear" w:color="auto" w:fill="auto"/>
            <w:vAlign w:val="bottom"/>
          </w:tcPr>
          <w:p w14:paraId="183DD8BB"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14:paraId="17B03755"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1.29</w:t>
            </w:r>
          </w:p>
        </w:tc>
        <w:tc>
          <w:tcPr>
            <w:tcW w:w="1203" w:type="dxa"/>
            <w:tcBorders>
              <w:top w:val="nil"/>
              <w:left w:val="single" w:sz="4" w:space="0" w:color="auto"/>
              <w:bottom w:val="nil"/>
              <w:right w:val="nil"/>
            </w:tcBorders>
            <w:shd w:val="clear" w:color="auto" w:fill="auto"/>
            <w:vAlign w:val="bottom"/>
          </w:tcPr>
          <w:p w14:paraId="5E477099"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75B78AAD"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1.58</w:t>
            </w:r>
          </w:p>
        </w:tc>
      </w:tr>
      <w:tr w:rsidR="00EC4DF6" w:rsidRPr="000E6EB5" w14:paraId="44FA2969" w14:textId="77777777" w:rsidTr="006E09EC">
        <w:trPr>
          <w:jc w:val="center"/>
        </w:trPr>
        <w:tc>
          <w:tcPr>
            <w:tcW w:w="1491" w:type="dxa"/>
            <w:tcBorders>
              <w:top w:val="nil"/>
              <w:left w:val="single" w:sz="4" w:space="0" w:color="auto"/>
              <w:bottom w:val="nil"/>
              <w:right w:val="nil"/>
            </w:tcBorders>
            <w:shd w:val="clear" w:color="auto" w:fill="auto"/>
          </w:tcPr>
          <w:p w14:paraId="20505AA6" w14:textId="77777777" w:rsidR="00EC4DF6" w:rsidRPr="000E6EB5" w:rsidRDefault="00EC4DF6" w:rsidP="00146B79">
            <w:pPr>
              <w:keepNext/>
              <w:keepLines/>
              <w:autoSpaceDE w:val="0"/>
              <w:autoSpaceDN w:val="0"/>
              <w:adjustRightInd w:val="0"/>
              <w:ind w:right="100"/>
              <w:jc w:val="right"/>
              <w:rPr>
                <w:rFonts w:ascii="Arial" w:hAnsi="Arial"/>
                <w:sz w:val="20"/>
                <w:lang w:val="en-GB" w:eastAsia="en-GB"/>
              </w:rPr>
            </w:pPr>
            <w:r w:rsidRPr="000E6EB5">
              <w:rPr>
                <w:rFonts w:ascii="Arial" w:hAnsi="Arial"/>
                <w:sz w:val="20"/>
                <w:lang w:val="en-GB" w:eastAsia="en-GB"/>
              </w:rPr>
              <w:t>95% CI</w:t>
            </w:r>
          </w:p>
        </w:tc>
        <w:tc>
          <w:tcPr>
            <w:tcW w:w="2557" w:type="dxa"/>
            <w:gridSpan w:val="2"/>
            <w:tcBorders>
              <w:top w:val="nil"/>
              <w:left w:val="nil"/>
              <w:bottom w:val="nil"/>
              <w:right w:val="nil"/>
            </w:tcBorders>
            <w:shd w:val="clear" w:color="auto" w:fill="auto"/>
            <w:vAlign w:val="bottom"/>
          </w:tcPr>
          <w:p w14:paraId="45B254B1"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(1.32, 2.79)</w:t>
            </w:r>
          </w:p>
        </w:tc>
        <w:tc>
          <w:tcPr>
            <w:tcW w:w="2676" w:type="dxa"/>
            <w:gridSpan w:val="2"/>
            <w:tcBorders>
              <w:top w:val="nil"/>
              <w:left w:val="single" w:sz="4" w:space="0" w:color="auto"/>
              <w:bottom w:val="nil"/>
              <w:right w:val="single" w:sz="4" w:space="0" w:color="auto"/>
            </w:tcBorders>
            <w:shd w:val="clear" w:color="auto" w:fill="auto"/>
            <w:vAlign w:val="bottom"/>
          </w:tcPr>
          <w:p w14:paraId="6567E197"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(0.89, 1.86)</w:t>
            </w:r>
          </w:p>
        </w:tc>
        <w:tc>
          <w:tcPr>
            <w:tcW w:w="1203" w:type="dxa"/>
            <w:tcBorders>
              <w:top w:val="nil"/>
              <w:left w:val="single" w:sz="4" w:space="0" w:color="auto"/>
              <w:bottom w:val="nil"/>
              <w:right w:val="nil"/>
            </w:tcBorders>
            <w:shd w:val="clear" w:color="auto" w:fill="auto"/>
            <w:vAlign w:val="bottom"/>
          </w:tcPr>
          <w:p w14:paraId="5D464F25"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14:paraId="6D5730DB"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(1.21, 2.05)</w:t>
            </w:r>
          </w:p>
        </w:tc>
      </w:tr>
      <w:tr w:rsidR="00EC4DF6" w:rsidRPr="000E6EB5" w14:paraId="02C5EBC5" w14:textId="77777777" w:rsidTr="006E09EC">
        <w:trPr>
          <w:jc w:val="center"/>
        </w:trPr>
        <w:tc>
          <w:tcPr>
            <w:tcW w:w="1491" w:type="dxa"/>
            <w:tcBorders>
              <w:top w:val="nil"/>
              <w:left w:val="single" w:sz="4" w:space="0" w:color="auto"/>
              <w:bottom w:val="single" w:sz="4" w:space="0" w:color="auto"/>
              <w:right w:val="nil"/>
            </w:tcBorders>
            <w:shd w:val="clear" w:color="auto" w:fill="auto"/>
          </w:tcPr>
          <w:p w14:paraId="4C13718B" w14:textId="77777777" w:rsidR="00EC4DF6" w:rsidRPr="000E6EB5" w:rsidRDefault="00EC4DF6" w:rsidP="00146B79">
            <w:pPr>
              <w:keepNext/>
              <w:keepLines/>
              <w:autoSpaceDE w:val="0"/>
              <w:autoSpaceDN w:val="0"/>
              <w:adjustRightInd w:val="0"/>
              <w:jc w:val="right"/>
              <w:rPr>
                <w:rFonts w:ascii="Arial" w:hAnsi="Arial"/>
                <w:sz w:val="20"/>
                <w:lang w:val="en-GB" w:eastAsia="en-GB"/>
              </w:rPr>
            </w:pPr>
            <w:r w:rsidRPr="000E6EB5">
              <w:rPr>
                <w:rFonts w:ascii="Arial" w:hAnsi="Arial"/>
                <w:sz w:val="20"/>
                <w:lang w:val="en-GB" w:eastAsia="en-GB"/>
              </w:rPr>
              <w:t>p-value</w:t>
            </w:r>
            <w:r w:rsidRPr="000E6EB5">
              <w:rPr>
                <w:rFonts w:ascii="Arial" w:hAnsi="Arial"/>
                <w:sz w:val="20"/>
                <w:vertAlign w:val="superscript"/>
                <w:lang w:val="en-GB" w:eastAsia="en-GB"/>
              </w:rPr>
              <w:t>2</w:t>
            </w:r>
          </w:p>
        </w:tc>
        <w:tc>
          <w:tcPr>
            <w:tcW w:w="1085" w:type="dxa"/>
            <w:tcBorders>
              <w:top w:val="nil"/>
              <w:left w:val="nil"/>
              <w:bottom w:val="single" w:sz="4" w:space="0" w:color="auto"/>
              <w:right w:val="nil"/>
            </w:tcBorders>
            <w:shd w:val="clear" w:color="auto" w:fill="auto"/>
            <w:vAlign w:val="bottom"/>
          </w:tcPr>
          <w:p w14:paraId="20F7B784" w14:textId="77777777" w:rsidR="00EC4DF6" w:rsidRPr="000E6EB5" w:rsidRDefault="00EC4DF6" w:rsidP="00146B79">
            <w:pPr>
              <w:keepNext/>
              <w:keepLines/>
              <w:autoSpaceDE w:val="0"/>
              <w:autoSpaceDN w:val="0"/>
              <w:adjustRightInd w:val="0"/>
              <w:rPr>
                <w:rFonts w:ascii="Arial" w:hAnsi="Arial"/>
                <w:sz w:val="20"/>
                <w:lang w:val="en-GB" w:eastAsia="en-GB"/>
              </w:rPr>
            </w:pPr>
          </w:p>
        </w:tc>
        <w:tc>
          <w:tcPr>
            <w:tcW w:w="1472" w:type="dxa"/>
            <w:tcBorders>
              <w:top w:val="nil"/>
              <w:left w:val="nil"/>
              <w:bottom w:val="single" w:sz="4" w:space="0" w:color="auto"/>
              <w:right w:val="single" w:sz="4" w:space="0" w:color="auto"/>
            </w:tcBorders>
            <w:shd w:val="clear" w:color="auto" w:fill="auto"/>
            <w:vAlign w:val="bottom"/>
          </w:tcPr>
          <w:p w14:paraId="5A480A82"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0.0007</w:t>
            </w:r>
          </w:p>
        </w:tc>
        <w:tc>
          <w:tcPr>
            <w:tcW w:w="1204" w:type="dxa"/>
            <w:tcBorders>
              <w:top w:val="nil"/>
              <w:left w:val="single" w:sz="4" w:space="0" w:color="auto"/>
              <w:bottom w:val="single" w:sz="4" w:space="0" w:color="auto"/>
              <w:right w:val="nil"/>
            </w:tcBorders>
            <w:shd w:val="clear" w:color="auto" w:fill="auto"/>
            <w:vAlign w:val="bottom"/>
          </w:tcPr>
          <w:p w14:paraId="18C808FA"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472" w:type="dxa"/>
            <w:tcBorders>
              <w:top w:val="nil"/>
              <w:left w:val="nil"/>
              <w:bottom w:val="single" w:sz="4" w:space="0" w:color="auto"/>
              <w:right w:val="single" w:sz="4" w:space="0" w:color="auto"/>
            </w:tcBorders>
            <w:shd w:val="clear" w:color="auto" w:fill="auto"/>
            <w:vAlign w:val="bottom"/>
          </w:tcPr>
          <w:p w14:paraId="4D0D19F0"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0.1833</w:t>
            </w:r>
          </w:p>
        </w:tc>
        <w:tc>
          <w:tcPr>
            <w:tcW w:w="1203" w:type="dxa"/>
            <w:tcBorders>
              <w:top w:val="nil"/>
              <w:left w:val="single" w:sz="4" w:space="0" w:color="auto"/>
              <w:bottom w:val="single" w:sz="4" w:space="0" w:color="auto"/>
              <w:right w:val="nil"/>
            </w:tcBorders>
            <w:shd w:val="clear" w:color="auto" w:fill="auto"/>
            <w:vAlign w:val="bottom"/>
          </w:tcPr>
          <w:p w14:paraId="0AA8F218" w14:textId="77777777" w:rsidR="00EC4DF6" w:rsidRPr="000E6EB5" w:rsidRDefault="00EC4DF6" w:rsidP="00146B79">
            <w:pPr>
              <w:keepNext/>
              <w:keepLines/>
              <w:autoSpaceDE w:val="0"/>
              <w:autoSpaceDN w:val="0"/>
              <w:adjustRightInd w:val="0"/>
              <w:jc w:val="center"/>
              <w:rPr>
                <w:rFonts w:ascii="Arial" w:hAnsi="Arial"/>
                <w:sz w:val="20"/>
                <w:lang w:val="en-GB" w:eastAsia="en-GB"/>
              </w:rPr>
            </w:pPr>
          </w:p>
        </w:tc>
        <w:tc>
          <w:tcPr>
            <w:tcW w:w="1375" w:type="dxa"/>
            <w:tcBorders>
              <w:top w:val="nil"/>
              <w:left w:val="nil"/>
              <w:bottom w:val="single" w:sz="4" w:space="0" w:color="auto"/>
              <w:right w:val="single" w:sz="4" w:space="0" w:color="auto"/>
            </w:tcBorders>
            <w:shd w:val="clear" w:color="auto" w:fill="auto"/>
            <w:vAlign w:val="bottom"/>
          </w:tcPr>
          <w:p w14:paraId="0E5C3766" w14:textId="77777777" w:rsidR="00EC4DF6" w:rsidRPr="000E6EB5" w:rsidRDefault="00EC4DF6" w:rsidP="00146B79">
            <w:pPr>
              <w:keepNext/>
              <w:keepLines/>
              <w:autoSpaceDE w:val="0"/>
              <w:autoSpaceDN w:val="0"/>
              <w:adjustRightInd w:val="0"/>
              <w:jc w:val="center"/>
              <w:rPr>
                <w:rFonts w:ascii="Arial" w:hAnsi="Arial"/>
                <w:sz w:val="20"/>
                <w:lang w:val="en-GB" w:eastAsia="en-GB"/>
              </w:rPr>
            </w:pPr>
            <w:r w:rsidRPr="000E6EB5">
              <w:rPr>
                <w:rFonts w:ascii="Arial" w:hAnsi="Arial"/>
                <w:sz w:val="20"/>
                <w:lang w:val="en-GB" w:eastAsia="en-GB"/>
              </w:rPr>
              <w:t>0.0007</w:t>
            </w:r>
          </w:p>
        </w:tc>
      </w:tr>
    </w:tbl>
    <w:p w14:paraId="7DF2A261" w14:textId="77777777" w:rsidR="00EC4DF6" w:rsidRPr="000E6EB5" w:rsidRDefault="00EC4DF6" w:rsidP="00146B79">
      <w:pPr>
        <w:keepNext/>
        <w:keepLines/>
        <w:autoSpaceDE w:val="0"/>
        <w:autoSpaceDN w:val="0"/>
        <w:adjustRightInd w:val="0"/>
        <w:spacing w:before="40"/>
        <w:ind w:left="142" w:hanging="142"/>
        <w:rPr>
          <w:rFonts w:ascii="Arial" w:hAnsi="Arial"/>
          <w:sz w:val="20"/>
          <w:lang w:val="en-GB" w:eastAsia="en-GB"/>
        </w:rPr>
      </w:pPr>
      <w:r w:rsidRPr="000E6EB5">
        <w:rPr>
          <w:rFonts w:ascii="Arial" w:hAnsi="Arial"/>
          <w:sz w:val="20"/>
          <w:vertAlign w:val="superscript"/>
          <w:lang w:val="en-GB" w:eastAsia="en-GB"/>
        </w:rPr>
        <w:t>1</w:t>
      </w:r>
      <w:r w:rsidRPr="000E6EB5">
        <w:rPr>
          <w:rFonts w:ascii="Arial" w:hAnsi="Arial"/>
          <w:sz w:val="20"/>
          <w:lang w:val="en-GB" w:eastAsia="en-GB"/>
        </w:rPr>
        <w:t xml:space="preserve"> Responder patients are those with no absolute decline greater than 5% or greater than 10% in FVC %predicted, depending on the threshold and with an FVC evaluation at 52 weeks.</w:t>
      </w:r>
    </w:p>
    <w:p w14:paraId="604C5DD2" w14:textId="77777777" w:rsidR="00EC4DF6" w:rsidRPr="000E6EB5" w:rsidRDefault="00EC4DF6" w:rsidP="000F322D">
      <w:pPr>
        <w:keepNext/>
        <w:keepLines/>
        <w:autoSpaceDE w:val="0"/>
        <w:autoSpaceDN w:val="0"/>
        <w:adjustRightInd w:val="0"/>
        <w:spacing w:after="180"/>
        <w:rPr>
          <w:rFonts w:ascii="Arial" w:hAnsi="Arial"/>
          <w:sz w:val="20"/>
          <w:lang w:val="en-GB" w:eastAsia="en-GB"/>
        </w:rPr>
      </w:pPr>
      <w:r w:rsidRPr="000E6EB5">
        <w:rPr>
          <w:rFonts w:ascii="Arial" w:hAnsi="Arial"/>
          <w:sz w:val="20"/>
          <w:vertAlign w:val="superscript"/>
          <w:lang w:val="en-GB" w:eastAsia="en-GB"/>
        </w:rPr>
        <w:t>2</w:t>
      </w:r>
      <w:r w:rsidRPr="000E6EB5">
        <w:rPr>
          <w:rFonts w:ascii="Arial" w:hAnsi="Arial"/>
          <w:sz w:val="20"/>
          <w:lang w:val="en-GB" w:eastAsia="en-GB"/>
        </w:rPr>
        <w:t xml:space="preserve"> Based on a logistic regression </w:t>
      </w:r>
    </w:p>
    <w:p w14:paraId="7256A038" w14:textId="77777777" w:rsidR="00EC4DF6" w:rsidRDefault="00EC4DF6" w:rsidP="00EC4DF6">
      <w:pPr>
        <w:autoSpaceDE w:val="0"/>
        <w:autoSpaceDN w:val="0"/>
        <w:adjustRightInd w:val="0"/>
        <w:spacing w:after="60"/>
        <w:jc w:val="both"/>
        <w:rPr>
          <w:rFonts w:ascii="Arial" w:hAnsi="Arial"/>
          <w:sz w:val="22"/>
          <w:szCs w:val="22"/>
          <w:u w:val="single"/>
          <w:lang w:val="en-GB" w:eastAsia="en-GB"/>
        </w:rPr>
      </w:pPr>
      <w:r>
        <w:rPr>
          <w:rFonts w:ascii="Arial" w:hAnsi="Arial"/>
          <w:sz w:val="22"/>
          <w:szCs w:val="22"/>
          <w:u w:val="single"/>
          <w:lang w:val="en-GB" w:eastAsia="en-GB"/>
        </w:rPr>
        <w:t>Time to progression (</w:t>
      </w:r>
      <w:r>
        <w:rPr>
          <w:rFonts w:ascii="Arial" w:hAnsi="Arial" w:cs="Arial"/>
          <w:sz w:val="22"/>
          <w:szCs w:val="22"/>
          <w:u w:val="single"/>
          <w:lang w:val="en-GB" w:eastAsia="en-GB"/>
        </w:rPr>
        <w:t>≥</w:t>
      </w:r>
      <w:r>
        <w:rPr>
          <w:rFonts w:ascii="Arial" w:hAnsi="Arial"/>
          <w:sz w:val="22"/>
          <w:szCs w:val="22"/>
          <w:u w:val="single"/>
          <w:lang w:val="en-GB" w:eastAsia="en-GB"/>
        </w:rPr>
        <w:t xml:space="preserve"> 10% absolute decline of FVC </w:t>
      </w:r>
      <w:proofErr w:type="gramStart"/>
      <w:r>
        <w:rPr>
          <w:rFonts w:ascii="Arial" w:hAnsi="Arial"/>
          <w:sz w:val="22"/>
          <w:szCs w:val="22"/>
          <w:u w:val="single"/>
          <w:lang w:val="en-GB" w:eastAsia="en-GB"/>
        </w:rPr>
        <w:t>%</w:t>
      </w:r>
      <w:proofErr w:type="gramEnd"/>
      <w:r>
        <w:rPr>
          <w:rFonts w:ascii="Arial" w:hAnsi="Arial"/>
          <w:sz w:val="22"/>
          <w:szCs w:val="22"/>
          <w:u w:val="single"/>
          <w:lang w:val="en-GB" w:eastAsia="en-GB"/>
        </w:rPr>
        <w:t xml:space="preserve"> predicted or death)</w:t>
      </w:r>
    </w:p>
    <w:p w14:paraId="1B37B56C" w14:textId="31DCC577" w:rsidR="00EC4DF6" w:rsidRDefault="00EC4DF6" w:rsidP="000F322D">
      <w:pPr>
        <w:autoSpaceDE w:val="0"/>
        <w:autoSpaceDN w:val="0"/>
        <w:adjustRightInd w:val="0"/>
        <w:spacing w:before="120"/>
        <w:jc w:val="both"/>
        <w:rPr>
          <w:rFonts w:ascii="Arial" w:hAnsi="Arial"/>
          <w:b/>
          <w:bCs/>
          <w:sz w:val="22"/>
          <w:szCs w:val="22"/>
          <w:lang w:val="en-GB" w:eastAsia="en-GB"/>
        </w:rPr>
      </w:pPr>
      <w:r>
        <w:rPr>
          <w:rFonts w:ascii="Arial" w:hAnsi="Arial"/>
          <w:sz w:val="22"/>
          <w:szCs w:val="22"/>
          <w:lang w:val="en-GB" w:eastAsia="en-GB"/>
        </w:rPr>
        <w:t xml:space="preserve">In both INPULSIS trials, the risk of progression was statistically significantly reduced for patients treated with </w:t>
      </w:r>
      <w:r w:rsidR="00AD400D">
        <w:rPr>
          <w:rFonts w:ascii="Arial" w:hAnsi="Arial"/>
          <w:sz w:val="22"/>
          <w:szCs w:val="22"/>
          <w:lang w:val="en-GB" w:eastAsia="en-GB"/>
        </w:rPr>
        <w:t xml:space="preserve">OFEV </w:t>
      </w:r>
      <w:r>
        <w:rPr>
          <w:rFonts w:ascii="Arial" w:hAnsi="Arial"/>
          <w:sz w:val="22"/>
          <w:szCs w:val="22"/>
          <w:lang w:val="en-GB" w:eastAsia="en-GB"/>
        </w:rPr>
        <w:t xml:space="preserve">compared with placebo.  In the pooled analysis, </w:t>
      </w:r>
      <w:proofErr w:type="gramStart"/>
      <w:r>
        <w:rPr>
          <w:rFonts w:ascii="Arial" w:hAnsi="Arial"/>
          <w:sz w:val="22"/>
          <w:szCs w:val="22"/>
          <w:lang w:val="en-GB" w:eastAsia="en-GB"/>
        </w:rPr>
        <w:t xml:space="preserve">the HR was 0.60 indicating a 40% reduction in the risk of progression for patients treated with </w:t>
      </w:r>
      <w:r w:rsidR="00AD400D">
        <w:rPr>
          <w:rFonts w:ascii="Arial" w:hAnsi="Arial"/>
          <w:sz w:val="22"/>
          <w:szCs w:val="22"/>
          <w:lang w:val="en-GB" w:eastAsia="en-GB"/>
        </w:rPr>
        <w:t xml:space="preserve">OFEV </w:t>
      </w:r>
      <w:r>
        <w:rPr>
          <w:rFonts w:ascii="Arial" w:hAnsi="Arial"/>
          <w:sz w:val="22"/>
          <w:szCs w:val="22"/>
          <w:lang w:val="en-GB" w:eastAsia="en-GB"/>
        </w:rPr>
        <w:t>compared with placebo</w:t>
      </w:r>
      <w:proofErr w:type="gramEnd"/>
      <w:r>
        <w:rPr>
          <w:rFonts w:ascii="Arial" w:hAnsi="Arial"/>
          <w:sz w:val="22"/>
          <w:szCs w:val="22"/>
          <w:lang w:val="en-GB" w:eastAsia="en-GB"/>
        </w:rPr>
        <w:t xml:space="preserve">, </w:t>
      </w:r>
      <w:proofErr w:type="gramStart"/>
      <w:r>
        <w:rPr>
          <w:rFonts w:ascii="Arial" w:hAnsi="Arial"/>
          <w:sz w:val="22"/>
          <w:szCs w:val="22"/>
          <w:lang w:val="en-GB" w:eastAsia="en-GB"/>
        </w:rPr>
        <w:t xml:space="preserve">see Table </w:t>
      </w:r>
      <w:r w:rsidR="00E53304">
        <w:rPr>
          <w:rFonts w:ascii="Arial" w:hAnsi="Arial"/>
          <w:sz w:val="22"/>
          <w:szCs w:val="22"/>
          <w:lang w:val="en-GB" w:eastAsia="en-GB"/>
        </w:rPr>
        <w:t>12</w:t>
      </w:r>
      <w:proofErr w:type="gramEnd"/>
      <w:r>
        <w:rPr>
          <w:rFonts w:ascii="Arial" w:hAnsi="Arial"/>
          <w:sz w:val="22"/>
          <w:szCs w:val="22"/>
          <w:lang w:val="en-GB" w:eastAsia="en-GB"/>
        </w:rPr>
        <w:t>.</w:t>
      </w:r>
      <w:r>
        <w:rPr>
          <w:rFonts w:ascii="Arial" w:hAnsi="Arial"/>
          <w:b/>
          <w:bCs/>
          <w:sz w:val="22"/>
          <w:szCs w:val="22"/>
          <w:lang w:val="en-GB" w:eastAsia="en-GB"/>
        </w:rPr>
        <w:br w:type="page"/>
      </w:r>
    </w:p>
    <w:p w14:paraId="4337B458" w14:textId="261D35A4" w:rsidR="00EC4DF6" w:rsidRPr="00F7090C" w:rsidRDefault="00EC4DF6" w:rsidP="00EC4DF6">
      <w:pPr>
        <w:pStyle w:val="TextPI"/>
        <w:tabs>
          <w:tab w:val="left" w:pos="1134"/>
        </w:tabs>
        <w:ind w:left="1122" w:hanging="1122"/>
        <w:rPr>
          <w:b/>
          <w:sz w:val="20"/>
          <w:szCs w:val="20"/>
          <w:lang w:val="en-GB"/>
        </w:rPr>
      </w:pPr>
      <w:r w:rsidRPr="00F7090C">
        <w:rPr>
          <w:b/>
          <w:sz w:val="20"/>
          <w:szCs w:val="20"/>
          <w:lang w:val="en-GB"/>
        </w:rPr>
        <w:lastRenderedPageBreak/>
        <w:t xml:space="preserve">Table </w:t>
      </w:r>
      <w:r w:rsidR="00D3743C">
        <w:rPr>
          <w:b/>
          <w:sz w:val="20"/>
          <w:szCs w:val="20"/>
          <w:lang w:val="en-GB"/>
        </w:rPr>
        <w:t>12</w:t>
      </w:r>
      <w:r w:rsidRPr="00F7090C">
        <w:rPr>
          <w:b/>
          <w:sz w:val="20"/>
          <w:szCs w:val="20"/>
          <w:lang w:val="en-GB"/>
        </w:rPr>
        <w:t xml:space="preserve">: </w:t>
      </w:r>
      <w:r w:rsidRPr="00F7090C">
        <w:rPr>
          <w:b/>
          <w:sz w:val="20"/>
          <w:szCs w:val="20"/>
          <w:lang w:val="en-GB"/>
        </w:rPr>
        <w:tab/>
        <w:t>Frequency of patients with ≥ 10% absolute decline of FVC % predicted or death over 52 weeks and time to progression in trials INPULSIS-1, INPULSIS-2 and their pooled data - treated set</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1690"/>
        <w:gridCol w:w="1050"/>
        <w:gridCol w:w="1425"/>
        <w:gridCol w:w="1185"/>
        <w:gridCol w:w="1425"/>
        <w:gridCol w:w="1184"/>
        <w:gridCol w:w="1343"/>
      </w:tblGrid>
      <w:tr w:rsidR="00EC4DF6" w:rsidRPr="000E6EB5" w14:paraId="42D5672E" w14:textId="77777777" w:rsidTr="006E09EC">
        <w:trPr>
          <w:jc w:val="center"/>
        </w:trPr>
        <w:tc>
          <w:tcPr>
            <w:tcW w:w="1690" w:type="dxa"/>
            <w:tcBorders>
              <w:top w:val="single" w:sz="4" w:space="0" w:color="auto"/>
              <w:left w:val="single" w:sz="4" w:space="0" w:color="auto"/>
              <w:bottom w:val="single" w:sz="4" w:space="0" w:color="auto"/>
              <w:right w:val="nil"/>
            </w:tcBorders>
            <w:shd w:val="clear" w:color="auto" w:fill="auto"/>
          </w:tcPr>
          <w:p w14:paraId="4B0E7214" w14:textId="77777777" w:rsidR="00EC4DF6" w:rsidRPr="000E6EB5" w:rsidRDefault="00EC4DF6" w:rsidP="006E09EC">
            <w:pPr>
              <w:autoSpaceDE w:val="0"/>
              <w:autoSpaceDN w:val="0"/>
              <w:adjustRightInd w:val="0"/>
              <w:spacing w:before="20" w:after="20"/>
              <w:rPr>
                <w:rFonts w:ascii="Arial" w:hAnsi="Arial"/>
                <w:sz w:val="20"/>
                <w:lang w:val="en-GB" w:eastAsia="en-GB"/>
              </w:rPr>
            </w:pPr>
          </w:p>
        </w:tc>
        <w:tc>
          <w:tcPr>
            <w:tcW w:w="2475" w:type="dxa"/>
            <w:gridSpan w:val="2"/>
            <w:tcBorders>
              <w:top w:val="single" w:sz="4" w:space="0" w:color="auto"/>
              <w:left w:val="nil"/>
              <w:bottom w:val="single" w:sz="4" w:space="0" w:color="auto"/>
              <w:right w:val="single" w:sz="4" w:space="0" w:color="auto"/>
            </w:tcBorders>
            <w:shd w:val="clear" w:color="auto" w:fill="auto"/>
            <w:vAlign w:val="bottom"/>
          </w:tcPr>
          <w:p w14:paraId="043B4881"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INPULSIS-1</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92B2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INPULSIS-2</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D9F43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INPULSIS-1 and INPULSIS-2</w:t>
            </w:r>
          </w:p>
          <w:p w14:paraId="387A31CD"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pooled</w:t>
            </w:r>
          </w:p>
        </w:tc>
      </w:tr>
      <w:tr w:rsidR="00EC4DF6" w:rsidRPr="000E6EB5" w14:paraId="35A0BE9C" w14:textId="77777777" w:rsidTr="006E09EC">
        <w:trPr>
          <w:jc w:val="center"/>
        </w:trPr>
        <w:tc>
          <w:tcPr>
            <w:tcW w:w="1690" w:type="dxa"/>
            <w:tcBorders>
              <w:top w:val="single" w:sz="4" w:space="0" w:color="auto"/>
              <w:left w:val="single" w:sz="4" w:space="0" w:color="auto"/>
              <w:bottom w:val="single" w:sz="4" w:space="0" w:color="auto"/>
              <w:right w:val="nil"/>
            </w:tcBorders>
            <w:shd w:val="clear" w:color="auto" w:fill="auto"/>
          </w:tcPr>
          <w:p w14:paraId="0FE42429" w14:textId="77777777" w:rsidR="00EC4DF6" w:rsidRPr="000E6EB5" w:rsidRDefault="00EC4DF6" w:rsidP="006E09EC">
            <w:pPr>
              <w:autoSpaceDE w:val="0"/>
              <w:autoSpaceDN w:val="0"/>
              <w:adjustRightInd w:val="0"/>
              <w:spacing w:before="20" w:after="20"/>
              <w:rPr>
                <w:rFonts w:ascii="Arial" w:hAnsi="Arial"/>
                <w:sz w:val="20"/>
                <w:lang w:val="en-GB" w:eastAsia="en-GB"/>
              </w:rPr>
            </w:pPr>
          </w:p>
        </w:tc>
        <w:tc>
          <w:tcPr>
            <w:tcW w:w="1050" w:type="dxa"/>
            <w:tcBorders>
              <w:top w:val="single" w:sz="4" w:space="0" w:color="auto"/>
              <w:left w:val="nil"/>
              <w:bottom w:val="single" w:sz="4" w:space="0" w:color="auto"/>
              <w:right w:val="nil"/>
            </w:tcBorders>
            <w:shd w:val="clear" w:color="auto" w:fill="auto"/>
          </w:tcPr>
          <w:p w14:paraId="3E4BE135"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Placebo</w:t>
            </w:r>
          </w:p>
        </w:tc>
        <w:tc>
          <w:tcPr>
            <w:tcW w:w="1425" w:type="dxa"/>
            <w:tcBorders>
              <w:top w:val="single" w:sz="4" w:space="0" w:color="auto"/>
              <w:left w:val="nil"/>
              <w:bottom w:val="single" w:sz="4" w:space="0" w:color="auto"/>
              <w:right w:val="nil"/>
            </w:tcBorders>
            <w:shd w:val="clear" w:color="auto" w:fill="auto"/>
          </w:tcPr>
          <w:p w14:paraId="000B7D75" w14:textId="77777777" w:rsidR="00EC4DF6" w:rsidRPr="000E6EB5" w:rsidRDefault="00EC4DF6" w:rsidP="006E09EC">
            <w:pPr>
              <w:pStyle w:val="TextPI"/>
              <w:spacing w:before="20" w:after="20"/>
              <w:jc w:val="center"/>
              <w:rPr>
                <w:sz w:val="20"/>
                <w:szCs w:val="20"/>
                <w:lang w:val="en-GB" w:eastAsia="en-GB"/>
              </w:rPr>
            </w:pPr>
            <w:r>
              <w:rPr>
                <w:sz w:val="20"/>
                <w:szCs w:val="20"/>
                <w:lang w:val="en-GB" w:eastAsia="en-GB"/>
              </w:rPr>
              <w:t>OFEV</w:t>
            </w:r>
            <w:r w:rsidRPr="000E6EB5">
              <w:rPr>
                <w:sz w:val="20"/>
                <w:szCs w:val="20"/>
                <w:lang w:val="en-GB" w:eastAsia="en-GB"/>
              </w:rPr>
              <w:t xml:space="preserve"> 150</w:t>
            </w:r>
            <w:r>
              <w:rPr>
                <w:sz w:val="20"/>
                <w:szCs w:val="20"/>
                <w:lang w:val="en-GB" w:eastAsia="en-GB"/>
              </w:rPr>
              <w:t> </w:t>
            </w:r>
            <w:r w:rsidRPr="000E6EB5">
              <w:rPr>
                <w:sz w:val="20"/>
                <w:szCs w:val="20"/>
                <w:lang w:val="en-GB" w:eastAsia="en-GB"/>
              </w:rPr>
              <w:t>mg twice daily</w:t>
            </w:r>
          </w:p>
        </w:tc>
        <w:tc>
          <w:tcPr>
            <w:tcW w:w="1185" w:type="dxa"/>
            <w:tcBorders>
              <w:top w:val="single" w:sz="4" w:space="0" w:color="auto"/>
              <w:left w:val="single" w:sz="4" w:space="0" w:color="auto"/>
              <w:bottom w:val="single" w:sz="4" w:space="0" w:color="auto"/>
              <w:right w:val="nil"/>
            </w:tcBorders>
            <w:shd w:val="clear" w:color="auto" w:fill="auto"/>
          </w:tcPr>
          <w:p w14:paraId="53D8A4C1"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Placebo</w:t>
            </w:r>
          </w:p>
        </w:tc>
        <w:tc>
          <w:tcPr>
            <w:tcW w:w="1425" w:type="dxa"/>
            <w:tcBorders>
              <w:top w:val="single" w:sz="4" w:space="0" w:color="auto"/>
              <w:left w:val="nil"/>
              <w:bottom w:val="single" w:sz="4" w:space="0" w:color="auto"/>
              <w:right w:val="single" w:sz="4" w:space="0" w:color="auto"/>
            </w:tcBorders>
            <w:shd w:val="clear" w:color="auto" w:fill="auto"/>
          </w:tcPr>
          <w:p w14:paraId="3935633F" w14:textId="77777777" w:rsidR="00EC4DF6" w:rsidRPr="000E6EB5" w:rsidRDefault="00EC4DF6" w:rsidP="006E09EC">
            <w:pPr>
              <w:pStyle w:val="TextPI"/>
              <w:spacing w:before="20" w:after="20"/>
              <w:jc w:val="center"/>
              <w:rPr>
                <w:sz w:val="20"/>
                <w:szCs w:val="20"/>
                <w:lang w:val="en-GB" w:eastAsia="en-GB"/>
              </w:rPr>
            </w:pPr>
            <w:r>
              <w:rPr>
                <w:sz w:val="20"/>
                <w:szCs w:val="20"/>
                <w:lang w:val="en-GB" w:eastAsia="en-GB"/>
              </w:rPr>
              <w:t>OFEV</w:t>
            </w:r>
            <w:r w:rsidRPr="000E6EB5">
              <w:rPr>
                <w:sz w:val="20"/>
                <w:szCs w:val="20"/>
                <w:lang w:val="en-GB" w:eastAsia="en-GB"/>
              </w:rPr>
              <w:t xml:space="preserve"> 150</w:t>
            </w:r>
            <w:r>
              <w:rPr>
                <w:sz w:val="20"/>
                <w:szCs w:val="20"/>
                <w:lang w:val="en-GB" w:eastAsia="en-GB"/>
              </w:rPr>
              <w:t> </w:t>
            </w:r>
            <w:r w:rsidRPr="000E6EB5">
              <w:rPr>
                <w:sz w:val="20"/>
                <w:szCs w:val="20"/>
                <w:lang w:val="en-GB" w:eastAsia="en-GB"/>
              </w:rPr>
              <w:t>mg twice daily</w:t>
            </w:r>
          </w:p>
        </w:tc>
        <w:tc>
          <w:tcPr>
            <w:tcW w:w="1184" w:type="dxa"/>
            <w:tcBorders>
              <w:top w:val="single" w:sz="4" w:space="0" w:color="auto"/>
              <w:left w:val="single" w:sz="4" w:space="0" w:color="auto"/>
              <w:bottom w:val="single" w:sz="4" w:space="0" w:color="auto"/>
              <w:right w:val="nil"/>
            </w:tcBorders>
            <w:shd w:val="clear" w:color="auto" w:fill="auto"/>
          </w:tcPr>
          <w:p w14:paraId="502D34EA"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Placebo</w:t>
            </w:r>
          </w:p>
        </w:tc>
        <w:tc>
          <w:tcPr>
            <w:tcW w:w="1343" w:type="dxa"/>
            <w:tcBorders>
              <w:top w:val="single" w:sz="4" w:space="0" w:color="auto"/>
              <w:left w:val="nil"/>
              <w:bottom w:val="single" w:sz="4" w:space="0" w:color="auto"/>
              <w:right w:val="single" w:sz="4" w:space="0" w:color="auto"/>
            </w:tcBorders>
            <w:shd w:val="clear" w:color="auto" w:fill="auto"/>
          </w:tcPr>
          <w:p w14:paraId="7153C45B" w14:textId="77777777" w:rsidR="00EC4DF6" w:rsidRPr="000E6EB5" w:rsidRDefault="00EC4DF6" w:rsidP="006E09EC">
            <w:pPr>
              <w:pStyle w:val="TextPI"/>
              <w:spacing w:before="20" w:after="20"/>
              <w:jc w:val="center"/>
              <w:rPr>
                <w:sz w:val="20"/>
                <w:szCs w:val="20"/>
                <w:lang w:val="en-GB" w:eastAsia="en-GB"/>
              </w:rPr>
            </w:pPr>
            <w:r>
              <w:rPr>
                <w:sz w:val="20"/>
                <w:szCs w:val="20"/>
                <w:lang w:val="en-GB" w:eastAsia="en-GB"/>
              </w:rPr>
              <w:t>OFEV</w:t>
            </w:r>
            <w:r w:rsidRPr="000E6EB5">
              <w:rPr>
                <w:sz w:val="20"/>
                <w:szCs w:val="20"/>
                <w:lang w:val="en-GB" w:eastAsia="en-GB"/>
              </w:rPr>
              <w:t xml:space="preserve"> 150</w:t>
            </w:r>
            <w:r>
              <w:rPr>
                <w:sz w:val="20"/>
                <w:szCs w:val="20"/>
                <w:lang w:val="en-GB" w:eastAsia="en-GB"/>
              </w:rPr>
              <w:t> </w:t>
            </w:r>
            <w:r w:rsidRPr="000E6EB5">
              <w:rPr>
                <w:sz w:val="20"/>
                <w:szCs w:val="20"/>
                <w:lang w:val="en-GB" w:eastAsia="en-GB"/>
              </w:rPr>
              <w:t>mg twice daily</w:t>
            </w:r>
          </w:p>
        </w:tc>
      </w:tr>
      <w:tr w:rsidR="00EC4DF6" w:rsidRPr="000E6EB5" w14:paraId="7000C3F7" w14:textId="77777777" w:rsidTr="006E09EC">
        <w:trPr>
          <w:jc w:val="center"/>
        </w:trPr>
        <w:tc>
          <w:tcPr>
            <w:tcW w:w="1690" w:type="dxa"/>
            <w:tcBorders>
              <w:top w:val="nil"/>
              <w:left w:val="single" w:sz="4" w:space="0" w:color="auto"/>
              <w:bottom w:val="nil"/>
              <w:right w:val="nil"/>
            </w:tcBorders>
            <w:shd w:val="clear" w:color="auto" w:fill="auto"/>
          </w:tcPr>
          <w:p w14:paraId="72BD418F"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 xml:space="preserve">Number </w:t>
            </w:r>
            <w:r>
              <w:rPr>
                <w:rFonts w:ascii="Arial" w:hAnsi="Arial"/>
                <w:sz w:val="20"/>
                <w:lang w:val="en-GB" w:eastAsia="en-GB"/>
              </w:rPr>
              <w:t>at risk</w:t>
            </w:r>
          </w:p>
        </w:tc>
        <w:tc>
          <w:tcPr>
            <w:tcW w:w="1050" w:type="dxa"/>
            <w:tcBorders>
              <w:top w:val="nil"/>
              <w:left w:val="nil"/>
              <w:bottom w:val="nil"/>
              <w:right w:val="nil"/>
            </w:tcBorders>
            <w:shd w:val="clear" w:color="auto" w:fill="auto"/>
            <w:vAlign w:val="bottom"/>
          </w:tcPr>
          <w:p w14:paraId="6188F173"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204</w:t>
            </w:r>
          </w:p>
        </w:tc>
        <w:tc>
          <w:tcPr>
            <w:tcW w:w="1425" w:type="dxa"/>
            <w:tcBorders>
              <w:top w:val="nil"/>
              <w:left w:val="nil"/>
              <w:bottom w:val="nil"/>
              <w:right w:val="nil"/>
            </w:tcBorders>
            <w:shd w:val="clear" w:color="auto" w:fill="auto"/>
            <w:vAlign w:val="bottom"/>
          </w:tcPr>
          <w:p w14:paraId="5DA3B53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309</w:t>
            </w:r>
          </w:p>
        </w:tc>
        <w:tc>
          <w:tcPr>
            <w:tcW w:w="1185" w:type="dxa"/>
            <w:tcBorders>
              <w:top w:val="nil"/>
              <w:left w:val="single" w:sz="4" w:space="0" w:color="auto"/>
              <w:bottom w:val="nil"/>
              <w:right w:val="nil"/>
            </w:tcBorders>
            <w:shd w:val="clear" w:color="auto" w:fill="auto"/>
            <w:vAlign w:val="bottom"/>
          </w:tcPr>
          <w:p w14:paraId="6C6B38FF"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219</w:t>
            </w:r>
          </w:p>
        </w:tc>
        <w:tc>
          <w:tcPr>
            <w:tcW w:w="1425" w:type="dxa"/>
            <w:tcBorders>
              <w:top w:val="nil"/>
              <w:left w:val="nil"/>
              <w:bottom w:val="nil"/>
              <w:right w:val="single" w:sz="4" w:space="0" w:color="auto"/>
            </w:tcBorders>
            <w:shd w:val="clear" w:color="auto" w:fill="auto"/>
            <w:vAlign w:val="bottom"/>
          </w:tcPr>
          <w:p w14:paraId="687675D0"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329</w:t>
            </w:r>
          </w:p>
        </w:tc>
        <w:tc>
          <w:tcPr>
            <w:tcW w:w="1184" w:type="dxa"/>
            <w:tcBorders>
              <w:top w:val="nil"/>
              <w:left w:val="single" w:sz="4" w:space="0" w:color="auto"/>
              <w:bottom w:val="nil"/>
              <w:right w:val="nil"/>
            </w:tcBorders>
            <w:shd w:val="clear" w:color="auto" w:fill="auto"/>
            <w:vAlign w:val="bottom"/>
          </w:tcPr>
          <w:p w14:paraId="23928B0D"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423</w:t>
            </w:r>
          </w:p>
        </w:tc>
        <w:tc>
          <w:tcPr>
            <w:tcW w:w="1343" w:type="dxa"/>
            <w:tcBorders>
              <w:top w:val="nil"/>
              <w:left w:val="nil"/>
              <w:bottom w:val="nil"/>
              <w:right w:val="single" w:sz="4" w:space="0" w:color="auto"/>
            </w:tcBorders>
            <w:shd w:val="clear" w:color="auto" w:fill="auto"/>
            <w:vAlign w:val="bottom"/>
          </w:tcPr>
          <w:p w14:paraId="47ED271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638</w:t>
            </w:r>
          </w:p>
        </w:tc>
      </w:tr>
      <w:tr w:rsidR="00EC4DF6" w:rsidRPr="000E6EB5" w14:paraId="79340EAA" w14:textId="77777777" w:rsidTr="006E09EC">
        <w:trPr>
          <w:trHeight w:val="117"/>
          <w:jc w:val="center"/>
        </w:trPr>
        <w:tc>
          <w:tcPr>
            <w:tcW w:w="1690" w:type="dxa"/>
            <w:tcBorders>
              <w:top w:val="nil"/>
              <w:left w:val="single" w:sz="4" w:space="0" w:color="auto"/>
              <w:bottom w:val="single" w:sz="4" w:space="0" w:color="auto"/>
              <w:right w:val="nil"/>
            </w:tcBorders>
            <w:shd w:val="clear" w:color="auto" w:fill="auto"/>
          </w:tcPr>
          <w:p w14:paraId="686AC02E" w14:textId="77777777" w:rsidR="00EC4DF6" w:rsidRPr="000E6EB5" w:rsidRDefault="00EC4DF6" w:rsidP="006E09EC">
            <w:pPr>
              <w:autoSpaceDE w:val="0"/>
              <w:autoSpaceDN w:val="0"/>
              <w:adjustRightInd w:val="0"/>
              <w:spacing w:before="20" w:after="20"/>
              <w:rPr>
                <w:rFonts w:ascii="Arial" w:hAnsi="Arial"/>
                <w:sz w:val="20"/>
                <w:lang w:val="en-GB" w:eastAsia="en-GB"/>
              </w:rPr>
            </w:pPr>
            <w:r>
              <w:rPr>
                <w:rFonts w:ascii="Arial" w:hAnsi="Arial"/>
                <w:sz w:val="20"/>
                <w:lang w:val="en-GB" w:eastAsia="en-GB"/>
              </w:rPr>
              <w:t>Patients with events, N (%)</w:t>
            </w:r>
          </w:p>
        </w:tc>
        <w:tc>
          <w:tcPr>
            <w:tcW w:w="1050" w:type="dxa"/>
            <w:tcBorders>
              <w:top w:val="nil"/>
              <w:left w:val="nil"/>
              <w:bottom w:val="single" w:sz="4" w:space="0" w:color="auto"/>
              <w:right w:val="nil"/>
            </w:tcBorders>
            <w:shd w:val="clear" w:color="auto" w:fill="auto"/>
            <w:vAlign w:val="bottom"/>
          </w:tcPr>
          <w:p w14:paraId="625BA2AA"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83</w:t>
            </w:r>
            <w:r w:rsidRPr="000E6EB5">
              <w:rPr>
                <w:rFonts w:ascii="Arial" w:hAnsi="Arial"/>
                <w:sz w:val="20"/>
                <w:lang w:val="en-GB" w:eastAsia="en-GB"/>
              </w:rPr>
              <w:t xml:space="preserve"> (</w:t>
            </w:r>
            <w:r>
              <w:rPr>
                <w:rFonts w:ascii="Arial" w:hAnsi="Arial"/>
                <w:sz w:val="20"/>
                <w:lang w:val="en-GB" w:eastAsia="en-GB"/>
              </w:rPr>
              <w:t>40.7</w:t>
            </w:r>
            <w:r w:rsidRPr="000E6EB5">
              <w:rPr>
                <w:rFonts w:ascii="Arial" w:hAnsi="Arial"/>
                <w:sz w:val="20"/>
                <w:lang w:val="en-GB" w:eastAsia="en-GB"/>
              </w:rPr>
              <w:t>)</w:t>
            </w:r>
          </w:p>
        </w:tc>
        <w:tc>
          <w:tcPr>
            <w:tcW w:w="1425" w:type="dxa"/>
            <w:tcBorders>
              <w:top w:val="nil"/>
              <w:left w:val="nil"/>
              <w:bottom w:val="single" w:sz="4" w:space="0" w:color="auto"/>
              <w:right w:val="nil"/>
            </w:tcBorders>
            <w:shd w:val="clear" w:color="auto" w:fill="auto"/>
            <w:vAlign w:val="bottom"/>
          </w:tcPr>
          <w:p w14:paraId="707C3A8F"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75</w:t>
            </w:r>
            <w:r w:rsidRPr="000E6EB5">
              <w:rPr>
                <w:rFonts w:ascii="Arial" w:hAnsi="Arial"/>
                <w:sz w:val="20"/>
                <w:lang w:val="en-GB" w:eastAsia="en-GB"/>
              </w:rPr>
              <w:t xml:space="preserve"> (</w:t>
            </w:r>
            <w:r>
              <w:rPr>
                <w:rFonts w:ascii="Arial" w:hAnsi="Arial"/>
                <w:sz w:val="20"/>
                <w:lang w:val="en-GB" w:eastAsia="en-GB"/>
              </w:rPr>
              <w:t>24.3</w:t>
            </w:r>
            <w:r w:rsidRPr="000E6EB5">
              <w:rPr>
                <w:rFonts w:ascii="Arial" w:hAnsi="Arial"/>
                <w:sz w:val="20"/>
                <w:lang w:val="en-GB" w:eastAsia="en-GB"/>
              </w:rPr>
              <w:t>)</w:t>
            </w:r>
          </w:p>
        </w:tc>
        <w:tc>
          <w:tcPr>
            <w:tcW w:w="1185" w:type="dxa"/>
            <w:tcBorders>
              <w:top w:val="nil"/>
              <w:left w:val="single" w:sz="4" w:space="0" w:color="auto"/>
              <w:bottom w:val="single" w:sz="4" w:space="0" w:color="auto"/>
              <w:right w:val="nil"/>
            </w:tcBorders>
            <w:shd w:val="clear" w:color="auto" w:fill="auto"/>
            <w:vAlign w:val="bottom"/>
          </w:tcPr>
          <w:p w14:paraId="68DF61E1"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92</w:t>
            </w:r>
            <w:r w:rsidRPr="000E6EB5">
              <w:rPr>
                <w:rFonts w:ascii="Arial" w:hAnsi="Arial"/>
                <w:sz w:val="20"/>
                <w:lang w:val="en-GB" w:eastAsia="en-GB"/>
              </w:rPr>
              <w:t xml:space="preserve"> (</w:t>
            </w:r>
            <w:r>
              <w:rPr>
                <w:rFonts w:ascii="Arial" w:hAnsi="Arial"/>
                <w:sz w:val="20"/>
                <w:lang w:val="en-GB" w:eastAsia="en-GB"/>
              </w:rPr>
              <w:t>42.0</w:t>
            </w:r>
            <w:r w:rsidRPr="000E6EB5">
              <w:rPr>
                <w:rFonts w:ascii="Arial" w:hAnsi="Arial"/>
                <w:sz w:val="20"/>
                <w:lang w:val="en-GB" w:eastAsia="en-GB"/>
              </w:rPr>
              <w:t>)</w:t>
            </w:r>
          </w:p>
        </w:tc>
        <w:tc>
          <w:tcPr>
            <w:tcW w:w="1425" w:type="dxa"/>
            <w:tcBorders>
              <w:top w:val="nil"/>
              <w:left w:val="nil"/>
              <w:bottom w:val="single" w:sz="4" w:space="0" w:color="auto"/>
              <w:right w:val="single" w:sz="4" w:space="0" w:color="auto"/>
            </w:tcBorders>
            <w:shd w:val="clear" w:color="auto" w:fill="auto"/>
            <w:vAlign w:val="bottom"/>
          </w:tcPr>
          <w:p w14:paraId="5CBADE29"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 xml:space="preserve">98 </w:t>
            </w:r>
            <w:r w:rsidRPr="000E6EB5">
              <w:rPr>
                <w:rFonts w:ascii="Arial" w:hAnsi="Arial"/>
                <w:sz w:val="20"/>
                <w:lang w:val="en-GB" w:eastAsia="en-GB"/>
              </w:rPr>
              <w:t>(</w:t>
            </w:r>
            <w:r>
              <w:rPr>
                <w:rFonts w:ascii="Arial" w:hAnsi="Arial"/>
                <w:sz w:val="20"/>
                <w:lang w:val="en-GB" w:eastAsia="en-GB"/>
              </w:rPr>
              <w:t>29.8</w:t>
            </w:r>
            <w:r w:rsidRPr="000E6EB5">
              <w:rPr>
                <w:rFonts w:ascii="Arial" w:hAnsi="Arial"/>
                <w:sz w:val="20"/>
                <w:lang w:val="en-GB" w:eastAsia="en-GB"/>
              </w:rPr>
              <w:t>)</w:t>
            </w:r>
          </w:p>
        </w:tc>
        <w:tc>
          <w:tcPr>
            <w:tcW w:w="1184" w:type="dxa"/>
            <w:tcBorders>
              <w:top w:val="nil"/>
              <w:left w:val="single" w:sz="4" w:space="0" w:color="auto"/>
              <w:bottom w:val="single" w:sz="4" w:space="0" w:color="auto"/>
              <w:right w:val="nil"/>
            </w:tcBorders>
            <w:shd w:val="clear" w:color="auto" w:fill="auto"/>
            <w:vAlign w:val="bottom"/>
          </w:tcPr>
          <w:p w14:paraId="07E9BA8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175</w:t>
            </w:r>
            <w:r w:rsidRPr="000E6EB5">
              <w:rPr>
                <w:rFonts w:ascii="Arial" w:hAnsi="Arial"/>
                <w:sz w:val="20"/>
                <w:lang w:val="en-GB" w:eastAsia="en-GB"/>
              </w:rPr>
              <w:t xml:space="preserve"> (</w:t>
            </w:r>
            <w:r>
              <w:rPr>
                <w:rFonts w:ascii="Arial" w:hAnsi="Arial"/>
                <w:sz w:val="20"/>
                <w:lang w:val="en-GB" w:eastAsia="en-GB"/>
              </w:rPr>
              <w:t>41.4</w:t>
            </w:r>
            <w:r w:rsidRPr="000E6EB5">
              <w:rPr>
                <w:rFonts w:ascii="Arial" w:hAnsi="Arial"/>
                <w:sz w:val="20"/>
                <w:lang w:val="en-GB" w:eastAsia="en-GB"/>
              </w:rPr>
              <w:t>)</w:t>
            </w:r>
          </w:p>
        </w:tc>
        <w:tc>
          <w:tcPr>
            <w:tcW w:w="1343" w:type="dxa"/>
            <w:tcBorders>
              <w:top w:val="nil"/>
              <w:left w:val="nil"/>
              <w:bottom w:val="single" w:sz="4" w:space="0" w:color="auto"/>
              <w:right w:val="single" w:sz="4" w:space="0" w:color="auto"/>
            </w:tcBorders>
            <w:shd w:val="clear" w:color="auto" w:fill="auto"/>
            <w:vAlign w:val="bottom"/>
          </w:tcPr>
          <w:p w14:paraId="2CA60C56"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173</w:t>
            </w:r>
            <w:r w:rsidRPr="000E6EB5">
              <w:rPr>
                <w:rFonts w:ascii="Arial" w:hAnsi="Arial"/>
                <w:sz w:val="20"/>
                <w:lang w:val="en-GB" w:eastAsia="en-GB"/>
              </w:rPr>
              <w:t xml:space="preserve"> (</w:t>
            </w:r>
            <w:r>
              <w:rPr>
                <w:rFonts w:ascii="Arial" w:hAnsi="Arial"/>
                <w:sz w:val="20"/>
                <w:lang w:val="en-GB" w:eastAsia="en-GB"/>
              </w:rPr>
              <w:t>27.1</w:t>
            </w:r>
            <w:r w:rsidRPr="000E6EB5">
              <w:rPr>
                <w:rFonts w:ascii="Arial" w:hAnsi="Arial"/>
                <w:sz w:val="20"/>
                <w:lang w:val="en-GB" w:eastAsia="en-GB"/>
              </w:rPr>
              <w:t>)</w:t>
            </w:r>
          </w:p>
        </w:tc>
      </w:tr>
      <w:tr w:rsidR="00EC4DF6" w:rsidRPr="000E6EB5" w14:paraId="35B040A3" w14:textId="77777777" w:rsidTr="006E09EC">
        <w:trPr>
          <w:jc w:val="center"/>
        </w:trPr>
        <w:tc>
          <w:tcPr>
            <w:tcW w:w="9302" w:type="dxa"/>
            <w:gridSpan w:val="7"/>
            <w:tcBorders>
              <w:top w:val="single" w:sz="4" w:space="0" w:color="auto"/>
              <w:left w:val="single" w:sz="4" w:space="0" w:color="auto"/>
              <w:bottom w:val="single" w:sz="4" w:space="0" w:color="auto"/>
              <w:right w:val="single" w:sz="4" w:space="0" w:color="auto"/>
            </w:tcBorders>
            <w:shd w:val="clear" w:color="auto" w:fill="auto"/>
          </w:tcPr>
          <w:p w14:paraId="5D237E47" w14:textId="77777777" w:rsidR="00EC4DF6" w:rsidRPr="000E6EB5" w:rsidRDefault="00EC4DF6" w:rsidP="006E09EC">
            <w:pPr>
              <w:autoSpaceDE w:val="0"/>
              <w:autoSpaceDN w:val="0"/>
              <w:adjustRightInd w:val="0"/>
              <w:spacing w:before="20" w:after="20"/>
              <w:rPr>
                <w:rFonts w:ascii="Arial" w:hAnsi="Arial"/>
                <w:sz w:val="20"/>
                <w:lang w:val="en-GB" w:eastAsia="en-GB"/>
              </w:rPr>
            </w:pPr>
            <w:r>
              <w:rPr>
                <w:rFonts w:ascii="Arial" w:hAnsi="Arial"/>
                <w:sz w:val="20"/>
                <w:lang w:val="en-GB" w:eastAsia="en-GB"/>
              </w:rPr>
              <w:t>Comparison vs placebo</w:t>
            </w:r>
            <w:r w:rsidRPr="000E6EB5">
              <w:rPr>
                <w:rFonts w:ascii="Arial" w:hAnsi="Arial"/>
                <w:sz w:val="20"/>
                <w:vertAlign w:val="superscript"/>
                <w:lang w:val="en-GB" w:eastAsia="en-GB"/>
              </w:rPr>
              <w:t>1</w:t>
            </w:r>
          </w:p>
        </w:tc>
      </w:tr>
      <w:tr w:rsidR="00EC4DF6" w:rsidRPr="000E6EB5" w14:paraId="3DC41565" w14:textId="77777777" w:rsidTr="006E09EC">
        <w:trPr>
          <w:jc w:val="center"/>
        </w:trPr>
        <w:tc>
          <w:tcPr>
            <w:tcW w:w="1690" w:type="dxa"/>
            <w:tcBorders>
              <w:top w:val="single" w:sz="4" w:space="0" w:color="auto"/>
              <w:left w:val="single" w:sz="4" w:space="0" w:color="auto"/>
              <w:bottom w:val="nil"/>
              <w:right w:val="nil"/>
            </w:tcBorders>
            <w:shd w:val="clear" w:color="auto" w:fill="auto"/>
          </w:tcPr>
          <w:p w14:paraId="45AC74B2" w14:textId="77777777" w:rsidR="00EC4DF6" w:rsidRPr="000E6EB5" w:rsidRDefault="00EC4DF6" w:rsidP="006E09EC">
            <w:pPr>
              <w:autoSpaceDE w:val="0"/>
              <w:autoSpaceDN w:val="0"/>
              <w:adjustRightInd w:val="0"/>
              <w:spacing w:before="20" w:after="20"/>
              <w:ind w:left="306" w:right="-138"/>
              <w:rPr>
                <w:rFonts w:ascii="Arial" w:hAnsi="Arial"/>
                <w:sz w:val="20"/>
                <w:lang w:val="en-GB" w:eastAsia="en-GB"/>
              </w:rPr>
            </w:pPr>
            <w:r>
              <w:rPr>
                <w:rFonts w:ascii="Arial" w:hAnsi="Arial"/>
                <w:sz w:val="20"/>
                <w:lang w:val="en-GB" w:eastAsia="en-GB"/>
              </w:rPr>
              <w:t>p-value</w:t>
            </w:r>
            <w:r w:rsidRPr="000E6EB5">
              <w:rPr>
                <w:rFonts w:ascii="Arial" w:hAnsi="Arial"/>
                <w:sz w:val="20"/>
                <w:vertAlign w:val="superscript"/>
                <w:lang w:val="en-GB" w:eastAsia="en-GB"/>
              </w:rPr>
              <w:t>2</w:t>
            </w:r>
            <w:r w:rsidRPr="000E6EB5">
              <w:rPr>
                <w:rFonts w:ascii="Arial" w:hAnsi="Arial"/>
                <w:sz w:val="20"/>
                <w:lang w:val="en-GB" w:eastAsia="en-GB"/>
              </w:rPr>
              <w:t xml:space="preserve"> </w:t>
            </w:r>
          </w:p>
        </w:tc>
        <w:tc>
          <w:tcPr>
            <w:tcW w:w="1050" w:type="dxa"/>
            <w:tcBorders>
              <w:top w:val="single" w:sz="4" w:space="0" w:color="auto"/>
              <w:left w:val="nil"/>
              <w:bottom w:val="nil"/>
              <w:right w:val="nil"/>
            </w:tcBorders>
            <w:shd w:val="clear" w:color="auto" w:fill="auto"/>
            <w:vAlign w:val="bottom"/>
          </w:tcPr>
          <w:p w14:paraId="0405B57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425" w:type="dxa"/>
            <w:tcBorders>
              <w:top w:val="single" w:sz="4" w:space="0" w:color="auto"/>
              <w:left w:val="nil"/>
              <w:bottom w:val="nil"/>
              <w:right w:val="nil"/>
            </w:tcBorders>
            <w:shd w:val="clear" w:color="auto" w:fill="auto"/>
            <w:vAlign w:val="bottom"/>
          </w:tcPr>
          <w:p w14:paraId="6A0E95A7"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0.0001</w:t>
            </w:r>
          </w:p>
        </w:tc>
        <w:tc>
          <w:tcPr>
            <w:tcW w:w="1185" w:type="dxa"/>
            <w:tcBorders>
              <w:top w:val="single" w:sz="4" w:space="0" w:color="auto"/>
              <w:left w:val="single" w:sz="4" w:space="0" w:color="auto"/>
              <w:bottom w:val="nil"/>
              <w:right w:val="nil"/>
            </w:tcBorders>
            <w:shd w:val="clear" w:color="auto" w:fill="auto"/>
            <w:vAlign w:val="bottom"/>
          </w:tcPr>
          <w:p w14:paraId="4C900D3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425" w:type="dxa"/>
            <w:tcBorders>
              <w:top w:val="single" w:sz="4" w:space="0" w:color="auto"/>
              <w:left w:val="nil"/>
              <w:bottom w:val="nil"/>
              <w:right w:val="single" w:sz="4" w:space="0" w:color="auto"/>
            </w:tcBorders>
            <w:shd w:val="clear" w:color="auto" w:fill="auto"/>
            <w:vAlign w:val="bottom"/>
          </w:tcPr>
          <w:p w14:paraId="4D5715B9"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0.0054</w:t>
            </w:r>
          </w:p>
        </w:tc>
        <w:tc>
          <w:tcPr>
            <w:tcW w:w="1184" w:type="dxa"/>
            <w:tcBorders>
              <w:top w:val="single" w:sz="4" w:space="0" w:color="auto"/>
              <w:left w:val="single" w:sz="4" w:space="0" w:color="auto"/>
              <w:bottom w:val="nil"/>
              <w:right w:val="nil"/>
            </w:tcBorders>
            <w:shd w:val="clear" w:color="auto" w:fill="auto"/>
            <w:vAlign w:val="bottom"/>
          </w:tcPr>
          <w:p w14:paraId="20E93CE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343" w:type="dxa"/>
            <w:tcBorders>
              <w:top w:val="single" w:sz="4" w:space="0" w:color="auto"/>
              <w:left w:val="nil"/>
              <w:bottom w:val="nil"/>
              <w:right w:val="single" w:sz="4" w:space="0" w:color="auto"/>
            </w:tcBorders>
            <w:shd w:val="clear" w:color="auto" w:fill="auto"/>
            <w:vAlign w:val="bottom"/>
          </w:tcPr>
          <w:p w14:paraId="2ED1B2C6"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&lt;0.0001</w:t>
            </w:r>
          </w:p>
        </w:tc>
      </w:tr>
      <w:tr w:rsidR="00EC4DF6" w:rsidRPr="000E6EB5" w14:paraId="457C0E7C" w14:textId="77777777" w:rsidTr="006E09EC">
        <w:trPr>
          <w:jc w:val="center"/>
        </w:trPr>
        <w:tc>
          <w:tcPr>
            <w:tcW w:w="1690" w:type="dxa"/>
            <w:tcBorders>
              <w:top w:val="nil"/>
              <w:left w:val="single" w:sz="4" w:space="0" w:color="auto"/>
              <w:bottom w:val="nil"/>
              <w:right w:val="nil"/>
            </w:tcBorders>
            <w:shd w:val="clear" w:color="auto" w:fill="auto"/>
          </w:tcPr>
          <w:p w14:paraId="267597C3" w14:textId="77777777" w:rsidR="00EC4DF6" w:rsidRDefault="00EC4DF6" w:rsidP="006E09EC">
            <w:pPr>
              <w:autoSpaceDE w:val="0"/>
              <w:autoSpaceDN w:val="0"/>
              <w:adjustRightInd w:val="0"/>
              <w:spacing w:before="20" w:after="20"/>
              <w:ind w:left="306" w:right="-138"/>
              <w:rPr>
                <w:rFonts w:ascii="Arial" w:hAnsi="Arial"/>
                <w:sz w:val="20"/>
                <w:lang w:val="en-GB" w:eastAsia="en-GB"/>
              </w:rPr>
            </w:pPr>
            <w:r>
              <w:rPr>
                <w:rFonts w:ascii="Arial" w:hAnsi="Arial"/>
                <w:sz w:val="20"/>
                <w:lang w:val="en-GB" w:eastAsia="en-GB"/>
              </w:rPr>
              <w:t>Hazard ratio</w:t>
            </w:r>
            <w:r>
              <w:rPr>
                <w:rFonts w:ascii="Arial" w:hAnsi="Arial"/>
                <w:sz w:val="20"/>
                <w:vertAlign w:val="superscript"/>
                <w:lang w:val="en-GB" w:eastAsia="en-GB"/>
              </w:rPr>
              <w:t>3</w:t>
            </w:r>
          </w:p>
        </w:tc>
        <w:tc>
          <w:tcPr>
            <w:tcW w:w="1050" w:type="dxa"/>
            <w:tcBorders>
              <w:top w:val="nil"/>
              <w:left w:val="nil"/>
              <w:bottom w:val="nil"/>
              <w:right w:val="nil"/>
            </w:tcBorders>
            <w:shd w:val="clear" w:color="auto" w:fill="auto"/>
            <w:vAlign w:val="bottom"/>
          </w:tcPr>
          <w:p w14:paraId="084BE60A"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425" w:type="dxa"/>
            <w:tcBorders>
              <w:top w:val="nil"/>
              <w:left w:val="nil"/>
              <w:bottom w:val="nil"/>
              <w:right w:val="nil"/>
            </w:tcBorders>
            <w:shd w:val="clear" w:color="auto" w:fill="auto"/>
            <w:vAlign w:val="bottom"/>
          </w:tcPr>
          <w:p w14:paraId="62C4CB12" w14:textId="77777777" w:rsidR="00EC4DF6"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0.53</w:t>
            </w:r>
          </w:p>
        </w:tc>
        <w:tc>
          <w:tcPr>
            <w:tcW w:w="1185" w:type="dxa"/>
            <w:tcBorders>
              <w:top w:val="nil"/>
              <w:left w:val="single" w:sz="4" w:space="0" w:color="auto"/>
              <w:bottom w:val="nil"/>
              <w:right w:val="nil"/>
            </w:tcBorders>
            <w:shd w:val="clear" w:color="auto" w:fill="auto"/>
            <w:vAlign w:val="bottom"/>
          </w:tcPr>
          <w:p w14:paraId="32AF6FA5"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425" w:type="dxa"/>
            <w:tcBorders>
              <w:top w:val="nil"/>
              <w:left w:val="nil"/>
              <w:bottom w:val="nil"/>
              <w:right w:val="single" w:sz="4" w:space="0" w:color="auto"/>
            </w:tcBorders>
            <w:shd w:val="clear" w:color="auto" w:fill="auto"/>
            <w:vAlign w:val="bottom"/>
          </w:tcPr>
          <w:p w14:paraId="0F5ADB52" w14:textId="77777777" w:rsidR="00EC4DF6"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0.67</w:t>
            </w:r>
          </w:p>
        </w:tc>
        <w:tc>
          <w:tcPr>
            <w:tcW w:w="1184" w:type="dxa"/>
            <w:tcBorders>
              <w:top w:val="nil"/>
              <w:left w:val="single" w:sz="4" w:space="0" w:color="auto"/>
              <w:bottom w:val="nil"/>
              <w:right w:val="nil"/>
            </w:tcBorders>
            <w:shd w:val="clear" w:color="auto" w:fill="auto"/>
            <w:vAlign w:val="bottom"/>
          </w:tcPr>
          <w:p w14:paraId="2B9C8C1E"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343" w:type="dxa"/>
            <w:tcBorders>
              <w:top w:val="nil"/>
              <w:left w:val="nil"/>
              <w:bottom w:val="nil"/>
              <w:right w:val="single" w:sz="4" w:space="0" w:color="auto"/>
            </w:tcBorders>
            <w:shd w:val="clear" w:color="auto" w:fill="auto"/>
            <w:vAlign w:val="bottom"/>
          </w:tcPr>
          <w:p w14:paraId="2FB81EA3" w14:textId="77777777" w:rsidR="00EC4DF6"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0.60</w:t>
            </w:r>
          </w:p>
        </w:tc>
      </w:tr>
      <w:tr w:rsidR="00EC4DF6" w:rsidRPr="000E6EB5" w14:paraId="6EF6ACB6" w14:textId="77777777" w:rsidTr="006E09EC">
        <w:trPr>
          <w:jc w:val="center"/>
        </w:trPr>
        <w:tc>
          <w:tcPr>
            <w:tcW w:w="1690" w:type="dxa"/>
            <w:tcBorders>
              <w:top w:val="nil"/>
              <w:left w:val="single" w:sz="4" w:space="0" w:color="auto"/>
              <w:bottom w:val="single" w:sz="4" w:space="0" w:color="auto"/>
              <w:right w:val="nil"/>
            </w:tcBorders>
            <w:shd w:val="clear" w:color="auto" w:fill="auto"/>
          </w:tcPr>
          <w:p w14:paraId="43447886" w14:textId="77777777" w:rsidR="00EC4DF6" w:rsidRPr="000E6EB5" w:rsidRDefault="00EC4DF6" w:rsidP="006E09EC">
            <w:pPr>
              <w:autoSpaceDE w:val="0"/>
              <w:autoSpaceDN w:val="0"/>
              <w:adjustRightInd w:val="0"/>
              <w:spacing w:before="20" w:after="20"/>
              <w:ind w:left="306" w:right="-138"/>
              <w:rPr>
                <w:rFonts w:ascii="Arial" w:hAnsi="Arial"/>
                <w:sz w:val="20"/>
                <w:lang w:val="en-GB" w:eastAsia="en-GB"/>
              </w:rPr>
            </w:pPr>
            <w:r>
              <w:rPr>
                <w:rFonts w:ascii="Arial" w:hAnsi="Arial"/>
                <w:sz w:val="20"/>
                <w:lang w:val="en-GB" w:eastAsia="en-GB"/>
              </w:rPr>
              <w:t>95% CI</w:t>
            </w:r>
          </w:p>
        </w:tc>
        <w:tc>
          <w:tcPr>
            <w:tcW w:w="1050" w:type="dxa"/>
            <w:tcBorders>
              <w:top w:val="nil"/>
              <w:left w:val="nil"/>
              <w:bottom w:val="single" w:sz="4" w:space="0" w:color="auto"/>
              <w:right w:val="nil"/>
            </w:tcBorders>
            <w:shd w:val="clear" w:color="auto" w:fill="auto"/>
            <w:vAlign w:val="bottom"/>
          </w:tcPr>
          <w:p w14:paraId="34D07F7A"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425" w:type="dxa"/>
            <w:tcBorders>
              <w:top w:val="nil"/>
              <w:left w:val="nil"/>
              <w:bottom w:val="single" w:sz="4" w:space="0" w:color="auto"/>
              <w:right w:val="nil"/>
            </w:tcBorders>
            <w:shd w:val="clear" w:color="auto" w:fill="auto"/>
            <w:vAlign w:val="bottom"/>
          </w:tcPr>
          <w:p w14:paraId="3DB73A25"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(0.39, 0.72)</w:t>
            </w:r>
          </w:p>
        </w:tc>
        <w:tc>
          <w:tcPr>
            <w:tcW w:w="1185" w:type="dxa"/>
            <w:tcBorders>
              <w:top w:val="nil"/>
              <w:left w:val="single" w:sz="4" w:space="0" w:color="auto"/>
              <w:bottom w:val="single" w:sz="4" w:space="0" w:color="auto"/>
              <w:right w:val="nil"/>
            </w:tcBorders>
            <w:shd w:val="clear" w:color="auto" w:fill="auto"/>
            <w:vAlign w:val="bottom"/>
          </w:tcPr>
          <w:p w14:paraId="393E7A9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425" w:type="dxa"/>
            <w:tcBorders>
              <w:top w:val="nil"/>
              <w:left w:val="nil"/>
              <w:bottom w:val="single" w:sz="4" w:space="0" w:color="auto"/>
              <w:right w:val="single" w:sz="4" w:space="0" w:color="auto"/>
            </w:tcBorders>
            <w:shd w:val="clear" w:color="auto" w:fill="auto"/>
            <w:vAlign w:val="bottom"/>
          </w:tcPr>
          <w:p w14:paraId="2CF1512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(0.51, 0.89)</w:t>
            </w:r>
          </w:p>
        </w:tc>
        <w:tc>
          <w:tcPr>
            <w:tcW w:w="1184" w:type="dxa"/>
            <w:tcBorders>
              <w:top w:val="nil"/>
              <w:left w:val="single" w:sz="4" w:space="0" w:color="auto"/>
              <w:bottom w:val="single" w:sz="4" w:space="0" w:color="auto"/>
              <w:right w:val="nil"/>
            </w:tcBorders>
            <w:shd w:val="clear" w:color="auto" w:fill="auto"/>
            <w:vAlign w:val="bottom"/>
          </w:tcPr>
          <w:p w14:paraId="40C28F98"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343" w:type="dxa"/>
            <w:tcBorders>
              <w:top w:val="nil"/>
              <w:left w:val="nil"/>
              <w:bottom w:val="single" w:sz="4" w:space="0" w:color="auto"/>
              <w:right w:val="single" w:sz="4" w:space="0" w:color="auto"/>
            </w:tcBorders>
            <w:shd w:val="clear" w:color="auto" w:fill="auto"/>
            <w:vAlign w:val="bottom"/>
          </w:tcPr>
          <w:p w14:paraId="030B98EF"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(0.49, 0.74)</w:t>
            </w:r>
          </w:p>
        </w:tc>
      </w:tr>
    </w:tbl>
    <w:p w14:paraId="084CC28D" w14:textId="77777777" w:rsidR="00EC4DF6" w:rsidRPr="000E6EB5" w:rsidRDefault="00EC4DF6" w:rsidP="00EC4DF6">
      <w:pPr>
        <w:autoSpaceDE w:val="0"/>
        <w:autoSpaceDN w:val="0"/>
        <w:adjustRightInd w:val="0"/>
        <w:spacing w:before="40"/>
        <w:ind w:left="142" w:hanging="142"/>
        <w:rPr>
          <w:rFonts w:ascii="Arial" w:hAnsi="Arial"/>
          <w:sz w:val="20"/>
          <w:lang w:val="en-GB" w:eastAsia="en-GB"/>
        </w:rPr>
      </w:pPr>
      <w:proofErr w:type="gramStart"/>
      <w:r w:rsidRPr="000E6EB5">
        <w:rPr>
          <w:rFonts w:ascii="Arial" w:hAnsi="Arial"/>
          <w:sz w:val="20"/>
          <w:vertAlign w:val="superscript"/>
          <w:lang w:val="en-GB" w:eastAsia="en-GB"/>
        </w:rPr>
        <w:t>1</w:t>
      </w:r>
      <w:proofErr w:type="gramEnd"/>
      <w:r w:rsidRPr="000E6EB5">
        <w:rPr>
          <w:rFonts w:ascii="Arial" w:hAnsi="Arial"/>
          <w:sz w:val="20"/>
          <w:lang w:val="en-GB" w:eastAsia="en-GB"/>
        </w:rPr>
        <w:t xml:space="preserve"> </w:t>
      </w:r>
      <w:r>
        <w:rPr>
          <w:rFonts w:ascii="Arial" w:hAnsi="Arial"/>
          <w:sz w:val="20"/>
          <w:lang w:val="en-GB" w:eastAsia="en-GB"/>
        </w:rPr>
        <w:t>Based on data collected up to 372 days (52 weeks + 7 day margin).</w:t>
      </w:r>
    </w:p>
    <w:p w14:paraId="03D04C01" w14:textId="77777777" w:rsidR="00EC4DF6" w:rsidRDefault="00EC4DF6" w:rsidP="00EC4DF6">
      <w:pPr>
        <w:autoSpaceDE w:val="0"/>
        <w:autoSpaceDN w:val="0"/>
        <w:adjustRightInd w:val="0"/>
        <w:rPr>
          <w:rFonts w:ascii="Arial" w:hAnsi="Arial"/>
          <w:sz w:val="20"/>
          <w:lang w:val="en-GB" w:eastAsia="en-GB"/>
        </w:rPr>
      </w:pPr>
      <w:proofErr w:type="gramStart"/>
      <w:r w:rsidRPr="000E6EB5">
        <w:rPr>
          <w:rFonts w:ascii="Arial" w:hAnsi="Arial"/>
          <w:sz w:val="20"/>
          <w:vertAlign w:val="superscript"/>
          <w:lang w:val="en-GB" w:eastAsia="en-GB"/>
        </w:rPr>
        <w:t>2</w:t>
      </w:r>
      <w:proofErr w:type="gramEnd"/>
      <w:r>
        <w:rPr>
          <w:rFonts w:ascii="Arial" w:hAnsi="Arial"/>
          <w:sz w:val="20"/>
          <w:lang w:val="en-GB" w:eastAsia="en-GB"/>
        </w:rPr>
        <w:t xml:space="preserve"> Based on a Log-rank test.</w:t>
      </w:r>
    </w:p>
    <w:p w14:paraId="69007F5A" w14:textId="77777777" w:rsidR="00EC4DF6" w:rsidRPr="000E6EB5" w:rsidRDefault="00EC4DF6" w:rsidP="000F322D">
      <w:pPr>
        <w:autoSpaceDE w:val="0"/>
        <w:autoSpaceDN w:val="0"/>
        <w:adjustRightInd w:val="0"/>
        <w:spacing w:after="180"/>
        <w:rPr>
          <w:rFonts w:ascii="Arial" w:hAnsi="Arial"/>
          <w:sz w:val="20"/>
          <w:lang w:val="en-GB" w:eastAsia="en-GB"/>
        </w:rPr>
      </w:pPr>
      <w:r>
        <w:rPr>
          <w:rFonts w:ascii="Arial" w:hAnsi="Arial"/>
          <w:sz w:val="20"/>
          <w:vertAlign w:val="superscript"/>
          <w:lang w:val="en-GB" w:eastAsia="en-GB"/>
        </w:rPr>
        <w:t>3</w:t>
      </w:r>
      <w:r>
        <w:rPr>
          <w:rFonts w:ascii="Arial" w:hAnsi="Arial"/>
          <w:sz w:val="20"/>
          <w:lang w:val="en-GB" w:eastAsia="en-GB"/>
        </w:rPr>
        <w:t xml:space="preserve"> Based on a Cox’s regression model.</w:t>
      </w:r>
    </w:p>
    <w:p w14:paraId="718855CB" w14:textId="77777777" w:rsidR="00EC4DF6" w:rsidRPr="00BF21E9" w:rsidRDefault="00EC4DF6" w:rsidP="00EC4DF6">
      <w:pPr>
        <w:autoSpaceDE w:val="0"/>
        <w:autoSpaceDN w:val="0"/>
        <w:adjustRightInd w:val="0"/>
        <w:spacing w:after="60"/>
        <w:jc w:val="both"/>
        <w:rPr>
          <w:rFonts w:ascii="Arial" w:hAnsi="Arial"/>
          <w:sz w:val="22"/>
          <w:szCs w:val="22"/>
          <w:u w:val="single"/>
          <w:lang w:val="en-GB" w:eastAsia="en-GB"/>
        </w:rPr>
      </w:pPr>
      <w:r w:rsidRPr="00BF21E9">
        <w:rPr>
          <w:rFonts w:ascii="Arial" w:hAnsi="Arial"/>
          <w:sz w:val="22"/>
          <w:szCs w:val="22"/>
          <w:u w:val="single"/>
          <w:lang w:val="en-GB" w:eastAsia="en-GB"/>
        </w:rPr>
        <w:t>Change from baseline in SGRQ total score at week 52</w:t>
      </w:r>
    </w:p>
    <w:p w14:paraId="16504A8E" w14:textId="44FEB7F1" w:rsidR="00EC4DF6" w:rsidRPr="006158D4" w:rsidRDefault="00EC4DF6" w:rsidP="000F322D">
      <w:pPr>
        <w:autoSpaceDE w:val="0"/>
        <w:autoSpaceDN w:val="0"/>
        <w:adjustRightInd w:val="0"/>
        <w:spacing w:before="120" w:after="180"/>
        <w:jc w:val="both"/>
        <w:rPr>
          <w:rFonts w:ascii="Arial" w:hAnsi="Arial"/>
          <w:sz w:val="22"/>
          <w:szCs w:val="22"/>
          <w:lang w:eastAsia="en-GB"/>
        </w:rPr>
      </w:pPr>
      <w:r w:rsidRPr="00C3419E">
        <w:rPr>
          <w:rFonts w:ascii="Arial" w:hAnsi="Arial"/>
          <w:sz w:val="22"/>
          <w:szCs w:val="22"/>
          <w:lang w:val="en-GB" w:eastAsia="en-GB"/>
        </w:rPr>
        <w:t>SGRQ total score measuring health related quality of life (</w:t>
      </w:r>
      <w:proofErr w:type="spellStart"/>
      <w:r w:rsidRPr="00C3419E">
        <w:rPr>
          <w:rFonts w:ascii="Arial" w:hAnsi="Arial"/>
          <w:sz w:val="22"/>
          <w:szCs w:val="22"/>
          <w:lang w:val="en-GB" w:eastAsia="en-GB"/>
        </w:rPr>
        <w:t>HRQoL</w:t>
      </w:r>
      <w:proofErr w:type="spellEnd"/>
      <w:r w:rsidRPr="00C3419E">
        <w:rPr>
          <w:rFonts w:ascii="Arial" w:hAnsi="Arial"/>
          <w:sz w:val="22"/>
          <w:szCs w:val="22"/>
          <w:lang w:val="en-GB" w:eastAsia="en-GB"/>
        </w:rPr>
        <w:t xml:space="preserve">) was analysed at 52 weeks. In INPULSIS-2, patients receiving placebo had a larger increase from baseline SGRQ total score as compared to patients receiving </w:t>
      </w:r>
      <w:r w:rsidR="001F4A46">
        <w:rPr>
          <w:rFonts w:ascii="Arial" w:hAnsi="Arial"/>
          <w:sz w:val="22"/>
          <w:szCs w:val="22"/>
          <w:lang w:val="en-GB" w:eastAsia="en-GB"/>
        </w:rPr>
        <w:t>OFEV</w:t>
      </w:r>
      <w:r w:rsidR="001F4A46" w:rsidRPr="00C3419E">
        <w:rPr>
          <w:rFonts w:ascii="Arial" w:hAnsi="Arial"/>
          <w:sz w:val="22"/>
          <w:szCs w:val="22"/>
          <w:lang w:val="en-GB" w:eastAsia="en-GB"/>
        </w:rPr>
        <w:t xml:space="preserve"> </w:t>
      </w:r>
      <w:r w:rsidRPr="00C3419E">
        <w:rPr>
          <w:rFonts w:ascii="Arial" w:hAnsi="Arial"/>
          <w:sz w:val="22"/>
          <w:szCs w:val="22"/>
          <w:lang w:val="en-GB" w:eastAsia="en-GB"/>
        </w:rPr>
        <w:t xml:space="preserve">150 mg bid. The deterioration of </w:t>
      </w:r>
      <w:proofErr w:type="spellStart"/>
      <w:r w:rsidRPr="00C3419E">
        <w:rPr>
          <w:rFonts w:ascii="Arial" w:hAnsi="Arial"/>
          <w:sz w:val="22"/>
          <w:szCs w:val="22"/>
          <w:lang w:val="en-GB" w:eastAsia="en-GB"/>
        </w:rPr>
        <w:t>HRQoL</w:t>
      </w:r>
      <w:proofErr w:type="spellEnd"/>
      <w:r w:rsidRPr="00C3419E">
        <w:rPr>
          <w:rFonts w:ascii="Arial" w:hAnsi="Arial"/>
          <w:sz w:val="22"/>
          <w:szCs w:val="22"/>
          <w:lang w:val="en-GB" w:eastAsia="en-GB"/>
        </w:rPr>
        <w:t xml:space="preserve"> was smaller in the </w:t>
      </w:r>
      <w:proofErr w:type="spellStart"/>
      <w:r w:rsidRPr="00C3419E">
        <w:rPr>
          <w:rFonts w:ascii="Arial" w:hAnsi="Arial"/>
          <w:sz w:val="22"/>
          <w:szCs w:val="22"/>
          <w:lang w:val="en-GB" w:eastAsia="en-GB"/>
        </w:rPr>
        <w:t>nintedanib</w:t>
      </w:r>
      <w:proofErr w:type="spellEnd"/>
      <w:r w:rsidRPr="00C3419E">
        <w:rPr>
          <w:rFonts w:ascii="Arial" w:hAnsi="Arial"/>
          <w:sz w:val="22"/>
          <w:szCs w:val="22"/>
          <w:lang w:val="en-GB" w:eastAsia="en-GB"/>
        </w:rPr>
        <w:t xml:space="preserve"> group; the difference between the treatment groups was </w:t>
      </w:r>
      <w:r>
        <w:rPr>
          <w:rFonts w:ascii="Arial" w:hAnsi="Arial"/>
          <w:sz w:val="22"/>
          <w:szCs w:val="22"/>
          <w:lang w:val="en-GB" w:eastAsia="en-GB"/>
        </w:rPr>
        <w:t xml:space="preserve">modest, but </w:t>
      </w:r>
      <w:r w:rsidRPr="00C3419E">
        <w:rPr>
          <w:rFonts w:ascii="Arial" w:hAnsi="Arial"/>
          <w:sz w:val="22"/>
          <w:szCs w:val="22"/>
          <w:lang w:val="en-GB" w:eastAsia="en-GB"/>
        </w:rPr>
        <w:t>statistically significant (-2.69; 95% CI: -4.95, -0.43; p=0.0197).</w:t>
      </w:r>
      <w:r>
        <w:rPr>
          <w:rFonts w:ascii="Arial" w:hAnsi="Arial"/>
          <w:sz w:val="22"/>
          <w:szCs w:val="22"/>
          <w:lang w:val="en-GB" w:eastAsia="en-GB"/>
        </w:rPr>
        <w:t xml:space="preserve"> The clinical significance of this finding is unknown.</w:t>
      </w:r>
    </w:p>
    <w:p w14:paraId="0333020A" w14:textId="517EA702" w:rsidR="00EC4DF6" w:rsidRDefault="00EC4DF6" w:rsidP="000F322D">
      <w:pPr>
        <w:autoSpaceDE w:val="0"/>
        <w:autoSpaceDN w:val="0"/>
        <w:adjustRightInd w:val="0"/>
        <w:spacing w:after="180"/>
        <w:jc w:val="both"/>
        <w:rPr>
          <w:rFonts w:ascii="Arial" w:hAnsi="Arial"/>
          <w:sz w:val="22"/>
          <w:szCs w:val="22"/>
          <w:lang w:val="en-GB" w:eastAsia="en-GB"/>
        </w:rPr>
      </w:pPr>
      <w:r w:rsidRPr="00C3419E">
        <w:rPr>
          <w:rFonts w:ascii="Arial" w:hAnsi="Arial"/>
          <w:sz w:val="22"/>
          <w:szCs w:val="22"/>
          <w:lang w:val="en-GB" w:eastAsia="en-GB"/>
        </w:rPr>
        <w:t xml:space="preserve">In INPULSIS-1, the increase from baseline in SGRQ total score at week 52 was comparable between </w:t>
      </w:r>
      <w:r w:rsidR="001F4A46">
        <w:rPr>
          <w:rFonts w:ascii="Arial" w:hAnsi="Arial"/>
          <w:sz w:val="22"/>
          <w:szCs w:val="22"/>
          <w:lang w:val="en-GB" w:eastAsia="en-GB"/>
        </w:rPr>
        <w:t>OFEV</w:t>
      </w:r>
      <w:r w:rsidR="001F4A46" w:rsidRPr="00C3419E">
        <w:rPr>
          <w:rFonts w:ascii="Arial" w:hAnsi="Arial"/>
          <w:sz w:val="22"/>
          <w:szCs w:val="22"/>
          <w:lang w:val="en-GB" w:eastAsia="en-GB"/>
        </w:rPr>
        <w:t xml:space="preserve"> </w:t>
      </w:r>
      <w:r w:rsidRPr="00C3419E">
        <w:rPr>
          <w:rFonts w:ascii="Arial" w:hAnsi="Arial"/>
          <w:sz w:val="22"/>
          <w:szCs w:val="22"/>
          <w:lang w:val="en-GB" w:eastAsia="en-GB"/>
        </w:rPr>
        <w:t xml:space="preserve">and placebo (difference between treatment groups: -0.05; 95% CI: -2.50, 2.40; p=0.9657).  In the pooled analysis of the INPULSIS trials, the estimated mean change from baseline to week 52 in SGRQ total score was smaller in the </w:t>
      </w:r>
      <w:r w:rsidR="001F4A46">
        <w:rPr>
          <w:rFonts w:ascii="Arial" w:hAnsi="Arial"/>
          <w:sz w:val="22"/>
          <w:szCs w:val="22"/>
          <w:lang w:val="en-GB" w:eastAsia="en-GB"/>
        </w:rPr>
        <w:t>OFEV</w:t>
      </w:r>
      <w:r w:rsidR="001F4A46" w:rsidRPr="00C3419E">
        <w:rPr>
          <w:rFonts w:ascii="Arial" w:hAnsi="Arial"/>
          <w:sz w:val="22"/>
          <w:szCs w:val="22"/>
          <w:lang w:val="en-GB" w:eastAsia="en-GB"/>
        </w:rPr>
        <w:t xml:space="preserve"> </w:t>
      </w:r>
      <w:r w:rsidRPr="00C3419E">
        <w:rPr>
          <w:rFonts w:ascii="Arial" w:hAnsi="Arial"/>
          <w:sz w:val="22"/>
          <w:szCs w:val="22"/>
          <w:lang w:val="en-GB" w:eastAsia="en-GB"/>
        </w:rPr>
        <w:t xml:space="preserve">group (3.53) than in the placebo group (4.96), with a difference between the treatment groups of -1.43 (95% CI: -3.09, 0.23; p = 0.0923). Overall, the effect of </w:t>
      </w:r>
      <w:r w:rsidR="001F4A46">
        <w:rPr>
          <w:rFonts w:ascii="Arial" w:hAnsi="Arial"/>
          <w:sz w:val="22"/>
          <w:szCs w:val="22"/>
          <w:lang w:val="en-GB" w:eastAsia="en-GB"/>
        </w:rPr>
        <w:t>OFEV</w:t>
      </w:r>
      <w:r w:rsidR="001F4A46" w:rsidRPr="00C3419E">
        <w:rPr>
          <w:rFonts w:ascii="Arial" w:hAnsi="Arial"/>
          <w:sz w:val="22"/>
          <w:szCs w:val="22"/>
          <w:lang w:val="en-GB" w:eastAsia="en-GB"/>
        </w:rPr>
        <w:t xml:space="preserve"> </w:t>
      </w:r>
      <w:r w:rsidRPr="00C3419E">
        <w:rPr>
          <w:rFonts w:ascii="Arial" w:hAnsi="Arial"/>
          <w:sz w:val="22"/>
          <w:szCs w:val="22"/>
          <w:lang w:val="en-GB" w:eastAsia="en-GB"/>
        </w:rPr>
        <w:t>on health-related quality of life as measured by the SGRQ total score is modest, indicating less worsening compared to placebo.</w:t>
      </w:r>
      <w:r>
        <w:rPr>
          <w:rFonts w:ascii="Arial" w:hAnsi="Arial"/>
          <w:sz w:val="22"/>
          <w:szCs w:val="22"/>
          <w:lang w:val="en-GB" w:eastAsia="en-GB"/>
        </w:rPr>
        <w:t xml:space="preserve"> The clinical significance of this finding is unknown.</w:t>
      </w:r>
    </w:p>
    <w:p w14:paraId="35EA4A7C" w14:textId="77777777" w:rsidR="00EC4DF6" w:rsidRPr="00BF21E9" w:rsidRDefault="00EC4DF6" w:rsidP="00EC4DF6">
      <w:pPr>
        <w:autoSpaceDE w:val="0"/>
        <w:autoSpaceDN w:val="0"/>
        <w:adjustRightInd w:val="0"/>
        <w:spacing w:after="60"/>
        <w:rPr>
          <w:rFonts w:ascii="Arial" w:hAnsi="Arial"/>
          <w:sz w:val="22"/>
          <w:szCs w:val="22"/>
          <w:u w:val="single"/>
          <w:lang w:val="en-GB" w:eastAsia="en-GB"/>
        </w:rPr>
      </w:pPr>
      <w:r w:rsidRPr="00BF21E9">
        <w:rPr>
          <w:rFonts w:ascii="Arial" w:hAnsi="Arial"/>
          <w:sz w:val="22"/>
          <w:szCs w:val="22"/>
          <w:u w:val="single"/>
          <w:lang w:val="en-GB" w:eastAsia="en-GB"/>
        </w:rPr>
        <w:t>Time to first acute IPF exacerbation</w:t>
      </w:r>
    </w:p>
    <w:p w14:paraId="32559977" w14:textId="118BF3E5" w:rsidR="00EC4DF6" w:rsidRPr="000F322D" w:rsidRDefault="00EC4DF6" w:rsidP="000F322D">
      <w:pPr>
        <w:autoSpaceDE w:val="0"/>
        <w:autoSpaceDN w:val="0"/>
        <w:adjustRightInd w:val="0"/>
        <w:spacing w:before="120"/>
        <w:jc w:val="both"/>
        <w:rPr>
          <w:rFonts w:ascii="Arial" w:hAnsi="Arial"/>
          <w:sz w:val="22"/>
          <w:szCs w:val="22"/>
          <w:lang w:val="en-GB" w:eastAsia="en-GB"/>
        </w:rPr>
      </w:pPr>
      <w:r w:rsidRPr="00C3419E">
        <w:rPr>
          <w:rFonts w:ascii="Arial" w:hAnsi="Arial"/>
          <w:sz w:val="22"/>
          <w:szCs w:val="22"/>
          <w:lang w:val="en-GB" w:eastAsia="en-GB"/>
        </w:rPr>
        <w:t>In the INPULSIS-2 trial, the risk of first acute IPF exacerbation over 52 weeks was</w:t>
      </w:r>
      <w:r>
        <w:rPr>
          <w:rFonts w:ascii="Arial" w:hAnsi="Arial"/>
          <w:sz w:val="22"/>
          <w:szCs w:val="22"/>
          <w:lang w:val="en-GB" w:eastAsia="en-GB"/>
        </w:rPr>
        <w:t xml:space="preserve"> </w:t>
      </w:r>
      <w:r w:rsidRPr="00C3419E">
        <w:rPr>
          <w:rFonts w:ascii="Arial" w:hAnsi="Arial"/>
          <w:sz w:val="22"/>
          <w:szCs w:val="22"/>
          <w:lang w:val="en-GB" w:eastAsia="en-GB"/>
        </w:rPr>
        <w:t xml:space="preserve">significantly reduced in patients receiving </w:t>
      </w:r>
      <w:r w:rsidR="001F4A46">
        <w:rPr>
          <w:rFonts w:ascii="Arial" w:hAnsi="Arial"/>
          <w:sz w:val="22"/>
          <w:szCs w:val="22"/>
          <w:lang w:val="en-GB" w:eastAsia="en-GB"/>
        </w:rPr>
        <w:t>OFEV</w:t>
      </w:r>
      <w:r w:rsidR="001F4A46" w:rsidRPr="00C3419E">
        <w:rPr>
          <w:rFonts w:ascii="Arial" w:hAnsi="Arial"/>
          <w:sz w:val="22"/>
          <w:szCs w:val="22"/>
          <w:lang w:val="en-GB" w:eastAsia="en-GB"/>
        </w:rPr>
        <w:t xml:space="preserve"> </w:t>
      </w:r>
      <w:r w:rsidRPr="00C3419E">
        <w:rPr>
          <w:rFonts w:ascii="Arial" w:hAnsi="Arial"/>
          <w:sz w:val="22"/>
          <w:szCs w:val="22"/>
          <w:lang w:val="en-GB" w:eastAsia="en-GB"/>
        </w:rPr>
        <w:t>compared to placebo, in the INPULSIS</w:t>
      </w:r>
      <w:r>
        <w:rPr>
          <w:rFonts w:ascii="Arial" w:hAnsi="Arial"/>
          <w:sz w:val="22"/>
          <w:szCs w:val="22"/>
          <w:lang w:val="en-GB" w:eastAsia="en-GB"/>
        </w:rPr>
        <w:noBreakHyphen/>
      </w:r>
      <w:r w:rsidRPr="00C3419E">
        <w:rPr>
          <w:rFonts w:ascii="Arial" w:hAnsi="Arial"/>
          <w:sz w:val="22"/>
          <w:szCs w:val="22"/>
          <w:lang w:val="en-GB" w:eastAsia="en-GB"/>
        </w:rPr>
        <w:t xml:space="preserve">1 trial there was no difference in between the treatment groups. In the pooled analysis of the INPULSIS trials, a numerically lower risk of first acute exacerbation was observed in patients receiving </w:t>
      </w:r>
      <w:r w:rsidR="001F4A46">
        <w:rPr>
          <w:rFonts w:ascii="Arial" w:hAnsi="Arial"/>
          <w:sz w:val="22"/>
          <w:szCs w:val="22"/>
          <w:lang w:val="en-GB" w:eastAsia="en-GB"/>
        </w:rPr>
        <w:t>OFEV</w:t>
      </w:r>
      <w:r w:rsidR="001F4A46" w:rsidRPr="00C3419E">
        <w:rPr>
          <w:rFonts w:ascii="Arial" w:hAnsi="Arial"/>
          <w:sz w:val="22"/>
          <w:szCs w:val="22"/>
          <w:lang w:val="en-GB" w:eastAsia="en-GB"/>
        </w:rPr>
        <w:t xml:space="preserve"> </w:t>
      </w:r>
      <w:r w:rsidRPr="00C3419E">
        <w:rPr>
          <w:rFonts w:ascii="Arial" w:hAnsi="Arial"/>
          <w:sz w:val="22"/>
          <w:szCs w:val="22"/>
          <w:lang w:val="en-GB" w:eastAsia="en-GB"/>
        </w:rPr>
        <w:t xml:space="preserve">compared to placebo. See Table </w:t>
      </w:r>
      <w:r w:rsidR="009135E8">
        <w:rPr>
          <w:rFonts w:ascii="Arial" w:hAnsi="Arial"/>
          <w:sz w:val="22"/>
          <w:szCs w:val="22"/>
          <w:lang w:val="en-GB" w:eastAsia="en-GB"/>
        </w:rPr>
        <w:t>13</w:t>
      </w:r>
      <w:r w:rsidRPr="00C3419E">
        <w:rPr>
          <w:rFonts w:ascii="Arial" w:hAnsi="Arial"/>
          <w:sz w:val="22"/>
          <w:szCs w:val="22"/>
          <w:lang w:val="en-GB" w:eastAsia="en-GB"/>
        </w:rPr>
        <w:t xml:space="preserve"> for individual and pooled study results.</w:t>
      </w:r>
      <w:r>
        <w:rPr>
          <w:rFonts w:ascii="Arial" w:hAnsi="Arial"/>
          <w:b/>
          <w:bCs/>
          <w:sz w:val="22"/>
          <w:szCs w:val="22"/>
          <w:lang w:val="en-GB" w:eastAsia="en-GB"/>
        </w:rPr>
        <w:br w:type="page"/>
      </w:r>
    </w:p>
    <w:p w14:paraId="18ED32C4" w14:textId="6F523EDC" w:rsidR="00EC4DF6" w:rsidRPr="000802F1" w:rsidRDefault="00EC4DF6" w:rsidP="00EC4DF6">
      <w:pPr>
        <w:pStyle w:val="TextPI"/>
        <w:tabs>
          <w:tab w:val="left" w:pos="1134"/>
        </w:tabs>
        <w:ind w:left="1122" w:hanging="1122"/>
        <w:rPr>
          <w:b/>
          <w:sz w:val="20"/>
          <w:szCs w:val="20"/>
          <w:lang w:val="en-GB"/>
        </w:rPr>
      </w:pPr>
      <w:r w:rsidRPr="000802F1">
        <w:rPr>
          <w:b/>
          <w:sz w:val="20"/>
          <w:szCs w:val="20"/>
          <w:lang w:val="en-GB"/>
        </w:rPr>
        <w:lastRenderedPageBreak/>
        <w:t xml:space="preserve">Table </w:t>
      </w:r>
      <w:r w:rsidR="009135E8">
        <w:rPr>
          <w:b/>
          <w:sz w:val="20"/>
          <w:szCs w:val="20"/>
          <w:lang w:val="en-GB"/>
        </w:rPr>
        <w:t>13</w:t>
      </w:r>
      <w:r w:rsidRPr="000802F1">
        <w:rPr>
          <w:b/>
          <w:sz w:val="20"/>
          <w:szCs w:val="20"/>
          <w:lang w:val="en-GB"/>
        </w:rPr>
        <w:t xml:space="preserve">: </w:t>
      </w:r>
      <w:r w:rsidRPr="000802F1">
        <w:rPr>
          <w:b/>
          <w:sz w:val="20"/>
          <w:szCs w:val="20"/>
          <w:lang w:val="en-GB"/>
        </w:rPr>
        <w:tab/>
        <w:t>Time to first acute exacerbation over 52 weeks based on investigator-reported events in trials INPULSIS-1, INPULSIS-2, and their pooled data - treated set</w:t>
      </w:r>
    </w:p>
    <w:tbl>
      <w:tblPr>
        <w:tblW w:w="9302" w:type="dxa"/>
        <w:jc w:val="center"/>
        <w:tblBorders>
          <w:top w:val="single" w:sz="4" w:space="0" w:color="auto"/>
          <w:left w:val="single" w:sz="4" w:space="0" w:color="auto"/>
          <w:bottom w:val="single" w:sz="4" w:space="0" w:color="auto"/>
          <w:right w:val="single" w:sz="4" w:space="0" w:color="auto"/>
        </w:tblBorders>
        <w:shd w:val="clear" w:color="auto" w:fill="FABF8F"/>
        <w:tblLook w:val="04A0" w:firstRow="1" w:lastRow="0" w:firstColumn="1" w:lastColumn="0" w:noHBand="0" w:noVBand="1"/>
      </w:tblPr>
      <w:tblGrid>
        <w:gridCol w:w="1487"/>
        <w:gridCol w:w="983"/>
        <w:gridCol w:w="1624"/>
        <w:gridCol w:w="997"/>
        <w:gridCol w:w="1800"/>
        <w:gridCol w:w="1036"/>
        <w:gridCol w:w="1375"/>
      </w:tblGrid>
      <w:tr w:rsidR="00EC4DF6" w:rsidRPr="00C3419E" w14:paraId="07EDEA54" w14:textId="77777777" w:rsidTr="006E09EC">
        <w:trPr>
          <w:tblHeader/>
          <w:jc w:val="center"/>
        </w:trPr>
        <w:tc>
          <w:tcPr>
            <w:tcW w:w="1487" w:type="dxa"/>
            <w:tcBorders>
              <w:top w:val="single" w:sz="4" w:space="0" w:color="auto"/>
              <w:bottom w:val="single" w:sz="4" w:space="0" w:color="auto"/>
              <w:right w:val="nil"/>
            </w:tcBorders>
            <w:shd w:val="clear" w:color="auto" w:fill="auto"/>
          </w:tcPr>
          <w:p w14:paraId="5EC13615" w14:textId="77777777" w:rsidR="00EC4DF6" w:rsidRPr="000E6EB5" w:rsidRDefault="00EC4DF6" w:rsidP="006E09EC">
            <w:pPr>
              <w:autoSpaceDE w:val="0"/>
              <w:autoSpaceDN w:val="0"/>
              <w:adjustRightInd w:val="0"/>
              <w:spacing w:before="20" w:after="20"/>
              <w:rPr>
                <w:rFonts w:ascii="Arial" w:hAnsi="Arial"/>
                <w:sz w:val="20"/>
                <w:lang w:val="en-GB" w:eastAsia="en-GB"/>
              </w:rPr>
            </w:pPr>
          </w:p>
        </w:tc>
        <w:tc>
          <w:tcPr>
            <w:tcW w:w="2607" w:type="dxa"/>
            <w:gridSpan w:val="2"/>
            <w:tcBorders>
              <w:top w:val="single" w:sz="4" w:space="0" w:color="auto"/>
              <w:left w:val="nil"/>
              <w:bottom w:val="single" w:sz="4" w:space="0" w:color="auto"/>
              <w:right w:val="single" w:sz="4" w:space="0" w:color="auto"/>
            </w:tcBorders>
            <w:shd w:val="clear" w:color="auto" w:fill="auto"/>
            <w:vAlign w:val="bottom"/>
          </w:tcPr>
          <w:p w14:paraId="3544BC4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INPULSIS-1</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F7411D"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p w14:paraId="3089C928"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INPULSIS-2</w:t>
            </w:r>
          </w:p>
        </w:tc>
        <w:tc>
          <w:tcPr>
            <w:tcW w:w="2411" w:type="dxa"/>
            <w:gridSpan w:val="2"/>
            <w:tcBorders>
              <w:top w:val="single" w:sz="4" w:space="0" w:color="auto"/>
              <w:left w:val="single" w:sz="4" w:space="0" w:color="auto"/>
              <w:bottom w:val="single" w:sz="4" w:space="0" w:color="auto"/>
            </w:tcBorders>
            <w:shd w:val="clear" w:color="auto" w:fill="auto"/>
            <w:vAlign w:val="bottom"/>
          </w:tcPr>
          <w:p w14:paraId="30F6D248"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INPULSIS-1 and INPULSIS-2 pooled</w:t>
            </w:r>
          </w:p>
        </w:tc>
      </w:tr>
      <w:tr w:rsidR="00EC4DF6" w:rsidRPr="00C3419E" w14:paraId="205B9DB4" w14:textId="77777777" w:rsidTr="006E09EC">
        <w:trPr>
          <w:tblHeader/>
          <w:jc w:val="center"/>
        </w:trPr>
        <w:tc>
          <w:tcPr>
            <w:tcW w:w="1487" w:type="dxa"/>
            <w:tcBorders>
              <w:top w:val="single" w:sz="4" w:space="0" w:color="auto"/>
              <w:bottom w:val="single" w:sz="4" w:space="0" w:color="auto"/>
              <w:right w:val="nil"/>
            </w:tcBorders>
            <w:shd w:val="clear" w:color="auto" w:fill="auto"/>
          </w:tcPr>
          <w:p w14:paraId="4D4347A5" w14:textId="77777777" w:rsidR="00EC4DF6" w:rsidRPr="000E6EB5" w:rsidRDefault="00EC4DF6" w:rsidP="006E09EC">
            <w:pPr>
              <w:autoSpaceDE w:val="0"/>
              <w:autoSpaceDN w:val="0"/>
              <w:adjustRightInd w:val="0"/>
              <w:spacing w:before="20" w:after="20"/>
              <w:rPr>
                <w:rFonts w:ascii="Arial" w:hAnsi="Arial"/>
                <w:sz w:val="20"/>
                <w:lang w:val="en-GB" w:eastAsia="en-GB"/>
              </w:rPr>
            </w:pPr>
          </w:p>
        </w:tc>
        <w:tc>
          <w:tcPr>
            <w:tcW w:w="983" w:type="dxa"/>
            <w:tcBorders>
              <w:top w:val="single" w:sz="4" w:space="0" w:color="auto"/>
              <w:left w:val="nil"/>
              <w:bottom w:val="single" w:sz="4" w:space="0" w:color="auto"/>
            </w:tcBorders>
            <w:shd w:val="clear" w:color="auto" w:fill="auto"/>
          </w:tcPr>
          <w:p w14:paraId="29206873"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Placebo</w:t>
            </w:r>
          </w:p>
        </w:tc>
        <w:tc>
          <w:tcPr>
            <w:tcW w:w="1624" w:type="dxa"/>
            <w:tcBorders>
              <w:top w:val="single" w:sz="4" w:space="0" w:color="auto"/>
              <w:bottom w:val="single" w:sz="4" w:space="0" w:color="auto"/>
              <w:right w:val="single" w:sz="4" w:space="0" w:color="auto"/>
            </w:tcBorders>
            <w:shd w:val="clear" w:color="auto" w:fill="auto"/>
          </w:tcPr>
          <w:p w14:paraId="5B53BFA5"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OFEV</w:t>
            </w:r>
            <w:r w:rsidRPr="000E6EB5">
              <w:rPr>
                <w:rFonts w:ascii="Arial" w:hAnsi="Arial"/>
                <w:sz w:val="20"/>
                <w:lang w:val="en-GB" w:eastAsia="en-GB"/>
              </w:rPr>
              <w:t xml:space="preserve"> 150</w:t>
            </w:r>
            <w:r>
              <w:rPr>
                <w:rFonts w:ascii="Arial" w:hAnsi="Arial"/>
                <w:sz w:val="20"/>
                <w:lang w:val="en-GB" w:eastAsia="en-GB"/>
              </w:rPr>
              <w:t> </w:t>
            </w:r>
            <w:r w:rsidRPr="000E6EB5">
              <w:rPr>
                <w:rFonts w:ascii="Arial" w:hAnsi="Arial"/>
                <w:sz w:val="20"/>
                <w:lang w:val="en-GB" w:eastAsia="en-GB"/>
              </w:rPr>
              <w:t>mg twice daily</w:t>
            </w:r>
          </w:p>
        </w:tc>
        <w:tc>
          <w:tcPr>
            <w:tcW w:w="997" w:type="dxa"/>
            <w:tcBorders>
              <w:top w:val="single" w:sz="4" w:space="0" w:color="auto"/>
              <w:left w:val="single" w:sz="4" w:space="0" w:color="auto"/>
              <w:bottom w:val="single" w:sz="4" w:space="0" w:color="auto"/>
            </w:tcBorders>
            <w:shd w:val="clear" w:color="auto" w:fill="auto"/>
          </w:tcPr>
          <w:p w14:paraId="36EBFBCD"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Placebo</w:t>
            </w:r>
          </w:p>
        </w:tc>
        <w:tc>
          <w:tcPr>
            <w:tcW w:w="1800" w:type="dxa"/>
            <w:tcBorders>
              <w:top w:val="single" w:sz="4" w:space="0" w:color="auto"/>
              <w:bottom w:val="single" w:sz="4" w:space="0" w:color="auto"/>
              <w:right w:val="single" w:sz="4" w:space="0" w:color="auto"/>
            </w:tcBorders>
            <w:shd w:val="clear" w:color="auto" w:fill="auto"/>
          </w:tcPr>
          <w:p w14:paraId="1627BFA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OFEV</w:t>
            </w:r>
            <w:r w:rsidRPr="000E6EB5">
              <w:rPr>
                <w:rFonts w:ascii="Arial" w:hAnsi="Arial"/>
                <w:sz w:val="20"/>
                <w:lang w:val="en-GB" w:eastAsia="en-GB"/>
              </w:rPr>
              <w:t xml:space="preserve"> 150</w:t>
            </w:r>
            <w:r>
              <w:rPr>
                <w:rFonts w:ascii="Arial" w:hAnsi="Arial"/>
                <w:sz w:val="20"/>
                <w:lang w:val="en-GB" w:eastAsia="en-GB"/>
              </w:rPr>
              <w:t> </w:t>
            </w:r>
            <w:r w:rsidRPr="000E6EB5">
              <w:rPr>
                <w:rFonts w:ascii="Arial" w:hAnsi="Arial"/>
                <w:sz w:val="20"/>
                <w:lang w:val="en-GB" w:eastAsia="en-GB"/>
              </w:rPr>
              <w:t>mg twice daily</w:t>
            </w:r>
          </w:p>
        </w:tc>
        <w:tc>
          <w:tcPr>
            <w:tcW w:w="1036" w:type="dxa"/>
            <w:tcBorders>
              <w:top w:val="single" w:sz="4" w:space="0" w:color="auto"/>
              <w:left w:val="single" w:sz="4" w:space="0" w:color="auto"/>
              <w:bottom w:val="single" w:sz="4" w:space="0" w:color="auto"/>
            </w:tcBorders>
            <w:shd w:val="clear" w:color="auto" w:fill="auto"/>
          </w:tcPr>
          <w:p w14:paraId="0DF0AE95"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Placebo</w:t>
            </w:r>
          </w:p>
        </w:tc>
        <w:tc>
          <w:tcPr>
            <w:tcW w:w="1375" w:type="dxa"/>
            <w:tcBorders>
              <w:top w:val="single" w:sz="4" w:space="0" w:color="auto"/>
              <w:bottom w:val="single" w:sz="4" w:space="0" w:color="auto"/>
            </w:tcBorders>
            <w:shd w:val="clear" w:color="auto" w:fill="auto"/>
          </w:tcPr>
          <w:p w14:paraId="65664B17"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OFEV</w:t>
            </w:r>
            <w:r w:rsidRPr="000E6EB5">
              <w:rPr>
                <w:rFonts w:ascii="Arial" w:hAnsi="Arial"/>
                <w:sz w:val="20"/>
                <w:lang w:val="en-GB" w:eastAsia="en-GB"/>
              </w:rPr>
              <w:t xml:space="preserve"> 150</w:t>
            </w:r>
            <w:r>
              <w:rPr>
                <w:rFonts w:ascii="Arial" w:hAnsi="Arial"/>
                <w:sz w:val="20"/>
                <w:lang w:val="en-GB" w:eastAsia="en-GB"/>
              </w:rPr>
              <w:t> </w:t>
            </w:r>
            <w:r w:rsidRPr="000E6EB5">
              <w:rPr>
                <w:rFonts w:ascii="Arial" w:hAnsi="Arial"/>
                <w:sz w:val="20"/>
                <w:lang w:val="en-GB" w:eastAsia="en-GB"/>
              </w:rPr>
              <w:t>mg twice daily</w:t>
            </w:r>
          </w:p>
        </w:tc>
      </w:tr>
      <w:tr w:rsidR="00EC4DF6" w:rsidRPr="00C3419E" w14:paraId="6759A0D2" w14:textId="77777777" w:rsidTr="006E09EC">
        <w:trPr>
          <w:jc w:val="center"/>
        </w:trPr>
        <w:tc>
          <w:tcPr>
            <w:tcW w:w="1487" w:type="dxa"/>
            <w:tcBorders>
              <w:top w:val="single" w:sz="4" w:space="0" w:color="auto"/>
              <w:right w:val="nil"/>
            </w:tcBorders>
            <w:shd w:val="clear" w:color="auto" w:fill="auto"/>
          </w:tcPr>
          <w:p w14:paraId="75BDCEE4"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 xml:space="preserve">Number at risk </w:t>
            </w:r>
          </w:p>
        </w:tc>
        <w:tc>
          <w:tcPr>
            <w:tcW w:w="983" w:type="dxa"/>
            <w:tcBorders>
              <w:top w:val="single" w:sz="4" w:space="0" w:color="auto"/>
              <w:left w:val="nil"/>
            </w:tcBorders>
            <w:shd w:val="clear" w:color="auto" w:fill="auto"/>
            <w:vAlign w:val="bottom"/>
          </w:tcPr>
          <w:p w14:paraId="0DB6EC21"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204</w:t>
            </w:r>
          </w:p>
        </w:tc>
        <w:tc>
          <w:tcPr>
            <w:tcW w:w="1624" w:type="dxa"/>
            <w:tcBorders>
              <w:top w:val="single" w:sz="4" w:space="0" w:color="auto"/>
              <w:right w:val="single" w:sz="4" w:space="0" w:color="auto"/>
            </w:tcBorders>
            <w:shd w:val="clear" w:color="auto" w:fill="auto"/>
            <w:vAlign w:val="bottom"/>
          </w:tcPr>
          <w:p w14:paraId="3D8D65A9"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309</w:t>
            </w:r>
          </w:p>
        </w:tc>
        <w:tc>
          <w:tcPr>
            <w:tcW w:w="997" w:type="dxa"/>
            <w:tcBorders>
              <w:top w:val="single" w:sz="4" w:space="0" w:color="auto"/>
              <w:left w:val="single" w:sz="4" w:space="0" w:color="auto"/>
            </w:tcBorders>
            <w:shd w:val="clear" w:color="auto" w:fill="auto"/>
            <w:vAlign w:val="bottom"/>
          </w:tcPr>
          <w:p w14:paraId="7481DCA8"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219</w:t>
            </w:r>
          </w:p>
        </w:tc>
        <w:tc>
          <w:tcPr>
            <w:tcW w:w="1800" w:type="dxa"/>
            <w:tcBorders>
              <w:top w:val="single" w:sz="4" w:space="0" w:color="auto"/>
              <w:right w:val="single" w:sz="4" w:space="0" w:color="auto"/>
            </w:tcBorders>
            <w:shd w:val="clear" w:color="auto" w:fill="auto"/>
            <w:vAlign w:val="bottom"/>
          </w:tcPr>
          <w:p w14:paraId="34FB1830"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329</w:t>
            </w:r>
          </w:p>
        </w:tc>
        <w:tc>
          <w:tcPr>
            <w:tcW w:w="1036" w:type="dxa"/>
            <w:tcBorders>
              <w:top w:val="single" w:sz="4" w:space="0" w:color="auto"/>
              <w:left w:val="single" w:sz="4" w:space="0" w:color="auto"/>
            </w:tcBorders>
            <w:shd w:val="clear" w:color="auto" w:fill="auto"/>
            <w:vAlign w:val="bottom"/>
          </w:tcPr>
          <w:p w14:paraId="1FDBA65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423</w:t>
            </w:r>
          </w:p>
        </w:tc>
        <w:tc>
          <w:tcPr>
            <w:tcW w:w="1375" w:type="dxa"/>
            <w:tcBorders>
              <w:top w:val="single" w:sz="4" w:space="0" w:color="auto"/>
            </w:tcBorders>
            <w:shd w:val="clear" w:color="auto" w:fill="auto"/>
            <w:vAlign w:val="bottom"/>
          </w:tcPr>
          <w:p w14:paraId="4889BE6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638</w:t>
            </w:r>
          </w:p>
        </w:tc>
      </w:tr>
      <w:tr w:rsidR="00EC4DF6" w:rsidRPr="00C3419E" w14:paraId="6844D67E" w14:textId="77777777" w:rsidTr="006E09EC">
        <w:trPr>
          <w:trHeight w:val="117"/>
          <w:jc w:val="center"/>
        </w:trPr>
        <w:tc>
          <w:tcPr>
            <w:tcW w:w="1487" w:type="dxa"/>
            <w:tcBorders>
              <w:bottom w:val="single" w:sz="4" w:space="0" w:color="auto"/>
              <w:right w:val="nil"/>
            </w:tcBorders>
            <w:shd w:val="clear" w:color="auto" w:fill="auto"/>
          </w:tcPr>
          <w:p w14:paraId="747B95B7"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Patients with events, N (%)</w:t>
            </w:r>
          </w:p>
        </w:tc>
        <w:tc>
          <w:tcPr>
            <w:tcW w:w="983" w:type="dxa"/>
            <w:tcBorders>
              <w:left w:val="nil"/>
              <w:bottom w:val="single" w:sz="4" w:space="0" w:color="auto"/>
            </w:tcBorders>
            <w:shd w:val="clear" w:color="auto" w:fill="auto"/>
            <w:vAlign w:val="bottom"/>
          </w:tcPr>
          <w:p w14:paraId="442B903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11 (5.4)</w:t>
            </w:r>
          </w:p>
        </w:tc>
        <w:tc>
          <w:tcPr>
            <w:tcW w:w="1624" w:type="dxa"/>
            <w:tcBorders>
              <w:bottom w:val="single" w:sz="4" w:space="0" w:color="auto"/>
              <w:right w:val="single" w:sz="4" w:space="0" w:color="auto"/>
            </w:tcBorders>
            <w:shd w:val="clear" w:color="auto" w:fill="auto"/>
            <w:vAlign w:val="bottom"/>
          </w:tcPr>
          <w:p w14:paraId="5648FFEC"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19 (6.1)</w:t>
            </w:r>
          </w:p>
        </w:tc>
        <w:tc>
          <w:tcPr>
            <w:tcW w:w="997" w:type="dxa"/>
            <w:tcBorders>
              <w:left w:val="single" w:sz="4" w:space="0" w:color="auto"/>
              <w:bottom w:val="single" w:sz="4" w:space="0" w:color="auto"/>
            </w:tcBorders>
            <w:shd w:val="clear" w:color="auto" w:fill="auto"/>
            <w:vAlign w:val="bottom"/>
          </w:tcPr>
          <w:p w14:paraId="498EEE6E"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21 (9.6)</w:t>
            </w:r>
          </w:p>
        </w:tc>
        <w:tc>
          <w:tcPr>
            <w:tcW w:w="1800" w:type="dxa"/>
            <w:tcBorders>
              <w:bottom w:val="single" w:sz="4" w:space="0" w:color="auto"/>
              <w:right w:val="single" w:sz="4" w:space="0" w:color="auto"/>
            </w:tcBorders>
            <w:shd w:val="clear" w:color="auto" w:fill="auto"/>
            <w:vAlign w:val="bottom"/>
          </w:tcPr>
          <w:p w14:paraId="0B5DC8CE"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12 (3.6)</w:t>
            </w:r>
          </w:p>
        </w:tc>
        <w:tc>
          <w:tcPr>
            <w:tcW w:w="1036" w:type="dxa"/>
            <w:tcBorders>
              <w:left w:val="single" w:sz="4" w:space="0" w:color="auto"/>
              <w:bottom w:val="single" w:sz="4" w:space="0" w:color="auto"/>
            </w:tcBorders>
            <w:shd w:val="clear" w:color="auto" w:fill="auto"/>
            <w:vAlign w:val="bottom"/>
          </w:tcPr>
          <w:p w14:paraId="27ED4E5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32 (7.6)</w:t>
            </w:r>
          </w:p>
        </w:tc>
        <w:tc>
          <w:tcPr>
            <w:tcW w:w="1375" w:type="dxa"/>
            <w:tcBorders>
              <w:bottom w:val="single" w:sz="4" w:space="0" w:color="auto"/>
            </w:tcBorders>
            <w:shd w:val="clear" w:color="auto" w:fill="auto"/>
            <w:vAlign w:val="bottom"/>
          </w:tcPr>
          <w:p w14:paraId="55E25E3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31 (4.9)</w:t>
            </w:r>
          </w:p>
        </w:tc>
      </w:tr>
      <w:tr w:rsidR="00EC4DF6" w:rsidRPr="00C3419E" w14:paraId="0737B989" w14:textId="77777777" w:rsidTr="006E09EC">
        <w:trPr>
          <w:jc w:val="center"/>
        </w:trPr>
        <w:tc>
          <w:tcPr>
            <w:tcW w:w="9302" w:type="dxa"/>
            <w:gridSpan w:val="7"/>
            <w:tcBorders>
              <w:top w:val="single" w:sz="4" w:space="0" w:color="auto"/>
              <w:bottom w:val="single" w:sz="4" w:space="0" w:color="auto"/>
            </w:tcBorders>
            <w:shd w:val="clear" w:color="auto" w:fill="auto"/>
          </w:tcPr>
          <w:p w14:paraId="33E5854D" w14:textId="77777777" w:rsidR="00EC4DF6" w:rsidRPr="000E6EB5" w:rsidRDefault="00EC4DF6" w:rsidP="006E09EC">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Comparison vs placebo</w:t>
            </w:r>
            <w:r w:rsidRPr="006907DA">
              <w:rPr>
                <w:rFonts w:ascii="Arial" w:hAnsi="Arial"/>
                <w:sz w:val="20"/>
                <w:vertAlign w:val="superscript"/>
                <w:lang w:val="en-GB" w:eastAsia="en-GB"/>
              </w:rPr>
              <w:t>1</w:t>
            </w:r>
          </w:p>
        </w:tc>
      </w:tr>
      <w:tr w:rsidR="00EC4DF6" w:rsidRPr="00C3419E" w14:paraId="03CF8881" w14:textId="77777777" w:rsidTr="006E09EC">
        <w:trPr>
          <w:jc w:val="center"/>
        </w:trPr>
        <w:tc>
          <w:tcPr>
            <w:tcW w:w="1487" w:type="dxa"/>
            <w:tcBorders>
              <w:top w:val="single" w:sz="4" w:space="0" w:color="auto"/>
              <w:right w:val="nil"/>
            </w:tcBorders>
            <w:shd w:val="clear" w:color="auto" w:fill="auto"/>
          </w:tcPr>
          <w:p w14:paraId="7FD57915" w14:textId="77777777" w:rsidR="00EC4DF6" w:rsidRPr="000E6EB5" w:rsidRDefault="00EC4DF6" w:rsidP="006E09EC">
            <w:pPr>
              <w:autoSpaceDE w:val="0"/>
              <w:autoSpaceDN w:val="0"/>
              <w:adjustRightInd w:val="0"/>
              <w:spacing w:before="20" w:after="20"/>
              <w:jc w:val="right"/>
              <w:rPr>
                <w:rFonts w:ascii="Arial" w:hAnsi="Arial"/>
                <w:sz w:val="20"/>
                <w:lang w:val="en-GB" w:eastAsia="en-GB"/>
              </w:rPr>
            </w:pPr>
            <w:r w:rsidRPr="000E6EB5">
              <w:rPr>
                <w:rFonts w:ascii="Arial" w:hAnsi="Arial"/>
                <w:sz w:val="20"/>
                <w:lang w:val="en-GB" w:eastAsia="en-GB"/>
              </w:rPr>
              <w:t>p-value</w:t>
            </w:r>
            <w:r w:rsidRPr="006907DA">
              <w:rPr>
                <w:rFonts w:ascii="Arial" w:hAnsi="Arial"/>
                <w:sz w:val="20"/>
                <w:vertAlign w:val="superscript"/>
                <w:lang w:val="en-GB" w:eastAsia="en-GB"/>
              </w:rPr>
              <w:t>2</w:t>
            </w:r>
          </w:p>
        </w:tc>
        <w:tc>
          <w:tcPr>
            <w:tcW w:w="983" w:type="dxa"/>
            <w:tcBorders>
              <w:top w:val="single" w:sz="4" w:space="0" w:color="auto"/>
              <w:left w:val="nil"/>
            </w:tcBorders>
            <w:shd w:val="clear" w:color="auto" w:fill="auto"/>
            <w:vAlign w:val="bottom"/>
          </w:tcPr>
          <w:p w14:paraId="3B93234C"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624" w:type="dxa"/>
            <w:tcBorders>
              <w:top w:val="single" w:sz="4" w:space="0" w:color="auto"/>
              <w:right w:val="single" w:sz="4" w:space="0" w:color="auto"/>
            </w:tcBorders>
            <w:shd w:val="clear" w:color="auto" w:fill="auto"/>
            <w:vAlign w:val="bottom"/>
          </w:tcPr>
          <w:p w14:paraId="16BE0071"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0.6728</w:t>
            </w:r>
          </w:p>
        </w:tc>
        <w:tc>
          <w:tcPr>
            <w:tcW w:w="997" w:type="dxa"/>
            <w:tcBorders>
              <w:top w:val="single" w:sz="4" w:space="0" w:color="auto"/>
              <w:left w:val="single" w:sz="4" w:space="0" w:color="auto"/>
            </w:tcBorders>
            <w:shd w:val="clear" w:color="auto" w:fill="auto"/>
            <w:vAlign w:val="bottom"/>
          </w:tcPr>
          <w:p w14:paraId="12239CC3"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800" w:type="dxa"/>
            <w:tcBorders>
              <w:top w:val="single" w:sz="4" w:space="0" w:color="auto"/>
              <w:right w:val="single" w:sz="4" w:space="0" w:color="auto"/>
            </w:tcBorders>
            <w:shd w:val="clear" w:color="auto" w:fill="auto"/>
            <w:vAlign w:val="bottom"/>
          </w:tcPr>
          <w:p w14:paraId="7B4190A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0.0050</w:t>
            </w:r>
          </w:p>
        </w:tc>
        <w:tc>
          <w:tcPr>
            <w:tcW w:w="1036" w:type="dxa"/>
            <w:tcBorders>
              <w:top w:val="single" w:sz="4" w:space="0" w:color="auto"/>
              <w:left w:val="single" w:sz="4" w:space="0" w:color="auto"/>
            </w:tcBorders>
            <w:shd w:val="clear" w:color="auto" w:fill="auto"/>
            <w:vAlign w:val="bottom"/>
          </w:tcPr>
          <w:p w14:paraId="1D57FA4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375" w:type="dxa"/>
            <w:tcBorders>
              <w:top w:val="single" w:sz="4" w:space="0" w:color="auto"/>
            </w:tcBorders>
            <w:shd w:val="clear" w:color="auto" w:fill="auto"/>
            <w:vAlign w:val="bottom"/>
          </w:tcPr>
          <w:p w14:paraId="5329C09F"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0.0823</w:t>
            </w:r>
          </w:p>
        </w:tc>
      </w:tr>
      <w:tr w:rsidR="00EC4DF6" w:rsidRPr="00C3419E" w14:paraId="310F4D97" w14:textId="77777777" w:rsidTr="006E09EC">
        <w:trPr>
          <w:jc w:val="center"/>
        </w:trPr>
        <w:tc>
          <w:tcPr>
            <w:tcW w:w="1487" w:type="dxa"/>
            <w:tcBorders>
              <w:right w:val="nil"/>
            </w:tcBorders>
            <w:shd w:val="clear" w:color="auto" w:fill="auto"/>
          </w:tcPr>
          <w:p w14:paraId="4BB47030" w14:textId="77777777" w:rsidR="00EC4DF6" w:rsidRPr="000E6EB5" w:rsidRDefault="00EC4DF6" w:rsidP="006E09EC">
            <w:pPr>
              <w:autoSpaceDE w:val="0"/>
              <w:autoSpaceDN w:val="0"/>
              <w:adjustRightInd w:val="0"/>
              <w:spacing w:before="20" w:after="20"/>
              <w:jc w:val="right"/>
              <w:rPr>
                <w:rFonts w:ascii="Arial" w:hAnsi="Arial"/>
                <w:sz w:val="20"/>
                <w:lang w:val="en-GB" w:eastAsia="en-GB"/>
              </w:rPr>
            </w:pPr>
            <w:r w:rsidRPr="000E6EB5">
              <w:rPr>
                <w:rFonts w:ascii="Arial" w:hAnsi="Arial"/>
                <w:sz w:val="20"/>
                <w:lang w:val="en-GB" w:eastAsia="en-GB"/>
              </w:rPr>
              <w:t>Hazard ratio</w:t>
            </w:r>
            <w:r w:rsidRPr="006907DA">
              <w:rPr>
                <w:rFonts w:ascii="Arial" w:hAnsi="Arial"/>
                <w:sz w:val="20"/>
                <w:vertAlign w:val="superscript"/>
                <w:lang w:val="en-GB" w:eastAsia="en-GB"/>
              </w:rPr>
              <w:t>3</w:t>
            </w:r>
          </w:p>
        </w:tc>
        <w:tc>
          <w:tcPr>
            <w:tcW w:w="983" w:type="dxa"/>
            <w:tcBorders>
              <w:left w:val="nil"/>
            </w:tcBorders>
            <w:shd w:val="clear" w:color="auto" w:fill="auto"/>
            <w:vAlign w:val="bottom"/>
          </w:tcPr>
          <w:p w14:paraId="6440CB89"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624" w:type="dxa"/>
            <w:tcBorders>
              <w:right w:val="single" w:sz="4" w:space="0" w:color="auto"/>
            </w:tcBorders>
            <w:shd w:val="clear" w:color="auto" w:fill="auto"/>
            <w:vAlign w:val="bottom"/>
          </w:tcPr>
          <w:p w14:paraId="24CD2867"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1.15</w:t>
            </w:r>
          </w:p>
        </w:tc>
        <w:tc>
          <w:tcPr>
            <w:tcW w:w="997" w:type="dxa"/>
            <w:tcBorders>
              <w:left w:val="single" w:sz="4" w:space="0" w:color="auto"/>
            </w:tcBorders>
            <w:shd w:val="clear" w:color="auto" w:fill="auto"/>
            <w:vAlign w:val="bottom"/>
          </w:tcPr>
          <w:p w14:paraId="6D93C4E4"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800" w:type="dxa"/>
            <w:tcBorders>
              <w:right w:val="single" w:sz="4" w:space="0" w:color="auto"/>
            </w:tcBorders>
            <w:shd w:val="clear" w:color="auto" w:fill="auto"/>
            <w:vAlign w:val="bottom"/>
          </w:tcPr>
          <w:p w14:paraId="58F557FC"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0.38</w:t>
            </w:r>
          </w:p>
        </w:tc>
        <w:tc>
          <w:tcPr>
            <w:tcW w:w="1036" w:type="dxa"/>
            <w:tcBorders>
              <w:left w:val="single" w:sz="4" w:space="0" w:color="auto"/>
            </w:tcBorders>
            <w:shd w:val="clear" w:color="auto" w:fill="auto"/>
            <w:vAlign w:val="bottom"/>
          </w:tcPr>
          <w:p w14:paraId="573D53CF"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375" w:type="dxa"/>
            <w:shd w:val="clear" w:color="auto" w:fill="auto"/>
            <w:vAlign w:val="bottom"/>
          </w:tcPr>
          <w:p w14:paraId="66C5104D"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0.64</w:t>
            </w:r>
          </w:p>
        </w:tc>
      </w:tr>
      <w:tr w:rsidR="00EC4DF6" w:rsidRPr="00C3419E" w14:paraId="0C76A4B1" w14:textId="77777777" w:rsidTr="006E09EC">
        <w:trPr>
          <w:jc w:val="center"/>
        </w:trPr>
        <w:tc>
          <w:tcPr>
            <w:tcW w:w="1487" w:type="dxa"/>
            <w:tcBorders>
              <w:bottom w:val="single" w:sz="4" w:space="0" w:color="auto"/>
              <w:right w:val="nil"/>
            </w:tcBorders>
            <w:shd w:val="clear" w:color="auto" w:fill="auto"/>
          </w:tcPr>
          <w:p w14:paraId="332057BF" w14:textId="77777777" w:rsidR="00EC4DF6" w:rsidRPr="000E6EB5" w:rsidRDefault="00EC4DF6" w:rsidP="006E09EC">
            <w:pPr>
              <w:autoSpaceDE w:val="0"/>
              <w:autoSpaceDN w:val="0"/>
              <w:adjustRightInd w:val="0"/>
              <w:spacing w:before="20" w:after="20"/>
              <w:jc w:val="right"/>
              <w:rPr>
                <w:rFonts w:ascii="Arial" w:hAnsi="Arial"/>
                <w:sz w:val="20"/>
                <w:lang w:val="en-GB" w:eastAsia="en-GB"/>
              </w:rPr>
            </w:pPr>
            <w:r w:rsidRPr="000E6EB5">
              <w:rPr>
                <w:rFonts w:ascii="Arial" w:hAnsi="Arial"/>
                <w:sz w:val="20"/>
                <w:lang w:val="en-GB" w:eastAsia="en-GB"/>
              </w:rPr>
              <w:tab/>
              <w:t>95% CI</w:t>
            </w:r>
          </w:p>
        </w:tc>
        <w:tc>
          <w:tcPr>
            <w:tcW w:w="983" w:type="dxa"/>
            <w:tcBorders>
              <w:left w:val="nil"/>
              <w:bottom w:val="single" w:sz="4" w:space="0" w:color="auto"/>
            </w:tcBorders>
            <w:shd w:val="clear" w:color="auto" w:fill="auto"/>
            <w:vAlign w:val="bottom"/>
          </w:tcPr>
          <w:p w14:paraId="7AD3159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624" w:type="dxa"/>
            <w:tcBorders>
              <w:bottom w:val="single" w:sz="4" w:space="0" w:color="auto"/>
              <w:right w:val="single" w:sz="4" w:space="0" w:color="auto"/>
            </w:tcBorders>
            <w:shd w:val="clear" w:color="auto" w:fill="auto"/>
            <w:vAlign w:val="bottom"/>
          </w:tcPr>
          <w:p w14:paraId="0EEF846B"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(0.54, 2.42)</w:t>
            </w:r>
          </w:p>
        </w:tc>
        <w:tc>
          <w:tcPr>
            <w:tcW w:w="997" w:type="dxa"/>
            <w:tcBorders>
              <w:left w:val="single" w:sz="4" w:space="0" w:color="auto"/>
              <w:bottom w:val="single" w:sz="4" w:space="0" w:color="auto"/>
            </w:tcBorders>
            <w:shd w:val="clear" w:color="auto" w:fill="auto"/>
            <w:vAlign w:val="bottom"/>
          </w:tcPr>
          <w:p w14:paraId="15B7B273"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800" w:type="dxa"/>
            <w:tcBorders>
              <w:bottom w:val="single" w:sz="4" w:space="0" w:color="auto"/>
              <w:right w:val="single" w:sz="4" w:space="0" w:color="auto"/>
            </w:tcBorders>
            <w:shd w:val="clear" w:color="auto" w:fill="auto"/>
            <w:vAlign w:val="bottom"/>
          </w:tcPr>
          <w:p w14:paraId="43459462"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(0.19, 0.77)</w:t>
            </w:r>
          </w:p>
        </w:tc>
        <w:tc>
          <w:tcPr>
            <w:tcW w:w="1036" w:type="dxa"/>
            <w:tcBorders>
              <w:left w:val="single" w:sz="4" w:space="0" w:color="auto"/>
              <w:bottom w:val="single" w:sz="4" w:space="0" w:color="auto"/>
            </w:tcBorders>
            <w:shd w:val="clear" w:color="auto" w:fill="auto"/>
            <w:vAlign w:val="bottom"/>
          </w:tcPr>
          <w:p w14:paraId="5F5A4CB1"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p>
        </w:tc>
        <w:tc>
          <w:tcPr>
            <w:tcW w:w="1375" w:type="dxa"/>
            <w:tcBorders>
              <w:bottom w:val="single" w:sz="4" w:space="0" w:color="auto"/>
            </w:tcBorders>
            <w:shd w:val="clear" w:color="auto" w:fill="auto"/>
            <w:vAlign w:val="bottom"/>
          </w:tcPr>
          <w:p w14:paraId="263CFB05" w14:textId="77777777" w:rsidR="00EC4DF6" w:rsidRPr="000E6EB5" w:rsidRDefault="00EC4DF6" w:rsidP="006E09EC">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(0.39, 1.05)</w:t>
            </w:r>
          </w:p>
        </w:tc>
      </w:tr>
    </w:tbl>
    <w:p w14:paraId="3E98E4C8" w14:textId="77777777" w:rsidR="00EC4DF6" w:rsidRPr="000E6EB5" w:rsidRDefault="00EC4DF6" w:rsidP="000F322D">
      <w:pPr>
        <w:autoSpaceDE w:val="0"/>
        <w:autoSpaceDN w:val="0"/>
        <w:adjustRightInd w:val="0"/>
        <w:spacing w:before="40" w:after="180"/>
        <w:rPr>
          <w:rFonts w:ascii="Arial" w:hAnsi="Arial"/>
          <w:sz w:val="20"/>
          <w:lang w:val="en-GB" w:eastAsia="en-GB"/>
        </w:rPr>
      </w:pPr>
      <w:proofErr w:type="gramStart"/>
      <w:r w:rsidRPr="000E6EB5">
        <w:rPr>
          <w:rFonts w:ascii="Arial" w:hAnsi="Arial"/>
          <w:sz w:val="20"/>
          <w:vertAlign w:val="superscript"/>
          <w:lang w:val="en-GB" w:eastAsia="en-GB"/>
        </w:rPr>
        <w:t>1</w:t>
      </w:r>
      <w:proofErr w:type="gramEnd"/>
      <w:r w:rsidRPr="000E6EB5">
        <w:rPr>
          <w:rFonts w:ascii="Arial" w:hAnsi="Arial"/>
          <w:sz w:val="20"/>
          <w:lang w:val="en-GB" w:eastAsia="en-GB"/>
        </w:rPr>
        <w:t xml:space="preserve"> Based on data collected up to 372 days (52 weeks + 7 day margin).</w:t>
      </w:r>
      <w:r w:rsidRPr="000E6EB5">
        <w:rPr>
          <w:rFonts w:ascii="Arial" w:hAnsi="Arial"/>
          <w:sz w:val="20"/>
          <w:lang w:val="en-GB" w:eastAsia="en-GB"/>
        </w:rPr>
        <w:br/>
      </w:r>
      <w:r w:rsidRPr="000E6EB5">
        <w:rPr>
          <w:rFonts w:ascii="Arial" w:hAnsi="Arial"/>
          <w:sz w:val="20"/>
          <w:vertAlign w:val="superscript"/>
          <w:lang w:val="en-GB" w:eastAsia="en-GB"/>
        </w:rPr>
        <w:t>2</w:t>
      </w:r>
      <w:r w:rsidRPr="000E6EB5">
        <w:rPr>
          <w:rFonts w:ascii="Arial" w:hAnsi="Arial"/>
          <w:sz w:val="20"/>
          <w:lang w:val="en-GB" w:eastAsia="en-GB"/>
        </w:rPr>
        <w:t xml:space="preserve"> Based on a Log-rank test.</w:t>
      </w:r>
      <w:r w:rsidRPr="000E6EB5">
        <w:rPr>
          <w:rFonts w:ascii="Arial" w:hAnsi="Arial"/>
          <w:sz w:val="20"/>
          <w:lang w:val="en-GB" w:eastAsia="en-GB"/>
        </w:rPr>
        <w:br/>
      </w:r>
      <w:r w:rsidRPr="000E6EB5">
        <w:rPr>
          <w:rFonts w:ascii="Arial" w:hAnsi="Arial"/>
          <w:sz w:val="20"/>
          <w:vertAlign w:val="superscript"/>
          <w:lang w:val="en-GB" w:eastAsia="en-GB"/>
        </w:rPr>
        <w:t>3</w:t>
      </w:r>
      <w:r w:rsidRPr="000E6EB5">
        <w:rPr>
          <w:rFonts w:ascii="Arial" w:hAnsi="Arial"/>
          <w:sz w:val="20"/>
          <w:lang w:val="en-GB" w:eastAsia="en-GB"/>
        </w:rPr>
        <w:t xml:space="preserve"> Based on a Cox’s regression model</w:t>
      </w:r>
      <w:r>
        <w:rPr>
          <w:rFonts w:ascii="Arial" w:hAnsi="Arial"/>
          <w:sz w:val="20"/>
          <w:lang w:val="en-GB" w:eastAsia="en-GB"/>
        </w:rPr>
        <w:t>.</w:t>
      </w:r>
      <w:r w:rsidRPr="000E6EB5">
        <w:rPr>
          <w:rFonts w:ascii="Arial" w:hAnsi="Arial"/>
          <w:sz w:val="20"/>
          <w:lang w:val="en-GB" w:eastAsia="en-GB"/>
        </w:rPr>
        <w:t xml:space="preserve"> </w:t>
      </w:r>
    </w:p>
    <w:p w14:paraId="74A4058D" w14:textId="1BBC2823" w:rsidR="00EC4DF6" w:rsidRDefault="00EC4DF6" w:rsidP="000F322D">
      <w:pPr>
        <w:autoSpaceDE w:val="0"/>
        <w:autoSpaceDN w:val="0"/>
        <w:adjustRightInd w:val="0"/>
        <w:spacing w:after="180"/>
        <w:jc w:val="both"/>
        <w:rPr>
          <w:rFonts w:ascii="Arial" w:hAnsi="Arial"/>
          <w:sz w:val="22"/>
          <w:szCs w:val="22"/>
          <w:lang w:val="en-GB" w:eastAsia="en-GB"/>
        </w:rPr>
      </w:pPr>
      <w:proofErr w:type="gramStart"/>
      <w:r w:rsidRPr="00C3419E">
        <w:rPr>
          <w:rFonts w:ascii="Arial" w:hAnsi="Arial"/>
          <w:sz w:val="22"/>
          <w:szCs w:val="22"/>
          <w:lang w:val="en-GB" w:eastAsia="en-GB"/>
        </w:rPr>
        <w:t>All adverse events of acute IPF exacerbation reported by the investigator were adjudicated by a blinded adjudication committee</w:t>
      </w:r>
      <w:proofErr w:type="gramEnd"/>
      <w:r w:rsidRPr="00C3419E">
        <w:rPr>
          <w:rFonts w:ascii="Arial" w:hAnsi="Arial"/>
          <w:sz w:val="22"/>
          <w:szCs w:val="22"/>
          <w:lang w:val="en-GB" w:eastAsia="en-GB"/>
        </w:rPr>
        <w:t xml:space="preserve">. A pre-specified sensitivity analysis of the time to first </w:t>
      </w:r>
      <w:r>
        <w:rPr>
          <w:rFonts w:ascii="Arial" w:hAnsi="Arial"/>
          <w:sz w:val="22"/>
          <w:szCs w:val="22"/>
          <w:lang w:val="en-GB" w:eastAsia="en-GB"/>
        </w:rPr>
        <w:t xml:space="preserve">‘confirmed’ or </w:t>
      </w:r>
      <w:r w:rsidRPr="00C3419E">
        <w:rPr>
          <w:rFonts w:ascii="Arial" w:hAnsi="Arial"/>
          <w:sz w:val="22"/>
          <w:szCs w:val="22"/>
          <w:lang w:val="en-GB" w:eastAsia="en-GB"/>
        </w:rPr>
        <w:t xml:space="preserve">'suspected' adjudicated acute IPF exacerbation was performed on the pooled data. The frequency of patients with at least 1 adjudicated exacerbation occurring within 52 weeks was lower in the </w:t>
      </w:r>
      <w:r w:rsidR="008856F6">
        <w:rPr>
          <w:rFonts w:ascii="Arial" w:hAnsi="Arial"/>
          <w:sz w:val="22"/>
          <w:szCs w:val="22"/>
          <w:lang w:val="en-GB" w:eastAsia="en-GB"/>
        </w:rPr>
        <w:t>OFEV</w:t>
      </w:r>
      <w:r w:rsidR="008856F6" w:rsidRPr="00C3419E">
        <w:rPr>
          <w:rFonts w:ascii="Arial" w:hAnsi="Arial"/>
          <w:sz w:val="22"/>
          <w:szCs w:val="22"/>
          <w:lang w:val="en-GB" w:eastAsia="en-GB"/>
        </w:rPr>
        <w:t xml:space="preserve"> </w:t>
      </w:r>
      <w:r w:rsidRPr="00C3419E">
        <w:rPr>
          <w:rFonts w:ascii="Arial" w:hAnsi="Arial"/>
          <w:sz w:val="22"/>
          <w:szCs w:val="22"/>
          <w:lang w:val="en-GB" w:eastAsia="en-GB"/>
        </w:rPr>
        <w:t xml:space="preserve">group (1.9% of patients) than in the placebo group (5.7% of patients). Time to event analysis of the adjudicated exacerbation events using pooled data yielded an HR of 0.32 (95% CI 0.16, 0.65; p = 0.0010).This indicates that the risk of having a first acute IPF exacerbation was statistically significantly lower in the </w:t>
      </w:r>
      <w:r w:rsidR="008856F6">
        <w:rPr>
          <w:rFonts w:ascii="Arial" w:hAnsi="Arial"/>
          <w:sz w:val="22"/>
          <w:szCs w:val="22"/>
          <w:lang w:val="en-GB" w:eastAsia="en-GB"/>
        </w:rPr>
        <w:t>OFEV</w:t>
      </w:r>
      <w:r w:rsidR="008856F6" w:rsidRPr="00C3419E">
        <w:rPr>
          <w:rFonts w:ascii="Arial" w:hAnsi="Arial"/>
          <w:sz w:val="22"/>
          <w:szCs w:val="22"/>
          <w:lang w:val="en-GB" w:eastAsia="en-GB"/>
        </w:rPr>
        <w:t xml:space="preserve"> </w:t>
      </w:r>
      <w:r w:rsidRPr="00C3419E">
        <w:rPr>
          <w:rFonts w:ascii="Arial" w:hAnsi="Arial"/>
          <w:sz w:val="22"/>
          <w:szCs w:val="22"/>
          <w:lang w:val="en-GB" w:eastAsia="en-GB"/>
        </w:rPr>
        <w:t>group than in the placebo group at any time point.</w:t>
      </w:r>
    </w:p>
    <w:p w14:paraId="6D21A584" w14:textId="77777777" w:rsidR="00EC4DF6" w:rsidRPr="006907DA" w:rsidRDefault="00EC4DF6" w:rsidP="00EC4DF6">
      <w:pPr>
        <w:autoSpaceDE w:val="0"/>
        <w:autoSpaceDN w:val="0"/>
        <w:adjustRightInd w:val="0"/>
        <w:spacing w:after="60"/>
        <w:jc w:val="both"/>
        <w:rPr>
          <w:rFonts w:ascii="Arial" w:hAnsi="Arial"/>
          <w:sz w:val="22"/>
          <w:szCs w:val="22"/>
          <w:u w:val="single"/>
          <w:lang w:val="en-GB" w:eastAsia="en-GB"/>
        </w:rPr>
      </w:pPr>
      <w:r w:rsidRPr="006907DA">
        <w:rPr>
          <w:rFonts w:ascii="Arial" w:hAnsi="Arial"/>
          <w:sz w:val="22"/>
          <w:szCs w:val="22"/>
          <w:u w:val="single"/>
          <w:lang w:val="en-GB" w:eastAsia="en-GB"/>
        </w:rPr>
        <w:t>Survival analysis</w:t>
      </w:r>
    </w:p>
    <w:p w14:paraId="6D922753" w14:textId="69C9930B" w:rsidR="00EC4DF6" w:rsidRPr="000F322D" w:rsidRDefault="00EC4DF6" w:rsidP="000F322D">
      <w:pPr>
        <w:autoSpaceDE w:val="0"/>
        <w:autoSpaceDN w:val="0"/>
        <w:adjustRightInd w:val="0"/>
        <w:spacing w:before="120"/>
        <w:jc w:val="both"/>
        <w:rPr>
          <w:rFonts w:ascii="Arial" w:hAnsi="Arial"/>
          <w:sz w:val="22"/>
          <w:szCs w:val="22"/>
          <w:lang w:val="en-GB" w:eastAsia="en-GB"/>
        </w:rPr>
      </w:pPr>
      <w:r w:rsidRPr="00EE2D53">
        <w:rPr>
          <w:rFonts w:ascii="Arial" w:hAnsi="Arial"/>
          <w:sz w:val="22"/>
          <w:szCs w:val="22"/>
          <w:lang w:val="en-GB" w:eastAsia="en-GB"/>
        </w:rPr>
        <w:t xml:space="preserve">The INPULSIS trials were not statistically powered for overall mortality. In a pre-specified pooled analysis, overall mortality over 52 weeks was numerically lower in the </w:t>
      </w:r>
      <w:r w:rsidR="002C7A4D">
        <w:rPr>
          <w:rFonts w:ascii="Arial" w:hAnsi="Arial"/>
          <w:sz w:val="22"/>
          <w:szCs w:val="22"/>
          <w:lang w:val="en-GB" w:eastAsia="en-GB"/>
        </w:rPr>
        <w:t>OFEV</w:t>
      </w:r>
      <w:r w:rsidR="002C7A4D" w:rsidRPr="00EE2D53">
        <w:rPr>
          <w:rFonts w:ascii="Arial" w:hAnsi="Arial"/>
          <w:sz w:val="22"/>
          <w:szCs w:val="22"/>
          <w:lang w:val="en-GB" w:eastAsia="en-GB"/>
        </w:rPr>
        <w:t xml:space="preserve"> </w:t>
      </w:r>
      <w:r w:rsidRPr="00EE2D53">
        <w:rPr>
          <w:rFonts w:ascii="Arial" w:hAnsi="Arial"/>
          <w:sz w:val="22"/>
          <w:szCs w:val="22"/>
          <w:lang w:val="en-GB" w:eastAsia="en-GB"/>
        </w:rPr>
        <w:t>group (5.5%) compared with the placebo group (7.8%). The difference did not reach statistical significance</w:t>
      </w:r>
      <w:r>
        <w:rPr>
          <w:rFonts w:ascii="Arial" w:hAnsi="Arial"/>
          <w:sz w:val="22"/>
          <w:szCs w:val="22"/>
          <w:lang w:val="en-GB" w:eastAsia="en-GB"/>
        </w:rPr>
        <w:t>.</w:t>
      </w:r>
      <w:r w:rsidRPr="00C3419E">
        <w:rPr>
          <w:rFonts w:ascii="Arial" w:hAnsi="Arial"/>
          <w:sz w:val="22"/>
          <w:szCs w:val="22"/>
          <w:lang w:val="en-GB" w:eastAsia="en-GB"/>
        </w:rPr>
        <w:t xml:space="preserve"> The analysis of time to death resulted in a HR of 0.70 (95% CI 0.43, 1.12; p = 0.1399). The results of all survival endpoints (such as on-treatment mortality and respiratory mortality) showed a consistent numerical difference in favour of </w:t>
      </w:r>
      <w:r w:rsidR="002C7A4D">
        <w:rPr>
          <w:rFonts w:ascii="Arial" w:hAnsi="Arial"/>
          <w:sz w:val="22"/>
          <w:szCs w:val="22"/>
          <w:lang w:val="en-GB" w:eastAsia="en-GB"/>
        </w:rPr>
        <w:t xml:space="preserve">OFEV </w:t>
      </w:r>
      <w:r>
        <w:rPr>
          <w:rFonts w:ascii="Arial" w:hAnsi="Arial"/>
          <w:sz w:val="22"/>
          <w:szCs w:val="22"/>
          <w:lang w:val="en-GB" w:eastAsia="en-GB"/>
        </w:rPr>
        <w:t xml:space="preserve">(see Table </w:t>
      </w:r>
      <w:r w:rsidR="00900B53">
        <w:rPr>
          <w:rFonts w:ascii="Arial" w:hAnsi="Arial"/>
          <w:sz w:val="22"/>
          <w:szCs w:val="22"/>
          <w:lang w:val="en-GB" w:eastAsia="en-GB"/>
        </w:rPr>
        <w:t>14</w:t>
      </w:r>
      <w:r w:rsidR="00C64D6D">
        <w:rPr>
          <w:rFonts w:ascii="Arial" w:hAnsi="Arial"/>
          <w:sz w:val="22"/>
          <w:szCs w:val="22"/>
          <w:lang w:val="en-GB" w:eastAsia="en-GB"/>
        </w:rPr>
        <w:t>)</w:t>
      </w:r>
      <w:r w:rsidRPr="00C3419E">
        <w:rPr>
          <w:rFonts w:ascii="Arial" w:hAnsi="Arial"/>
          <w:sz w:val="22"/>
          <w:szCs w:val="22"/>
          <w:lang w:val="en-GB" w:eastAsia="en-GB"/>
        </w:rPr>
        <w:t>.</w:t>
      </w:r>
      <w:r>
        <w:rPr>
          <w:rFonts w:ascii="Arial" w:hAnsi="Arial"/>
          <w:b/>
          <w:bCs/>
          <w:sz w:val="22"/>
          <w:szCs w:val="22"/>
          <w:lang w:val="en-GB" w:eastAsia="en-GB"/>
        </w:rPr>
        <w:br w:type="page"/>
      </w:r>
    </w:p>
    <w:p w14:paraId="1AFB81E2" w14:textId="7B444624" w:rsidR="00EC4DF6" w:rsidRPr="000802F1" w:rsidRDefault="00EC4DF6" w:rsidP="006E6D0A">
      <w:pPr>
        <w:pStyle w:val="TextPI"/>
        <w:tabs>
          <w:tab w:val="left" w:pos="1134"/>
        </w:tabs>
        <w:ind w:left="1122" w:hanging="1122"/>
        <w:rPr>
          <w:b/>
          <w:bCs/>
          <w:lang w:val="en-GB" w:eastAsia="en-GB"/>
        </w:rPr>
      </w:pPr>
      <w:r w:rsidRPr="000802F1">
        <w:rPr>
          <w:b/>
          <w:sz w:val="20"/>
          <w:szCs w:val="20"/>
          <w:lang w:val="en-GB"/>
        </w:rPr>
        <w:lastRenderedPageBreak/>
        <w:t xml:space="preserve">Table </w:t>
      </w:r>
      <w:r w:rsidR="00253F2A">
        <w:rPr>
          <w:b/>
          <w:sz w:val="20"/>
          <w:szCs w:val="20"/>
          <w:lang w:val="en-GB"/>
        </w:rPr>
        <w:t>14</w:t>
      </w:r>
      <w:r w:rsidRPr="000802F1">
        <w:rPr>
          <w:b/>
          <w:sz w:val="20"/>
          <w:szCs w:val="20"/>
          <w:lang w:val="en-GB"/>
        </w:rPr>
        <w:t xml:space="preserve">: </w:t>
      </w:r>
      <w:r w:rsidRPr="000802F1">
        <w:rPr>
          <w:b/>
          <w:sz w:val="20"/>
          <w:szCs w:val="20"/>
          <w:lang w:val="en-GB"/>
        </w:rPr>
        <w:tab/>
        <w:t>All-cause mortality over 52 weeks in trials INPULSIS-1, INPULSIS-2, and their pooled data – treated set</w:t>
      </w:r>
    </w:p>
    <w:tbl>
      <w:tblPr>
        <w:tblW w:w="9302" w:type="dxa"/>
        <w:jc w:val="center"/>
        <w:tblBorders>
          <w:top w:val="single" w:sz="4" w:space="0" w:color="auto"/>
          <w:left w:val="single" w:sz="4" w:space="0" w:color="auto"/>
          <w:bottom w:val="single" w:sz="4" w:space="0" w:color="auto"/>
          <w:right w:val="single" w:sz="4" w:space="0" w:color="auto"/>
        </w:tblBorders>
        <w:shd w:val="clear" w:color="auto" w:fill="FABF8F"/>
        <w:tblLook w:val="04A0" w:firstRow="1" w:lastRow="0" w:firstColumn="1" w:lastColumn="0" w:noHBand="0" w:noVBand="1"/>
      </w:tblPr>
      <w:tblGrid>
        <w:gridCol w:w="1487"/>
        <w:gridCol w:w="983"/>
        <w:gridCol w:w="1624"/>
        <w:gridCol w:w="997"/>
        <w:gridCol w:w="1800"/>
        <w:gridCol w:w="1036"/>
        <w:gridCol w:w="1375"/>
      </w:tblGrid>
      <w:tr w:rsidR="00EC4DF6" w:rsidRPr="00C3419E" w14:paraId="4974FEBC" w14:textId="77777777" w:rsidTr="006E09EC">
        <w:trPr>
          <w:tblHeader/>
          <w:jc w:val="center"/>
        </w:trPr>
        <w:tc>
          <w:tcPr>
            <w:tcW w:w="1487" w:type="dxa"/>
            <w:tcBorders>
              <w:top w:val="single" w:sz="4" w:space="0" w:color="auto"/>
              <w:bottom w:val="single" w:sz="4" w:space="0" w:color="auto"/>
              <w:right w:val="nil"/>
            </w:tcBorders>
            <w:shd w:val="clear" w:color="auto" w:fill="auto"/>
          </w:tcPr>
          <w:p w14:paraId="3DB26FC7" w14:textId="77777777" w:rsidR="00EC4DF6" w:rsidRPr="000E6EB5" w:rsidRDefault="00EC4DF6" w:rsidP="006E6D0A">
            <w:pPr>
              <w:autoSpaceDE w:val="0"/>
              <w:autoSpaceDN w:val="0"/>
              <w:adjustRightInd w:val="0"/>
              <w:spacing w:before="20" w:after="20"/>
              <w:rPr>
                <w:rFonts w:ascii="Arial" w:hAnsi="Arial"/>
                <w:sz w:val="20"/>
                <w:lang w:val="en-GB" w:eastAsia="en-GB"/>
              </w:rPr>
            </w:pPr>
          </w:p>
        </w:tc>
        <w:tc>
          <w:tcPr>
            <w:tcW w:w="2607" w:type="dxa"/>
            <w:gridSpan w:val="2"/>
            <w:tcBorders>
              <w:top w:val="single" w:sz="4" w:space="0" w:color="auto"/>
              <w:left w:val="nil"/>
              <w:bottom w:val="single" w:sz="4" w:space="0" w:color="auto"/>
              <w:right w:val="single" w:sz="4" w:space="0" w:color="auto"/>
            </w:tcBorders>
            <w:shd w:val="clear" w:color="auto" w:fill="auto"/>
            <w:vAlign w:val="bottom"/>
          </w:tcPr>
          <w:p w14:paraId="0176F35F"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INPULSIS-1</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634154"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p w14:paraId="39CE07BD"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INPULSIS-2</w:t>
            </w:r>
          </w:p>
        </w:tc>
        <w:tc>
          <w:tcPr>
            <w:tcW w:w="2411" w:type="dxa"/>
            <w:gridSpan w:val="2"/>
            <w:tcBorders>
              <w:top w:val="single" w:sz="4" w:space="0" w:color="auto"/>
              <w:left w:val="single" w:sz="4" w:space="0" w:color="auto"/>
              <w:bottom w:val="single" w:sz="4" w:space="0" w:color="auto"/>
            </w:tcBorders>
            <w:shd w:val="clear" w:color="auto" w:fill="auto"/>
            <w:vAlign w:val="bottom"/>
          </w:tcPr>
          <w:p w14:paraId="300BA2E5"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INPULSIS-1 and INPULSIS-2 pooled</w:t>
            </w:r>
          </w:p>
        </w:tc>
      </w:tr>
      <w:tr w:rsidR="00EC4DF6" w:rsidRPr="00C3419E" w14:paraId="162E55D1" w14:textId="77777777" w:rsidTr="006E09EC">
        <w:trPr>
          <w:tblHeader/>
          <w:jc w:val="center"/>
        </w:trPr>
        <w:tc>
          <w:tcPr>
            <w:tcW w:w="1487" w:type="dxa"/>
            <w:tcBorders>
              <w:top w:val="single" w:sz="4" w:space="0" w:color="auto"/>
              <w:bottom w:val="single" w:sz="4" w:space="0" w:color="auto"/>
              <w:right w:val="nil"/>
            </w:tcBorders>
            <w:shd w:val="clear" w:color="auto" w:fill="auto"/>
          </w:tcPr>
          <w:p w14:paraId="285D6071" w14:textId="77777777" w:rsidR="00EC4DF6" w:rsidRPr="000E6EB5" w:rsidRDefault="00EC4DF6" w:rsidP="006E6D0A">
            <w:pPr>
              <w:autoSpaceDE w:val="0"/>
              <w:autoSpaceDN w:val="0"/>
              <w:adjustRightInd w:val="0"/>
              <w:spacing w:before="20" w:after="20"/>
              <w:rPr>
                <w:rFonts w:ascii="Arial" w:hAnsi="Arial"/>
                <w:sz w:val="20"/>
                <w:lang w:val="en-GB" w:eastAsia="en-GB"/>
              </w:rPr>
            </w:pPr>
          </w:p>
        </w:tc>
        <w:tc>
          <w:tcPr>
            <w:tcW w:w="983" w:type="dxa"/>
            <w:tcBorders>
              <w:top w:val="single" w:sz="4" w:space="0" w:color="auto"/>
              <w:left w:val="nil"/>
              <w:bottom w:val="single" w:sz="4" w:space="0" w:color="auto"/>
            </w:tcBorders>
            <w:shd w:val="clear" w:color="auto" w:fill="auto"/>
          </w:tcPr>
          <w:p w14:paraId="2149A957"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Placebo</w:t>
            </w:r>
          </w:p>
        </w:tc>
        <w:tc>
          <w:tcPr>
            <w:tcW w:w="1624" w:type="dxa"/>
            <w:tcBorders>
              <w:top w:val="single" w:sz="4" w:space="0" w:color="auto"/>
              <w:bottom w:val="single" w:sz="4" w:space="0" w:color="auto"/>
              <w:right w:val="single" w:sz="4" w:space="0" w:color="auto"/>
            </w:tcBorders>
            <w:shd w:val="clear" w:color="auto" w:fill="auto"/>
          </w:tcPr>
          <w:p w14:paraId="21F243BA"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OFEV</w:t>
            </w:r>
            <w:r w:rsidRPr="000E6EB5">
              <w:rPr>
                <w:rFonts w:ascii="Arial" w:hAnsi="Arial"/>
                <w:sz w:val="20"/>
                <w:lang w:val="en-GB" w:eastAsia="en-GB"/>
              </w:rPr>
              <w:t xml:space="preserve"> 150</w:t>
            </w:r>
            <w:r>
              <w:rPr>
                <w:rFonts w:ascii="Arial" w:hAnsi="Arial"/>
                <w:sz w:val="20"/>
                <w:lang w:val="en-GB" w:eastAsia="en-GB"/>
              </w:rPr>
              <w:t> </w:t>
            </w:r>
            <w:r w:rsidRPr="000E6EB5">
              <w:rPr>
                <w:rFonts w:ascii="Arial" w:hAnsi="Arial"/>
                <w:sz w:val="20"/>
                <w:lang w:val="en-GB" w:eastAsia="en-GB"/>
              </w:rPr>
              <w:t>mg twice daily</w:t>
            </w:r>
          </w:p>
        </w:tc>
        <w:tc>
          <w:tcPr>
            <w:tcW w:w="997" w:type="dxa"/>
            <w:tcBorders>
              <w:top w:val="single" w:sz="4" w:space="0" w:color="auto"/>
              <w:left w:val="single" w:sz="4" w:space="0" w:color="auto"/>
              <w:bottom w:val="single" w:sz="4" w:space="0" w:color="auto"/>
            </w:tcBorders>
            <w:shd w:val="clear" w:color="auto" w:fill="auto"/>
          </w:tcPr>
          <w:p w14:paraId="661CF73B"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Placebo</w:t>
            </w:r>
          </w:p>
        </w:tc>
        <w:tc>
          <w:tcPr>
            <w:tcW w:w="1800" w:type="dxa"/>
            <w:tcBorders>
              <w:top w:val="single" w:sz="4" w:space="0" w:color="auto"/>
              <w:bottom w:val="single" w:sz="4" w:space="0" w:color="auto"/>
              <w:right w:val="single" w:sz="4" w:space="0" w:color="auto"/>
            </w:tcBorders>
            <w:shd w:val="clear" w:color="auto" w:fill="auto"/>
          </w:tcPr>
          <w:p w14:paraId="00458946"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OFEV</w:t>
            </w:r>
            <w:r w:rsidRPr="000E6EB5">
              <w:rPr>
                <w:rFonts w:ascii="Arial" w:hAnsi="Arial"/>
                <w:sz w:val="20"/>
                <w:lang w:val="en-GB" w:eastAsia="en-GB"/>
              </w:rPr>
              <w:t xml:space="preserve"> 150</w:t>
            </w:r>
            <w:r>
              <w:rPr>
                <w:rFonts w:ascii="Arial" w:hAnsi="Arial"/>
                <w:sz w:val="20"/>
                <w:lang w:val="en-GB" w:eastAsia="en-GB"/>
              </w:rPr>
              <w:t> </w:t>
            </w:r>
            <w:r w:rsidRPr="000E6EB5">
              <w:rPr>
                <w:rFonts w:ascii="Arial" w:hAnsi="Arial"/>
                <w:sz w:val="20"/>
                <w:lang w:val="en-GB" w:eastAsia="en-GB"/>
              </w:rPr>
              <w:t>mg twice daily</w:t>
            </w:r>
          </w:p>
        </w:tc>
        <w:tc>
          <w:tcPr>
            <w:tcW w:w="1036" w:type="dxa"/>
            <w:tcBorders>
              <w:top w:val="single" w:sz="4" w:space="0" w:color="auto"/>
              <w:left w:val="single" w:sz="4" w:space="0" w:color="auto"/>
              <w:bottom w:val="single" w:sz="4" w:space="0" w:color="auto"/>
            </w:tcBorders>
            <w:shd w:val="clear" w:color="auto" w:fill="auto"/>
          </w:tcPr>
          <w:p w14:paraId="06AFF90E"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Placebo</w:t>
            </w:r>
          </w:p>
        </w:tc>
        <w:tc>
          <w:tcPr>
            <w:tcW w:w="1375" w:type="dxa"/>
            <w:tcBorders>
              <w:top w:val="single" w:sz="4" w:space="0" w:color="auto"/>
              <w:bottom w:val="single" w:sz="4" w:space="0" w:color="auto"/>
            </w:tcBorders>
            <w:shd w:val="clear" w:color="auto" w:fill="auto"/>
          </w:tcPr>
          <w:p w14:paraId="27F25186"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OFEV</w:t>
            </w:r>
            <w:r w:rsidRPr="000E6EB5">
              <w:rPr>
                <w:rFonts w:ascii="Arial" w:hAnsi="Arial"/>
                <w:sz w:val="20"/>
                <w:lang w:val="en-GB" w:eastAsia="en-GB"/>
              </w:rPr>
              <w:t xml:space="preserve"> 150</w:t>
            </w:r>
            <w:r>
              <w:rPr>
                <w:rFonts w:ascii="Arial" w:hAnsi="Arial"/>
                <w:sz w:val="20"/>
                <w:lang w:val="en-GB" w:eastAsia="en-GB"/>
              </w:rPr>
              <w:t> </w:t>
            </w:r>
            <w:r w:rsidRPr="000E6EB5">
              <w:rPr>
                <w:rFonts w:ascii="Arial" w:hAnsi="Arial"/>
                <w:sz w:val="20"/>
                <w:lang w:val="en-GB" w:eastAsia="en-GB"/>
              </w:rPr>
              <w:t>mg twice daily</w:t>
            </w:r>
          </w:p>
        </w:tc>
      </w:tr>
      <w:tr w:rsidR="00EC4DF6" w:rsidRPr="00C3419E" w14:paraId="470FD36D" w14:textId="77777777" w:rsidTr="006E09EC">
        <w:trPr>
          <w:jc w:val="center"/>
        </w:trPr>
        <w:tc>
          <w:tcPr>
            <w:tcW w:w="1487" w:type="dxa"/>
            <w:tcBorders>
              <w:top w:val="single" w:sz="4" w:space="0" w:color="auto"/>
              <w:right w:val="nil"/>
            </w:tcBorders>
            <w:shd w:val="clear" w:color="auto" w:fill="auto"/>
          </w:tcPr>
          <w:p w14:paraId="0A9EFCD9" w14:textId="77777777" w:rsidR="00EC4DF6" w:rsidRPr="000E6EB5" w:rsidRDefault="00EC4DF6" w:rsidP="006E6D0A">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 xml:space="preserve">Number at risk </w:t>
            </w:r>
          </w:p>
        </w:tc>
        <w:tc>
          <w:tcPr>
            <w:tcW w:w="983" w:type="dxa"/>
            <w:tcBorders>
              <w:top w:val="single" w:sz="4" w:space="0" w:color="auto"/>
              <w:left w:val="nil"/>
            </w:tcBorders>
            <w:shd w:val="clear" w:color="auto" w:fill="auto"/>
            <w:vAlign w:val="bottom"/>
          </w:tcPr>
          <w:p w14:paraId="1056B85C"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204</w:t>
            </w:r>
          </w:p>
        </w:tc>
        <w:tc>
          <w:tcPr>
            <w:tcW w:w="1624" w:type="dxa"/>
            <w:tcBorders>
              <w:top w:val="single" w:sz="4" w:space="0" w:color="auto"/>
              <w:right w:val="single" w:sz="4" w:space="0" w:color="auto"/>
            </w:tcBorders>
            <w:shd w:val="clear" w:color="auto" w:fill="auto"/>
            <w:vAlign w:val="bottom"/>
          </w:tcPr>
          <w:p w14:paraId="69EB60FF"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309</w:t>
            </w:r>
          </w:p>
        </w:tc>
        <w:tc>
          <w:tcPr>
            <w:tcW w:w="997" w:type="dxa"/>
            <w:tcBorders>
              <w:top w:val="single" w:sz="4" w:space="0" w:color="auto"/>
              <w:left w:val="single" w:sz="4" w:space="0" w:color="auto"/>
            </w:tcBorders>
            <w:shd w:val="clear" w:color="auto" w:fill="auto"/>
            <w:vAlign w:val="bottom"/>
          </w:tcPr>
          <w:p w14:paraId="05F50858"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219</w:t>
            </w:r>
          </w:p>
        </w:tc>
        <w:tc>
          <w:tcPr>
            <w:tcW w:w="1800" w:type="dxa"/>
            <w:tcBorders>
              <w:top w:val="single" w:sz="4" w:space="0" w:color="auto"/>
              <w:right w:val="single" w:sz="4" w:space="0" w:color="auto"/>
            </w:tcBorders>
            <w:shd w:val="clear" w:color="auto" w:fill="auto"/>
            <w:vAlign w:val="bottom"/>
          </w:tcPr>
          <w:p w14:paraId="244DD0D7"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329</w:t>
            </w:r>
          </w:p>
        </w:tc>
        <w:tc>
          <w:tcPr>
            <w:tcW w:w="1036" w:type="dxa"/>
            <w:tcBorders>
              <w:top w:val="single" w:sz="4" w:space="0" w:color="auto"/>
              <w:left w:val="single" w:sz="4" w:space="0" w:color="auto"/>
            </w:tcBorders>
            <w:shd w:val="clear" w:color="auto" w:fill="auto"/>
            <w:vAlign w:val="bottom"/>
          </w:tcPr>
          <w:p w14:paraId="58519CC6"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423</w:t>
            </w:r>
          </w:p>
        </w:tc>
        <w:tc>
          <w:tcPr>
            <w:tcW w:w="1375" w:type="dxa"/>
            <w:tcBorders>
              <w:top w:val="single" w:sz="4" w:space="0" w:color="auto"/>
            </w:tcBorders>
            <w:shd w:val="clear" w:color="auto" w:fill="auto"/>
            <w:vAlign w:val="bottom"/>
          </w:tcPr>
          <w:p w14:paraId="4DF83B82"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638</w:t>
            </w:r>
          </w:p>
        </w:tc>
      </w:tr>
      <w:tr w:rsidR="00EC4DF6" w:rsidRPr="00C3419E" w14:paraId="15F6D990" w14:textId="77777777" w:rsidTr="006E09EC">
        <w:trPr>
          <w:trHeight w:val="117"/>
          <w:jc w:val="center"/>
        </w:trPr>
        <w:tc>
          <w:tcPr>
            <w:tcW w:w="1487" w:type="dxa"/>
            <w:tcBorders>
              <w:bottom w:val="single" w:sz="4" w:space="0" w:color="auto"/>
              <w:right w:val="nil"/>
            </w:tcBorders>
            <w:shd w:val="clear" w:color="auto" w:fill="auto"/>
          </w:tcPr>
          <w:p w14:paraId="452ED756" w14:textId="77777777" w:rsidR="00EC4DF6" w:rsidRPr="000E6EB5" w:rsidRDefault="00EC4DF6" w:rsidP="006E6D0A">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Patients with events, N (%)</w:t>
            </w:r>
          </w:p>
        </w:tc>
        <w:tc>
          <w:tcPr>
            <w:tcW w:w="983" w:type="dxa"/>
            <w:tcBorders>
              <w:left w:val="nil"/>
              <w:bottom w:val="single" w:sz="4" w:space="0" w:color="auto"/>
            </w:tcBorders>
            <w:shd w:val="clear" w:color="auto" w:fill="auto"/>
            <w:vAlign w:val="bottom"/>
          </w:tcPr>
          <w:p w14:paraId="3107D6CF"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13</w:t>
            </w:r>
            <w:r w:rsidRPr="000E6EB5">
              <w:rPr>
                <w:rFonts w:ascii="Arial" w:hAnsi="Arial"/>
                <w:sz w:val="20"/>
                <w:lang w:val="en-GB" w:eastAsia="en-GB"/>
              </w:rPr>
              <w:t xml:space="preserve"> (</w:t>
            </w:r>
            <w:r>
              <w:rPr>
                <w:rFonts w:ascii="Arial" w:hAnsi="Arial"/>
                <w:sz w:val="20"/>
                <w:lang w:val="en-GB" w:eastAsia="en-GB"/>
              </w:rPr>
              <w:t>6</w:t>
            </w:r>
            <w:r w:rsidRPr="000E6EB5">
              <w:rPr>
                <w:rFonts w:ascii="Arial" w:hAnsi="Arial"/>
                <w:sz w:val="20"/>
                <w:lang w:val="en-GB" w:eastAsia="en-GB"/>
              </w:rPr>
              <w:t>.4)</w:t>
            </w:r>
          </w:p>
        </w:tc>
        <w:tc>
          <w:tcPr>
            <w:tcW w:w="1624" w:type="dxa"/>
            <w:tcBorders>
              <w:bottom w:val="single" w:sz="4" w:space="0" w:color="auto"/>
              <w:right w:val="single" w:sz="4" w:space="0" w:color="auto"/>
            </w:tcBorders>
            <w:shd w:val="clear" w:color="auto" w:fill="auto"/>
            <w:vAlign w:val="bottom"/>
          </w:tcPr>
          <w:p w14:paraId="14C89181"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13</w:t>
            </w:r>
            <w:r w:rsidRPr="000E6EB5">
              <w:rPr>
                <w:rFonts w:ascii="Arial" w:hAnsi="Arial"/>
                <w:sz w:val="20"/>
                <w:lang w:val="en-GB" w:eastAsia="en-GB"/>
              </w:rPr>
              <w:t xml:space="preserve"> (</w:t>
            </w:r>
            <w:r>
              <w:rPr>
                <w:rFonts w:ascii="Arial" w:hAnsi="Arial"/>
                <w:sz w:val="20"/>
                <w:lang w:val="en-GB" w:eastAsia="en-GB"/>
              </w:rPr>
              <w:t>4.2</w:t>
            </w:r>
            <w:r w:rsidRPr="000E6EB5">
              <w:rPr>
                <w:rFonts w:ascii="Arial" w:hAnsi="Arial"/>
                <w:sz w:val="20"/>
                <w:lang w:val="en-GB" w:eastAsia="en-GB"/>
              </w:rPr>
              <w:t>)</w:t>
            </w:r>
          </w:p>
        </w:tc>
        <w:tc>
          <w:tcPr>
            <w:tcW w:w="997" w:type="dxa"/>
            <w:tcBorders>
              <w:left w:val="single" w:sz="4" w:space="0" w:color="auto"/>
              <w:bottom w:val="single" w:sz="4" w:space="0" w:color="auto"/>
            </w:tcBorders>
            <w:shd w:val="clear" w:color="auto" w:fill="auto"/>
            <w:vAlign w:val="bottom"/>
          </w:tcPr>
          <w:p w14:paraId="6D82AE38"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2</w:t>
            </w:r>
            <w:r>
              <w:rPr>
                <w:rFonts w:ascii="Arial" w:hAnsi="Arial"/>
                <w:sz w:val="20"/>
                <w:lang w:val="en-GB" w:eastAsia="en-GB"/>
              </w:rPr>
              <w:t>0</w:t>
            </w:r>
            <w:r w:rsidRPr="000E6EB5">
              <w:rPr>
                <w:rFonts w:ascii="Arial" w:hAnsi="Arial"/>
                <w:sz w:val="20"/>
                <w:lang w:val="en-GB" w:eastAsia="en-GB"/>
              </w:rPr>
              <w:t xml:space="preserve"> (9.</w:t>
            </w:r>
            <w:r>
              <w:rPr>
                <w:rFonts w:ascii="Arial" w:hAnsi="Arial"/>
                <w:sz w:val="20"/>
                <w:lang w:val="en-GB" w:eastAsia="en-GB"/>
              </w:rPr>
              <w:t>1</w:t>
            </w:r>
            <w:r w:rsidRPr="000E6EB5">
              <w:rPr>
                <w:rFonts w:ascii="Arial" w:hAnsi="Arial"/>
                <w:sz w:val="20"/>
                <w:lang w:val="en-GB" w:eastAsia="en-GB"/>
              </w:rPr>
              <w:t>)</w:t>
            </w:r>
          </w:p>
        </w:tc>
        <w:tc>
          <w:tcPr>
            <w:tcW w:w="1800" w:type="dxa"/>
            <w:tcBorders>
              <w:bottom w:val="single" w:sz="4" w:space="0" w:color="auto"/>
              <w:right w:val="single" w:sz="4" w:space="0" w:color="auto"/>
            </w:tcBorders>
            <w:shd w:val="clear" w:color="auto" w:fill="auto"/>
            <w:vAlign w:val="bottom"/>
          </w:tcPr>
          <w:p w14:paraId="49628890"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2</w:t>
            </w:r>
            <w:r w:rsidRPr="000E6EB5">
              <w:rPr>
                <w:rFonts w:ascii="Arial" w:hAnsi="Arial"/>
                <w:sz w:val="20"/>
                <w:lang w:val="en-GB" w:eastAsia="en-GB"/>
              </w:rPr>
              <w:t>2 (</w:t>
            </w:r>
            <w:r>
              <w:rPr>
                <w:rFonts w:ascii="Arial" w:hAnsi="Arial"/>
                <w:sz w:val="20"/>
                <w:lang w:val="en-GB" w:eastAsia="en-GB"/>
              </w:rPr>
              <w:t>6.7</w:t>
            </w:r>
            <w:r w:rsidRPr="000E6EB5">
              <w:rPr>
                <w:rFonts w:ascii="Arial" w:hAnsi="Arial"/>
                <w:sz w:val="20"/>
                <w:lang w:val="en-GB" w:eastAsia="en-GB"/>
              </w:rPr>
              <w:t>)</w:t>
            </w:r>
          </w:p>
        </w:tc>
        <w:tc>
          <w:tcPr>
            <w:tcW w:w="1036" w:type="dxa"/>
            <w:tcBorders>
              <w:left w:val="single" w:sz="4" w:space="0" w:color="auto"/>
              <w:bottom w:val="single" w:sz="4" w:space="0" w:color="auto"/>
            </w:tcBorders>
            <w:shd w:val="clear" w:color="auto" w:fill="auto"/>
            <w:vAlign w:val="bottom"/>
          </w:tcPr>
          <w:p w14:paraId="641DDDA4"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w:t>
            </w:r>
            <w:r>
              <w:rPr>
                <w:rFonts w:ascii="Arial" w:hAnsi="Arial"/>
                <w:sz w:val="20"/>
                <w:lang w:val="en-GB" w:eastAsia="en-GB"/>
              </w:rPr>
              <w:t>3</w:t>
            </w:r>
            <w:r w:rsidRPr="000E6EB5">
              <w:rPr>
                <w:rFonts w:ascii="Arial" w:hAnsi="Arial"/>
                <w:sz w:val="20"/>
                <w:lang w:val="en-GB" w:eastAsia="en-GB"/>
              </w:rPr>
              <w:t xml:space="preserve"> (7.</w:t>
            </w:r>
            <w:r>
              <w:rPr>
                <w:rFonts w:ascii="Arial" w:hAnsi="Arial"/>
                <w:sz w:val="20"/>
                <w:lang w:val="en-GB" w:eastAsia="en-GB"/>
              </w:rPr>
              <w:t>8</w:t>
            </w:r>
            <w:r w:rsidRPr="000E6EB5">
              <w:rPr>
                <w:rFonts w:ascii="Arial" w:hAnsi="Arial"/>
                <w:sz w:val="20"/>
                <w:lang w:val="en-GB" w:eastAsia="en-GB"/>
              </w:rPr>
              <w:t>)</w:t>
            </w:r>
          </w:p>
        </w:tc>
        <w:tc>
          <w:tcPr>
            <w:tcW w:w="1375" w:type="dxa"/>
            <w:tcBorders>
              <w:bottom w:val="single" w:sz="4" w:space="0" w:color="auto"/>
            </w:tcBorders>
            <w:shd w:val="clear" w:color="auto" w:fill="auto"/>
            <w:vAlign w:val="bottom"/>
          </w:tcPr>
          <w:p w14:paraId="68CCDAE8"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3</w:t>
            </w:r>
            <w:r>
              <w:rPr>
                <w:rFonts w:ascii="Arial" w:hAnsi="Arial"/>
                <w:sz w:val="20"/>
                <w:lang w:val="en-GB" w:eastAsia="en-GB"/>
              </w:rPr>
              <w:t>5</w:t>
            </w:r>
            <w:r w:rsidRPr="000E6EB5">
              <w:rPr>
                <w:rFonts w:ascii="Arial" w:hAnsi="Arial"/>
                <w:sz w:val="20"/>
                <w:lang w:val="en-GB" w:eastAsia="en-GB"/>
              </w:rPr>
              <w:t xml:space="preserve"> (</w:t>
            </w:r>
            <w:r>
              <w:rPr>
                <w:rFonts w:ascii="Arial" w:hAnsi="Arial"/>
                <w:sz w:val="20"/>
                <w:lang w:val="en-GB" w:eastAsia="en-GB"/>
              </w:rPr>
              <w:t>5.5</w:t>
            </w:r>
            <w:r w:rsidRPr="000E6EB5">
              <w:rPr>
                <w:rFonts w:ascii="Arial" w:hAnsi="Arial"/>
                <w:sz w:val="20"/>
                <w:lang w:val="en-GB" w:eastAsia="en-GB"/>
              </w:rPr>
              <w:t>)</w:t>
            </w:r>
          </w:p>
        </w:tc>
      </w:tr>
      <w:tr w:rsidR="00EC4DF6" w:rsidRPr="00C3419E" w14:paraId="750DF66F" w14:textId="77777777" w:rsidTr="006E09EC">
        <w:trPr>
          <w:jc w:val="center"/>
        </w:trPr>
        <w:tc>
          <w:tcPr>
            <w:tcW w:w="9302" w:type="dxa"/>
            <w:gridSpan w:val="7"/>
            <w:tcBorders>
              <w:top w:val="single" w:sz="4" w:space="0" w:color="auto"/>
              <w:bottom w:val="single" w:sz="4" w:space="0" w:color="auto"/>
            </w:tcBorders>
            <w:shd w:val="clear" w:color="auto" w:fill="auto"/>
          </w:tcPr>
          <w:p w14:paraId="3A0536A4" w14:textId="77777777" w:rsidR="00EC4DF6" w:rsidRPr="000E6EB5" w:rsidRDefault="00EC4DF6" w:rsidP="006E6D0A">
            <w:pPr>
              <w:autoSpaceDE w:val="0"/>
              <w:autoSpaceDN w:val="0"/>
              <w:adjustRightInd w:val="0"/>
              <w:spacing w:before="20" w:after="20"/>
              <w:rPr>
                <w:rFonts w:ascii="Arial" w:hAnsi="Arial"/>
                <w:sz w:val="20"/>
                <w:lang w:val="en-GB" w:eastAsia="en-GB"/>
              </w:rPr>
            </w:pPr>
            <w:r w:rsidRPr="000E6EB5">
              <w:rPr>
                <w:rFonts w:ascii="Arial" w:hAnsi="Arial"/>
                <w:sz w:val="20"/>
                <w:lang w:val="en-GB" w:eastAsia="en-GB"/>
              </w:rPr>
              <w:t>Comparison vs placebo</w:t>
            </w:r>
            <w:r w:rsidRPr="006907DA">
              <w:rPr>
                <w:rFonts w:ascii="Arial" w:hAnsi="Arial"/>
                <w:sz w:val="20"/>
                <w:vertAlign w:val="superscript"/>
                <w:lang w:val="en-GB" w:eastAsia="en-GB"/>
              </w:rPr>
              <w:t>1</w:t>
            </w:r>
          </w:p>
        </w:tc>
      </w:tr>
      <w:tr w:rsidR="00EC4DF6" w:rsidRPr="00C3419E" w14:paraId="2D19E354" w14:textId="77777777" w:rsidTr="006E09EC">
        <w:trPr>
          <w:jc w:val="center"/>
        </w:trPr>
        <w:tc>
          <w:tcPr>
            <w:tcW w:w="1487" w:type="dxa"/>
            <w:tcBorders>
              <w:top w:val="single" w:sz="4" w:space="0" w:color="auto"/>
              <w:right w:val="nil"/>
            </w:tcBorders>
            <w:shd w:val="clear" w:color="auto" w:fill="auto"/>
          </w:tcPr>
          <w:p w14:paraId="33B3FDC1" w14:textId="77777777" w:rsidR="00EC4DF6" w:rsidRPr="000E6EB5" w:rsidRDefault="00EC4DF6" w:rsidP="006E6D0A">
            <w:pPr>
              <w:autoSpaceDE w:val="0"/>
              <w:autoSpaceDN w:val="0"/>
              <w:adjustRightInd w:val="0"/>
              <w:spacing w:before="20" w:after="20"/>
              <w:jc w:val="right"/>
              <w:rPr>
                <w:rFonts w:ascii="Arial" w:hAnsi="Arial"/>
                <w:sz w:val="20"/>
                <w:lang w:val="en-GB" w:eastAsia="en-GB"/>
              </w:rPr>
            </w:pPr>
            <w:r w:rsidRPr="000E6EB5">
              <w:rPr>
                <w:rFonts w:ascii="Arial" w:hAnsi="Arial"/>
                <w:sz w:val="20"/>
                <w:lang w:val="en-GB" w:eastAsia="en-GB"/>
              </w:rPr>
              <w:t>p-value</w:t>
            </w:r>
            <w:r w:rsidRPr="006907DA">
              <w:rPr>
                <w:rFonts w:ascii="Arial" w:hAnsi="Arial"/>
                <w:sz w:val="20"/>
                <w:vertAlign w:val="superscript"/>
                <w:lang w:val="en-GB" w:eastAsia="en-GB"/>
              </w:rPr>
              <w:t>2</w:t>
            </w:r>
          </w:p>
        </w:tc>
        <w:tc>
          <w:tcPr>
            <w:tcW w:w="983" w:type="dxa"/>
            <w:tcBorders>
              <w:top w:val="single" w:sz="4" w:space="0" w:color="auto"/>
              <w:left w:val="nil"/>
            </w:tcBorders>
            <w:shd w:val="clear" w:color="auto" w:fill="auto"/>
            <w:vAlign w:val="bottom"/>
          </w:tcPr>
          <w:p w14:paraId="1B1AB181"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624" w:type="dxa"/>
            <w:tcBorders>
              <w:top w:val="single" w:sz="4" w:space="0" w:color="auto"/>
              <w:right w:val="single" w:sz="4" w:space="0" w:color="auto"/>
            </w:tcBorders>
            <w:shd w:val="clear" w:color="auto" w:fill="auto"/>
            <w:vAlign w:val="bottom"/>
          </w:tcPr>
          <w:p w14:paraId="6A1853EA"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0.2880</w:t>
            </w:r>
          </w:p>
        </w:tc>
        <w:tc>
          <w:tcPr>
            <w:tcW w:w="997" w:type="dxa"/>
            <w:tcBorders>
              <w:top w:val="single" w:sz="4" w:space="0" w:color="auto"/>
              <w:left w:val="single" w:sz="4" w:space="0" w:color="auto"/>
            </w:tcBorders>
            <w:shd w:val="clear" w:color="auto" w:fill="auto"/>
            <w:vAlign w:val="bottom"/>
          </w:tcPr>
          <w:p w14:paraId="42581EBC"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800" w:type="dxa"/>
            <w:tcBorders>
              <w:top w:val="single" w:sz="4" w:space="0" w:color="auto"/>
              <w:right w:val="single" w:sz="4" w:space="0" w:color="auto"/>
            </w:tcBorders>
            <w:shd w:val="clear" w:color="auto" w:fill="auto"/>
            <w:vAlign w:val="bottom"/>
          </w:tcPr>
          <w:p w14:paraId="499FED42"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0.2995</w:t>
            </w:r>
          </w:p>
        </w:tc>
        <w:tc>
          <w:tcPr>
            <w:tcW w:w="1036" w:type="dxa"/>
            <w:tcBorders>
              <w:top w:val="single" w:sz="4" w:space="0" w:color="auto"/>
              <w:left w:val="single" w:sz="4" w:space="0" w:color="auto"/>
            </w:tcBorders>
            <w:shd w:val="clear" w:color="auto" w:fill="auto"/>
            <w:vAlign w:val="bottom"/>
          </w:tcPr>
          <w:p w14:paraId="175DEA73"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375" w:type="dxa"/>
            <w:tcBorders>
              <w:top w:val="single" w:sz="4" w:space="0" w:color="auto"/>
            </w:tcBorders>
            <w:shd w:val="clear" w:color="auto" w:fill="auto"/>
            <w:vAlign w:val="bottom"/>
          </w:tcPr>
          <w:p w14:paraId="08F7FFB8"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0.1399</w:t>
            </w:r>
          </w:p>
        </w:tc>
      </w:tr>
      <w:tr w:rsidR="00EC4DF6" w:rsidRPr="00C3419E" w14:paraId="16B0C10B" w14:textId="77777777" w:rsidTr="006E09EC">
        <w:trPr>
          <w:jc w:val="center"/>
        </w:trPr>
        <w:tc>
          <w:tcPr>
            <w:tcW w:w="1487" w:type="dxa"/>
            <w:tcBorders>
              <w:right w:val="nil"/>
            </w:tcBorders>
            <w:shd w:val="clear" w:color="auto" w:fill="auto"/>
          </w:tcPr>
          <w:p w14:paraId="5532CACE" w14:textId="77777777" w:rsidR="00EC4DF6" w:rsidRPr="000E6EB5" w:rsidRDefault="00EC4DF6" w:rsidP="006E6D0A">
            <w:pPr>
              <w:autoSpaceDE w:val="0"/>
              <w:autoSpaceDN w:val="0"/>
              <w:adjustRightInd w:val="0"/>
              <w:spacing w:before="20" w:after="20"/>
              <w:jc w:val="right"/>
              <w:rPr>
                <w:rFonts w:ascii="Arial" w:hAnsi="Arial"/>
                <w:sz w:val="20"/>
                <w:lang w:val="en-GB" w:eastAsia="en-GB"/>
              </w:rPr>
            </w:pPr>
            <w:r w:rsidRPr="000E6EB5">
              <w:rPr>
                <w:rFonts w:ascii="Arial" w:hAnsi="Arial"/>
                <w:sz w:val="20"/>
                <w:lang w:val="en-GB" w:eastAsia="en-GB"/>
              </w:rPr>
              <w:t>Hazard ratio</w:t>
            </w:r>
            <w:r w:rsidRPr="006907DA">
              <w:rPr>
                <w:rFonts w:ascii="Arial" w:hAnsi="Arial"/>
                <w:sz w:val="20"/>
                <w:vertAlign w:val="superscript"/>
                <w:lang w:val="en-GB" w:eastAsia="en-GB"/>
              </w:rPr>
              <w:t>3</w:t>
            </w:r>
          </w:p>
        </w:tc>
        <w:tc>
          <w:tcPr>
            <w:tcW w:w="983" w:type="dxa"/>
            <w:tcBorders>
              <w:left w:val="nil"/>
            </w:tcBorders>
            <w:shd w:val="clear" w:color="auto" w:fill="auto"/>
            <w:vAlign w:val="bottom"/>
          </w:tcPr>
          <w:p w14:paraId="189B3102"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624" w:type="dxa"/>
            <w:tcBorders>
              <w:right w:val="single" w:sz="4" w:space="0" w:color="auto"/>
            </w:tcBorders>
            <w:shd w:val="clear" w:color="auto" w:fill="auto"/>
            <w:vAlign w:val="bottom"/>
          </w:tcPr>
          <w:p w14:paraId="14B3C9FC"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0.63</w:t>
            </w:r>
          </w:p>
        </w:tc>
        <w:tc>
          <w:tcPr>
            <w:tcW w:w="997" w:type="dxa"/>
            <w:tcBorders>
              <w:left w:val="single" w:sz="4" w:space="0" w:color="auto"/>
            </w:tcBorders>
            <w:shd w:val="clear" w:color="auto" w:fill="auto"/>
            <w:vAlign w:val="bottom"/>
          </w:tcPr>
          <w:p w14:paraId="50587B1F"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800" w:type="dxa"/>
            <w:tcBorders>
              <w:right w:val="single" w:sz="4" w:space="0" w:color="auto"/>
            </w:tcBorders>
            <w:shd w:val="clear" w:color="auto" w:fill="auto"/>
            <w:vAlign w:val="bottom"/>
          </w:tcPr>
          <w:p w14:paraId="6D784567"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0.74</w:t>
            </w:r>
          </w:p>
        </w:tc>
        <w:tc>
          <w:tcPr>
            <w:tcW w:w="1036" w:type="dxa"/>
            <w:tcBorders>
              <w:left w:val="single" w:sz="4" w:space="0" w:color="auto"/>
            </w:tcBorders>
            <w:shd w:val="clear" w:color="auto" w:fill="auto"/>
            <w:vAlign w:val="bottom"/>
          </w:tcPr>
          <w:p w14:paraId="3A0B64E6"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375" w:type="dxa"/>
            <w:shd w:val="clear" w:color="auto" w:fill="auto"/>
            <w:vAlign w:val="bottom"/>
          </w:tcPr>
          <w:p w14:paraId="622A955B"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Pr>
                <w:rFonts w:ascii="Arial" w:hAnsi="Arial"/>
                <w:sz w:val="20"/>
                <w:lang w:val="en-GB" w:eastAsia="en-GB"/>
              </w:rPr>
              <w:t>0.70</w:t>
            </w:r>
          </w:p>
        </w:tc>
      </w:tr>
      <w:tr w:rsidR="00EC4DF6" w:rsidRPr="00C3419E" w14:paraId="197F2142" w14:textId="77777777" w:rsidTr="006E09EC">
        <w:trPr>
          <w:jc w:val="center"/>
        </w:trPr>
        <w:tc>
          <w:tcPr>
            <w:tcW w:w="1487" w:type="dxa"/>
            <w:tcBorders>
              <w:bottom w:val="single" w:sz="4" w:space="0" w:color="auto"/>
              <w:right w:val="nil"/>
            </w:tcBorders>
            <w:shd w:val="clear" w:color="auto" w:fill="auto"/>
          </w:tcPr>
          <w:p w14:paraId="15EA7593" w14:textId="77777777" w:rsidR="00EC4DF6" w:rsidRPr="000E6EB5" w:rsidRDefault="00EC4DF6" w:rsidP="006E6D0A">
            <w:pPr>
              <w:autoSpaceDE w:val="0"/>
              <w:autoSpaceDN w:val="0"/>
              <w:adjustRightInd w:val="0"/>
              <w:spacing w:before="20" w:after="20"/>
              <w:jc w:val="right"/>
              <w:rPr>
                <w:rFonts w:ascii="Arial" w:hAnsi="Arial"/>
                <w:sz w:val="20"/>
                <w:lang w:val="en-GB" w:eastAsia="en-GB"/>
              </w:rPr>
            </w:pPr>
            <w:r w:rsidRPr="000E6EB5">
              <w:rPr>
                <w:rFonts w:ascii="Arial" w:hAnsi="Arial"/>
                <w:sz w:val="20"/>
                <w:lang w:val="en-GB" w:eastAsia="en-GB"/>
              </w:rPr>
              <w:tab/>
              <w:t>95% CI</w:t>
            </w:r>
          </w:p>
        </w:tc>
        <w:tc>
          <w:tcPr>
            <w:tcW w:w="983" w:type="dxa"/>
            <w:tcBorders>
              <w:left w:val="nil"/>
              <w:bottom w:val="single" w:sz="4" w:space="0" w:color="auto"/>
            </w:tcBorders>
            <w:shd w:val="clear" w:color="auto" w:fill="auto"/>
            <w:vAlign w:val="bottom"/>
          </w:tcPr>
          <w:p w14:paraId="5EAD532E"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624" w:type="dxa"/>
            <w:tcBorders>
              <w:bottom w:val="single" w:sz="4" w:space="0" w:color="auto"/>
              <w:right w:val="single" w:sz="4" w:space="0" w:color="auto"/>
            </w:tcBorders>
            <w:shd w:val="clear" w:color="auto" w:fill="auto"/>
            <w:vAlign w:val="bottom"/>
          </w:tcPr>
          <w:p w14:paraId="3A5CF031"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w:t>
            </w:r>
            <w:r>
              <w:rPr>
                <w:rFonts w:ascii="Arial" w:hAnsi="Arial"/>
                <w:sz w:val="20"/>
                <w:lang w:val="en-GB" w:eastAsia="en-GB"/>
              </w:rPr>
              <w:t>0.29, 1.36</w:t>
            </w:r>
            <w:r w:rsidRPr="000E6EB5">
              <w:rPr>
                <w:rFonts w:ascii="Arial" w:hAnsi="Arial"/>
                <w:sz w:val="20"/>
                <w:lang w:val="en-GB" w:eastAsia="en-GB"/>
              </w:rPr>
              <w:t>)</w:t>
            </w:r>
          </w:p>
        </w:tc>
        <w:tc>
          <w:tcPr>
            <w:tcW w:w="997" w:type="dxa"/>
            <w:tcBorders>
              <w:left w:val="single" w:sz="4" w:space="0" w:color="auto"/>
              <w:bottom w:val="single" w:sz="4" w:space="0" w:color="auto"/>
            </w:tcBorders>
            <w:shd w:val="clear" w:color="auto" w:fill="auto"/>
            <w:vAlign w:val="bottom"/>
          </w:tcPr>
          <w:p w14:paraId="1A775188"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800" w:type="dxa"/>
            <w:tcBorders>
              <w:bottom w:val="single" w:sz="4" w:space="0" w:color="auto"/>
              <w:right w:val="single" w:sz="4" w:space="0" w:color="auto"/>
            </w:tcBorders>
            <w:shd w:val="clear" w:color="auto" w:fill="auto"/>
            <w:vAlign w:val="bottom"/>
          </w:tcPr>
          <w:p w14:paraId="6E7F9E0D"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w:t>
            </w:r>
            <w:r>
              <w:rPr>
                <w:rFonts w:ascii="Arial" w:hAnsi="Arial"/>
                <w:sz w:val="20"/>
                <w:lang w:val="en-GB" w:eastAsia="en-GB"/>
              </w:rPr>
              <w:t>0.40, 1.35</w:t>
            </w:r>
            <w:r w:rsidRPr="000E6EB5">
              <w:rPr>
                <w:rFonts w:ascii="Arial" w:hAnsi="Arial"/>
                <w:sz w:val="20"/>
                <w:lang w:val="en-GB" w:eastAsia="en-GB"/>
              </w:rPr>
              <w:t>)</w:t>
            </w:r>
          </w:p>
        </w:tc>
        <w:tc>
          <w:tcPr>
            <w:tcW w:w="1036" w:type="dxa"/>
            <w:tcBorders>
              <w:left w:val="single" w:sz="4" w:space="0" w:color="auto"/>
              <w:bottom w:val="single" w:sz="4" w:space="0" w:color="auto"/>
            </w:tcBorders>
            <w:shd w:val="clear" w:color="auto" w:fill="auto"/>
            <w:vAlign w:val="bottom"/>
          </w:tcPr>
          <w:p w14:paraId="30DF5C26"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p>
        </w:tc>
        <w:tc>
          <w:tcPr>
            <w:tcW w:w="1375" w:type="dxa"/>
            <w:tcBorders>
              <w:bottom w:val="single" w:sz="4" w:space="0" w:color="auto"/>
            </w:tcBorders>
            <w:shd w:val="clear" w:color="auto" w:fill="auto"/>
            <w:vAlign w:val="bottom"/>
          </w:tcPr>
          <w:p w14:paraId="03DEE836" w14:textId="77777777" w:rsidR="00EC4DF6" w:rsidRPr="000E6EB5" w:rsidRDefault="00EC4DF6" w:rsidP="006E6D0A">
            <w:pPr>
              <w:autoSpaceDE w:val="0"/>
              <w:autoSpaceDN w:val="0"/>
              <w:adjustRightInd w:val="0"/>
              <w:spacing w:before="20" w:after="20"/>
              <w:jc w:val="center"/>
              <w:rPr>
                <w:rFonts w:ascii="Arial" w:hAnsi="Arial"/>
                <w:sz w:val="20"/>
                <w:lang w:val="en-GB" w:eastAsia="en-GB"/>
              </w:rPr>
            </w:pPr>
            <w:r w:rsidRPr="000E6EB5">
              <w:rPr>
                <w:rFonts w:ascii="Arial" w:hAnsi="Arial"/>
                <w:sz w:val="20"/>
                <w:lang w:val="en-GB" w:eastAsia="en-GB"/>
              </w:rPr>
              <w:t>(</w:t>
            </w:r>
            <w:r>
              <w:rPr>
                <w:rFonts w:ascii="Arial" w:hAnsi="Arial"/>
                <w:sz w:val="20"/>
                <w:lang w:val="en-GB" w:eastAsia="en-GB"/>
              </w:rPr>
              <w:t>0.43, 1.12</w:t>
            </w:r>
            <w:r w:rsidRPr="000E6EB5">
              <w:rPr>
                <w:rFonts w:ascii="Arial" w:hAnsi="Arial"/>
                <w:sz w:val="20"/>
                <w:lang w:val="en-GB" w:eastAsia="en-GB"/>
              </w:rPr>
              <w:t>)</w:t>
            </w:r>
          </w:p>
        </w:tc>
      </w:tr>
    </w:tbl>
    <w:p w14:paraId="3D2B98F3" w14:textId="77777777" w:rsidR="00EC4DF6" w:rsidRPr="000E6EB5" w:rsidRDefault="00EC4DF6" w:rsidP="000F322D">
      <w:pPr>
        <w:autoSpaceDE w:val="0"/>
        <w:autoSpaceDN w:val="0"/>
        <w:adjustRightInd w:val="0"/>
        <w:spacing w:before="40" w:after="180"/>
        <w:rPr>
          <w:rFonts w:ascii="Arial" w:hAnsi="Arial"/>
          <w:sz w:val="20"/>
          <w:lang w:val="en-GB" w:eastAsia="en-GB"/>
        </w:rPr>
      </w:pPr>
      <w:proofErr w:type="gramStart"/>
      <w:r w:rsidRPr="000E6EB5">
        <w:rPr>
          <w:rFonts w:ascii="Arial" w:hAnsi="Arial"/>
          <w:sz w:val="20"/>
          <w:vertAlign w:val="superscript"/>
          <w:lang w:val="en-GB" w:eastAsia="en-GB"/>
        </w:rPr>
        <w:t>1</w:t>
      </w:r>
      <w:proofErr w:type="gramEnd"/>
      <w:r w:rsidRPr="000E6EB5">
        <w:rPr>
          <w:rFonts w:ascii="Arial" w:hAnsi="Arial"/>
          <w:sz w:val="20"/>
          <w:lang w:val="en-GB" w:eastAsia="en-GB"/>
        </w:rPr>
        <w:t xml:space="preserve"> Based on data collected up to 372 days (52 weeks + 7 day margin).</w:t>
      </w:r>
      <w:r w:rsidRPr="000E6EB5">
        <w:rPr>
          <w:rFonts w:ascii="Arial" w:hAnsi="Arial"/>
          <w:sz w:val="20"/>
          <w:lang w:val="en-GB" w:eastAsia="en-GB"/>
        </w:rPr>
        <w:br/>
      </w:r>
      <w:r w:rsidRPr="000E6EB5">
        <w:rPr>
          <w:rFonts w:ascii="Arial" w:hAnsi="Arial"/>
          <w:sz w:val="20"/>
          <w:vertAlign w:val="superscript"/>
          <w:lang w:val="en-GB" w:eastAsia="en-GB"/>
        </w:rPr>
        <w:t>2</w:t>
      </w:r>
      <w:r w:rsidRPr="000E6EB5">
        <w:rPr>
          <w:rFonts w:ascii="Arial" w:hAnsi="Arial"/>
          <w:sz w:val="20"/>
          <w:lang w:val="en-GB" w:eastAsia="en-GB"/>
        </w:rPr>
        <w:t xml:space="preserve"> Based on a Log-rank test.</w:t>
      </w:r>
      <w:r w:rsidRPr="000E6EB5">
        <w:rPr>
          <w:rFonts w:ascii="Arial" w:hAnsi="Arial"/>
          <w:sz w:val="20"/>
          <w:lang w:val="en-GB" w:eastAsia="en-GB"/>
        </w:rPr>
        <w:br/>
      </w:r>
      <w:r w:rsidRPr="000E6EB5">
        <w:rPr>
          <w:rFonts w:ascii="Arial" w:hAnsi="Arial"/>
          <w:sz w:val="20"/>
          <w:vertAlign w:val="superscript"/>
          <w:lang w:val="en-GB" w:eastAsia="en-GB"/>
        </w:rPr>
        <w:t>3</w:t>
      </w:r>
      <w:r w:rsidRPr="000E6EB5">
        <w:rPr>
          <w:rFonts w:ascii="Arial" w:hAnsi="Arial"/>
          <w:sz w:val="20"/>
          <w:lang w:val="en-GB" w:eastAsia="en-GB"/>
        </w:rPr>
        <w:t xml:space="preserve"> Based on a Cox’s regression model</w:t>
      </w:r>
      <w:r>
        <w:rPr>
          <w:rFonts w:ascii="Arial" w:hAnsi="Arial"/>
          <w:sz w:val="20"/>
          <w:lang w:val="en-GB" w:eastAsia="en-GB"/>
        </w:rPr>
        <w:t>.</w:t>
      </w:r>
      <w:r w:rsidRPr="000E6EB5">
        <w:rPr>
          <w:rFonts w:ascii="Arial" w:hAnsi="Arial"/>
          <w:sz w:val="20"/>
          <w:lang w:val="en-GB" w:eastAsia="en-GB"/>
        </w:rPr>
        <w:t xml:space="preserve"> </w:t>
      </w:r>
    </w:p>
    <w:p w14:paraId="68B29164" w14:textId="77777777" w:rsidR="00EC4DF6" w:rsidRPr="006907DA" w:rsidRDefault="00EC4DF6" w:rsidP="006E6D0A">
      <w:pPr>
        <w:autoSpaceDE w:val="0"/>
        <w:autoSpaceDN w:val="0"/>
        <w:adjustRightInd w:val="0"/>
        <w:spacing w:after="60"/>
        <w:jc w:val="both"/>
        <w:rPr>
          <w:rFonts w:ascii="Arial" w:hAnsi="Arial"/>
          <w:sz w:val="22"/>
          <w:szCs w:val="22"/>
          <w:u w:val="single"/>
          <w:lang w:val="en-GB" w:eastAsia="en-GB"/>
        </w:rPr>
      </w:pPr>
      <w:r w:rsidRPr="006907DA">
        <w:rPr>
          <w:rFonts w:ascii="Arial" w:hAnsi="Arial"/>
          <w:sz w:val="22"/>
          <w:szCs w:val="22"/>
          <w:u w:val="single"/>
          <w:lang w:val="en-GB" w:eastAsia="en-GB"/>
        </w:rPr>
        <w:t xml:space="preserve">Supportive evidence from the phase II trial (1199.30) </w:t>
      </w:r>
      <w:r>
        <w:rPr>
          <w:rFonts w:ascii="Arial" w:hAnsi="Arial"/>
          <w:sz w:val="22"/>
          <w:szCs w:val="22"/>
          <w:u w:val="single"/>
          <w:lang w:val="en-GB" w:eastAsia="en-GB"/>
        </w:rPr>
        <w:t>OFEV</w:t>
      </w:r>
      <w:r w:rsidRPr="006907DA">
        <w:rPr>
          <w:rFonts w:ascii="Arial" w:hAnsi="Arial"/>
          <w:sz w:val="22"/>
          <w:szCs w:val="22"/>
          <w:u w:val="single"/>
          <w:lang w:val="en-GB" w:eastAsia="en-GB"/>
        </w:rPr>
        <w:t xml:space="preserve"> 150 mg </w:t>
      </w:r>
      <w:proofErr w:type="gramStart"/>
      <w:r w:rsidRPr="006907DA">
        <w:rPr>
          <w:rFonts w:ascii="Arial" w:hAnsi="Arial"/>
          <w:sz w:val="22"/>
          <w:szCs w:val="22"/>
          <w:u w:val="single"/>
          <w:lang w:val="en-GB" w:eastAsia="en-GB"/>
        </w:rPr>
        <w:t>twice daily</w:t>
      </w:r>
      <w:proofErr w:type="gramEnd"/>
      <w:r w:rsidRPr="006907DA">
        <w:rPr>
          <w:rFonts w:ascii="Arial" w:hAnsi="Arial"/>
          <w:sz w:val="22"/>
          <w:szCs w:val="22"/>
          <w:u w:val="single"/>
          <w:lang w:val="en-GB" w:eastAsia="en-GB"/>
        </w:rPr>
        <w:t xml:space="preserve"> results:</w:t>
      </w:r>
    </w:p>
    <w:p w14:paraId="25808E09" w14:textId="4418BB71" w:rsidR="00EC4DF6" w:rsidRDefault="00EC4DF6" w:rsidP="000F322D">
      <w:pPr>
        <w:autoSpaceDE w:val="0"/>
        <w:autoSpaceDN w:val="0"/>
        <w:adjustRightInd w:val="0"/>
        <w:spacing w:before="120" w:after="180"/>
        <w:jc w:val="both"/>
        <w:rPr>
          <w:rFonts w:ascii="Arial" w:hAnsi="Arial"/>
          <w:sz w:val="22"/>
          <w:szCs w:val="22"/>
          <w:lang w:val="en-GB" w:eastAsia="en-GB"/>
        </w:rPr>
      </w:pPr>
      <w:r w:rsidRPr="00C3419E">
        <w:rPr>
          <w:rFonts w:ascii="Arial" w:hAnsi="Arial"/>
          <w:sz w:val="22"/>
          <w:szCs w:val="22"/>
          <w:lang w:val="en-GB" w:eastAsia="en-GB"/>
        </w:rPr>
        <w:t xml:space="preserve">Additional evidence of efficacy is provided by the randomised, </w:t>
      </w:r>
      <w:proofErr w:type="gramStart"/>
      <w:r w:rsidRPr="00C3419E">
        <w:rPr>
          <w:rFonts w:ascii="Arial" w:hAnsi="Arial"/>
          <w:sz w:val="22"/>
          <w:szCs w:val="22"/>
          <w:lang w:val="en-GB" w:eastAsia="en-GB"/>
        </w:rPr>
        <w:t>double-blind</w:t>
      </w:r>
      <w:proofErr w:type="gramEnd"/>
      <w:r w:rsidRPr="00C3419E">
        <w:rPr>
          <w:rFonts w:ascii="Arial" w:hAnsi="Arial"/>
          <w:sz w:val="22"/>
          <w:szCs w:val="22"/>
          <w:lang w:val="en-GB" w:eastAsia="en-GB"/>
        </w:rPr>
        <w:t xml:space="preserve">, placebo-controlled, dose finding phase II trial including a </w:t>
      </w:r>
      <w:r w:rsidR="00D25BBD">
        <w:rPr>
          <w:rFonts w:ascii="Arial" w:hAnsi="Arial"/>
          <w:sz w:val="22"/>
          <w:szCs w:val="22"/>
          <w:lang w:val="en-GB" w:eastAsia="en-GB"/>
        </w:rPr>
        <w:t>OFEV</w:t>
      </w:r>
      <w:r w:rsidR="00D25BBD" w:rsidRPr="00C3419E">
        <w:rPr>
          <w:rFonts w:ascii="Arial" w:hAnsi="Arial"/>
          <w:sz w:val="22"/>
          <w:szCs w:val="22"/>
          <w:lang w:val="en-GB" w:eastAsia="en-GB"/>
        </w:rPr>
        <w:t xml:space="preserve"> </w:t>
      </w:r>
      <w:r w:rsidRPr="00C3419E">
        <w:rPr>
          <w:rFonts w:ascii="Arial" w:hAnsi="Arial"/>
          <w:sz w:val="22"/>
          <w:szCs w:val="22"/>
          <w:lang w:val="en-GB" w:eastAsia="en-GB"/>
        </w:rPr>
        <w:t xml:space="preserve">150 mg bid dose group. </w:t>
      </w:r>
    </w:p>
    <w:p w14:paraId="528942C8" w14:textId="5D65B8A1" w:rsidR="00EC4DF6" w:rsidRPr="00C3419E" w:rsidRDefault="00EC4DF6" w:rsidP="000F322D">
      <w:pPr>
        <w:autoSpaceDE w:val="0"/>
        <w:autoSpaceDN w:val="0"/>
        <w:adjustRightInd w:val="0"/>
        <w:spacing w:after="180"/>
        <w:jc w:val="both"/>
        <w:rPr>
          <w:rFonts w:ascii="Arial" w:hAnsi="Arial"/>
          <w:sz w:val="22"/>
          <w:szCs w:val="22"/>
          <w:lang w:val="en-GB" w:eastAsia="en-GB"/>
        </w:rPr>
      </w:pPr>
      <w:r w:rsidRPr="00C3419E">
        <w:rPr>
          <w:rFonts w:ascii="Arial" w:hAnsi="Arial"/>
          <w:sz w:val="22"/>
          <w:szCs w:val="22"/>
          <w:lang w:val="en-GB" w:eastAsia="en-GB"/>
        </w:rPr>
        <w:t xml:space="preserve">The primary endpoint, rate of decline in FVC over 52 weeks was lower in the </w:t>
      </w:r>
      <w:r w:rsidR="00D25BBD">
        <w:rPr>
          <w:rFonts w:ascii="Arial" w:hAnsi="Arial"/>
          <w:sz w:val="22"/>
          <w:szCs w:val="22"/>
          <w:lang w:val="en-GB" w:eastAsia="en-GB"/>
        </w:rPr>
        <w:t>OFEV</w:t>
      </w:r>
      <w:r w:rsidR="00D25BBD" w:rsidRPr="00C3419E">
        <w:rPr>
          <w:rFonts w:ascii="Arial" w:hAnsi="Arial"/>
          <w:sz w:val="22"/>
          <w:szCs w:val="22"/>
          <w:lang w:val="en-GB" w:eastAsia="en-GB"/>
        </w:rPr>
        <w:t xml:space="preserve"> </w:t>
      </w:r>
      <w:r w:rsidRPr="00C3419E">
        <w:rPr>
          <w:rFonts w:ascii="Arial" w:hAnsi="Arial"/>
          <w:sz w:val="22"/>
          <w:szCs w:val="22"/>
          <w:lang w:val="en-GB" w:eastAsia="en-GB"/>
        </w:rPr>
        <w:t>arm (</w:t>
      </w:r>
      <w:r w:rsidR="001D71A4">
        <w:rPr>
          <w:rFonts w:ascii="Arial" w:hAnsi="Arial"/>
          <w:sz w:val="22"/>
          <w:szCs w:val="22"/>
          <w:lang w:val="en-GB" w:eastAsia="en-GB"/>
        </w:rPr>
        <w:noBreakHyphen/>
      </w:r>
      <w:r w:rsidRPr="00C3419E">
        <w:rPr>
          <w:rFonts w:ascii="Arial" w:hAnsi="Arial"/>
          <w:sz w:val="22"/>
          <w:szCs w:val="22"/>
          <w:lang w:val="en-GB" w:eastAsia="en-GB"/>
        </w:rPr>
        <w:t>0.060</w:t>
      </w:r>
      <w:r w:rsidR="001D71A4">
        <w:rPr>
          <w:rFonts w:ascii="Arial" w:hAnsi="Arial"/>
          <w:sz w:val="22"/>
          <w:szCs w:val="22"/>
          <w:lang w:val="en-GB" w:eastAsia="en-GB"/>
        </w:rPr>
        <w:t> </w:t>
      </w:r>
      <w:r w:rsidRPr="00C3419E">
        <w:rPr>
          <w:rFonts w:ascii="Arial" w:hAnsi="Arial"/>
          <w:sz w:val="22"/>
          <w:szCs w:val="22"/>
          <w:lang w:val="en-GB" w:eastAsia="en-GB"/>
        </w:rPr>
        <w:t xml:space="preserve">L/year, N=84) than the placebo arm (-0.190 L/year, N=83). The estimated difference between the treatment groups was 0.131 L/year (95% CI 0.027, 0.235). </w:t>
      </w:r>
      <w:r w:rsidRPr="00BF2BDC">
        <w:rPr>
          <w:rFonts w:ascii="Arial" w:hAnsi="Arial"/>
          <w:sz w:val="22"/>
          <w:szCs w:val="22"/>
          <w:lang w:val="en-GB" w:eastAsia="en-GB"/>
        </w:rPr>
        <w:t>Although the difference between the treatments was not significant according to the primary analysis, it reached statistical significance (p=0.0136) using a pre-specified sensitivity analysis</w:t>
      </w:r>
      <w:r>
        <w:rPr>
          <w:rFonts w:ascii="Arial" w:hAnsi="Arial"/>
          <w:sz w:val="22"/>
          <w:szCs w:val="22"/>
          <w:lang w:val="en-GB" w:eastAsia="en-GB"/>
        </w:rPr>
        <w:t>.</w:t>
      </w:r>
    </w:p>
    <w:p w14:paraId="36FFAE4F" w14:textId="68E79211" w:rsidR="00EC4DF6" w:rsidRDefault="00EC4DF6" w:rsidP="000F322D">
      <w:pPr>
        <w:autoSpaceDE w:val="0"/>
        <w:autoSpaceDN w:val="0"/>
        <w:adjustRightInd w:val="0"/>
        <w:spacing w:after="180"/>
        <w:jc w:val="both"/>
        <w:rPr>
          <w:rFonts w:ascii="Arial" w:hAnsi="Arial"/>
          <w:sz w:val="22"/>
          <w:szCs w:val="22"/>
          <w:lang w:val="en-GB" w:eastAsia="en-GB"/>
        </w:rPr>
      </w:pPr>
      <w:r w:rsidRPr="00C3419E">
        <w:rPr>
          <w:rFonts w:ascii="Arial" w:hAnsi="Arial"/>
          <w:sz w:val="22"/>
          <w:szCs w:val="22"/>
          <w:lang w:val="en-GB" w:eastAsia="en-GB"/>
        </w:rPr>
        <w:t xml:space="preserve">The estimated mean change from baseline in SGRQ total score at 52 weeks was 5.46 for placebo, indicating worsening of the health-related quality of life and -0.66 for </w:t>
      </w:r>
      <w:r w:rsidR="00D25BBD">
        <w:rPr>
          <w:rFonts w:ascii="Arial" w:hAnsi="Arial"/>
          <w:sz w:val="22"/>
          <w:szCs w:val="22"/>
          <w:lang w:val="en-GB" w:eastAsia="en-GB"/>
        </w:rPr>
        <w:t>OFEV</w:t>
      </w:r>
      <w:r w:rsidRPr="00C3419E">
        <w:rPr>
          <w:rFonts w:ascii="Arial" w:hAnsi="Arial"/>
          <w:sz w:val="22"/>
          <w:szCs w:val="22"/>
          <w:lang w:val="en-GB" w:eastAsia="en-GB"/>
        </w:rPr>
        <w:t xml:space="preserve">, indicating stable health-related quality of life. The estimated mean difference for </w:t>
      </w:r>
      <w:r w:rsidR="00D25BBD">
        <w:rPr>
          <w:rFonts w:ascii="Arial" w:hAnsi="Arial"/>
          <w:sz w:val="22"/>
          <w:szCs w:val="22"/>
          <w:lang w:val="en-GB" w:eastAsia="en-GB"/>
        </w:rPr>
        <w:t>OFEV</w:t>
      </w:r>
      <w:r w:rsidR="00D25BBD" w:rsidRPr="00C3419E">
        <w:rPr>
          <w:rFonts w:ascii="Arial" w:hAnsi="Arial"/>
          <w:sz w:val="22"/>
          <w:szCs w:val="22"/>
          <w:lang w:val="en-GB" w:eastAsia="en-GB"/>
        </w:rPr>
        <w:t xml:space="preserve"> </w:t>
      </w:r>
      <w:r w:rsidRPr="00C3419E">
        <w:rPr>
          <w:rFonts w:ascii="Arial" w:hAnsi="Arial"/>
          <w:sz w:val="22"/>
          <w:szCs w:val="22"/>
          <w:lang w:val="en-GB" w:eastAsia="en-GB"/>
        </w:rPr>
        <w:t xml:space="preserve">compared with placebo was -6.12 (95% CI: -10.57, -1.67; p = 0.0071). </w:t>
      </w:r>
    </w:p>
    <w:p w14:paraId="600A9DD7" w14:textId="7EFFD19C" w:rsidR="00EC4DF6" w:rsidRDefault="00EC4DF6" w:rsidP="000F322D">
      <w:pPr>
        <w:autoSpaceDE w:val="0"/>
        <w:autoSpaceDN w:val="0"/>
        <w:adjustRightInd w:val="0"/>
        <w:spacing w:after="180"/>
        <w:jc w:val="both"/>
        <w:rPr>
          <w:rFonts w:ascii="Arial" w:hAnsi="Arial"/>
          <w:sz w:val="22"/>
          <w:szCs w:val="22"/>
          <w:lang w:val="en-GB" w:eastAsia="en-GB"/>
        </w:rPr>
      </w:pPr>
      <w:r w:rsidRPr="00C3419E">
        <w:rPr>
          <w:rFonts w:ascii="Arial" w:hAnsi="Arial"/>
          <w:sz w:val="22"/>
          <w:szCs w:val="22"/>
          <w:lang w:val="en-GB" w:eastAsia="en-GB"/>
        </w:rPr>
        <w:t xml:space="preserve">The number of patients with acute IPF exacerbations over 52 weeks was lower in the </w:t>
      </w:r>
      <w:r w:rsidR="00A01178">
        <w:rPr>
          <w:rFonts w:ascii="Arial" w:hAnsi="Arial"/>
          <w:sz w:val="22"/>
          <w:szCs w:val="22"/>
          <w:lang w:val="en-GB" w:eastAsia="en-GB"/>
        </w:rPr>
        <w:t>OFEV</w:t>
      </w:r>
      <w:r w:rsidR="00A01178" w:rsidRPr="00C3419E">
        <w:rPr>
          <w:rFonts w:ascii="Arial" w:hAnsi="Arial"/>
          <w:sz w:val="22"/>
          <w:szCs w:val="22"/>
          <w:lang w:val="en-GB" w:eastAsia="en-GB"/>
        </w:rPr>
        <w:t xml:space="preserve"> </w:t>
      </w:r>
      <w:r w:rsidRPr="00C3419E">
        <w:rPr>
          <w:rFonts w:ascii="Arial" w:hAnsi="Arial"/>
          <w:sz w:val="22"/>
          <w:szCs w:val="22"/>
          <w:lang w:val="en-GB" w:eastAsia="en-GB"/>
        </w:rPr>
        <w:t xml:space="preserve">group (2.3%, N=86) compared to placebo (13.8%, N=87). The estimated hazard ratio of </w:t>
      </w:r>
      <w:r w:rsidR="00A01178">
        <w:rPr>
          <w:rFonts w:ascii="Arial" w:hAnsi="Arial"/>
          <w:sz w:val="22"/>
          <w:szCs w:val="22"/>
          <w:lang w:val="en-GB" w:eastAsia="en-GB"/>
        </w:rPr>
        <w:t>OFEV</w:t>
      </w:r>
      <w:r w:rsidR="00A01178" w:rsidRPr="00C3419E">
        <w:rPr>
          <w:rFonts w:ascii="Arial" w:hAnsi="Arial"/>
          <w:sz w:val="22"/>
          <w:szCs w:val="22"/>
          <w:lang w:val="en-GB" w:eastAsia="en-GB"/>
        </w:rPr>
        <w:t xml:space="preserve"> </w:t>
      </w:r>
      <w:r w:rsidRPr="00C3419E">
        <w:rPr>
          <w:rFonts w:ascii="Arial" w:hAnsi="Arial"/>
          <w:sz w:val="22"/>
          <w:szCs w:val="22"/>
          <w:lang w:val="en-GB" w:eastAsia="en-GB"/>
        </w:rPr>
        <w:t>versus placebo was 0.16 (95% CI 0.04, 0.71; p = 0.0054).</w:t>
      </w:r>
    </w:p>
    <w:p w14:paraId="679A6AC0" w14:textId="77777777" w:rsidR="00F35168" w:rsidRPr="002515C4" w:rsidRDefault="00F35168" w:rsidP="00F35168">
      <w:pPr>
        <w:pStyle w:val="PIHeading3"/>
        <w:spacing w:before="0"/>
        <w:rPr>
          <w:lang w:val="en-US" w:eastAsia="de-DE"/>
        </w:rPr>
      </w:pPr>
      <w:r w:rsidRPr="002515C4">
        <w:rPr>
          <w:lang w:val="en-US" w:eastAsia="de-DE"/>
        </w:rPr>
        <w:t xml:space="preserve">Additional data from the </w:t>
      </w:r>
      <w:r>
        <w:rPr>
          <w:lang w:val="en-US" w:eastAsia="de-DE"/>
        </w:rPr>
        <w:t>p</w:t>
      </w:r>
      <w:r w:rsidRPr="002515C4">
        <w:rPr>
          <w:lang w:val="en-US" w:eastAsia="de-DE"/>
        </w:rPr>
        <w:t>hase IV INJOURNEY trial with OFEV 150 mg twice daily and add-on pirfenidone:</w:t>
      </w:r>
    </w:p>
    <w:p w14:paraId="29FE2410" w14:textId="7A30E232" w:rsidR="00F35168" w:rsidRDefault="00F35168" w:rsidP="00F35168">
      <w:pPr>
        <w:autoSpaceDE w:val="0"/>
        <w:autoSpaceDN w:val="0"/>
        <w:adjustRightInd w:val="0"/>
        <w:snapToGrid w:val="0"/>
        <w:jc w:val="both"/>
        <w:rPr>
          <w:rFonts w:ascii="Arial" w:hAnsi="Arial"/>
          <w:sz w:val="22"/>
          <w:szCs w:val="22"/>
          <w:lang w:val="en-GB" w:eastAsia="de-DE"/>
        </w:rPr>
      </w:pPr>
      <w:r>
        <w:rPr>
          <w:rFonts w:ascii="Arial" w:hAnsi="Arial"/>
          <w:sz w:val="22"/>
          <w:szCs w:val="22"/>
          <w:lang w:val="en-GB" w:eastAsia="de-DE"/>
        </w:rPr>
        <w:t xml:space="preserve">Concomitant treatment with </w:t>
      </w:r>
      <w:proofErr w:type="spellStart"/>
      <w:r>
        <w:rPr>
          <w:rFonts w:ascii="Arial" w:hAnsi="Arial"/>
          <w:sz w:val="22"/>
          <w:szCs w:val="22"/>
          <w:lang w:val="en-GB" w:eastAsia="de-DE"/>
        </w:rPr>
        <w:t>nintedanib</w:t>
      </w:r>
      <w:proofErr w:type="spellEnd"/>
      <w:r>
        <w:rPr>
          <w:rFonts w:ascii="Arial" w:hAnsi="Arial"/>
          <w:sz w:val="22"/>
          <w:szCs w:val="22"/>
          <w:lang w:val="en-GB" w:eastAsia="de-DE"/>
        </w:rPr>
        <w:t xml:space="preserve"> and </w:t>
      </w:r>
      <w:proofErr w:type="spellStart"/>
      <w:r>
        <w:rPr>
          <w:rFonts w:ascii="Arial" w:hAnsi="Arial"/>
          <w:sz w:val="22"/>
          <w:szCs w:val="22"/>
          <w:lang w:val="en-GB" w:eastAsia="de-DE"/>
        </w:rPr>
        <w:t>pirfenidone</w:t>
      </w:r>
      <w:proofErr w:type="spellEnd"/>
      <w:r>
        <w:rPr>
          <w:rFonts w:ascii="Arial" w:hAnsi="Arial"/>
          <w:sz w:val="22"/>
          <w:szCs w:val="22"/>
          <w:lang w:val="en-GB" w:eastAsia="de-DE"/>
        </w:rPr>
        <w:t xml:space="preserve"> has been investigated in an exploratory open-label, randomised trial of </w:t>
      </w:r>
      <w:proofErr w:type="spellStart"/>
      <w:r>
        <w:rPr>
          <w:rFonts w:ascii="Arial" w:hAnsi="Arial"/>
          <w:sz w:val="22"/>
          <w:szCs w:val="22"/>
          <w:lang w:val="en-GB" w:eastAsia="de-DE"/>
        </w:rPr>
        <w:t>nintedanib</w:t>
      </w:r>
      <w:proofErr w:type="spellEnd"/>
      <w:r>
        <w:rPr>
          <w:rFonts w:ascii="Arial" w:hAnsi="Arial"/>
          <w:sz w:val="22"/>
          <w:szCs w:val="22"/>
          <w:lang w:val="en-GB" w:eastAsia="de-DE"/>
        </w:rPr>
        <w:t xml:space="preserve"> 150 mg twice daily with add-on pirfenidone titrated to 801 mg three times a day</w:t>
      </w:r>
      <w:r w:rsidR="00E52075">
        <w:rPr>
          <w:rFonts w:ascii="Arial" w:hAnsi="Arial"/>
          <w:sz w:val="22"/>
          <w:szCs w:val="22"/>
          <w:lang w:val="en-GB" w:eastAsia="de-DE"/>
        </w:rPr>
        <w:t xml:space="preserve"> (n=53</w:t>
      </w:r>
      <w:r>
        <w:rPr>
          <w:rFonts w:ascii="Arial" w:hAnsi="Arial"/>
          <w:sz w:val="22"/>
          <w:szCs w:val="22"/>
          <w:lang w:val="en-GB" w:eastAsia="de-DE"/>
        </w:rPr>
        <w:t xml:space="preserve">) compared to </w:t>
      </w:r>
      <w:proofErr w:type="spellStart"/>
      <w:r>
        <w:rPr>
          <w:rFonts w:ascii="Arial" w:hAnsi="Arial"/>
          <w:sz w:val="22"/>
          <w:szCs w:val="22"/>
          <w:lang w:val="en-GB" w:eastAsia="de-DE"/>
        </w:rPr>
        <w:t>nintedanib</w:t>
      </w:r>
      <w:proofErr w:type="spellEnd"/>
      <w:r>
        <w:rPr>
          <w:rFonts w:ascii="Arial" w:hAnsi="Arial"/>
          <w:sz w:val="22"/>
          <w:szCs w:val="22"/>
          <w:lang w:val="en-GB" w:eastAsia="de-DE"/>
        </w:rPr>
        <w:t xml:space="preserve"> 150 mg twice daily alone </w:t>
      </w:r>
      <w:r w:rsidR="00E52075">
        <w:rPr>
          <w:rFonts w:ascii="Arial" w:hAnsi="Arial"/>
          <w:sz w:val="22"/>
          <w:szCs w:val="22"/>
          <w:lang w:val="en-GB" w:eastAsia="de-DE"/>
        </w:rPr>
        <w:t xml:space="preserve">(n=52) </w:t>
      </w:r>
      <w:r>
        <w:rPr>
          <w:rFonts w:ascii="Arial" w:hAnsi="Arial"/>
          <w:sz w:val="22"/>
          <w:szCs w:val="22"/>
          <w:lang w:val="en-GB" w:eastAsia="de-DE"/>
        </w:rPr>
        <w:t>in 105 randomised patients for 12 weeks. The primary endpoint was the percentage of patients with gastrointestinal adverse events from baseline to week 12.</w:t>
      </w:r>
      <w:r w:rsidR="00E52075">
        <w:rPr>
          <w:rFonts w:ascii="Arial" w:hAnsi="Arial"/>
          <w:sz w:val="22"/>
          <w:szCs w:val="22"/>
          <w:lang w:val="en-GB" w:eastAsia="de-DE"/>
        </w:rPr>
        <w:t xml:space="preserve"> Analyses were descriptive and exploratory.</w:t>
      </w:r>
      <w:r>
        <w:rPr>
          <w:rFonts w:ascii="Arial" w:hAnsi="Arial"/>
          <w:sz w:val="22"/>
          <w:szCs w:val="22"/>
          <w:lang w:val="en-GB" w:eastAsia="de-DE"/>
        </w:rPr>
        <w:t xml:space="preserve"> Gastrointestinal adverse events were frequent and in line with the established safety profile of each component. Diarrhoea, nausea and vomiting were the most frequent adverse events reported in 20 (37.7%) versus 16 (31.4%), in 22 (41.5%) versus 6 (11.8%) and in 15 (28.3%) versus 6 (11.8%) patients, treated with </w:t>
      </w:r>
      <w:proofErr w:type="spellStart"/>
      <w:r>
        <w:rPr>
          <w:rFonts w:ascii="Arial" w:hAnsi="Arial"/>
          <w:sz w:val="22"/>
          <w:szCs w:val="22"/>
          <w:lang w:val="en-GB" w:eastAsia="de-DE"/>
        </w:rPr>
        <w:t>pirfernidone</w:t>
      </w:r>
      <w:proofErr w:type="spellEnd"/>
      <w:r>
        <w:rPr>
          <w:rFonts w:ascii="Arial" w:hAnsi="Arial"/>
          <w:sz w:val="22"/>
          <w:szCs w:val="22"/>
          <w:lang w:val="en-GB" w:eastAsia="de-DE"/>
        </w:rPr>
        <w:t xml:space="preserve"> added to </w:t>
      </w:r>
      <w:proofErr w:type="spellStart"/>
      <w:r>
        <w:rPr>
          <w:rFonts w:ascii="Arial" w:hAnsi="Arial"/>
          <w:sz w:val="22"/>
          <w:szCs w:val="22"/>
          <w:lang w:val="en-GB" w:eastAsia="de-DE"/>
        </w:rPr>
        <w:t>nintedanib</w:t>
      </w:r>
      <w:proofErr w:type="spellEnd"/>
      <w:r>
        <w:rPr>
          <w:rFonts w:ascii="Arial" w:hAnsi="Arial"/>
          <w:sz w:val="22"/>
          <w:szCs w:val="22"/>
          <w:lang w:val="en-GB" w:eastAsia="de-DE"/>
        </w:rPr>
        <w:t xml:space="preserve"> versus </w:t>
      </w:r>
      <w:proofErr w:type="spellStart"/>
      <w:r>
        <w:rPr>
          <w:rFonts w:ascii="Arial" w:hAnsi="Arial"/>
          <w:sz w:val="22"/>
          <w:szCs w:val="22"/>
          <w:lang w:val="en-GB" w:eastAsia="de-DE"/>
        </w:rPr>
        <w:t>nintedanib</w:t>
      </w:r>
      <w:proofErr w:type="spellEnd"/>
      <w:r>
        <w:rPr>
          <w:rFonts w:ascii="Arial" w:hAnsi="Arial"/>
          <w:sz w:val="22"/>
          <w:szCs w:val="22"/>
          <w:lang w:val="en-GB" w:eastAsia="de-DE"/>
        </w:rPr>
        <w:t xml:space="preserve"> alone, respectively.</w:t>
      </w:r>
    </w:p>
    <w:p w14:paraId="7F783EFF" w14:textId="77777777" w:rsidR="004720CC" w:rsidRDefault="004720CC" w:rsidP="004720CC">
      <w:pPr>
        <w:pStyle w:val="PIHeading3"/>
        <w:keepNext/>
        <w:keepLines/>
        <w:rPr>
          <w:b/>
          <w:bCs/>
          <w:u w:val="none"/>
          <w:lang w:val="en-US" w:eastAsia="de-DE"/>
        </w:rPr>
      </w:pPr>
      <w:r w:rsidRPr="00A650AE">
        <w:rPr>
          <w:b/>
          <w:bCs/>
          <w:u w:val="none"/>
          <w:lang w:val="en-US" w:eastAsia="de-DE"/>
        </w:rPr>
        <w:lastRenderedPageBreak/>
        <w:t xml:space="preserve">Other chronic </w:t>
      </w:r>
      <w:proofErr w:type="spellStart"/>
      <w:r w:rsidRPr="00A650AE">
        <w:rPr>
          <w:b/>
          <w:bCs/>
          <w:u w:val="none"/>
          <w:lang w:val="en-US" w:eastAsia="de-DE"/>
        </w:rPr>
        <w:t>fibrosing</w:t>
      </w:r>
      <w:proofErr w:type="spellEnd"/>
      <w:r w:rsidRPr="00A650AE">
        <w:rPr>
          <w:b/>
          <w:bCs/>
          <w:u w:val="none"/>
          <w:lang w:val="en-US" w:eastAsia="de-DE"/>
        </w:rPr>
        <w:t xml:space="preserve"> Interstitial Lung Diseases (ILDs) with a progressive phenotype</w:t>
      </w:r>
    </w:p>
    <w:p w14:paraId="4315A8FC" w14:textId="79B674F9" w:rsidR="004720CC" w:rsidRPr="00A650AE" w:rsidRDefault="004720CC" w:rsidP="000F322D">
      <w:pPr>
        <w:keepNext/>
        <w:keepLines/>
        <w:autoSpaceDE w:val="0"/>
        <w:autoSpaceDN w:val="0"/>
        <w:adjustRightInd w:val="0"/>
        <w:snapToGrid w:val="0"/>
        <w:spacing w:after="180"/>
        <w:jc w:val="both"/>
        <w:rPr>
          <w:rFonts w:ascii="Arial" w:hAnsi="Arial"/>
          <w:sz w:val="22"/>
          <w:szCs w:val="22"/>
          <w:lang w:val="en-GB" w:eastAsia="de-DE"/>
        </w:rPr>
      </w:pPr>
      <w:r w:rsidRPr="00A650AE">
        <w:rPr>
          <w:rFonts w:ascii="Arial" w:hAnsi="Arial"/>
          <w:sz w:val="22"/>
          <w:szCs w:val="22"/>
          <w:lang w:val="en-GB" w:eastAsia="de-DE"/>
        </w:rPr>
        <w:t xml:space="preserve">The clinical efficacy of </w:t>
      </w:r>
      <w:r>
        <w:rPr>
          <w:rFonts w:ascii="Arial" w:hAnsi="Arial"/>
          <w:sz w:val="22"/>
          <w:szCs w:val="22"/>
          <w:lang w:val="en-GB" w:eastAsia="de-DE"/>
        </w:rPr>
        <w:t xml:space="preserve">OFEV </w:t>
      </w:r>
      <w:r w:rsidRPr="00A650AE">
        <w:rPr>
          <w:rFonts w:ascii="Arial" w:hAnsi="Arial"/>
          <w:sz w:val="22"/>
          <w:szCs w:val="22"/>
          <w:lang w:val="en-GB" w:eastAsia="de-DE"/>
        </w:rPr>
        <w:t>has been studied in patients with chronic fibrosing ILDs with a</w:t>
      </w:r>
      <w:r>
        <w:rPr>
          <w:rFonts w:ascii="Arial" w:hAnsi="Arial"/>
          <w:sz w:val="22"/>
          <w:szCs w:val="22"/>
          <w:lang w:val="en-GB" w:eastAsia="de-DE"/>
        </w:rPr>
        <w:t xml:space="preserve"> </w:t>
      </w:r>
      <w:r w:rsidRPr="00A650AE">
        <w:rPr>
          <w:rFonts w:ascii="Arial" w:hAnsi="Arial"/>
          <w:sz w:val="22"/>
          <w:szCs w:val="22"/>
          <w:lang w:val="en-GB" w:eastAsia="de-DE"/>
        </w:rPr>
        <w:t>progressive phenotype in a double-blind, randomised, placebo-controlled phase III trial (INBUILD).</w:t>
      </w:r>
      <w:r>
        <w:rPr>
          <w:rFonts w:ascii="Arial" w:hAnsi="Arial"/>
          <w:sz w:val="22"/>
          <w:szCs w:val="22"/>
          <w:lang w:val="en-GB" w:eastAsia="de-DE"/>
        </w:rPr>
        <w:t xml:space="preserve"> </w:t>
      </w:r>
      <w:r w:rsidRPr="00A650AE">
        <w:rPr>
          <w:rFonts w:ascii="Arial" w:hAnsi="Arial"/>
          <w:sz w:val="22"/>
          <w:szCs w:val="22"/>
          <w:lang w:val="en-GB" w:eastAsia="de-DE"/>
        </w:rPr>
        <w:t>Patients with IPF were excluded. Patients with a clinical diagnosis of chronic fibrosing ILD were</w:t>
      </w:r>
      <w:r>
        <w:rPr>
          <w:rFonts w:ascii="Arial" w:hAnsi="Arial"/>
          <w:sz w:val="22"/>
          <w:szCs w:val="22"/>
          <w:lang w:val="en-GB" w:eastAsia="de-DE"/>
        </w:rPr>
        <w:t xml:space="preserve"> </w:t>
      </w:r>
      <w:r w:rsidRPr="00A650AE">
        <w:rPr>
          <w:rFonts w:ascii="Arial" w:hAnsi="Arial"/>
          <w:sz w:val="22"/>
          <w:szCs w:val="22"/>
          <w:lang w:val="en-GB" w:eastAsia="de-DE"/>
        </w:rPr>
        <w:t>selected if they had relevant fibrosis (&gt; 10% fibrotic features) on high resolution computed</w:t>
      </w:r>
      <w:r>
        <w:rPr>
          <w:rFonts w:ascii="Arial" w:hAnsi="Arial"/>
          <w:sz w:val="22"/>
          <w:szCs w:val="22"/>
          <w:lang w:val="en-GB" w:eastAsia="de-DE"/>
        </w:rPr>
        <w:t xml:space="preserve"> </w:t>
      </w:r>
      <w:r w:rsidRPr="00A650AE">
        <w:rPr>
          <w:rFonts w:ascii="Arial" w:hAnsi="Arial"/>
          <w:sz w:val="22"/>
          <w:szCs w:val="22"/>
          <w:lang w:val="en-GB" w:eastAsia="de-DE"/>
        </w:rPr>
        <w:t>tomography (HRCT) and presented with clinical signs of progression</w:t>
      </w:r>
      <w:r w:rsidR="00E9122E">
        <w:rPr>
          <w:rFonts w:ascii="Arial" w:hAnsi="Arial"/>
          <w:sz w:val="22"/>
          <w:szCs w:val="22"/>
          <w:lang w:val="en-GB" w:eastAsia="de-DE"/>
        </w:rPr>
        <w:t xml:space="preserve"> </w:t>
      </w:r>
      <w:r w:rsidR="00E9122E" w:rsidRPr="00E9122E">
        <w:rPr>
          <w:rFonts w:ascii="Arial" w:hAnsi="Arial"/>
          <w:sz w:val="22"/>
          <w:szCs w:val="22"/>
          <w:lang w:val="en-GB" w:eastAsia="de-DE"/>
        </w:rPr>
        <w:t>(defined as FVC decline ≥10%, FVC decline ≥ 5% and &lt;10% with worsening symptoms or imaging, or worsening symptoms and worsening imaging all in the 24 months prior to screening). Patients were required to have an FVC greater than or equal to 45% of predicted and a DLCO 30% to less than 80% of predicted. Patients were required to have progressed despite management deemed appropriate in clinical practice for the patient’s relevant ILD</w:t>
      </w:r>
      <w:r w:rsidRPr="00A650AE">
        <w:rPr>
          <w:rFonts w:ascii="Arial" w:hAnsi="Arial"/>
          <w:sz w:val="22"/>
          <w:szCs w:val="22"/>
          <w:lang w:val="en-GB" w:eastAsia="de-DE"/>
        </w:rPr>
        <w:t>. A total of 663 patients were</w:t>
      </w:r>
      <w:r>
        <w:rPr>
          <w:rFonts w:ascii="Arial" w:hAnsi="Arial"/>
          <w:sz w:val="22"/>
          <w:szCs w:val="22"/>
          <w:lang w:val="en-GB" w:eastAsia="de-DE"/>
        </w:rPr>
        <w:t xml:space="preserve"> </w:t>
      </w:r>
      <w:r w:rsidRPr="00A650AE">
        <w:rPr>
          <w:rFonts w:ascii="Arial" w:hAnsi="Arial"/>
          <w:sz w:val="22"/>
          <w:szCs w:val="22"/>
          <w:lang w:val="en-GB" w:eastAsia="de-DE"/>
        </w:rPr>
        <w:t xml:space="preserve">randomised in a 1:1 ratio to receive either </w:t>
      </w:r>
      <w:r w:rsidRPr="00A079DE">
        <w:rPr>
          <w:rFonts w:ascii="Arial" w:hAnsi="Arial"/>
          <w:sz w:val="22"/>
          <w:szCs w:val="22"/>
          <w:lang w:val="en-GB" w:eastAsia="de-DE"/>
        </w:rPr>
        <w:t>OFEV</w:t>
      </w:r>
      <w:r w:rsidRPr="00A650AE">
        <w:rPr>
          <w:rFonts w:ascii="Arial" w:hAnsi="Arial"/>
          <w:sz w:val="22"/>
          <w:szCs w:val="22"/>
          <w:lang w:val="en-GB" w:eastAsia="de-DE"/>
        </w:rPr>
        <w:t xml:space="preserve"> 150 mg bid or matching placebo </w:t>
      </w:r>
      <w:r>
        <w:rPr>
          <w:rFonts w:ascii="Arial" w:hAnsi="Arial"/>
          <w:sz w:val="22"/>
          <w:szCs w:val="22"/>
          <w:lang w:val="en-GB" w:eastAsia="de-DE"/>
        </w:rPr>
        <w:t xml:space="preserve">for at least </w:t>
      </w:r>
      <w:r w:rsidRPr="00A650AE">
        <w:rPr>
          <w:rFonts w:ascii="Arial" w:hAnsi="Arial"/>
          <w:sz w:val="22"/>
          <w:szCs w:val="22"/>
          <w:lang w:val="en-GB" w:eastAsia="de-DE"/>
        </w:rPr>
        <w:t>52</w:t>
      </w:r>
      <w:r>
        <w:rPr>
          <w:rFonts w:ascii="Arial" w:hAnsi="Arial"/>
          <w:sz w:val="22"/>
          <w:szCs w:val="22"/>
          <w:lang w:val="en-GB" w:eastAsia="de-DE"/>
        </w:rPr>
        <w:t xml:space="preserve"> </w:t>
      </w:r>
      <w:r w:rsidRPr="00A650AE">
        <w:rPr>
          <w:rFonts w:ascii="Arial" w:hAnsi="Arial"/>
          <w:sz w:val="22"/>
          <w:szCs w:val="22"/>
          <w:lang w:val="en-GB" w:eastAsia="de-DE"/>
        </w:rPr>
        <w:t>week</w:t>
      </w:r>
      <w:r>
        <w:rPr>
          <w:rFonts w:ascii="Arial" w:hAnsi="Arial"/>
          <w:sz w:val="22"/>
          <w:szCs w:val="22"/>
          <w:lang w:val="en-GB" w:eastAsia="de-DE"/>
        </w:rPr>
        <w:t>s.</w:t>
      </w:r>
      <w:r w:rsidRPr="00A650AE">
        <w:rPr>
          <w:rFonts w:ascii="Arial" w:hAnsi="Arial"/>
          <w:sz w:val="22"/>
          <w:szCs w:val="22"/>
          <w:lang w:val="en-GB" w:eastAsia="de-DE"/>
        </w:rPr>
        <w:t xml:space="preserve"> </w:t>
      </w:r>
      <w:r>
        <w:rPr>
          <w:rFonts w:ascii="Arial" w:hAnsi="Arial"/>
          <w:sz w:val="22"/>
          <w:szCs w:val="22"/>
          <w:lang w:val="en-GB" w:eastAsia="de-DE"/>
        </w:rPr>
        <w:t xml:space="preserve">The </w:t>
      </w:r>
      <w:r w:rsidRPr="00A650AE">
        <w:rPr>
          <w:rFonts w:ascii="Arial" w:hAnsi="Arial"/>
          <w:sz w:val="22"/>
          <w:szCs w:val="22"/>
          <w:lang w:val="en-GB" w:eastAsia="de-DE"/>
        </w:rPr>
        <w:t xml:space="preserve">median </w:t>
      </w:r>
      <w:r w:rsidRPr="00A079DE">
        <w:rPr>
          <w:rFonts w:ascii="Arial" w:hAnsi="Arial"/>
          <w:sz w:val="22"/>
          <w:szCs w:val="22"/>
          <w:lang w:val="en-GB" w:eastAsia="de-DE"/>
        </w:rPr>
        <w:t>OFEV</w:t>
      </w:r>
      <w:r>
        <w:rPr>
          <w:rFonts w:ascii="Arial" w:hAnsi="Arial"/>
          <w:sz w:val="22"/>
          <w:szCs w:val="22"/>
          <w:lang w:val="en-GB" w:eastAsia="de-DE"/>
        </w:rPr>
        <w:t xml:space="preserve"> </w:t>
      </w:r>
      <w:r w:rsidRPr="00A650AE">
        <w:rPr>
          <w:rFonts w:ascii="Arial" w:hAnsi="Arial"/>
          <w:sz w:val="22"/>
          <w:szCs w:val="22"/>
          <w:lang w:val="en-GB" w:eastAsia="de-DE"/>
        </w:rPr>
        <w:t>exposure over the whole trial</w:t>
      </w:r>
      <w:r>
        <w:rPr>
          <w:rFonts w:ascii="Arial" w:hAnsi="Arial"/>
          <w:sz w:val="22"/>
          <w:szCs w:val="22"/>
          <w:lang w:val="en-GB" w:eastAsia="de-DE"/>
        </w:rPr>
        <w:t xml:space="preserve"> was</w:t>
      </w:r>
      <w:r w:rsidRPr="00A650AE">
        <w:rPr>
          <w:rFonts w:ascii="Arial" w:hAnsi="Arial"/>
          <w:sz w:val="22"/>
          <w:szCs w:val="22"/>
          <w:lang w:val="en-GB" w:eastAsia="de-DE"/>
        </w:rPr>
        <w:t xml:space="preserve"> </w:t>
      </w:r>
      <w:r>
        <w:rPr>
          <w:rFonts w:ascii="Arial" w:hAnsi="Arial"/>
          <w:sz w:val="22"/>
          <w:szCs w:val="22"/>
          <w:lang w:val="en-GB" w:eastAsia="de-DE"/>
        </w:rPr>
        <w:t>17.4</w:t>
      </w:r>
      <w:r w:rsidRPr="00A650AE">
        <w:rPr>
          <w:rFonts w:ascii="Arial" w:hAnsi="Arial"/>
          <w:sz w:val="22"/>
          <w:szCs w:val="22"/>
          <w:lang w:val="en-GB" w:eastAsia="de-DE"/>
        </w:rPr>
        <w:t xml:space="preserve"> months</w:t>
      </w:r>
      <w:r>
        <w:rPr>
          <w:rFonts w:ascii="Arial" w:hAnsi="Arial"/>
          <w:sz w:val="22"/>
          <w:szCs w:val="22"/>
          <w:lang w:val="en-GB" w:eastAsia="de-DE"/>
        </w:rPr>
        <w:t xml:space="preserve"> and the </w:t>
      </w:r>
      <w:r w:rsidRPr="00A650AE">
        <w:rPr>
          <w:rFonts w:ascii="Arial" w:hAnsi="Arial"/>
          <w:sz w:val="22"/>
          <w:szCs w:val="22"/>
          <w:lang w:val="en-GB" w:eastAsia="de-DE"/>
        </w:rPr>
        <w:t xml:space="preserve">mean </w:t>
      </w:r>
      <w:r w:rsidRPr="00A079DE">
        <w:rPr>
          <w:rFonts w:ascii="Arial" w:hAnsi="Arial"/>
          <w:sz w:val="22"/>
          <w:szCs w:val="22"/>
          <w:lang w:val="en-GB" w:eastAsia="de-DE"/>
        </w:rPr>
        <w:t>OFEV</w:t>
      </w:r>
      <w:r w:rsidRPr="00A650AE">
        <w:rPr>
          <w:rFonts w:ascii="Arial" w:hAnsi="Arial"/>
          <w:sz w:val="22"/>
          <w:szCs w:val="22"/>
          <w:lang w:val="en-GB" w:eastAsia="de-DE"/>
        </w:rPr>
        <w:t xml:space="preserve"> exposure over the whole trial</w:t>
      </w:r>
      <w:r>
        <w:rPr>
          <w:rFonts w:ascii="Arial" w:hAnsi="Arial"/>
          <w:sz w:val="22"/>
          <w:szCs w:val="22"/>
          <w:lang w:val="en-GB" w:eastAsia="de-DE"/>
        </w:rPr>
        <w:t xml:space="preserve"> was</w:t>
      </w:r>
      <w:r w:rsidRPr="00A650AE">
        <w:rPr>
          <w:rFonts w:ascii="Arial" w:hAnsi="Arial"/>
          <w:sz w:val="22"/>
          <w:szCs w:val="22"/>
          <w:lang w:val="en-GB" w:eastAsia="de-DE"/>
        </w:rPr>
        <w:t xml:space="preserve"> 15.</w:t>
      </w:r>
      <w:r>
        <w:rPr>
          <w:rFonts w:ascii="Arial" w:hAnsi="Arial"/>
          <w:sz w:val="22"/>
          <w:szCs w:val="22"/>
          <w:lang w:val="en-GB" w:eastAsia="de-DE"/>
        </w:rPr>
        <w:t>6</w:t>
      </w:r>
      <w:r w:rsidRPr="00A650AE">
        <w:rPr>
          <w:rFonts w:ascii="Arial" w:hAnsi="Arial"/>
          <w:sz w:val="22"/>
          <w:szCs w:val="22"/>
          <w:lang w:val="en-GB" w:eastAsia="de-DE"/>
        </w:rPr>
        <w:t xml:space="preserve"> months. Randomisation was stratified based on</w:t>
      </w:r>
      <w:r>
        <w:rPr>
          <w:rFonts w:ascii="Arial" w:hAnsi="Arial"/>
          <w:sz w:val="22"/>
          <w:szCs w:val="22"/>
          <w:lang w:val="en-GB" w:eastAsia="de-DE"/>
        </w:rPr>
        <w:t xml:space="preserve"> </w:t>
      </w:r>
      <w:r w:rsidRPr="00A650AE">
        <w:rPr>
          <w:rFonts w:ascii="Arial" w:hAnsi="Arial"/>
          <w:sz w:val="22"/>
          <w:szCs w:val="22"/>
          <w:lang w:val="en-GB" w:eastAsia="de-DE"/>
        </w:rPr>
        <w:t>HRCT fibrotic pattern as assessed by central readers. 412 patients with HRCT with usual interstitial</w:t>
      </w:r>
      <w:r>
        <w:rPr>
          <w:rFonts w:ascii="Arial" w:hAnsi="Arial"/>
          <w:sz w:val="22"/>
          <w:szCs w:val="22"/>
          <w:lang w:val="en-GB" w:eastAsia="de-DE"/>
        </w:rPr>
        <w:t xml:space="preserve"> </w:t>
      </w:r>
      <w:r w:rsidRPr="00A650AE">
        <w:rPr>
          <w:rFonts w:ascii="Arial" w:hAnsi="Arial"/>
          <w:sz w:val="22"/>
          <w:szCs w:val="22"/>
          <w:lang w:val="en-GB" w:eastAsia="de-DE"/>
        </w:rPr>
        <w:t>pneumonia (UIP)-like fibrotic pattern and 251 patients with other HRCT fibrotic patterns were</w:t>
      </w:r>
      <w:r>
        <w:rPr>
          <w:rFonts w:ascii="Arial" w:hAnsi="Arial"/>
          <w:sz w:val="22"/>
          <w:szCs w:val="22"/>
          <w:lang w:val="en-GB" w:eastAsia="de-DE"/>
        </w:rPr>
        <w:t xml:space="preserve"> </w:t>
      </w:r>
      <w:r w:rsidRPr="00A650AE">
        <w:rPr>
          <w:rFonts w:ascii="Arial" w:hAnsi="Arial"/>
          <w:sz w:val="22"/>
          <w:szCs w:val="22"/>
          <w:lang w:val="en-GB" w:eastAsia="de-DE"/>
        </w:rPr>
        <w:t>randomised. There were 2 co-primary populations defined for the analyses in this trial: all patients (the</w:t>
      </w:r>
      <w:r>
        <w:rPr>
          <w:rFonts w:ascii="Arial" w:hAnsi="Arial"/>
          <w:sz w:val="22"/>
          <w:szCs w:val="22"/>
          <w:lang w:val="en-GB" w:eastAsia="de-DE"/>
        </w:rPr>
        <w:t xml:space="preserve"> </w:t>
      </w:r>
      <w:r w:rsidRPr="00A650AE">
        <w:rPr>
          <w:rFonts w:ascii="Arial" w:hAnsi="Arial"/>
          <w:sz w:val="22"/>
          <w:szCs w:val="22"/>
          <w:lang w:val="en-GB" w:eastAsia="de-DE"/>
        </w:rPr>
        <w:t>overall population) and patients with HRCT with UIP-like fibrotic pattern. Patients with other HRCT</w:t>
      </w:r>
      <w:r>
        <w:rPr>
          <w:rFonts w:ascii="Arial" w:hAnsi="Arial"/>
          <w:sz w:val="22"/>
          <w:szCs w:val="22"/>
          <w:lang w:val="en-GB" w:eastAsia="de-DE"/>
        </w:rPr>
        <w:t xml:space="preserve"> </w:t>
      </w:r>
      <w:r w:rsidRPr="00A650AE">
        <w:rPr>
          <w:rFonts w:ascii="Arial" w:hAnsi="Arial"/>
          <w:sz w:val="22"/>
          <w:szCs w:val="22"/>
          <w:lang w:val="en-GB" w:eastAsia="de-DE"/>
        </w:rPr>
        <w:t xml:space="preserve">fibrotic patterns represented the </w:t>
      </w:r>
      <w:r w:rsidRPr="00A650AE">
        <w:rPr>
          <w:rFonts w:ascii="Arial" w:hAnsi="Arial" w:hint="eastAsia"/>
          <w:sz w:val="22"/>
          <w:szCs w:val="22"/>
          <w:lang w:val="en-GB" w:eastAsia="de-DE"/>
        </w:rPr>
        <w:t>‘</w:t>
      </w:r>
      <w:r w:rsidRPr="00A650AE">
        <w:rPr>
          <w:rFonts w:ascii="Arial" w:hAnsi="Arial"/>
          <w:sz w:val="22"/>
          <w:szCs w:val="22"/>
          <w:lang w:val="en-GB" w:eastAsia="de-DE"/>
        </w:rPr>
        <w:t>complementary</w:t>
      </w:r>
      <w:r w:rsidRPr="00A650AE">
        <w:rPr>
          <w:rFonts w:ascii="Arial" w:hAnsi="Arial" w:hint="eastAsia"/>
          <w:sz w:val="22"/>
          <w:szCs w:val="22"/>
          <w:lang w:val="en-GB" w:eastAsia="de-DE"/>
        </w:rPr>
        <w:t>’</w:t>
      </w:r>
      <w:r w:rsidRPr="00A650AE">
        <w:rPr>
          <w:rFonts w:ascii="Arial" w:hAnsi="Arial"/>
          <w:sz w:val="22"/>
          <w:szCs w:val="22"/>
          <w:lang w:val="en-GB" w:eastAsia="de-DE"/>
        </w:rPr>
        <w:t xml:space="preserve"> population.</w:t>
      </w:r>
    </w:p>
    <w:p w14:paraId="7EDBAF65" w14:textId="77777777" w:rsidR="004720CC" w:rsidRPr="00A650AE" w:rsidRDefault="004720CC" w:rsidP="000F322D">
      <w:pPr>
        <w:autoSpaceDE w:val="0"/>
        <w:autoSpaceDN w:val="0"/>
        <w:adjustRightInd w:val="0"/>
        <w:snapToGrid w:val="0"/>
        <w:spacing w:after="180"/>
        <w:jc w:val="both"/>
        <w:rPr>
          <w:rFonts w:ascii="Arial" w:hAnsi="Arial"/>
          <w:sz w:val="22"/>
          <w:szCs w:val="22"/>
          <w:lang w:val="en-GB" w:eastAsia="de-DE"/>
        </w:rPr>
      </w:pPr>
      <w:r w:rsidRPr="00A650AE">
        <w:rPr>
          <w:rFonts w:ascii="Arial" w:hAnsi="Arial"/>
          <w:sz w:val="22"/>
          <w:szCs w:val="22"/>
          <w:lang w:val="en-GB" w:eastAsia="de-DE"/>
        </w:rPr>
        <w:t>The primary endpoint was the annual rate of decline in Forced Vital Capacity (FVC) (in mL) over 52</w:t>
      </w:r>
      <w:r>
        <w:rPr>
          <w:rFonts w:ascii="Arial" w:hAnsi="Arial"/>
          <w:sz w:val="22"/>
          <w:szCs w:val="22"/>
          <w:lang w:val="en-GB" w:eastAsia="de-DE"/>
        </w:rPr>
        <w:t xml:space="preserve"> </w:t>
      </w:r>
      <w:r w:rsidRPr="00A650AE">
        <w:rPr>
          <w:rFonts w:ascii="Arial" w:hAnsi="Arial"/>
          <w:sz w:val="22"/>
          <w:szCs w:val="22"/>
          <w:lang w:val="en-GB" w:eastAsia="de-DE"/>
        </w:rPr>
        <w:t>weeks. Main secondary endpoints were absolute change from baseline in King's Brief Interstitial Lung</w:t>
      </w:r>
      <w:r>
        <w:rPr>
          <w:rFonts w:ascii="Arial" w:hAnsi="Arial"/>
          <w:sz w:val="22"/>
          <w:szCs w:val="22"/>
          <w:lang w:val="en-GB" w:eastAsia="de-DE"/>
        </w:rPr>
        <w:t xml:space="preserve"> </w:t>
      </w:r>
      <w:r w:rsidRPr="00A650AE">
        <w:rPr>
          <w:rFonts w:ascii="Arial" w:hAnsi="Arial"/>
          <w:sz w:val="22"/>
          <w:szCs w:val="22"/>
          <w:lang w:val="en-GB" w:eastAsia="de-DE"/>
        </w:rPr>
        <w:t>Disease Questionnaire (K-BILD) total score at week 52, time to first acute ILD exacerbation or death</w:t>
      </w:r>
      <w:r>
        <w:rPr>
          <w:rFonts w:ascii="Arial" w:hAnsi="Arial"/>
          <w:sz w:val="22"/>
          <w:szCs w:val="22"/>
          <w:lang w:val="en-GB" w:eastAsia="de-DE"/>
        </w:rPr>
        <w:t xml:space="preserve"> </w:t>
      </w:r>
      <w:r w:rsidRPr="00A650AE">
        <w:rPr>
          <w:rFonts w:ascii="Arial" w:hAnsi="Arial"/>
          <w:sz w:val="22"/>
          <w:szCs w:val="22"/>
          <w:lang w:val="en-GB" w:eastAsia="de-DE"/>
        </w:rPr>
        <w:t>over 52 weeks, and time to death over 52 weeks.</w:t>
      </w:r>
    </w:p>
    <w:p w14:paraId="7C87AAEB" w14:textId="77777777" w:rsidR="004720CC" w:rsidRDefault="004720CC" w:rsidP="000F322D">
      <w:pPr>
        <w:autoSpaceDE w:val="0"/>
        <w:autoSpaceDN w:val="0"/>
        <w:adjustRightInd w:val="0"/>
        <w:snapToGrid w:val="0"/>
        <w:spacing w:after="180"/>
        <w:jc w:val="both"/>
        <w:rPr>
          <w:rFonts w:ascii="Arial" w:hAnsi="Arial"/>
          <w:sz w:val="22"/>
          <w:szCs w:val="22"/>
          <w:lang w:val="en-GB" w:eastAsia="de-DE"/>
        </w:rPr>
      </w:pPr>
      <w:r w:rsidRPr="00A650AE">
        <w:rPr>
          <w:rFonts w:ascii="Arial" w:hAnsi="Arial"/>
          <w:sz w:val="22"/>
          <w:szCs w:val="22"/>
          <w:lang w:val="en-GB" w:eastAsia="de-DE"/>
        </w:rPr>
        <w:t>Patients had a mean (standard deviation [SD, Min-Max]) age of 65.8 (9.8, 27-87) years and a mean</w:t>
      </w:r>
      <w:r>
        <w:rPr>
          <w:rFonts w:ascii="Arial" w:hAnsi="Arial"/>
          <w:sz w:val="22"/>
          <w:szCs w:val="22"/>
          <w:lang w:val="en-GB" w:eastAsia="de-DE"/>
        </w:rPr>
        <w:t xml:space="preserve"> </w:t>
      </w:r>
      <w:r w:rsidRPr="00A650AE">
        <w:rPr>
          <w:rFonts w:ascii="Arial" w:hAnsi="Arial"/>
          <w:sz w:val="22"/>
          <w:szCs w:val="22"/>
          <w:lang w:val="en-GB" w:eastAsia="de-DE"/>
        </w:rPr>
        <w:t>FVC percent predicted of 69.0% (15.6, 42-137). The underlying clinical ILD diagnoses in groups</w:t>
      </w:r>
      <w:r>
        <w:rPr>
          <w:rFonts w:ascii="Arial" w:hAnsi="Arial"/>
          <w:sz w:val="22"/>
          <w:szCs w:val="22"/>
          <w:lang w:val="en-GB" w:eastAsia="de-DE"/>
        </w:rPr>
        <w:t xml:space="preserve"> </w:t>
      </w:r>
      <w:r w:rsidRPr="00A650AE">
        <w:rPr>
          <w:rFonts w:ascii="Arial" w:hAnsi="Arial"/>
          <w:sz w:val="22"/>
          <w:szCs w:val="22"/>
          <w:lang w:val="en-GB" w:eastAsia="de-DE"/>
        </w:rPr>
        <w:t>represented in the trial were hypersensitivity pneumonitis (26.1%), autoimmune ILDs (25.6%),</w:t>
      </w:r>
      <w:r>
        <w:rPr>
          <w:rFonts w:ascii="Arial" w:hAnsi="Arial"/>
          <w:sz w:val="22"/>
          <w:szCs w:val="22"/>
          <w:lang w:val="en-GB" w:eastAsia="de-DE"/>
        </w:rPr>
        <w:t xml:space="preserve"> </w:t>
      </w:r>
      <w:r w:rsidRPr="00A650AE">
        <w:rPr>
          <w:rFonts w:ascii="Arial" w:hAnsi="Arial"/>
          <w:sz w:val="22"/>
          <w:szCs w:val="22"/>
          <w:lang w:val="en-GB" w:eastAsia="de-DE"/>
        </w:rPr>
        <w:t>idiopathic nonspecific interstitial pneumonia (18.9%), unclassifiable idiopathic interstitial pneumonia</w:t>
      </w:r>
      <w:r>
        <w:rPr>
          <w:rFonts w:ascii="Arial" w:hAnsi="Arial"/>
          <w:sz w:val="22"/>
          <w:szCs w:val="22"/>
          <w:lang w:val="en-GB" w:eastAsia="de-DE"/>
        </w:rPr>
        <w:t xml:space="preserve"> </w:t>
      </w:r>
      <w:r w:rsidRPr="00A650AE">
        <w:rPr>
          <w:rFonts w:ascii="Arial" w:hAnsi="Arial"/>
          <w:sz w:val="22"/>
          <w:szCs w:val="22"/>
          <w:lang w:val="en-GB" w:eastAsia="de-DE"/>
        </w:rPr>
        <w:t>(17.2%), and other ILDs (12.2%).</w:t>
      </w:r>
    </w:p>
    <w:p w14:paraId="68AC3003" w14:textId="77777777" w:rsidR="004720CC" w:rsidRPr="00CD338A" w:rsidRDefault="004720CC" w:rsidP="004720CC">
      <w:pPr>
        <w:autoSpaceDE w:val="0"/>
        <w:autoSpaceDN w:val="0"/>
        <w:adjustRightInd w:val="0"/>
        <w:snapToGrid w:val="0"/>
        <w:jc w:val="both"/>
        <w:rPr>
          <w:rFonts w:ascii="Arial" w:hAnsi="Arial"/>
          <w:sz w:val="22"/>
          <w:szCs w:val="22"/>
          <w:u w:val="single"/>
          <w:lang w:val="en-GB" w:eastAsia="de-DE"/>
        </w:rPr>
      </w:pPr>
      <w:r w:rsidRPr="00CD338A">
        <w:rPr>
          <w:rFonts w:ascii="Arial" w:hAnsi="Arial"/>
          <w:sz w:val="22"/>
          <w:szCs w:val="22"/>
          <w:u w:val="single"/>
          <w:lang w:val="en-GB" w:eastAsia="de-DE"/>
        </w:rPr>
        <w:t>Annual rate of decline in FVC</w:t>
      </w:r>
    </w:p>
    <w:p w14:paraId="30BAD402" w14:textId="77777777" w:rsidR="004720CC" w:rsidRDefault="004720CC" w:rsidP="000F322D">
      <w:pPr>
        <w:autoSpaceDE w:val="0"/>
        <w:autoSpaceDN w:val="0"/>
        <w:adjustRightInd w:val="0"/>
        <w:snapToGrid w:val="0"/>
        <w:spacing w:after="180"/>
        <w:jc w:val="both"/>
        <w:rPr>
          <w:rFonts w:ascii="Arial" w:hAnsi="Arial"/>
          <w:sz w:val="22"/>
          <w:szCs w:val="22"/>
          <w:lang w:val="en-GB" w:eastAsia="de-DE"/>
        </w:rPr>
      </w:pPr>
      <w:r w:rsidRPr="00CD338A">
        <w:rPr>
          <w:rFonts w:ascii="Arial" w:hAnsi="Arial"/>
          <w:sz w:val="22"/>
          <w:szCs w:val="22"/>
          <w:lang w:val="en-GB" w:eastAsia="de-DE"/>
        </w:rPr>
        <w:t>The annual rate of decline in FVC (in mL) over 52 weeks was significantly reduced by 107.0</w:t>
      </w:r>
      <w:r>
        <w:rPr>
          <w:rFonts w:ascii="Arial" w:hAnsi="Arial"/>
          <w:sz w:val="22"/>
          <w:szCs w:val="22"/>
          <w:lang w:val="en-GB" w:eastAsia="de-DE"/>
        </w:rPr>
        <w:t> </w:t>
      </w:r>
      <w:r w:rsidRPr="00CD338A">
        <w:rPr>
          <w:rFonts w:ascii="Arial" w:hAnsi="Arial"/>
          <w:sz w:val="22"/>
          <w:szCs w:val="22"/>
          <w:lang w:val="en-GB" w:eastAsia="de-DE"/>
        </w:rPr>
        <w:t>mL in</w:t>
      </w:r>
      <w:r>
        <w:rPr>
          <w:rFonts w:ascii="Arial" w:hAnsi="Arial"/>
          <w:sz w:val="22"/>
          <w:szCs w:val="22"/>
          <w:lang w:val="en-GB" w:eastAsia="de-DE"/>
        </w:rPr>
        <w:t xml:space="preserve"> </w:t>
      </w:r>
      <w:r w:rsidRPr="00CD338A">
        <w:rPr>
          <w:rFonts w:ascii="Arial" w:hAnsi="Arial"/>
          <w:sz w:val="22"/>
          <w:szCs w:val="22"/>
          <w:lang w:val="en-GB" w:eastAsia="de-DE"/>
        </w:rPr>
        <w:t>patients receiving</w:t>
      </w:r>
      <w:r>
        <w:rPr>
          <w:rFonts w:ascii="Arial" w:hAnsi="Arial"/>
          <w:sz w:val="22"/>
          <w:szCs w:val="22"/>
          <w:lang w:val="en-GB" w:eastAsia="de-DE"/>
        </w:rPr>
        <w:t xml:space="preserve"> OFEV</w:t>
      </w:r>
      <w:r w:rsidRPr="00CD338A">
        <w:rPr>
          <w:rFonts w:ascii="Arial" w:hAnsi="Arial"/>
          <w:sz w:val="22"/>
          <w:szCs w:val="22"/>
          <w:lang w:val="en-GB" w:eastAsia="de-DE"/>
        </w:rPr>
        <w:t xml:space="preserve"> compared to patients receiving placebo (Table </w:t>
      </w:r>
      <w:r>
        <w:rPr>
          <w:rFonts w:ascii="Arial" w:hAnsi="Arial"/>
          <w:sz w:val="22"/>
          <w:szCs w:val="22"/>
          <w:lang w:val="en-GB" w:eastAsia="de-DE"/>
        </w:rPr>
        <w:t>15</w:t>
      </w:r>
      <w:r w:rsidRPr="00CD338A">
        <w:rPr>
          <w:rFonts w:ascii="Arial" w:hAnsi="Arial"/>
          <w:sz w:val="22"/>
          <w:szCs w:val="22"/>
          <w:lang w:val="en-GB" w:eastAsia="de-DE"/>
        </w:rPr>
        <w:t>) corresponding to a relative</w:t>
      </w:r>
      <w:r>
        <w:rPr>
          <w:rFonts w:ascii="Arial" w:hAnsi="Arial"/>
          <w:sz w:val="22"/>
          <w:szCs w:val="22"/>
          <w:lang w:val="en-GB" w:eastAsia="de-DE"/>
        </w:rPr>
        <w:t xml:space="preserve"> </w:t>
      </w:r>
      <w:r w:rsidRPr="00CD338A">
        <w:rPr>
          <w:rFonts w:ascii="Arial" w:hAnsi="Arial"/>
          <w:sz w:val="22"/>
          <w:szCs w:val="22"/>
          <w:lang w:val="en-GB" w:eastAsia="de-DE"/>
        </w:rPr>
        <w:t>treatment effect of 57.0%.</w:t>
      </w:r>
    </w:p>
    <w:p w14:paraId="3E380011" w14:textId="77777777" w:rsidR="004720CC" w:rsidRPr="00367642" w:rsidRDefault="004720CC" w:rsidP="004720CC">
      <w:pPr>
        <w:tabs>
          <w:tab w:val="left" w:pos="1134"/>
        </w:tabs>
        <w:spacing w:before="120" w:after="120" w:line="240" w:lineRule="atLeast"/>
        <w:ind w:left="1122" w:hanging="1122"/>
        <w:jc w:val="both"/>
        <w:rPr>
          <w:rFonts w:ascii="Arial" w:hAnsi="Arial" w:cs="Arial"/>
          <w:b/>
          <w:sz w:val="20"/>
          <w:lang w:val="en-GB"/>
        </w:rPr>
      </w:pPr>
      <w:r w:rsidRPr="00367642">
        <w:rPr>
          <w:rFonts w:ascii="Arial" w:hAnsi="Arial" w:cs="Arial"/>
          <w:b/>
          <w:sz w:val="20"/>
          <w:lang w:val="en-GB"/>
        </w:rPr>
        <w:t xml:space="preserve">Table 15: </w:t>
      </w:r>
      <w:r w:rsidRPr="00367642">
        <w:rPr>
          <w:rFonts w:ascii="Arial" w:hAnsi="Arial" w:cs="Arial"/>
          <w:b/>
          <w:sz w:val="20"/>
          <w:lang w:val="en-GB"/>
        </w:rPr>
        <w:tab/>
        <w:t>Annual rate of decline in FVC (mL) over 52 weeks</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15"/>
        <w:gridCol w:w="3099"/>
      </w:tblGrid>
      <w:tr w:rsidR="004720CC" w:rsidRPr="00367642" w14:paraId="5D6B2B3E" w14:textId="77777777" w:rsidTr="00A30D45">
        <w:trPr>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5675AB4" w14:textId="77777777" w:rsidR="004720CC" w:rsidRPr="00D72F85" w:rsidRDefault="004720CC" w:rsidP="00A30D45">
            <w:pPr>
              <w:rPr>
                <w:rFonts w:ascii="Arial" w:hAnsi="Arial" w:cs="Arial"/>
                <w:sz w:val="2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90F6CA7" w14:textId="77777777" w:rsidR="004720CC" w:rsidRPr="00D72F85" w:rsidRDefault="004720CC" w:rsidP="00A30D45">
            <w:pPr>
              <w:keepNext/>
              <w:keepLines/>
              <w:tabs>
                <w:tab w:val="left" w:pos="144"/>
              </w:tabs>
              <w:spacing w:before="20" w:after="20"/>
              <w:jc w:val="center"/>
              <w:rPr>
                <w:rFonts w:ascii="Arial" w:hAnsi="Arial" w:cs="Arial"/>
                <w:sz w:val="20"/>
              </w:rPr>
            </w:pPr>
            <w:r w:rsidRPr="00D72F85">
              <w:rPr>
                <w:rFonts w:ascii="Arial" w:hAnsi="Arial" w:cs="Arial"/>
                <w:sz w:val="20"/>
              </w:rPr>
              <w:t>Placebo</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0FC82487" w14:textId="77777777" w:rsidR="004720CC" w:rsidRPr="00D72F85" w:rsidRDefault="004720CC" w:rsidP="00A30D45">
            <w:pPr>
              <w:keepNext/>
              <w:keepLines/>
              <w:tabs>
                <w:tab w:val="left" w:pos="144"/>
              </w:tabs>
              <w:spacing w:before="20" w:after="20"/>
              <w:jc w:val="center"/>
              <w:rPr>
                <w:rFonts w:ascii="Arial" w:hAnsi="Arial" w:cs="Arial"/>
                <w:bCs/>
                <w:iCs/>
                <w:sz w:val="20"/>
              </w:rPr>
            </w:pPr>
            <w:r w:rsidRPr="00D72F85">
              <w:rPr>
                <w:rFonts w:ascii="Arial" w:hAnsi="Arial" w:cs="Arial"/>
                <w:bCs/>
                <w:iCs/>
                <w:sz w:val="20"/>
              </w:rPr>
              <w:t>OFEV</w:t>
            </w:r>
          </w:p>
          <w:p w14:paraId="0C2E0B10" w14:textId="77777777" w:rsidR="004720CC" w:rsidRPr="00D72F85" w:rsidRDefault="004720CC" w:rsidP="00A30D45">
            <w:pPr>
              <w:keepNext/>
              <w:keepLines/>
              <w:tabs>
                <w:tab w:val="left" w:pos="144"/>
              </w:tabs>
              <w:spacing w:before="20" w:after="20"/>
              <w:jc w:val="center"/>
              <w:rPr>
                <w:rFonts w:ascii="Arial" w:hAnsi="Arial" w:cs="Arial"/>
                <w:b/>
                <w:iCs/>
                <w:sz w:val="20"/>
              </w:rPr>
            </w:pPr>
            <w:r w:rsidRPr="00D72F85">
              <w:rPr>
                <w:rFonts w:ascii="Arial" w:hAnsi="Arial" w:cs="Arial"/>
                <w:iCs/>
                <w:sz w:val="20"/>
              </w:rPr>
              <w:t>150</w:t>
            </w:r>
            <w:r w:rsidRPr="00D72F85">
              <w:rPr>
                <w:rFonts w:ascii="Arial" w:hAnsi="Arial" w:cs="Arial"/>
                <w:sz w:val="20"/>
              </w:rPr>
              <w:t xml:space="preserve"> mg twice daily</w:t>
            </w:r>
          </w:p>
        </w:tc>
      </w:tr>
      <w:tr w:rsidR="004720CC" w:rsidRPr="00367642" w14:paraId="3540BCA0" w14:textId="77777777" w:rsidTr="00A30D45">
        <w:trPr>
          <w:jc w:val="center"/>
        </w:trPr>
        <w:tc>
          <w:tcPr>
            <w:tcW w:w="3681" w:type="dxa"/>
            <w:tcBorders>
              <w:top w:val="single" w:sz="4" w:space="0" w:color="auto"/>
              <w:left w:val="single" w:sz="4" w:space="0" w:color="auto"/>
              <w:bottom w:val="nil"/>
              <w:right w:val="single" w:sz="4" w:space="0" w:color="auto"/>
            </w:tcBorders>
            <w:shd w:val="clear" w:color="auto" w:fill="auto"/>
          </w:tcPr>
          <w:p w14:paraId="7366DFD5" w14:textId="77777777" w:rsidR="004720CC" w:rsidRPr="00D72F85" w:rsidRDefault="004720CC" w:rsidP="00A30D45">
            <w:pPr>
              <w:pStyle w:val="CS-TextinTable10pt"/>
              <w:spacing w:before="20" w:after="20"/>
              <w:rPr>
                <w:rFonts w:ascii="Arial" w:hAnsi="Arial" w:cs="Arial"/>
              </w:rPr>
            </w:pPr>
            <w:r w:rsidRPr="00D72F85">
              <w:rPr>
                <w:rFonts w:ascii="Arial" w:hAnsi="Arial" w:cs="Arial"/>
              </w:rPr>
              <w:t>Number of analysed patients</w:t>
            </w:r>
          </w:p>
          <w:p w14:paraId="4CA5E750" w14:textId="77777777" w:rsidR="004720CC" w:rsidRPr="00D72F85" w:rsidRDefault="004720CC" w:rsidP="00A30D45">
            <w:pPr>
              <w:pStyle w:val="CS-TextinTable10pt"/>
              <w:spacing w:before="20" w:after="20"/>
              <w:rPr>
                <w:rFonts w:ascii="Arial" w:hAnsi="Arial" w:cs="Arial"/>
              </w:rPr>
            </w:pPr>
          </w:p>
        </w:tc>
        <w:tc>
          <w:tcPr>
            <w:tcW w:w="2515" w:type="dxa"/>
            <w:tcBorders>
              <w:top w:val="single" w:sz="4" w:space="0" w:color="auto"/>
              <w:left w:val="single" w:sz="4" w:space="0" w:color="auto"/>
              <w:bottom w:val="nil"/>
              <w:right w:val="single" w:sz="4" w:space="0" w:color="auto"/>
            </w:tcBorders>
            <w:shd w:val="clear" w:color="auto" w:fill="auto"/>
          </w:tcPr>
          <w:p w14:paraId="13A7C880" w14:textId="77777777" w:rsidR="004720CC" w:rsidRPr="00D72F85" w:rsidRDefault="004720CC" w:rsidP="00A30D45">
            <w:pPr>
              <w:keepNext/>
              <w:keepLines/>
              <w:tabs>
                <w:tab w:val="left" w:pos="144"/>
              </w:tabs>
              <w:spacing w:before="20" w:after="20"/>
              <w:jc w:val="center"/>
              <w:rPr>
                <w:rFonts w:ascii="Arial" w:hAnsi="Arial" w:cs="Arial"/>
                <w:sz w:val="20"/>
              </w:rPr>
            </w:pPr>
            <w:r w:rsidRPr="00D72F85">
              <w:rPr>
                <w:rFonts w:ascii="Arial" w:hAnsi="Arial" w:cs="Arial"/>
                <w:sz w:val="20"/>
              </w:rPr>
              <w:t>331</w:t>
            </w:r>
          </w:p>
        </w:tc>
        <w:tc>
          <w:tcPr>
            <w:tcW w:w="3099" w:type="dxa"/>
            <w:tcBorders>
              <w:top w:val="single" w:sz="4" w:space="0" w:color="auto"/>
              <w:left w:val="single" w:sz="4" w:space="0" w:color="auto"/>
              <w:bottom w:val="nil"/>
              <w:right w:val="single" w:sz="4" w:space="0" w:color="auto"/>
            </w:tcBorders>
            <w:shd w:val="clear" w:color="auto" w:fill="auto"/>
          </w:tcPr>
          <w:p w14:paraId="26C38136" w14:textId="77777777" w:rsidR="004720CC" w:rsidRPr="00D72F85" w:rsidRDefault="004720CC" w:rsidP="00A30D45">
            <w:pPr>
              <w:keepNext/>
              <w:keepLines/>
              <w:tabs>
                <w:tab w:val="left" w:pos="144"/>
              </w:tabs>
              <w:spacing w:before="20" w:after="20"/>
              <w:jc w:val="center"/>
              <w:rPr>
                <w:rFonts w:ascii="Arial" w:hAnsi="Arial" w:cs="Arial"/>
                <w:sz w:val="20"/>
              </w:rPr>
            </w:pPr>
            <w:r w:rsidRPr="00D72F85">
              <w:rPr>
                <w:rFonts w:ascii="Arial" w:hAnsi="Arial" w:cs="Arial"/>
                <w:sz w:val="20"/>
              </w:rPr>
              <w:t>332</w:t>
            </w:r>
          </w:p>
        </w:tc>
      </w:tr>
      <w:tr w:rsidR="004720CC" w:rsidRPr="00367642" w14:paraId="7B6CCF96" w14:textId="77777777" w:rsidTr="00A30D45">
        <w:trPr>
          <w:jc w:val="center"/>
        </w:trPr>
        <w:tc>
          <w:tcPr>
            <w:tcW w:w="3681" w:type="dxa"/>
            <w:tcBorders>
              <w:top w:val="nil"/>
              <w:left w:val="single" w:sz="4" w:space="0" w:color="auto"/>
              <w:bottom w:val="nil"/>
              <w:right w:val="single" w:sz="4" w:space="0" w:color="auto"/>
            </w:tcBorders>
            <w:shd w:val="clear" w:color="auto" w:fill="auto"/>
          </w:tcPr>
          <w:p w14:paraId="0F910EF5" w14:textId="77777777" w:rsidR="004720CC" w:rsidRPr="00D72F85" w:rsidRDefault="004720CC" w:rsidP="00A30D45">
            <w:pPr>
              <w:pStyle w:val="CS-TextinTable10pt"/>
              <w:spacing w:before="20" w:after="20"/>
              <w:rPr>
                <w:rFonts w:ascii="Arial" w:hAnsi="Arial" w:cs="Arial"/>
              </w:rPr>
            </w:pPr>
            <w:r w:rsidRPr="00D72F85">
              <w:rPr>
                <w:rFonts w:ascii="Arial" w:hAnsi="Arial" w:cs="Arial"/>
              </w:rPr>
              <w:t>Rate</w:t>
            </w:r>
            <w:r w:rsidRPr="00D72F85">
              <w:rPr>
                <w:rFonts w:ascii="Arial" w:hAnsi="Arial" w:cs="Arial"/>
                <w:vertAlign w:val="superscript"/>
              </w:rPr>
              <w:t>1</w:t>
            </w:r>
            <w:r w:rsidRPr="00D72F85">
              <w:rPr>
                <w:rFonts w:ascii="Arial" w:hAnsi="Arial" w:cs="Arial"/>
              </w:rPr>
              <w:t xml:space="preserve"> (SE) of decline over 52 weeks</w:t>
            </w:r>
          </w:p>
          <w:p w14:paraId="4AF795C2" w14:textId="77777777" w:rsidR="004720CC" w:rsidRPr="00D72F85" w:rsidRDefault="004720CC" w:rsidP="00A30D45">
            <w:pPr>
              <w:pStyle w:val="CS-TextinTable10pt"/>
              <w:spacing w:before="20" w:after="20"/>
              <w:rPr>
                <w:rFonts w:ascii="Arial" w:hAnsi="Arial" w:cs="Arial"/>
              </w:rPr>
            </w:pPr>
          </w:p>
        </w:tc>
        <w:tc>
          <w:tcPr>
            <w:tcW w:w="2515" w:type="dxa"/>
            <w:tcBorders>
              <w:top w:val="nil"/>
              <w:left w:val="single" w:sz="4" w:space="0" w:color="auto"/>
              <w:bottom w:val="nil"/>
              <w:right w:val="single" w:sz="4" w:space="0" w:color="auto"/>
            </w:tcBorders>
            <w:shd w:val="clear" w:color="auto" w:fill="auto"/>
          </w:tcPr>
          <w:p w14:paraId="17391BA1" w14:textId="77777777" w:rsidR="004720CC" w:rsidRPr="00D72F85" w:rsidRDefault="004720CC" w:rsidP="00A30D45">
            <w:pPr>
              <w:pStyle w:val="CS-TextinTable10pt"/>
              <w:spacing w:before="20" w:after="20"/>
              <w:jc w:val="center"/>
              <w:rPr>
                <w:rFonts w:ascii="Arial" w:hAnsi="Arial" w:cs="Arial"/>
              </w:rPr>
            </w:pPr>
            <w:r w:rsidRPr="00D72F85">
              <w:rPr>
                <w:rFonts w:ascii="Arial" w:hAnsi="Arial" w:cs="Arial"/>
              </w:rPr>
              <w:t>-187.8 (14.8)</w:t>
            </w:r>
          </w:p>
        </w:tc>
        <w:tc>
          <w:tcPr>
            <w:tcW w:w="3099" w:type="dxa"/>
            <w:tcBorders>
              <w:top w:val="nil"/>
              <w:left w:val="single" w:sz="4" w:space="0" w:color="auto"/>
              <w:bottom w:val="nil"/>
              <w:right w:val="single" w:sz="4" w:space="0" w:color="auto"/>
            </w:tcBorders>
            <w:shd w:val="clear" w:color="auto" w:fill="auto"/>
          </w:tcPr>
          <w:p w14:paraId="04E5B566" w14:textId="77777777" w:rsidR="004720CC" w:rsidRPr="00D72F85" w:rsidRDefault="004720CC" w:rsidP="00A30D45">
            <w:pPr>
              <w:pStyle w:val="CS-TextinTable10pt"/>
              <w:spacing w:before="20" w:after="20"/>
              <w:jc w:val="center"/>
              <w:rPr>
                <w:rFonts w:ascii="Arial" w:hAnsi="Arial" w:cs="Arial"/>
              </w:rPr>
            </w:pPr>
            <w:r w:rsidRPr="00D72F85">
              <w:rPr>
                <w:rFonts w:ascii="Arial" w:hAnsi="Arial" w:cs="Arial"/>
              </w:rPr>
              <w:t>-80.8 (15.1)</w:t>
            </w:r>
          </w:p>
        </w:tc>
      </w:tr>
      <w:tr w:rsidR="004720CC" w:rsidRPr="00367642" w14:paraId="02389892" w14:textId="77777777" w:rsidTr="00A30D45">
        <w:trPr>
          <w:jc w:val="center"/>
        </w:trPr>
        <w:tc>
          <w:tcPr>
            <w:tcW w:w="3681" w:type="dxa"/>
            <w:tcBorders>
              <w:top w:val="nil"/>
              <w:left w:val="single" w:sz="4" w:space="0" w:color="auto"/>
              <w:bottom w:val="nil"/>
              <w:right w:val="single" w:sz="4" w:space="0" w:color="auto"/>
            </w:tcBorders>
            <w:shd w:val="clear" w:color="auto" w:fill="auto"/>
          </w:tcPr>
          <w:p w14:paraId="18649CEA" w14:textId="77777777" w:rsidR="004720CC" w:rsidRPr="00D72F85" w:rsidRDefault="004720CC" w:rsidP="00A30D45">
            <w:pPr>
              <w:pStyle w:val="CS-TextinTable10pt"/>
              <w:spacing w:before="20" w:after="20"/>
              <w:rPr>
                <w:rFonts w:ascii="Arial" w:hAnsi="Arial" w:cs="Arial"/>
              </w:rPr>
            </w:pPr>
            <w:r w:rsidRPr="00D72F85">
              <w:rPr>
                <w:rFonts w:ascii="Arial" w:hAnsi="Arial" w:cs="Arial"/>
              </w:rPr>
              <w:t>Comparison vs placebo</w:t>
            </w:r>
          </w:p>
          <w:p w14:paraId="66E47461" w14:textId="77777777" w:rsidR="004720CC" w:rsidRPr="00D72F85" w:rsidRDefault="004720CC" w:rsidP="00A30D45">
            <w:pPr>
              <w:pStyle w:val="CS-TextinTable10pt"/>
              <w:spacing w:before="20" w:after="20"/>
              <w:rPr>
                <w:rFonts w:ascii="Arial" w:hAnsi="Arial" w:cs="Arial"/>
              </w:rPr>
            </w:pPr>
          </w:p>
        </w:tc>
        <w:tc>
          <w:tcPr>
            <w:tcW w:w="2515" w:type="dxa"/>
            <w:tcBorders>
              <w:top w:val="nil"/>
              <w:left w:val="single" w:sz="4" w:space="0" w:color="auto"/>
              <w:bottom w:val="nil"/>
              <w:right w:val="single" w:sz="4" w:space="0" w:color="auto"/>
            </w:tcBorders>
            <w:shd w:val="clear" w:color="auto" w:fill="auto"/>
          </w:tcPr>
          <w:p w14:paraId="65518FFE" w14:textId="77777777" w:rsidR="004720CC" w:rsidRPr="00D72F85" w:rsidRDefault="004720CC"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050DEC8D" w14:textId="77777777" w:rsidR="004720CC" w:rsidRPr="00D72F85" w:rsidRDefault="004720CC" w:rsidP="00A30D45">
            <w:pPr>
              <w:keepNext/>
              <w:keepLines/>
              <w:tabs>
                <w:tab w:val="left" w:pos="144"/>
              </w:tabs>
              <w:spacing w:before="20" w:after="20"/>
              <w:jc w:val="center"/>
              <w:rPr>
                <w:rFonts w:ascii="Arial" w:hAnsi="Arial" w:cs="Arial"/>
                <w:sz w:val="20"/>
              </w:rPr>
            </w:pPr>
          </w:p>
        </w:tc>
      </w:tr>
      <w:tr w:rsidR="004720CC" w:rsidRPr="00367642" w14:paraId="260543E1" w14:textId="77777777" w:rsidTr="00A30D45">
        <w:trPr>
          <w:jc w:val="center"/>
        </w:trPr>
        <w:tc>
          <w:tcPr>
            <w:tcW w:w="3681" w:type="dxa"/>
            <w:tcBorders>
              <w:top w:val="nil"/>
              <w:left w:val="single" w:sz="4" w:space="0" w:color="auto"/>
              <w:bottom w:val="nil"/>
              <w:right w:val="single" w:sz="4" w:space="0" w:color="auto"/>
            </w:tcBorders>
            <w:shd w:val="clear" w:color="auto" w:fill="auto"/>
          </w:tcPr>
          <w:p w14:paraId="5041C71F" w14:textId="77777777" w:rsidR="004720CC" w:rsidRPr="00D72F85" w:rsidRDefault="004720CC" w:rsidP="00A30D45">
            <w:pPr>
              <w:pStyle w:val="CS-TextinTable10pt"/>
              <w:tabs>
                <w:tab w:val="clear" w:pos="144"/>
                <w:tab w:val="left" w:pos="78"/>
              </w:tabs>
              <w:spacing w:before="20" w:after="20"/>
              <w:rPr>
                <w:rFonts w:ascii="Arial" w:hAnsi="Arial" w:cs="Arial"/>
              </w:rPr>
            </w:pPr>
            <w:r w:rsidRPr="00D72F85">
              <w:rPr>
                <w:rFonts w:ascii="Arial" w:hAnsi="Arial" w:cs="Arial"/>
              </w:rPr>
              <w:t>Difference</w:t>
            </w:r>
            <w:r w:rsidRPr="00D72F85">
              <w:rPr>
                <w:rFonts w:ascii="Arial" w:hAnsi="Arial" w:cs="Arial"/>
                <w:vertAlign w:val="superscript"/>
              </w:rPr>
              <w:t>1</w:t>
            </w:r>
          </w:p>
        </w:tc>
        <w:tc>
          <w:tcPr>
            <w:tcW w:w="2515" w:type="dxa"/>
            <w:tcBorders>
              <w:top w:val="nil"/>
              <w:left w:val="single" w:sz="4" w:space="0" w:color="auto"/>
              <w:bottom w:val="nil"/>
              <w:right w:val="single" w:sz="4" w:space="0" w:color="auto"/>
            </w:tcBorders>
            <w:shd w:val="clear" w:color="auto" w:fill="auto"/>
          </w:tcPr>
          <w:p w14:paraId="0680BEF1" w14:textId="77777777" w:rsidR="004720CC" w:rsidRPr="00D72F85" w:rsidRDefault="004720CC"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1429E365" w14:textId="77777777" w:rsidR="004720CC" w:rsidRPr="00D72F85" w:rsidRDefault="004720CC" w:rsidP="00A30D45">
            <w:pPr>
              <w:pStyle w:val="CS-TextinTable10pt"/>
              <w:spacing w:before="20" w:after="20"/>
              <w:jc w:val="center"/>
              <w:rPr>
                <w:rFonts w:ascii="Arial" w:hAnsi="Arial" w:cs="Arial"/>
              </w:rPr>
            </w:pPr>
            <w:r w:rsidRPr="00D72F85">
              <w:rPr>
                <w:rFonts w:ascii="Arial" w:hAnsi="Arial" w:cs="Arial"/>
              </w:rPr>
              <w:t>107.0</w:t>
            </w:r>
          </w:p>
        </w:tc>
      </w:tr>
      <w:tr w:rsidR="004720CC" w:rsidRPr="00367642" w14:paraId="59AC4A0C" w14:textId="77777777" w:rsidTr="00A30D45">
        <w:trPr>
          <w:jc w:val="center"/>
        </w:trPr>
        <w:tc>
          <w:tcPr>
            <w:tcW w:w="3681" w:type="dxa"/>
            <w:tcBorders>
              <w:top w:val="nil"/>
              <w:left w:val="single" w:sz="4" w:space="0" w:color="auto"/>
              <w:bottom w:val="nil"/>
              <w:right w:val="single" w:sz="4" w:space="0" w:color="auto"/>
            </w:tcBorders>
            <w:shd w:val="clear" w:color="auto" w:fill="auto"/>
          </w:tcPr>
          <w:p w14:paraId="3309CC55" w14:textId="77777777" w:rsidR="004720CC" w:rsidRPr="00D72F85" w:rsidRDefault="004720CC" w:rsidP="00A30D45">
            <w:pPr>
              <w:pStyle w:val="CS-TextinTable10pt"/>
              <w:tabs>
                <w:tab w:val="clear" w:pos="144"/>
                <w:tab w:val="left" w:pos="314"/>
              </w:tabs>
              <w:spacing w:before="20" w:after="20"/>
              <w:rPr>
                <w:rFonts w:ascii="Arial" w:hAnsi="Arial" w:cs="Arial"/>
              </w:rPr>
            </w:pPr>
            <w:r w:rsidRPr="00D72F85">
              <w:rPr>
                <w:rFonts w:ascii="Arial" w:eastAsia="PMingLiU" w:hAnsi="Arial" w:cs="Arial"/>
              </w:rPr>
              <w:tab/>
            </w:r>
            <w:r w:rsidRPr="00D72F85">
              <w:rPr>
                <w:rFonts w:ascii="Arial" w:hAnsi="Arial" w:cs="Arial"/>
              </w:rPr>
              <w:t>95% CI</w:t>
            </w:r>
          </w:p>
        </w:tc>
        <w:tc>
          <w:tcPr>
            <w:tcW w:w="2515" w:type="dxa"/>
            <w:tcBorders>
              <w:top w:val="nil"/>
              <w:left w:val="single" w:sz="4" w:space="0" w:color="auto"/>
              <w:bottom w:val="nil"/>
              <w:right w:val="single" w:sz="4" w:space="0" w:color="auto"/>
            </w:tcBorders>
            <w:shd w:val="clear" w:color="auto" w:fill="auto"/>
          </w:tcPr>
          <w:p w14:paraId="19F09832" w14:textId="77777777" w:rsidR="004720CC" w:rsidRPr="00D72F85" w:rsidRDefault="004720CC"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3E0B7C4C" w14:textId="77777777" w:rsidR="004720CC" w:rsidRPr="00D72F85" w:rsidRDefault="004720CC" w:rsidP="00A30D45">
            <w:pPr>
              <w:pStyle w:val="CS-TextinTable10pt"/>
              <w:spacing w:before="20" w:after="20"/>
              <w:jc w:val="center"/>
              <w:rPr>
                <w:rFonts w:ascii="Arial" w:hAnsi="Arial" w:cs="Arial"/>
              </w:rPr>
            </w:pPr>
            <w:r w:rsidRPr="00D72F85">
              <w:rPr>
                <w:rFonts w:ascii="Arial" w:hAnsi="Arial" w:cs="Arial"/>
              </w:rPr>
              <w:t>(65.4, 148.5)</w:t>
            </w:r>
          </w:p>
        </w:tc>
      </w:tr>
      <w:tr w:rsidR="004720CC" w:rsidRPr="00367642" w14:paraId="4A287FB9" w14:textId="77777777" w:rsidTr="00A30D45">
        <w:trPr>
          <w:jc w:val="center"/>
        </w:trPr>
        <w:tc>
          <w:tcPr>
            <w:tcW w:w="3681" w:type="dxa"/>
            <w:tcBorders>
              <w:top w:val="nil"/>
              <w:left w:val="single" w:sz="4" w:space="0" w:color="auto"/>
              <w:bottom w:val="single" w:sz="4" w:space="0" w:color="auto"/>
              <w:right w:val="single" w:sz="4" w:space="0" w:color="auto"/>
            </w:tcBorders>
            <w:shd w:val="clear" w:color="auto" w:fill="auto"/>
          </w:tcPr>
          <w:p w14:paraId="41A1916A" w14:textId="77777777" w:rsidR="004720CC" w:rsidRPr="00D72F85" w:rsidRDefault="004720CC" w:rsidP="00A30D45">
            <w:pPr>
              <w:pStyle w:val="CS-TextinTable10pt"/>
              <w:tabs>
                <w:tab w:val="clear" w:pos="144"/>
                <w:tab w:val="left" w:pos="314"/>
              </w:tabs>
              <w:spacing w:before="20" w:after="20"/>
              <w:rPr>
                <w:rFonts w:ascii="Arial" w:hAnsi="Arial" w:cs="Arial"/>
              </w:rPr>
            </w:pPr>
            <w:r w:rsidRPr="00D72F85">
              <w:rPr>
                <w:rFonts w:ascii="Arial" w:eastAsia="PMingLiU" w:hAnsi="Arial" w:cs="Arial"/>
              </w:rPr>
              <w:tab/>
            </w:r>
            <w:r w:rsidRPr="00D72F85">
              <w:rPr>
                <w:rFonts w:ascii="Arial" w:hAnsi="Arial" w:cs="Arial"/>
              </w:rPr>
              <w:t>p-value</w:t>
            </w:r>
          </w:p>
          <w:p w14:paraId="6E546E4A" w14:textId="77777777" w:rsidR="004720CC" w:rsidRPr="00D72F85" w:rsidRDefault="004720CC" w:rsidP="00A30D45">
            <w:pPr>
              <w:pStyle w:val="CS-TextinTable10pt"/>
              <w:tabs>
                <w:tab w:val="clear" w:pos="144"/>
                <w:tab w:val="left" w:pos="314"/>
              </w:tabs>
              <w:spacing w:before="20" w:after="20"/>
              <w:rPr>
                <w:rFonts w:ascii="Arial" w:hAnsi="Arial" w:cs="Arial"/>
              </w:rPr>
            </w:pPr>
          </w:p>
        </w:tc>
        <w:tc>
          <w:tcPr>
            <w:tcW w:w="2515" w:type="dxa"/>
            <w:tcBorders>
              <w:top w:val="nil"/>
              <w:left w:val="single" w:sz="4" w:space="0" w:color="auto"/>
              <w:bottom w:val="single" w:sz="4" w:space="0" w:color="auto"/>
              <w:right w:val="single" w:sz="4" w:space="0" w:color="auto"/>
            </w:tcBorders>
            <w:shd w:val="clear" w:color="auto" w:fill="auto"/>
          </w:tcPr>
          <w:p w14:paraId="38180478" w14:textId="77777777" w:rsidR="004720CC" w:rsidRPr="00D72F85" w:rsidRDefault="004720CC"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single" w:sz="4" w:space="0" w:color="auto"/>
              <w:right w:val="single" w:sz="4" w:space="0" w:color="auto"/>
            </w:tcBorders>
            <w:shd w:val="clear" w:color="auto" w:fill="auto"/>
          </w:tcPr>
          <w:p w14:paraId="0C70458A" w14:textId="77777777" w:rsidR="004720CC" w:rsidRPr="00D72F85" w:rsidRDefault="004720CC" w:rsidP="00A30D45">
            <w:pPr>
              <w:pStyle w:val="CS-TextinTable10pt"/>
              <w:spacing w:before="20" w:after="20"/>
              <w:jc w:val="center"/>
              <w:rPr>
                <w:rFonts w:ascii="Arial" w:hAnsi="Arial" w:cs="Arial"/>
              </w:rPr>
            </w:pPr>
            <w:r w:rsidRPr="00D72F85">
              <w:rPr>
                <w:rFonts w:ascii="Arial" w:hAnsi="Arial" w:cs="Arial"/>
              </w:rPr>
              <w:t>&lt; 0.0001</w:t>
            </w:r>
          </w:p>
        </w:tc>
      </w:tr>
      <w:tr w:rsidR="004720CC" w:rsidRPr="00367642" w14:paraId="5CBA1839" w14:textId="77777777" w:rsidTr="00A30D45">
        <w:trPr>
          <w:jc w:val="center"/>
        </w:trPr>
        <w:tc>
          <w:tcPr>
            <w:tcW w:w="9295" w:type="dxa"/>
            <w:gridSpan w:val="3"/>
            <w:tcBorders>
              <w:top w:val="single" w:sz="4" w:space="0" w:color="auto"/>
              <w:left w:val="single" w:sz="4" w:space="0" w:color="auto"/>
              <w:bottom w:val="single" w:sz="4" w:space="0" w:color="auto"/>
              <w:right w:val="single" w:sz="4" w:space="0" w:color="auto"/>
            </w:tcBorders>
            <w:shd w:val="clear" w:color="auto" w:fill="auto"/>
          </w:tcPr>
          <w:p w14:paraId="0EB8A5B7" w14:textId="77777777" w:rsidR="004720CC" w:rsidRPr="00367642" w:rsidRDefault="004720CC" w:rsidP="00A30D45">
            <w:pPr>
              <w:rPr>
                <w:rFonts w:ascii="Arial" w:hAnsi="Arial" w:cs="Arial"/>
                <w:sz w:val="18"/>
                <w:szCs w:val="18"/>
              </w:rPr>
            </w:pPr>
            <w:r w:rsidRPr="00367642">
              <w:rPr>
                <w:rFonts w:ascii="Arial" w:hAnsi="Arial" w:cs="Arial"/>
                <w:sz w:val="18"/>
                <w:szCs w:val="18"/>
                <w:vertAlign w:val="superscript"/>
              </w:rPr>
              <w:t>1</w:t>
            </w:r>
            <w:r w:rsidRPr="00367642">
              <w:rPr>
                <w:rFonts w:ascii="Arial" w:hAnsi="Arial" w:cs="Arial"/>
                <w:sz w:val="18"/>
                <w:szCs w:val="18"/>
              </w:rPr>
              <w:t>Based on a random coefficient regression with fixed categorical effects of treatment, HRCT pattern, fixed continuous effects of time, baseline FVC [mL], and including treatment-by-time and baseline-by-time interactions</w:t>
            </w:r>
          </w:p>
        </w:tc>
      </w:tr>
    </w:tbl>
    <w:p w14:paraId="3AE9DDA2" w14:textId="77777777" w:rsidR="004720CC" w:rsidRPr="00D268EE" w:rsidRDefault="004720CC" w:rsidP="00990A75">
      <w:pPr>
        <w:keepNext/>
        <w:keepLines/>
        <w:autoSpaceDE w:val="0"/>
        <w:autoSpaceDN w:val="0"/>
        <w:adjustRightInd w:val="0"/>
        <w:snapToGrid w:val="0"/>
        <w:jc w:val="both"/>
        <w:rPr>
          <w:rFonts w:ascii="Arial" w:hAnsi="Arial"/>
          <w:sz w:val="22"/>
          <w:szCs w:val="22"/>
          <w:lang w:eastAsia="de-DE"/>
        </w:rPr>
      </w:pPr>
      <w:r w:rsidRPr="00D268EE">
        <w:rPr>
          <w:rFonts w:ascii="Arial" w:hAnsi="Arial"/>
          <w:sz w:val="22"/>
          <w:szCs w:val="22"/>
          <w:lang w:eastAsia="de-DE"/>
        </w:rPr>
        <w:lastRenderedPageBreak/>
        <w:t xml:space="preserve">Similar results </w:t>
      </w:r>
      <w:proofErr w:type="gramStart"/>
      <w:r w:rsidRPr="00D268EE">
        <w:rPr>
          <w:rFonts w:ascii="Arial" w:hAnsi="Arial"/>
          <w:sz w:val="22"/>
          <w:szCs w:val="22"/>
          <w:lang w:eastAsia="de-DE"/>
        </w:rPr>
        <w:t>were observed</w:t>
      </w:r>
      <w:proofErr w:type="gramEnd"/>
      <w:r w:rsidRPr="00D268EE">
        <w:rPr>
          <w:rFonts w:ascii="Arial" w:hAnsi="Arial"/>
          <w:sz w:val="22"/>
          <w:szCs w:val="22"/>
          <w:lang w:eastAsia="de-DE"/>
        </w:rPr>
        <w:t xml:space="preserve"> in the co-primary population of patients with HRCT with UIP-like</w:t>
      </w:r>
    </w:p>
    <w:p w14:paraId="38E85C0E" w14:textId="5B5020D1" w:rsidR="004720CC" w:rsidRDefault="004720CC" w:rsidP="000F322D">
      <w:pPr>
        <w:keepNext/>
        <w:keepLines/>
        <w:autoSpaceDE w:val="0"/>
        <w:autoSpaceDN w:val="0"/>
        <w:adjustRightInd w:val="0"/>
        <w:snapToGrid w:val="0"/>
        <w:spacing w:after="180"/>
        <w:jc w:val="both"/>
        <w:rPr>
          <w:rFonts w:ascii="Arial" w:hAnsi="Arial"/>
          <w:sz w:val="22"/>
          <w:szCs w:val="22"/>
          <w:lang w:eastAsia="de-DE"/>
        </w:rPr>
      </w:pPr>
      <w:r w:rsidRPr="00D268EE">
        <w:rPr>
          <w:rFonts w:ascii="Arial" w:hAnsi="Arial"/>
          <w:sz w:val="22"/>
          <w:szCs w:val="22"/>
          <w:lang w:eastAsia="de-DE"/>
        </w:rPr>
        <w:t>fibrotic pattern: the annual rate of decline in FVC was -211.1 mL/year in the placebo group (n=206)</w:t>
      </w:r>
      <w:r>
        <w:rPr>
          <w:rFonts w:ascii="Arial" w:hAnsi="Arial"/>
          <w:sz w:val="22"/>
          <w:szCs w:val="22"/>
          <w:lang w:eastAsia="de-DE"/>
        </w:rPr>
        <w:t xml:space="preserve"> </w:t>
      </w:r>
      <w:r w:rsidRPr="00D268EE">
        <w:rPr>
          <w:rFonts w:ascii="Arial" w:hAnsi="Arial"/>
          <w:sz w:val="22"/>
          <w:szCs w:val="22"/>
          <w:lang w:eastAsia="de-DE"/>
        </w:rPr>
        <w:t xml:space="preserve">and -82.9 mL/year in the </w:t>
      </w:r>
      <w:r>
        <w:rPr>
          <w:rFonts w:ascii="Arial" w:hAnsi="Arial"/>
          <w:sz w:val="22"/>
          <w:szCs w:val="22"/>
          <w:lang w:eastAsia="de-DE"/>
        </w:rPr>
        <w:t>OFEV</w:t>
      </w:r>
      <w:r w:rsidRPr="00D268EE">
        <w:rPr>
          <w:rFonts w:ascii="Arial" w:hAnsi="Arial"/>
          <w:sz w:val="22"/>
          <w:szCs w:val="22"/>
          <w:lang w:eastAsia="de-DE"/>
        </w:rPr>
        <w:t xml:space="preserve"> group (n=206). The difference between the treatment groups was</w:t>
      </w:r>
      <w:r>
        <w:rPr>
          <w:rFonts w:ascii="Arial" w:hAnsi="Arial"/>
          <w:sz w:val="22"/>
          <w:szCs w:val="22"/>
          <w:lang w:eastAsia="de-DE"/>
        </w:rPr>
        <w:t xml:space="preserve"> </w:t>
      </w:r>
      <w:r w:rsidRPr="00D268EE">
        <w:rPr>
          <w:rFonts w:ascii="Arial" w:hAnsi="Arial"/>
          <w:sz w:val="22"/>
          <w:szCs w:val="22"/>
          <w:lang w:eastAsia="de-DE"/>
        </w:rPr>
        <w:t xml:space="preserve">128.2 mL/year (95% CI: 70.8, 185.6; p&lt;0.0001). Further, the treatment effect </w:t>
      </w:r>
      <w:r w:rsidR="00292B9A" w:rsidRPr="00292B9A">
        <w:rPr>
          <w:rFonts w:ascii="Arial" w:hAnsi="Arial"/>
          <w:sz w:val="22"/>
          <w:szCs w:val="22"/>
          <w:lang w:eastAsia="de-DE"/>
        </w:rPr>
        <w:t xml:space="preserve">of annual rate of decline in FVC (mL) over 52 weeks </w:t>
      </w:r>
      <w:r w:rsidRPr="00D268EE">
        <w:rPr>
          <w:rFonts w:ascii="Arial" w:hAnsi="Arial"/>
          <w:sz w:val="22"/>
          <w:szCs w:val="22"/>
          <w:lang w:eastAsia="de-DE"/>
        </w:rPr>
        <w:t>was consistent in the</w:t>
      </w:r>
      <w:r>
        <w:rPr>
          <w:rFonts w:ascii="Arial" w:hAnsi="Arial"/>
          <w:sz w:val="22"/>
          <w:szCs w:val="22"/>
          <w:lang w:eastAsia="de-DE"/>
        </w:rPr>
        <w:t xml:space="preserve"> </w:t>
      </w:r>
      <w:r w:rsidRPr="00D268EE">
        <w:rPr>
          <w:rFonts w:ascii="Arial" w:hAnsi="Arial"/>
          <w:sz w:val="22"/>
          <w:szCs w:val="22"/>
          <w:lang w:eastAsia="de-DE"/>
        </w:rPr>
        <w:t>complementary population of patients with other HRCT fibrotic patterns. (Figure 3)</w:t>
      </w:r>
      <w:r>
        <w:rPr>
          <w:rFonts w:ascii="Arial" w:hAnsi="Arial"/>
          <w:sz w:val="22"/>
          <w:szCs w:val="22"/>
          <w:lang w:eastAsia="de-DE"/>
        </w:rPr>
        <w:t>.</w:t>
      </w:r>
    </w:p>
    <w:p w14:paraId="0456EDC0" w14:textId="77777777" w:rsidR="004720CC" w:rsidRPr="00D268EE" w:rsidRDefault="004720CC" w:rsidP="004720CC">
      <w:pPr>
        <w:keepNext/>
        <w:keepLines/>
        <w:tabs>
          <w:tab w:val="left" w:pos="1134"/>
        </w:tabs>
        <w:spacing w:before="120" w:after="120" w:line="240" w:lineRule="atLeast"/>
        <w:ind w:left="1122" w:hanging="1122"/>
        <w:jc w:val="both"/>
        <w:rPr>
          <w:rFonts w:ascii="Arial" w:hAnsi="Arial"/>
          <w:b/>
          <w:sz w:val="20"/>
          <w:lang w:val="en-GB"/>
        </w:rPr>
      </w:pPr>
      <w:r w:rsidRPr="00D268EE">
        <w:rPr>
          <w:rFonts w:ascii="Arial" w:hAnsi="Arial"/>
          <w:b/>
          <w:sz w:val="20"/>
          <w:lang w:val="en-GB"/>
        </w:rPr>
        <w:t>Figure 3:</w:t>
      </w:r>
      <w:r w:rsidRPr="00D268EE">
        <w:rPr>
          <w:rFonts w:ascii="Arial" w:hAnsi="Arial"/>
          <w:b/>
          <w:sz w:val="20"/>
          <w:lang w:val="en-GB"/>
        </w:rPr>
        <w:tab/>
        <w:t>Forest plot of the annual rate of decline in FVC (mL) over 52 weeks in the patient</w:t>
      </w:r>
      <w:r>
        <w:rPr>
          <w:rFonts w:ascii="Arial" w:hAnsi="Arial"/>
          <w:b/>
          <w:sz w:val="20"/>
          <w:lang w:val="en-GB"/>
        </w:rPr>
        <w:t xml:space="preserve"> </w:t>
      </w:r>
      <w:r w:rsidRPr="00D268EE">
        <w:rPr>
          <w:rFonts w:ascii="Arial" w:hAnsi="Arial"/>
          <w:b/>
          <w:sz w:val="20"/>
          <w:lang w:val="en-GB"/>
        </w:rPr>
        <w:t>populations</w:t>
      </w:r>
    </w:p>
    <w:p w14:paraId="15EB8F28" w14:textId="77777777" w:rsidR="004720CC" w:rsidRDefault="004720CC" w:rsidP="004720CC">
      <w:pPr>
        <w:autoSpaceDE w:val="0"/>
        <w:autoSpaceDN w:val="0"/>
        <w:adjustRightInd w:val="0"/>
        <w:snapToGrid w:val="0"/>
        <w:jc w:val="both"/>
        <w:rPr>
          <w:rFonts w:ascii="Arial" w:hAnsi="Arial" w:cs="Arial"/>
          <w:sz w:val="18"/>
          <w:szCs w:val="18"/>
        </w:rPr>
      </w:pPr>
      <w:r>
        <w:rPr>
          <w:rFonts w:ascii="Arial" w:hAnsi="Arial"/>
          <w:noProof/>
          <w:sz w:val="22"/>
          <w:szCs w:val="22"/>
          <w:lang w:eastAsia="en-AU"/>
        </w:rPr>
        <w:drawing>
          <wp:anchor distT="0" distB="0" distL="114300" distR="114300" simplePos="0" relativeHeight="251672576" behindDoc="0" locked="0" layoutInCell="1" allowOverlap="1" wp14:anchorId="77541822" wp14:editId="702EDAE4">
            <wp:simplePos x="0" y="0"/>
            <wp:positionH relativeFrom="column">
              <wp:posOffset>0</wp:posOffset>
            </wp:positionH>
            <wp:positionV relativeFrom="paragraph">
              <wp:posOffset>158750</wp:posOffset>
            </wp:positionV>
            <wp:extent cx="5771515" cy="4409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1515" cy="4409440"/>
                    </a:xfrm>
                    <a:prstGeom prst="rect">
                      <a:avLst/>
                    </a:prstGeom>
                    <a:noFill/>
                  </pic:spPr>
                </pic:pic>
              </a:graphicData>
            </a:graphic>
            <wp14:sizeRelH relativeFrom="page">
              <wp14:pctWidth>0</wp14:pctWidth>
            </wp14:sizeRelH>
            <wp14:sizeRelV relativeFrom="page">
              <wp14:pctHeight>0</wp14:pctHeight>
            </wp14:sizeRelV>
          </wp:anchor>
        </w:drawing>
      </w:r>
    </w:p>
    <w:p w14:paraId="08DFB20C" w14:textId="77777777" w:rsidR="004720CC" w:rsidRPr="00785D39" w:rsidRDefault="004720CC" w:rsidP="000F322D">
      <w:pPr>
        <w:autoSpaceDE w:val="0"/>
        <w:autoSpaceDN w:val="0"/>
        <w:adjustRightInd w:val="0"/>
        <w:snapToGrid w:val="0"/>
        <w:spacing w:after="180"/>
        <w:jc w:val="both"/>
        <w:rPr>
          <w:rFonts w:ascii="Arial" w:hAnsi="Arial" w:cs="Arial"/>
          <w:sz w:val="22"/>
          <w:szCs w:val="22"/>
          <w:lang w:val="en-GB" w:eastAsia="en-GB"/>
        </w:rPr>
      </w:pPr>
      <w:r w:rsidRPr="00785D39">
        <w:rPr>
          <w:rFonts w:ascii="Arial" w:hAnsi="Arial" w:cs="Arial"/>
          <w:sz w:val="18"/>
          <w:szCs w:val="18"/>
        </w:rPr>
        <w:t>bid = twice daily</w:t>
      </w:r>
    </w:p>
    <w:p w14:paraId="04998E6C" w14:textId="051895D1" w:rsidR="004720CC" w:rsidRDefault="004720CC" w:rsidP="000F322D">
      <w:pPr>
        <w:autoSpaceDE w:val="0"/>
        <w:autoSpaceDN w:val="0"/>
        <w:adjustRightInd w:val="0"/>
        <w:snapToGrid w:val="0"/>
        <w:spacing w:after="180"/>
        <w:jc w:val="both"/>
        <w:rPr>
          <w:rFonts w:ascii="Arial" w:hAnsi="Arial"/>
          <w:sz w:val="22"/>
          <w:szCs w:val="22"/>
          <w:lang w:val="en-GB" w:eastAsia="de-DE"/>
        </w:rPr>
      </w:pPr>
      <w:r w:rsidRPr="00BB3156">
        <w:rPr>
          <w:rFonts w:ascii="Arial" w:hAnsi="Arial"/>
          <w:sz w:val="22"/>
          <w:szCs w:val="22"/>
          <w:lang w:val="en-GB" w:eastAsia="de-DE"/>
        </w:rPr>
        <w:t xml:space="preserve">The effect of </w:t>
      </w:r>
      <w:r>
        <w:rPr>
          <w:rFonts w:ascii="Arial" w:hAnsi="Arial"/>
          <w:sz w:val="22"/>
          <w:szCs w:val="22"/>
          <w:lang w:val="en-GB" w:eastAsia="de-DE"/>
        </w:rPr>
        <w:t>OFEV</w:t>
      </w:r>
      <w:r w:rsidRPr="00BB3156">
        <w:rPr>
          <w:rFonts w:ascii="Arial" w:hAnsi="Arial"/>
          <w:sz w:val="22"/>
          <w:szCs w:val="22"/>
          <w:lang w:val="en-GB" w:eastAsia="de-DE"/>
        </w:rPr>
        <w:t xml:space="preserve"> in reducing the annual rate of decline in FVC was confirmed in</w:t>
      </w:r>
      <w:r>
        <w:rPr>
          <w:rFonts w:ascii="Arial" w:hAnsi="Arial"/>
          <w:sz w:val="22"/>
          <w:szCs w:val="22"/>
          <w:lang w:val="en-GB" w:eastAsia="de-DE"/>
        </w:rPr>
        <w:t xml:space="preserve"> </w:t>
      </w:r>
      <w:r w:rsidRPr="00BB3156">
        <w:rPr>
          <w:rFonts w:ascii="Arial" w:hAnsi="Arial"/>
          <w:sz w:val="22"/>
          <w:szCs w:val="22"/>
          <w:lang w:val="en-GB" w:eastAsia="de-DE"/>
        </w:rPr>
        <w:t>all pre-specified sensitivity analyses and consistent results were observed in all pre-specified</w:t>
      </w:r>
      <w:r>
        <w:rPr>
          <w:rFonts w:ascii="Arial" w:hAnsi="Arial"/>
          <w:sz w:val="22"/>
          <w:szCs w:val="22"/>
          <w:lang w:val="en-GB" w:eastAsia="de-DE"/>
        </w:rPr>
        <w:t xml:space="preserve"> </w:t>
      </w:r>
      <w:r w:rsidRPr="00BB3156">
        <w:rPr>
          <w:rFonts w:ascii="Arial" w:hAnsi="Arial"/>
          <w:sz w:val="22"/>
          <w:szCs w:val="22"/>
          <w:lang w:val="en-GB" w:eastAsia="de-DE"/>
        </w:rPr>
        <w:t xml:space="preserve">subgroups (e.g. gender, age group, race, baseline FVC </w:t>
      </w:r>
      <w:proofErr w:type="gramStart"/>
      <w:r w:rsidRPr="00BB3156">
        <w:rPr>
          <w:rFonts w:ascii="Arial" w:hAnsi="Arial"/>
          <w:sz w:val="22"/>
          <w:szCs w:val="22"/>
          <w:lang w:val="en-GB" w:eastAsia="de-DE"/>
        </w:rPr>
        <w:t>%</w:t>
      </w:r>
      <w:proofErr w:type="gramEnd"/>
      <w:r w:rsidRPr="00BB3156">
        <w:rPr>
          <w:rFonts w:ascii="Arial" w:hAnsi="Arial"/>
          <w:sz w:val="22"/>
          <w:szCs w:val="22"/>
          <w:lang w:val="en-GB" w:eastAsia="de-DE"/>
        </w:rPr>
        <w:t xml:space="preserve"> predicted, and original underlying clinical</w:t>
      </w:r>
      <w:r>
        <w:rPr>
          <w:rFonts w:ascii="Arial" w:hAnsi="Arial"/>
          <w:sz w:val="22"/>
          <w:szCs w:val="22"/>
          <w:lang w:val="en-GB" w:eastAsia="de-DE"/>
        </w:rPr>
        <w:t xml:space="preserve"> </w:t>
      </w:r>
      <w:r w:rsidRPr="00BB3156">
        <w:rPr>
          <w:rFonts w:ascii="Arial" w:hAnsi="Arial"/>
          <w:sz w:val="22"/>
          <w:szCs w:val="22"/>
          <w:lang w:val="en-GB" w:eastAsia="de-DE"/>
        </w:rPr>
        <w:t>ILD diagnosis in groups).</w:t>
      </w:r>
      <w:r w:rsidR="00E47539">
        <w:rPr>
          <w:rFonts w:ascii="Arial" w:hAnsi="Arial"/>
          <w:sz w:val="22"/>
          <w:szCs w:val="22"/>
          <w:lang w:val="en-GB" w:eastAsia="de-DE"/>
        </w:rPr>
        <w:t xml:space="preserve"> </w:t>
      </w:r>
      <w:r w:rsidR="00E47539" w:rsidRPr="00E47539">
        <w:rPr>
          <w:rFonts w:ascii="Arial" w:hAnsi="Arial"/>
          <w:sz w:val="22"/>
          <w:szCs w:val="22"/>
          <w:lang w:val="en-GB" w:eastAsia="de-DE"/>
        </w:rPr>
        <w:t xml:space="preserve">The trial was not designed or powered to provide evidence for a benefit of </w:t>
      </w:r>
      <w:proofErr w:type="spellStart"/>
      <w:r w:rsidR="00E47539" w:rsidRPr="00E47539">
        <w:rPr>
          <w:rFonts w:ascii="Arial" w:hAnsi="Arial"/>
          <w:sz w:val="22"/>
          <w:szCs w:val="22"/>
          <w:lang w:val="en-GB" w:eastAsia="de-DE"/>
        </w:rPr>
        <w:t>nintedanib</w:t>
      </w:r>
      <w:proofErr w:type="spellEnd"/>
      <w:r w:rsidR="00E47539" w:rsidRPr="00E47539">
        <w:rPr>
          <w:rFonts w:ascii="Arial" w:hAnsi="Arial"/>
          <w:sz w:val="22"/>
          <w:szCs w:val="22"/>
          <w:lang w:val="en-GB" w:eastAsia="de-DE"/>
        </w:rPr>
        <w:t xml:space="preserve"> in specific diagnostic subgroups.</w:t>
      </w:r>
    </w:p>
    <w:p w14:paraId="2CE0358A" w14:textId="77777777" w:rsidR="004720CC" w:rsidRDefault="004720CC" w:rsidP="000F322D">
      <w:pPr>
        <w:autoSpaceDE w:val="0"/>
        <w:autoSpaceDN w:val="0"/>
        <w:adjustRightInd w:val="0"/>
        <w:snapToGrid w:val="0"/>
        <w:spacing w:after="180"/>
        <w:jc w:val="both"/>
        <w:rPr>
          <w:rFonts w:ascii="Arial" w:hAnsi="Arial"/>
          <w:sz w:val="22"/>
          <w:szCs w:val="22"/>
          <w:lang w:val="en-GB" w:eastAsia="de-DE"/>
        </w:rPr>
      </w:pPr>
      <w:r w:rsidRPr="00BB3156">
        <w:rPr>
          <w:rFonts w:ascii="Arial" w:hAnsi="Arial"/>
          <w:sz w:val="22"/>
          <w:szCs w:val="22"/>
          <w:lang w:val="en-GB" w:eastAsia="de-DE"/>
        </w:rPr>
        <w:t>Figure 4 shows the evolution of change in FVC from base</w:t>
      </w:r>
      <w:r>
        <w:rPr>
          <w:rFonts w:ascii="Arial" w:hAnsi="Arial"/>
          <w:sz w:val="22"/>
          <w:szCs w:val="22"/>
          <w:lang w:val="en-GB" w:eastAsia="de-DE"/>
        </w:rPr>
        <w:t xml:space="preserve">line over time in the treatment </w:t>
      </w:r>
      <w:r w:rsidRPr="00BB3156">
        <w:rPr>
          <w:rFonts w:ascii="Arial" w:hAnsi="Arial"/>
          <w:sz w:val="22"/>
          <w:szCs w:val="22"/>
          <w:lang w:val="en-GB" w:eastAsia="de-DE"/>
        </w:rPr>
        <w:t>groups.</w:t>
      </w:r>
    </w:p>
    <w:p w14:paraId="31EAFA7B" w14:textId="327FD1D0" w:rsidR="004720CC" w:rsidRDefault="004720CC" w:rsidP="000F322D">
      <w:pPr>
        <w:keepNext/>
        <w:keepLines/>
        <w:tabs>
          <w:tab w:val="left" w:pos="1134"/>
        </w:tabs>
        <w:spacing w:before="120" w:after="120" w:line="240" w:lineRule="atLeast"/>
        <w:ind w:left="1122" w:hanging="1122"/>
        <w:jc w:val="both"/>
        <w:rPr>
          <w:rFonts w:ascii="Arial" w:hAnsi="Arial" w:cs="Arial"/>
          <w:sz w:val="18"/>
          <w:szCs w:val="18"/>
        </w:rPr>
      </w:pPr>
      <w:r w:rsidRPr="00216660">
        <w:rPr>
          <w:rFonts w:ascii="Arial" w:hAnsi="Arial"/>
          <w:b/>
          <w:sz w:val="20"/>
          <w:lang w:val="en-GB"/>
        </w:rPr>
        <w:lastRenderedPageBreak/>
        <w:t xml:space="preserve">Figure </w:t>
      </w:r>
      <w:r>
        <w:rPr>
          <w:rFonts w:ascii="Arial" w:hAnsi="Arial"/>
          <w:b/>
          <w:sz w:val="20"/>
          <w:lang w:val="en-GB"/>
        </w:rPr>
        <w:t>4</w:t>
      </w:r>
      <w:r w:rsidRPr="00216660">
        <w:rPr>
          <w:rFonts w:ascii="Arial" w:hAnsi="Arial"/>
          <w:b/>
          <w:sz w:val="20"/>
          <w:lang w:val="en-GB"/>
        </w:rPr>
        <w:t>:</w:t>
      </w:r>
      <w:r w:rsidRPr="00216660">
        <w:rPr>
          <w:rFonts w:ascii="Arial" w:hAnsi="Arial"/>
          <w:b/>
          <w:sz w:val="20"/>
          <w:lang w:val="en-GB"/>
        </w:rPr>
        <w:tab/>
        <w:t>Mean (SEM) observed FVC change from baseline (mL) over 52 weeks</w:t>
      </w:r>
      <w:r>
        <w:rPr>
          <w:rFonts w:ascii="Arial" w:hAnsi="Arial"/>
          <w:noProof/>
          <w:sz w:val="22"/>
          <w:szCs w:val="22"/>
          <w:lang w:eastAsia="en-AU"/>
        </w:rPr>
        <w:drawing>
          <wp:anchor distT="0" distB="0" distL="114300" distR="114300" simplePos="0" relativeHeight="251673600" behindDoc="0" locked="0" layoutInCell="1" allowOverlap="1" wp14:anchorId="5090577C" wp14:editId="4C791739">
            <wp:simplePos x="0" y="0"/>
            <wp:positionH relativeFrom="column">
              <wp:posOffset>0</wp:posOffset>
            </wp:positionH>
            <wp:positionV relativeFrom="paragraph">
              <wp:posOffset>159385</wp:posOffset>
            </wp:positionV>
            <wp:extent cx="5771515" cy="440944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1515" cy="4409440"/>
                    </a:xfrm>
                    <a:prstGeom prst="rect">
                      <a:avLst/>
                    </a:prstGeom>
                    <a:noFill/>
                  </pic:spPr>
                </pic:pic>
              </a:graphicData>
            </a:graphic>
            <wp14:sizeRelH relativeFrom="page">
              <wp14:pctWidth>0</wp14:pctWidth>
            </wp14:sizeRelH>
            <wp14:sizeRelV relativeFrom="page">
              <wp14:pctHeight>0</wp14:pctHeight>
            </wp14:sizeRelV>
          </wp:anchor>
        </w:drawing>
      </w:r>
    </w:p>
    <w:p w14:paraId="1E97FF7A" w14:textId="77777777" w:rsidR="004720CC" w:rsidRPr="00785D39" w:rsidRDefault="004720CC" w:rsidP="00D41B59">
      <w:pPr>
        <w:autoSpaceDE w:val="0"/>
        <w:autoSpaceDN w:val="0"/>
        <w:adjustRightInd w:val="0"/>
        <w:snapToGrid w:val="0"/>
        <w:spacing w:after="180"/>
        <w:jc w:val="both"/>
        <w:rPr>
          <w:rFonts w:ascii="Arial" w:hAnsi="Arial" w:cs="Arial"/>
          <w:sz w:val="22"/>
          <w:szCs w:val="22"/>
          <w:lang w:val="en-GB" w:eastAsia="en-GB"/>
        </w:rPr>
      </w:pPr>
      <w:proofErr w:type="gramStart"/>
      <w:r w:rsidRPr="00785D39">
        <w:rPr>
          <w:rFonts w:ascii="Arial" w:hAnsi="Arial" w:cs="Arial"/>
          <w:sz w:val="18"/>
          <w:szCs w:val="18"/>
        </w:rPr>
        <w:t>bid</w:t>
      </w:r>
      <w:proofErr w:type="gramEnd"/>
      <w:r w:rsidRPr="00785D39">
        <w:rPr>
          <w:rFonts w:ascii="Arial" w:hAnsi="Arial" w:cs="Arial"/>
          <w:sz w:val="18"/>
          <w:szCs w:val="18"/>
        </w:rPr>
        <w:t xml:space="preserve"> = twice daily</w:t>
      </w:r>
    </w:p>
    <w:p w14:paraId="0D84FB8F" w14:textId="5854CDFE" w:rsidR="004720CC" w:rsidRDefault="004720CC" w:rsidP="00D41B59">
      <w:pPr>
        <w:autoSpaceDE w:val="0"/>
        <w:autoSpaceDN w:val="0"/>
        <w:adjustRightInd w:val="0"/>
        <w:snapToGrid w:val="0"/>
        <w:spacing w:after="180"/>
        <w:jc w:val="both"/>
        <w:rPr>
          <w:rFonts w:ascii="Arial" w:hAnsi="Arial"/>
          <w:sz w:val="22"/>
          <w:szCs w:val="22"/>
          <w:lang w:val="en-GB" w:eastAsia="de-DE"/>
        </w:rPr>
      </w:pPr>
      <w:r w:rsidRPr="00216660">
        <w:rPr>
          <w:rFonts w:ascii="Arial" w:hAnsi="Arial"/>
          <w:sz w:val="22"/>
          <w:szCs w:val="22"/>
          <w:lang w:val="en-GB" w:eastAsia="de-DE"/>
        </w:rPr>
        <w:t>The adjusted mean absolute change from baseline to week 52</w:t>
      </w:r>
      <w:r>
        <w:rPr>
          <w:rFonts w:ascii="Arial" w:hAnsi="Arial"/>
          <w:sz w:val="22"/>
          <w:szCs w:val="22"/>
          <w:lang w:val="en-GB" w:eastAsia="de-DE"/>
        </w:rPr>
        <w:t xml:space="preserve"> </w:t>
      </w:r>
      <w:r w:rsidRPr="00216660">
        <w:rPr>
          <w:rFonts w:ascii="Arial" w:hAnsi="Arial"/>
          <w:sz w:val="22"/>
          <w:szCs w:val="22"/>
          <w:lang w:val="en-GB" w:eastAsia="de-DE"/>
        </w:rPr>
        <w:t xml:space="preserve">in FVC </w:t>
      </w:r>
      <w:proofErr w:type="gramStart"/>
      <w:r w:rsidRPr="00216660">
        <w:rPr>
          <w:rFonts w:ascii="Arial" w:hAnsi="Arial"/>
          <w:sz w:val="22"/>
          <w:szCs w:val="22"/>
          <w:lang w:val="en-GB" w:eastAsia="de-DE"/>
        </w:rPr>
        <w:t>%</w:t>
      </w:r>
      <w:proofErr w:type="gramEnd"/>
      <w:r w:rsidRPr="00216660">
        <w:rPr>
          <w:rFonts w:ascii="Arial" w:hAnsi="Arial"/>
          <w:sz w:val="22"/>
          <w:szCs w:val="22"/>
          <w:lang w:val="en-GB" w:eastAsia="de-DE"/>
        </w:rPr>
        <w:t xml:space="preserve"> predicted was lower in the </w:t>
      </w:r>
      <w:proofErr w:type="spellStart"/>
      <w:r w:rsidRPr="00216660">
        <w:rPr>
          <w:rFonts w:ascii="Arial" w:hAnsi="Arial"/>
          <w:sz w:val="22"/>
          <w:szCs w:val="22"/>
          <w:lang w:val="en-GB" w:eastAsia="de-DE"/>
        </w:rPr>
        <w:t>nintedanib</w:t>
      </w:r>
      <w:proofErr w:type="spellEnd"/>
      <w:r w:rsidRPr="00216660">
        <w:rPr>
          <w:rFonts w:ascii="Arial" w:hAnsi="Arial"/>
          <w:sz w:val="22"/>
          <w:szCs w:val="22"/>
          <w:lang w:val="en-GB" w:eastAsia="de-DE"/>
        </w:rPr>
        <w:t xml:space="preserve"> group (-2.62%) than in the placebo group (-5.86%).</w:t>
      </w:r>
      <w:r>
        <w:rPr>
          <w:rFonts w:ascii="Arial" w:hAnsi="Arial"/>
          <w:sz w:val="22"/>
          <w:szCs w:val="22"/>
          <w:lang w:val="en-GB" w:eastAsia="de-DE"/>
        </w:rPr>
        <w:t xml:space="preserve"> </w:t>
      </w:r>
      <w:r w:rsidRPr="00216660">
        <w:rPr>
          <w:rFonts w:ascii="Arial" w:hAnsi="Arial"/>
          <w:sz w:val="22"/>
          <w:szCs w:val="22"/>
          <w:lang w:val="en-GB" w:eastAsia="de-DE"/>
        </w:rPr>
        <w:t>The adjusted mean difference between the treatment groups was 3.24 (95% CI: 2.09, 4.40).</w:t>
      </w:r>
    </w:p>
    <w:p w14:paraId="181E2BE4" w14:textId="77777777" w:rsidR="004720CC" w:rsidRPr="009B5E96" w:rsidRDefault="004720CC" w:rsidP="004720CC">
      <w:pPr>
        <w:autoSpaceDE w:val="0"/>
        <w:autoSpaceDN w:val="0"/>
        <w:adjustRightInd w:val="0"/>
        <w:snapToGrid w:val="0"/>
        <w:jc w:val="both"/>
        <w:rPr>
          <w:rFonts w:ascii="Arial" w:hAnsi="Arial"/>
          <w:sz w:val="22"/>
          <w:szCs w:val="22"/>
          <w:u w:val="single"/>
          <w:lang w:val="en-GB" w:eastAsia="de-DE"/>
        </w:rPr>
      </w:pPr>
      <w:r w:rsidRPr="009B5E96">
        <w:rPr>
          <w:rFonts w:ascii="Arial" w:hAnsi="Arial"/>
          <w:sz w:val="22"/>
          <w:szCs w:val="22"/>
          <w:u w:val="single"/>
          <w:lang w:val="en-GB" w:eastAsia="de-DE"/>
        </w:rPr>
        <w:t>FVC responder analysis</w:t>
      </w:r>
    </w:p>
    <w:p w14:paraId="588691D5" w14:textId="77777777" w:rsidR="004720CC" w:rsidRDefault="004720CC" w:rsidP="004720CC">
      <w:pPr>
        <w:autoSpaceDE w:val="0"/>
        <w:autoSpaceDN w:val="0"/>
        <w:adjustRightInd w:val="0"/>
        <w:snapToGrid w:val="0"/>
        <w:jc w:val="both"/>
        <w:rPr>
          <w:rFonts w:ascii="Arial" w:hAnsi="Arial"/>
          <w:sz w:val="22"/>
          <w:szCs w:val="22"/>
          <w:lang w:val="en-GB" w:eastAsia="de-DE"/>
        </w:rPr>
      </w:pPr>
      <w:r w:rsidRPr="009B5E96">
        <w:rPr>
          <w:rFonts w:ascii="Arial" w:hAnsi="Arial"/>
          <w:sz w:val="22"/>
          <w:szCs w:val="22"/>
          <w:lang w:val="en-GB" w:eastAsia="de-DE"/>
        </w:rPr>
        <w:t>The proportion of FVC responders, defined as patients with a relative decline in FVC % predicted no</w:t>
      </w:r>
      <w:r>
        <w:rPr>
          <w:rFonts w:ascii="Arial" w:hAnsi="Arial"/>
          <w:sz w:val="22"/>
          <w:szCs w:val="22"/>
          <w:lang w:val="en-GB" w:eastAsia="de-DE"/>
        </w:rPr>
        <w:t xml:space="preserve"> </w:t>
      </w:r>
      <w:r w:rsidRPr="009B5E96">
        <w:rPr>
          <w:rFonts w:ascii="Arial" w:hAnsi="Arial"/>
          <w:sz w:val="22"/>
          <w:szCs w:val="22"/>
          <w:lang w:val="en-GB" w:eastAsia="de-DE"/>
        </w:rPr>
        <w:t xml:space="preserve">greater than 5%, was higher in the </w:t>
      </w:r>
      <w:r>
        <w:rPr>
          <w:rFonts w:ascii="Arial" w:hAnsi="Arial"/>
          <w:sz w:val="22"/>
          <w:szCs w:val="22"/>
          <w:lang w:val="en-GB" w:eastAsia="de-DE"/>
        </w:rPr>
        <w:t>OFEV</w:t>
      </w:r>
      <w:r w:rsidRPr="009B5E96">
        <w:rPr>
          <w:rFonts w:ascii="Arial" w:hAnsi="Arial"/>
          <w:sz w:val="22"/>
          <w:szCs w:val="22"/>
          <w:lang w:val="en-GB" w:eastAsia="de-DE"/>
        </w:rPr>
        <w:t xml:space="preserve"> group as compared to placebo. Similar results were observed</w:t>
      </w:r>
      <w:r>
        <w:rPr>
          <w:rFonts w:ascii="Arial" w:hAnsi="Arial"/>
          <w:sz w:val="22"/>
          <w:szCs w:val="22"/>
          <w:lang w:val="en-GB" w:eastAsia="de-DE"/>
        </w:rPr>
        <w:t xml:space="preserve"> </w:t>
      </w:r>
      <w:r w:rsidRPr="009B5E96">
        <w:rPr>
          <w:rFonts w:ascii="Arial" w:hAnsi="Arial"/>
          <w:sz w:val="22"/>
          <w:szCs w:val="22"/>
          <w:lang w:val="en-GB" w:eastAsia="de-DE"/>
        </w:rPr>
        <w:t>in analyses using a threshold of 10% (Table 1</w:t>
      </w:r>
      <w:r>
        <w:rPr>
          <w:rFonts w:ascii="Arial" w:hAnsi="Arial"/>
          <w:sz w:val="22"/>
          <w:szCs w:val="22"/>
          <w:lang w:val="en-GB" w:eastAsia="de-DE"/>
        </w:rPr>
        <w:t>6</w:t>
      </w:r>
      <w:r w:rsidRPr="009B5E96">
        <w:rPr>
          <w:rFonts w:ascii="Arial" w:hAnsi="Arial"/>
          <w:sz w:val="22"/>
          <w:szCs w:val="22"/>
          <w:lang w:val="en-GB" w:eastAsia="de-DE"/>
        </w:rPr>
        <w:t>).</w:t>
      </w:r>
    </w:p>
    <w:p w14:paraId="143F0056" w14:textId="77777777" w:rsidR="004720CC" w:rsidRPr="00994977" w:rsidRDefault="004720CC" w:rsidP="004720CC">
      <w:pPr>
        <w:keepNext/>
        <w:keepLines/>
        <w:tabs>
          <w:tab w:val="left" w:pos="1134"/>
        </w:tabs>
        <w:spacing w:before="120" w:after="120" w:line="240" w:lineRule="atLeast"/>
        <w:ind w:left="1122" w:hanging="1122"/>
        <w:jc w:val="both"/>
        <w:rPr>
          <w:rFonts w:ascii="Arial" w:hAnsi="Arial"/>
          <w:b/>
          <w:sz w:val="20"/>
          <w:lang w:val="en-GB"/>
        </w:rPr>
      </w:pPr>
      <w:r w:rsidRPr="00994977">
        <w:rPr>
          <w:rFonts w:ascii="Arial" w:hAnsi="Arial"/>
          <w:b/>
          <w:sz w:val="20"/>
          <w:lang w:val="en-GB"/>
        </w:rPr>
        <w:lastRenderedPageBreak/>
        <w:t>Table 1</w:t>
      </w:r>
      <w:r>
        <w:rPr>
          <w:rFonts w:ascii="Arial" w:hAnsi="Arial"/>
          <w:b/>
          <w:sz w:val="20"/>
          <w:lang w:val="en-GB"/>
        </w:rPr>
        <w:t>6</w:t>
      </w:r>
      <w:r w:rsidRPr="00994977">
        <w:rPr>
          <w:rFonts w:ascii="Arial" w:hAnsi="Arial"/>
          <w:b/>
          <w:sz w:val="20"/>
          <w:lang w:val="en-GB"/>
        </w:rPr>
        <w:t xml:space="preserve">: </w:t>
      </w:r>
      <w:r w:rsidRPr="00994977">
        <w:rPr>
          <w:rFonts w:ascii="Arial" w:hAnsi="Arial"/>
          <w:b/>
          <w:sz w:val="20"/>
          <w:lang w:val="en-GB"/>
        </w:rPr>
        <w:tab/>
      </w:r>
      <w:r w:rsidRPr="00B97563">
        <w:rPr>
          <w:rFonts w:ascii="Arial" w:hAnsi="Arial"/>
          <w:b/>
          <w:sz w:val="20"/>
          <w:lang w:val="en-GB"/>
        </w:rPr>
        <w:t>Proportion of FVC responders at 52 weeks in INBUILD</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3101"/>
        <w:gridCol w:w="3101"/>
        <w:gridCol w:w="3101"/>
      </w:tblGrid>
      <w:tr w:rsidR="004720CC" w:rsidRPr="00974CD5" w14:paraId="61AA66A8" w14:textId="77777777" w:rsidTr="00A30D45">
        <w:trPr>
          <w:jc w:val="center"/>
        </w:trPr>
        <w:tc>
          <w:tcPr>
            <w:tcW w:w="3101" w:type="dxa"/>
            <w:tcBorders>
              <w:top w:val="single" w:sz="4" w:space="0" w:color="auto"/>
            </w:tcBorders>
            <w:shd w:val="clear" w:color="auto" w:fill="auto"/>
          </w:tcPr>
          <w:p w14:paraId="4FFC9093" w14:textId="77777777" w:rsidR="004720CC" w:rsidRPr="00942E22" w:rsidRDefault="004720CC" w:rsidP="00A30D45">
            <w:pPr>
              <w:pStyle w:val="CS-TextinTable10pt"/>
              <w:spacing w:before="20" w:after="20"/>
              <w:rPr>
                <w:rFonts w:ascii="Arial" w:hAnsi="Arial" w:cs="Arial"/>
              </w:rPr>
            </w:pPr>
          </w:p>
        </w:tc>
        <w:tc>
          <w:tcPr>
            <w:tcW w:w="3101" w:type="dxa"/>
            <w:shd w:val="clear" w:color="auto" w:fill="auto"/>
          </w:tcPr>
          <w:p w14:paraId="27432D1F"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Placebo</w:t>
            </w:r>
          </w:p>
        </w:tc>
        <w:tc>
          <w:tcPr>
            <w:tcW w:w="3101" w:type="dxa"/>
            <w:shd w:val="clear" w:color="auto" w:fill="auto"/>
          </w:tcPr>
          <w:p w14:paraId="5726D04F"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OFEV</w:t>
            </w:r>
          </w:p>
          <w:p w14:paraId="07123C92"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150 mg twice daily</w:t>
            </w:r>
          </w:p>
        </w:tc>
      </w:tr>
      <w:tr w:rsidR="004720CC" w:rsidRPr="00974CD5" w14:paraId="3B4732B9" w14:textId="77777777" w:rsidTr="00A30D45">
        <w:trPr>
          <w:jc w:val="center"/>
        </w:trPr>
        <w:tc>
          <w:tcPr>
            <w:tcW w:w="3101" w:type="dxa"/>
            <w:shd w:val="clear" w:color="auto" w:fill="auto"/>
          </w:tcPr>
          <w:p w14:paraId="61312F05"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Number of analysed patients</w:t>
            </w:r>
          </w:p>
        </w:tc>
        <w:tc>
          <w:tcPr>
            <w:tcW w:w="3101" w:type="dxa"/>
            <w:shd w:val="clear" w:color="auto" w:fill="auto"/>
            <w:vAlign w:val="bottom"/>
          </w:tcPr>
          <w:p w14:paraId="36E5B38D"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331</w:t>
            </w:r>
          </w:p>
        </w:tc>
        <w:tc>
          <w:tcPr>
            <w:tcW w:w="3101" w:type="dxa"/>
            <w:shd w:val="clear" w:color="auto" w:fill="auto"/>
            <w:vAlign w:val="bottom"/>
          </w:tcPr>
          <w:p w14:paraId="2525EECF"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332</w:t>
            </w:r>
          </w:p>
        </w:tc>
      </w:tr>
      <w:tr w:rsidR="004720CC" w:rsidRPr="00974CD5" w14:paraId="651B41CD" w14:textId="77777777" w:rsidTr="00A30D45">
        <w:trPr>
          <w:trHeight w:val="117"/>
          <w:jc w:val="center"/>
        </w:trPr>
        <w:tc>
          <w:tcPr>
            <w:tcW w:w="9303" w:type="dxa"/>
            <w:gridSpan w:val="3"/>
            <w:shd w:val="clear" w:color="auto" w:fill="auto"/>
          </w:tcPr>
          <w:p w14:paraId="3571AD89"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5% threshold</w:t>
            </w:r>
          </w:p>
        </w:tc>
      </w:tr>
      <w:tr w:rsidR="004720CC" w:rsidRPr="00974CD5" w14:paraId="5DF4AF7B" w14:textId="77777777" w:rsidTr="00A30D45">
        <w:trPr>
          <w:trHeight w:val="117"/>
          <w:jc w:val="center"/>
        </w:trPr>
        <w:tc>
          <w:tcPr>
            <w:tcW w:w="3101" w:type="dxa"/>
            <w:tcBorders>
              <w:bottom w:val="single" w:sz="4" w:space="0" w:color="auto"/>
            </w:tcBorders>
            <w:shd w:val="clear" w:color="auto" w:fill="auto"/>
          </w:tcPr>
          <w:p w14:paraId="61B837ED"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Number (%) of FVC responders</w:t>
            </w:r>
            <w:r w:rsidRPr="00942E22">
              <w:rPr>
                <w:rFonts w:ascii="Arial" w:hAnsi="Arial" w:cs="Arial"/>
                <w:vertAlign w:val="superscript"/>
              </w:rPr>
              <w:t>1</w:t>
            </w:r>
          </w:p>
        </w:tc>
        <w:tc>
          <w:tcPr>
            <w:tcW w:w="3101" w:type="dxa"/>
            <w:tcBorders>
              <w:bottom w:val="single" w:sz="4" w:space="0" w:color="auto"/>
            </w:tcBorders>
            <w:shd w:val="clear" w:color="auto" w:fill="auto"/>
            <w:vAlign w:val="bottom"/>
          </w:tcPr>
          <w:p w14:paraId="734672DC"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104 (31.4)</w:t>
            </w:r>
          </w:p>
        </w:tc>
        <w:tc>
          <w:tcPr>
            <w:tcW w:w="3101" w:type="dxa"/>
            <w:tcBorders>
              <w:bottom w:val="single" w:sz="4" w:space="0" w:color="auto"/>
            </w:tcBorders>
            <w:shd w:val="clear" w:color="auto" w:fill="auto"/>
            <w:vAlign w:val="bottom"/>
          </w:tcPr>
          <w:p w14:paraId="70B1541C"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158 (47.6)</w:t>
            </w:r>
          </w:p>
        </w:tc>
      </w:tr>
      <w:tr w:rsidR="004720CC" w:rsidRPr="00974CD5" w14:paraId="15F1702E" w14:textId="77777777" w:rsidTr="00A30D45">
        <w:trPr>
          <w:jc w:val="center"/>
        </w:trPr>
        <w:tc>
          <w:tcPr>
            <w:tcW w:w="9303" w:type="dxa"/>
            <w:gridSpan w:val="3"/>
            <w:shd w:val="clear" w:color="auto" w:fill="auto"/>
          </w:tcPr>
          <w:p w14:paraId="0EFCDE86"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 xml:space="preserve">Comparison vs placebo </w:t>
            </w:r>
          </w:p>
        </w:tc>
      </w:tr>
      <w:tr w:rsidR="004720CC" w:rsidRPr="00974CD5" w14:paraId="79B80C50" w14:textId="77777777" w:rsidTr="00A30D45">
        <w:trPr>
          <w:jc w:val="center"/>
        </w:trPr>
        <w:tc>
          <w:tcPr>
            <w:tcW w:w="3101" w:type="dxa"/>
            <w:shd w:val="clear" w:color="auto" w:fill="auto"/>
          </w:tcPr>
          <w:p w14:paraId="6A6962B6"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ab/>
              <w:t>Odds ratio</w:t>
            </w:r>
            <w:r w:rsidRPr="00942E22">
              <w:rPr>
                <w:rFonts w:ascii="Arial" w:hAnsi="Arial" w:cs="Arial"/>
                <w:vertAlign w:val="superscript"/>
              </w:rPr>
              <w:t>2</w:t>
            </w:r>
            <w:r w:rsidRPr="00942E22">
              <w:rPr>
                <w:rFonts w:ascii="Arial" w:hAnsi="Arial" w:cs="Arial"/>
              </w:rPr>
              <w:t xml:space="preserve"> </w:t>
            </w:r>
          </w:p>
        </w:tc>
        <w:tc>
          <w:tcPr>
            <w:tcW w:w="3101" w:type="dxa"/>
            <w:shd w:val="clear" w:color="auto" w:fill="auto"/>
            <w:vAlign w:val="bottom"/>
          </w:tcPr>
          <w:p w14:paraId="67FCBD53" w14:textId="77777777" w:rsidR="004720CC" w:rsidRPr="00942E22" w:rsidRDefault="004720CC" w:rsidP="00A30D45">
            <w:pPr>
              <w:pStyle w:val="CS-TextinTable10pt"/>
              <w:spacing w:before="20" w:after="20"/>
              <w:jc w:val="center"/>
              <w:rPr>
                <w:rFonts w:ascii="Arial" w:hAnsi="Arial" w:cs="Arial"/>
              </w:rPr>
            </w:pPr>
          </w:p>
        </w:tc>
        <w:tc>
          <w:tcPr>
            <w:tcW w:w="3101" w:type="dxa"/>
            <w:shd w:val="clear" w:color="auto" w:fill="auto"/>
            <w:vAlign w:val="bottom"/>
          </w:tcPr>
          <w:p w14:paraId="65F817DB"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2.01</w:t>
            </w:r>
          </w:p>
        </w:tc>
      </w:tr>
      <w:tr w:rsidR="004720CC" w:rsidRPr="00974CD5" w14:paraId="13CD7204" w14:textId="77777777" w:rsidTr="00A30D45">
        <w:trPr>
          <w:jc w:val="center"/>
        </w:trPr>
        <w:tc>
          <w:tcPr>
            <w:tcW w:w="3101" w:type="dxa"/>
            <w:shd w:val="clear" w:color="auto" w:fill="auto"/>
          </w:tcPr>
          <w:p w14:paraId="24BD5E83"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ab/>
              <w:t>95% CI</w:t>
            </w:r>
          </w:p>
        </w:tc>
        <w:tc>
          <w:tcPr>
            <w:tcW w:w="3101" w:type="dxa"/>
            <w:shd w:val="clear" w:color="auto" w:fill="auto"/>
            <w:vAlign w:val="bottom"/>
          </w:tcPr>
          <w:p w14:paraId="0FDF8E66" w14:textId="77777777" w:rsidR="004720CC" w:rsidRPr="00942E22" w:rsidRDefault="004720CC" w:rsidP="00A30D45">
            <w:pPr>
              <w:pStyle w:val="CS-TextinTable10pt"/>
              <w:spacing w:before="20" w:after="20"/>
              <w:jc w:val="center"/>
              <w:rPr>
                <w:rFonts w:ascii="Arial" w:hAnsi="Arial" w:cs="Arial"/>
              </w:rPr>
            </w:pPr>
          </w:p>
        </w:tc>
        <w:tc>
          <w:tcPr>
            <w:tcW w:w="3101" w:type="dxa"/>
            <w:shd w:val="clear" w:color="auto" w:fill="auto"/>
            <w:vAlign w:val="bottom"/>
          </w:tcPr>
          <w:p w14:paraId="0E66AB7C"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(1.46, 2.76)</w:t>
            </w:r>
          </w:p>
        </w:tc>
      </w:tr>
      <w:tr w:rsidR="004720CC" w:rsidRPr="00974CD5" w14:paraId="5EF619F4" w14:textId="77777777" w:rsidTr="00A30D45">
        <w:trPr>
          <w:trHeight w:val="117"/>
          <w:jc w:val="center"/>
        </w:trPr>
        <w:tc>
          <w:tcPr>
            <w:tcW w:w="9303" w:type="dxa"/>
            <w:gridSpan w:val="3"/>
            <w:shd w:val="clear" w:color="auto" w:fill="auto"/>
          </w:tcPr>
          <w:p w14:paraId="058BCAF7"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10% threshold</w:t>
            </w:r>
          </w:p>
        </w:tc>
      </w:tr>
      <w:tr w:rsidR="004720CC" w:rsidRPr="00974CD5" w14:paraId="26CB9FA9" w14:textId="77777777" w:rsidTr="00A30D45">
        <w:trPr>
          <w:trHeight w:val="117"/>
          <w:jc w:val="center"/>
        </w:trPr>
        <w:tc>
          <w:tcPr>
            <w:tcW w:w="3101" w:type="dxa"/>
            <w:tcBorders>
              <w:bottom w:val="single" w:sz="4" w:space="0" w:color="auto"/>
            </w:tcBorders>
            <w:shd w:val="clear" w:color="auto" w:fill="auto"/>
          </w:tcPr>
          <w:p w14:paraId="224E96A2"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Number (%) of FVC responders</w:t>
            </w:r>
            <w:r w:rsidRPr="00942E22">
              <w:rPr>
                <w:rFonts w:ascii="Arial" w:hAnsi="Arial" w:cs="Arial"/>
                <w:vertAlign w:val="superscript"/>
              </w:rPr>
              <w:t>1</w:t>
            </w:r>
          </w:p>
        </w:tc>
        <w:tc>
          <w:tcPr>
            <w:tcW w:w="3101" w:type="dxa"/>
            <w:tcBorders>
              <w:bottom w:val="single" w:sz="4" w:space="0" w:color="auto"/>
            </w:tcBorders>
            <w:shd w:val="clear" w:color="auto" w:fill="auto"/>
            <w:vAlign w:val="bottom"/>
          </w:tcPr>
          <w:p w14:paraId="3BF59B65"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169 (51.1)</w:t>
            </w:r>
          </w:p>
        </w:tc>
        <w:tc>
          <w:tcPr>
            <w:tcW w:w="3101" w:type="dxa"/>
            <w:tcBorders>
              <w:bottom w:val="single" w:sz="4" w:space="0" w:color="auto"/>
            </w:tcBorders>
            <w:shd w:val="clear" w:color="auto" w:fill="auto"/>
            <w:vAlign w:val="bottom"/>
          </w:tcPr>
          <w:p w14:paraId="585743A9"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197 (59.3)</w:t>
            </w:r>
          </w:p>
        </w:tc>
      </w:tr>
      <w:tr w:rsidR="004720CC" w:rsidRPr="00974CD5" w14:paraId="09AF0FF8" w14:textId="77777777" w:rsidTr="00A30D45">
        <w:trPr>
          <w:jc w:val="center"/>
        </w:trPr>
        <w:tc>
          <w:tcPr>
            <w:tcW w:w="9303" w:type="dxa"/>
            <w:gridSpan w:val="3"/>
            <w:shd w:val="clear" w:color="auto" w:fill="auto"/>
          </w:tcPr>
          <w:p w14:paraId="6CB8D422"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 xml:space="preserve">Comparison vs placebo </w:t>
            </w:r>
          </w:p>
        </w:tc>
      </w:tr>
      <w:tr w:rsidR="004720CC" w:rsidRPr="00974CD5" w14:paraId="4F46BAEA" w14:textId="77777777" w:rsidTr="00A30D45">
        <w:trPr>
          <w:jc w:val="center"/>
        </w:trPr>
        <w:tc>
          <w:tcPr>
            <w:tcW w:w="3101" w:type="dxa"/>
            <w:shd w:val="clear" w:color="auto" w:fill="auto"/>
          </w:tcPr>
          <w:p w14:paraId="1C045B10"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ab/>
              <w:t>Odds ratio</w:t>
            </w:r>
            <w:r w:rsidRPr="00942E22">
              <w:rPr>
                <w:rFonts w:ascii="Arial" w:hAnsi="Arial" w:cs="Arial"/>
                <w:vertAlign w:val="superscript"/>
              </w:rPr>
              <w:t>2</w:t>
            </w:r>
            <w:r w:rsidRPr="00942E22">
              <w:rPr>
                <w:rFonts w:ascii="Arial" w:hAnsi="Arial" w:cs="Arial"/>
              </w:rPr>
              <w:t xml:space="preserve"> </w:t>
            </w:r>
          </w:p>
        </w:tc>
        <w:tc>
          <w:tcPr>
            <w:tcW w:w="3101" w:type="dxa"/>
            <w:shd w:val="clear" w:color="auto" w:fill="auto"/>
            <w:vAlign w:val="bottom"/>
          </w:tcPr>
          <w:p w14:paraId="6E26309A" w14:textId="77777777" w:rsidR="004720CC" w:rsidRPr="00942E22" w:rsidRDefault="004720CC" w:rsidP="00A30D45">
            <w:pPr>
              <w:pStyle w:val="CS-TextinTable10pt"/>
              <w:spacing w:before="20" w:after="20"/>
              <w:jc w:val="center"/>
              <w:rPr>
                <w:rFonts w:ascii="Arial" w:hAnsi="Arial" w:cs="Arial"/>
              </w:rPr>
            </w:pPr>
          </w:p>
        </w:tc>
        <w:tc>
          <w:tcPr>
            <w:tcW w:w="3101" w:type="dxa"/>
            <w:shd w:val="clear" w:color="auto" w:fill="auto"/>
            <w:vAlign w:val="bottom"/>
          </w:tcPr>
          <w:p w14:paraId="4A238233"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1.42</w:t>
            </w:r>
          </w:p>
        </w:tc>
      </w:tr>
      <w:tr w:rsidR="004720CC" w:rsidRPr="00974CD5" w14:paraId="395B3FFD" w14:textId="77777777" w:rsidTr="00A30D45">
        <w:trPr>
          <w:jc w:val="center"/>
        </w:trPr>
        <w:tc>
          <w:tcPr>
            <w:tcW w:w="3101" w:type="dxa"/>
            <w:shd w:val="clear" w:color="auto" w:fill="auto"/>
          </w:tcPr>
          <w:p w14:paraId="677D7B6C" w14:textId="77777777" w:rsidR="004720CC" w:rsidRPr="00942E22" w:rsidRDefault="004720CC" w:rsidP="00A30D45">
            <w:pPr>
              <w:pStyle w:val="CS-TextinTable10pt"/>
              <w:spacing w:before="20" w:after="20"/>
              <w:rPr>
                <w:rFonts w:ascii="Arial" w:hAnsi="Arial" w:cs="Arial"/>
              </w:rPr>
            </w:pPr>
            <w:r w:rsidRPr="00942E22">
              <w:rPr>
                <w:rFonts w:ascii="Arial" w:hAnsi="Arial" w:cs="Arial"/>
              </w:rPr>
              <w:tab/>
              <w:t>95% CI</w:t>
            </w:r>
          </w:p>
        </w:tc>
        <w:tc>
          <w:tcPr>
            <w:tcW w:w="3101" w:type="dxa"/>
            <w:shd w:val="clear" w:color="auto" w:fill="auto"/>
            <w:vAlign w:val="bottom"/>
          </w:tcPr>
          <w:p w14:paraId="53F4C4F6" w14:textId="77777777" w:rsidR="004720CC" w:rsidRPr="00942E22" w:rsidRDefault="004720CC" w:rsidP="00A30D45">
            <w:pPr>
              <w:pStyle w:val="CS-TextinTable10pt"/>
              <w:spacing w:before="20" w:after="20"/>
              <w:jc w:val="center"/>
              <w:rPr>
                <w:rFonts w:ascii="Arial" w:hAnsi="Arial" w:cs="Arial"/>
              </w:rPr>
            </w:pPr>
          </w:p>
        </w:tc>
        <w:tc>
          <w:tcPr>
            <w:tcW w:w="3101" w:type="dxa"/>
            <w:shd w:val="clear" w:color="auto" w:fill="auto"/>
            <w:vAlign w:val="bottom"/>
          </w:tcPr>
          <w:p w14:paraId="7034EC54" w14:textId="77777777" w:rsidR="004720CC" w:rsidRPr="00942E22" w:rsidRDefault="004720CC" w:rsidP="00A30D45">
            <w:pPr>
              <w:pStyle w:val="CS-TextinTable10pt"/>
              <w:spacing w:before="20" w:after="20"/>
              <w:jc w:val="center"/>
              <w:rPr>
                <w:rFonts w:ascii="Arial" w:hAnsi="Arial" w:cs="Arial"/>
              </w:rPr>
            </w:pPr>
            <w:r w:rsidRPr="00942E22">
              <w:rPr>
                <w:rFonts w:ascii="Arial" w:hAnsi="Arial" w:cs="Arial"/>
              </w:rPr>
              <w:t>(1.04, 1.94)</w:t>
            </w:r>
          </w:p>
        </w:tc>
      </w:tr>
      <w:tr w:rsidR="004720CC" w:rsidRPr="00974CD5" w14:paraId="3EBA9FE1" w14:textId="77777777" w:rsidTr="00A85837">
        <w:trPr>
          <w:jc w:val="center"/>
        </w:trPr>
        <w:tc>
          <w:tcPr>
            <w:tcW w:w="9303" w:type="dxa"/>
            <w:gridSpan w:val="3"/>
            <w:shd w:val="clear" w:color="auto" w:fill="auto"/>
          </w:tcPr>
          <w:p w14:paraId="4B7A2A1B" w14:textId="77777777" w:rsidR="004720CC" w:rsidRPr="00942E22" w:rsidRDefault="004720CC" w:rsidP="00A30D45">
            <w:pPr>
              <w:rPr>
                <w:rFonts w:ascii="Arial" w:hAnsi="Arial" w:cs="Arial"/>
                <w:sz w:val="18"/>
                <w:szCs w:val="18"/>
              </w:rPr>
            </w:pPr>
            <w:r w:rsidRPr="00942E22">
              <w:rPr>
                <w:rFonts w:ascii="Arial" w:hAnsi="Arial" w:cs="Arial"/>
                <w:sz w:val="18"/>
                <w:szCs w:val="18"/>
                <w:vertAlign w:val="superscript"/>
              </w:rPr>
              <w:t>1</w:t>
            </w:r>
            <w:r w:rsidRPr="00942E22">
              <w:rPr>
                <w:rFonts w:ascii="Arial" w:hAnsi="Arial" w:cs="Arial"/>
                <w:sz w:val="18"/>
                <w:szCs w:val="18"/>
              </w:rPr>
              <w:t>Responder patients are those with no relative decline greater than 5% or greater than 10% in FVC % predicted, depending on the threshold and with an FVC evaluation at 52 weeks (patients with missing data at Week 52 were considered as non-responders).</w:t>
            </w:r>
          </w:p>
          <w:p w14:paraId="28AE3882" w14:textId="77777777" w:rsidR="004720CC" w:rsidRPr="00942E22" w:rsidRDefault="004720CC" w:rsidP="00A30D45">
            <w:pPr>
              <w:rPr>
                <w:rFonts w:ascii="Arial" w:eastAsia="MS Mincho" w:hAnsi="Arial" w:cs="Arial"/>
                <w:sz w:val="18"/>
                <w:szCs w:val="18"/>
              </w:rPr>
            </w:pPr>
            <w:r w:rsidRPr="00942E22">
              <w:rPr>
                <w:rFonts w:ascii="Arial" w:hAnsi="Arial" w:cs="Arial"/>
                <w:sz w:val="18"/>
                <w:szCs w:val="18"/>
                <w:vertAlign w:val="superscript"/>
              </w:rPr>
              <w:t>2</w:t>
            </w:r>
            <w:r w:rsidRPr="00942E22">
              <w:rPr>
                <w:rFonts w:ascii="Arial" w:hAnsi="Arial" w:cs="Arial"/>
                <w:sz w:val="18"/>
                <w:szCs w:val="18"/>
              </w:rPr>
              <w:t>Based on a logistic regression model with continuous covariate baseline FVC % predicted and binary covariate HRCT pattern</w:t>
            </w:r>
          </w:p>
        </w:tc>
      </w:tr>
    </w:tbl>
    <w:p w14:paraId="0C722F78" w14:textId="77777777" w:rsidR="004720CC" w:rsidRPr="001527F0" w:rsidRDefault="004720CC" w:rsidP="00D41B59">
      <w:pPr>
        <w:autoSpaceDE w:val="0"/>
        <w:autoSpaceDN w:val="0"/>
        <w:adjustRightInd w:val="0"/>
        <w:snapToGrid w:val="0"/>
        <w:spacing w:before="180"/>
        <w:jc w:val="both"/>
        <w:rPr>
          <w:rFonts w:ascii="Arial" w:hAnsi="Arial"/>
          <w:sz w:val="22"/>
          <w:szCs w:val="22"/>
          <w:u w:val="single"/>
          <w:lang w:eastAsia="de-DE"/>
        </w:rPr>
      </w:pPr>
      <w:r w:rsidRPr="001527F0">
        <w:rPr>
          <w:rFonts w:ascii="Arial" w:hAnsi="Arial"/>
          <w:sz w:val="22"/>
          <w:szCs w:val="22"/>
          <w:u w:val="single"/>
          <w:lang w:eastAsia="de-DE"/>
        </w:rPr>
        <w:t>Time to first acute ILD exacerbation or death</w:t>
      </w:r>
    </w:p>
    <w:p w14:paraId="3386AA36" w14:textId="61AE36D2" w:rsidR="004720CC" w:rsidRDefault="004720CC" w:rsidP="004720CC">
      <w:pPr>
        <w:autoSpaceDE w:val="0"/>
        <w:autoSpaceDN w:val="0"/>
        <w:adjustRightInd w:val="0"/>
        <w:snapToGrid w:val="0"/>
        <w:jc w:val="both"/>
        <w:rPr>
          <w:rFonts w:ascii="Arial" w:hAnsi="Arial"/>
          <w:sz w:val="22"/>
          <w:szCs w:val="22"/>
          <w:lang w:eastAsia="de-DE"/>
        </w:rPr>
      </w:pPr>
      <w:r w:rsidRPr="001527F0">
        <w:rPr>
          <w:rFonts w:ascii="Arial" w:hAnsi="Arial"/>
          <w:sz w:val="22"/>
          <w:szCs w:val="22"/>
          <w:lang w:eastAsia="de-DE"/>
        </w:rPr>
        <w:t>The proportion of patients with at least one event of first acute ILD exacerbation or death over 52</w:t>
      </w:r>
      <w:r>
        <w:rPr>
          <w:rFonts w:ascii="Arial" w:hAnsi="Arial"/>
          <w:sz w:val="22"/>
          <w:szCs w:val="22"/>
          <w:lang w:eastAsia="de-DE"/>
        </w:rPr>
        <w:t xml:space="preserve"> </w:t>
      </w:r>
      <w:r w:rsidRPr="001527F0">
        <w:rPr>
          <w:rFonts w:ascii="Arial" w:hAnsi="Arial"/>
          <w:sz w:val="22"/>
          <w:szCs w:val="22"/>
          <w:lang w:eastAsia="de-DE"/>
        </w:rPr>
        <w:t xml:space="preserve">weeks was 7.8% in the </w:t>
      </w:r>
      <w:r>
        <w:rPr>
          <w:rFonts w:ascii="Arial" w:hAnsi="Arial"/>
          <w:sz w:val="22"/>
          <w:szCs w:val="22"/>
          <w:lang w:eastAsia="de-DE"/>
        </w:rPr>
        <w:t>OFEV</w:t>
      </w:r>
      <w:r w:rsidRPr="001527F0">
        <w:rPr>
          <w:rFonts w:ascii="Arial" w:hAnsi="Arial"/>
          <w:sz w:val="22"/>
          <w:szCs w:val="22"/>
          <w:lang w:eastAsia="de-DE"/>
        </w:rPr>
        <w:t xml:space="preserve"> group and 9.7% in the placebo group. When analysing data over the whole trial, the risk of first acute ILD exacerbation or death further</w:t>
      </w:r>
      <w:r>
        <w:rPr>
          <w:rFonts w:ascii="Arial" w:hAnsi="Arial"/>
          <w:sz w:val="22"/>
          <w:szCs w:val="22"/>
          <w:lang w:eastAsia="de-DE"/>
        </w:rPr>
        <w:t xml:space="preserve"> </w:t>
      </w:r>
      <w:r w:rsidRPr="001527F0">
        <w:rPr>
          <w:rFonts w:ascii="Arial" w:hAnsi="Arial"/>
          <w:sz w:val="22"/>
          <w:szCs w:val="22"/>
          <w:lang w:eastAsia="de-DE"/>
        </w:rPr>
        <w:t>decreased in the OFEV group compared with the placebo group: the HR was 0.6</w:t>
      </w:r>
      <w:r>
        <w:rPr>
          <w:rFonts w:ascii="Arial" w:hAnsi="Arial"/>
          <w:sz w:val="22"/>
          <w:szCs w:val="22"/>
          <w:lang w:eastAsia="de-DE"/>
        </w:rPr>
        <w:t>7</w:t>
      </w:r>
      <w:r w:rsidRPr="001527F0">
        <w:rPr>
          <w:rFonts w:ascii="Arial" w:hAnsi="Arial"/>
          <w:sz w:val="22"/>
          <w:szCs w:val="22"/>
          <w:lang w:eastAsia="de-DE"/>
        </w:rPr>
        <w:t xml:space="preserve"> (95% CI: 0.46, </w:t>
      </w:r>
      <w:r>
        <w:rPr>
          <w:rFonts w:ascii="Arial" w:hAnsi="Arial"/>
          <w:sz w:val="22"/>
          <w:szCs w:val="22"/>
          <w:lang w:eastAsia="de-DE"/>
        </w:rPr>
        <w:t>0.98</w:t>
      </w:r>
      <w:r w:rsidRPr="001527F0">
        <w:rPr>
          <w:rFonts w:ascii="Arial" w:hAnsi="Arial"/>
          <w:sz w:val="22"/>
          <w:szCs w:val="22"/>
          <w:lang w:eastAsia="de-DE"/>
        </w:rPr>
        <w:t xml:space="preserve"> (Figure 5)</w:t>
      </w:r>
      <w:r w:rsidR="00661973">
        <w:rPr>
          <w:rFonts w:ascii="Arial" w:hAnsi="Arial"/>
          <w:sz w:val="22"/>
          <w:szCs w:val="22"/>
          <w:lang w:eastAsia="de-DE"/>
        </w:rPr>
        <w:t>)</w:t>
      </w:r>
      <w:r w:rsidRPr="001527F0">
        <w:rPr>
          <w:rFonts w:ascii="Arial" w:hAnsi="Arial"/>
          <w:sz w:val="22"/>
          <w:szCs w:val="22"/>
          <w:lang w:eastAsia="de-DE"/>
        </w:rPr>
        <w:t>.</w:t>
      </w:r>
    </w:p>
    <w:p w14:paraId="10E779B2" w14:textId="7C58EE08" w:rsidR="004720CC" w:rsidRDefault="004720CC" w:rsidP="00D41B59">
      <w:pPr>
        <w:keepNext/>
        <w:keepLines/>
        <w:tabs>
          <w:tab w:val="left" w:pos="1134"/>
        </w:tabs>
        <w:spacing w:before="120" w:after="120" w:line="240" w:lineRule="atLeast"/>
        <w:ind w:left="1122" w:hanging="1122"/>
        <w:jc w:val="both"/>
        <w:rPr>
          <w:rFonts w:ascii="Arial" w:hAnsi="Arial" w:cs="Arial"/>
          <w:sz w:val="18"/>
          <w:szCs w:val="18"/>
        </w:rPr>
      </w:pPr>
      <w:r w:rsidRPr="00216660">
        <w:rPr>
          <w:rFonts w:ascii="Arial" w:hAnsi="Arial"/>
          <w:b/>
          <w:sz w:val="20"/>
          <w:lang w:val="en-GB"/>
        </w:rPr>
        <w:lastRenderedPageBreak/>
        <w:t xml:space="preserve">Figure </w:t>
      </w:r>
      <w:r>
        <w:rPr>
          <w:rFonts w:ascii="Arial" w:hAnsi="Arial"/>
          <w:b/>
          <w:sz w:val="20"/>
          <w:lang w:val="en-GB"/>
        </w:rPr>
        <w:t>5</w:t>
      </w:r>
      <w:r w:rsidRPr="00216660">
        <w:rPr>
          <w:rFonts w:ascii="Arial" w:hAnsi="Arial"/>
          <w:b/>
          <w:sz w:val="20"/>
          <w:lang w:val="en-GB"/>
        </w:rPr>
        <w:t>:</w:t>
      </w:r>
      <w:r w:rsidRPr="00216660">
        <w:rPr>
          <w:rFonts w:ascii="Arial" w:hAnsi="Arial"/>
          <w:b/>
          <w:sz w:val="20"/>
          <w:lang w:val="en-GB"/>
        </w:rPr>
        <w:tab/>
      </w:r>
      <w:r w:rsidRPr="00BA64AB">
        <w:rPr>
          <w:rFonts w:ascii="Arial" w:hAnsi="Arial"/>
          <w:b/>
          <w:sz w:val="20"/>
          <w:lang w:val="en-GB"/>
        </w:rPr>
        <w:t>Kaplan–Meier plot of time to first acute ILD exacerbation or death over the whole trial</w:t>
      </w:r>
    </w:p>
    <w:p w14:paraId="1B344B40" w14:textId="77777777" w:rsidR="004720CC" w:rsidRDefault="004720CC" w:rsidP="004720CC">
      <w:pPr>
        <w:keepNext/>
        <w:keepLines/>
        <w:autoSpaceDE w:val="0"/>
        <w:autoSpaceDN w:val="0"/>
        <w:adjustRightInd w:val="0"/>
        <w:jc w:val="both"/>
        <w:rPr>
          <w:rFonts w:ascii="Arial" w:hAnsi="Arial" w:cs="Arial"/>
          <w:sz w:val="18"/>
          <w:szCs w:val="18"/>
        </w:rPr>
      </w:pPr>
      <w:r w:rsidRPr="004C4BA5">
        <w:rPr>
          <w:noProof/>
          <w:sz w:val="18"/>
          <w:szCs w:val="18"/>
          <w:lang w:eastAsia="en-AU"/>
        </w:rPr>
        <w:drawing>
          <wp:inline distT="0" distB="0" distL="0" distR="0" wp14:anchorId="5C7CC41E" wp14:editId="397C87A5">
            <wp:extent cx="5220269" cy="3983404"/>
            <wp:effectExtent l="0" t="0" r="0" b="0"/>
            <wp:docPr id="8" name="Picture 8" descr="2_68_1_1_1_ANALYSIS1_1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_68_1_1_1_ANALYSIS1_1_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1659" cy="3984465"/>
                    </a:xfrm>
                    <a:prstGeom prst="rect">
                      <a:avLst/>
                    </a:prstGeom>
                    <a:noFill/>
                    <a:ln>
                      <a:noFill/>
                    </a:ln>
                  </pic:spPr>
                </pic:pic>
              </a:graphicData>
            </a:graphic>
          </wp:inline>
        </w:drawing>
      </w:r>
    </w:p>
    <w:p w14:paraId="4037A8D2" w14:textId="77777777" w:rsidR="004720CC" w:rsidRPr="00785D39" w:rsidRDefault="004720CC" w:rsidP="00D41B59">
      <w:pPr>
        <w:keepNext/>
        <w:keepLines/>
        <w:autoSpaceDE w:val="0"/>
        <w:autoSpaceDN w:val="0"/>
        <w:adjustRightInd w:val="0"/>
        <w:spacing w:after="180"/>
        <w:jc w:val="both"/>
        <w:rPr>
          <w:rFonts w:ascii="Arial" w:hAnsi="Arial" w:cs="Arial"/>
          <w:sz w:val="22"/>
          <w:szCs w:val="22"/>
          <w:lang w:val="en-GB" w:eastAsia="en-GB"/>
        </w:rPr>
      </w:pPr>
      <w:r w:rsidRPr="00785D39">
        <w:rPr>
          <w:rFonts w:ascii="Arial" w:hAnsi="Arial" w:cs="Arial"/>
          <w:sz w:val="18"/>
          <w:szCs w:val="18"/>
        </w:rPr>
        <w:t>bid = twice daily</w:t>
      </w:r>
    </w:p>
    <w:p w14:paraId="6A09AA89" w14:textId="77777777" w:rsidR="004720CC" w:rsidRPr="007D7E93" w:rsidRDefault="004720CC" w:rsidP="004720CC">
      <w:pPr>
        <w:autoSpaceDE w:val="0"/>
        <w:autoSpaceDN w:val="0"/>
        <w:adjustRightInd w:val="0"/>
        <w:snapToGrid w:val="0"/>
        <w:jc w:val="both"/>
        <w:rPr>
          <w:rFonts w:ascii="Arial" w:hAnsi="Arial"/>
          <w:sz w:val="22"/>
          <w:szCs w:val="22"/>
          <w:u w:val="single"/>
          <w:lang w:val="en-GB" w:eastAsia="de-DE"/>
        </w:rPr>
      </w:pPr>
      <w:r w:rsidRPr="007D7E93">
        <w:rPr>
          <w:rFonts w:ascii="Arial" w:hAnsi="Arial"/>
          <w:sz w:val="22"/>
          <w:szCs w:val="22"/>
          <w:u w:val="single"/>
          <w:lang w:val="en-GB" w:eastAsia="de-DE"/>
        </w:rPr>
        <w:t>Survival analysis</w:t>
      </w:r>
    </w:p>
    <w:p w14:paraId="4E1D845F" w14:textId="31C33843" w:rsidR="004720CC" w:rsidRDefault="004720CC" w:rsidP="00D41B59">
      <w:pPr>
        <w:autoSpaceDE w:val="0"/>
        <w:autoSpaceDN w:val="0"/>
        <w:adjustRightInd w:val="0"/>
        <w:snapToGrid w:val="0"/>
        <w:spacing w:after="180"/>
        <w:jc w:val="both"/>
        <w:rPr>
          <w:rFonts w:ascii="Arial" w:hAnsi="Arial"/>
          <w:sz w:val="22"/>
          <w:szCs w:val="22"/>
          <w:lang w:val="en-GB" w:eastAsia="de-DE"/>
        </w:rPr>
      </w:pPr>
      <w:r w:rsidRPr="00A07E95">
        <w:rPr>
          <w:rFonts w:ascii="Arial" w:hAnsi="Arial"/>
          <w:sz w:val="22"/>
          <w:szCs w:val="22"/>
          <w:lang w:val="en-GB" w:eastAsia="de-DE"/>
        </w:rPr>
        <w:t xml:space="preserve">The proportion of patients who died over 52 weeks was 4.8% in the </w:t>
      </w:r>
      <w:r>
        <w:rPr>
          <w:rFonts w:ascii="Arial" w:hAnsi="Arial"/>
          <w:sz w:val="22"/>
          <w:szCs w:val="22"/>
          <w:lang w:val="en-GB" w:eastAsia="de-DE"/>
        </w:rPr>
        <w:t>OFEV</w:t>
      </w:r>
      <w:r w:rsidRPr="00A07E95">
        <w:rPr>
          <w:rFonts w:ascii="Arial" w:hAnsi="Arial"/>
          <w:sz w:val="22"/>
          <w:szCs w:val="22"/>
          <w:lang w:val="en-GB" w:eastAsia="de-DE"/>
        </w:rPr>
        <w:t xml:space="preserve"> group compared to 5.1% in</w:t>
      </w:r>
      <w:r>
        <w:rPr>
          <w:rFonts w:ascii="Arial" w:hAnsi="Arial"/>
          <w:sz w:val="22"/>
          <w:szCs w:val="22"/>
          <w:lang w:val="en-GB" w:eastAsia="de-DE"/>
        </w:rPr>
        <w:t xml:space="preserve"> </w:t>
      </w:r>
      <w:r w:rsidRPr="00A07E95">
        <w:rPr>
          <w:rFonts w:ascii="Arial" w:hAnsi="Arial"/>
          <w:sz w:val="22"/>
          <w:szCs w:val="22"/>
          <w:lang w:val="en-GB" w:eastAsia="de-DE"/>
        </w:rPr>
        <w:t>the placebo group. In the analysis of data over the whole trial, the risk of death was lower in the OFEV group compared to</w:t>
      </w:r>
      <w:r>
        <w:rPr>
          <w:rFonts w:ascii="Arial" w:hAnsi="Arial"/>
          <w:sz w:val="22"/>
          <w:szCs w:val="22"/>
          <w:lang w:val="en-GB" w:eastAsia="de-DE"/>
        </w:rPr>
        <w:t xml:space="preserve"> </w:t>
      </w:r>
      <w:r w:rsidRPr="00A07E95">
        <w:rPr>
          <w:rFonts w:ascii="Arial" w:hAnsi="Arial"/>
          <w:sz w:val="22"/>
          <w:szCs w:val="22"/>
          <w:lang w:val="en-GB" w:eastAsia="de-DE"/>
        </w:rPr>
        <w:t>the placebo group. The HR was 0.7</w:t>
      </w:r>
      <w:r>
        <w:rPr>
          <w:rFonts w:ascii="Arial" w:hAnsi="Arial"/>
          <w:sz w:val="22"/>
          <w:szCs w:val="22"/>
          <w:lang w:val="en-GB" w:eastAsia="de-DE"/>
        </w:rPr>
        <w:t>8</w:t>
      </w:r>
      <w:r w:rsidRPr="00A07E95">
        <w:rPr>
          <w:rFonts w:ascii="Arial" w:hAnsi="Arial"/>
          <w:sz w:val="22"/>
          <w:szCs w:val="22"/>
          <w:lang w:val="en-GB" w:eastAsia="de-DE"/>
        </w:rPr>
        <w:t xml:space="preserve"> (95% CI: 0.</w:t>
      </w:r>
      <w:r>
        <w:rPr>
          <w:rFonts w:ascii="Arial" w:hAnsi="Arial"/>
          <w:sz w:val="22"/>
          <w:szCs w:val="22"/>
          <w:lang w:val="en-GB" w:eastAsia="de-DE"/>
        </w:rPr>
        <w:t>50</w:t>
      </w:r>
      <w:r w:rsidRPr="00A07E95">
        <w:rPr>
          <w:rFonts w:ascii="Arial" w:hAnsi="Arial"/>
          <w:sz w:val="22"/>
          <w:szCs w:val="22"/>
          <w:lang w:val="en-GB" w:eastAsia="de-DE"/>
        </w:rPr>
        <w:t>, 1.</w:t>
      </w:r>
      <w:r>
        <w:rPr>
          <w:rFonts w:ascii="Arial" w:hAnsi="Arial"/>
          <w:sz w:val="22"/>
          <w:szCs w:val="22"/>
          <w:lang w:val="en-GB" w:eastAsia="de-DE"/>
        </w:rPr>
        <w:t>2</w:t>
      </w:r>
      <w:r w:rsidRPr="00A07E95">
        <w:rPr>
          <w:rFonts w:ascii="Arial" w:hAnsi="Arial"/>
          <w:sz w:val="22"/>
          <w:szCs w:val="22"/>
          <w:lang w:val="en-GB" w:eastAsia="de-DE"/>
        </w:rPr>
        <w:t>1).</w:t>
      </w:r>
    </w:p>
    <w:p w14:paraId="176832C1" w14:textId="77777777" w:rsidR="004720CC" w:rsidRPr="007D7E93" w:rsidRDefault="004720CC" w:rsidP="004720CC">
      <w:pPr>
        <w:autoSpaceDE w:val="0"/>
        <w:autoSpaceDN w:val="0"/>
        <w:adjustRightInd w:val="0"/>
        <w:snapToGrid w:val="0"/>
        <w:jc w:val="both"/>
        <w:rPr>
          <w:rFonts w:ascii="Arial" w:hAnsi="Arial"/>
          <w:sz w:val="22"/>
          <w:szCs w:val="22"/>
          <w:u w:val="single"/>
          <w:lang w:val="en-GB" w:eastAsia="de-DE"/>
        </w:rPr>
      </w:pPr>
      <w:r w:rsidRPr="007D7E93">
        <w:rPr>
          <w:rFonts w:ascii="Arial" w:hAnsi="Arial"/>
          <w:sz w:val="22"/>
          <w:szCs w:val="22"/>
          <w:u w:val="single"/>
          <w:lang w:val="en-GB" w:eastAsia="de-DE"/>
        </w:rPr>
        <w:t xml:space="preserve">Time to progression (≥ 10% absolute decline of FVC </w:t>
      </w:r>
      <w:proofErr w:type="gramStart"/>
      <w:r w:rsidRPr="007D7E93">
        <w:rPr>
          <w:rFonts w:ascii="Arial" w:hAnsi="Arial"/>
          <w:sz w:val="22"/>
          <w:szCs w:val="22"/>
          <w:u w:val="single"/>
          <w:lang w:val="en-GB" w:eastAsia="de-DE"/>
        </w:rPr>
        <w:t>%</w:t>
      </w:r>
      <w:proofErr w:type="gramEnd"/>
      <w:r w:rsidRPr="007D7E93">
        <w:rPr>
          <w:rFonts w:ascii="Arial" w:hAnsi="Arial"/>
          <w:sz w:val="22"/>
          <w:szCs w:val="22"/>
          <w:u w:val="single"/>
          <w:lang w:val="en-GB" w:eastAsia="de-DE"/>
        </w:rPr>
        <w:t xml:space="preserve"> predicted) or death</w:t>
      </w:r>
    </w:p>
    <w:p w14:paraId="136FD881" w14:textId="522C43AA" w:rsidR="004720CC" w:rsidRPr="007D7E93" w:rsidRDefault="004720CC" w:rsidP="00D41B59">
      <w:pPr>
        <w:autoSpaceDE w:val="0"/>
        <w:autoSpaceDN w:val="0"/>
        <w:adjustRightInd w:val="0"/>
        <w:snapToGrid w:val="0"/>
        <w:spacing w:after="180"/>
        <w:jc w:val="both"/>
        <w:rPr>
          <w:rFonts w:ascii="Arial" w:hAnsi="Arial"/>
          <w:sz w:val="22"/>
          <w:szCs w:val="22"/>
          <w:lang w:val="en-GB" w:eastAsia="de-DE"/>
        </w:rPr>
      </w:pPr>
      <w:r w:rsidRPr="007D7E93">
        <w:rPr>
          <w:rFonts w:ascii="Arial" w:hAnsi="Arial"/>
          <w:sz w:val="22"/>
          <w:szCs w:val="22"/>
          <w:lang w:val="en-GB" w:eastAsia="de-DE"/>
        </w:rPr>
        <w:t>In the INBUILD trial, the risk of progression (≥ 10% absolute decline of FVC % predicted) or death</w:t>
      </w:r>
      <w:r>
        <w:rPr>
          <w:rFonts w:ascii="Arial" w:hAnsi="Arial"/>
          <w:sz w:val="22"/>
          <w:szCs w:val="22"/>
          <w:lang w:val="en-GB" w:eastAsia="de-DE"/>
        </w:rPr>
        <w:t xml:space="preserve"> </w:t>
      </w:r>
      <w:r w:rsidRPr="007D7E93">
        <w:rPr>
          <w:rFonts w:ascii="Arial" w:hAnsi="Arial"/>
          <w:sz w:val="22"/>
          <w:szCs w:val="22"/>
          <w:lang w:val="en-GB" w:eastAsia="de-DE"/>
        </w:rPr>
        <w:t xml:space="preserve">was reduced for patients treated with </w:t>
      </w:r>
      <w:r>
        <w:rPr>
          <w:rFonts w:ascii="Arial" w:hAnsi="Arial"/>
          <w:sz w:val="22"/>
          <w:szCs w:val="22"/>
          <w:lang w:val="en-GB" w:eastAsia="de-DE"/>
        </w:rPr>
        <w:t>OFEV</w:t>
      </w:r>
      <w:r w:rsidRPr="007D7E93">
        <w:rPr>
          <w:rFonts w:ascii="Arial" w:hAnsi="Arial"/>
          <w:sz w:val="22"/>
          <w:szCs w:val="22"/>
          <w:lang w:val="en-GB" w:eastAsia="de-DE"/>
        </w:rPr>
        <w:t xml:space="preserve">. The proportion of patients </w:t>
      </w:r>
      <w:r w:rsidR="00FD391B">
        <w:rPr>
          <w:rFonts w:ascii="Arial" w:hAnsi="Arial"/>
          <w:sz w:val="22"/>
          <w:szCs w:val="22"/>
          <w:lang w:val="en-GB" w:eastAsia="de-DE"/>
        </w:rPr>
        <w:t xml:space="preserve">who died or progressed </w:t>
      </w:r>
      <w:r w:rsidRPr="007D7E93">
        <w:rPr>
          <w:rFonts w:ascii="Arial" w:hAnsi="Arial"/>
          <w:sz w:val="22"/>
          <w:szCs w:val="22"/>
          <w:lang w:val="en-GB" w:eastAsia="de-DE"/>
        </w:rPr>
        <w:t>over 52 weeks</w:t>
      </w:r>
      <w:r>
        <w:rPr>
          <w:rFonts w:ascii="Arial" w:hAnsi="Arial"/>
          <w:sz w:val="22"/>
          <w:szCs w:val="22"/>
          <w:lang w:val="en-GB" w:eastAsia="de-DE"/>
        </w:rPr>
        <w:t xml:space="preserve"> </w:t>
      </w:r>
      <w:r w:rsidRPr="007D7E93">
        <w:rPr>
          <w:rFonts w:ascii="Arial" w:hAnsi="Arial"/>
          <w:sz w:val="22"/>
          <w:szCs w:val="22"/>
          <w:lang w:val="en-GB" w:eastAsia="de-DE"/>
        </w:rPr>
        <w:t xml:space="preserve">was 25.6% in the OFEV group </w:t>
      </w:r>
      <w:r w:rsidR="00FD391B">
        <w:rPr>
          <w:rFonts w:ascii="Arial" w:hAnsi="Arial"/>
          <w:sz w:val="22"/>
          <w:szCs w:val="22"/>
          <w:lang w:val="en-GB" w:eastAsia="de-DE"/>
        </w:rPr>
        <w:t>compared to</w:t>
      </w:r>
      <w:r w:rsidRPr="007D7E93">
        <w:rPr>
          <w:rFonts w:ascii="Arial" w:hAnsi="Arial"/>
          <w:sz w:val="22"/>
          <w:szCs w:val="22"/>
          <w:lang w:val="en-GB" w:eastAsia="de-DE"/>
        </w:rPr>
        <w:t xml:space="preserve"> 37.5% in the placebo group. </w:t>
      </w:r>
    </w:p>
    <w:p w14:paraId="33D39FAD" w14:textId="2B742012" w:rsidR="004720CC" w:rsidRDefault="004720CC" w:rsidP="00D41B59">
      <w:pPr>
        <w:autoSpaceDE w:val="0"/>
        <w:autoSpaceDN w:val="0"/>
        <w:adjustRightInd w:val="0"/>
        <w:snapToGrid w:val="0"/>
        <w:spacing w:after="180"/>
        <w:jc w:val="both"/>
        <w:rPr>
          <w:rFonts w:ascii="Arial" w:hAnsi="Arial"/>
          <w:sz w:val="22"/>
          <w:szCs w:val="22"/>
          <w:lang w:val="en-GB" w:eastAsia="de-DE"/>
        </w:rPr>
      </w:pPr>
      <w:r w:rsidRPr="007D7E93">
        <w:rPr>
          <w:rFonts w:ascii="Arial" w:hAnsi="Arial"/>
          <w:sz w:val="22"/>
          <w:szCs w:val="22"/>
          <w:lang w:val="en-GB" w:eastAsia="de-DE"/>
        </w:rPr>
        <w:t xml:space="preserve">In the analysis of data over the whole trial, </w:t>
      </w:r>
      <w:r w:rsidR="00FD391B">
        <w:rPr>
          <w:rFonts w:ascii="Arial" w:hAnsi="Arial"/>
          <w:sz w:val="22"/>
          <w:szCs w:val="22"/>
          <w:lang w:val="en-GB" w:eastAsia="de-DE"/>
        </w:rPr>
        <w:t>the risk of death or progression was lower in the OFEV group compared to the placebo group</w:t>
      </w:r>
      <w:r w:rsidRPr="007D7E93">
        <w:rPr>
          <w:rFonts w:ascii="Arial" w:hAnsi="Arial"/>
          <w:sz w:val="22"/>
          <w:szCs w:val="22"/>
          <w:lang w:val="en-GB" w:eastAsia="de-DE"/>
        </w:rPr>
        <w:t>. The HR was 0.6</w:t>
      </w:r>
      <w:r>
        <w:rPr>
          <w:rFonts w:ascii="Arial" w:hAnsi="Arial"/>
          <w:sz w:val="22"/>
          <w:szCs w:val="22"/>
          <w:lang w:val="en-GB" w:eastAsia="de-DE"/>
        </w:rPr>
        <w:t>6</w:t>
      </w:r>
      <w:r w:rsidRPr="007D7E93">
        <w:rPr>
          <w:rFonts w:ascii="Arial" w:hAnsi="Arial"/>
          <w:sz w:val="22"/>
          <w:szCs w:val="22"/>
          <w:lang w:val="en-GB" w:eastAsia="de-DE"/>
        </w:rPr>
        <w:t xml:space="preserve"> (95% CI: 0.53, 0.8</w:t>
      </w:r>
      <w:r>
        <w:rPr>
          <w:rFonts w:ascii="Arial" w:hAnsi="Arial"/>
          <w:sz w:val="22"/>
          <w:szCs w:val="22"/>
          <w:lang w:val="en-GB" w:eastAsia="de-DE"/>
        </w:rPr>
        <w:t>3</w:t>
      </w:r>
      <w:r w:rsidRPr="007D7E93">
        <w:rPr>
          <w:rFonts w:ascii="Arial" w:hAnsi="Arial"/>
          <w:sz w:val="22"/>
          <w:szCs w:val="22"/>
          <w:lang w:val="en-GB" w:eastAsia="de-DE"/>
        </w:rPr>
        <w:t>).</w:t>
      </w:r>
    </w:p>
    <w:p w14:paraId="58A17BE6" w14:textId="77777777" w:rsidR="004720CC" w:rsidRPr="002E78FD" w:rsidRDefault="004720CC" w:rsidP="004720CC">
      <w:pPr>
        <w:keepNext/>
        <w:keepLines/>
        <w:autoSpaceDE w:val="0"/>
        <w:autoSpaceDN w:val="0"/>
        <w:adjustRightInd w:val="0"/>
        <w:snapToGrid w:val="0"/>
        <w:jc w:val="both"/>
        <w:rPr>
          <w:rFonts w:ascii="Arial" w:hAnsi="Arial"/>
          <w:sz w:val="22"/>
          <w:szCs w:val="22"/>
          <w:u w:val="single"/>
          <w:lang w:val="en-GB" w:eastAsia="de-DE"/>
        </w:rPr>
      </w:pPr>
      <w:r w:rsidRPr="002E78FD">
        <w:rPr>
          <w:rFonts w:ascii="Arial" w:hAnsi="Arial"/>
          <w:sz w:val="22"/>
          <w:szCs w:val="22"/>
          <w:u w:val="single"/>
          <w:lang w:val="en-GB" w:eastAsia="de-DE"/>
        </w:rPr>
        <w:t>Quality of life</w:t>
      </w:r>
    </w:p>
    <w:p w14:paraId="461B0E68" w14:textId="77777777" w:rsidR="004720CC" w:rsidRPr="002E78FD" w:rsidRDefault="004720CC" w:rsidP="004720CC">
      <w:pPr>
        <w:keepNext/>
        <w:keepLines/>
        <w:autoSpaceDE w:val="0"/>
        <w:autoSpaceDN w:val="0"/>
        <w:adjustRightInd w:val="0"/>
        <w:snapToGrid w:val="0"/>
        <w:jc w:val="both"/>
        <w:rPr>
          <w:rFonts w:ascii="Arial" w:hAnsi="Arial"/>
          <w:sz w:val="22"/>
          <w:szCs w:val="22"/>
          <w:lang w:val="en-GB" w:eastAsia="de-DE"/>
        </w:rPr>
      </w:pPr>
      <w:r w:rsidRPr="002E78FD">
        <w:rPr>
          <w:rFonts w:ascii="Arial" w:hAnsi="Arial"/>
          <w:sz w:val="22"/>
          <w:szCs w:val="22"/>
          <w:lang w:val="en-GB" w:eastAsia="de-DE"/>
        </w:rPr>
        <w:t>In the INBUILD trial health related quality of life at 52 weeks was measured using the:</w:t>
      </w:r>
    </w:p>
    <w:p w14:paraId="17047C2F" w14:textId="77777777" w:rsidR="004720CC" w:rsidRPr="002E78FD" w:rsidRDefault="004720CC" w:rsidP="004720CC">
      <w:pPr>
        <w:pStyle w:val="ListParagraph"/>
        <w:keepNext/>
        <w:keepLines/>
        <w:numPr>
          <w:ilvl w:val="0"/>
          <w:numId w:val="30"/>
        </w:numPr>
        <w:autoSpaceDE w:val="0"/>
        <w:autoSpaceDN w:val="0"/>
        <w:adjustRightInd w:val="0"/>
        <w:snapToGrid w:val="0"/>
        <w:jc w:val="both"/>
        <w:rPr>
          <w:rFonts w:ascii="Arial" w:hAnsi="Arial"/>
          <w:sz w:val="22"/>
          <w:szCs w:val="22"/>
          <w:lang w:val="en-GB" w:eastAsia="de-DE"/>
        </w:rPr>
      </w:pPr>
      <w:r w:rsidRPr="002E78FD">
        <w:rPr>
          <w:rFonts w:ascii="Arial" w:hAnsi="Arial"/>
          <w:sz w:val="22"/>
          <w:szCs w:val="22"/>
          <w:lang w:val="en-GB" w:eastAsia="de-DE"/>
        </w:rPr>
        <w:t>Absolute change from baseline in King's Brief Interstitial Lung Disease Questionnaire (K-BILD)</w:t>
      </w:r>
      <w:r>
        <w:rPr>
          <w:rFonts w:ascii="Arial" w:hAnsi="Arial"/>
          <w:sz w:val="22"/>
          <w:szCs w:val="22"/>
          <w:lang w:val="en-GB" w:eastAsia="de-DE"/>
        </w:rPr>
        <w:t xml:space="preserve"> </w:t>
      </w:r>
      <w:r w:rsidRPr="002E78FD">
        <w:rPr>
          <w:rFonts w:ascii="Arial" w:hAnsi="Arial"/>
          <w:sz w:val="22"/>
          <w:szCs w:val="22"/>
          <w:lang w:val="en-GB" w:eastAsia="de-DE"/>
        </w:rPr>
        <w:t>total score (range from 0-100, higher scores indicate a better health status)</w:t>
      </w:r>
    </w:p>
    <w:p w14:paraId="221CC6BB" w14:textId="77777777" w:rsidR="004720CC" w:rsidRPr="002E78FD" w:rsidRDefault="004720CC" w:rsidP="004720CC">
      <w:pPr>
        <w:pStyle w:val="ListParagraph"/>
        <w:numPr>
          <w:ilvl w:val="0"/>
          <w:numId w:val="30"/>
        </w:numPr>
        <w:autoSpaceDE w:val="0"/>
        <w:autoSpaceDN w:val="0"/>
        <w:adjustRightInd w:val="0"/>
        <w:snapToGrid w:val="0"/>
        <w:jc w:val="both"/>
        <w:rPr>
          <w:rFonts w:ascii="Arial" w:hAnsi="Arial"/>
          <w:sz w:val="22"/>
          <w:szCs w:val="22"/>
          <w:lang w:val="en-GB" w:eastAsia="de-DE"/>
        </w:rPr>
      </w:pPr>
      <w:r w:rsidRPr="002E78FD">
        <w:rPr>
          <w:rFonts w:ascii="Arial" w:hAnsi="Arial"/>
          <w:sz w:val="22"/>
          <w:szCs w:val="22"/>
          <w:lang w:val="en-GB" w:eastAsia="de-DE"/>
        </w:rPr>
        <w:t>Absolute change from baseline in Living with Pulmonary Fibrosis (L-PF) Symptoms</w:t>
      </w:r>
      <w:r>
        <w:rPr>
          <w:rFonts w:ascii="Arial" w:hAnsi="Arial"/>
          <w:sz w:val="22"/>
          <w:szCs w:val="22"/>
          <w:lang w:val="en-GB" w:eastAsia="de-DE"/>
        </w:rPr>
        <w:t xml:space="preserve"> </w:t>
      </w:r>
      <w:r w:rsidRPr="002E78FD">
        <w:rPr>
          <w:rFonts w:ascii="Arial" w:hAnsi="Arial"/>
          <w:sz w:val="22"/>
          <w:szCs w:val="22"/>
          <w:lang w:val="en-GB" w:eastAsia="de-DE"/>
        </w:rPr>
        <w:t>dyspnoea domain score (range from 0-100, the higher the score the greater the impairment)</w:t>
      </w:r>
    </w:p>
    <w:p w14:paraId="4500BB7D" w14:textId="77777777" w:rsidR="004720CC" w:rsidRPr="002E78FD" w:rsidRDefault="004720CC" w:rsidP="00D41B59">
      <w:pPr>
        <w:pStyle w:val="ListParagraph"/>
        <w:numPr>
          <w:ilvl w:val="0"/>
          <w:numId w:val="30"/>
        </w:numPr>
        <w:autoSpaceDE w:val="0"/>
        <w:autoSpaceDN w:val="0"/>
        <w:adjustRightInd w:val="0"/>
        <w:snapToGrid w:val="0"/>
        <w:spacing w:after="180"/>
        <w:contextualSpacing w:val="0"/>
        <w:jc w:val="both"/>
        <w:rPr>
          <w:rFonts w:ascii="Arial" w:hAnsi="Arial"/>
          <w:sz w:val="22"/>
          <w:szCs w:val="22"/>
          <w:lang w:val="en-GB" w:eastAsia="de-DE"/>
        </w:rPr>
      </w:pPr>
      <w:r w:rsidRPr="002E78FD">
        <w:rPr>
          <w:rFonts w:ascii="Arial" w:hAnsi="Arial"/>
          <w:sz w:val="22"/>
          <w:szCs w:val="22"/>
          <w:lang w:val="en-GB" w:eastAsia="de-DE"/>
        </w:rPr>
        <w:lastRenderedPageBreak/>
        <w:t>Absolute change from baseline in Living with Pulmonary Fibrosis (L-PF) Symptoms cough</w:t>
      </w:r>
      <w:r>
        <w:rPr>
          <w:rFonts w:ascii="Arial" w:hAnsi="Arial"/>
          <w:sz w:val="22"/>
          <w:szCs w:val="22"/>
          <w:lang w:val="en-GB" w:eastAsia="de-DE"/>
        </w:rPr>
        <w:t xml:space="preserve"> </w:t>
      </w:r>
      <w:r w:rsidRPr="002E78FD">
        <w:rPr>
          <w:rFonts w:ascii="Arial" w:hAnsi="Arial"/>
          <w:sz w:val="22"/>
          <w:szCs w:val="22"/>
          <w:lang w:val="en-GB" w:eastAsia="de-DE"/>
        </w:rPr>
        <w:t>domain score (range from 0-100, the higher the score the greater the impairment)</w:t>
      </w:r>
    </w:p>
    <w:p w14:paraId="64FE5E03" w14:textId="20FF1ED1" w:rsidR="004720CC" w:rsidRDefault="004720CC" w:rsidP="00D41B59">
      <w:pPr>
        <w:autoSpaceDE w:val="0"/>
        <w:autoSpaceDN w:val="0"/>
        <w:adjustRightInd w:val="0"/>
        <w:snapToGrid w:val="0"/>
        <w:spacing w:after="180"/>
        <w:jc w:val="both"/>
        <w:rPr>
          <w:rFonts w:ascii="Arial" w:hAnsi="Arial"/>
          <w:sz w:val="22"/>
          <w:szCs w:val="22"/>
          <w:lang w:val="en-GB" w:eastAsia="de-DE"/>
        </w:rPr>
      </w:pPr>
      <w:r w:rsidRPr="002E78FD">
        <w:rPr>
          <w:rFonts w:ascii="Arial" w:hAnsi="Arial"/>
          <w:sz w:val="22"/>
          <w:szCs w:val="22"/>
          <w:lang w:val="en-GB" w:eastAsia="de-DE"/>
        </w:rPr>
        <w:t>The adjusted mean change from baseline in K-BILD total score at week 52 was -0.79 units in the</w:t>
      </w:r>
      <w:r>
        <w:rPr>
          <w:rFonts w:ascii="Arial" w:hAnsi="Arial"/>
          <w:sz w:val="22"/>
          <w:szCs w:val="22"/>
          <w:lang w:val="en-GB" w:eastAsia="de-DE"/>
        </w:rPr>
        <w:t xml:space="preserve"> </w:t>
      </w:r>
      <w:r w:rsidRPr="002E78FD">
        <w:rPr>
          <w:rFonts w:ascii="Arial" w:hAnsi="Arial"/>
          <w:sz w:val="22"/>
          <w:szCs w:val="22"/>
          <w:lang w:val="en-GB" w:eastAsia="de-DE"/>
        </w:rPr>
        <w:t xml:space="preserve">placebo group and 0.55 in the </w:t>
      </w:r>
      <w:r>
        <w:rPr>
          <w:rFonts w:ascii="Arial" w:hAnsi="Arial"/>
          <w:sz w:val="22"/>
          <w:szCs w:val="22"/>
          <w:lang w:val="en-GB" w:eastAsia="de-DE"/>
        </w:rPr>
        <w:t>OFEV</w:t>
      </w:r>
      <w:r w:rsidRPr="002E78FD">
        <w:rPr>
          <w:rFonts w:ascii="Arial" w:hAnsi="Arial"/>
          <w:sz w:val="22"/>
          <w:szCs w:val="22"/>
          <w:lang w:val="en-GB" w:eastAsia="de-DE"/>
        </w:rPr>
        <w:t xml:space="preserve"> group. The difference between the treatment groups was 1.34</w:t>
      </w:r>
      <w:r>
        <w:rPr>
          <w:rFonts w:ascii="Arial" w:hAnsi="Arial"/>
          <w:sz w:val="22"/>
          <w:szCs w:val="22"/>
          <w:lang w:val="en-GB" w:eastAsia="de-DE"/>
        </w:rPr>
        <w:t xml:space="preserve"> </w:t>
      </w:r>
      <w:r w:rsidRPr="002E78FD">
        <w:rPr>
          <w:rFonts w:ascii="Arial" w:hAnsi="Arial"/>
          <w:sz w:val="22"/>
          <w:szCs w:val="22"/>
          <w:lang w:val="en-GB" w:eastAsia="de-DE"/>
        </w:rPr>
        <w:t>(95% CI: -0.31, 2.98).</w:t>
      </w:r>
    </w:p>
    <w:p w14:paraId="2339B150" w14:textId="2B8823D3" w:rsidR="004720CC" w:rsidRPr="00BA64AB" w:rsidRDefault="004720CC" w:rsidP="00D41B59">
      <w:pPr>
        <w:autoSpaceDE w:val="0"/>
        <w:autoSpaceDN w:val="0"/>
        <w:adjustRightInd w:val="0"/>
        <w:snapToGrid w:val="0"/>
        <w:spacing w:after="180"/>
        <w:jc w:val="both"/>
        <w:rPr>
          <w:rFonts w:ascii="Arial" w:hAnsi="Arial"/>
          <w:sz w:val="22"/>
          <w:szCs w:val="22"/>
          <w:lang w:val="en-GB" w:eastAsia="de-DE"/>
        </w:rPr>
      </w:pPr>
      <w:r w:rsidRPr="002E78FD">
        <w:rPr>
          <w:rFonts w:ascii="Arial" w:hAnsi="Arial"/>
          <w:sz w:val="22"/>
          <w:szCs w:val="22"/>
          <w:lang w:val="en-GB" w:eastAsia="de-DE"/>
        </w:rPr>
        <w:t xml:space="preserve">The adjusted mean absolute change from baseline in </w:t>
      </w:r>
      <w:r w:rsidR="002B388D">
        <w:rPr>
          <w:rFonts w:ascii="Arial" w:hAnsi="Arial"/>
          <w:sz w:val="22"/>
          <w:szCs w:val="22"/>
          <w:lang w:val="en-GB" w:eastAsia="de-DE"/>
        </w:rPr>
        <w:t>Living with Pulmonary Fibrosis (</w:t>
      </w:r>
      <w:r w:rsidRPr="002E78FD">
        <w:rPr>
          <w:rFonts w:ascii="Arial" w:hAnsi="Arial"/>
          <w:sz w:val="22"/>
          <w:szCs w:val="22"/>
          <w:lang w:val="en-GB" w:eastAsia="de-DE"/>
        </w:rPr>
        <w:t>L-PF</w:t>
      </w:r>
      <w:r w:rsidR="002B388D">
        <w:rPr>
          <w:rFonts w:ascii="Arial" w:hAnsi="Arial"/>
          <w:sz w:val="22"/>
          <w:szCs w:val="22"/>
          <w:lang w:val="en-GB" w:eastAsia="de-DE"/>
        </w:rPr>
        <w:t>)</w:t>
      </w:r>
      <w:r w:rsidRPr="002E78FD">
        <w:rPr>
          <w:rFonts w:ascii="Arial" w:hAnsi="Arial"/>
          <w:sz w:val="22"/>
          <w:szCs w:val="22"/>
          <w:lang w:val="en-GB" w:eastAsia="de-DE"/>
        </w:rPr>
        <w:t xml:space="preserve"> Symptoms dyspnoea domain score at week</w:t>
      </w:r>
      <w:r>
        <w:rPr>
          <w:rFonts w:ascii="Arial" w:hAnsi="Arial"/>
          <w:sz w:val="22"/>
          <w:szCs w:val="22"/>
          <w:lang w:val="en-GB" w:eastAsia="de-DE"/>
        </w:rPr>
        <w:t xml:space="preserve"> </w:t>
      </w:r>
      <w:r w:rsidRPr="002E78FD">
        <w:rPr>
          <w:rFonts w:ascii="Arial" w:hAnsi="Arial"/>
          <w:sz w:val="22"/>
          <w:szCs w:val="22"/>
          <w:lang w:val="en-GB" w:eastAsia="de-DE"/>
        </w:rPr>
        <w:t>52 was 4.28 in the OFEV group compared with 7.81 in the placebo group. The adjusted mean</w:t>
      </w:r>
      <w:r>
        <w:rPr>
          <w:rFonts w:ascii="Arial" w:hAnsi="Arial"/>
          <w:sz w:val="22"/>
          <w:szCs w:val="22"/>
          <w:lang w:val="en-GB" w:eastAsia="de-DE"/>
        </w:rPr>
        <w:t xml:space="preserve"> </w:t>
      </w:r>
      <w:r w:rsidRPr="002E78FD">
        <w:rPr>
          <w:rFonts w:ascii="Arial" w:hAnsi="Arial"/>
          <w:sz w:val="22"/>
          <w:szCs w:val="22"/>
          <w:lang w:val="en-GB" w:eastAsia="de-DE"/>
        </w:rPr>
        <w:t>difference be</w:t>
      </w:r>
      <w:r>
        <w:rPr>
          <w:rFonts w:ascii="Arial" w:hAnsi="Arial"/>
          <w:sz w:val="22"/>
          <w:szCs w:val="22"/>
          <w:lang w:val="en-GB" w:eastAsia="de-DE"/>
        </w:rPr>
        <w:t xml:space="preserve">tween the groups in favour of </w:t>
      </w:r>
      <w:r w:rsidRPr="002E78FD">
        <w:rPr>
          <w:rFonts w:ascii="Arial" w:hAnsi="Arial"/>
          <w:sz w:val="22"/>
          <w:szCs w:val="22"/>
          <w:lang w:val="en-GB" w:eastAsia="de-DE"/>
        </w:rPr>
        <w:t>OFEV was -3.53 (95% CI: -6.14, -0.92).</w:t>
      </w:r>
      <w:r>
        <w:rPr>
          <w:rFonts w:ascii="Arial" w:hAnsi="Arial"/>
          <w:sz w:val="22"/>
          <w:szCs w:val="22"/>
          <w:lang w:val="en-GB" w:eastAsia="de-DE"/>
        </w:rPr>
        <w:t xml:space="preserve"> </w:t>
      </w:r>
      <w:r w:rsidRPr="002E78FD">
        <w:rPr>
          <w:rFonts w:ascii="Arial" w:hAnsi="Arial"/>
          <w:sz w:val="22"/>
          <w:szCs w:val="22"/>
          <w:lang w:val="en-GB" w:eastAsia="de-DE"/>
        </w:rPr>
        <w:t>The adjusted mean absolute change from baseline in L-PF Symptoms cough domain score at week 52</w:t>
      </w:r>
      <w:r>
        <w:rPr>
          <w:rFonts w:ascii="Arial" w:hAnsi="Arial"/>
          <w:sz w:val="22"/>
          <w:szCs w:val="22"/>
          <w:lang w:val="en-GB" w:eastAsia="de-DE"/>
        </w:rPr>
        <w:t xml:space="preserve"> </w:t>
      </w:r>
      <w:r w:rsidRPr="002E78FD">
        <w:rPr>
          <w:rFonts w:ascii="Arial" w:hAnsi="Arial"/>
          <w:sz w:val="22"/>
          <w:szCs w:val="22"/>
          <w:lang w:val="en-GB" w:eastAsia="de-DE"/>
        </w:rPr>
        <w:t>was -1.84 in the OFEV group compared with 4.25 in the placebo group. The adjusted mean difference</w:t>
      </w:r>
      <w:r>
        <w:rPr>
          <w:rFonts w:ascii="Arial" w:hAnsi="Arial"/>
          <w:sz w:val="22"/>
          <w:szCs w:val="22"/>
          <w:lang w:val="en-GB" w:eastAsia="de-DE"/>
        </w:rPr>
        <w:t xml:space="preserve"> </w:t>
      </w:r>
      <w:r w:rsidRPr="002E78FD">
        <w:rPr>
          <w:rFonts w:ascii="Arial" w:hAnsi="Arial"/>
          <w:sz w:val="22"/>
          <w:szCs w:val="22"/>
          <w:lang w:val="en-GB" w:eastAsia="de-DE"/>
        </w:rPr>
        <w:t xml:space="preserve">between the groups in favour of </w:t>
      </w:r>
      <w:r>
        <w:rPr>
          <w:rFonts w:ascii="Arial" w:hAnsi="Arial"/>
          <w:sz w:val="22"/>
          <w:szCs w:val="22"/>
          <w:lang w:val="en-GB" w:eastAsia="de-DE"/>
        </w:rPr>
        <w:t xml:space="preserve">OFEV </w:t>
      </w:r>
      <w:r w:rsidRPr="002E78FD">
        <w:rPr>
          <w:rFonts w:ascii="Arial" w:hAnsi="Arial"/>
          <w:sz w:val="22"/>
          <w:szCs w:val="22"/>
          <w:lang w:val="en-GB" w:eastAsia="de-DE"/>
        </w:rPr>
        <w:t>was -6.09 (95% CI: -9.65, -2.53).</w:t>
      </w:r>
    </w:p>
    <w:p w14:paraId="29C188B7" w14:textId="73766224" w:rsidR="003A78E7" w:rsidRDefault="003A78E7" w:rsidP="00F2666C">
      <w:pPr>
        <w:pStyle w:val="PIHeading3"/>
        <w:keepNext/>
        <w:keepLines/>
        <w:rPr>
          <w:b/>
          <w:bCs/>
          <w:u w:val="none"/>
          <w:lang w:val="en-US" w:eastAsia="de-DE"/>
        </w:rPr>
      </w:pPr>
      <w:proofErr w:type="spellStart"/>
      <w:r>
        <w:rPr>
          <w:b/>
          <w:bCs/>
          <w:u w:val="none"/>
          <w:lang w:val="en-US" w:eastAsia="de-DE"/>
        </w:rPr>
        <w:t>SSc</w:t>
      </w:r>
      <w:proofErr w:type="spellEnd"/>
      <w:r>
        <w:rPr>
          <w:b/>
          <w:bCs/>
          <w:u w:val="none"/>
          <w:lang w:val="en-US" w:eastAsia="de-DE"/>
        </w:rPr>
        <w:t>-ILD</w:t>
      </w:r>
    </w:p>
    <w:p w14:paraId="00A6B0CC" w14:textId="77777777" w:rsidR="003A78E7" w:rsidRPr="009A4388" w:rsidRDefault="003A78E7" w:rsidP="00C65B19">
      <w:pPr>
        <w:autoSpaceDE w:val="0"/>
        <w:autoSpaceDN w:val="0"/>
        <w:adjustRightInd w:val="0"/>
        <w:spacing w:after="180"/>
        <w:jc w:val="both"/>
        <w:rPr>
          <w:rFonts w:ascii="Arial" w:hAnsi="Arial"/>
          <w:sz w:val="22"/>
          <w:szCs w:val="22"/>
          <w:lang w:val="en-GB" w:eastAsia="en-GB"/>
        </w:rPr>
      </w:pPr>
      <w:r w:rsidRPr="009A4388">
        <w:rPr>
          <w:rFonts w:ascii="Arial" w:hAnsi="Arial"/>
          <w:sz w:val="22"/>
          <w:szCs w:val="22"/>
          <w:lang w:val="en-GB" w:eastAsia="en-GB"/>
        </w:rPr>
        <w:t xml:space="preserve">The clinical efficacy of </w:t>
      </w:r>
      <w:r>
        <w:rPr>
          <w:rFonts w:ascii="Arial" w:hAnsi="Arial"/>
          <w:sz w:val="22"/>
          <w:szCs w:val="22"/>
          <w:lang w:val="en-GB" w:eastAsia="en-GB"/>
        </w:rPr>
        <w:t>OFEV</w:t>
      </w:r>
      <w:r w:rsidRPr="009A4388">
        <w:rPr>
          <w:rFonts w:ascii="Arial" w:hAnsi="Arial"/>
          <w:sz w:val="22"/>
          <w:szCs w:val="22"/>
          <w:lang w:val="en-GB" w:eastAsia="en-GB"/>
        </w:rPr>
        <w:t xml:space="preserve"> has been studied in patients with </w:t>
      </w:r>
      <w:proofErr w:type="spellStart"/>
      <w:r w:rsidRPr="009A4388">
        <w:rPr>
          <w:rFonts w:ascii="Arial" w:hAnsi="Arial"/>
          <w:sz w:val="22"/>
          <w:szCs w:val="22"/>
          <w:lang w:val="en-GB" w:eastAsia="en-GB"/>
        </w:rPr>
        <w:t>SSc</w:t>
      </w:r>
      <w:proofErr w:type="spellEnd"/>
      <w:r w:rsidRPr="009A4388">
        <w:rPr>
          <w:rFonts w:ascii="Arial" w:hAnsi="Arial"/>
          <w:sz w:val="22"/>
          <w:szCs w:val="22"/>
          <w:lang w:val="en-GB" w:eastAsia="en-GB"/>
        </w:rPr>
        <w:t xml:space="preserve">-ILD in a double-blind, randomised, placebo-controlled phase III trial (SENSCIS). Patients were diagnosed with </w:t>
      </w:r>
      <w:proofErr w:type="spellStart"/>
      <w:r w:rsidRPr="009A4388">
        <w:rPr>
          <w:rFonts w:ascii="Arial" w:hAnsi="Arial"/>
          <w:sz w:val="22"/>
          <w:szCs w:val="22"/>
          <w:lang w:val="en-GB" w:eastAsia="en-GB"/>
        </w:rPr>
        <w:t>SSc</w:t>
      </w:r>
      <w:proofErr w:type="spellEnd"/>
      <w:r w:rsidRPr="009A4388">
        <w:rPr>
          <w:rFonts w:ascii="Arial" w:hAnsi="Arial"/>
          <w:sz w:val="22"/>
          <w:szCs w:val="22"/>
          <w:lang w:val="en-GB" w:eastAsia="en-GB"/>
        </w:rPr>
        <w:t xml:space="preserve">-ILD based upon the 2013 American College of Rheumatology / European League Against Rheumatism classification criteria for </w:t>
      </w:r>
      <w:proofErr w:type="spellStart"/>
      <w:r w:rsidRPr="009A4388">
        <w:rPr>
          <w:rFonts w:ascii="Arial" w:hAnsi="Arial"/>
          <w:sz w:val="22"/>
          <w:szCs w:val="22"/>
          <w:lang w:val="en-GB" w:eastAsia="en-GB"/>
        </w:rPr>
        <w:t>SSc</w:t>
      </w:r>
      <w:proofErr w:type="spellEnd"/>
      <w:r w:rsidRPr="009A4388">
        <w:rPr>
          <w:rFonts w:ascii="Arial" w:hAnsi="Arial"/>
          <w:sz w:val="22"/>
          <w:szCs w:val="22"/>
          <w:lang w:val="en-GB" w:eastAsia="en-GB"/>
        </w:rPr>
        <w:t xml:space="preserve"> and a chest high resolution computed tomography (HRCT) scan conducted within the previous 12 months. A total of 580 patients were randomised in a 1:1 ratio to receive either </w:t>
      </w:r>
      <w:r>
        <w:rPr>
          <w:rFonts w:ascii="Arial" w:hAnsi="Arial"/>
          <w:sz w:val="22"/>
          <w:szCs w:val="22"/>
          <w:lang w:val="en-GB" w:eastAsia="en-GB"/>
        </w:rPr>
        <w:t>OFEV</w:t>
      </w:r>
      <w:r w:rsidRPr="009A4388">
        <w:rPr>
          <w:rFonts w:ascii="Arial" w:hAnsi="Arial"/>
          <w:sz w:val="22"/>
          <w:szCs w:val="22"/>
          <w:lang w:val="en-GB" w:eastAsia="en-GB"/>
        </w:rPr>
        <w:t xml:space="preserve"> 150 mg bid or matching placebo for at least 52 weeks, of which 576 patients were treated. Randomisation was stratified by </w:t>
      </w:r>
      <w:proofErr w:type="spellStart"/>
      <w:r w:rsidRPr="009A4388">
        <w:rPr>
          <w:rFonts w:ascii="Arial" w:hAnsi="Arial"/>
          <w:sz w:val="22"/>
          <w:szCs w:val="22"/>
          <w:lang w:val="en-GB" w:eastAsia="en-GB"/>
        </w:rPr>
        <w:t>Antitopoisomerase</w:t>
      </w:r>
      <w:proofErr w:type="spellEnd"/>
      <w:r w:rsidRPr="009A4388">
        <w:rPr>
          <w:rFonts w:ascii="Arial" w:hAnsi="Arial"/>
          <w:sz w:val="22"/>
          <w:szCs w:val="22"/>
          <w:lang w:val="en-GB" w:eastAsia="en-GB"/>
        </w:rPr>
        <w:t xml:space="preserve"> Antibody status (ATA). Individual patients stayed on blinded trial treatment for up to 100 weeks (median </w:t>
      </w:r>
      <w:r>
        <w:rPr>
          <w:rFonts w:ascii="Arial" w:hAnsi="Arial"/>
          <w:sz w:val="22"/>
          <w:szCs w:val="22"/>
          <w:lang w:val="en-GB" w:eastAsia="en-GB"/>
        </w:rPr>
        <w:t>OFEV</w:t>
      </w:r>
      <w:r w:rsidRPr="009A4388">
        <w:rPr>
          <w:rFonts w:ascii="Arial" w:hAnsi="Arial"/>
          <w:sz w:val="22"/>
          <w:szCs w:val="22"/>
          <w:lang w:val="en-GB" w:eastAsia="en-GB"/>
        </w:rPr>
        <w:t xml:space="preserve"> exposure 15.4 months; mean </w:t>
      </w:r>
      <w:r>
        <w:rPr>
          <w:rFonts w:ascii="Arial" w:hAnsi="Arial"/>
          <w:sz w:val="22"/>
          <w:szCs w:val="22"/>
          <w:lang w:val="en-GB" w:eastAsia="en-GB"/>
        </w:rPr>
        <w:t>OFEV</w:t>
      </w:r>
      <w:r w:rsidRPr="009A4388">
        <w:rPr>
          <w:rFonts w:ascii="Arial" w:hAnsi="Arial"/>
          <w:sz w:val="22"/>
          <w:szCs w:val="22"/>
          <w:lang w:val="en-GB" w:eastAsia="en-GB"/>
        </w:rPr>
        <w:t xml:space="preserve"> exposure 14.5 months)</w:t>
      </w:r>
      <w:r>
        <w:rPr>
          <w:rFonts w:ascii="Arial" w:hAnsi="Arial"/>
          <w:sz w:val="22"/>
          <w:szCs w:val="22"/>
          <w:lang w:val="en-GB" w:eastAsia="en-GB"/>
        </w:rPr>
        <w:t>.</w:t>
      </w:r>
    </w:p>
    <w:p w14:paraId="47A79BA6" w14:textId="77777777" w:rsidR="003A78E7" w:rsidRPr="00EE31F9" w:rsidRDefault="003A78E7" w:rsidP="00C65B19">
      <w:pPr>
        <w:autoSpaceDE w:val="0"/>
        <w:autoSpaceDN w:val="0"/>
        <w:adjustRightInd w:val="0"/>
        <w:spacing w:after="180"/>
        <w:jc w:val="both"/>
        <w:rPr>
          <w:rFonts w:ascii="Arial" w:hAnsi="Arial"/>
          <w:sz w:val="22"/>
          <w:szCs w:val="22"/>
          <w:lang w:val="en-GB" w:eastAsia="en-GB"/>
        </w:rPr>
      </w:pPr>
      <w:r w:rsidRPr="009A4388">
        <w:rPr>
          <w:rFonts w:ascii="Arial" w:hAnsi="Arial"/>
          <w:sz w:val="22"/>
          <w:szCs w:val="22"/>
          <w:lang w:val="en-GB" w:eastAsia="en-GB"/>
        </w:rPr>
        <w:t>The primary endpoint was the annual rate of decline in Forced Vital Capacity (FVC) over 52 weeks.</w:t>
      </w:r>
      <w:r>
        <w:rPr>
          <w:rFonts w:ascii="Arial" w:hAnsi="Arial"/>
          <w:sz w:val="22"/>
          <w:szCs w:val="22"/>
          <w:lang w:val="en-GB" w:eastAsia="en-GB"/>
        </w:rPr>
        <w:t xml:space="preserve"> </w:t>
      </w:r>
      <w:r w:rsidRPr="00EE31F9">
        <w:rPr>
          <w:rFonts w:ascii="Arial" w:hAnsi="Arial"/>
          <w:sz w:val="22"/>
          <w:szCs w:val="22"/>
          <w:lang w:val="en-GB" w:eastAsia="en-GB"/>
        </w:rPr>
        <w:t xml:space="preserve">Key secondary endpoints were absolute change from baseline in the modified </w:t>
      </w:r>
      <w:proofErr w:type="spellStart"/>
      <w:r w:rsidRPr="00EE31F9">
        <w:rPr>
          <w:rFonts w:ascii="Arial" w:hAnsi="Arial"/>
          <w:sz w:val="22"/>
          <w:szCs w:val="22"/>
          <w:lang w:val="en-GB" w:eastAsia="en-GB"/>
        </w:rPr>
        <w:t>Rodnan</w:t>
      </w:r>
      <w:proofErr w:type="spellEnd"/>
      <w:r w:rsidRPr="00EE31F9">
        <w:rPr>
          <w:rFonts w:ascii="Arial" w:hAnsi="Arial"/>
          <w:sz w:val="22"/>
          <w:szCs w:val="22"/>
          <w:lang w:val="en-GB" w:eastAsia="en-GB"/>
        </w:rPr>
        <w:t xml:space="preserve"> Skin Score (</w:t>
      </w:r>
      <w:proofErr w:type="spellStart"/>
      <w:r w:rsidRPr="00EE31F9">
        <w:rPr>
          <w:rFonts w:ascii="Arial" w:hAnsi="Arial"/>
          <w:sz w:val="22"/>
          <w:szCs w:val="22"/>
          <w:lang w:val="en-GB" w:eastAsia="en-GB"/>
        </w:rPr>
        <w:t>mRSS</w:t>
      </w:r>
      <w:proofErr w:type="spellEnd"/>
      <w:r w:rsidRPr="00EE31F9">
        <w:rPr>
          <w:rFonts w:ascii="Arial" w:hAnsi="Arial"/>
          <w:sz w:val="22"/>
          <w:szCs w:val="22"/>
          <w:lang w:val="en-GB" w:eastAsia="en-GB"/>
        </w:rPr>
        <w:t>) at week 52 and absolute change from baseline in the Saint George’s Respiratory Questionnaire (SGRQ) total score at week 52.</w:t>
      </w:r>
    </w:p>
    <w:p w14:paraId="38409D02" w14:textId="77777777" w:rsidR="003A78E7" w:rsidRDefault="003A78E7" w:rsidP="00C65B19">
      <w:pPr>
        <w:autoSpaceDE w:val="0"/>
        <w:autoSpaceDN w:val="0"/>
        <w:adjustRightInd w:val="0"/>
        <w:spacing w:after="180"/>
        <w:jc w:val="both"/>
        <w:rPr>
          <w:rFonts w:ascii="Arial" w:hAnsi="Arial"/>
          <w:sz w:val="22"/>
          <w:szCs w:val="22"/>
          <w:lang w:val="en-GB" w:eastAsia="en-GB"/>
        </w:rPr>
      </w:pPr>
      <w:r w:rsidRPr="00EE31F9">
        <w:rPr>
          <w:rFonts w:ascii="Arial" w:hAnsi="Arial"/>
          <w:sz w:val="22"/>
          <w:szCs w:val="22"/>
          <w:lang w:val="en-GB" w:eastAsia="en-GB"/>
        </w:rPr>
        <w:t>In the overall population, 75.2% of the patients were female. The mean (standard deviation [SD, Min-Max]) age was 54.0 (12.2, 20-79) years. Overall, 51.9% of patients had diffuse cutaneous Systemic Sclerosis (</w:t>
      </w:r>
      <w:proofErr w:type="spellStart"/>
      <w:r w:rsidRPr="00EE31F9">
        <w:rPr>
          <w:rFonts w:ascii="Arial" w:hAnsi="Arial"/>
          <w:sz w:val="22"/>
          <w:szCs w:val="22"/>
          <w:lang w:val="en-GB" w:eastAsia="en-GB"/>
        </w:rPr>
        <w:t>SSc</w:t>
      </w:r>
      <w:proofErr w:type="spellEnd"/>
      <w:r w:rsidRPr="00EE31F9">
        <w:rPr>
          <w:rFonts w:ascii="Arial" w:hAnsi="Arial"/>
          <w:sz w:val="22"/>
          <w:szCs w:val="22"/>
          <w:lang w:val="en-GB" w:eastAsia="en-GB"/>
        </w:rPr>
        <w:t xml:space="preserve">) and 48.1% had limited cutaneous </w:t>
      </w:r>
      <w:proofErr w:type="spellStart"/>
      <w:r w:rsidRPr="00EE31F9">
        <w:rPr>
          <w:rFonts w:ascii="Arial" w:hAnsi="Arial"/>
          <w:sz w:val="22"/>
          <w:szCs w:val="22"/>
          <w:lang w:val="en-GB" w:eastAsia="en-GB"/>
        </w:rPr>
        <w:t>SSc</w:t>
      </w:r>
      <w:proofErr w:type="spellEnd"/>
      <w:r w:rsidRPr="00EE31F9">
        <w:rPr>
          <w:rFonts w:ascii="Arial" w:hAnsi="Arial"/>
          <w:sz w:val="22"/>
          <w:szCs w:val="22"/>
          <w:lang w:val="en-GB" w:eastAsia="en-GB"/>
        </w:rPr>
        <w:t>. The mean (SD) time since first onset of a non-Raynaud symptom was 3.49 (1.7) years. 49.0% of patients were on stable therapy with mycophenolate at baseline. The safety profile in patients with or without mycophenolate at baseline was comparable.</w:t>
      </w:r>
    </w:p>
    <w:p w14:paraId="6168BF6B" w14:textId="77777777" w:rsidR="003A78E7" w:rsidRPr="00EE31F9" w:rsidRDefault="003A78E7" w:rsidP="003A78E7">
      <w:pPr>
        <w:autoSpaceDE w:val="0"/>
        <w:autoSpaceDN w:val="0"/>
        <w:adjustRightInd w:val="0"/>
        <w:jc w:val="both"/>
        <w:rPr>
          <w:rFonts w:ascii="Arial" w:hAnsi="Arial"/>
          <w:sz w:val="22"/>
          <w:szCs w:val="22"/>
          <w:u w:val="single"/>
          <w:lang w:val="en-GB" w:eastAsia="en-GB"/>
        </w:rPr>
      </w:pPr>
      <w:r w:rsidRPr="00EE31F9">
        <w:rPr>
          <w:rFonts w:ascii="Arial" w:hAnsi="Arial"/>
          <w:sz w:val="22"/>
          <w:szCs w:val="22"/>
          <w:u w:val="single"/>
          <w:lang w:val="en-GB" w:eastAsia="en-GB"/>
        </w:rPr>
        <w:t>Annual rate of decline in FVC</w:t>
      </w:r>
    </w:p>
    <w:p w14:paraId="0A845DD7" w14:textId="606A4B19" w:rsidR="003A78E7" w:rsidRDefault="003A78E7" w:rsidP="003A78E7">
      <w:pPr>
        <w:autoSpaceDE w:val="0"/>
        <w:autoSpaceDN w:val="0"/>
        <w:adjustRightInd w:val="0"/>
        <w:jc w:val="both"/>
        <w:rPr>
          <w:rFonts w:ascii="Arial" w:hAnsi="Arial"/>
          <w:sz w:val="22"/>
          <w:szCs w:val="22"/>
          <w:lang w:val="en-GB" w:eastAsia="en-GB"/>
        </w:rPr>
      </w:pPr>
      <w:r w:rsidRPr="00EE31F9">
        <w:rPr>
          <w:rFonts w:ascii="Arial" w:hAnsi="Arial"/>
          <w:sz w:val="22"/>
          <w:szCs w:val="22"/>
          <w:lang w:val="en-GB" w:eastAsia="en-GB"/>
        </w:rPr>
        <w:t xml:space="preserve">The annual rate of decline of FVC (in mL) over 52 weeks was significantly reduced by 41.0 mL in patients receiving </w:t>
      </w:r>
      <w:r>
        <w:rPr>
          <w:rFonts w:ascii="Arial" w:hAnsi="Arial"/>
          <w:sz w:val="22"/>
          <w:szCs w:val="22"/>
          <w:lang w:val="en-GB" w:eastAsia="en-GB"/>
        </w:rPr>
        <w:t>OFEV</w:t>
      </w:r>
      <w:r w:rsidRPr="00EE31F9">
        <w:rPr>
          <w:rFonts w:ascii="Arial" w:hAnsi="Arial"/>
          <w:sz w:val="22"/>
          <w:szCs w:val="22"/>
          <w:lang w:val="en-GB" w:eastAsia="en-GB"/>
        </w:rPr>
        <w:t xml:space="preserve"> compared to patients receiving placebo (Table </w:t>
      </w:r>
      <w:r w:rsidR="005524C3">
        <w:rPr>
          <w:rFonts w:ascii="Arial" w:hAnsi="Arial"/>
          <w:sz w:val="22"/>
          <w:szCs w:val="22"/>
          <w:lang w:val="en-GB" w:eastAsia="en-GB"/>
        </w:rPr>
        <w:t>17</w:t>
      </w:r>
      <w:r w:rsidRPr="00EE31F9">
        <w:rPr>
          <w:rFonts w:ascii="Arial" w:hAnsi="Arial"/>
          <w:sz w:val="22"/>
          <w:szCs w:val="22"/>
          <w:lang w:val="en-GB" w:eastAsia="en-GB"/>
        </w:rPr>
        <w:t>) corresponding to a relative treatment effect of 43.8%.</w:t>
      </w:r>
    </w:p>
    <w:p w14:paraId="0481D792" w14:textId="68CFF8BD" w:rsidR="003A78E7" w:rsidRDefault="003A78E7" w:rsidP="005524C3">
      <w:pPr>
        <w:pStyle w:val="TextPI"/>
        <w:keepNext/>
        <w:keepLines/>
        <w:tabs>
          <w:tab w:val="left" w:pos="1134"/>
        </w:tabs>
        <w:ind w:left="1123" w:hanging="1123"/>
        <w:rPr>
          <w:b/>
          <w:sz w:val="20"/>
          <w:szCs w:val="20"/>
          <w:lang w:val="en-GB"/>
        </w:rPr>
      </w:pPr>
      <w:r w:rsidRPr="000E6ED5">
        <w:rPr>
          <w:b/>
          <w:sz w:val="20"/>
          <w:szCs w:val="20"/>
          <w:lang w:val="en-GB"/>
        </w:rPr>
        <w:lastRenderedPageBreak/>
        <w:t xml:space="preserve">Table </w:t>
      </w:r>
      <w:r w:rsidR="005524C3">
        <w:rPr>
          <w:b/>
          <w:sz w:val="20"/>
          <w:szCs w:val="20"/>
          <w:lang w:val="en-GB"/>
        </w:rPr>
        <w:t>17</w:t>
      </w:r>
      <w:r w:rsidRPr="000E6ED5">
        <w:rPr>
          <w:b/>
          <w:sz w:val="20"/>
          <w:szCs w:val="20"/>
          <w:lang w:val="en-GB"/>
        </w:rPr>
        <w:t xml:space="preserve">: </w:t>
      </w:r>
      <w:r>
        <w:rPr>
          <w:b/>
          <w:sz w:val="20"/>
          <w:szCs w:val="20"/>
          <w:lang w:val="en-GB"/>
        </w:rPr>
        <w:tab/>
      </w:r>
      <w:r w:rsidRPr="000E6ED5">
        <w:rPr>
          <w:b/>
          <w:sz w:val="20"/>
          <w:szCs w:val="20"/>
          <w:lang w:val="en-GB"/>
        </w:rPr>
        <w:t>Annual rate of decline in FVC (mL) over 52 weeks</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8"/>
        <w:gridCol w:w="3099"/>
      </w:tblGrid>
      <w:tr w:rsidR="003A78E7" w:rsidRPr="000E6ED5" w14:paraId="73049092" w14:textId="77777777" w:rsidTr="00882437">
        <w:trPr>
          <w:tblHeader/>
          <w:jc w:val="center"/>
        </w:trPr>
        <w:tc>
          <w:tcPr>
            <w:tcW w:w="3098" w:type="dxa"/>
            <w:tcBorders>
              <w:top w:val="single" w:sz="4" w:space="0" w:color="auto"/>
              <w:left w:val="single" w:sz="4" w:space="0" w:color="auto"/>
              <w:bottom w:val="single" w:sz="4" w:space="0" w:color="auto"/>
              <w:right w:val="single" w:sz="4" w:space="0" w:color="auto"/>
            </w:tcBorders>
            <w:shd w:val="clear" w:color="auto" w:fill="auto"/>
          </w:tcPr>
          <w:p w14:paraId="0437A973" w14:textId="77777777" w:rsidR="003A78E7" w:rsidRPr="000E6ED5" w:rsidRDefault="003A78E7" w:rsidP="00A30D45">
            <w:pPr>
              <w:rPr>
                <w:rFonts w:ascii="Arial" w:hAnsi="Arial" w:cs="Arial"/>
                <w:sz w:val="20"/>
              </w:rPr>
            </w:pPr>
          </w:p>
        </w:tc>
        <w:tc>
          <w:tcPr>
            <w:tcW w:w="3098" w:type="dxa"/>
            <w:tcBorders>
              <w:top w:val="single" w:sz="4" w:space="0" w:color="auto"/>
              <w:left w:val="single" w:sz="4" w:space="0" w:color="auto"/>
              <w:bottom w:val="single" w:sz="4" w:space="0" w:color="auto"/>
              <w:right w:val="single" w:sz="4" w:space="0" w:color="auto"/>
            </w:tcBorders>
            <w:shd w:val="clear" w:color="auto" w:fill="auto"/>
          </w:tcPr>
          <w:p w14:paraId="666C5719" w14:textId="77777777" w:rsidR="003A78E7" w:rsidRPr="000E6ED5" w:rsidRDefault="003A78E7" w:rsidP="00A30D45">
            <w:pPr>
              <w:keepNext/>
              <w:keepLines/>
              <w:tabs>
                <w:tab w:val="left" w:pos="144"/>
              </w:tabs>
              <w:spacing w:before="20" w:after="20"/>
              <w:jc w:val="center"/>
              <w:rPr>
                <w:rFonts w:ascii="Arial" w:hAnsi="Arial" w:cs="Arial"/>
                <w:sz w:val="20"/>
              </w:rPr>
            </w:pPr>
            <w:r w:rsidRPr="000E6ED5">
              <w:rPr>
                <w:rFonts w:ascii="Arial" w:hAnsi="Arial" w:cs="Arial"/>
                <w:sz w:val="20"/>
              </w:rPr>
              <w:t>Placebo</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65564E5E" w14:textId="77777777" w:rsidR="003A78E7" w:rsidRPr="000E6ED5" w:rsidRDefault="003A78E7" w:rsidP="00A30D45">
            <w:pPr>
              <w:keepNext/>
              <w:keepLines/>
              <w:tabs>
                <w:tab w:val="left" w:pos="144"/>
              </w:tabs>
              <w:spacing w:before="20" w:after="20"/>
              <w:jc w:val="center"/>
              <w:rPr>
                <w:rFonts w:ascii="Arial" w:hAnsi="Arial" w:cs="Arial"/>
                <w:bCs/>
                <w:iCs/>
                <w:sz w:val="20"/>
              </w:rPr>
            </w:pPr>
            <w:r>
              <w:rPr>
                <w:rFonts w:ascii="Arial" w:hAnsi="Arial" w:cs="Arial"/>
                <w:bCs/>
                <w:iCs/>
                <w:sz w:val="20"/>
              </w:rPr>
              <w:t>OFEV</w:t>
            </w:r>
          </w:p>
          <w:p w14:paraId="3B0968C1" w14:textId="77777777" w:rsidR="003A78E7" w:rsidRPr="000E6ED5" w:rsidRDefault="003A78E7" w:rsidP="00A30D45">
            <w:pPr>
              <w:keepNext/>
              <w:keepLines/>
              <w:tabs>
                <w:tab w:val="left" w:pos="144"/>
              </w:tabs>
              <w:spacing w:before="20" w:after="20"/>
              <w:jc w:val="center"/>
              <w:rPr>
                <w:rFonts w:ascii="Arial" w:hAnsi="Arial" w:cs="Arial"/>
                <w:b/>
                <w:iCs/>
                <w:sz w:val="20"/>
              </w:rPr>
            </w:pPr>
            <w:r w:rsidRPr="000E6ED5">
              <w:rPr>
                <w:rFonts w:ascii="Arial" w:hAnsi="Arial" w:cs="Arial"/>
                <w:iCs/>
                <w:sz w:val="20"/>
              </w:rPr>
              <w:t>150</w:t>
            </w:r>
            <w:r w:rsidRPr="000E6ED5">
              <w:rPr>
                <w:rFonts w:ascii="Arial" w:hAnsi="Arial" w:cs="Arial"/>
                <w:sz w:val="20"/>
              </w:rPr>
              <w:t xml:space="preserve"> mg twice daily</w:t>
            </w:r>
          </w:p>
        </w:tc>
      </w:tr>
      <w:tr w:rsidR="003A78E7" w:rsidRPr="000E6ED5" w14:paraId="09F205D4" w14:textId="77777777" w:rsidTr="00882437">
        <w:trPr>
          <w:jc w:val="center"/>
        </w:trPr>
        <w:tc>
          <w:tcPr>
            <w:tcW w:w="3098" w:type="dxa"/>
            <w:tcBorders>
              <w:top w:val="single" w:sz="4" w:space="0" w:color="auto"/>
              <w:left w:val="single" w:sz="4" w:space="0" w:color="auto"/>
              <w:bottom w:val="nil"/>
              <w:right w:val="single" w:sz="4" w:space="0" w:color="auto"/>
            </w:tcBorders>
            <w:shd w:val="clear" w:color="auto" w:fill="auto"/>
          </w:tcPr>
          <w:p w14:paraId="112B36CA" w14:textId="77777777" w:rsidR="003A78E7" w:rsidRPr="000E6ED5" w:rsidRDefault="003A78E7" w:rsidP="00A30D45">
            <w:pPr>
              <w:pStyle w:val="CS-TextinTable10pt"/>
              <w:spacing w:before="20" w:after="20"/>
              <w:rPr>
                <w:rFonts w:ascii="Arial" w:hAnsi="Arial" w:cs="Arial"/>
              </w:rPr>
            </w:pPr>
            <w:r w:rsidRPr="000E6ED5">
              <w:rPr>
                <w:rFonts w:ascii="Arial" w:hAnsi="Arial" w:cs="Arial"/>
              </w:rPr>
              <w:t>Number of analysed patients</w:t>
            </w:r>
          </w:p>
          <w:p w14:paraId="41E19FB3" w14:textId="77777777" w:rsidR="003A78E7" w:rsidRPr="000E6ED5" w:rsidRDefault="003A78E7" w:rsidP="00A30D45">
            <w:pPr>
              <w:pStyle w:val="CS-TextinTable10pt"/>
              <w:spacing w:before="20" w:after="20"/>
              <w:rPr>
                <w:rFonts w:ascii="Arial" w:hAnsi="Arial" w:cs="Arial"/>
              </w:rPr>
            </w:pPr>
          </w:p>
        </w:tc>
        <w:tc>
          <w:tcPr>
            <w:tcW w:w="3098" w:type="dxa"/>
            <w:tcBorders>
              <w:top w:val="single" w:sz="4" w:space="0" w:color="auto"/>
              <w:left w:val="single" w:sz="4" w:space="0" w:color="auto"/>
              <w:bottom w:val="nil"/>
              <w:right w:val="single" w:sz="4" w:space="0" w:color="auto"/>
            </w:tcBorders>
            <w:shd w:val="clear" w:color="auto" w:fill="auto"/>
          </w:tcPr>
          <w:p w14:paraId="07B87856" w14:textId="77777777" w:rsidR="003A78E7" w:rsidRPr="000E6ED5" w:rsidRDefault="003A78E7" w:rsidP="00A30D45">
            <w:pPr>
              <w:keepNext/>
              <w:keepLines/>
              <w:tabs>
                <w:tab w:val="left" w:pos="144"/>
              </w:tabs>
              <w:spacing w:before="20" w:after="20"/>
              <w:jc w:val="center"/>
              <w:rPr>
                <w:rFonts w:ascii="Arial" w:hAnsi="Arial" w:cs="Arial"/>
                <w:sz w:val="20"/>
              </w:rPr>
            </w:pPr>
            <w:r w:rsidRPr="000E6ED5">
              <w:rPr>
                <w:rFonts w:ascii="Arial" w:hAnsi="Arial" w:cs="Arial"/>
                <w:sz w:val="20"/>
              </w:rPr>
              <w:t>288</w:t>
            </w:r>
          </w:p>
        </w:tc>
        <w:tc>
          <w:tcPr>
            <w:tcW w:w="3099" w:type="dxa"/>
            <w:tcBorders>
              <w:top w:val="single" w:sz="4" w:space="0" w:color="auto"/>
              <w:left w:val="single" w:sz="4" w:space="0" w:color="auto"/>
              <w:bottom w:val="nil"/>
              <w:right w:val="single" w:sz="4" w:space="0" w:color="auto"/>
            </w:tcBorders>
            <w:shd w:val="clear" w:color="auto" w:fill="auto"/>
          </w:tcPr>
          <w:p w14:paraId="4AED3AB5" w14:textId="77777777" w:rsidR="003A78E7" w:rsidRPr="000E6ED5" w:rsidRDefault="003A78E7" w:rsidP="00A30D45">
            <w:pPr>
              <w:keepNext/>
              <w:keepLines/>
              <w:tabs>
                <w:tab w:val="left" w:pos="144"/>
              </w:tabs>
              <w:spacing w:before="20" w:after="20"/>
              <w:jc w:val="center"/>
              <w:rPr>
                <w:rFonts w:ascii="Arial" w:hAnsi="Arial" w:cs="Arial"/>
                <w:sz w:val="20"/>
              </w:rPr>
            </w:pPr>
            <w:r w:rsidRPr="000E6ED5">
              <w:rPr>
                <w:rFonts w:ascii="Arial" w:hAnsi="Arial" w:cs="Arial"/>
                <w:sz w:val="20"/>
              </w:rPr>
              <w:t>287</w:t>
            </w:r>
          </w:p>
        </w:tc>
      </w:tr>
      <w:tr w:rsidR="003A78E7" w:rsidRPr="000E6ED5" w14:paraId="058230EE"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24D641DA" w14:textId="77777777" w:rsidR="003A78E7" w:rsidRPr="000E6ED5" w:rsidRDefault="003A78E7" w:rsidP="00A30D45">
            <w:pPr>
              <w:pStyle w:val="CS-TextinTable10pt"/>
              <w:spacing w:before="20" w:after="20"/>
              <w:rPr>
                <w:rFonts w:ascii="Arial" w:hAnsi="Arial" w:cs="Arial"/>
              </w:rPr>
            </w:pPr>
            <w:r w:rsidRPr="000E6ED5">
              <w:rPr>
                <w:rFonts w:ascii="Arial" w:hAnsi="Arial" w:cs="Arial"/>
              </w:rPr>
              <w:t>Rate</w:t>
            </w:r>
            <w:r w:rsidRPr="000E6ED5">
              <w:rPr>
                <w:rFonts w:ascii="Arial" w:hAnsi="Arial" w:cs="Arial"/>
                <w:vertAlign w:val="superscript"/>
              </w:rPr>
              <w:t>1</w:t>
            </w:r>
            <w:r w:rsidRPr="000E6ED5">
              <w:rPr>
                <w:rFonts w:ascii="Arial" w:hAnsi="Arial" w:cs="Arial"/>
              </w:rPr>
              <w:t xml:space="preserve"> (SE) of decline over 52 weeks</w:t>
            </w:r>
          </w:p>
          <w:p w14:paraId="4AA905A3" w14:textId="77777777" w:rsidR="003A78E7" w:rsidRPr="000E6ED5" w:rsidRDefault="003A78E7" w:rsidP="00A30D45">
            <w:pPr>
              <w:pStyle w:val="CS-TextinTable10pt"/>
              <w:spacing w:before="20" w:after="20"/>
              <w:rPr>
                <w:rFonts w:ascii="Arial" w:hAnsi="Arial" w:cs="Arial"/>
              </w:rPr>
            </w:pPr>
          </w:p>
        </w:tc>
        <w:tc>
          <w:tcPr>
            <w:tcW w:w="3098" w:type="dxa"/>
            <w:tcBorders>
              <w:top w:val="nil"/>
              <w:left w:val="single" w:sz="4" w:space="0" w:color="auto"/>
              <w:bottom w:val="nil"/>
              <w:right w:val="single" w:sz="4" w:space="0" w:color="auto"/>
            </w:tcBorders>
            <w:shd w:val="clear" w:color="auto" w:fill="auto"/>
          </w:tcPr>
          <w:p w14:paraId="514A15F5" w14:textId="77777777" w:rsidR="003A78E7" w:rsidRPr="000E6ED5" w:rsidRDefault="003A78E7" w:rsidP="00A30D45">
            <w:pPr>
              <w:pStyle w:val="CS-TextinTable10pt"/>
              <w:spacing w:before="20" w:after="20"/>
              <w:jc w:val="center"/>
              <w:rPr>
                <w:rFonts w:ascii="Arial" w:hAnsi="Arial" w:cs="Arial"/>
              </w:rPr>
            </w:pPr>
            <w:r w:rsidRPr="000E6ED5">
              <w:rPr>
                <w:rFonts w:ascii="Arial" w:hAnsi="Arial" w:cs="Arial"/>
              </w:rPr>
              <w:t>-93.3 (13.5)</w:t>
            </w:r>
          </w:p>
        </w:tc>
        <w:tc>
          <w:tcPr>
            <w:tcW w:w="3099" w:type="dxa"/>
            <w:tcBorders>
              <w:top w:val="nil"/>
              <w:left w:val="single" w:sz="4" w:space="0" w:color="auto"/>
              <w:bottom w:val="nil"/>
              <w:right w:val="single" w:sz="4" w:space="0" w:color="auto"/>
            </w:tcBorders>
            <w:shd w:val="clear" w:color="auto" w:fill="auto"/>
          </w:tcPr>
          <w:p w14:paraId="22392662" w14:textId="77777777" w:rsidR="003A78E7" w:rsidRPr="000E6ED5" w:rsidRDefault="003A78E7" w:rsidP="00A30D45">
            <w:pPr>
              <w:pStyle w:val="CS-TextinTable10pt"/>
              <w:spacing w:before="20" w:after="20"/>
              <w:jc w:val="center"/>
              <w:rPr>
                <w:rFonts w:ascii="Arial" w:hAnsi="Arial" w:cs="Arial"/>
              </w:rPr>
            </w:pPr>
            <w:r w:rsidRPr="000E6ED5">
              <w:rPr>
                <w:rFonts w:ascii="Arial" w:hAnsi="Arial" w:cs="Arial"/>
              </w:rPr>
              <w:t>-52.4 (13.8)</w:t>
            </w:r>
          </w:p>
        </w:tc>
      </w:tr>
      <w:tr w:rsidR="003A78E7" w:rsidRPr="000E6ED5" w14:paraId="6002D878"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6E9BDE32" w14:textId="77777777" w:rsidR="003A78E7" w:rsidRPr="000E6ED5" w:rsidRDefault="003A78E7" w:rsidP="00A30D45">
            <w:pPr>
              <w:pStyle w:val="CS-TextinTable10pt"/>
              <w:spacing w:before="20" w:after="20"/>
              <w:rPr>
                <w:rFonts w:ascii="Arial" w:hAnsi="Arial" w:cs="Arial"/>
              </w:rPr>
            </w:pPr>
            <w:r w:rsidRPr="000E6ED5">
              <w:rPr>
                <w:rFonts w:ascii="Arial" w:hAnsi="Arial" w:cs="Arial"/>
              </w:rPr>
              <w:t>Comparison vs placebo</w:t>
            </w:r>
          </w:p>
          <w:p w14:paraId="6CA805CB" w14:textId="77777777" w:rsidR="003A78E7" w:rsidRPr="000E6ED5" w:rsidRDefault="003A78E7" w:rsidP="00A30D45">
            <w:pPr>
              <w:pStyle w:val="CS-TextinTable10pt"/>
              <w:spacing w:before="20" w:after="20"/>
              <w:rPr>
                <w:rFonts w:ascii="Arial" w:hAnsi="Arial" w:cs="Arial"/>
              </w:rPr>
            </w:pPr>
          </w:p>
        </w:tc>
        <w:tc>
          <w:tcPr>
            <w:tcW w:w="3098" w:type="dxa"/>
            <w:tcBorders>
              <w:top w:val="nil"/>
              <w:left w:val="single" w:sz="4" w:space="0" w:color="auto"/>
              <w:bottom w:val="nil"/>
              <w:right w:val="single" w:sz="4" w:space="0" w:color="auto"/>
            </w:tcBorders>
            <w:shd w:val="clear" w:color="auto" w:fill="auto"/>
          </w:tcPr>
          <w:p w14:paraId="04F330AA" w14:textId="77777777" w:rsidR="003A78E7" w:rsidRPr="000E6ED5"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009E9D3D" w14:textId="77777777" w:rsidR="003A78E7" w:rsidRPr="000E6ED5" w:rsidRDefault="003A78E7" w:rsidP="00A30D45">
            <w:pPr>
              <w:keepNext/>
              <w:keepLines/>
              <w:tabs>
                <w:tab w:val="left" w:pos="144"/>
              </w:tabs>
              <w:spacing w:before="20" w:after="20"/>
              <w:jc w:val="center"/>
              <w:rPr>
                <w:rFonts w:ascii="Arial" w:hAnsi="Arial" w:cs="Arial"/>
                <w:sz w:val="20"/>
              </w:rPr>
            </w:pPr>
          </w:p>
        </w:tc>
      </w:tr>
      <w:tr w:rsidR="003A78E7" w:rsidRPr="000E6ED5" w14:paraId="6E88DED2"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68374CFB" w14:textId="77777777" w:rsidR="003A78E7" w:rsidRPr="000E6ED5" w:rsidRDefault="003A78E7" w:rsidP="00A30D45">
            <w:pPr>
              <w:pStyle w:val="CS-TextinTable10pt"/>
              <w:tabs>
                <w:tab w:val="clear" w:pos="144"/>
                <w:tab w:val="left" w:pos="78"/>
              </w:tabs>
              <w:spacing w:before="20" w:after="20"/>
              <w:rPr>
                <w:rFonts w:ascii="Arial" w:hAnsi="Arial" w:cs="Arial"/>
              </w:rPr>
            </w:pPr>
            <w:r w:rsidRPr="000E6ED5">
              <w:rPr>
                <w:rFonts w:ascii="Arial" w:hAnsi="Arial" w:cs="Arial"/>
              </w:rPr>
              <w:t>Difference</w:t>
            </w:r>
            <w:r w:rsidRPr="000E6ED5">
              <w:rPr>
                <w:rFonts w:ascii="Arial" w:hAnsi="Arial" w:cs="Arial"/>
                <w:vertAlign w:val="superscript"/>
              </w:rPr>
              <w:t>1</w:t>
            </w:r>
          </w:p>
        </w:tc>
        <w:tc>
          <w:tcPr>
            <w:tcW w:w="3098" w:type="dxa"/>
            <w:tcBorders>
              <w:top w:val="nil"/>
              <w:left w:val="single" w:sz="4" w:space="0" w:color="auto"/>
              <w:bottom w:val="nil"/>
              <w:right w:val="single" w:sz="4" w:space="0" w:color="auto"/>
            </w:tcBorders>
            <w:shd w:val="clear" w:color="auto" w:fill="auto"/>
          </w:tcPr>
          <w:p w14:paraId="2C91393D" w14:textId="77777777" w:rsidR="003A78E7" w:rsidRPr="000E6ED5"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5A4D9CE5" w14:textId="77777777" w:rsidR="003A78E7" w:rsidRPr="000E6ED5" w:rsidRDefault="003A78E7" w:rsidP="00A30D45">
            <w:pPr>
              <w:pStyle w:val="CS-TextinTable10pt"/>
              <w:spacing w:before="20" w:after="20"/>
              <w:jc w:val="center"/>
              <w:rPr>
                <w:rFonts w:ascii="Arial" w:hAnsi="Arial" w:cs="Arial"/>
              </w:rPr>
            </w:pPr>
            <w:r w:rsidRPr="000E6ED5">
              <w:rPr>
                <w:rFonts w:ascii="Arial" w:hAnsi="Arial" w:cs="Arial"/>
              </w:rPr>
              <w:t>41.0</w:t>
            </w:r>
          </w:p>
        </w:tc>
      </w:tr>
      <w:tr w:rsidR="003A78E7" w:rsidRPr="000E6ED5" w14:paraId="1F746663"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13D91222" w14:textId="77777777" w:rsidR="003A78E7" w:rsidRPr="000E6ED5" w:rsidRDefault="003A78E7" w:rsidP="00A30D45">
            <w:pPr>
              <w:pStyle w:val="CS-TextinTable10pt"/>
              <w:tabs>
                <w:tab w:val="clear" w:pos="144"/>
                <w:tab w:val="left" w:pos="314"/>
              </w:tabs>
              <w:spacing w:before="20" w:after="20"/>
              <w:rPr>
                <w:rFonts w:ascii="Arial" w:hAnsi="Arial" w:cs="Arial"/>
              </w:rPr>
            </w:pPr>
            <w:r w:rsidRPr="000E6ED5">
              <w:rPr>
                <w:rFonts w:ascii="Arial" w:eastAsia="PMingLiU" w:hAnsi="Arial" w:cs="Arial"/>
              </w:rPr>
              <w:tab/>
            </w:r>
            <w:r w:rsidRPr="000E6ED5">
              <w:rPr>
                <w:rFonts w:ascii="Arial" w:hAnsi="Arial" w:cs="Arial"/>
              </w:rPr>
              <w:t>95% CI</w:t>
            </w:r>
          </w:p>
        </w:tc>
        <w:tc>
          <w:tcPr>
            <w:tcW w:w="3098" w:type="dxa"/>
            <w:tcBorders>
              <w:top w:val="nil"/>
              <w:left w:val="single" w:sz="4" w:space="0" w:color="auto"/>
              <w:bottom w:val="nil"/>
              <w:right w:val="single" w:sz="4" w:space="0" w:color="auto"/>
            </w:tcBorders>
            <w:shd w:val="clear" w:color="auto" w:fill="auto"/>
          </w:tcPr>
          <w:p w14:paraId="09994EF0" w14:textId="77777777" w:rsidR="003A78E7" w:rsidRPr="000E6ED5"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59760396" w14:textId="77777777" w:rsidR="003A78E7" w:rsidRPr="000E6ED5" w:rsidRDefault="003A78E7" w:rsidP="00A30D45">
            <w:pPr>
              <w:pStyle w:val="CS-TextinTable10pt"/>
              <w:spacing w:before="20" w:after="20"/>
              <w:jc w:val="center"/>
              <w:rPr>
                <w:rFonts w:ascii="Arial" w:hAnsi="Arial" w:cs="Arial"/>
              </w:rPr>
            </w:pPr>
            <w:r w:rsidRPr="000E6ED5">
              <w:rPr>
                <w:rFonts w:ascii="Arial" w:hAnsi="Arial" w:cs="Arial"/>
              </w:rPr>
              <w:t>(2.9, 79.0)</w:t>
            </w:r>
          </w:p>
        </w:tc>
      </w:tr>
      <w:tr w:rsidR="003A78E7" w:rsidRPr="000E6ED5" w14:paraId="595E7EDF" w14:textId="77777777" w:rsidTr="00882437">
        <w:trPr>
          <w:jc w:val="center"/>
        </w:trPr>
        <w:tc>
          <w:tcPr>
            <w:tcW w:w="3098" w:type="dxa"/>
            <w:tcBorders>
              <w:top w:val="nil"/>
              <w:left w:val="single" w:sz="4" w:space="0" w:color="auto"/>
              <w:bottom w:val="single" w:sz="4" w:space="0" w:color="auto"/>
              <w:right w:val="single" w:sz="4" w:space="0" w:color="auto"/>
            </w:tcBorders>
            <w:shd w:val="clear" w:color="auto" w:fill="auto"/>
          </w:tcPr>
          <w:p w14:paraId="4F88B616" w14:textId="77777777" w:rsidR="003A78E7" w:rsidRPr="000E6ED5" w:rsidRDefault="003A78E7" w:rsidP="00A30D45">
            <w:pPr>
              <w:pStyle w:val="CS-TextinTable10pt"/>
              <w:tabs>
                <w:tab w:val="clear" w:pos="144"/>
                <w:tab w:val="left" w:pos="314"/>
              </w:tabs>
              <w:spacing w:before="20" w:after="20"/>
              <w:rPr>
                <w:rFonts w:ascii="Arial" w:hAnsi="Arial" w:cs="Arial"/>
              </w:rPr>
            </w:pPr>
            <w:r w:rsidRPr="000E6ED5">
              <w:rPr>
                <w:rFonts w:ascii="Arial" w:eastAsia="PMingLiU" w:hAnsi="Arial" w:cs="Arial"/>
              </w:rPr>
              <w:tab/>
            </w:r>
            <w:r w:rsidRPr="000E6ED5">
              <w:rPr>
                <w:rFonts w:ascii="Arial" w:hAnsi="Arial" w:cs="Arial"/>
              </w:rPr>
              <w:t>p-value</w:t>
            </w:r>
          </w:p>
          <w:p w14:paraId="4ABE46D4" w14:textId="77777777" w:rsidR="003A78E7" w:rsidRPr="000E6ED5" w:rsidRDefault="003A78E7" w:rsidP="00A30D45">
            <w:pPr>
              <w:pStyle w:val="CS-TextinTable10pt"/>
              <w:tabs>
                <w:tab w:val="clear" w:pos="144"/>
                <w:tab w:val="left" w:pos="314"/>
              </w:tabs>
              <w:spacing w:before="20" w:after="20"/>
              <w:rPr>
                <w:rFonts w:ascii="Arial" w:hAnsi="Arial" w:cs="Arial"/>
              </w:rPr>
            </w:pPr>
          </w:p>
        </w:tc>
        <w:tc>
          <w:tcPr>
            <w:tcW w:w="3098" w:type="dxa"/>
            <w:tcBorders>
              <w:top w:val="nil"/>
              <w:left w:val="single" w:sz="4" w:space="0" w:color="auto"/>
              <w:bottom w:val="single" w:sz="4" w:space="0" w:color="auto"/>
              <w:right w:val="single" w:sz="4" w:space="0" w:color="auto"/>
            </w:tcBorders>
            <w:shd w:val="clear" w:color="auto" w:fill="auto"/>
          </w:tcPr>
          <w:p w14:paraId="00B00EE2" w14:textId="77777777" w:rsidR="003A78E7" w:rsidRPr="000E6ED5"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single" w:sz="4" w:space="0" w:color="auto"/>
              <w:right w:val="single" w:sz="4" w:space="0" w:color="auto"/>
            </w:tcBorders>
            <w:shd w:val="clear" w:color="auto" w:fill="auto"/>
          </w:tcPr>
          <w:p w14:paraId="7D379BBC" w14:textId="77777777" w:rsidR="003A78E7" w:rsidRPr="000E6ED5" w:rsidRDefault="003A78E7" w:rsidP="00A30D45">
            <w:pPr>
              <w:pStyle w:val="CS-TextinTable10pt"/>
              <w:spacing w:before="20" w:after="20"/>
              <w:jc w:val="center"/>
              <w:rPr>
                <w:rFonts w:ascii="Arial" w:hAnsi="Arial" w:cs="Arial"/>
              </w:rPr>
            </w:pPr>
            <w:r w:rsidRPr="000E6ED5">
              <w:rPr>
                <w:rFonts w:ascii="Arial" w:hAnsi="Arial" w:cs="Arial"/>
              </w:rPr>
              <w:t>&lt;0.05</w:t>
            </w:r>
          </w:p>
        </w:tc>
      </w:tr>
      <w:tr w:rsidR="003A78E7" w:rsidRPr="000E6ED5" w14:paraId="4ACC4D8A" w14:textId="77777777" w:rsidTr="00882437">
        <w:trPr>
          <w:jc w:val="center"/>
        </w:trPr>
        <w:tc>
          <w:tcPr>
            <w:tcW w:w="9295" w:type="dxa"/>
            <w:gridSpan w:val="3"/>
            <w:tcBorders>
              <w:top w:val="single" w:sz="4" w:space="0" w:color="auto"/>
              <w:left w:val="single" w:sz="4" w:space="0" w:color="auto"/>
              <w:bottom w:val="single" w:sz="4" w:space="0" w:color="auto"/>
              <w:right w:val="single" w:sz="4" w:space="0" w:color="auto"/>
            </w:tcBorders>
            <w:shd w:val="clear" w:color="auto" w:fill="auto"/>
          </w:tcPr>
          <w:p w14:paraId="193614E5" w14:textId="77777777" w:rsidR="003A78E7" w:rsidRPr="00FA6C56" w:rsidRDefault="003A78E7" w:rsidP="00A30D45">
            <w:pPr>
              <w:rPr>
                <w:rFonts w:ascii="Arial" w:hAnsi="Arial" w:cs="Arial"/>
                <w:sz w:val="20"/>
              </w:rPr>
            </w:pPr>
            <w:r w:rsidRPr="00785D39">
              <w:rPr>
                <w:rFonts w:ascii="Arial" w:hAnsi="Arial" w:cs="Arial"/>
                <w:sz w:val="18"/>
                <w:szCs w:val="18"/>
                <w:vertAlign w:val="superscript"/>
              </w:rPr>
              <w:t>1</w:t>
            </w:r>
            <w:r w:rsidRPr="00785D39">
              <w:rPr>
                <w:rFonts w:ascii="Arial" w:hAnsi="Arial" w:cs="Arial"/>
                <w:sz w:val="18"/>
                <w:szCs w:val="18"/>
              </w:rPr>
              <w:t>Based on a random coefficient regression with fixed categorical effects of treatment, ATA status, gender, fixed continuous effects of time, baseline FVC [mL], age, height, and including treatment-by-time and baseline-by-time interactions. Random effect was included for patient specific intercept and time. Within-patient errors were modelled by an unstructured variance-covariance matrix. Inter-individual variability was modelled by a variance-components variance-covariance matrix</w:t>
            </w:r>
          </w:p>
        </w:tc>
      </w:tr>
    </w:tbl>
    <w:p w14:paraId="7055BD07" w14:textId="0D8651C4" w:rsidR="003A78E7" w:rsidRDefault="003A78E7" w:rsidP="00C65B19">
      <w:pPr>
        <w:autoSpaceDE w:val="0"/>
        <w:autoSpaceDN w:val="0"/>
        <w:adjustRightInd w:val="0"/>
        <w:spacing w:before="180" w:after="180"/>
        <w:jc w:val="both"/>
        <w:rPr>
          <w:rFonts w:ascii="Arial" w:hAnsi="Arial"/>
          <w:sz w:val="22"/>
          <w:szCs w:val="22"/>
          <w:lang w:val="en-GB" w:eastAsia="en-GB"/>
        </w:rPr>
      </w:pPr>
      <w:r w:rsidRPr="000E6ED5">
        <w:rPr>
          <w:rFonts w:ascii="Arial" w:hAnsi="Arial"/>
          <w:sz w:val="22"/>
          <w:szCs w:val="22"/>
          <w:lang w:val="en-GB" w:eastAsia="en-GB"/>
        </w:rPr>
        <w:t xml:space="preserve">The effect of </w:t>
      </w:r>
      <w:r>
        <w:rPr>
          <w:rFonts w:ascii="Arial" w:hAnsi="Arial"/>
          <w:sz w:val="22"/>
          <w:szCs w:val="22"/>
          <w:lang w:val="en-GB" w:eastAsia="en-GB"/>
        </w:rPr>
        <w:t>OFEV</w:t>
      </w:r>
      <w:r w:rsidRPr="000E6ED5">
        <w:rPr>
          <w:rFonts w:ascii="Arial" w:hAnsi="Arial"/>
          <w:sz w:val="22"/>
          <w:szCs w:val="22"/>
          <w:lang w:val="en-GB" w:eastAsia="en-GB"/>
        </w:rPr>
        <w:t xml:space="preserve"> in reducing the annual rate of decline in FVC was similar across pre-specified sensitivity analyses and no heterogeneity was detected in pre-specified subgroups (e.g. by age, gender, and mycophenolate use).</w:t>
      </w:r>
      <w:r w:rsidR="0014100D">
        <w:rPr>
          <w:rFonts w:ascii="Arial" w:hAnsi="Arial"/>
          <w:sz w:val="22"/>
          <w:szCs w:val="22"/>
          <w:lang w:val="en-GB" w:eastAsia="en-GB"/>
        </w:rPr>
        <w:t xml:space="preserve"> </w:t>
      </w:r>
      <w:r w:rsidR="0014100D" w:rsidRPr="0014100D">
        <w:rPr>
          <w:rFonts w:ascii="Arial" w:hAnsi="Arial"/>
          <w:sz w:val="22"/>
          <w:szCs w:val="22"/>
          <w:lang w:val="en-GB" w:eastAsia="en-GB"/>
        </w:rPr>
        <w:t xml:space="preserve">The exploratory subgroup analysis of the annual rate of decline in FVC by mycophenolate use at baseline is presented in Table </w:t>
      </w:r>
      <w:r w:rsidR="00414DA2">
        <w:rPr>
          <w:rFonts w:ascii="Arial" w:hAnsi="Arial"/>
          <w:sz w:val="22"/>
          <w:szCs w:val="22"/>
          <w:lang w:val="en-GB" w:eastAsia="en-GB"/>
        </w:rPr>
        <w:t>18</w:t>
      </w:r>
      <w:r w:rsidR="0014100D">
        <w:rPr>
          <w:rFonts w:ascii="Arial" w:hAnsi="Arial"/>
          <w:sz w:val="22"/>
          <w:szCs w:val="22"/>
          <w:lang w:val="en-GB" w:eastAsia="en-GB"/>
        </w:rPr>
        <w:t>.</w:t>
      </w:r>
    </w:p>
    <w:p w14:paraId="1D0DA2FF" w14:textId="74FB7D47" w:rsidR="0014100D" w:rsidRPr="0014100D" w:rsidRDefault="0014100D" w:rsidP="0014100D">
      <w:pPr>
        <w:pStyle w:val="TextPI"/>
        <w:tabs>
          <w:tab w:val="left" w:pos="1134"/>
        </w:tabs>
        <w:ind w:left="1122" w:hanging="1122"/>
        <w:rPr>
          <w:b/>
          <w:sz w:val="20"/>
          <w:szCs w:val="20"/>
          <w:lang w:val="en-GB"/>
        </w:rPr>
      </w:pPr>
      <w:r w:rsidRPr="0014100D">
        <w:rPr>
          <w:b/>
          <w:sz w:val="20"/>
          <w:szCs w:val="20"/>
          <w:lang w:val="en-GB"/>
        </w:rPr>
        <w:t xml:space="preserve">Table </w:t>
      </w:r>
      <w:r w:rsidR="00414DA2">
        <w:rPr>
          <w:b/>
          <w:sz w:val="20"/>
          <w:szCs w:val="20"/>
          <w:lang w:val="en-GB"/>
        </w:rPr>
        <w:t>18</w:t>
      </w:r>
      <w:r>
        <w:rPr>
          <w:b/>
          <w:sz w:val="20"/>
          <w:szCs w:val="20"/>
          <w:lang w:val="en-GB"/>
        </w:rPr>
        <w:t>:</w:t>
      </w:r>
      <w:r w:rsidRPr="0014100D">
        <w:rPr>
          <w:b/>
          <w:sz w:val="20"/>
          <w:szCs w:val="20"/>
          <w:lang w:val="en-GB"/>
        </w:rPr>
        <w:t xml:space="preserve"> </w:t>
      </w:r>
      <w:r>
        <w:rPr>
          <w:b/>
          <w:sz w:val="20"/>
          <w:szCs w:val="20"/>
          <w:lang w:val="en-GB"/>
        </w:rPr>
        <w:tab/>
      </w:r>
      <w:r w:rsidRPr="0014100D">
        <w:rPr>
          <w:b/>
          <w:sz w:val="20"/>
          <w:szCs w:val="20"/>
          <w:lang w:val="en-GB"/>
        </w:rPr>
        <w:t>Rate of decline in FVC [mL/</w:t>
      </w:r>
      <w:proofErr w:type="spellStart"/>
      <w:r w:rsidRPr="0014100D">
        <w:rPr>
          <w:b/>
          <w:sz w:val="20"/>
          <w:szCs w:val="20"/>
          <w:lang w:val="en-GB"/>
        </w:rPr>
        <w:t>yr</w:t>
      </w:r>
      <w:proofErr w:type="spellEnd"/>
      <w:r w:rsidRPr="0014100D">
        <w:rPr>
          <w:b/>
          <w:sz w:val="20"/>
          <w:szCs w:val="20"/>
          <w:lang w:val="en-GB"/>
        </w:rPr>
        <w:t>] over 52 weeks by mycophenolate use at baseline</w:t>
      </w:r>
    </w:p>
    <w:tbl>
      <w:tblPr>
        <w:tblStyle w:val="TableGrid"/>
        <w:tblW w:w="0" w:type="auto"/>
        <w:tblLook w:val="04A0" w:firstRow="1" w:lastRow="0" w:firstColumn="1" w:lastColumn="0" w:noHBand="0" w:noVBand="1"/>
      </w:tblPr>
      <w:tblGrid>
        <w:gridCol w:w="1838"/>
        <w:gridCol w:w="1286"/>
        <w:gridCol w:w="1275"/>
        <w:gridCol w:w="1222"/>
        <w:gridCol w:w="1275"/>
        <w:gridCol w:w="2137"/>
      </w:tblGrid>
      <w:tr w:rsidR="0014100D" w:rsidRPr="0014100D" w14:paraId="753D3826" w14:textId="77777777" w:rsidTr="0014100D">
        <w:tc>
          <w:tcPr>
            <w:tcW w:w="1838" w:type="dxa"/>
            <w:vMerge w:val="restart"/>
            <w:vAlign w:val="bottom"/>
          </w:tcPr>
          <w:p w14:paraId="2F32CC95" w14:textId="77777777" w:rsidR="0014100D" w:rsidRPr="00882437" w:rsidRDefault="0014100D" w:rsidP="00A30D45">
            <w:pPr>
              <w:keepNext/>
              <w:spacing w:line="259" w:lineRule="auto"/>
              <w:rPr>
                <w:rFonts w:ascii="Arial" w:hAnsi="Arial" w:cs="Arial"/>
                <w:sz w:val="20"/>
                <w:lang w:eastAsia="de-DE" w:bidi="th-TH"/>
              </w:rPr>
            </w:pPr>
            <w:r w:rsidRPr="00882437">
              <w:rPr>
                <w:rFonts w:ascii="Arial" w:hAnsi="Arial" w:cs="Arial"/>
                <w:sz w:val="20"/>
                <w:lang w:eastAsia="de-DE" w:bidi="th-TH"/>
              </w:rPr>
              <w:t>Mycophenolate use at baseline</w:t>
            </w:r>
          </w:p>
        </w:tc>
        <w:tc>
          <w:tcPr>
            <w:tcW w:w="2561" w:type="dxa"/>
            <w:gridSpan w:val="2"/>
          </w:tcPr>
          <w:p w14:paraId="4ADF2F98"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Placebo</w:t>
            </w:r>
          </w:p>
        </w:tc>
        <w:tc>
          <w:tcPr>
            <w:tcW w:w="2497" w:type="dxa"/>
            <w:gridSpan w:val="2"/>
          </w:tcPr>
          <w:p w14:paraId="6F31AE49" w14:textId="77777777" w:rsidR="0014100D" w:rsidRPr="00882437" w:rsidRDefault="0014100D" w:rsidP="00A30D45">
            <w:pPr>
              <w:keepNext/>
              <w:spacing w:line="259" w:lineRule="auto"/>
              <w:jc w:val="center"/>
              <w:rPr>
                <w:rFonts w:ascii="Arial" w:hAnsi="Arial" w:cs="Arial"/>
                <w:sz w:val="20"/>
                <w:lang w:eastAsia="de-DE" w:bidi="th-TH"/>
              </w:rPr>
            </w:pPr>
            <w:proofErr w:type="spellStart"/>
            <w:r w:rsidRPr="00882437">
              <w:rPr>
                <w:rFonts w:ascii="Arial" w:hAnsi="Arial" w:cs="Arial"/>
                <w:sz w:val="20"/>
                <w:lang w:eastAsia="de-DE" w:bidi="th-TH"/>
              </w:rPr>
              <w:t>Nintedanib</w:t>
            </w:r>
            <w:proofErr w:type="spellEnd"/>
            <w:r w:rsidRPr="00882437">
              <w:rPr>
                <w:rFonts w:ascii="Arial" w:hAnsi="Arial" w:cs="Arial"/>
                <w:sz w:val="20"/>
                <w:lang w:eastAsia="de-DE" w:bidi="th-TH"/>
              </w:rPr>
              <w:t xml:space="preserve"> 150 mg bid</w:t>
            </w:r>
          </w:p>
        </w:tc>
        <w:tc>
          <w:tcPr>
            <w:tcW w:w="2137" w:type="dxa"/>
            <w:vMerge w:val="restart"/>
          </w:tcPr>
          <w:p w14:paraId="5FF81F14"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Difference</w:t>
            </w:r>
          </w:p>
          <w:p w14:paraId="4CCD2625"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(95% CI)</w:t>
            </w:r>
          </w:p>
        </w:tc>
      </w:tr>
      <w:tr w:rsidR="0014100D" w:rsidRPr="0014100D" w14:paraId="4C702F1C" w14:textId="77777777" w:rsidTr="0014100D">
        <w:tc>
          <w:tcPr>
            <w:tcW w:w="1838" w:type="dxa"/>
            <w:vMerge/>
          </w:tcPr>
          <w:p w14:paraId="489FFA6C" w14:textId="77777777" w:rsidR="0014100D" w:rsidRPr="00882437" w:rsidRDefault="0014100D" w:rsidP="00A30D45">
            <w:pPr>
              <w:keepNext/>
              <w:spacing w:line="259" w:lineRule="auto"/>
              <w:rPr>
                <w:rFonts w:ascii="Arial" w:hAnsi="Arial" w:cs="Arial"/>
                <w:sz w:val="20"/>
                <w:lang w:eastAsia="de-DE" w:bidi="th-TH"/>
              </w:rPr>
            </w:pPr>
          </w:p>
        </w:tc>
        <w:tc>
          <w:tcPr>
            <w:tcW w:w="1286" w:type="dxa"/>
          </w:tcPr>
          <w:p w14:paraId="3C56DB60"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N</w:t>
            </w:r>
          </w:p>
        </w:tc>
        <w:tc>
          <w:tcPr>
            <w:tcW w:w="1275" w:type="dxa"/>
          </w:tcPr>
          <w:p w14:paraId="6B2AB90E"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Rate of Decline</w:t>
            </w:r>
          </w:p>
        </w:tc>
        <w:tc>
          <w:tcPr>
            <w:tcW w:w="1222" w:type="dxa"/>
          </w:tcPr>
          <w:p w14:paraId="610A3D5A"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N</w:t>
            </w:r>
          </w:p>
        </w:tc>
        <w:tc>
          <w:tcPr>
            <w:tcW w:w="1275" w:type="dxa"/>
          </w:tcPr>
          <w:p w14:paraId="60E09BDB"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Rate of Decline</w:t>
            </w:r>
          </w:p>
        </w:tc>
        <w:tc>
          <w:tcPr>
            <w:tcW w:w="2137" w:type="dxa"/>
            <w:vMerge/>
          </w:tcPr>
          <w:p w14:paraId="23C80B8F" w14:textId="77777777" w:rsidR="0014100D" w:rsidRPr="00882437" w:rsidRDefault="0014100D" w:rsidP="00A30D45">
            <w:pPr>
              <w:keepNext/>
              <w:spacing w:line="259" w:lineRule="auto"/>
              <w:rPr>
                <w:rFonts w:ascii="Arial" w:hAnsi="Arial" w:cs="Arial"/>
                <w:sz w:val="20"/>
                <w:lang w:eastAsia="de-DE" w:bidi="th-TH"/>
              </w:rPr>
            </w:pPr>
          </w:p>
        </w:tc>
      </w:tr>
      <w:tr w:rsidR="0014100D" w:rsidRPr="0014100D" w14:paraId="5CA4DE46" w14:textId="77777777" w:rsidTr="0014100D">
        <w:tc>
          <w:tcPr>
            <w:tcW w:w="1838" w:type="dxa"/>
          </w:tcPr>
          <w:p w14:paraId="06CC2DED" w14:textId="77777777" w:rsidR="0014100D" w:rsidRPr="00882437" w:rsidRDefault="0014100D" w:rsidP="00A30D45">
            <w:pPr>
              <w:keepNext/>
              <w:spacing w:line="259" w:lineRule="auto"/>
              <w:rPr>
                <w:rFonts w:ascii="Arial" w:hAnsi="Arial" w:cs="Arial"/>
                <w:sz w:val="20"/>
                <w:lang w:eastAsia="de-DE" w:bidi="th-TH"/>
              </w:rPr>
            </w:pPr>
            <w:r w:rsidRPr="00882437">
              <w:rPr>
                <w:rFonts w:ascii="Arial" w:hAnsi="Arial" w:cs="Arial"/>
                <w:sz w:val="20"/>
                <w:lang w:eastAsia="de-DE" w:bidi="th-TH"/>
              </w:rPr>
              <w:t>Yes</w:t>
            </w:r>
          </w:p>
        </w:tc>
        <w:tc>
          <w:tcPr>
            <w:tcW w:w="1286" w:type="dxa"/>
          </w:tcPr>
          <w:p w14:paraId="620A8E06"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140</w:t>
            </w:r>
          </w:p>
        </w:tc>
        <w:tc>
          <w:tcPr>
            <w:tcW w:w="1275" w:type="dxa"/>
          </w:tcPr>
          <w:p w14:paraId="49F76D79"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-66.5</w:t>
            </w:r>
          </w:p>
        </w:tc>
        <w:tc>
          <w:tcPr>
            <w:tcW w:w="1222" w:type="dxa"/>
          </w:tcPr>
          <w:p w14:paraId="342F8703"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138</w:t>
            </w:r>
          </w:p>
        </w:tc>
        <w:tc>
          <w:tcPr>
            <w:tcW w:w="1275" w:type="dxa"/>
          </w:tcPr>
          <w:p w14:paraId="1E5B3F94"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-40.2</w:t>
            </w:r>
          </w:p>
        </w:tc>
        <w:tc>
          <w:tcPr>
            <w:tcW w:w="2137" w:type="dxa"/>
          </w:tcPr>
          <w:p w14:paraId="2DA2E12A"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26.3 (-27.9; 80.6)</w:t>
            </w:r>
          </w:p>
        </w:tc>
      </w:tr>
      <w:tr w:rsidR="0014100D" w:rsidRPr="0014100D" w14:paraId="6E9FDD3F" w14:textId="77777777" w:rsidTr="0014100D">
        <w:tc>
          <w:tcPr>
            <w:tcW w:w="1838" w:type="dxa"/>
          </w:tcPr>
          <w:p w14:paraId="3BF0115A" w14:textId="77777777" w:rsidR="0014100D" w:rsidRPr="00882437" w:rsidRDefault="0014100D" w:rsidP="00A30D45">
            <w:pPr>
              <w:keepNext/>
              <w:spacing w:line="259" w:lineRule="auto"/>
              <w:rPr>
                <w:rFonts w:ascii="Arial" w:hAnsi="Arial" w:cs="Arial"/>
                <w:sz w:val="20"/>
                <w:lang w:eastAsia="de-DE" w:bidi="th-TH"/>
              </w:rPr>
            </w:pPr>
            <w:r w:rsidRPr="00882437">
              <w:rPr>
                <w:rFonts w:ascii="Arial" w:hAnsi="Arial" w:cs="Arial"/>
                <w:sz w:val="20"/>
                <w:lang w:eastAsia="de-DE" w:bidi="th-TH"/>
              </w:rPr>
              <w:t>No</w:t>
            </w:r>
          </w:p>
        </w:tc>
        <w:tc>
          <w:tcPr>
            <w:tcW w:w="1286" w:type="dxa"/>
          </w:tcPr>
          <w:p w14:paraId="03D66F15"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148</w:t>
            </w:r>
          </w:p>
        </w:tc>
        <w:tc>
          <w:tcPr>
            <w:tcW w:w="1275" w:type="dxa"/>
          </w:tcPr>
          <w:p w14:paraId="547033BF"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-119.3</w:t>
            </w:r>
          </w:p>
        </w:tc>
        <w:tc>
          <w:tcPr>
            <w:tcW w:w="1222" w:type="dxa"/>
          </w:tcPr>
          <w:p w14:paraId="6F7E0C49"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149</w:t>
            </w:r>
          </w:p>
        </w:tc>
        <w:tc>
          <w:tcPr>
            <w:tcW w:w="1275" w:type="dxa"/>
          </w:tcPr>
          <w:p w14:paraId="51AA4DEC"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-63.9</w:t>
            </w:r>
          </w:p>
        </w:tc>
        <w:tc>
          <w:tcPr>
            <w:tcW w:w="2137" w:type="dxa"/>
          </w:tcPr>
          <w:p w14:paraId="0D7C24E3" w14:textId="77777777" w:rsidR="0014100D" w:rsidRPr="00882437" w:rsidRDefault="0014100D" w:rsidP="00A30D45">
            <w:pPr>
              <w:keepNext/>
              <w:spacing w:line="259" w:lineRule="auto"/>
              <w:jc w:val="center"/>
              <w:rPr>
                <w:rFonts w:ascii="Arial" w:hAnsi="Arial" w:cs="Arial"/>
                <w:sz w:val="20"/>
                <w:lang w:eastAsia="de-DE" w:bidi="th-TH"/>
              </w:rPr>
            </w:pPr>
            <w:r w:rsidRPr="00882437">
              <w:rPr>
                <w:rFonts w:ascii="Arial" w:hAnsi="Arial" w:cs="Arial"/>
                <w:sz w:val="20"/>
                <w:lang w:eastAsia="de-DE" w:bidi="th-TH"/>
              </w:rPr>
              <w:t>55.4 (2.3; 108.5)</w:t>
            </w:r>
          </w:p>
        </w:tc>
      </w:tr>
    </w:tbl>
    <w:p w14:paraId="040F1E5E" w14:textId="3A4F9E62" w:rsidR="003A78E7" w:rsidRPr="000E6ED5" w:rsidRDefault="003A78E7" w:rsidP="00C65B19">
      <w:pPr>
        <w:autoSpaceDE w:val="0"/>
        <w:autoSpaceDN w:val="0"/>
        <w:adjustRightInd w:val="0"/>
        <w:spacing w:before="180" w:after="180"/>
        <w:jc w:val="both"/>
        <w:rPr>
          <w:rFonts w:ascii="Arial" w:hAnsi="Arial"/>
          <w:sz w:val="22"/>
          <w:szCs w:val="22"/>
          <w:lang w:val="en-GB" w:eastAsia="en-GB"/>
        </w:rPr>
      </w:pPr>
      <w:r w:rsidRPr="000E6ED5">
        <w:rPr>
          <w:rFonts w:ascii="Arial" w:hAnsi="Arial"/>
          <w:sz w:val="22"/>
          <w:szCs w:val="22"/>
          <w:lang w:val="en-GB" w:eastAsia="en-GB"/>
        </w:rPr>
        <w:t xml:space="preserve">In addition, similar effects were observed on other lung function endpoints, e.g. absolute change from baseline in FVC in mL at week 52 (Figure </w:t>
      </w:r>
      <w:r w:rsidR="00E12B96">
        <w:rPr>
          <w:rFonts w:ascii="Arial" w:hAnsi="Arial"/>
          <w:sz w:val="22"/>
          <w:szCs w:val="22"/>
          <w:lang w:val="en-GB" w:eastAsia="en-GB"/>
        </w:rPr>
        <w:t>6</w:t>
      </w:r>
      <w:r w:rsidRPr="000E6ED5">
        <w:rPr>
          <w:rFonts w:ascii="Arial" w:hAnsi="Arial"/>
          <w:sz w:val="22"/>
          <w:szCs w:val="22"/>
          <w:lang w:val="en-GB" w:eastAsia="en-GB"/>
        </w:rPr>
        <w:t xml:space="preserve"> and Table </w:t>
      </w:r>
      <w:r w:rsidR="00E12B96">
        <w:rPr>
          <w:rFonts w:ascii="Arial" w:hAnsi="Arial"/>
          <w:sz w:val="22"/>
          <w:szCs w:val="22"/>
          <w:lang w:val="en-GB" w:eastAsia="en-GB"/>
        </w:rPr>
        <w:t>19</w:t>
      </w:r>
      <w:r w:rsidRPr="000E6ED5">
        <w:rPr>
          <w:rFonts w:ascii="Arial" w:hAnsi="Arial"/>
          <w:sz w:val="22"/>
          <w:szCs w:val="22"/>
          <w:lang w:val="en-GB" w:eastAsia="en-GB"/>
        </w:rPr>
        <w:t xml:space="preserve">) and rate of decline in FVC in % predicted over 52 weeks (Table </w:t>
      </w:r>
      <w:r w:rsidR="00E12B96">
        <w:rPr>
          <w:rFonts w:ascii="Arial" w:hAnsi="Arial"/>
          <w:sz w:val="22"/>
          <w:szCs w:val="22"/>
          <w:lang w:val="en-GB" w:eastAsia="en-GB"/>
        </w:rPr>
        <w:t>20</w:t>
      </w:r>
      <w:r w:rsidRPr="000E6ED5">
        <w:rPr>
          <w:rFonts w:ascii="Arial" w:hAnsi="Arial"/>
          <w:sz w:val="22"/>
          <w:szCs w:val="22"/>
          <w:lang w:val="en-GB" w:eastAsia="en-GB"/>
        </w:rPr>
        <w:t xml:space="preserve">) providing further substantiation of the effects of </w:t>
      </w:r>
      <w:r>
        <w:rPr>
          <w:rFonts w:ascii="Arial" w:hAnsi="Arial"/>
          <w:sz w:val="22"/>
          <w:szCs w:val="22"/>
          <w:lang w:val="en-GB" w:eastAsia="en-GB"/>
        </w:rPr>
        <w:t>OFEV</w:t>
      </w:r>
      <w:r w:rsidRPr="000E6ED5">
        <w:rPr>
          <w:rFonts w:ascii="Arial" w:hAnsi="Arial"/>
          <w:sz w:val="22"/>
          <w:szCs w:val="22"/>
          <w:lang w:val="en-GB" w:eastAsia="en-GB"/>
        </w:rPr>
        <w:t xml:space="preserve"> on slowing progression of </w:t>
      </w:r>
      <w:proofErr w:type="spellStart"/>
      <w:r w:rsidRPr="000E6ED5">
        <w:rPr>
          <w:rFonts w:ascii="Arial" w:hAnsi="Arial"/>
          <w:sz w:val="22"/>
          <w:szCs w:val="22"/>
          <w:lang w:val="en-GB" w:eastAsia="en-GB"/>
        </w:rPr>
        <w:t>SSc</w:t>
      </w:r>
      <w:proofErr w:type="spellEnd"/>
      <w:r w:rsidRPr="000E6ED5">
        <w:rPr>
          <w:rFonts w:ascii="Arial" w:hAnsi="Arial"/>
          <w:sz w:val="22"/>
          <w:szCs w:val="22"/>
          <w:lang w:val="en-GB" w:eastAsia="en-GB"/>
        </w:rPr>
        <w:t xml:space="preserve">-ILD. Furthermore, fewer patients in the </w:t>
      </w:r>
      <w:r>
        <w:rPr>
          <w:rFonts w:ascii="Arial" w:hAnsi="Arial"/>
          <w:sz w:val="22"/>
          <w:szCs w:val="22"/>
          <w:lang w:val="en-GB" w:eastAsia="en-GB"/>
        </w:rPr>
        <w:t>OFEV</w:t>
      </w:r>
      <w:r w:rsidRPr="000E6ED5">
        <w:rPr>
          <w:rFonts w:ascii="Arial" w:hAnsi="Arial"/>
          <w:sz w:val="22"/>
          <w:szCs w:val="22"/>
          <w:lang w:val="en-GB" w:eastAsia="en-GB"/>
        </w:rPr>
        <w:t xml:space="preserve"> group had an absolute FVC decline &gt;5% predicted (20.6% in the </w:t>
      </w:r>
      <w:r>
        <w:rPr>
          <w:rFonts w:ascii="Arial" w:hAnsi="Arial"/>
          <w:sz w:val="22"/>
          <w:szCs w:val="22"/>
          <w:lang w:val="en-GB" w:eastAsia="en-GB"/>
        </w:rPr>
        <w:t>OFEV</w:t>
      </w:r>
      <w:r w:rsidRPr="000E6ED5">
        <w:rPr>
          <w:rFonts w:ascii="Arial" w:hAnsi="Arial"/>
          <w:sz w:val="22"/>
          <w:szCs w:val="22"/>
          <w:lang w:val="en-GB" w:eastAsia="en-GB"/>
        </w:rPr>
        <w:t xml:space="preserve"> group vs. 28.5% in the placebo group, OR=0.65, p=0.0287). The relative FVC decline in mL &gt;10% was comparable between both groups (16.7% in the </w:t>
      </w:r>
      <w:r>
        <w:rPr>
          <w:rFonts w:ascii="Arial" w:hAnsi="Arial"/>
          <w:sz w:val="22"/>
          <w:szCs w:val="22"/>
          <w:lang w:val="en-GB" w:eastAsia="en-GB"/>
        </w:rPr>
        <w:t>OFEV</w:t>
      </w:r>
      <w:r w:rsidRPr="000E6ED5">
        <w:rPr>
          <w:rFonts w:ascii="Arial" w:hAnsi="Arial"/>
          <w:sz w:val="22"/>
          <w:szCs w:val="22"/>
          <w:lang w:val="en-GB" w:eastAsia="en-GB"/>
        </w:rPr>
        <w:t xml:space="preserve"> group vs. 18.1% in the placebo group, OR=0.91, p=0.6842). In these analyses, missing FVC values at week 52 were imputed with the patient’s worst value on treatment. </w:t>
      </w:r>
    </w:p>
    <w:p w14:paraId="283344E0" w14:textId="77777777" w:rsidR="003A78E7" w:rsidRDefault="003A78E7" w:rsidP="00C65B19">
      <w:pPr>
        <w:autoSpaceDE w:val="0"/>
        <w:autoSpaceDN w:val="0"/>
        <w:adjustRightInd w:val="0"/>
        <w:spacing w:after="180"/>
        <w:jc w:val="both"/>
        <w:rPr>
          <w:rFonts w:ascii="Arial" w:hAnsi="Arial"/>
          <w:sz w:val="22"/>
          <w:szCs w:val="22"/>
          <w:lang w:val="en-GB" w:eastAsia="en-GB"/>
        </w:rPr>
      </w:pPr>
      <w:r w:rsidRPr="000E6ED5">
        <w:rPr>
          <w:rFonts w:ascii="Arial" w:hAnsi="Arial"/>
          <w:sz w:val="22"/>
          <w:szCs w:val="22"/>
          <w:lang w:val="en-GB" w:eastAsia="en-GB"/>
        </w:rPr>
        <w:t xml:space="preserve">An exploratory analysis of data up to 100 weeks (maximum treatment duration in SENSCIS) suggested that the on treatment effect of </w:t>
      </w:r>
      <w:r>
        <w:rPr>
          <w:rFonts w:ascii="Arial" w:hAnsi="Arial"/>
          <w:sz w:val="22"/>
          <w:szCs w:val="22"/>
          <w:lang w:val="en-GB" w:eastAsia="en-GB"/>
        </w:rPr>
        <w:t>OFEV</w:t>
      </w:r>
      <w:r w:rsidRPr="000E6ED5">
        <w:rPr>
          <w:rFonts w:ascii="Arial" w:hAnsi="Arial"/>
          <w:sz w:val="22"/>
          <w:szCs w:val="22"/>
          <w:lang w:val="en-GB" w:eastAsia="en-GB"/>
        </w:rPr>
        <w:t xml:space="preserve"> on slowing progression of </w:t>
      </w:r>
      <w:proofErr w:type="spellStart"/>
      <w:r w:rsidRPr="000E6ED5">
        <w:rPr>
          <w:rFonts w:ascii="Arial" w:hAnsi="Arial"/>
          <w:sz w:val="22"/>
          <w:szCs w:val="22"/>
          <w:lang w:val="en-GB" w:eastAsia="en-GB"/>
        </w:rPr>
        <w:t>SSc</w:t>
      </w:r>
      <w:proofErr w:type="spellEnd"/>
      <w:r w:rsidRPr="000E6ED5">
        <w:rPr>
          <w:rFonts w:ascii="Arial" w:hAnsi="Arial"/>
          <w:sz w:val="22"/>
          <w:szCs w:val="22"/>
          <w:lang w:val="en-GB" w:eastAsia="en-GB"/>
        </w:rPr>
        <w:t>-ILD persisted beyond 52 weeks.</w:t>
      </w:r>
    </w:p>
    <w:p w14:paraId="14D185FC" w14:textId="2A2A7DDF" w:rsidR="003A78E7" w:rsidRDefault="003A78E7" w:rsidP="00C65B19">
      <w:pPr>
        <w:pStyle w:val="TextPI"/>
        <w:keepNext/>
        <w:keepLines/>
        <w:tabs>
          <w:tab w:val="left" w:pos="1134"/>
        </w:tabs>
        <w:ind w:left="1122" w:hanging="1122"/>
        <w:rPr>
          <w:lang w:val="en-GB" w:eastAsia="en-GB"/>
        </w:rPr>
      </w:pPr>
      <w:r w:rsidRPr="00FA6C56">
        <w:rPr>
          <w:b/>
          <w:sz w:val="20"/>
          <w:szCs w:val="20"/>
          <w:lang w:val="en-GB"/>
        </w:rPr>
        <w:lastRenderedPageBreak/>
        <w:t xml:space="preserve">Figure </w:t>
      </w:r>
      <w:r w:rsidR="00426A4F">
        <w:rPr>
          <w:b/>
          <w:sz w:val="20"/>
          <w:szCs w:val="20"/>
          <w:lang w:val="en-GB"/>
        </w:rPr>
        <w:t>6</w:t>
      </w:r>
      <w:r w:rsidRPr="00FA6C56">
        <w:rPr>
          <w:b/>
          <w:sz w:val="20"/>
          <w:szCs w:val="20"/>
          <w:lang w:val="en-GB"/>
        </w:rPr>
        <w:t>:</w:t>
      </w:r>
      <w:r w:rsidRPr="00FA6C56">
        <w:rPr>
          <w:b/>
          <w:sz w:val="20"/>
          <w:szCs w:val="20"/>
          <w:lang w:val="en-GB"/>
        </w:rPr>
        <w:tab/>
        <w:t>Mean (SEM) observed FVC change from baseline (mL) over 52 weeks</w:t>
      </w:r>
    </w:p>
    <w:p w14:paraId="450DC387" w14:textId="77777777" w:rsidR="003A78E7" w:rsidRDefault="003A78E7" w:rsidP="003A78E7">
      <w:pPr>
        <w:keepNext/>
        <w:keepLines/>
        <w:jc w:val="both"/>
        <w:rPr>
          <w:lang w:eastAsia="zh-CN" w:bidi="th-TH"/>
        </w:rPr>
      </w:pPr>
      <w:r>
        <w:rPr>
          <w:noProof/>
          <w:lang w:eastAsia="en-AU"/>
        </w:rPr>
        <w:drawing>
          <wp:inline distT="0" distB="0" distL="0" distR="0" wp14:anchorId="54CE5FD7" wp14:editId="0C3F9131">
            <wp:extent cx="5756275" cy="4405630"/>
            <wp:effectExtent l="0" t="0" r="0" b="0"/>
            <wp:docPr id="1" name="Picture 1" descr="1_5_2_SPE-FMEANTIME_1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_5_2_SPE-FMEANTIME_1_F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6275" cy="4405630"/>
                    </a:xfrm>
                    <a:prstGeom prst="rect">
                      <a:avLst/>
                    </a:prstGeom>
                    <a:noFill/>
                    <a:ln>
                      <a:noFill/>
                    </a:ln>
                  </pic:spPr>
                </pic:pic>
              </a:graphicData>
            </a:graphic>
          </wp:inline>
        </w:drawing>
      </w:r>
    </w:p>
    <w:p w14:paraId="3C12E79D" w14:textId="77777777" w:rsidR="003A78E7" w:rsidRPr="00785D39" w:rsidRDefault="003A78E7" w:rsidP="00936DD4">
      <w:pPr>
        <w:keepNext/>
        <w:keepLines/>
        <w:autoSpaceDE w:val="0"/>
        <w:autoSpaceDN w:val="0"/>
        <w:adjustRightInd w:val="0"/>
        <w:spacing w:after="180"/>
        <w:jc w:val="both"/>
        <w:rPr>
          <w:rFonts w:ascii="Arial" w:hAnsi="Arial" w:cs="Arial"/>
          <w:sz w:val="22"/>
          <w:szCs w:val="22"/>
          <w:lang w:val="en-GB" w:eastAsia="en-GB"/>
        </w:rPr>
      </w:pPr>
      <w:r w:rsidRPr="00785D39">
        <w:rPr>
          <w:rFonts w:ascii="Arial" w:hAnsi="Arial" w:cs="Arial"/>
          <w:sz w:val="18"/>
          <w:szCs w:val="18"/>
        </w:rPr>
        <w:t>bid = twice daily</w:t>
      </w:r>
    </w:p>
    <w:p w14:paraId="52C6078D" w14:textId="4AA8546E" w:rsidR="003A78E7" w:rsidRDefault="003A78E7" w:rsidP="0072666C">
      <w:pPr>
        <w:pStyle w:val="TextPI"/>
        <w:keepNext/>
        <w:tabs>
          <w:tab w:val="left" w:pos="1134"/>
        </w:tabs>
        <w:ind w:left="1123" w:hanging="1123"/>
        <w:rPr>
          <w:lang w:val="en-GB" w:eastAsia="en-GB"/>
        </w:rPr>
      </w:pPr>
      <w:r w:rsidRPr="0030671E">
        <w:rPr>
          <w:b/>
          <w:sz w:val="20"/>
          <w:szCs w:val="20"/>
          <w:lang w:val="en-GB"/>
        </w:rPr>
        <w:t xml:space="preserve">Table </w:t>
      </w:r>
      <w:r w:rsidR="00E91BFB">
        <w:rPr>
          <w:b/>
          <w:sz w:val="20"/>
          <w:szCs w:val="20"/>
          <w:lang w:val="en-GB"/>
        </w:rPr>
        <w:t>19</w:t>
      </w:r>
      <w:r w:rsidRPr="0030671E">
        <w:rPr>
          <w:b/>
          <w:sz w:val="20"/>
          <w:szCs w:val="20"/>
          <w:lang w:val="en-GB"/>
        </w:rPr>
        <w:t>:</w:t>
      </w:r>
      <w:r w:rsidRPr="0030671E">
        <w:rPr>
          <w:b/>
          <w:sz w:val="20"/>
          <w:szCs w:val="20"/>
          <w:lang w:val="en-GB"/>
        </w:rPr>
        <w:tab/>
        <w:t>Absolute change from baseline in FVC (mL) at week 52</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8"/>
        <w:gridCol w:w="3099"/>
      </w:tblGrid>
      <w:tr w:rsidR="003A78E7" w:rsidRPr="00FA6C56" w14:paraId="0ACDA447" w14:textId="77777777" w:rsidTr="00882437">
        <w:trPr>
          <w:tblHeader/>
          <w:jc w:val="center"/>
        </w:trPr>
        <w:tc>
          <w:tcPr>
            <w:tcW w:w="3098" w:type="dxa"/>
            <w:tcBorders>
              <w:top w:val="single" w:sz="4" w:space="0" w:color="auto"/>
              <w:left w:val="single" w:sz="4" w:space="0" w:color="auto"/>
              <w:bottom w:val="single" w:sz="4" w:space="0" w:color="auto"/>
              <w:right w:val="single" w:sz="4" w:space="0" w:color="auto"/>
            </w:tcBorders>
            <w:shd w:val="clear" w:color="auto" w:fill="auto"/>
          </w:tcPr>
          <w:p w14:paraId="121C8B76" w14:textId="77777777" w:rsidR="003A78E7" w:rsidRPr="00FA6C56" w:rsidRDefault="003A78E7" w:rsidP="00A30D45">
            <w:pPr>
              <w:rPr>
                <w:rFonts w:ascii="Arial" w:hAnsi="Arial" w:cs="Arial"/>
                <w:sz w:val="20"/>
              </w:rPr>
            </w:pPr>
          </w:p>
        </w:tc>
        <w:tc>
          <w:tcPr>
            <w:tcW w:w="3098" w:type="dxa"/>
            <w:tcBorders>
              <w:top w:val="single" w:sz="4" w:space="0" w:color="auto"/>
              <w:left w:val="single" w:sz="4" w:space="0" w:color="auto"/>
              <w:bottom w:val="single" w:sz="4" w:space="0" w:color="auto"/>
              <w:right w:val="single" w:sz="4" w:space="0" w:color="auto"/>
            </w:tcBorders>
            <w:shd w:val="clear" w:color="auto" w:fill="auto"/>
          </w:tcPr>
          <w:p w14:paraId="6C1EDC2C" w14:textId="77777777" w:rsidR="003A78E7" w:rsidRPr="00FA6C56" w:rsidRDefault="003A78E7" w:rsidP="00A30D45">
            <w:pPr>
              <w:keepNext/>
              <w:keepLines/>
              <w:tabs>
                <w:tab w:val="left" w:pos="144"/>
              </w:tabs>
              <w:spacing w:before="20" w:after="20"/>
              <w:jc w:val="center"/>
              <w:rPr>
                <w:rFonts w:ascii="Arial" w:hAnsi="Arial" w:cs="Arial"/>
                <w:sz w:val="20"/>
              </w:rPr>
            </w:pPr>
            <w:r w:rsidRPr="00FA6C56">
              <w:rPr>
                <w:rFonts w:ascii="Arial" w:hAnsi="Arial" w:cs="Arial"/>
                <w:sz w:val="20"/>
              </w:rPr>
              <w:t>Placebo</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76F16790" w14:textId="77777777" w:rsidR="003A78E7" w:rsidRPr="00FA6C56" w:rsidRDefault="003A78E7" w:rsidP="00A30D45">
            <w:pPr>
              <w:keepNext/>
              <w:keepLines/>
              <w:tabs>
                <w:tab w:val="left" w:pos="144"/>
              </w:tabs>
              <w:spacing w:before="20" w:after="20"/>
              <w:jc w:val="center"/>
              <w:rPr>
                <w:rFonts w:ascii="Arial" w:hAnsi="Arial" w:cs="Arial"/>
                <w:bCs/>
                <w:iCs/>
                <w:sz w:val="20"/>
              </w:rPr>
            </w:pPr>
            <w:r>
              <w:rPr>
                <w:rFonts w:ascii="Arial" w:hAnsi="Arial" w:cs="Arial"/>
                <w:bCs/>
                <w:iCs/>
                <w:sz w:val="20"/>
              </w:rPr>
              <w:t>OFEV</w:t>
            </w:r>
          </w:p>
          <w:p w14:paraId="261EE897" w14:textId="77777777" w:rsidR="003A78E7" w:rsidRPr="00FA6C56" w:rsidRDefault="003A78E7" w:rsidP="00A30D45">
            <w:pPr>
              <w:keepNext/>
              <w:keepLines/>
              <w:tabs>
                <w:tab w:val="left" w:pos="144"/>
              </w:tabs>
              <w:spacing w:before="20" w:after="20"/>
              <w:jc w:val="center"/>
              <w:rPr>
                <w:rFonts w:ascii="Arial" w:hAnsi="Arial" w:cs="Arial"/>
                <w:b/>
                <w:iCs/>
                <w:sz w:val="20"/>
              </w:rPr>
            </w:pPr>
            <w:r w:rsidRPr="00FA6C56">
              <w:rPr>
                <w:rFonts w:ascii="Arial" w:hAnsi="Arial" w:cs="Arial"/>
                <w:iCs/>
                <w:sz w:val="20"/>
              </w:rPr>
              <w:t>150</w:t>
            </w:r>
            <w:r w:rsidRPr="00FA6C56">
              <w:rPr>
                <w:rFonts w:ascii="Arial" w:hAnsi="Arial" w:cs="Arial"/>
                <w:sz w:val="20"/>
              </w:rPr>
              <w:t xml:space="preserve"> mg twice daily</w:t>
            </w:r>
          </w:p>
        </w:tc>
      </w:tr>
      <w:tr w:rsidR="003A78E7" w:rsidRPr="00FA6C56" w14:paraId="2DA1CFC8" w14:textId="77777777" w:rsidTr="00882437">
        <w:trPr>
          <w:jc w:val="center"/>
        </w:trPr>
        <w:tc>
          <w:tcPr>
            <w:tcW w:w="3098" w:type="dxa"/>
            <w:tcBorders>
              <w:top w:val="single" w:sz="4" w:space="0" w:color="auto"/>
              <w:left w:val="single" w:sz="4" w:space="0" w:color="auto"/>
              <w:bottom w:val="nil"/>
              <w:right w:val="single" w:sz="4" w:space="0" w:color="auto"/>
            </w:tcBorders>
            <w:shd w:val="clear" w:color="auto" w:fill="auto"/>
          </w:tcPr>
          <w:p w14:paraId="0E23ECD8" w14:textId="77777777" w:rsidR="003A78E7" w:rsidRPr="00FA6C56" w:rsidRDefault="003A78E7" w:rsidP="00A30D45">
            <w:pPr>
              <w:pStyle w:val="CS-TextinTable10pt"/>
              <w:spacing w:before="20" w:after="20"/>
              <w:rPr>
                <w:rFonts w:ascii="Arial" w:hAnsi="Arial" w:cs="Arial"/>
              </w:rPr>
            </w:pPr>
            <w:r w:rsidRPr="00FA6C56">
              <w:rPr>
                <w:rFonts w:ascii="Arial" w:hAnsi="Arial" w:cs="Arial"/>
              </w:rPr>
              <w:t>Number of analysed patients</w:t>
            </w:r>
          </w:p>
          <w:p w14:paraId="1341E507" w14:textId="77777777" w:rsidR="003A78E7" w:rsidRPr="00FA6C56" w:rsidRDefault="003A78E7" w:rsidP="00A30D45">
            <w:pPr>
              <w:pStyle w:val="CS-TextinTable10pt"/>
              <w:spacing w:before="20" w:after="20"/>
              <w:rPr>
                <w:rFonts w:ascii="Arial" w:hAnsi="Arial" w:cs="Arial"/>
              </w:rPr>
            </w:pPr>
          </w:p>
        </w:tc>
        <w:tc>
          <w:tcPr>
            <w:tcW w:w="3098" w:type="dxa"/>
            <w:tcBorders>
              <w:top w:val="single" w:sz="4" w:space="0" w:color="auto"/>
              <w:left w:val="single" w:sz="4" w:space="0" w:color="auto"/>
              <w:bottom w:val="nil"/>
              <w:right w:val="single" w:sz="4" w:space="0" w:color="auto"/>
            </w:tcBorders>
            <w:shd w:val="clear" w:color="auto" w:fill="auto"/>
          </w:tcPr>
          <w:p w14:paraId="61FBE6C0" w14:textId="77777777" w:rsidR="003A78E7" w:rsidRPr="00FA6C56" w:rsidRDefault="003A78E7" w:rsidP="00A30D45">
            <w:pPr>
              <w:keepNext/>
              <w:keepLines/>
              <w:tabs>
                <w:tab w:val="left" w:pos="144"/>
              </w:tabs>
              <w:spacing w:before="20" w:after="20"/>
              <w:jc w:val="center"/>
              <w:rPr>
                <w:rFonts w:ascii="Arial" w:hAnsi="Arial" w:cs="Arial"/>
                <w:sz w:val="20"/>
              </w:rPr>
            </w:pPr>
            <w:r w:rsidRPr="00FA6C56">
              <w:rPr>
                <w:rFonts w:ascii="Arial" w:hAnsi="Arial" w:cs="Arial"/>
                <w:sz w:val="20"/>
              </w:rPr>
              <w:t>288</w:t>
            </w:r>
          </w:p>
        </w:tc>
        <w:tc>
          <w:tcPr>
            <w:tcW w:w="3099" w:type="dxa"/>
            <w:tcBorders>
              <w:top w:val="single" w:sz="4" w:space="0" w:color="auto"/>
              <w:left w:val="single" w:sz="4" w:space="0" w:color="auto"/>
              <w:bottom w:val="nil"/>
              <w:right w:val="single" w:sz="4" w:space="0" w:color="auto"/>
            </w:tcBorders>
            <w:shd w:val="clear" w:color="auto" w:fill="auto"/>
          </w:tcPr>
          <w:p w14:paraId="17D05035" w14:textId="77777777" w:rsidR="003A78E7" w:rsidRPr="00FA6C56" w:rsidRDefault="003A78E7" w:rsidP="00A30D45">
            <w:pPr>
              <w:keepNext/>
              <w:keepLines/>
              <w:tabs>
                <w:tab w:val="left" w:pos="144"/>
              </w:tabs>
              <w:spacing w:before="20" w:after="20"/>
              <w:jc w:val="center"/>
              <w:rPr>
                <w:rFonts w:ascii="Arial" w:hAnsi="Arial" w:cs="Arial"/>
                <w:sz w:val="20"/>
              </w:rPr>
            </w:pPr>
            <w:r w:rsidRPr="00FA6C56">
              <w:rPr>
                <w:rFonts w:ascii="Arial" w:hAnsi="Arial" w:cs="Arial"/>
                <w:sz w:val="20"/>
              </w:rPr>
              <w:t>288</w:t>
            </w:r>
          </w:p>
        </w:tc>
      </w:tr>
      <w:tr w:rsidR="003A78E7" w:rsidRPr="00FA6C56" w14:paraId="4717F35A"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33ACECEB" w14:textId="77777777" w:rsidR="003A78E7" w:rsidRPr="00FA6C56" w:rsidRDefault="003A78E7" w:rsidP="00A30D45">
            <w:pPr>
              <w:pStyle w:val="CS-TextinTable10pt"/>
              <w:spacing w:before="20" w:after="20"/>
              <w:rPr>
                <w:rFonts w:ascii="Arial" w:hAnsi="Arial" w:cs="Arial"/>
              </w:rPr>
            </w:pPr>
            <w:r w:rsidRPr="00FA6C56">
              <w:rPr>
                <w:rFonts w:ascii="Arial" w:hAnsi="Arial" w:cs="Arial"/>
              </w:rPr>
              <w:t>Mean (SD) at Baseline</w:t>
            </w:r>
          </w:p>
          <w:p w14:paraId="0C09D53B" w14:textId="77777777" w:rsidR="003A78E7" w:rsidRPr="00FA6C56" w:rsidRDefault="003A78E7" w:rsidP="00A30D45">
            <w:pPr>
              <w:pStyle w:val="CS-TextinTable10pt"/>
              <w:spacing w:before="20" w:after="20"/>
              <w:rPr>
                <w:rFonts w:ascii="Arial" w:hAnsi="Arial" w:cs="Arial"/>
              </w:rPr>
            </w:pPr>
          </w:p>
        </w:tc>
        <w:tc>
          <w:tcPr>
            <w:tcW w:w="3098" w:type="dxa"/>
            <w:tcBorders>
              <w:top w:val="nil"/>
              <w:left w:val="single" w:sz="4" w:space="0" w:color="auto"/>
              <w:bottom w:val="nil"/>
              <w:right w:val="single" w:sz="4" w:space="0" w:color="auto"/>
            </w:tcBorders>
            <w:shd w:val="clear" w:color="auto" w:fill="auto"/>
          </w:tcPr>
          <w:p w14:paraId="7045F473"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2541.0 (815.5)</w:t>
            </w:r>
          </w:p>
        </w:tc>
        <w:tc>
          <w:tcPr>
            <w:tcW w:w="3099" w:type="dxa"/>
            <w:tcBorders>
              <w:top w:val="nil"/>
              <w:left w:val="single" w:sz="4" w:space="0" w:color="auto"/>
              <w:bottom w:val="nil"/>
              <w:right w:val="single" w:sz="4" w:space="0" w:color="auto"/>
            </w:tcBorders>
            <w:shd w:val="clear" w:color="auto" w:fill="auto"/>
          </w:tcPr>
          <w:p w14:paraId="46BFCC93"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2458.5 (735.9)</w:t>
            </w:r>
          </w:p>
        </w:tc>
      </w:tr>
      <w:tr w:rsidR="003A78E7" w:rsidRPr="00FA6C56" w14:paraId="443AD9A5"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7CDF9643" w14:textId="77777777" w:rsidR="003A78E7" w:rsidRPr="00FA6C56" w:rsidRDefault="003A78E7" w:rsidP="00A30D45">
            <w:pPr>
              <w:pStyle w:val="CS-TextinTable10pt"/>
              <w:spacing w:before="20" w:after="20"/>
              <w:rPr>
                <w:rFonts w:ascii="Arial" w:hAnsi="Arial" w:cs="Arial"/>
              </w:rPr>
            </w:pPr>
            <w:r w:rsidRPr="00FA6C56">
              <w:rPr>
                <w:rFonts w:ascii="Arial" w:hAnsi="Arial" w:cs="Arial"/>
              </w:rPr>
              <w:t>Mean</w:t>
            </w:r>
            <w:r w:rsidRPr="00FA6C56">
              <w:rPr>
                <w:rFonts w:ascii="Arial" w:hAnsi="Arial" w:cs="Arial"/>
                <w:vertAlign w:val="superscript"/>
              </w:rPr>
              <w:t>1</w:t>
            </w:r>
            <w:r w:rsidRPr="00FA6C56">
              <w:rPr>
                <w:rFonts w:ascii="Arial" w:hAnsi="Arial" w:cs="Arial"/>
              </w:rPr>
              <w:t xml:space="preserve"> (SE) change from baseline at week 52</w:t>
            </w:r>
          </w:p>
          <w:p w14:paraId="28948EFD" w14:textId="77777777" w:rsidR="003A78E7" w:rsidRPr="00FA6C56" w:rsidRDefault="003A78E7" w:rsidP="00A30D45">
            <w:pPr>
              <w:pStyle w:val="CS-TextinTable10pt"/>
              <w:spacing w:before="20" w:after="20"/>
              <w:rPr>
                <w:rFonts w:ascii="Arial" w:hAnsi="Arial" w:cs="Arial"/>
              </w:rPr>
            </w:pPr>
          </w:p>
        </w:tc>
        <w:tc>
          <w:tcPr>
            <w:tcW w:w="3098" w:type="dxa"/>
            <w:tcBorders>
              <w:top w:val="nil"/>
              <w:left w:val="single" w:sz="4" w:space="0" w:color="auto"/>
              <w:bottom w:val="nil"/>
              <w:right w:val="single" w:sz="4" w:space="0" w:color="auto"/>
            </w:tcBorders>
            <w:shd w:val="clear" w:color="auto" w:fill="auto"/>
          </w:tcPr>
          <w:p w14:paraId="663E431E"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-101.0 (13.6)</w:t>
            </w:r>
          </w:p>
        </w:tc>
        <w:tc>
          <w:tcPr>
            <w:tcW w:w="3099" w:type="dxa"/>
            <w:tcBorders>
              <w:top w:val="nil"/>
              <w:left w:val="single" w:sz="4" w:space="0" w:color="auto"/>
              <w:bottom w:val="nil"/>
              <w:right w:val="single" w:sz="4" w:space="0" w:color="auto"/>
            </w:tcBorders>
            <w:shd w:val="clear" w:color="auto" w:fill="auto"/>
          </w:tcPr>
          <w:p w14:paraId="7DA1D37A"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-54.6 (13.9)</w:t>
            </w:r>
          </w:p>
        </w:tc>
      </w:tr>
      <w:tr w:rsidR="003A78E7" w:rsidRPr="00FA6C56" w14:paraId="42676DA1"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20BC5F31" w14:textId="77777777" w:rsidR="003A78E7" w:rsidRPr="00FA6C56" w:rsidRDefault="003A78E7" w:rsidP="00A30D45">
            <w:pPr>
              <w:pStyle w:val="CS-TextinTable10pt"/>
              <w:spacing w:before="20" w:after="20"/>
              <w:rPr>
                <w:rFonts w:ascii="Arial" w:hAnsi="Arial" w:cs="Arial"/>
              </w:rPr>
            </w:pPr>
            <w:r w:rsidRPr="00FA6C56">
              <w:rPr>
                <w:rFonts w:ascii="Arial" w:hAnsi="Arial" w:cs="Arial"/>
              </w:rPr>
              <w:t>Comparison vs placebo</w:t>
            </w:r>
          </w:p>
        </w:tc>
        <w:tc>
          <w:tcPr>
            <w:tcW w:w="3098" w:type="dxa"/>
            <w:tcBorders>
              <w:top w:val="nil"/>
              <w:left w:val="single" w:sz="4" w:space="0" w:color="auto"/>
              <w:bottom w:val="nil"/>
              <w:right w:val="single" w:sz="4" w:space="0" w:color="auto"/>
            </w:tcBorders>
            <w:shd w:val="clear" w:color="auto" w:fill="auto"/>
          </w:tcPr>
          <w:p w14:paraId="759CA2E1" w14:textId="77777777" w:rsidR="003A78E7" w:rsidRPr="00FA6C56"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152187E7" w14:textId="77777777" w:rsidR="003A78E7" w:rsidRPr="00FA6C56" w:rsidRDefault="003A78E7" w:rsidP="00A30D45">
            <w:pPr>
              <w:keepNext/>
              <w:keepLines/>
              <w:tabs>
                <w:tab w:val="left" w:pos="144"/>
              </w:tabs>
              <w:spacing w:before="20" w:after="20"/>
              <w:jc w:val="center"/>
              <w:rPr>
                <w:rFonts w:ascii="Arial" w:hAnsi="Arial" w:cs="Arial"/>
                <w:sz w:val="20"/>
              </w:rPr>
            </w:pPr>
          </w:p>
        </w:tc>
      </w:tr>
      <w:tr w:rsidR="003A78E7" w:rsidRPr="00FA6C56" w14:paraId="1884DF07"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14E5829F" w14:textId="77777777" w:rsidR="003A78E7" w:rsidRPr="00FA6C56" w:rsidRDefault="003A78E7" w:rsidP="00A30D45">
            <w:pPr>
              <w:pStyle w:val="CS-TextinTable10pt"/>
              <w:tabs>
                <w:tab w:val="clear" w:pos="144"/>
                <w:tab w:val="left" w:pos="78"/>
              </w:tabs>
              <w:spacing w:before="20" w:after="20"/>
              <w:rPr>
                <w:rFonts w:ascii="Arial" w:hAnsi="Arial" w:cs="Arial"/>
              </w:rPr>
            </w:pPr>
            <w:r w:rsidRPr="00FA6C56">
              <w:rPr>
                <w:rFonts w:ascii="Arial" w:hAnsi="Arial" w:cs="Arial"/>
              </w:rPr>
              <w:t>Mean</w:t>
            </w:r>
            <w:r w:rsidRPr="00FA6C56">
              <w:rPr>
                <w:rFonts w:ascii="Arial" w:hAnsi="Arial" w:cs="Arial"/>
                <w:vertAlign w:val="superscript"/>
              </w:rPr>
              <w:t>1</w:t>
            </w:r>
          </w:p>
        </w:tc>
        <w:tc>
          <w:tcPr>
            <w:tcW w:w="3098" w:type="dxa"/>
            <w:tcBorders>
              <w:top w:val="nil"/>
              <w:left w:val="single" w:sz="4" w:space="0" w:color="auto"/>
              <w:bottom w:val="nil"/>
              <w:right w:val="single" w:sz="4" w:space="0" w:color="auto"/>
            </w:tcBorders>
            <w:shd w:val="clear" w:color="auto" w:fill="auto"/>
          </w:tcPr>
          <w:p w14:paraId="43D0CC07" w14:textId="77777777" w:rsidR="003A78E7" w:rsidRPr="00FA6C56"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3C300036"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46.4</w:t>
            </w:r>
          </w:p>
        </w:tc>
      </w:tr>
      <w:tr w:rsidR="003A78E7" w:rsidRPr="00FA6C56" w14:paraId="24948D72"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3C6CC6FE" w14:textId="77777777" w:rsidR="003A78E7" w:rsidRPr="00FA6C56" w:rsidRDefault="003A78E7" w:rsidP="00A30D45">
            <w:pPr>
              <w:pStyle w:val="CS-TextinTable10pt"/>
              <w:tabs>
                <w:tab w:val="clear" w:pos="144"/>
                <w:tab w:val="left" w:pos="314"/>
              </w:tabs>
              <w:spacing w:before="20" w:after="20"/>
              <w:rPr>
                <w:rFonts w:ascii="Arial" w:hAnsi="Arial" w:cs="Arial"/>
              </w:rPr>
            </w:pPr>
            <w:r w:rsidRPr="00FA6C56">
              <w:rPr>
                <w:rFonts w:ascii="Arial" w:eastAsia="PMingLiU" w:hAnsi="Arial" w:cs="Arial"/>
              </w:rPr>
              <w:tab/>
            </w:r>
            <w:r w:rsidRPr="00FA6C56">
              <w:rPr>
                <w:rFonts w:ascii="Arial" w:hAnsi="Arial" w:cs="Arial"/>
              </w:rPr>
              <w:t>95% CI</w:t>
            </w:r>
          </w:p>
        </w:tc>
        <w:tc>
          <w:tcPr>
            <w:tcW w:w="3098" w:type="dxa"/>
            <w:tcBorders>
              <w:top w:val="nil"/>
              <w:left w:val="single" w:sz="4" w:space="0" w:color="auto"/>
              <w:bottom w:val="nil"/>
              <w:right w:val="single" w:sz="4" w:space="0" w:color="auto"/>
            </w:tcBorders>
            <w:shd w:val="clear" w:color="auto" w:fill="auto"/>
          </w:tcPr>
          <w:p w14:paraId="341AC1A3" w14:textId="77777777" w:rsidR="003A78E7" w:rsidRPr="00FA6C56"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01834902"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(8.1, 84.7)</w:t>
            </w:r>
          </w:p>
        </w:tc>
      </w:tr>
      <w:tr w:rsidR="003A78E7" w:rsidRPr="00FA6C56" w14:paraId="580652D6" w14:textId="77777777" w:rsidTr="00882437">
        <w:trPr>
          <w:jc w:val="center"/>
        </w:trPr>
        <w:tc>
          <w:tcPr>
            <w:tcW w:w="3098" w:type="dxa"/>
            <w:tcBorders>
              <w:top w:val="nil"/>
              <w:left w:val="single" w:sz="4" w:space="0" w:color="auto"/>
              <w:bottom w:val="single" w:sz="4" w:space="0" w:color="auto"/>
              <w:right w:val="single" w:sz="4" w:space="0" w:color="auto"/>
            </w:tcBorders>
            <w:shd w:val="clear" w:color="auto" w:fill="auto"/>
          </w:tcPr>
          <w:p w14:paraId="72031F56" w14:textId="77777777" w:rsidR="003A78E7" w:rsidRPr="00FA6C56" w:rsidRDefault="003A78E7" w:rsidP="00A30D45">
            <w:pPr>
              <w:pStyle w:val="CS-TextinTable10pt"/>
              <w:tabs>
                <w:tab w:val="clear" w:pos="144"/>
                <w:tab w:val="left" w:pos="314"/>
              </w:tabs>
              <w:spacing w:before="20" w:after="20"/>
              <w:rPr>
                <w:rFonts w:ascii="Arial" w:hAnsi="Arial" w:cs="Arial"/>
              </w:rPr>
            </w:pPr>
            <w:r w:rsidRPr="00FA6C56">
              <w:rPr>
                <w:rFonts w:ascii="Arial" w:eastAsia="PMingLiU" w:hAnsi="Arial" w:cs="Arial"/>
              </w:rPr>
              <w:tab/>
            </w:r>
            <w:r w:rsidRPr="00FA6C56">
              <w:rPr>
                <w:rFonts w:ascii="Arial" w:hAnsi="Arial" w:cs="Arial"/>
              </w:rPr>
              <w:t>p-value</w:t>
            </w:r>
          </w:p>
        </w:tc>
        <w:tc>
          <w:tcPr>
            <w:tcW w:w="3098" w:type="dxa"/>
            <w:tcBorders>
              <w:top w:val="nil"/>
              <w:left w:val="single" w:sz="4" w:space="0" w:color="auto"/>
              <w:bottom w:val="single" w:sz="4" w:space="0" w:color="auto"/>
              <w:right w:val="single" w:sz="4" w:space="0" w:color="auto"/>
            </w:tcBorders>
            <w:shd w:val="clear" w:color="auto" w:fill="auto"/>
          </w:tcPr>
          <w:p w14:paraId="7CD6122C" w14:textId="77777777" w:rsidR="003A78E7" w:rsidRPr="00FA6C56"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single" w:sz="4" w:space="0" w:color="auto"/>
              <w:right w:val="single" w:sz="4" w:space="0" w:color="auto"/>
            </w:tcBorders>
            <w:shd w:val="clear" w:color="auto" w:fill="auto"/>
          </w:tcPr>
          <w:p w14:paraId="3B84282E" w14:textId="77777777" w:rsidR="003A78E7" w:rsidRPr="00FA6C56" w:rsidRDefault="003A78E7" w:rsidP="00A30D45">
            <w:pPr>
              <w:pStyle w:val="CS-TextinTable10pt"/>
              <w:spacing w:before="20" w:after="20"/>
              <w:jc w:val="center"/>
              <w:rPr>
                <w:rFonts w:ascii="Arial" w:hAnsi="Arial" w:cs="Arial"/>
              </w:rPr>
            </w:pPr>
            <w:r w:rsidRPr="00FA6C56">
              <w:rPr>
                <w:rFonts w:ascii="Arial" w:hAnsi="Arial" w:cs="Arial"/>
              </w:rPr>
              <w:t>&lt;0.05</w:t>
            </w:r>
          </w:p>
        </w:tc>
      </w:tr>
      <w:tr w:rsidR="003A78E7" w:rsidRPr="00FA6C56" w14:paraId="1E26E0A7" w14:textId="77777777" w:rsidTr="00882437">
        <w:trPr>
          <w:jc w:val="center"/>
        </w:trPr>
        <w:tc>
          <w:tcPr>
            <w:tcW w:w="9295" w:type="dxa"/>
            <w:gridSpan w:val="3"/>
            <w:tcBorders>
              <w:top w:val="single" w:sz="4" w:space="0" w:color="auto"/>
              <w:left w:val="single" w:sz="4" w:space="0" w:color="auto"/>
              <w:bottom w:val="single" w:sz="4" w:space="0" w:color="auto"/>
              <w:right w:val="single" w:sz="4" w:space="0" w:color="auto"/>
            </w:tcBorders>
            <w:shd w:val="clear" w:color="auto" w:fill="auto"/>
          </w:tcPr>
          <w:p w14:paraId="05A4CBB0" w14:textId="77777777" w:rsidR="003A78E7" w:rsidRPr="00FA6C56" w:rsidRDefault="003A78E7" w:rsidP="00A30D45">
            <w:pPr>
              <w:rPr>
                <w:rFonts w:ascii="Arial" w:hAnsi="Arial" w:cs="Arial"/>
                <w:sz w:val="20"/>
              </w:rPr>
            </w:pPr>
            <w:r w:rsidRPr="00785D39">
              <w:rPr>
                <w:rFonts w:ascii="Arial" w:hAnsi="Arial" w:cs="Arial"/>
                <w:sz w:val="18"/>
                <w:szCs w:val="18"/>
                <w:vertAlign w:val="superscript"/>
              </w:rPr>
              <w:t>1</w:t>
            </w:r>
            <w:r w:rsidRPr="00785D39">
              <w:rPr>
                <w:rFonts w:ascii="Arial" w:hAnsi="Arial" w:cs="Arial"/>
                <w:sz w:val="18"/>
                <w:szCs w:val="18"/>
                <w:lang w:eastAsia="zh-CN" w:bidi="th-TH"/>
              </w:rPr>
              <w:t>Based on MMRM, with fixed categorical effects of ATA status, visit, treatment-by-visit interaction baseline-by-visit interaction, age, gender and height. Visit was the repeated measure. Within-patient errors were modelled by unstructured variance-covariance structure. Adjusted mean was based on all analysed patients in the model (not only patients with a baseline and measurement at Week 52)</w:t>
            </w:r>
          </w:p>
        </w:tc>
      </w:tr>
    </w:tbl>
    <w:p w14:paraId="5485259B" w14:textId="77777777" w:rsidR="003A78E7" w:rsidRPr="00FA6C56" w:rsidRDefault="003A78E7" w:rsidP="003A78E7">
      <w:pPr>
        <w:autoSpaceDE w:val="0"/>
        <w:autoSpaceDN w:val="0"/>
        <w:adjustRightInd w:val="0"/>
        <w:jc w:val="both"/>
        <w:rPr>
          <w:rFonts w:ascii="Arial" w:hAnsi="Arial"/>
          <w:sz w:val="22"/>
          <w:szCs w:val="22"/>
          <w:lang w:eastAsia="en-GB"/>
        </w:rPr>
      </w:pPr>
    </w:p>
    <w:p w14:paraId="13009B54" w14:textId="5F4EE2C4" w:rsidR="003A78E7" w:rsidRDefault="003A78E7" w:rsidP="003A78E7">
      <w:pPr>
        <w:pStyle w:val="TextPI"/>
        <w:keepNext/>
        <w:keepLines/>
        <w:tabs>
          <w:tab w:val="left" w:pos="1134"/>
        </w:tabs>
        <w:ind w:left="1122" w:hanging="1122"/>
        <w:rPr>
          <w:b/>
          <w:sz w:val="20"/>
          <w:szCs w:val="20"/>
          <w:lang w:val="en-GB"/>
        </w:rPr>
      </w:pPr>
      <w:r w:rsidRPr="0030671E">
        <w:rPr>
          <w:b/>
          <w:sz w:val="20"/>
          <w:szCs w:val="20"/>
          <w:lang w:val="en-GB"/>
        </w:rPr>
        <w:lastRenderedPageBreak/>
        <w:t xml:space="preserve">Table </w:t>
      </w:r>
      <w:r w:rsidR="003764FA">
        <w:rPr>
          <w:b/>
          <w:sz w:val="20"/>
          <w:szCs w:val="20"/>
          <w:lang w:val="en-GB"/>
        </w:rPr>
        <w:t>20</w:t>
      </w:r>
      <w:r w:rsidRPr="0030671E">
        <w:rPr>
          <w:b/>
          <w:sz w:val="20"/>
          <w:szCs w:val="20"/>
          <w:lang w:val="en-GB"/>
        </w:rPr>
        <w:t>:</w:t>
      </w:r>
      <w:r w:rsidRPr="0030671E">
        <w:rPr>
          <w:b/>
          <w:sz w:val="20"/>
          <w:szCs w:val="20"/>
          <w:lang w:val="en-GB"/>
        </w:rPr>
        <w:tab/>
        <w:t>Annual rate of decline in FVC (% predicted) over 52 weeks</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3098"/>
        <w:gridCol w:w="3098"/>
        <w:gridCol w:w="3099"/>
      </w:tblGrid>
      <w:tr w:rsidR="003A78E7" w:rsidRPr="0030671E" w14:paraId="32B07D91" w14:textId="77777777" w:rsidTr="00882437">
        <w:trPr>
          <w:tblHeader/>
          <w:jc w:val="center"/>
        </w:trPr>
        <w:tc>
          <w:tcPr>
            <w:tcW w:w="3098" w:type="dxa"/>
            <w:tcBorders>
              <w:top w:val="single" w:sz="4" w:space="0" w:color="auto"/>
              <w:left w:val="single" w:sz="4" w:space="0" w:color="auto"/>
              <w:bottom w:val="single" w:sz="4" w:space="0" w:color="auto"/>
              <w:right w:val="single" w:sz="4" w:space="0" w:color="auto"/>
            </w:tcBorders>
            <w:shd w:val="clear" w:color="auto" w:fill="auto"/>
          </w:tcPr>
          <w:p w14:paraId="1953AE33" w14:textId="77777777" w:rsidR="003A78E7" w:rsidRPr="0030671E" w:rsidRDefault="003A78E7" w:rsidP="00A30D45">
            <w:pPr>
              <w:keepNext/>
              <w:keepLines/>
              <w:rPr>
                <w:rFonts w:ascii="Arial" w:hAnsi="Arial" w:cs="Arial"/>
                <w:sz w:val="20"/>
              </w:rPr>
            </w:pPr>
          </w:p>
        </w:tc>
        <w:tc>
          <w:tcPr>
            <w:tcW w:w="3098" w:type="dxa"/>
            <w:tcBorders>
              <w:top w:val="single" w:sz="4" w:space="0" w:color="auto"/>
              <w:left w:val="single" w:sz="4" w:space="0" w:color="auto"/>
              <w:bottom w:val="single" w:sz="4" w:space="0" w:color="auto"/>
              <w:right w:val="single" w:sz="4" w:space="0" w:color="auto"/>
            </w:tcBorders>
            <w:shd w:val="clear" w:color="auto" w:fill="auto"/>
          </w:tcPr>
          <w:p w14:paraId="3A4E9559" w14:textId="77777777" w:rsidR="003A78E7" w:rsidRPr="0030671E" w:rsidRDefault="003A78E7" w:rsidP="00A30D45">
            <w:pPr>
              <w:keepNext/>
              <w:keepLines/>
              <w:tabs>
                <w:tab w:val="left" w:pos="144"/>
              </w:tabs>
              <w:spacing w:before="20" w:after="20"/>
              <w:jc w:val="center"/>
              <w:rPr>
                <w:rFonts w:ascii="Arial" w:hAnsi="Arial" w:cs="Arial"/>
                <w:sz w:val="20"/>
              </w:rPr>
            </w:pPr>
            <w:r w:rsidRPr="0030671E">
              <w:rPr>
                <w:rFonts w:ascii="Arial" w:hAnsi="Arial" w:cs="Arial"/>
                <w:sz w:val="20"/>
              </w:rPr>
              <w:t>Placebo</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73C4415C" w14:textId="77777777" w:rsidR="003A78E7" w:rsidRPr="0030671E" w:rsidRDefault="003A78E7" w:rsidP="00A30D45">
            <w:pPr>
              <w:keepNext/>
              <w:keepLines/>
              <w:tabs>
                <w:tab w:val="left" w:pos="144"/>
              </w:tabs>
              <w:spacing w:before="20" w:after="20"/>
              <w:jc w:val="center"/>
              <w:rPr>
                <w:rFonts w:ascii="Arial" w:hAnsi="Arial" w:cs="Arial"/>
                <w:bCs/>
                <w:iCs/>
                <w:sz w:val="20"/>
              </w:rPr>
            </w:pPr>
            <w:r>
              <w:rPr>
                <w:rFonts w:ascii="Arial" w:hAnsi="Arial" w:cs="Arial"/>
                <w:bCs/>
                <w:iCs/>
                <w:sz w:val="20"/>
              </w:rPr>
              <w:t>OFEV</w:t>
            </w:r>
          </w:p>
          <w:p w14:paraId="4B0C51F2" w14:textId="77777777" w:rsidR="003A78E7" w:rsidRPr="0030671E" w:rsidRDefault="003A78E7" w:rsidP="00A30D45">
            <w:pPr>
              <w:keepNext/>
              <w:keepLines/>
              <w:tabs>
                <w:tab w:val="left" w:pos="144"/>
              </w:tabs>
              <w:spacing w:before="20" w:after="20"/>
              <w:jc w:val="center"/>
              <w:rPr>
                <w:rFonts w:ascii="Arial" w:hAnsi="Arial" w:cs="Arial"/>
                <w:b/>
                <w:iCs/>
                <w:sz w:val="20"/>
              </w:rPr>
            </w:pPr>
            <w:r w:rsidRPr="0030671E">
              <w:rPr>
                <w:rFonts w:ascii="Arial" w:hAnsi="Arial" w:cs="Arial"/>
                <w:iCs/>
                <w:sz w:val="20"/>
              </w:rPr>
              <w:t>150</w:t>
            </w:r>
            <w:r w:rsidRPr="0030671E">
              <w:rPr>
                <w:rFonts w:ascii="Arial" w:hAnsi="Arial" w:cs="Arial"/>
                <w:sz w:val="20"/>
              </w:rPr>
              <w:t xml:space="preserve"> mg twice daily</w:t>
            </w:r>
          </w:p>
        </w:tc>
      </w:tr>
      <w:tr w:rsidR="003A78E7" w:rsidRPr="0030671E" w14:paraId="7A922625" w14:textId="77777777" w:rsidTr="00882437">
        <w:trPr>
          <w:jc w:val="center"/>
        </w:trPr>
        <w:tc>
          <w:tcPr>
            <w:tcW w:w="3098" w:type="dxa"/>
            <w:tcBorders>
              <w:top w:val="single" w:sz="4" w:space="0" w:color="auto"/>
              <w:left w:val="single" w:sz="4" w:space="0" w:color="auto"/>
              <w:bottom w:val="nil"/>
              <w:right w:val="single" w:sz="4" w:space="0" w:color="auto"/>
            </w:tcBorders>
            <w:shd w:val="clear" w:color="auto" w:fill="auto"/>
          </w:tcPr>
          <w:p w14:paraId="37CDF68C" w14:textId="77777777" w:rsidR="003A78E7" w:rsidRPr="0030671E" w:rsidRDefault="003A78E7" w:rsidP="00A30D45">
            <w:pPr>
              <w:pStyle w:val="CS-TextinTable10pt"/>
              <w:spacing w:before="20" w:after="20"/>
              <w:rPr>
                <w:rFonts w:ascii="Arial" w:hAnsi="Arial" w:cs="Arial"/>
              </w:rPr>
            </w:pPr>
            <w:r w:rsidRPr="0030671E">
              <w:rPr>
                <w:rFonts w:ascii="Arial" w:hAnsi="Arial" w:cs="Arial"/>
              </w:rPr>
              <w:t>Number of analysed patients</w:t>
            </w:r>
          </w:p>
          <w:p w14:paraId="73782EA6" w14:textId="77777777" w:rsidR="003A78E7" w:rsidRPr="0030671E" w:rsidRDefault="003A78E7" w:rsidP="00A30D45">
            <w:pPr>
              <w:pStyle w:val="CS-TextinTable10pt"/>
              <w:spacing w:before="20" w:after="20"/>
              <w:rPr>
                <w:rFonts w:ascii="Arial" w:hAnsi="Arial" w:cs="Arial"/>
              </w:rPr>
            </w:pPr>
          </w:p>
        </w:tc>
        <w:tc>
          <w:tcPr>
            <w:tcW w:w="3098" w:type="dxa"/>
            <w:tcBorders>
              <w:top w:val="single" w:sz="4" w:space="0" w:color="auto"/>
              <w:left w:val="single" w:sz="4" w:space="0" w:color="auto"/>
              <w:bottom w:val="nil"/>
              <w:right w:val="single" w:sz="4" w:space="0" w:color="auto"/>
            </w:tcBorders>
            <w:shd w:val="clear" w:color="auto" w:fill="auto"/>
          </w:tcPr>
          <w:p w14:paraId="64A295AE" w14:textId="77777777" w:rsidR="003A78E7" w:rsidRPr="0030671E" w:rsidRDefault="003A78E7" w:rsidP="00A30D45">
            <w:pPr>
              <w:keepNext/>
              <w:keepLines/>
              <w:tabs>
                <w:tab w:val="left" w:pos="144"/>
              </w:tabs>
              <w:spacing w:before="20" w:after="20"/>
              <w:jc w:val="center"/>
              <w:rPr>
                <w:rFonts w:ascii="Arial" w:hAnsi="Arial" w:cs="Arial"/>
                <w:sz w:val="20"/>
              </w:rPr>
            </w:pPr>
            <w:r w:rsidRPr="0030671E">
              <w:rPr>
                <w:rFonts w:ascii="Arial" w:hAnsi="Arial" w:cs="Arial"/>
                <w:sz w:val="20"/>
              </w:rPr>
              <w:t>288</w:t>
            </w:r>
          </w:p>
        </w:tc>
        <w:tc>
          <w:tcPr>
            <w:tcW w:w="3099" w:type="dxa"/>
            <w:tcBorders>
              <w:top w:val="single" w:sz="4" w:space="0" w:color="auto"/>
              <w:left w:val="single" w:sz="4" w:space="0" w:color="auto"/>
              <w:bottom w:val="nil"/>
              <w:right w:val="single" w:sz="4" w:space="0" w:color="auto"/>
            </w:tcBorders>
            <w:shd w:val="clear" w:color="auto" w:fill="auto"/>
          </w:tcPr>
          <w:p w14:paraId="4C552C52" w14:textId="77777777" w:rsidR="003A78E7" w:rsidRPr="0030671E" w:rsidRDefault="003A78E7" w:rsidP="00A30D45">
            <w:pPr>
              <w:keepNext/>
              <w:keepLines/>
              <w:tabs>
                <w:tab w:val="left" w:pos="144"/>
              </w:tabs>
              <w:spacing w:before="20" w:after="20"/>
              <w:jc w:val="center"/>
              <w:rPr>
                <w:rFonts w:ascii="Arial" w:hAnsi="Arial" w:cs="Arial"/>
                <w:sz w:val="20"/>
              </w:rPr>
            </w:pPr>
            <w:r w:rsidRPr="0030671E">
              <w:rPr>
                <w:rFonts w:ascii="Arial" w:hAnsi="Arial" w:cs="Arial"/>
                <w:sz w:val="20"/>
              </w:rPr>
              <w:t>287</w:t>
            </w:r>
          </w:p>
        </w:tc>
      </w:tr>
      <w:tr w:rsidR="003A78E7" w:rsidRPr="0030671E" w14:paraId="2458861F"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53CE49E8" w14:textId="77777777" w:rsidR="003A78E7" w:rsidRPr="0030671E" w:rsidRDefault="003A78E7" w:rsidP="00A30D45">
            <w:pPr>
              <w:pStyle w:val="CS-TextinTable10pt"/>
              <w:spacing w:before="20" w:after="20"/>
              <w:rPr>
                <w:rFonts w:ascii="Arial" w:hAnsi="Arial" w:cs="Arial"/>
              </w:rPr>
            </w:pPr>
            <w:r w:rsidRPr="0030671E">
              <w:rPr>
                <w:rFonts w:ascii="Arial" w:hAnsi="Arial" w:cs="Arial"/>
              </w:rPr>
              <w:t>Rate</w:t>
            </w:r>
            <w:r w:rsidRPr="0030671E">
              <w:rPr>
                <w:rFonts w:ascii="Arial" w:hAnsi="Arial" w:cs="Arial"/>
                <w:vertAlign w:val="superscript"/>
              </w:rPr>
              <w:t>1</w:t>
            </w:r>
            <w:r w:rsidRPr="0030671E">
              <w:rPr>
                <w:rFonts w:ascii="Arial" w:hAnsi="Arial" w:cs="Arial"/>
              </w:rPr>
              <w:t xml:space="preserve"> (SE) of decline over 52 weeks</w:t>
            </w:r>
          </w:p>
          <w:p w14:paraId="2BF63BD9" w14:textId="77777777" w:rsidR="003A78E7" w:rsidRPr="0030671E" w:rsidRDefault="003A78E7" w:rsidP="00A30D45">
            <w:pPr>
              <w:pStyle w:val="CS-TextinTable10pt"/>
              <w:spacing w:before="20" w:after="20"/>
              <w:rPr>
                <w:rFonts w:ascii="Arial" w:hAnsi="Arial" w:cs="Arial"/>
              </w:rPr>
            </w:pPr>
          </w:p>
        </w:tc>
        <w:tc>
          <w:tcPr>
            <w:tcW w:w="3098" w:type="dxa"/>
            <w:tcBorders>
              <w:top w:val="nil"/>
              <w:left w:val="single" w:sz="4" w:space="0" w:color="auto"/>
              <w:bottom w:val="nil"/>
              <w:right w:val="single" w:sz="4" w:space="0" w:color="auto"/>
            </w:tcBorders>
            <w:shd w:val="clear" w:color="auto" w:fill="auto"/>
          </w:tcPr>
          <w:p w14:paraId="2062C342" w14:textId="77777777" w:rsidR="003A78E7" w:rsidRPr="0030671E" w:rsidRDefault="003A78E7" w:rsidP="00A30D45">
            <w:pPr>
              <w:pStyle w:val="CS-TextinTable10pt"/>
              <w:spacing w:before="20" w:after="20"/>
              <w:jc w:val="center"/>
              <w:rPr>
                <w:rFonts w:ascii="Arial" w:hAnsi="Arial" w:cs="Arial"/>
              </w:rPr>
            </w:pPr>
            <w:r w:rsidRPr="0030671E">
              <w:rPr>
                <w:rFonts w:ascii="Arial" w:hAnsi="Arial" w:cs="Arial"/>
              </w:rPr>
              <w:t>-2.6 (0.4)</w:t>
            </w:r>
          </w:p>
        </w:tc>
        <w:tc>
          <w:tcPr>
            <w:tcW w:w="3099" w:type="dxa"/>
            <w:tcBorders>
              <w:top w:val="nil"/>
              <w:left w:val="single" w:sz="4" w:space="0" w:color="auto"/>
              <w:bottom w:val="nil"/>
              <w:right w:val="single" w:sz="4" w:space="0" w:color="auto"/>
            </w:tcBorders>
            <w:shd w:val="clear" w:color="auto" w:fill="auto"/>
          </w:tcPr>
          <w:p w14:paraId="07E98323" w14:textId="77777777" w:rsidR="003A78E7" w:rsidRPr="0030671E" w:rsidRDefault="003A78E7" w:rsidP="00A30D45">
            <w:pPr>
              <w:pStyle w:val="CS-TextinTable10pt"/>
              <w:spacing w:before="20" w:after="20"/>
              <w:jc w:val="center"/>
              <w:rPr>
                <w:rFonts w:ascii="Arial" w:hAnsi="Arial" w:cs="Arial"/>
              </w:rPr>
            </w:pPr>
            <w:r w:rsidRPr="0030671E">
              <w:rPr>
                <w:rFonts w:ascii="Arial" w:hAnsi="Arial" w:cs="Arial"/>
              </w:rPr>
              <w:t>-1.4 (0.4)</w:t>
            </w:r>
          </w:p>
        </w:tc>
      </w:tr>
      <w:tr w:rsidR="003A78E7" w:rsidRPr="0030671E" w14:paraId="32AC8893"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731E13C6" w14:textId="77777777" w:rsidR="003A78E7" w:rsidRPr="0030671E" w:rsidRDefault="003A78E7" w:rsidP="00A30D45">
            <w:pPr>
              <w:pStyle w:val="CS-TextinTable10pt"/>
              <w:spacing w:before="20" w:after="20"/>
              <w:rPr>
                <w:rFonts w:ascii="Arial" w:hAnsi="Arial" w:cs="Arial"/>
              </w:rPr>
            </w:pPr>
            <w:r w:rsidRPr="0030671E">
              <w:rPr>
                <w:rFonts w:ascii="Arial" w:hAnsi="Arial" w:cs="Arial"/>
              </w:rPr>
              <w:t>Comparison vs placebo</w:t>
            </w:r>
          </w:p>
        </w:tc>
        <w:tc>
          <w:tcPr>
            <w:tcW w:w="3098" w:type="dxa"/>
            <w:tcBorders>
              <w:top w:val="nil"/>
              <w:left w:val="single" w:sz="4" w:space="0" w:color="auto"/>
              <w:bottom w:val="nil"/>
              <w:right w:val="single" w:sz="4" w:space="0" w:color="auto"/>
            </w:tcBorders>
            <w:shd w:val="clear" w:color="auto" w:fill="auto"/>
          </w:tcPr>
          <w:p w14:paraId="63E97BD4" w14:textId="77777777" w:rsidR="003A78E7" w:rsidRPr="0030671E"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0F40593F" w14:textId="77777777" w:rsidR="003A78E7" w:rsidRPr="0030671E" w:rsidRDefault="003A78E7" w:rsidP="00A30D45">
            <w:pPr>
              <w:keepNext/>
              <w:keepLines/>
              <w:tabs>
                <w:tab w:val="left" w:pos="144"/>
              </w:tabs>
              <w:spacing w:before="20" w:after="20"/>
              <w:jc w:val="center"/>
              <w:rPr>
                <w:rFonts w:ascii="Arial" w:hAnsi="Arial" w:cs="Arial"/>
                <w:sz w:val="20"/>
              </w:rPr>
            </w:pPr>
          </w:p>
        </w:tc>
      </w:tr>
      <w:tr w:rsidR="003A78E7" w:rsidRPr="0030671E" w14:paraId="37A29688"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20003C35" w14:textId="77777777" w:rsidR="003A78E7" w:rsidRPr="0030671E" w:rsidRDefault="003A78E7" w:rsidP="00A30D45">
            <w:pPr>
              <w:pStyle w:val="CS-TextinTable10pt"/>
              <w:tabs>
                <w:tab w:val="clear" w:pos="144"/>
                <w:tab w:val="left" w:pos="78"/>
              </w:tabs>
              <w:spacing w:before="20" w:after="20"/>
              <w:rPr>
                <w:rFonts w:ascii="Arial" w:hAnsi="Arial" w:cs="Arial"/>
              </w:rPr>
            </w:pPr>
            <w:r w:rsidRPr="0030671E">
              <w:rPr>
                <w:rFonts w:ascii="Arial" w:hAnsi="Arial" w:cs="Arial"/>
              </w:rPr>
              <w:t>Difference</w:t>
            </w:r>
            <w:r w:rsidRPr="0030671E">
              <w:rPr>
                <w:rFonts w:ascii="Arial" w:hAnsi="Arial" w:cs="Arial"/>
                <w:vertAlign w:val="superscript"/>
              </w:rPr>
              <w:t>1</w:t>
            </w:r>
          </w:p>
        </w:tc>
        <w:tc>
          <w:tcPr>
            <w:tcW w:w="3098" w:type="dxa"/>
            <w:tcBorders>
              <w:top w:val="nil"/>
              <w:left w:val="single" w:sz="4" w:space="0" w:color="auto"/>
              <w:bottom w:val="nil"/>
              <w:right w:val="single" w:sz="4" w:space="0" w:color="auto"/>
            </w:tcBorders>
            <w:shd w:val="clear" w:color="auto" w:fill="auto"/>
          </w:tcPr>
          <w:p w14:paraId="441277B3" w14:textId="77777777" w:rsidR="003A78E7" w:rsidRPr="0030671E"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1386DB95" w14:textId="77777777" w:rsidR="003A78E7" w:rsidRPr="0030671E" w:rsidRDefault="003A78E7" w:rsidP="00A30D45">
            <w:pPr>
              <w:pStyle w:val="CS-TextinTable10pt"/>
              <w:spacing w:before="20" w:after="20"/>
              <w:jc w:val="center"/>
              <w:rPr>
                <w:rFonts w:ascii="Arial" w:hAnsi="Arial" w:cs="Arial"/>
              </w:rPr>
            </w:pPr>
            <w:r w:rsidRPr="0030671E">
              <w:rPr>
                <w:rFonts w:ascii="Arial" w:hAnsi="Arial" w:cs="Arial"/>
              </w:rPr>
              <w:t>1.15</w:t>
            </w:r>
          </w:p>
        </w:tc>
      </w:tr>
      <w:tr w:rsidR="003A78E7" w:rsidRPr="0030671E" w14:paraId="18E8C8E0" w14:textId="77777777" w:rsidTr="00882437">
        <w:trPr>
          <w:jc w:val="center"/>
        </w:trPr>
        <w:tc>
          <w:tcPr>
            <w:tcW w:w="3098" w:type="dxa"/>
            <w:tcBorders>
              <w:top w:val="nil"/>
              <w:left w:val="single" w:sz="4" w:space="0" w:color="auto"/>
              <w:bottom w:val="nil"/>
              <w:right w:val="single" w:sz="4" w:space="0" w:color="auto"/>
            </w:tcBorders>
            <w:shd w:val="clear" w:color="auto" w:fill="auto"/>
          </w:tcPr>
          <w:p w14:paraId="7375AA1B" w14:textId="77777777" w:rsidR="003A78E7" w:rsidRPr="0030671E" w:rsidRDefault="003A78E7" w:rsidP="00A30D45">
            <w:pPr>
              <w:pStyle w:val="CS-TextinTable10pt"/>
              <w:tabs>
                <w:tab w:val="clear" w:pos="144"/>
                <w:tab w:val="left" w:pos="314"/>
              </w:tabs>
              <w:spacing w:before="20" w:after="20"/>
              <w:rPr>
                <w:rFonts w:ascii="Arial" w:hAnsi="Arial" w:cs="Arial"/>
              </w:rPr>
            </w:pPr>
            <w:r w:rsidRPr="0030671E">
              <w:rPr>
                <w:rFonts w:ascii="Arial" w:eastAsia="PMingLiU" w:hAnsi="Arial" w:cs="Arial"/>
              </w:rPr>
              <w:tab/>
            </w:r>
            <w:r w:rsidRPr="0030671E">
              <w:rPr>
                <w:rFonts w:ascii="Arial" w:hAnsi="Arial" w:cs="Arial"/>
              </w:rPr>
              <w:t>95% CI</w:t>
            </w:r>
          </w:p>
        </w:tc>
        <w:tc>
          <w:tcPr>
            <w:tcW w:w="3098" w:type="dxa"/>
            <w:tcBorders>
              <w:top w:val="nil"/>
              <w:left w:val="single" w:sz="4" w:space="0" w:color="auto"/>
              <w:bottom w:val="nil"/>
              <w:right w:val="single" w:sz="4" w:space="0" w:color="auto"/>
            </w:tcBorders>
            <w:shd w:val="clear" w:color="auto" w:fill="auto"/>
          </w:tcPr>
          <w:p w14:paraId="040BD1B0" w14:textId="77777777" w:rsidR="003A78E7" w:rsidRPr="0030671E"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nil"/>
              <w:right w:val="single" w:sz="4" w:space="0" w:color="auto"/>
            </w:tcBorders>
            <w:shd w:val="clear" w:color="auto" w:fill="auto"/>
          </w:tcPr>
          <w:p w14:paraId="5477F46C" w14:textId="77777777" w:rsidR="003A78E7" w:rsidRPr="0030671E" w:rsidRDefault="003A78E7" w:rsidP="00A30D45">
            <w:pPr>
              <w:pStyle w:val="CS-TextinTable10pt"/>
              <w:spacing w:before="20" w:after="20"/>
              <w:jc w:val="center"/>
              <w:rPr>
                <w:rFonts w:ascii="Arial" w:hAnsi="Arial" w:cs="Arial"/>
              </w:rPr>
            </w:pPr>
            <w:r w:rsidRPr="0030671E">
              <w:rPr>
                <w:rFonts w:ascii="Arial" w:hAnsi="Arial" w:cs="Arial"/>
              </w:rPr>
              <w:t>(0.09, 2.21)</w:t>
            </w:r>
          </w:p>
        </w:tc>
      </w:tr>
      <w:tr w:rsidR="003A78E7" w:rsidRPr="0030671E" w14:paraId="2DFDF9D5" w14:textId="77777777" w:rsidTr="00882437">
        <w:trPr>
          <w:jc w:val="center"/>
        </w:trPr>
        <w:tc>
          <w:tcPr>
            <w:tcW w:w="3098" w:type="dxa"/>
            <w:tcBorders>
              <w:top w:val="nil"/>
              <w:left w:val="single" w:sz="4" w:space="0" w:color="auto"/>
              <w:bottom w:val="single" w:sz="4" w:space="0" w:color="auto"/>
              <w:right w:val="single" w:sz="4" w:space="0" w:color="auto"/>
            </w:tcBorders>
            <w:shd w:val="clear" w:color="auto" w:fill="auto"/>
          </w:tcPr>
          <w:p w14:paraId="356EF398" w14:textId="77777777" w:rsidR="003A78E7" w:rsidRPr="0030671E" w:rsidRDefault="003A78E7" w:rsidP="00A30D45">
            <w:pPr>
              <w:pStyle w:val="CS-TextinTable10pt"/>
              <w:tabs>
                <w:tab w:val="clear" w:pos="144"/>
                <w:tab w:val="left" w:pos="314"/>
              </w:tabs>
              <w:spacing w:before="20" w:after="20"/>
              <w:rPr>
                <w:rFonts w:ascii="Arial" w:hAnsi="Arial" w:cs="Arial"/>
              </w:rPr>
            </w:pPr>
            <w:r w:rsidRPr="0030671E">
              <w:rPr>
                <w:rFonts w:ascii="Arial" w:eastAsia="PMingLiU" w:hAnsi="Arial" w:cs="Arial"/>
              </w:rPr>
              <w:tab/>
            </w:r>
            <w:r w:rsidRPr="0030671E">
              <w:rPr>
                <w:rFonts w:ascii="Arial" w:hAnsi="Arial" w:cs="Arial"/>
              </w:rPr>
              <w:t>p-value</w:t>
            </w:r>
          </w:p>
          <w:p w14:paraId="7C83ED39" w14:textId="77777777" w:rsidR="003A78E7" w:rsidRPr="0030671E" w:rsidRDefault="003A78E7" w:rsidP="00A30D45">
            <w:pPr>
              <w:pStyle w:val="CS-TextinTable10pt"/>
              <w:tabs>
                <w:tab w:val="clear" w:pos="144"/>
                <w:tab w:val="left" w:pos="314"/>
              </w:tabs>
              <w:spacing w:before="20" w:after="20"/>
              <w:rPr>
                <w:rFonts w:ascii="Arial" w:hAnsi="Arial" w:cs="Arial"/>
              </w:rPr>
            </w:pPr>
          </w:p>
        </w:tc>
        <w:tc>
          <w:tcPr>
            <w:tcW w:w="3098" w:type="dxa"/>
            <w:tcBorders>
              <w:top w:val="nil"/>
              <w:left w:val="single" w:sz="4" w:space="0" w:color="auto"/>
              <w:bottom w:val="single" w:sz="4" w:space="0" w:color="auto"/>
              <w:right w:val="single" w:sz="4" w:space="0" w:color="auto"/>
            </w:tcBorders>
            <w:shd w:val="clear" w:color="auto" w:fill="auto"/>
          </w:tcPr>
          <w:p w14:paraId="6C30B032" w14:textId="77777777" w:rsidR="003A78E7" w:rsidRPr="0030671E" w:rsidRDefault="003A78E7" w:rsidP="00A30D45">
            <w:pPr>
              <w:keepNext/>
              <w:keepLines/>
              <w:tabs>
                <w:tab w:val="left" w:pos="144"/>
              </w:tabs>
              <w:spacing w:before="20" w:after="20"/>
              <w:jc w:val="center"/>
              <w:rPr>
                <w:rFonts w:ascii="Arial" w:hAnsi="Arial" w:cs="Arial"/>
                <w:sz w:val="20"/>
              </w:rPr>
            </w:pPr>
          </w:p>
        </w:tc>
        <w:tc>
          <w:tcPr>
            <w:tcW w:w="3099" w:type="dxa"/>
            <w:tcBorders>
              <w:top w:val="nil"/>
              <w:left w:val="single" w:sz="4" w:space="0" w:color="auto"/>
              <w:bottom w:val="single" w:sz="4" w:space="0" w:color="auto"/>
              <w:right w:val="single" w:sz="4" w:space="0" w:color="auto"/>
            </w:tcBorders>
            <w:shd w:val="clear" w:color="auto" w:fill="auto"/>
          </w:tcPr>
          <w:p w14:paraId="22E45E2F" w14:textId="77777777" w:rsidR="003A78E7" w:rsidRPr="0030671E" w:rsidRDefault="003A78E7" w:rsidP="00A30D45">
            <w:pPr>
              <w:pStyle w:val="CS-TextinTable10pt"/>
              <w:spacing w:before="20" w:after="20"/>
              <w:jc w:val="center"/>
              <w:rPr>
                <w:rFonts w:ascii="Arial" w:hAnsi="Arial" w:cs="Arial"/>
              </w:rPr>
            </w:pPr>
            <w:r w:rsidRPr="0030671E">
              <w:rPr>
                <w:rFonts w:ascii="Arial" w:hAnsi="Arial" w:cs="Arial"/>
              </w:rPr>
              <w:t>&lt;0.05</w:t>
            </w:r>
          </w:p>
        </w:tc>
      </w:tr>
      <w:tr w:rsidR="003A78E7" w:rsidRPr="0030671E" w14:paraId="00399189" w14:textId="77777777" w:rsidTr="00882437">
        <w:trPr>
          <w:jc w:val="center"/>
        </w:trPr>
        <w:tc>
          <w:tcPr>
            <w:tcW w:w="9295" w:type="dxa"/>
            <w:gridSpan w:val="3"/>
            <w:tcBorders>
              <w:top w:val="single" w:sz="4" w:space="0" w:color="auto"/>
              <w:left w:val="single" w:sz="4" w:space="0" w:color="auto"/>
              <w:bottom w:val="single" w:sz="4" w:space="0" w:color="auto"/>
              <w:right w:val="single" w:sz="4" w:space="0" w:color="auto"/>
            </w:tcBorders>
            <w:shd w:val="clear" w:color="auto" w:fill="auto"/>
          </w:tcPr>
          <w:p w14:paraId="0366222C" w14:textId="77777777" w:rsidR="003A78E7" w:rsidRPr="0030671E" w:rsidRDefault="003A78E7" w:rsidP="00A30D45">
            <w:pPr>
              <w:rPr>
                <w:rFonts w:ascii="Arial" w:hAnsi="Arial" w:cs="Arial"/>
                <w:sz w:val="20"/>
              </w:rPr>
            </w:pPr>
            <w:r w:rsidRPr="00785D39">
              <w:rPr>
                <w:rFonts w:ascii="Arial" w:hAnsi="Arial" w:cs="Arial"/>
                <w:sz w:val="18"/>
                <w:szCs w:val="18"/>
                <w:vertAlign w:val="superscript"/>
              </w:rPr>
              <w:t>1</w:t>
            </w:r>
            <w:r w:rsidRPr="00785D39">
              <w:rPr>
                <w:rFonts w:ascii="Arial" w:hAnsi="Arial" w:cs="Arial"/>
                <w:sz w:val="18"/>
                <w:szCs w:val="18"/>
                <w:lang w:eastAsia="zh-CN" w:bidi="th-TH"/>
              </w:rPr>
              <w:t xml:space="preserve">Based on a random coefficient regression with fixed categorical effects of treatment, ATA status, fixed continuous effects of time, baseline FVC [% </w:t>
            </w:r>
            <w:proofErr w:type="spellStart"/>
            <w:r w:rsidRPr="00785D39">
              <w:rPr>
                <w:rFonts w:ascii="Arial" w:hAnsi="Arial" w:cs="Arial"/>
                <w:sz w:val="18"/>
                <w:szCs w:val="18"/>
                <w:lang w:eastAsia="zh-CN" w:bidi="th-TH"/>
              </w:rPr>
              <w:t>pred</w:t>
            </w:r>
            <w:proofErr w:type="spellEnd"/>
            <w:r w:rsidRPr="00785D39">
              <w:rPr>
                <w:rFonts w:ascii="Arial" w:hAnsi="Arial" w:cs="Arial"/>
                <w:sz w:val="18"/>
                <w:szCs w:val="18"/>
                <w:lang w:eastAsia="zh-CN" w:bidi="th-TH"/>
              </w:rPr>
              <w:t>], and including treatment-by-time and baseline-by-time interactions. Random effect was included for patient specific intercept and time. Within-patient errors were modelled by an unstructured variance-covariance matrix. Inter-individual variability was modelled by a variance-components variance-covariance matrix</w:t>
            </w:r>
          </w:p>
        </w:tc>
      </w:tr>
    </w:tbl>
    <w:p w14:paraId="3E1F8D9C" w14:textId="77777777" w:rsidR="003A78E7" w:rsidRPr="0030671E" w:rsidRDefault="003A78E7" w:rsidP="00936DD4">
      <w:pPr>
        <w:autoSpaceDE w:val="0"/>
        <w:autoSpaceDN w:val="0"/>
        <w:adjustRightInd w:val="0"/>
        <w:spacing w:before="180"/>
        <w:jc w:val="both"/>
        <w:rPr>
          <w:rFonts w:ascii="Arial" w:hAnsi="Arial"/>
          <w:sz w:val="22"/>
          <w:szCs w:val="22"/>
          <w:u w:val="single"/>
          <w:lang w:val="en-GB" w:eastAsia="en-GB"/>
        </w:rPr>
      </w:pPr>
      <w:r w:rsidRPr="0030671E">
        <w:rPr>
          <w:rFonts w:ascii="Arial" w:hAnsi="Arial"/>
          <w:sz w:val="22"/>
          <w:szCs w:val="22"/>
          <w:u w:val="single"/>
          <w:lang w:val="en-GB" w:eastAsia="en-GB"/>
        </w:rPr>
        <w:t xml:space="preserve">Change from baseline in Modified </w:t>
      </w:r>
      <w:proofErr w:type="spellStart"/>
      <w:r w:rsidRPr="0030671E">
        <w:rPr>
          <w:rFonts w:ascii="Arial" w:hAnsi="Arial"/>
          <w:sz w:val="22"/>
          <w:szCs w:val="22"/>
          <w:u w:val="single"/>
          <w:lang w:val="en-GB" w:eastAsia="en-GB"/>
        </w:rPr>
        <w:t>Rodnan</w:t>
      </w:r>
      <w:proofErr w:type="spellEnd"/>
      <w:r w:rsidRPr="0030671E">
        <w:rPr>
          <w:rFonts w:ascii="Arial" w:hAnsi="Arial"/>
          <w:sz w:val="22"/>
          <w:szCs w:val="22"/>
          <w:u w:val="single"/>
          <w:lang w:val="en-GB" w:eastAsia="en-GB"/>
        </w:rPr>
        <w:t xml:space="preserve"> Skin Score (</w:t>
      </w:r>
      <w:proofErr w:type="spellStart"/>
      <w:r w:rsidRPr="0030671E">
        <w:rPr>
          <w:rFonts w:ascii="Arial" w:hAnsi="Arial"/>
          <w:sz w:val="22"/>
          <w:szCs w:val="22"/>
          <w:u w:val="single"/>
          <w:lang w:val="en-GB" w:eastAsia="en-GB"/>
        </w:rPr>
        <w:t>mRSS</w:t>
      </w:r>
      <w:proofErr w:type="spellEnd"/>
      <w:r w:rsidRPr="0030671E">
        <w:rPr>
          <w:rFonts w:ascii="Arial" w:hAnsi="Arial"/>
          <w:sz w:val="22"/>
          <w:szCs w:val="22"/>
          <w:u w:val="single"/>
          <w:lang w:val="en-GB" w:eastAsia="en-GB"/>
        </w:rPr>
        <w:t>) at week 52</w:t>
      </w:r>
    </w:p>
    <w:p w14:paraId="5B885F5B" w14:textId="77777777" w:rsidR="003A78E7" w:rsidRPr="0030671E" w:rsidRDefault="003A78E7" w:rsidP="003A78E7">
      <w:pPr>
        <w:autoSpaceDE w:val="0"/>
        <w:autoSpaceDN w:val="0"/>
        <w:adjustRightInd w:val="0"/>
        <w:jc w:val="both"/>
        <w:rPr>
          <w:rFonts w:ascii="Arial" w:hAnsi="Arial"/>
          <w:sz w:val="22"/>
          <w:szCs w:val="22"/>
          <w:lang w:val="en-GB" w:eastAsia="en-GB"/>
        </w:rPr>
      </w:pPr>
      <w:r w:rsidRPr="0030671E">
        <w:rPr>
          <w:rFonts w:ascii="Arial" w:hAnsi="Arial"/>
          <w:sz w:val="22"/>
          <w:szCs w:val="22"/>
          <w:lang w:val="en-GB" w:eastAsia="en-GB"/>
        </w:rPr>
        <w:t xml:space="preserve">The adjusted mean absolute change from baseline in </w:t>
      </w:r>
      <w:proofErr w:type="spellStart"/>
      <w:r w:rsidRPr="0030671E">
        <w:rPr>
          <w:rFonts w:ascii="Arial" w:hAnsi="Arial"/>
          <w:sz w:val="22"/>
          <w:szCs w:val="22"/>
          <w:lang w:val="en-GB" w:eastAsia="en-GB"/>
        </w:rPr>
        <w:t>mRSS</w:t>
      </w:r>
      <w:proofErr w:type="spellEnd"/>
      <w:r w:rsidRPr="0030671E">
        <w:rPr>
          <w:rFonts w:ascii="Arial" w:hAnsi="Arial"/>
          <w:sz w:val="22"/>
          <w:szCs w:val="22"/>
          <w:lang w:val="en-GB" w:eastAsia="en-GB"/>
        </w:rPr>
        <w:t xml:space="preserve"> at week 52 was comparable between the </w:t>
      </w:r>
      <w:r>
        <w:rPr>
          <w:rFonts w:ascii="Arial" w:hAnsi="Arial"/>
          <w:sz w:val="22"/>
          <w:szCs w:val="22"/>
          <w:lang w:val="en-GB" w:eastAsia="en-GB"/>
        </w:rPr>
        <w:t>OFEV</w:t>
      </w:r>
      <w:r w:rsidRPr="0030671E">
        <w:rPr>
          <w:rFonts w:ascii="Arial" w:hAnsi="Arial"/>
          <w:sz w:val="22"/>
          <w:szCs w:val="22"/>
          <w:lang w:val="en-GB" w:eastAsia="en-GB"/>
        </w:rPr>
        <w:t xml:space="preserve"> group (-2.17 (95% CI -2.69, -1.65)) and the placebo group (-1.96 (95% CI -2.48, -1.45)). The adjusted mean difference between the treatment groups was -0.21 (95% CI -0.94, 0.53; p = 0.5785).</w:t>
      </w:r>
    </w:p>
    <w:p w14:paraId="4EFEB124" w14:textId="77777777" w:rsidR="003A78E7" w:rsidRPr="0030671E" w:rsidRDefault="003A78E7" w:rsidP="00936DD4">
      <w:pPr>
        <w:autoSpaceDE w:val="0"/>
        <w:autoSpaceDN w:val="0"/>
        <w:adjustRightInd w:val="0"/>
        <w:spacing w:before="180"/>
        <w:jc w:val="both"/>
        <w:rPr>
          <w:rFonts w:ascii="Arial" w:hAnsi="Arial"/>
          <w:sz w:val="22"/>
          <w:szCs w:val="22"/>
          <w:u w:val="single"/>
          <w:lang w:val="en-GB" w:eastAsia="en-GB"/>
        </w:rPr>
      </w:pPr>
      <w:r w:rsidRPr="0030671E">
        <w:rPr>
          <w:rFonts w:ascii="Arial" w:hAnsi="Arial"/>
          <w:sz w:val="22"/>
          <w:szCs w:val="22"/>
          <w:u w:val="single"/>
          <w:lang w:val="en-GB" w:eastAsia="en-GB"/>
        </w:rPr>
        <w:t>Change from baseline in St. George’s Respiratory Questionnaire (SGRQ) total score at week 52</w:t>
      </w:r>
    </w:p>
    <w:p w14:paraId="1BDE8E9E" w14:textId="77777777" w:rsidR="003A78E7" w:rsidRDefault="003A78E7" w:rsidP="003A78E7">
      <w:pPr>
        <w:autoSpaceDE w:val="0"/>
        <w:autoSpaceDN w:val="0"/>
        <w:adjustRightInd w:val="0"/>
        <w:jc w:val="both"/>
        <w:rPr>
          <w:rFonts w:ascii="Arial" w:hAnsi="Arial"/>
          <w:sz w:val="22"/>
          <w:szCs w:val="22"/>
          <w:lang w:val="en-GB" w:eastAsia="en-GB"/>
        </w:rPr>
      </w:pPr>
      <w:r w:rsidRPr="0030671E">
        <w:rPr>
          <w:rFonts w:ascii="Arial" w:hAnsi="Arial"/>
          <w:sz w:val="22"/>
          <w:szCs w:val="22"/>
          <w:lang w:val="en-GB" w:eastAsia="en-GB"/>
        </w:rPr>
        <w:t xml:space="preserve">The adjusted mean absolute change from baseline in SGRQ total score at week 52 was comparable between the </w:t>
      </w:r>
      <w:r>
        <w:rPr>
          <w:rFonts w:ascii="Arial" w:hAnsi="Arial"/>
          <w:sz w:val="22"/>
          <w:szCs w:val="22"/>
          <w:lang w:val="en-GB" w:eastAsia="en-GB"/>
        </w:rPr>
        <w:t>OFEV</w:t>
      </w:r>
      <w:r w:rsidRPr="0030671E">
        <w:rPr>
          <w:rFonts w:ascii="Arial" w:hAnsi="Arial"/>
          <w:sz w:val="22"/>
          <w:szCs w:val="22"/>
          <w:lang w:val="en-GB" w:eastAsia="en-GB"/>
        </w:rPr>
        <w:t xml:space="preserve"> group (0.81 (95% CI -0.92, 2.55)) and the placebo group (</w:t>
      </w:r>
      <w:r>
        <w:rPr>
          <w:rFonts w:ascii="Arial" w:hAnsi="Arial"/>
          <w:sz w:val="22"/>
          <w:szCs w:val="22"/>
          <w:lang w:val="en-GB" w:eastAsia="en-GB"/>
        </w:rPr>
        <w:noBreakHyphen/>
      </w:r>
      <w:r w:rsidRPr="0030671E">
        <w:rPr>
          <w:rFonts w:ascii="Arial" w:hAnsi="Arial"/>
          <w:sz w:val="22"/>
          <w:szCs w:val="22"/>
          <w:lang w:val="en-GB" w:eastAsia="en-GB"/>
        </w:rPr>
        <w:t>0.88 (95% CI -2.58, 0.82)). The adjusted mean difference between the treatment groups was 1.69 (95% CI -0.73, 4.12; p = 0.1711).</w:t>
      </w:r>
    </w:p>
    <w:p w14:paraId="0218CB74" w14:textId="77777777" w:rsidR="003A78E7" w:rsidRPr="0030671E" w:rsidRDefault="003A78E7" w:rsidP="00936DD4">
      <w:pPr>
        <w:keepNext/>
        <w:autoSpaceDE w:val="0"/>
        <w:autoSpaceDN w:val="0"/>
        <w:adjustRightInd w:val="0"/>
        <w:spacing w:before="180"/>
        <w:jc w:val="both"/>
        <w:rPr>
          <w:rFonts w:ascii="Arial" w:hAnsi="Arial"/>
          <w:sz w:val="22"/>
          <w:szCs w:val="22"/>
          <w:u w:val="single"/>
          <w:lang w:val="en-GB" w:eastAsia="en-GB"/>
        </w:rPr>
      </w:pPr>
      <w:r w:rsidRPr="0030671E">
        <w:rPr>
          <w:rFonts w:ascii="Arial" w:hAnsi="Arial"/>
          <w:sz w:val="22"/>
          <w:szCs w:val="22"/>
          <w:u w:val="single"/>
          <w:lang w:val="en-GB" w:eastAsia="en-GB"/>
        </w:rPr>
        <w:t>Survival analysis</w:t>
      </w:r>
    </w:p>
    <w:p w14:paraId="0C41D67E" w14:textId="77777777" w:rsidR="003A78E7" w:rsidRPr="0030671E" w:rsidRDefault="003A78E7" w:rsidP="003A78E7">
      <w:pPr>
        <w:autoSpaceDE w:val="0"/>
        <w:autoSpaceDN w:val="0"/>
        <w:adjustRightInd w:val="0"/>
        <w:jc w:val="both"/>
        <w:rPr>
          <w:rFonts w:ascii="Arial" w:hAnsi="Arial"/>
          <w:sz w:val="22"/>
          <w:szCs w:val="22"/>
          <w:lang w:val="en-GB" w:eastAsia="en-GB"/>
        </w:rPr>
      </w:pPr>
      <w:r w:rsidRPr="0030671E">
        <w:rPr>
          <w:rFonts w:ascii="Arial" w:hAnsi="Arial"/>
          <w:sz w:val="22"/>
          <w:szCs w:val="22"/>
          <w:lang w:val="en-GB" w:eastAsia="en-GB"/>
        </w:rPr>
        <w:t xml:space="preserve">Mortality over the whole trial was comparable between the </w:t>
      </w:r>
      <w:r>
        <w:rPr>
          <w:rFonts w:ascii="Arial" w:hAnsi="Arial"/>
          <w:sz w:val="22"/>
          <w:szCs w:val="22"/>
          <w:lang w:val="en-GB" w:eastAsia="en-GB"/>
        </w:rPr>
        <w:t>OFEV</w:t>
      </w:r>
      <w:r w:rsidRPr="0030671E">
        <w:rPr>
          <w:rFonts w:ascii="Arial" w:hAnsi="Arial"/>
          <w:sz w:val="22"/>
          <w:szCs w:val="22"/>
          <w:lang w:val="en-GB" w:eastAsia="en-GB"/>
        </w:rPr>
        <w:t xml:space="preserve"> group (N = 10; 3.5%) and the placebo group (N = 9; 3.1%). The analysis of time to death over the whole trial resulted in a HR of 1.16 (95% CI 0.47, 2.84; p = 0.7535).</w:t>
      </w:r>
    </w:p>
    <w:p w14:paraId="125626C9" w14:textId="77777777" w:rsidR="00EC4DF6" w:rsidRPr="000846CA" w:rsidRDefault="00EC4DF6" w:rsidP="005D33C9">
      <w:pPr>
        <w:pStyle w:val="PIheading30"/>
        <w:ind w:left="0" w:right="0" w:firstLine="0"/>
        <w:rPr>
          <w:b/>
          <w:bCs/>
          <w:u w:val="none"/>
        </w:rPr>
      </w:pPr>
      <w:r w:rsidRPr="000846CA">
        <w:rPr>
          <w:b/>
          <w:bCs/>
          <w:u w:val="none"/>
        </w:rPr>
        <w:t>Effect on QT interval</w:t>
      </w:r>
    </w:p>
    <w:p w14:paraId="0E1AB328" w14:textId="77777777" w:rsidR="00EC4DF6" w:rsidRDefault="00EC4DF6" w:rsidP="00EC4DF6">
      <w:pPr>
        <w:pStyle w:val="TextPI"/>
        <w:rPr>
          <w:lang w:val="en-GB"/>
        </w:rPr>
      </w:pPr>
      <w:r>
        <w:rPr>
          <w:lang w:val="en-GB" w:eastAsia="de-DE"/>
        </w:rPr>
        <w:t xml:space="preserve">QT/QTc measurements were recorded and analysed from a dedicated study comparing </w:t>
      </w:r>
      <w:proofErr w:type="spellStart"/>
      <w:r>
        <w:rPr>
          <w:lang w:val="en-GB" w:eastAsia="de-DE"/>
        </w:rPr>
        <w:t>nintedanib</w:t>
      </w:r>
      <w:proofErr w:type="spellEnd"/>
      <w:r>
        <w:rPr>
          <w:lang w:val="en-GB" w:eastAsia="de-DE"/>
        </w:rPr>
        <w:t xml:space="preserve"> monotherapy against </w:t>
      </w:r>
      <w:proofErr w:type="spellStart"/>
      <w:r>
        <w:rPr>
          <w:lang w:val="en-GB" w:eastAsia="de-DE"/>
        </w:rPr>
        <w:t>sunitinib</w:t>
      </w:r>
      <w:proofErr w:type="spellEnd"/>
      <w:r>
        <w:rPr>
          <w:lang w:val="en-GB" w:eastAsia="de-DE"/>
        </w:rPr>
        <w:t xml:space="preserve"> monotherapy in patients with renal cell carcinoma.  In this study single oral doses of 200 mg </w:t>
      </w:r>
      <w:proofErr w:type="spellStart"/>
      <w:r>
        <w:rPr>
          <w:lang w:val="en-GB" w:eastAsia="de-DE"/>
        </w:rPr>
        <w:t>nintedanib</w:t>
      </w:r>
      <w:proofErr w:type="spellEnd"/>
      <w:r>
        <w:rPr>
          <w:lang w:val="en-GB" w:eastAsia="de-DE"/>
        </w:rPr>
        <w:t xml:space="preserve"> as well as multiple oral doses of 200 mg </w:t>
      </w:r>
      <w:proofErr w:type="spellStart"/>
      <w:r>
        <w:rPr>
          <w:lang w:val="en-GB" w:eastAsia="de-DE"/>
        </w:rPr>
        <w:t>nintedanib</w:t>
      </w:r>
      <w:proofErr w:type="spellEnd"/>
      <w:r>
        <w:rPr>
          <w:lang w:val="en-GB" w:eastAsia="de-DE"/>
        </w:rPr>
        <w:t xml:space="preserve"> administered twice daily for 15 days did not prolong the </w:t>
      </w:r>
      <w:proofErr w:type="spellStart"/>
      <w:r>
        <w:rPr>
          <w:lang w:val="en-GB" w:eastAsia="de-DE"/>
        </w:rPr>
        <w:t>QTcF</w:t>
      </w:r>
      <w:proofErr w:type="spellEnd"/>
      <w:r>
        <w:rPr>
          <w:lang w:val="en-GB" w:eastAsia="de-DE"/>
        </w:rPr>
        <w:t xml:space="preserve"> interval. </w:t>
      </w:r>
    </w:p>
    <w:p w14:paraId="3157B99C" w14:textId="77777777" w:rsidR="00EC4DF6" w:rsidRDefault="00EC4DF6" w:rsidP="00EC4DF6">
      <w:pPr>
        <w:pStyle w:val="TextPI"/>
        <w:rPr>
          <w:lang w:val="en-GB"/>
        </w:rPr>
      </w:pPr>
      <w:r w:rsidRPr="00114E2D">
        <w:rPr>
          <w:i/>
          <w:iCs/>
          <w:lang w:val="en-GB"/>
        </w:rPr>
        <w:t>NSCLC</w:t>
      </w:r>
    </w:p>
    <w:p w14:paraId="0D78525E" w14:textId="77777777" w:rsidR="00EC4DF6" w:rsidRPr="001F368B" w:rsidRDefault="00EC4DF6" w:rsidP="00EC4DF6">
      <w:pPr>
        <w:pStyle w:val="TextPI"/>
        <w:rPr>
          <w:lang w:val="en-GB"/>
        </w:rPr>
      </w:pPr>
      <w:r>
        <w:rPr>
          <w:lang w:val="en-GB"/>
        </w:rPr>
        <w:t xml:space="preserve">No thorough QT-trial of </w:t>
      </w:r>
      <w:proofErr w:type="spellStart"/>
      <w:r>
        <w:rPr>
          <w:lang w:val="en-GB"/>
        </w:rPr>
        <w:t>nintedanib</w:t>
      </w:r>
      <w:proofErr w:type="spellEnd"/>
      <w:r>
        <w:rPr>
          <w:lang w:val="en-GB"/>
        </w:rPr>
        <w:t xml:space="preserve"> administered in combination with docetaxel was conducted.</w:t>
      </w:r>
      <w:r w:rsidRPr="001F368B">
        <w:rPr>
          <w:lang w:val="en-GB"/>
        </w:rPr>
        <w:t xml:space="preserve"> </w:t>
      </w:r>
    </w:p>
    <w:p w14:paraId="5BFC9891" w14:textId="45BA2B6A" w:rsidR="00EC4DF6" w:rsidRPr="000846CA" w:rsidRDefault="00EC4DF6" w:rsidP="005D33C9">
      <w:pPr>
        <w:pStyle w:val="PIheading30"/>
        <w:ind w:left="0" w:right="0" w:firstLine="0"/>
        <w:rPr>
          <w:b/>
          <w:bCs/>
          <w:u w:val="none"/>
        </w:rPr>
      </w:pPr>
      <w:proofErr w:type="spellStart"/>
      <w:r w:rsidRPr="000846CA">
        <w:rPr>
          <w:b/>
          <w:bCs/>
          <w:u w:val="none"/>
        </w:rPr>
        <w:t>Paediatric</w:t>
      </w:r>
      <w:proofErr w:type="spellEnd"/>
      <w:r w:rsidRPr="000846CA">
        <w:rPr>
          <w:b/>
          <w:bCs/>
          <w:u w:val="none"/>
        </w:rPr>
        <w:t xml:space="preserve"> </w:t>
      </w:r>
      <w:r w:rsidR="007B4BC3">
        <w:rPr>
          <w:b/>
          <w:bCs/>
          <w:u w:val="none"/>
        </w:rPr>
        <w:t>population</w:t>
      </w:r>
    </w:p>
    <w:p w14:paraId="0475EA44" w14:textId="77777777" w:rsidR="00EC4DF6" w:rsidRPr="001F368B" w:rsidRDefault="00EC4DF6" w:rsidP="00EC4DF6">
      <w:pPr>
        <w:pStyle w:val="TextPI"/>
        <w:rPr>
          <w:lang w:val="en-GB" w:eastAsia="de-DE"/>
        </w:rPr>
      </w:pPr>
      <w:r w:rsidRPr="001F368B">
        <w:rPr>
          <w:lang w:val="en-GB" w:eastAsia="de-DE"/>
        </w:rPr>
        <w:t>No clinical trials have been conducted in children and adolescents.</w:t>
      </w:r>
    </w:p>
    <w:p w14:paraId="3914131A" w14:textId="77777777" w:rsidR="00EC4DF6" w:rsidRPr="00AB6D58" w:rsidRDefault="00EC4DF6" w:rsidP="00AB6D58">
      <w:pPr>
        <w:pStyle w:val="PIheading2"/>
        <w:rPr>
          <w:caps/>
        </w:rPr>
      </w:pPr>
      <w:r w:rsidRPr="00AB6D58">
        <w:rPr>
          <w:caps/>
        </w:rPr>
        <w:t>5.2 PHARMACOKINETIC PROPERTIES</w:t>
      </w:r>
    </w:p>
    <w:p w14:paraId="2E915A1D" w14:textId="77777777" w:rsidR="00D50AFD" w:rsidRPr="00BF21E9" w:rsidRDefault="00D50AFD" w:rsidP="00966FD2">
      <w:pPr>
        <w:pStyle w:val="BodyText"/>
        <w:tabs>
          <w:tab w:val="left" w:pos="7920"/>
        </w:tabs>
        <w:spacing w:before="120"/>
        <w:jc w:val="both"/>
        <w:rPr>
          <w:rFonts w:cs="Arial"/>
        </w:rPr>
      </w:pPr>
      <w:r w:rsidRPr="00966FD2">
        <w:rPr>
          <w:rFonts w:ascii="Arial" w:hAnsi="Arial" w:cs="Arial"/>
          <w:sz w:val="22"/>
          <w:szCs w:val="22"/>
          <w:lang w:val="en-GB" w:eastAsia="x-none"/>
        </w:rPr>
        <w:t xml:space="preserve">The pharmacokinetics (PK) of </w:t>
      </w:r>
      <w:proofErr w:type="spellStart"/>
      <w:r w:rsidRPr="00966FD2">
        <w:rPr>
          <w:rFonts w:ascii="Arial" w:hAnsi="Arial" w:cs="Arial"/>
          <w:sz w:val="22"/>
          <w:szCs w:val="22"/>
          <w:lang w:val="en-GB" w:eastAsia="x-none"/>
        </w:rPr>
        <w:t>nintedanib</w:t>
      </w:r>
      <w:proofErr w:type="spellEnd"/>
      <w:r w:rsidRPr="00966FD2">
        <w:rPr>
          <w:rFonts w:ascii="Arial" w:hAnsi="Arial" w:cs="Arial"/>
          <w:sz w:val="22"/>
          <w:szCs w:val="22"/>
          <w:lang w:val="en-GB" w:eastAsia="x-none"/>
        </w:rPr>
        <w:t xml:space="preserve"> can be considered linear with respect to time (i.e. single-dose data can be extrapolated to multiple-dose data).  Accumulation upon multiple </w:t>
      </w:r>
      <w:r w:rsidRPr="00966FD2">
        <w:rPr>
          <w:rFonts w:ascii="Arial" w:hAnsi="Arial" w:cs="Arial"/>
          <w:sz w:val="22"/>
          <w:szCs w:val="22"/>
          <w:lang w:val="en-GB" w:eastAsia="x-none"/>
        </w:rPr>
        <w:lastRenderedPageBreak/>
        <w:t xml:space="preserve">administrations was 1.04-fold for </w:t>
      </w:r>
      <w:proofErr w:type="spellStart"/>
      <w:r w:rsidRPr="00966FD2">
        <w:rPr>
          <w:rFonts w:ascii="Arial" w:hAnsi="Arial" w:cs="Arial"/>
          <w:sz w:val="22"/>
          <w:szCs w:val="22"/>
          <w:lang w:val="en-GB" w:eastAsia="x-none"/>
        </w:rPr>
        <w:t>Cmax</w:t>
      </w:r>
      <w:proofErr w:type="spellEnd"/>
      <w:r w:rsidRPr="00966FD2">
        <w:rPr>
          <w:rFonts w:ascii="Arial" w:hAnsi="Arial" w:cs="Arial"/>
          <w:sz w:val="22"/>
          <w:szCs w:val="22"/>
          <w:lang w:val="en-GB" w:eastAsia="x-none"/>
        </w:rPr>
        <w:t xml:space="preserve"> and 1.38-fold for </w:t>
      </w:r>
      <w:proofErr w:type="spellStart"/>
      <w:r w:rsidRPr="00966FD2">
        <w:rPr>
          <w:rFonts w:ascii="Arial" w:hAnsi="Arial" w:cs="Arial"/>
          <w:sz w:val="22"/>
          <w:szCs w:val="22"/>
          <w:lang w:val="en-GB" w:eastAsia="x-none"/>
        </w:rPr>
        <w:t>AUCτ</w:t>
      </w:r>
      <w:proofErr w:type="spellEnd"/>
      <w:r w:rsidRPr="00966FD2">
        <w:rPr>
          <w:rFonts w:ascii="Arial" w:hAnsi="Arial" w:cs="Arial"/>
          <w:sz w:val="22"/>
          <w:szCs w:val="22"/>
          <w:lang w:val="en-GB" w:eastAsia="x-none"/>
        </w:rPr>
        <w:t xml:space="preserve">.  </w:t>
      </w:r>
      <w:proofErr w:type="spellStart"/>
      <w:r w:rsidRPr="00966FD2">
        <w:rPr>
          <w:rFonts w:ascii="Arial" w:hAnsi="Arial" w:cs="Arial"/>
          <w:sz w:val="22"/>
          <w:szCs w:val="22"/>
          <w:lang w:val="en-GB" w:eastAsia="x-none"/>
        </w:rPr>
        <w:t>Nintedanib</w:t>
      </w:r>
      <w:proofErr w:type="spellEnd"/>
      <w:r w:rsidRPr="00966FD2">
        <w:rPr>
          <w:rFonts w:ascii="Arial" w:hAnsi="Arial" w:cs="Arial"/>
          <w:sz w:val="22"/>
          <w:szCs w:val="22"/>
          <w:lang w:val="en-GB" w:eastAsia="x-none"/>
        </w:rPr>
        <w:t xml:space="preserve"> trough concentrations remained stable for more than one year.</w:t>
      </w:r>
    </w:p>
    <w:p w14:paraId="2E915A1E" w14:textId="77777777" w:rsidR="00014579" w:rsidRPr="00EC4DF6" w:rsidRDefault="00617B9B" w:rsidP="005D33C9">
      <w:pPr>
        <w:pStyle w:val="PIheading30"/>
        <w:ind w:left="0" w:right="0" w:firstLine="0"/>
        <w:rPr>
          <w:b/>
          <w:bCs/>
          <w:u w:val="none"/>
        </w:rPr>
      </w:pPr>
      <w:r w:rsidRPr="00EC4DF6">
        <w:rPr>
          <w:b/>
          <w:bCs/>
          <w:u w:val="none"/>
        </w:rPr>
        <w:t>Absorption</w:t>
      </w:r>
    </w:p>
    <w:p w14:paraId="2E915A1F" w14:textId="77777777" w:rsidR="00D50AFD" w:rsidRPr="00BF21E9" w:rsidRDefault="00D50AFD" w:rsidP="00967190">
      <w:pPr>
        <w:pStyle w:val="BodyText"/>
        <w:tabs>
          <w:tab w:val="left" w:pos="7920"/>
        </w:tabs>
        <w:spacing w:before="120"/>
        <w:jc w:val="both"/>
        <w:rPr>
          <w:rFonts w:ascii="Arial" w:hAnsi="Arial" w:cs="Arial"/>
          <w:sz w:val="22"/>
          <w:szCs w:val="22"/>
          <w:lang w:val="en-GB" w:eastAsia="x-none"/>
        </w:rPr>
      </w:pPr>
      <w:proofErr w:type="spellStart"/>
      <w:r w:rsidRPr="00BF21E9">
        <w:rPr>
          <w:rFonts w:ascii="Arial" w:hAnsi="Arial" w:cs="Arial"/>
          <w:sz w:val="22"/>
          <w:szCs w:val="22"/>
          <w:lang w:val="en-GB" w:eastAsia="x-none"/>
        </w:rPr>
        <w:t>Nintedanib</w:t>
      </w:r>
      <w:proofErr w:type="spellEnd"/>
      <w:r w:rsidRPr="00BF21E9">
        <w:rPr>
          <w:rFonts w:ascii="Arial" w:hAnsi="Arial" w:cs="Arial"/>
          <w:sz w:val="22"/>
          <w:szCs w:val="22"/>
          <w:lang w:val="en-GB" w:eastAsia="x-none"/>
        </w:rPr>
        <w:t xml:space="preserve"> reached maximum plasma concentrations approximately 2 - 4 h</w:t>
      </w:r>
      <w:r w:rsidR="008040E0" w:rsidRPr="00BF21E9">
        <w:rPr>
          <w:rFonts w:ascii="Arial" w:hAnsi="Arial" w:cs="Arial"/>
          <w:sz w:val="22"/>
          <w:szCs w:val="22"/>
          <w:lang w:val="en-GB" w:eastAsia="x-none"/>
        </w:rPr>
        <w:t>ours</w:t>
      </w:r>
      <w:r w:rsidRPr="00BF21E9">
        <w:rPr>
          <w:rFonts w:ascii="Arial" w:hAnsi="Arial" w:cs="Arial"/>
          <w:sz w:val="22"/>
          <w:szCs w:val="22"/>
          <w:lang w:val="en-GB" w:eastAsia="x-none"/>
        </w:rPr>
        <w:t xml:space="preserve"> after oral</w:t>
      </w:r>
      <w:r w:rsidR="002D3509" w:rsidRPr="00BF21E9">
        <w:rPr>
          <w:rFonts w:ascii="Arial" w:hAnsi="Arial" w:cs="Arial"/>
          <w:sz w:val="22"/>
          <w:szCs w:val="22"/>
          <w:lang w:val="en-GB" w:eastAsia="x-none"/>
        </w:rPr>
        <w:t xml:space="preserve"> administration as soft </w:t>
      </w:r>
      <w:proofErr w:type="spellStart"/>
      <w:r w:rsidR="002D3509" w:rsidRPr="00BF21E9">
        <w:rPr>
          <w:rFonts w:ascii="Arial" w:hAnsi="Arial" w:cs="Arial"/>
          <w:sz w:val="22"/>
          <w:szCs w:val="22"/>
          <w:lang w:val="en-GB" w:eastAsia="x-none"/>
        </w:rPr>
        <w:t>gelatin</w:t>
      </w:r>
      <w:proofErr w:type="spellEnd"/>
      <w:r w:rsidRPr="00BF21E9">
        <w:rPr>
          <w:rFonts w:ascii="Arial" w:hAnsi="Arial" w:cs="Arial"/>
          <w:sz w:val="22"/>
          <w:szCs w:val="22"/>
          <w:lang w:val="en-GB" w:eastAsia="x-none"/>
        </w:rPr>
        <w:t xml:space="preserve"> capsule under fed conditions (range 0.5 - 8 h</w:t>
      </w:r>
      <w:r w:rsidR="008040E0" w:rsidRPr="00BF21E9">
        <w:rPr>
          <w:rFonts w:ascii="Arial" w:hAnsi="Arial" w:cs="Arial"/>
          <w:sz w:val="22"/>
          <w:szCs w:val="22"/>
          <w:lang w:val="en-GB" w:eastAsia="x-none"/>
        </w:rPr>
        <w:t>ours</w:t>
      </w:r>
      <w:r w:rsidRPr="00BF21E9">
        <w:rPr>
          <w:rFonts w:ascii="Arial" w:hAnsi="Arial" w:cs="Arial"/>
          <w:sz w:val="22"/>
          <w:szCs w:val="22"/>
          <w:lang w:val="en-GB" w:eastAsia="x-none"/>
        </w:rPr>
        <w:t xml:space="preserve">). </w:t>
      </w:r>
      <w:r w:rsidR="002D3509" w:rsidRPr="00BF21E9">
        <w:rPr>
          <w:rFonts w:ascii="Arial" w:hAnsi="Arial" w:cs="Arial"/>
          <w:sz w:val="22"/>
          <w:szCs w:val="22"/>
          <w:lang w:val="en-GB" w:eastAsia="x-none"/>
        </w:rPr>
        <w:t xml:space="preserve"> </w:t>
      </w:r>
      <w:r w:rsidRPr="00BF21E9">
        <w:rPr>
          <w:rFonts w:ascii="Arial" w:hAnsi="Arial" w:cs="Arial"/>
          <w:sz w:val="22"/>
          <w:szCs w:val="22"/>
          <w:lang w:val="en-GB" w:eastAsia="x-none"/>
        </w:rPr>
        <w:t>The absolute bioavailability of a 100 mg dose was 4.69% (90% CI: 3.615 - 6.078) in healthy volunteers.</w:t>
      </w:r>
      <w:r w:rsidR="00072596" w:rsidRPr="00BF21E9">
        <w:rPr>
          <w:rFonts w:ascii="Arial" w:hAnsi="Arial" w:cs="Arial"/>
          <w:sz w:val="22"/>
          <w:szCs w:val="22"/>
          <w:lang w:val="en-GB" w:eastAsia="x-none"/>
        </w:rPr>
        <w:t xml:space="preserve"> </w:t>
      </w:r>
      <w:r w:rsidRPr="00BF21E9">
        <w:rPr>
          <w:rFonts w:ascii="Arial" w:hAnsi="Arial" w:cs="Arial"/>
          <w:sz w:val="22"/>
          <w:szCs w:val="22"/>
          <w:lang w:val="en-GB" w:eastAsia="x-none"/>
        </w:rPr>
        <w:t xml:space="preserve"> Absorption and bioavailability are decreased by transporter effects and substantial first-pass metabolism.</w:t>
      </w:r>
    </w:p>
    <w:p w14:paraId="2E915A20" w14:textId="77777777" w:rsidR="00D50AFD" w:rsidRPr="00BF21E9" w:rsidRDefault="00D50AFD" w:rsidP="009F6FED">
      <w:pPr>
        <w:tabs>
          <w:tab w:val="left" w:pos="7920"/>
        </w:tabs>
        <w:jc w:val="both"/>
        <w:rPr>
          <w:rFonts w:ascii="Arial" w:hAnsi="Arial" w:cs="Arial"/>
          <w:sz w:val="22"/>
          <w:szCs w:val="22"/>
          <w:lang w:val="en-GB" w:eastAsia="x-none"/>
        </w:rPr>
      </w:pPr>
      <w:r w:rsidRPr="00BF21E9">
        <w:rPr>
          <w:rFonts w:ascii="Arial" w:hAnsi="Arial" w:cs="Arial"/>
          <w:sz w:val="22"/>
          <w:szCs w:val="22"/>
          <w:lang w:val="en-GB" w:eastAsia="x-none"/>
        </w:rPr>
        <w:t xml:space="preserve">Dose proportionality was shown by increase of </w:t>
      </w:r>
      <w:proofErr w:type="spellStart"/>
      <w:r w:rsidRPr="00BF21E9">
        <w:rPr>
          <w:rFonts w:ascii="Arial" w:hAnsi="Arial" w:cs="Arial"/>
          <w:sz w:val="22"/>
          <w:szCs w:val="22"/>
          <w:lang w:val="en-GB" w:eastAsia="x-none"/>
        </w:rPr>
        <w:t>nintedani</w:t>
      </w:r>
      <w:r w:rsidR="002D3509" w:rsidRPr="00BF21E9">
        <w:rPr>
          <w:rFonts w:ascii="Arial" w:hAnsi="Arial" w:cs="Arial"/>
          <w:sz w:val="22"/>
          <w:szCs w:val="22"/>
          <w:lang w:val="en-GB" w:eastAsia="x-none"/>
        </w:rPr>
        <w:t>b</w:t>
      </w:r>
      <w:proofErr w:type="spellEnd"/>
      <w:r w:rsidR="002D3509" w:rsidRPr="00BF21E9">
        <w:rPr>
          <w:rFonts w:ascii="Arial" w:hAnsi="Arial" w:cs="Arial"/>
          <w:sz w:val="22"/>
          <w:szCs w:val="22"/>
          <w:lang w:val="en-GB" w:eastAsia="x-none"/>
        </w:rPr>
        <w:t xml:space="preserve"> exposure (dose range 50 – 450 </w:t>
      </w:r>
      <w:r w:rsidRPr="00BF21E9">
        <w:rPr>
          <w:rFonts w:ascii="Arial" w:hAnsi="Arial" w:cs="Arial"/>
          <w:sz w:val="22"/>
          <w:szCs w:val="22"/>
          <w:lang w:val="en-GB" w:eastAsia="x-none"/>
        </w:rPr>
        <w:t xml:space="preserve">mg once daily and 150 - 300 mg twice daily). </w:t>
      </w:r>
      <w:r w:rsidR="002D3509" w:rsidRPr="00BF21E9">
        <w:rPr>
          <w:rFonts w:ascii="Arial" w:hAnsi="Arial" w:cs="Arial"/>
          <w:sz w:val="22"/>
          <w:szCs w:val="22"/>
          <w:lang w:val="en-GB" w:eastAsia="x-none"/>
        </w:rPr>
        <w:t xml:space="preserve"> </w:t>
      </w:r>
      <w:r w:rsidRPr="00BF21E9">
        <w:rPr>
          <w:rFonts w:ascii="Arial" w:hAnsi="Arial" w:cs="Arial"/>
          <w:sz w:val="22"/>
          <w:szCs w:val="22"/>
          <w:lang w:val="en-GB" w:eastAsia="x-none"/>
        </w:rPr>
        <w:t>Steady state plasma concentrations were achieved within one week of dosing at the latest.</w:t>
      </w:r>
    </w:p>
    <w:p w14:paraId="2E915A21" w14:textId="77777777" w:rsidR="00AD1AE7" w:rsidRPr="00BF21E9" w:rsidRDefault="00D50AFD" w:rsidP="009F6FED">
      <w:pPr>
        <w:pStyle w:val="TextPI"/>
        <w:rPr>
          <w:rFonts w:cs="Arial"/>
          <w:lang w:val="en-GB" w:eastAsia="de-DE"/>
        </w:rPr>
      </w:pPr>
      <w:r w:rsidRPr="00BF21E9">
        <w:rPr>
          <w:rFonts w:cs="Arial"/>
          <w:lang w:val="en-GB" w:eastAsia="de-DE"/>
        </w:rPr>
        <w:t xml:space="preserve">After food intake, </w:t>
      </w:r>
      <w:proofErr w:type="spellStart"/>
      <w:r w:rsidRPr="00BF21E9">
        <w:rPr>
          <w:rFonts w:cs="Arial"/>
          <w:lang w:val="en-GB" w:eastAsia="de-DE"/>
        </w:rPr>
        <w:t>nintedanib</w:t>
      </w:r>
      <w:proofErr w:type="spellEnd"/>
      <w:r w:rsidRPr="00BF21E9">
        <w:rPr>
          <w:rFonts w:cs="Arial"/>
          <w:lang w:val="en-GB" w:eastAsia="de-DE"/>
        </w:rPr>
        <w:t xml:space="preserve"> exposur</w:t>
      </w:r>
      <w:r w:rsidR="007961BD" w:rsidRPr="00BF21E9">
        <w:rPr>
          <w:rFonts w:cs="Arial"/>
          <w:lang w:val="en-GB" w:eastAsia="de-DE"/>
        </w:rPr>
        <w:t>e increased by approximately 20</w:t>
      </w:r>
      <w:r w:rsidRPr="00BF21E9">
        <w:rPr>
          <w:rFonts w:cs="Arial"/>
          <w:lang w:val="en-GB" w:eastAsia="de-DE"/>
        </w:rPr>
        <w:t>% compared to administration under fast</w:t>
      </w:r>
      <w:r w:rsidR="007961BD" w:rsidRPr="00BF21E9">
        <w:rPr>
          <w:rFonts w:cs="Arial"/>
          <w:lang w:val="en-GB" w:eastAsia="de-DE"/>
        </w:rPr>
        <w:t xml:space="preserve">ed conditions (CI: </w:t>
      </w:r>
      <w:r w:rsidR="00A543C9">
        <w:rPr>
          <w:rFonts w:cs="Arial"/>
          <w:lang w:val="en-GB" w:eastAsia="de-DE"/>
        </w:rPr>
        <w:t>0.953 – 1.525</w:t>
      </w:r>
      <w:r w:rsidRPr="00BF21E9">
        <w:rPr>
          <w:rFonts w:cs="Arial"/>
          <w:lang w:val="en-GB" w:eastAsia="de-DE"/>
        </w:rPr>
        <w:t xml:space="preserve">) and absorption was delayed (median </w:t>
      </w:r>
      <w:proofErr w:type="spellStart"/>
      <w:r w:rsidRPr="00BF21E9">
        <w:rPr>
          <w:rFonts w:cs="Arial"/>
          <w:lang w:val="en-GB" w:eastAsia="de-DE"/>
        </w:rPr>
        <w:t>t</w:t>
      </w:r>
      <w:r w:rsidRPr="00BF21E9">
        <w:rPr>
          <w:rFonts w:cs="Arial"/>
          <w:vertAlign w:val="subscript"/>
          <w:lang w:val="en-GB" w:eastAsia="de-DE"/>
        </w:rPr>
        <w:t>max</w:t>
      </w:r>
      <w:proofErr w:type="spellEnd"/>
      <w:r w:rsidRPr="00BF21E9">
        <w:rPr>
          <w:rFonts w:cs="Arial"/>
          <w:lang w:val="en-GB" w:eastAsia="de-DE"/>
        </w:rPr>
        <w:t xml:space="preserve"> fasted: 2.00 h</w:t>
      </w:r>
      <w:r w:rsidR="008040E0" w:rsidRPr="00BF21E9">
        <w:rPr>
          <w:rFonts w:cs="Arial"/>
          <w:lang w:val="en-GB" w:eastAsia="de-DE"/>
        </w:rPr>
        <w:t>ours</w:t>
      </w:r>
      <w:r w:rsidRPr="00BF21E9">
        <w:rPr>
          <w:rFonts w:cs="Arial"/>
          <w:lang w:val="en-GB" w:eastAsia="de-DE"/>
        </w:rPr>
        <w:t>; fed: 3.98 h</w:t>
      </w:r>
      <w:r w:rsidR="008040E0" w:rsidRPr="00BF21E9">
        <w:rPr>
          <w:rFonts w:cs="Arial"/>
          <w:lang w:val="en-GB" w:eastAsia="de-DE"/>
        </w:rPr>
        <w:t>ours</w:t>
      </w:r>
      <w:r w:rsidRPr="00BF21E9">
        <w:rPr>
          <w:rFonts w:cs="Arial"/>
          <w:lang w:val="en-GB" w:eastAsia="de-DE"/>
        </w:rPr>
        <w:t>)</w:t>
      </w:r>
      <w:r w:rsidR="002D3509" w:rsidRPr="00BF21E9">
        <w:rPr>
          <w:rFonts w:cs="Arial"/>
          <w:lang w:val="en-GB" w:eastAsia="de-DE"/>
        </w:rPr>
        <w:t>.</w:t>
      </w:r>
    </w:p>
    <w:p w14:paraId="2E915A22" w14:textId="77777777" w:rsidR="00014579" w:rsidRPr="00EC4DF6" w:rsidRDefault="00617B9B" w:rsidP="005D33C9">
      <w:pPr>
        <w:pStyle w:val="PIheading30"/>
        <w:ind w:left="0" w:right="0" w:firstLine="0"/>
        <w:rPr>
          <w:b/>
          <w:bCs/>
          <w:u w:val="none"/>
        </w:rPr>
      </w:pPr>
      <w:r w:rsidRPr="00EC4DF6">
        <w:rPr>
          <w:b/>
          <w:bCs/>
          <w:u w:val="none"/>
        </w:rPr>
        <w:t>Distribution</w:t>
      </w:r>
    </w:p>
    <w:p w14:paraId="2E915A23" w14:textId="77777777" w:rsidR="00C5690E" w:rsidRPr="00BF21E9" w:rsidRDefault="00C5690E" w:rsidP="009F6FED">
      <w:pPr>
        <w:pStyle w:val="TextPI"/>
        <w:rPr>
          <w:lang w:val="en-GB" w:eastAsia="de-DE"/>
        </w:rPr>
      </w:pPr>
      <w:proofErr w:type="spellStart"/>
      <w:r w:rsidRPr="00BF21E9">
        <w:rPr>
          <w:lang w:val="en-GB"/>
        </w:rPr>
        <w:t>Nintedanib</w:t>
      </w:r>
      <w:proofErr w:type="spellEnd"/>
      <w:r w:rsidRPr="00BF21E9">
        <w:rPr>
          <w:lang w:val="en-GB"/>
        </w:rPr>
        <w:t xml:space="preserve"> follows at least bi-phasic disposition kinetics. </w:t>
      </w:r>
      <w:r w:rsidR="002D3509" w:rsidRPr="00BF21E9">
        <w:rPr>
          <w:lang w:val="en-GB"/>
        </w:rPr>
        <w:t xml:space="preserve"> </w:t>
      </w:r>
      <w:r w:rsidRPr="00BF21E9">
        <w:rPr>
          <w:lang w:val="en-GB"/>
        </w:rPr>
        <w:t>After intravenous infusion, a high volume of distribution (</w:t>
      </w:r>
      <w:proofErr w:type="spellStart"/>
      <w:proofErr w:type="gramStart"/>
      <w:r w:rsidRPr="00BF21E9">
        <w:rPr>
          <w:lang w:val="en-GB"/>
        </w:rPr>
        <w:t>V</w:t>
      </w:r>
      <w:r w:rsidR="00004BBE">
        <w:rPr>
          <w:vertAlign w:val="subscript"/>
          <w:lang w:val="en-GB"/>
        </w:rPr>
        <w:t>ss</w:t>
      </w:r>
      <w:proofErr w:type="spellEnd"/>
      <w:r w:rsidR="007961BD" w:rsidRPr="00BF21E9">
        <w:rPr>
          <w:lang w:val="en-GB"/>
        </w:rPr>
        <w:t xml:space="preserve"> :</w:t>
      </w:r>
      <w:proofErr w:type="gramEnd"/>
      <w:r w:rsidR="007961BD" w:rsidRPr="00BF21E9">
        <w:rPr>
          <w:lang w:val="en-GB"/>
        </w:rPr>
        <w:t xml:space="preserve"> 1050 L, 45.0</w:t>
      </w:r>
      <w:r w:rsidRPr="00BF21E9">
        <w:rPr>
          <w:lang w:val="en-GB"/>
        </w:rPr>
        <w:t xml:space="preserve">% </w:t>
      </w:r>
      <w:proofErr w:type="spellStart"/>
      <w:r w:rsidRPr="00BF21E9">
        <w:rPr>
          <w:lang w:val="en-GB"/>
        </w:rPr>
        <w:t>gCV</w:t>
      </w:r>
      <w:proofErr w:type="spellEnd"/>
      <w:r w:rsidRPr="00BF21E9">
        <w:rPr>
          <w:lang w:val="en-GB"/>
        </w:rPr>
        <w:t xml:space="preserve">) </w:t>
      </w:r>
      <w:r w:rsidRPr="00BF21E9">
        <w:rPr>
          <w:lang w:val="en-GB" w:eastAsia="de-DE"/>
        </w:rPr>
        <w:t>was observed.</w:t>
      </w:r>
    </w:p>
    <w:p w14:paraId="2E915A24" w14:textId="77777777" w:rsidR="00C5690E" w:rsidRPr="00BF21E9" w:rsidRDefault="00C5690E" w:rsidP="009F6FED">
      <w:pPr>
        <w:pStyle w:val="TextPI"/>
        <w:rPr>
          <w:lang w:val="en-GB"/>
        </w:rPr>
      </w:pPr>
      <w:r w:rsidRPr="00BF21E9">
        <w:rPr>
          <w:lang w:val="en-GB"/>
        </w:rPr>
        <w:t xml:space="preserve">The </w:t>
      </w:r>
      <w:r w:rsidRPr="00BF21E9">
        <w:rPr>
          <w:i/>
          <w:lang w:val="en-GB"/>
        </w:rPr>
        <w:t>in vitro</w:t>
      </w:r>
      <w:r w:rsidRPr="00BF21E9">
        <w:rPr>
          <w:lang w:val="en-GB"/>
        </w:rPr>
        <w:t xml:space="preserve"> protein binding of </w:t>
      </w:r>
      <w:proofErr w:type="spellStart"/>
      <w:r w:rsidRPr="00BF21E9">
        <w:rPr>
          <w:lang w:val="en-GB"/>
        </w:rPr>
        <w:t>nintedanib</w:t>
      </w:r>
      <w:proofErr w:type="spellEnd"/>
      <w:r w:rsidRPr="00BF21E9">
        <w:rPr>
          <w:lang w:val="en-GB"/>
        </w:rPr>
        <w:t xml:space="preserve"> in human plasma was high</w:t>
      </w:r>
      <w:r w:rsidR="007961BD" w:rsidRPr="00BF21E9">
        <w:rPr>
          <w:lang w:val="en-GB"/>
        </w:rPr>
        <w:t>, with a bound fraction of 97.8</w:t>
      </w:r>
      <w:r w:rsidRPr="00BF21E9">
        <w:rPr>
          <w:lang w:val="en-GB"/>
        </w:rPr>
        <w:t xml:space="preserve">%. Serum albumin is considered </w:t>
      </w:r>
      <w:proofErr w:type="gramStart"/>
      <w:r w:rsidRPr="00BF21E9">
        <w:rPr>
          <w:lang w:val="en-GB"/>
        </w:rPr>
        <w:t>to be the</w:t>
      </w:r>
      <w:proofErr w:type="gramEnd"/>
      <w:r w:rsidRPr="00BF21E9">
        <w:rPr>
          <w:lang w:val="en-GB"/>
        </w:rPr>
        <w:t xml:space="preserve"> major binding protein.  </w:t>
      </w:r>
      <w:proofErr w:type="spellStart"/>
      <w:r w:rsidRPr="00BF21E9">
        <w:rPr>
          <w:lang w:val="en-GB"/>
        </w:rPr>
        <w:t>Nintedanib</w:t>
      </w:r>
      <w:proofErr w:type="spellEnd"/>
      <w:r w:rsidRPr="00BF21E9">
        <w:rPr>
          <w:lang w:val="en-GB"/>
        </w:rPr>
        <w:t xml:space="preserve"> is preferentially distributed in plasma with a blood to plasma ratio of 0.869.</w:t>
      </w:r>
    </w:p>
    <w:p w14:paraId="2E915A25" w14:textId="77777777" w:rsidR="00014579" w:rsidRPr="00EC4DF6" w:rsidRDefault="00617B9B" w:rsidP="005D33C9">
      <w:pPr>
        <w:pStyle w:val="PIheading30"/>
        <w:ind w:left="0" w:right="0" w:firstLine="0"/>
        <w:rPr>
          <w:b/>
          <w:bCs/>
          <w:u w:val="none"/>
        </w:rPr>
      </w:pPr>
      <w:r w:rsidRPr="00EC4DF6">
        <w:rPr>
          <w:b/>
          <w:bCs/>
          <w:u w:val="none"/>
        </w:rPr>
        <w:t>Metabolism</w:t>
      </w:r>
    </w:p>
    <w:p w14:paraId="2E915A26" w14:textId="77777777" w:rsidR="00241DEA" w:rsidRPr="00BF21E9" w:rsidRDefault="00241DEA" w:rsidP="009F6FED">
      <w:pPr>
        <w:pStyle w:val="TextPI"/>
        <w:rPr>
          <w:lang w:val="en-GB" w:eastAsia="de-DE"/>
        </w:rPr>
      </w:pPr>
      <w:r w:rsidRPr="00BF21E9">
        <w:rPr>
          <w:lang w:val="en-GB" w:eastAsia="de-DE"/>
        </w:rPr>
        <w:t xml:space="preserve">The prevalent metabolic reaction for </w:t>
      </w:r>
      <w:proofErr w:type="spellStart"/>
      <w:r w:rsidRPr="00BF21E9">
        <w:rPr>
          <w:lang w:val="en-GB" w:eastAsia="de-DE"/>
        </w:rPr>
        <w:t>nintedanib</w:t>
      </w:r>
      <w:proofErr w:type="spellEnd"/>
      <w:r w:rsidRPr="00BF21E9">
        <w:rPr>
          <w:lang w:val="en-GB" w:eastAsia="de-DE"/>
        </w:rPr>
        <w:t xml:space="preserve"> is hydrolytic cleavage by </w:t>
      </w:r>
      <w:proofErr w:type="spellStart"/>
      <w:r w:rsidRPr="00BF21E9">
        <w:rPr>
          <w:lang w:val="en-GB" w:eastAsia="de-DE"/>
        </w:rPr>
        <w:t>esterases</w:t>
      </w:r>
      <w:proofErr w:type="spellEnd"/>
      <w:r w:rsidRPr="00BF21E9">
        <w:rPr>
          <w:lang w:val="en-GB" w:eastAsia="de-DE"/>
        </w:rPr>
        <w:t xml:space="preserve"> resulting in the free acid moiety BIBF 1202.  BIBF 1202 is subsequently </w:t>
      </w:r>
      <w:proofErr w:type="spellStart"/>
      <w:r w:rsidRPr="00BF21E9">
        <w:rPr>
          <w:lang w:val="en-GB" w:eastAsia="de-DE"/>
        </w:rPr>
        <w:t>glucuronidated</w:t>
      </w:r>
      <w:proofErr w:type="spellEnd"/>
      <w:r w:rsidRPr="00BF21E9">
        <w:rPr>
          <w:lang w:val="en-GB" w:eastAsia="de-DE"/>
        </w:rPr>
        <w:t xml:space="preserve"> by UGT enzymes, namely UGT 1A1, UGT 1A7, UGT 1A8, and UGT 1A10 to BIBF 1202 glucuronide.  </w:t>
      </w:r>
    </w:p>
    <w:p w14:paraId="2E915A27" w14:textId="77777777" w:rsidR="00BF21E9" w:rsidRPr="00BF21E9" w:rsidRDefault="00241DEA" w:rsidP="009F6FED">
      <w:pPr>
        <w:pStyle w:val="TextPI"/>
      </w:pPr>
      <w:r w:rsidRPr="00BF21E9">
        <w:t xml:space="preserve">Only a minor extent of the biotransformation of </w:t>
      </w:r>
      <w:proofErr w:type="spellStart"/>
      <w:r w:rsidRPr="00BF21E9">
        <w:t>nintedanib</w:t>
      </w:r>
      <w:proofErr w:type="spellEnd"/>
      <w:r w:rsidRPr="00BF21E9">
        <w:t xml:space="preserve"> consisted of CYP pathways, with CYP 3A4 being the predominant enzyme involved.  The major CYP-dependent metabolite could not be detected in plasma in the human ADME </w:t>
      </w:r>
      <w:r w:rsidR="007D0AA9">
        <w:t>(</w:t>
      </w:r>
      <w:r w:rsidR="007D0AA9" w:rsidRPr="007D0AA9">
        <w:t>absorption, distribution, metabolism</w:t>
      </w:r>
      <w:r w:rsidR="007D0AA9">
        <w:t xml:space="preserve"> </w:t>
      </w:r>
      <w:r w:rsidR="007D0AA9" w:rsidRPr="007D0AA9">
        <w:t>and excretion</w:t>
      </w:r>
      <w:r w:rsidR="007D0AA9">
        <w:t xml:space="preserve">) </w:t>
      </w:r>
      <w:r w:rsidRPr="00BF21E9">
        <w:t xml:space="preserve">study.  </w:t>
      </w:r>
      <w:r w:rsidRPr="00BF21E9">
        <w:rPr>
          <w:i/>
          <w:iCs/>
        </w:rPr>
        <w:t>In vitro</w:t>
      </w:r>
      <w:r w:rsidRPr="00BF21E9">
        <w:t>, CYP-dependent metabolism accounted for about 5% compared to about 25% ester cleavage.</w:t>
      </w:r>
      <w:r w:rsidR="00E34AFC" w:rsidRPr="00BF21E9">
        <w:t xml:space="preserve"> </w:t>
      </w:r>
    </w:p>
    <w:p w14:paraId="2E915A28" w14:textId="77777777" w:rsidR="00014579" w:rsidRPr="00EC4DF6" w:rsidRDefault="00B267B8" w:rsidP="005D33C9">
      <w:pPr>
        <w:pStyle w:val="PIheading30"/>
        <w:ind w:left="0" w:right="0" w:firstLine="0"/>
        <w:rPr>
          <w:b/>
          <w:bCs/>
          <w:u w:val="none"/>
        </w:rPr>
      </w:pPr>
      <w:r w:rsidRPr="00EC4DF6">
        <w:rPr>
          <w:b/>
          <w:bCs/>
          <w:u w:val="none"/>
        </w:rPr>
        <w:t>Excretion</w:t>
      </w:r>
    </w:p>
    <w:p w14:paraId="2E915A29" w14:textId="77777777" w:rsidR="00722896" w:rsidRPr="00BF21E9" w:rsidRDefault="00722896" w:rsidP="009F6FED">
      <w:pPr>
        <w:pStyle w:val="TextPI"/>
      </w:pPr>
      <w:r w:rsidRPr="00BF21E9">
        <w:t xml:space="preserve">Total plasma clearance after intravenous infusion was high (CL: 1390 mL/min, 28.8% </w:t>
      </w:r>
      <w:proofErr w:type="spellStart"/>
      <w:r w:rsidRPr="00BF21E9">
        <w:t>gCV</w:t>
      </w:r>
      <w:proofErr w:type="spellEnd"/>
      <w:r w:rsidRPr="00BF21E9">
        <w:t>).  Urinary excretion of</w:t>
      </w:r>
      <w:r w:rsidR="001E3FA4">
        <w:t xml:space="preserve"> the</w:t>
      </w:r>
      <w:r w:rsidRPr="00BF21E9">
        <w:t xml:space="preserve"> unchanged </w:t>
      </w:r>
      <w:r w:rsidR="001E3FA4">
        <w:t>active substance</w:t>
      </w:r>
      <w:r w:rsidR="001E3FA4" w:rsidRPr="00BF21E9">
        <w:t xml:space="preserve"> </w:t>
      </w:r>
      <w:r w:rsidRPr="00BF21E9">
        <w:t>within 48 h</w:t>
      </w:r>
      <w:r w:rsidR="00E34AFC" w:rsidRPr="00BF21E9">
        <w:t>ours</w:t>
      </w:r>
      <w:r w:rsidRPr="00BF21E9">
        <w:t xml:space="preserve"> was about 0.05% of the dose (31.5% </w:t>
      </w:r>
      <w:proofErr w:type="spellStart"/>
      <w:r w:rsidRPr="00BF21E9">
        <w:t>gCV</w:t>
      </w:r>
      <w:proofErr w:type="spellEnd"/>
      <w:r w:rsidRPr="00BF21E9">
        <w:t xml:space="preserve">) after oral and about 1.4% of the dose (24.2% </w:t>
      </w:r>
      <w:proofErr w:type="spellStart"/>
      <w:r w:rsidRPr="00BF21E9">
        <w:t>gCV</w:t>
      </w:r>
      <w:proofErr w:type="spellEnd"/>
      <w:r w:rsidRPr="00BF21E9">
        <w:t xml:space="preserve">) after intravenous administration; the renal clearance was 20 mL/min (32.6% </w:t>
      </w:r>
      <w:proofErr w:type="spellStart"/>
      <w:r w:rsidRPr="00BF21E9">
        <w:t>gCV</w:t>
      </w:r>
      <w:proofErr w:type="spellEnd"/>
      <w:r w:rsidRPr="00BF21E9">
        <w:t>). The major route of elimination of drug related radioactivity after oral administration of [</w:t>
      </w:r>
      <w:r w:rsidRPr="00BF21E9">
        <w:rPr>
          <w:vertAlign w:val="superscript"/>
        </w:rPr>
        <w:t>14</w:t>
      </w:r>
      <w:r w:rsidRPr="00BF21E9">
        <w:t xml:space="preserve">C] </w:t>
      </w:r>
      <w:proofErr w:type="spellStart"/>
      <w:r w:rsidRPr="00BF21E9">
        <w:t>nintedanib</w:t>
      </w:r>
      <w:proofErr w:type="spellEnd"/>
      <w:r w:rsidRPr="00BF21E9">
        <w:t xml:space="preserve"> was via faecal/biliary excretion (93.4% of dose, 2.61% </w:t>
      </w:r>
      <w:proofErr w:type="spellStart"/>
      <w:r w:rsidRPr="00BF21E9">
        <w:t>gCV</w:t>
      </w:r>
      <w:proofErr w:type="spellEnd"/>
      <w:r w:rsidRPr="00BF21E9">
        <w:t xml:space="preserve">). The contribution of renal excretion to the total clearance was low (0.649% of dose, 26.3% </w:t>
      </w:r>
      <w:proofErr w:type="spellStart"/>
      <w:r w:rsidRPr="00BF21E9">
        <w:t>gCV</w:t>
      </w:r>
      <w:proofErr w:type="spellEnd"/>
      <w:r w:rsidRPr="00BF21E9">
        <w:t xml:space="preserve">). The overall recovery was considered complete (above 90%) within 4 days after dosing.  The terminal half-life of </w:t>
      </w:r>
      <w:proofErr w:type="spellStart"/>
      <w:r w:rsidRPr="00BF21E9">
        <w:t>nintedanib</w:t>
      </w:r>
      <w:proofErr w:type="spellEnd"/>
      <w:r w:rsidRPr="00BF21E9">
        <w:t xml:space="preserve"> was between 10 and 15 h</w:t>
      </w:r>
      <w:r w:rsidR="00E34AFC" w:rsidRPr="00BF21E9">
        <w:t>ours</w:t>
      </w:r>
      <w:r w:rsidRPr="00BF21E9">
        <w:t xml:space="preserve"> (</w:t>
      </w:r>
      <w:proofErr w:type="spellStart"/>
      <w:r w:rsidRPr="00BF21E9">
        <w:t>gCV</w:t>
      </w:r>
      <w:proofErr w:type="spellEnd"/>
      <w:r w:rsidRPr="00BF21E9">
        <w:t xml:space="preserve"> % approximately 50%).</w:t>
      </w:r>
    </w:p>
    <w:p w14:paraId="2E915A2A" w14:textId="77777777" w:rsidR="00F833FE" w:rsidRPr="00EC4DF6" w:rsidRDefault="00F833FE" w:rsidP="005D33C9">
      <w:pPr>
        <w:pStyle w:val="PIheading30"/>
        <w:ind w:left="0" w:right="0" w:firstLine="0"/>
        <w:rPr>
          <w:b/>
          <w:bCs/>
          <w:u w:val="none"/>
        </w:rPr>
      </w:pPr>
      <w:r w:rsidRPr="00EC4DF6">
        <w:rPr>
          <w:b/>
          <w:bCs/>
          <w:u w:val="none"/>
        </w:rPr>
        <w:t>Exposure-response relationship</w:t>
      </w:r>
    </w:p>
    <w:p w14:paraId="2E915A2B" w14:textId="187477F8" w:rsidR="002E39AC" w:rsidRDefault="00BF21E9" w:rsidP="009F6FED">
      <w:pPr>
        <w:pStyle w:val="TextPI"/>
        <w:rPr>
          <w:lang w:val="en-GB"/>
        </w:rPr>
      </w:pPr>
      <w:r w:rsidRPr="00BF21E9">
        <w:rPr>
          <w:i/>
          <w:iCs/>
          <w:lang w:val="en-GB"/>
        </w:rPr>
        <w:t>NSCLC</w:t>
      </w:r>
      <w:r>
        <w:rPr>
          <w:lang w:val="en-GB"/>
        </w:rPr>
        <w:t xml:space="preserve"> </w:t>
      </w:r>
    </w:p>
    <w:p w14:paraId="2E915A2C" w14:textId="77777777" w:rsidR="00C9022D" w:rsidRPr="00BF21E9" w:rsidRDefault="00F833FE" w:rsidP="009F6FED">
      <w:pPr>
        <w:pStyle w:val="TextPI"/>
        <w:rPr>
          <w:lang w:val="en-GB"/>
        </w:rPr>
      </w:pPr>
      <w:r w:rsidRPr="00BF21E9">
        <w:rPr>
          <w:lang w:val="en-GB"/>
        </w:rPr>
        <w:t xml:space="preserve">In exploratory </w:t>
      </w:r>
      <w:r w:rsidR="00D3177F" w:rsidRPr="00BF21E9">
        <w:rPr>
          <w:lang w:val="en-GB"/>
        </w:rPr>
        <w:t xml:space="preserve">PK - </w:t>
      </w:r>
      <w:r w:rsidRPr="00BF21E9">
        <w:rPr>
          <w:lang w:val="en-GB"/>
        </w:rPr>
        <w:t xml:space="preserve">adverse event analyses, higher exposure to </w:t>
      </w:r>
      <w:proofErr w:type="spellStart"/>
      <w:r w:rsidRPr="00BF21E9">
        <w:rPr>
          <w:lang w:val="en-GB"/>
        </w:rPr>
        <w:t>nintedanib</w:t>
      </w:r>
      <w:proofErr w:type="spellEnd"/>
      <w:r w:rsidRPr="00BF21E9">
        <w:rPr>
          <w:lang w:val="en-GB"/>
        </w:rPr>
        <w:t xml:space="preserve"> tended to be associated with liver enzyme elevations, but not with gastrointestinal adverse events.  </w:t>
      </w:r>
    </w:p>
    <w:p w14:paraId="2E915A2D" w14:textId="77777777" w:rsidR="00F833FE" w:rsidRDefault="00F833FE" w:rsidP="009F6FED">
      <w:pPr>
        <w:pStyle w:val="TextPI"/>
        <w:rPr>
          <w:lang w:val="en-GB" w:eastAsia="de-DE"/>
        </w:rPr>
      </w:pPr>
      <w:r w:rsidRPr="00BF21E9">
        <w:rPr>
          <w:lang w:val="en-GB" w:eastAsia="de-DE"/>
        </w:rPr>
        <w:lastRenderedPageBreak/>
        <w:t xml:space="preserve">PK-efficacy analyses were not performed for clinical endpoints.  Logistic regression revealed a statistically significant association between </w:t>
      </w:r>
      <w:proofErr w:type="spellStart"/>
      <w:r w:rsidRPr="00BF21E9">
        <w:rPr>
          <w:lang w:val="en-GB" w:eastAsia="de-DE"/>
        </w:rPr>
        <w:t>nintedanib</w:t>
      </w:r>
      <w:proofErr w:type="spellEnd"/>
      <w:r w:rsidRPr="00BF21E9">
        <w:rPr>
          <w:lang w:val="en-GB" w:eastAsia="de-DE"/>
        </w:rPr>
        <w:t xml:space="preserve"> exposure and DCE-MRI response.</w:t>
      </w:r>
    </w:p>
    <w:p w14:paraId="2E915A2E" w14:textId="2FAA0F1E" w:rsidR="002E39AC" w:rsidRDefault="00BF21E9" w:rsidP="00EA610F">
      <w:pPr>
        <w:pStyle w:val="TextPI"/>
        <w:keepNext/>
        <w:rPr>
          <w:lang w:val="en-GB" w:eastAsia="de-DE"/>
        </w:rPr>
      </w:pPr>
      <w:r w:rsidRPr="00BF21E9">
        <w:rPr>
          <w:i/>
          <w:iCs/>
          <w:lang w:val="en-GB" w:eastAsia="de-DE"/>
        </w:rPr>
        <w:t>IPF</w:t>
      </w:r>
      <w:r w:rsidR="001B07E1">
        <w:rPr>
          <w:i/>
          <w:iCs/>
          <w:lang w:val="en-GB" w:eastAsia="de-DE"/>
        </w:rPr>
        <w:t xml:space="preserve">, </w:t>
      </w:r>
      <w:r w:rsidR="001B07E1" w:rsidRPr="00EB2AEF">
        <w:rPr>
          <w:i/>
          <w:iCs/>
          <w:lang w:val="en-GB" w:eastAsia="de-DE"/>
        </w:rPr>
        <w:t>other chronic fibrosing ILDs with a progressive phenotype</w:t>
      </w:r>
      <w:r w:rsidR="001B07E1">
        <w:rPr>
          <w:i/>
          <w:iCs/>
          <w:lang w:val="en-GB" w:eastAsia="de-DE"/>
        </w:rPr>
        <w:t>,</w:t>
      </w:r>
      <w:r w:rsidR="00191B83">
        <w:rPr>
          <w:i/>
          <w:iCs/>
          <w:lang w:val="en-GB" w:eastAsia="de-DE"/>
        </w:rPr>
        <w:t xml:space="preserve"> and </w:t>
      </w:r>
      <w:proofErr w:type="spellStart"/>
      <w:r w:rsidR="00191B83">
        <w:rPr>
          <w:i/>
          <w:iCs/>
          <w:lang w:val="en-GB" w:eastAsia="de-DE"/>
        </w:rPr>
        <w:t>SSc</w:t>
      </w:r>
      <w:proofErr w:type="spellEnd"/>
      <w:r w:rsidR="00191B83">
        <w:rPr>
          <w:i/>
          <w:iCs/>
          <w:lang w:val="en-GB" w:eastAsia="de-DE"/>
        </w:rPr>
        <w:t>-ILD</w:t>
      </w:r>
      <w:r>
        <w:rPr>
          <w:lang w:val="en-GB" w:eastAsia="de-DE"/>
        </w:rPr>
        <w:t xml:space="preserve"> </w:t>
      </w:r>
    </w:p>
    <w:p w14:paraId="2E915A2F" w14:textId="73D83AB8" w:rsidR="006A4555" w:rsidRDefault="006A4555" w:rsidP="009F6FED">
      <w:pPr>
        <w:pStyle w:val="TextPI"/>
        <w:rPr>
          <w:lang w:val="en-GB" w:eastAsia="de-DE"/>
        </w:rPr>
      </w:pPr>
      <w:r>
        <w:rPr>
          <w:lang w:val="en-GB" w:eastAsia="de-DE"/>
        </w:rPr>
        <w:t xml:space="preserve">Exposure-response analyses </w:t>
      </w:r>
      <w:r w:rsidR="005C2F73">
        <w:rPr>
          <w:lang w:val="en-GB" w:eastAsia="de-DE"/>
        </w:rPr>
        <w:t>of patients with IPF</w:t>
      </w:r>
      <w:r w:rsidR="006A68AE">
        <w:rPr>
          <w:lang w:val="en-GB" w:eastAsia="de-DE"/>
        </w:rPr>
        <w:t xml:space="preserve">, </w:t>
      </w:r>
      <w:r w:rsidR="006A68AE" w:rsidRPr="007463FC">
        <w:rPr>
          <w:lang w:val="en-GB" w:eastAsia="de-DE"/>
        </w:rPr>
        <w:t>other chronic fibrosing ILDs with a progressive</w:t>
      </w:r>
      <w:r w:rsidR="006A68AE">
        <w:rPr>
          <w:lang w:val="en-GB" w:eastAsia="de-DE"/>
        </w:rPr>
        <w:t xml:space="preserve"> </w:t>
      </w:r>
      <w:r w:rsidR="006A68AE" w:rsidRPr="007463FC">
        <w:rPr>
          <w:lang w:val="en-GB" w:eastAsia="de-DE"/>
        </w:rPr>
        <w:t>phenotype</w:t>
      </w:r>
      <w:r w:rsidR="006A68AE">
        <w:rPr>
          <w:lang w:val="en-GB" w:eastAsia="de-DE"/>
        </w:rPr>
        <w:t>,</w:t>
      </w:r>
      <w:r w:rsidR="005C2F73">
        <w:rPr>
          <w:lang w:val="en-GB" w:eastAsia="de-DE"/>
        </w:rPr>
        <w:t xml:space="preserve"> and </w:t>
      </w:r>
      <w:proofErr w:type="spellStart"/>
      <w:r w:rsidR="005C2F73">
        <w:rPr>
          <w:lang w:val="en-GB" w:eastAsia="de-DE"/>
        </w:rPr>
        <w:t>SSc</w:t>
      </w:r>
      <w:proofErr w:type="spellEnd"/>
      <w:r w:rsidR="005C2F73">
        <w:rPr>
          <w:lang w:val="en-GB" w:eastAsia="de-DE"/>
        </w:rPr>
        <w:t xml:space="preserve">-ILD </w:t>
      </w:r>
      <w:r>
        <w:rPr>
          <w:lang w:val="en-GB" w:eastAsia="de-DE"/>
        </w:rPr>
        <w:t xml:space="preserve">indicated an </w:t>
      </w:r>
      <w:proofErr w:type="spellStart"/>
      <w:r>
        <w:rPr>
          <w:lang w:val="en-GB" w:eastAsia="de-DE"/>
        </w:rPr>
        <w:t>E</w:t>
      </w:r>
      <w:r w:rsidRPr="006A4555">
        <w:rPr>
          <w:vertAlign w:val="subscript"/>
          <w:lang w:val="en-GB" w:eastAsia="de-DE"/>
        </w:rPr>
        <w:t>max</w:t>
      </w:r>
      <w:proofErr w:type="spellEnd"/>
      <w:r>
        <w:rPr>
          <w:lang w:val="en-GB" w:eastAsia="de-DE"/>
        </w:rPr>
        <w:t>-like relationship between exposure and the annual rate of decline in FVC with an EC</w:t>
      </w:r>
      <w:r w:rsidRPr="006A4555">
        <w:rPr>
          <w:vertAlign w:val="subscript"/>
          <w:lang w:val="en-GB" w:eastAsia="de-DE"/>
        </w:rPr>
        <w:t>50</w:t>
      </w:r>
      <w:r>
        <w:rPr>
          <w:lang w:val="en-GB" w:eastAsia="de-DE"/>
        </w:rPr>
        <w:t xml:space="preserve"> of around 3 ng/mL (relative standard error: </w:t>
      </w:r>
      <w:r w:rsidR="005C2F73">
        <w:rPr>
          <w:lang w:val="en-GB" w:eastAsia="de-DE"/>
        </w:rPr>
        <w:t>around 55</w:t>
      </w:r>
      <w:r>
        <w:rPr>
          <w:lang w:val="en-GB" w:eastAsia="de-DE"/>
        </w:rPr>
        <w:t>%).</w:t>
      </w:r>
      <w:r w:rsidR="005C2F73">
        <w:rPr>
          <w:lang w:val="en-GB" w:eastAsia="de-DE"/>
        </w:rPr>
        <w:t xml:space="preserve"> </w:t>
      </w:r>
      <w:r w:rsidR="005C2F73" w:rsidRPr="009F3F76">
        <w:rPr>
          <w:lang w:val="en-GB" w:eastAsia="de-DE"/>
        </w:rPr>
        <w:t xml:space="preserve">For comparison, median observed </w:t>
      </w:r>
      <w:proofErr w:type="spellStart"/>
      <w:r w:rsidR="005C2F73" w:rsidRPr="009F3F76">
        <w:rPr>
          <w:lang w:val="en-GB" w:eastAsia="de-DE"/>
        </w:rPr>
        <w:t>nintedanib</w:t>
      </w:r>
      <w:proofErr w:type="spellEnd"/>
      <w:r w:rsidR="005C2F73" w:rsidRPr="009F3F76">
        <w:rPr>
          <w:lang w:val="en-GB" w:eastAsia="de-DE"/>
        </w:rPr>
        <w:t xml:space="preserve"> trough concentrations for 150 mg bid </w:t>
      </w:r>
      <w:r w:rsidR="005C2F73">
        <w:rPr>
          <w:lang w:val="en-GB" w:eastAsia="de-DE"/>
        </w:rPr>
        <w:t>OFEV</w:t>
      </w:r>
      <w:r w:rsidR="005C2F73" w:rsidRPr="009F3F76">
        <w:rPr>
          <w:lang w:val="en-GB" w:eastAsia="de-DE"/>
        </w:rPr>
        <w:t xml:space="preserve"> were about 10 ng/</w:t>
      </w:r>
      <w:proofErr w:type="spellStart"/>
      <w:r w:rsidR="005C2F73" w:rsidRPr="009F3F76">
        <w:rPr>
          <w:lang w:val="en-GB" w:eastAsia="de-DE"/>
        </w:rPr>
        <w:t>mL.</w:t>
      </w:r>
      <w:proofErr w:type="spellEnd"/>
    </w:p>
    <w:p w14:paraId="2E915A30" w14:textId="4DE2B256" w:rsidR="00BF21E9" w:rsidRPr="00BF21E9" w:rsidRDefault="006A4555" w:rsidP="009F6FED">
      <w:pPr>
        <w:pStyle w:val="TextPI"/>
      </w:pPr>
      <w:r>
        <w:rPr>
          <w:lang w:val="en-GB" w:eastAsia="de-DE"/>
        </w:rPr>
        <w:t xml:space="preserve">With respect to safety, there seemed to be a weak relationship between </w:t>
      </w:r>
      <w:proofErr w:type="spellStart"/>
      <w:r>
        <w:rPr>
          <w:lang w:val="en-GB" w:eastAsia="de-DE"/>
        </w:rPr>
        <w:t>nintedanib</w:t>
      </w:r>
      <w:proofErr w:type="spellEnd"/>
      <w:r>
        <w:rPr>
          <w:lang w:val="en-GB" w:eastAsia="de-DE"/>
        </w:rPr>
        <w:t xml:space="preserve"> plasma exposure and ALT and/or AST elevations.  Actual administered dose might be the better predictor for the risk of developing diarrhoea of any intensity, even if plasma exposure as risk determining factor could not be ruled out </w:t>
      </w:r>
      <w:r w:rsidR="00BF21E9" w:rsidRPr="00BF21E9">
        <w:rPr>
          <w:lang w:val="en-GB" w:eastAsia="de-DE"/>
        </w:rPr>
        <w:t xml:space="preserve">(see </w:t>
      </w:r>
      <w:r w:rsidR="00063C89">
        <w:rPr>
          <w:lang w:val="en-GB" w:eastAsia="de-DE"/>
        </w:rPr>
        <w:t>Section 4.4 Special Warnings and Precautions for Use</w:t>
      </w:r>
      <w:r w:rsidR="00BF21E9" w:rsidRPr="00BF21E9">
        <w:rPr>
          <w:lang w:val="en-GB" w:eastAsia="de-DE"/>
        </w:rPr>
        <w:t>).</w:t>
      </w:r>
    </w:p>
    <w:p w14:paraId="2E915A31" w14:textId="77777777" w:rsidR="00F833FE" w:rsidRPr="00EC4DF6" w:rsidRDefault="00F833FE" w:rsidP="005D33C9">
      <w:pPr>
        <w:pStyle w:val="PIheading30"/>
        <w:ind w:left="0" w:right="0" w:firstLine="0"/>
        <w:rPr>
          <w:b/>
          <w:bCs/>
          <w:u w:val="none"/>
        </w:rPr>
      </w:pPr>
      <w:r w:rsidRPr="00EC4DF6">
        <w:rPr>
          <w:b/>
          <w:bCs/>
          <w:u w:val="none"/>
        </w:rPr>
        <w:t>Intrinsic and Extrinsic Factors; Special Populations</w:t>
      </w:r>
    </w:p>
    <w:p w14:paraId="2E915A32" w14:textId="58084EF1" w:rsidR="00F833FE" w:rsidRPr="00390A6C" w:rsidRDefault="00F833FE" w:rsidP="009F6FED">
      <w:pPr>
        <w:pStyle w:val="TextPI"/>
        <w:rPr>
          <w:rFonts w:cs="Arial"/>
          <w:lang w:val="en-GB" w:eastAsia="x-none"/>
        </w:rPr>
      </w:pPr>
      <w:r w:rsidRPr="00390A6C">
        <w:t xml:space="preserve">The PK properties of </w:t>
      </w:r>
      <w:proofErr w:type="spellStart"/>
      <w:r w:rsidRPr="00390A6C">
        <w:t>nintedanib</w:t>
      </w:r>
      <w:proofErr w:type="spellEnd"/>
      <w:r w:rsidRPr="00390A6C">
        <w:t xml:space="preserve"> were similar in healthy volunteers, </w:t>
      </w:r>
      <w:r w:rsidR="000D6E0F">
        <w:t>patients with IPF</w:t>
      </w:r>
      <w:r w:rsidR="0073369F">
        <w:t xml:space="preserve">, </w:t>
      </w:r>
      <w:r w:rsidR="00AE49BC">
        <w:t xml:space="preserve">patients with other chronic fibrosing ILDs with a progressive phenotype, </w:t>
      </w:r>
      <w:r w:rsidR="0073369F">
        <w:t xml:space="preserve">patients with </w:t>
      </w:r>
      <w:proofErr w:type="spellStart"/>
      <w:r w:rsidR="0073369F">
        <w:t>SSc</w:t>
      </w:r>
      <w:proofErr w:type="spellEnd"/>
      <w:r w:rsidR="0073369F">
        <w:t>-ILD</w:t>
      </w:r>
      <w:r w:rsidR="000D6E0F">
        <w:t xml:space="preserve"> and </w:t>
      </w:r>
      <w:r w:rsidRPr="00390A6C">
        <w:t xml:space="preserve">cancer patients.  </w:t>
      </w:r>
      <w:r w:rsidR="000D6E0F">
        <w:t xml:space="preserve">Based on results of </w:t>
      </w:r>
      <w:r w:rsidR="00BF5B0C">
        <w:t>p</w:t>
      </w:r>
      <w:r w:rsidR="000D6E0F">
        <w:t>opulation PK</w:t>
      </w:r>
      <w:r w:rsidR="00BF5B0C">
        <w:t xml:space="preserve"> </w:t>
      </w:r>
      <w:r w:rsidR="000D6E0F">
        <w:t>analyses and descriptive investigations, e</w:t>
      </w:r>
      <w:r w:rsidRPr="00390A6C">
        <w:t xml:space="preserve">xposure to </w:t>
      </w:r>
      <w:proofErr w:type="spellStart"/>
      <w:r w:rsidRPr="00390A6C">
        <w:t>nintedanib</w:t>
      </w:r>
      <w:proofErr w:type="spellEnd"/>
      <w:r w:rsidRPr="00390A6C">
        <w:t xml:space="preserve"> was not influenced by gender (body weight corrected), mild and moderate renal impairment (estimated by creatinine clearance), liver metastases, ECOG performance score, alcohol consumption, or P-</w:t>
      </w:r>
      <w:proofErr w:type="spellStart"/>
      <w:r w:rsidRPr="00390A6C">
        <w:t>gp</w:t>
      </w:r>
      <w:proofErr w:type="spellEnd"/>
      <w:r w:rsidRPr="00390A6C">
        <w:t xml:space="preserve"> genotype.</w:t>
      </w:r>
      <w:r w:rsidR="004E39B8" w:rsidRPr="00390A6C">
        <w:t xml:space="preserve">  </w:t>
      </w:r>
      <w:r w:rsidRPr="00390A6C">
        <w:t xml:space="preserve">Population PK analyses indicated moderate effects on exposure to </w:t>
      </w:r>
      <w:proofErr w:type="spellStart"/>
      <w:r w:rsidRPr="00390A6C">
        <w:t>nintedanib</w:t>
      </w:r>
      <w:proofErr w:type="spellEnd"/>
      <w:r w:rsidRPr="00390A6C">
        <w:rPr>
          <w:rFonts w:cs="Arial"/>
          <w:iCs/>
          <w:lang w:val="en-GB" w:eastAsia="x-none"/>
        </w:rPr>
        <w:t xml:space="preserve"> depending on </w:t>
      </w:r>
      <w:r w:rsidRPr="000D6E0F">
        <w:rPr>
          <w:rFonts w:cs="Arial"/>
          <w:iCs/>
          <w:lang w:val="en-GB" w:eastAsia="x-none"/>
        </w:rPr>
        <w:t>the intrinsic and extrinsic factors</w:t>
      </w:r>
      <w:r w:rsidR="00870C60" w:rsidRPr="000D6E0F">
        <w:rPr>
          <w:rFonts w:cs="Arial"/>
          <w:iCs/>
          <w:lang w:val="en-GB" w:eastAsia="x-none"/>
        </w:rPr>
        <w:t xml:space="preserve"> age, body weight, and race which are described in the following</w:t>
      </w:r>
      <w:r w:rsidRPr="00390A6C">
        <w:rPr>
          <w:rFonts w:cs="Arial"/>
          <w:iCs/>
          <w:lang w:val="en-GB" w:eastAsia="x-none"/>
        </w:rPr>
        <w:t>.  Based on the high inter-individual variability of exposure observed in the clinical trial</w:t>
      </w:r>
      <w:r w:rsidR="000D6E0F">
        <w:rPr>
          <w:rFonts w:cs="Arial"/>
          <w:iCs/>
          <w:lang w:val="en-GB" w:eastAsia="x-none"/>
        </w:rPr>
        <w:t>s</w:t>
      </w:r>
      <w:r w:rsidRPr="00390A6C">
        <w:rPr>
          <w:rFonts w:cs="Arial"/>
          <w:iCs/>
          <w:lang w:val="en-GB" w:eastAsia="x-none"/>
        </w:rPr>
        <w:t xml:space="preserve"> these effects are not considered clinically relevant</w:t>
      </w:r>
      <w:r w:rsidRPr="00390A6C">
        <w:rPr>
          <w:rFonts w:cs="Arial"/>
          <w:lang w:val="en-GB" w:eastAsia="x-none"/>
        </w:rPr>
        <w:t xml:space="preserve"> (see </w:t>
      </w:r>
      <w:r w:rsidR="00063C89">
        <w:rPr>
          <w:lang w:val="en-GB" w:eastAsia="de-DE"/>
        </w:rPr>
        <w:t>Section 4.4 Special Warnings and Precautions for Use</w:t>
      </w:r>
      <w:r w:rsidRPr="00390A6C">
        <w:rPr>
          <w:rFonts w:cs="Arial"/>
          <w:lang w:val="en-GB" w:eastAsia="x-none"/>
        </w:rPr>
        <w:t>).</w:t>
      </w:r>
    </w:p>
    <w:p w14:paraId="2E915A33" w14:textId="77777777" w:rsidR="00C541C4" w:rsidRPr="00D85D7E" w:rsidRDefault="009C69A2" w:rsidP="00D85D7E">
      <w:pPr>
        <w:pStyle w:val="TextPI"/>
        <w:rPr>
          <w:u w:val="single"/>
          <w:lang w:val="en-US" w:eastAsia="de-DE"/>
        </w:rPr>
      </w:pPr>
      <w:r w:rsidRPr="00D85D7E">
        <w:rPr>
          <w:u w:val="single"/>
          <w:lang w:val="en-US" w:eastAsia="de-DE"/>
        </w:rPr>
        <w:t>Age</w:t>
      </w:r>
    </w:p>
    <w:p w14:paraId="2E915A34" w14:textId="77777777" w:rsidR="009C69A2" w:rsidRPr="00C541C4" w:rsidRDefault="009C69A2" w:rsidP="009F6FED">
      <w:pPr>
        <w:pStyle w:val="TextPI"/>
        <w:rPr>
          <w:rFonts w:cs="Arial"/>
          <w:lang w:val="en-GB" w:eastAsia="x-none"/>
        </w:rPr>
      </w:pPr>
      <w:r w:rsidRPr="00F614FC">
        <w:rPr>
          <w:lang w:val="en-GB"/>
        </w:rPr>
        <w:t xml:space="preserve">Exposure to </w:t>
      </w:r>
      <w:proofErr w:type="spellStart"/>
      <w:r w:rsidRPr="00F614FC">
        <w:rPr>
          <w:lang w:val="en-GB"/>
        </w:rPr>
        <w:t>nintedanib</w:t>
      </w:r>
      <w:proofErr w:type="spellEnd"/>
      <w:r w:rsidRPr="00F614FC">
        <w:rPr>
          <w:lang w:val="en-GB"/>
        </w:rPr>
        <w:t xml:space="preserve"> increased linearly with age.  </w:t>
      </w:r>
      <w:proofErr w:type="spellStart"/>
      <w:r w:rsidRPr="00F614FC">
        <w:rPr>
          <w:lang w:val="en-GB"/>
        </w:rPr>
        <w:t>AUC</w:t>
      </w:r>
      <w:r w:rsidRPr="00F614FC">
        <w:rPr>
          <w:vertAlign w:val="subscript"/>
          <w:lang w:val="en-GB"/>
        </w:rPr>
        <w:t>τ,ss</w:t>
      </w:r>
      <w:proofErr w:type="spellEnd"/>
      <w:r w:rsidRPr="00F614FC">
        <w:rPr>
          <w:lang w:val="en-GB"/>
        </w:rPr>
        <w:t xml:space="preserve"> decreased by 16% for a 45-year old patient (5</w:t>
      </w:r>
      <w:r w:rsidRPr="00F614FC">
        <w:rPr>
          <w:vertAlign w:val="superscript"/>
          <w:lang w:val="en-GB"/>
        </w:rPr>
        <w:t>th</w:t>
      </w:r>
      <w:r w:rsidRPr="00F614FC">
        <w:rPr>
          <w:lang w:val="en-GB"/>
        </w:rPr>
        <w:t xml:space="preserve"> percentile) and increased by 13% for a 76-year old patient (95</w:t>
      </w:r>
      <w:r w:rsidRPr="00F614FC">
        <w:rPr>
          <w:vertAlign w:val="superscript"/>
          <w:lang w:val="en-GB"/>
        </w:rPr>
        <w:t>th</w:t>
      </w:r>
      <w:r w:rsidRPr="00F614FC">
        <w:rPr>
          <w:lang w:val="en-GB"/>
        </w:rPr>
        <w:t xml:space="preserve"> percentile) relative to a patient with the median age of 62 years. </w:t>
      </w:r>
      <w:r w:rsidR="00610EA9" w:rsidRPr="00F614FC">
        <w:rPr>
          <w:lang w:val="en-GB"/>
        </w:rPr>
        <w:t xml:space="preserve"> </w:t>
      </w:r>
      <w:r w:rsidRPr="00F614FC">
        <w:rPr>
          <w:lang w:val="en-GB"/>
        </w:rPr>
        <w:t>The age range covered by the analysis was 29 to 85 years; approximately 5% of the population was older than 75 years.  Studies in paediatric populations have not been performed.</w:t>
      </w:r>
    </w:p>
    <w:p w14:paraId="2E915A35" w14:textId="77777777" w:rsidR="00540888" w:rsidRPr="00D85D7E" w:rsidRDefault="00540888" w:rsidP="005D33C9">
      <w:pPr>
        <w:pStyle w:val="TextPI"/>
        <w:keepNext/>
        <w:keepLines/>
        <w:rPr>
          <w:u w:val="single"/>
          <w:lang w:val="en-US" w:eastAsia="de-DE"/>
        </w:rPr>
      </w:pPr>
      <w:r w:rsidRPr="00D85D7E">
        <w:rPr>
          <w:u w:val="single"/>
          <w:lang w:val="en-US" w:eastAsia="de-DE"/>
        </w:rPr>
        <w:t>Body weight</w:t>
      </w:r>
    </w:p>
    <w:p w14:paraId="2E915A36" w14:textId="77777777" w:rsidR="00F833FE" w:rsidRPr="00F614FC" w:rsidRDefault="00540888" w:rsidP="009F6FED">
      <w:pPr>
        <w:pStyle w:val="TextPI"/>
        <w:rPr>
          <w:lang w:val="en-GB"/>
        </w:rPr>
      </w:pPr>
      <w:r w:rsidRPr="00F614FC">
        <w:rPr>
          <w:lang w:val="en-GB" w:eastAsia="de-DE"/>
        </w:rPr>
        <w:t xml:space="preserve">An inverse correlation between body weight and exposure to </w:t>
      </w:r>
      <w:proofErr w:type="spellStart"/>
      <w:r w:rsidRPr="00F614FC">
        <w:rPr>
          <w:lang w:val="en-GB" w:eastAsia="de-DE"/>
        </w:rPr>
        <w:t>nintedanib</w:t>
      </w:r>
      <w:proofErr w:type="spellEnd"/>
      <w:r w:rsidRPr="00F614FC">
        <w:rPr>
          <w:lang w:val="en-GB" w:eastAsia="de-DE"/>
        </w:rPr>
        <w:t xml:space="preserve"> was observed.  </w:t>
      </w:r>
      <w:proofErr w:type="spellStart"/>
      <w:r w:rsidRPr="00F614FC">
        <w:rPr>
          <w:lang w:val="en-GB" w:eastAsia="de-DE"/>
        </w:rPr>
        <w:t>AUC</w:t>
      </w:r>
      <w:r w:rsidRPr="00F614FC">
        <w:rPr>
          <w:vertAlign w:val="subscript"/>
          <w:lang w:val="en-GB" w:eastAsia="de-DE"/>
        </w:rPr>
        <w:t>τ,ss</w:t>
      </w:r>
      <w:proofErr w:type="spellEnd"/>
      <w:r w:rsidRPr="00F614FC">
        <w:rPr>
          <w:lang w:val="en-GB" w:eastAsia="de-DE"/>
        </w:rPr>
        <w:t xml:space="preserve"> increased by 25% for a 50 kg patient (5</w:t>
      </w:r>
      <w:r w:rsidRPr="00F614FC">
        <w:rPr>
          <w:vertAlign w:val="superscript"/>
          <w:lang w:val="en-GB" w:eastAsia="de-DE"/>
        </w:rPr>
        <w:t>th</w:t>
      </w:r>
      <w:r w:rsidRPr="00F614FC">
        <w:rPr>
          <w:lang w:val="en-GB" w:eastAsia="de-DE"/>
        </w:rPr>
        <w:t xml:space="preserve"> percentile) and decreased by 19% for a 100 kg patient (95</w:t>
      </w:r>
      <w:r w:rsidRPr="00F614FC">
        <w:rPr>
          <w:vertAlign w:val="superscript"/>
          <w:lang w:val="en-GB" w:eastAsia="de-DE"/>
        </w:rPr>
        <w:t>th</w:t>
      </w:r>
      <w:r w:rsidRPr="00F614FC">
        <w:rPr>
          <w:lang w:val="en-GB" w:eastAsia="de-DE"/>
        </w:rPr>
        <w:t xml:space="preserve"> percentile) relative to a patient with the median weight of 71.5 kg.</w:t>
      </w:r>
    </w:p>
    <w:p w14:paraId="2E915A37" w14:textId="77777777" w:rsidR="00540888" w:rsidRPr="00D85D7E" w:rsidRDefault="00540888" w:rsidP="00D67F5C">
      <w:pPr>
        <w:pStyle w:val="TextPI"/>
        <w:keepNext/>
        <w:keepLines/>
        <w:rPr>
          <w:u w:val="single"/>
          <w:lang w:val="en-US" w:eastAsia="de-DE"/>
        </w:rPr>
      </w:pPr>
      <w:r w:rsidRPr="00D85D7E">
        <w:rPr>
          <w:u w:val="single"/>
          <w:lang w:val="en-US" w:eastAsia="de-DE"/>
        </w:rPr>
        <w:t>Race</w:t>
      </w:r>
    </w:p>
    <w:p w14:paraId="2E915A38" w14:textId="3E3BA787" w:rsidR="00F614FC" w:rsidRDefault="00540888" w:rsidP="009F6FED">
      <w:pPr>
        <w:pStyle w:val="TextPI"/>
        <w:rPr>
          <w:lang w:val="en-GB" w:eastAsia="de-DE"/>
        </w:rPr>
      </w:pPr>
      <w:r w:rsidRPr="00F614FC">
        <w:rPr>
          <w:lang w:val="en-GB" w:eastAsia="de-DE"/>
        </w:rPr>
        <w:t xml:space="preserve">The </w:t>
      </w:r>
      <w:r w:rsidR="006848A6">
        <w:rPr>
          <w:lang w:val="en-GB" w:eastAsia="de-DE"/>
        </w:rPr>
        <w:t>population</w:t>
      </w:r>
      <w:r w:rsidR="006848A6" w:rsidRPr="00F614FC">
        <w:rPr>
          <w:lang w:val="en-GB" w:eastAsia="de-DE"/>
        </w:rPr>
        <w:t xml:space="preserve"> </w:t>
      </w:r>
      <w:r w:rsidRPr="00F614FC">
        <w:rPr>
          <w:lang w:val="en-GB" w:eastAsia="de-DE"/>
        </w:rPr>
        <w:t xml:space="preserve">mean exposure to </w:t>
      </w:r>
      <w:proofErr w:type="spellStart"/>
      <w:r w:rsidRPr="00F614FC">
        <w:rPr>
          <w:lang w:val="en-GB" w:eastAsia="de-DE"/>
        </w:rPr>
        <w:t>nintedanib</w:t>
      </w:r>
      <w:proofErr w:type="spellEnd"/>
      <w:r w:rsidRPr="00F614FC">
        <w:rPr>
          <w:lang w:val="en-GB" w:eastAsia="de-DE"/>
        </w:rPr>
        <w:t xml:space="preserve"> was 33</w:t>
      </w:r>
      <w:r w:rsidR="006848A6">
        <w:rPr>
          <w:lang w:val="en-GB" w:eastAsia="de-DE"/>
        </w:rPr>
        <w:t xml:space="preserve"> – 5</w:t>
      </w:r>
      <w:r w:rsidR="003F3CAD">
        <w:rPr>
          <w:lang w:val="en-GB" w:eastAsia="de-DE"/>
        </w:rPr>
        <w:t>0</w:t>
      </w:r>
      <w:r w:rsidRPr="00F614FC">
        <w:rPr>
          <w:lang w:val="en-GB" w:eastAsia="de-DE"/>
        </w:rPr>
        <w:t xml:space="preserve">% higher in Chinese, Taiwanese, and Indian patients </w:t>
      </w:r>
      <w:r w:rsidR="006848A6">
        <w:rPr>
          <w:lang w:val="en-GB" w:eastAsia="de-DE"/>
        </w:rPr>
        <w:t xml:space="preserve">and 16 % higher in Japanese patients </w:t>
      </w:r>
      <w:r w:rsidRPr="00F614FC">
        <w:rPr>
          <w:lang w:val="en-GB" w:eastAsia="de-DE"/>
        </w:rPr>
        <w:t xml:space="preserve">while it was </w:t>
      </w:r>
      <w:r w:rsidR="006848A6">
        <w:rPr>
          <w:lang w:val="en-GB" w:eastAsia="de-DE"/>
        </w:rPr>
        <w:t xml:space="preserve">16 – </w:t>
      </w:r>
      <w:r w:rsidRPr="00F614FC">
        <w:rPr>
          <w:lang w:val="en-GB" w:eastAsia="de-DE"/>
        </w:rPr>
        <w:t xml:space="preserve">22% lower in Koreans compared to Caucasians (body weight corrected).    </w:t>
      </w:r>
    </w:p>
    <w:p w14:paraId="2E915A39" w14:textId="77777777" w:rsidR="009C69A2" w:rsidRPr="00F614FC" w:rsidRDefault="00540888" w:rsidP="009F6FED">
      <w:pPr>
        <w:pStyle w:val="TextPI"/>
      </w:pPr>
      <w:r w:rsidRPr="00F614FC">
        <w:rPr>
          <w:lang w:val="en-GB" w:eastAsia="de-DE"/>
        </w:rPr>
        <w:t>Data from black individuals was very limited but in the same range as for Caucasians.</w:t>
      </w:r>
    </w:p>
    <w:p w14:paraId="2E915A3A" w14:textId="77777777" w:rsidR="00540888" w:rsidRPr="00D85D7E" w:rsidRDefault="00540888" w:rsidP="009F4DA1">
      <w:pPr>
        <w:pStyle w:val="TextPI"/>
        <w:rPr>
          <w:u w:val="single"/>
          <w:lang w:val="en-US" w:eastAsia="de-DE"/>
        </w:rPr>
      </w:pPr>
      <w:r w:rsidRPr="00D85D7E">
        <w:rPr>
          <w:u w:val="single"/>
          <w:lang w:val="en-US" w:eastAsia="de-DE"/>
        </w:rPr>
        <w:t>Hepatic impairment</w:t>
      </w:r>
    </w:p>
    <w:p w14:paraId="2E915A3B" w14:textId="77777777" w:rsidR="00B85D3E" w:rsidRDefault="00B85D3E" w:rsidP="009F4DA1">
      <w:pPr>
        <w:pStyle w:val="TextPI"/>
        <w:rPr>
          <w:lang w:val="en-GB"/>
        </w:rPr>
      </w:pPr>
      <w:r>
        <w:rPr>
          <w:lang w:val="en-GB"/>
        </w:rPr>
        <w:t xml:space="preserve">In a dedicated single dose phase I study and compared to healthy subjects, exposure to </w:t>
      </w:r>
      <w:proofErr w:type="spellStart"/>
      <w:r>
        <w:rPr>
          <w:lang w:val="en-GB"/>
        </w:rPr>
        <w:t>nintedanib</w:t>
      </w:r>
      <w:proofErr w:type="spellEnd"/>
      <w:r>
        <w:rPr>
          <w:lang w:val="en-GB"/>
        </w:rPr>
        <w:t xml:space="preserve"> based on </w:t>
      </w:r>
      <w:proofErr w:type="spellStart"/>
      <w:r>
        <w:rPr>
          <w:lang w:val="en-GB"/>
        </w:rPr>
        <w:t>C</w:t>
      </w:r>
      <w:r w:rsidRPr="000A21D2">
        <w:rPr>
          <w:vertAlign w:val="subscript"/>
          <w:lang w:val="en-GB"/>
        </w:rPr>
        <w:t>max</w:t>
      </w:r>
      <w:proofErr w:type="spellEnd"/>
      <w:r>
        <w:rPr>
          <w:lang w:val="en-GB"/>
        </w:rPr>
        <w:t xml:space="preserve"> and AUC was 2.2-fold higher in volunteers with mild hepatic impairment (Child Pugh A; 90% CI 1.3 – 3.7 for </w:t>
      </w:r>
      <w:proofErr w:type="spellStart"/>
      <w:r>
        <w:rPr>
          <w:lang w:val="en-GB"/>
        </w:rPr>
        <w:t>C</w:t>
      </w:r>
      <w:r w:rsidRPr="000A21D2">
        <w:rPr>
          <w:vertAlign w:val="subscript"/>
          <w:lang w:val="en-GB"/>
        </w:rPr>
        <w:t>max</w:t>
      </w:r>
      <w:proofErr w:type="spellEnd"/>
      <w:r>
        <w:rPr>
          <w:lang w:val="en-GB"/>
        </w:rPr>
        <w:t xml:space="preserve"> and 1.2 – 3.8 for AUC, respectively). In volunteers with moderate hepatic impairment (Child Pugh B), exposure was 7.6-fold higher based on </w:t>
      </w:r>
      <w:proofErr w:type="spellStart"/>
      <w:r>
        <w:rPr>
          <w:lang w:val="en-GB"/>
        </w:rPr>
        <w:t>C</w:t>
      </w:r>
      <w:r w:rsidRPr="000A21D2">
        <w:rPr>
          <w:vertAlign w:val="subscript"/>
          <w:lang w:val="en-GB"/>
        </w:rPr>
        <w:t>max</w:t>
      </w:r>
      <w:proofErr w:type="spellEnd"/>
      <w:r>
        <w:rPr>
          <w:lang w:val="en-GB"/>
        </w:rPr>
        <w:t xml:space="preserve"> (90% CI 4.4 – 13.2) and 8.7-fold higher (90% CI 5.7 – 13.1) based on AUC, </w:t>
      </w:r>
      <w:r>
        <w:rPr>
          <w:lang w:val="en-GB"/>
        </w:rPr>
        <w:lastRenderedPageBreak/>
        <w:t>respectively, compared to healthy volunteers. Subjects with severe hepatic impairment (Child Pugh C) have not been studied.</w:t>
      </w:r>
    </w:p>
    <w:p w14:paraId="2E915A3C" w14:textId="77777777" w:rsidR="00F614FC" w:rsidRPr="00D85D7E" w:rsidRDefault="00F614FC" w:rsidP="009F4DA1">
      <w:pPr>
        <w:pStyle w:val="TextPI"/>
        <w:keepNext/>
        <w:keepLines/>
        <w:rPr>
          <w:u w:val="single"/>
          <w:lang w:val="en-US" w:eastAsia="de-DE"/>
        </w:rPr>
      </w:pPr>
      <w:r w:rsidRPr="00D85D7E">
        <w:rPr>
          <w:u w:val="single"/>
          <w:lang w:val="en-US" w:eastAsia="de-DE"/>
        </w:rPr>
        <w:t>Concomitant treatment with pirfenidone</w:t>
      </w:r>
    </w:p>
    <w:p w14:paraId="3AA4F0BF" w14:textId="5D48D477" w:rsidR="008A742F" w:rsidRDefault="00F614FC" w:rsidP="0083630E">
      <w:pPr>
        <w:pStyle w:val="TextPI"/>
        <w:keepNext/>
        <w:rPr>
          <w:lang w:val="en-GB"/>
        </w:rPr>
      </w:pPr>
      <w:r w:rsidRPr="00F614FC">
        <w:rPr>
          <w:i/>
          <w:iCs/>
          <w:lang w:val="en-GB"/>
        </w:rPr>
        <w:t>IPF</w:t>
      </w:r>
    </w:p>
    <w:p w14:paraId="00BEA884" w14:textId="76843EE2" w:rsidR="003B215F" w:rsidRDefault="003B215F" w:rsidP="003B215F">
      <w:pPr>
        <w:pStyle w:val="PIHeading3"/>
        <w:rPr>
          <w:u w:val="none"/>
          <w:lang w:val="en-GB"/>
        </w:rPr>
      </w:pPr>
      <w:r w:rsidRPr="00A67A98">
        <w:rPr>
          <w:u w:val="none"/>
          <w:lang w:val="en-GB"/>
        </w:rPr>
        <w:t>In</w:t>
      </w:r>
      <w:r>
        <w:rPr>
          <w:u w:val="none"/>
          <w:lang w:val="en-GB"/>
        </w:rPr>
        <w:t xml:space="preserve"> a dedicated pharmacokinetic study, concomitant treatment of </w:t>
      </w:r>
      <w:r w:rsidR="00F106F7">
        <w:rPr>
          <w:u w:val="none"/>
          <w:lang w:val="en-GB"/>
        </w:rPr>
        <w:t xml:space="preserve">OFEV </w:t>
      </w:r>
      <w:r>
        <w:rPr>
          <w:u w:val="none"/>
          <w:lang w:val="en-GB"/>
        </w:rPr>
        <w:t xml:space="preserve">with </w:t>
      </w:r>
      <w:proofErr w:type="spellStart"/>
      <w:r>
        <w:rPr>
          <w:u w:val="none"/>
          <w:lang w:val="en-GB"/>
        </w:rPr>
        <w:t>pirfernidone</w:t>
      </w:r>
      <w:proofErr w:type="spellEnd"/>
      <w:r>
        <w:rPr>
          <w:u w:val="none"/>
          <w:lang w:val="en-GB"/>
        </w:rPr>
        <w:t xml:space="preserve"> was investigated in patients with IPF. Group 1 received a single dose of 150 mg </w:t>
      </w:r>
      <w:r w:rsidR="00F106F7">
        <w:rPr>
          <w:u w:val="none"/>
          <w:lang w:val="en-GB"/>
        </w:rPr>
        <w:t xml:space="preserve">OFEV </w:t>
      </w:r>
      <w:r>
        <w:rPr>
          <w:u w:val="none"/>
          <w:lang w:val="en-GB"/>
        </w:rPr>
        <w:t xml:space="preserve">before and after up-titration to 801 mg pirfenidone three times a day at steady state. Group 2 received steady state treatment of 801 mg pirfenidone three times a day and had a PK profiling before and after at least 7 days of co-treatment with 150 mg </w:t>
      </w:r>
      <w:r w:rsidR="00F106F7">
        <w:rPr>
          <w:u w:val="none"/>
          <w:lang w:val="en-GB"/>
        </w:rPr>
        <w:t xml:space="preserve">OFEV </w:t>
      </w:r>
      <w:r>
        <w:rPr>
          <w:u w:val="none"/>
          <w:lang w:val="en-GB"/>
        </w:rPr>
        <w:t xml:space="preserve">twice daily. In group 1, the adjusted geometric mean ratios (90% confidence interval (CI)) were 93% (57% - 151%) and 96% (70% - 131%) for </w:t>
      </w:r>
      <w:proofErr w:type="spellStart"/>
      <w:r>
        <w:rPr>
          <w:u w:val="none"/>
          <w:lang w:val="en-GB"/>
        </w:rPr>
        <w:t>C</w:t>
      </w:r>
      <w:r w:rsidRPr="00A67A98">
        <w:rPr>
          <w:u w:val="none"/>
          <w:vertAlign w:val="subscript"/>
          <w:lang w:val="en-GB"/>
        </w:rPr>
        <w:t>max</w:t>
      </w:r>
      <w:proofErr w:type="spellEnd"/>
      <w:r>
        <w:rPr>
          <w:u w:val="none"/>
          <w:lang w:val="en-GB"/>
        </w:rPr>
        <w:t xml:space="preserve"> and AUC</w:t>
      </w:r>
      <w:r w:rsidRPr="00A67A98">
        <w:rPr>
          <w:u w:val="none"/>
          <w:vertAlign w:val="subscript"/>
          <w:lang w:val="en-GB"/>
        </w:rPr>
        <w:t>0-tz</w:t>
      </w:r>
      <w:r>
        <w:rPr>
          <w:u w:val="none"/>
          <w:lang w:val="en-GB"/>
        </w:rPr>
        <w:t xml:space="preserve"> of </w:t>
      </w:r>
      <w:proofErr w:type="spellStart"/>
      <w:r>
        <w:rPr>
          <w:u w:val="none"/>
          <w:lang w:val="en-GB"/>
        </w:rPr>
        <w:t>nintedanib</w:t>
      </w:r>
      <w:proofErr w:type="spellEnd"/>
      <w:r>
        <w:rPr>
          <w:u w:val="none"/>
          <w:lang w:val="en-GB"/>
        </w:rPr>
        <w:t xml:space="preserve">, respectively (N=12). In group 2, the adjusted geometric mean ratios (90% CI) were 97% (86% - 110%) and 95% (86% - 106%) for </w:t>
      </w:r>
      <w:proofErr w:type="spellStart"/>
      <w:r>
        <w:rPr>
          <w:u w:val="none"/>
          <w:lang w:val="en-GB"/>
        </w:rPr>
        <w:t>C</w:t>
      </w:r>
      <w:r w:rsidRPr="00A67A98">
        <w:rPr>
          <w:u w:val="none"/>
          <w:vertAlign w:val="subscript"/>
          <w:lang w:val="en-GB"/>
        </w:rPr>
        <w:t>max</w:t>
      </w:r>
      <w:proofErr w:type="gramStart"/>
      <w:r w:rsidRPr="00A67A98">
        <w:rPr>
          <w:u w:val="none"/>
          <w:vertAlign w:val="subscript"/>
          <w:lang w:val="en-GB"/>
        </w:rPr>
        <w:t>,ss</w:t>
      </w:r>
      <w:proofErr w:type="spellEnd"/>
      <w:proofErr w:type="gramEnd"/>
      <w:r>
        <w:rPr>
          <w:u w:val="none"/>
          <w:lang w:val="en-GB"/>
        </w:rPr>
        <w:t xml:space="preserve"> and </w:t>
      </w:r>
      <w:proofErr w:type="spellStart"/>
      <w:r w:rsidRPr="007D7761">
        <w:rPr>
          <w:u w:val="none"/>
          <w:lang w:val="en-GB" w:eastAsia="de-DE"/>
        </w:rPr>
        <w:t>AUC</w:t>
      </w:r>
      <w:r w:rsidRPr="007D7761">
        <w:rPr>
          <w:u w:val="none"/>
          <w:vertAlign w:val="subscript"/>
          <w:lang w:val="en-GB" w:eastAsia="de-DE"/>
        </w:rPr>
        <w:t>τ,ss</w:t>
      </w:r>
      <w:proofErr w:type="spellEnd"/>
      <w:r w:rsidRPr="007D7761">
        <w:rPr>
          <w:u w:val="none"/>
          <w:lang w:val="en-GB"/>
        </w:rPr>
        <w:t xml:space="preserve"> </w:t>
      </w:r>
      <w:r>
        <w:rPr>
          <w:u w:val="none"/>
          <w:lang w:val="en-GB"/>
        </w:rPr>
        <w:t>of pirfenidone, respectively (N=12).</w:t>
      </w:r>
    </w:p>
    <w:p w14:paraId="2D538D9F" w14:textId="1EA180E8" w:rsidR="003B215F" w:rsidRDefault="003944EB" w:rsidP="003B215F">
      <w:pPr>
        <w:pStyle w:val="PIHeading3"/>
        <w:rPr>
          <w:u w:val="none"/>
          <w:lang w:val="en-GB"/>
        </w:rPr>
      </w:pPr>
      <w:r>
        <w:rPr>
          <w:u w:val="none"/>
          <w:lang w:val="en-GB"/>
        </w:rPr>
        <w:t xml:space="preserve">Due to the wide </w:t>
      </w:r>
      <w:r w:rsidR="000E7E61">
        <w:rPr>
          <w:u w:val="none"/>
          <w:lang w:val="en-GB"/>
        </w:rPr>
        <w:t>c</w:t>
      </w:r>
      <w:r>
        <w:rPr>
          <w:u w:val="none"/>
          <w:lang w:val="en-GB"/>
        </w:rPr>
        <w:t xml:space="preserve">onfidence </w:t>
      </w:r>
      <w:r w:rsidR="000E7E61">
        <w:rPr>
          <w:u w:val="none"/>
          <w:lang w:val="en-GB"/>
        </w:rPr>
        <w:t>i</w:t>
      </w:r>
      <w:r>
        <w:rPr>
          <w:u w:val="none"/>
          <w:lang w:val="en-GB"/>
        </w:rPr>
        <w:t>ntervals of the PK parameters, statistically a pharmacokinetic drug-drug interaction cannot be ruled out but</w:t>
      </w:r>
      <w:r w:rsidR="003B215F">
        <w:rPr>
          <w:u w:val="none"/>
          <w:lang w:val="en-GB"/>
        </w:rPr>
        <w:t xml:space="preserve"> </w:t>
      </w:r>
      <w:r w:rsidR="00C6642A">
        <w:rPr>
          <w:u w:val="none"/>
          <w:lang w:val="en-GB"/>
        </w:rPr>
        <w:t>t</w:t>
      </w:r>
      <w:r w:rsidR="003B215F">
        <w:rPr>
          <w:u w:val="none"/>
          <w:lang w:val="en-GB"/>
        </w:rPr>
        <w:t xml:space="preserve">here is no evidence of a relevant pharmacokinetic drug-drug interaction between </w:t>
      </w:r>
      <w:proofErr w:type="spellStart"/>
      <w:r w:rsidR="003B215F">
        <w:rPr>
          <w:u w:val="none"/>
          <w:lang w:val="en-GB"/>
        </w:rPr>
        <w:t>nintedanib</w:t>
      </w:r>
      <w:proofErr w:type="spellEnd"/>
      <w:r w:rsidR="003B215F">
        <w:rPr>
          <w:u w:val="none"/>
          <w:lang w:val="en-GB"/>
        </w:rPr>
        <w:t xml:space="preserve"> and </w:t>
      </w:r>
      <w:proofErr w:type="spellStart"/>
      <w:r w:rsidR="003B215F">
        <w:rPr>
          <w:u w:val="none"/>
          <w:lang w:val="en-GB"/>
        </w:rPr>
        <w:t>pirfenidone</w:t>
      </w:r>
      <w:proofErr w:type="spellEnd"/>
      <w:r w:rsidR="003B215F">
        <w:rPr>
          <w:u w:val="none"/>
          <w:lang w:val="en-GB"/>
        </w:rPr>
        <w:t xml:space="preserve"> when administered in combination.</w:t>
      </w:r>
    </w:p>
    <w:p w14:paraId="57FFEF49" w14:textId="77777777" w:rsidR="001F5A06" w:rsidRPr="004D1503" w:rsidRDefault="001F5A06" w:rsidP="001F5A06">
      <w:pPr>
        <w:pStyle w:val="TextPI"/>
        <w:rPr>
          <w:u w:val="single"/>
          <w:lang w:val="en-GB"/>
        </w:rPr>
      </w:pPr>
      <w:r w:rsidRPr="004D1503">
        <w:rPr>
          <w:u w:val="single"/>
          <w:lang w:val="en-GB"/>
        </w:rPr>
        <w:t xml:space="preserve">Concomitant treatment with </w:t>
      </w:r>
      <w:proofErr w:type="spellStart"/>
      <w:r w:rsidRPr="004D1503">
        <w:rPr>
          <w:u w:val="single"/>
          <w:lang w:val="en-GB"/>
        </w:rPr>
        <w:t>bosentan</w:t>
      </w:r>
      <w:proofErr w:type="spellEnd"/>
    </w:p>
    <w:p w14:paraId="34DAFBE1" w14:textId="269BB3FE" w:rsidR="001F5A06" w:rsidRPr="00A67A98" w:rsidRDefault="001F5A06" w:rsidP="001F5A06">
      <w:pPr>
        <w:pStyle w:val="TextPI"/>
        <w:rPr>
          <w:lang w:val="en-GB"/>
        </w:rPr>
      </w:pPr>
      <w:r w:rsidRPr="004D1503">
        <w:rPr>
          <w:lang w:val="en-GB"/>
        </w:rPr>
        <w:t xml:space="preserve">In a dedicated pharmacokinetic study, concomitant treatment of </w:t>
      </w:r>
      <w:r>
        <w:rPr>
          <w:lang w:val="en-GB"/>
        </w:rPr>
        <w:t>OFEV</w:t>
      </w:r>
      <w:r w:rsidRPr="004D1503">
        <w:rPr>
          <w:lang w:val="en-GB"/>
        </w:rPr>
        <w:t xml:space="preserve"> with </w:t>
      </w:r>
      <w:proofErr w:type="spellStart"/>
      <w:r w:rsidRPr="004D1503">
        <w:rPr>
          <w:lang w:val="en-GB"/>
        </w:rPr>
        <w:t>bosentan</w:t>
      </w:r>
      <w:proofErr w:type="spellEnd"/>
      <w:r w:rsidRPr="004D1503">
        <w:rPr>
          <w:lang w:val="en-GB"/>
        </w:rPr>
        <w:t xml:space="preserve"> was investigated in healthy volunteers. Subjects received a single dose of 150 mg </w:t>
      </w:r>
      <w:r>
        <w:rPr>
          <w:lang w:val="en-GB"/>
        </w:rPr>
        <w:t>OFEV</w:t>
      </w:r>
      <w:r w:rsidRPr="004D1503">
        <w:rPr>
          <w:lang w:val="en-GB"/>
        </w:rPr>
        <w:t xml:space="preserve"> before and after multiple dosing of 125 mg </w:t>
      </w:r>
      <w:proofErr w:type="spellStart"/>
      <w:r w:rsidRPr="004D1503">
        <w:rPr>
          <w:lang w:val="en-GB"/>
        </w:rPr>
        <w:t>bosentan</w:t>
      </w:r>
      <w:proofErr w:type="spellEnd"/>
      <w:r w:rsidRPr="004D1503">
        <w:rPr>
          <w:lang w:val="en-GB"/>
        </w:rPr>
        <w:t xml:space="preserve"> twice daily at steady state. The adjusted geometric mean ratios (90% confidence interval (CI)) were 103% (86% - 124%) and 99% (91% - 107%) for </w:t>
      </w:r>
      <w:proofErr w:type="spellStart"/>
      <w:r w:rsidRPr="004D1503">
        <w:rPr>
          <w:lang w:val="en-GB"/>
        </w:rPr>
        <w:t>C</w:t>
      </w:r>
      <w:r w:rsidRPr="004D1503">
        <w:rPr>
          <w:vertAlign w:val="subscript"/>
          <w:lang w:val="en-GB"/>
        </w:rPr>
        <w:t>max</w:t>
      </w:r>
      <w:proofErr w:type="spellEnd"/>
      <w:r w:rsidRPr="004D1503">
        <w:rPr>
          <w:lang w:val="en-GB"/>
        </w:rPr>
        <w:t xml:space="preserve"> and AUC</w:t>
      </w:r>
      <w:r w:rsidRPr="004D1503">
        <w:rPr>
          <w:vertAlign w:val="subscript"/>
          <w:lang w:val="en-GB"/>
        </w:rPr>
        <w:t>0-tz</w:t>
      </w:r>
      <w:r w:rsidRPr="004D1503">
        <w:rPr>
          <w:lang w:val="en-GB"/>
        </w:rPr>
        <w:t xml:space="preserve"> of </w:t>
      </w:r>
      <w:proofErr w:type="spellStart"/>
      <w:r w:rsidRPr="004D1503">
        <w:rPr>
          <w:lang w:val="en-GB"/>
        </w:rPr>
        <w:t>nintedanib</w:t>
      </w:r>
      <w:proofErr w:type="spellEnd"/>
      <w:r w:rsidRPr="004D1503">
        <w:rPr>
          <w:lang w:val="en-GB"/>
        </w:rPr>
        <w:t xml:space="preserve">, respectively (n=13), indicating that co-administration of </w:t>
      </w:r>
      <w:proofErr w:type="spellStart"/>
      <w:r w:rsidRPr="004D1503">
        <w:rPr>
          <w:lang w:val="en-GB"/>
        </w:rPr>
        <w:t>nintedanib</w:t>
      </w:r>
      <w:proofErr w:type="spellEnd"/>
      <w:r w:rsidRPr="004D1503">
        <w:rPr>
          <w:lang w:val="en-GB"/>
        </w:rPr>
        <w:t xml:space="preserve"> with </w:t>
      </w:r>
      <w:proofErr w:type="spellStart"/>
      <w:r w:rsidRPr="004D1503">
        <w:rPr>
          <w:lang w:val="en-GB"/>
        </w:rPr>
        <w:t>bosentan</w:t>
      </w:r>
      <w:proofErr w:type="spellEnd"/>
      <w:r w:rsidRPr="004D1503">
        <w:rPr>
          <w:lang w:val="en-GB"/>
        </w:rPr>
        <w:t xml:space="preserve"> did not alter the pharmacokinet</w:t>
      </w:r>
      <w:r>
        <w:rPr>
          <w:lang w:val="en-GB"/>
        </w:rPr>
        <w:t xml:space="preserve">ics of </w:t>
      </w:r>
      <w:proofErr w:type="spellStart"/>
      <w:r>
        <w:rPr>
          <w:lang w:val="en-GB"/>
        </w:rPr>
        <w:t>nintedanib</w:t>
      </w:r>
      <w:proofErr w:type="spellEnd"/>
      <w:r>
        <w:rPr>
          <w:lang w:val="en-GB"/>
        </w:rPr>
        <w:t>.</w:t>
      </w:r>
    </w:p>
    <w:p w14:paraId="2E915A3F" w14:textId="77777777" w:rsidR="003A623A" w:rsidRPr="00EC4DF6" w:rsidRDefault="003A623A" w:rsidP="005D33C9">
      <w:pPr>
        <w:pStyle w:val="PIheading30"/>
        <w:ind w:left="0" w:right="0" w:firstLine="0"/>
        <w:rPr>
          <w:b/>
          <w:bCs/>
          <w:u w:val="none"/>
        </w:rPr>
      </w:pPr>
      <w:r w:rsidRPr="00EC4DF6">
        <w:rPr>
          <w:b/>
          <w:bCs/>
          <w:u w:val="none"/>
        </w:rPr>
        <w:t>Drug-Drug Interaction Potential</w:t>
      </w:r>
    </w:p>
    <w:p w14:paraId="2E915A40" w14:textId="77777777" w:rsidR="003A623A" w:rsidRPr="00D85D7E" w:rsidRDefault="003A623A" w:rsidP="00D85D7E">
      <w:pPr>
        <w:pStyle w:val="TextPI"/>
        <w:rPr>
          <w:u w:val="single"/>
          <w:lang w:val="en-US" w:eastAsia="de-DE"/>
        </w:rPr>
      </w:pPr>
      <w:r w:rsidRPr="00D85D7E">
        <w:rPr>
          <w:u w:val="single"/>
          <w:lang w:val="en-US" w:eastAsia="de-DE"/>
        </w:rPr>
        <w:t>Metabolism</w:t>
      </w:r>
    </w:p>
    <w:p w14:paraId="2E915A41" w14:textId="77777777" w:rsidR="003A623A" w:rsidRPr="00F614FC" w:rsidRDefault="003A623A" w:rsidP="009F6FED">
      <w:pPr>
        <w:pStyle w:val="TextPI"/>
        <w:rPr>
          <w:lang w:val="en-GB"/>
        </w:rPr>
      </w:pPr>
      <w:r w:rsidRPr="00F614FC">
        <w:rPr>
          <w:lang w:val="en-GB"/>
        </w:rPr>
        <w:t xml:space="preserve">Drug-drug interactions between </w:t>
      </w:r>
      <w:proofErr w:type="spellStart"/>
      <w:r w:rsidRPr="00F614FC">
        <w:rPr>
          <w:lang w:val="en-GB"/>
        </w:rPr>
        <w:t>nintedanib</w:t>
      </w:r>
      <w:proofErr w:type="spellEnd"/>
      <w:r w:rsidRPr="00F614FC">
        <w:rPr>
          <w:lang w:val="en-GB"/>
        </w:rPr>
        <w:t xml:space="preserve"> and CYP substrates, CYP inhibitors, or CYP inducers are not expected, since </w:t>
      </w:r>
      <w:r w:rsidRPr="00F614FC">
        <w:rPr>
          <w:noProof/>
          <w:lang w:val="en-GB"/>
        </w:rPr>
        <w:t xml:space="preserve">nintedanib, BIBF 1202, and BIBF 1202 glucuronide did not inhibit or induce CYP enzymes preclinically nor was nintedanib </w:t>
      </w:r>
      <w:r w:rsidR="00505DFA" w:rsidRPr="00F614FC">
        <w:rPr>
          <w:noProof/>
          <w:lang w:val="en-GB"/>
        </w:rPr>
        <w:t xml:space="preserve">metabolised </w:t>
      </w:r>
      <w:r w:rsidRPr="00F614FC">
        <w:rPr>
          <w:noProof/>
          <w:lang w:val="en-GB"/>
        </w:rPr>
        <w:t>by CYP enzymes to a relevant extent</w:t>
      </w:r>
      <w:r w:rsidRPr="00F614FC">
        <w:rPr>
          <w:lang w:val="en-GB"/>
        </w:rPr>
        <w:t>.</w:t>
      </w:r>
    </w:p>
    <w:p w14:paraId="2E915A42" w14:textId="77777777" w:rsidR="003A623A" w:rsidRPr="00D85D7E" w:rsidRDefault="003A623A" w:rsidP="005D33C9">
      <w:pPr>
        <w:pStyle w:val="TextPI"/>
        <w:keepNext/>
        <w:keepLines/>
        <w:rPr>
          <w:u w:val="single"/>
          <w:lang w:val="en-US" w:eastAsia="de-DE"/>
        </w:rPr>
      </w:pPr>
      <w:r w:rsidRPr="00D85D7E">
        <w:rPr>
          <w:u w:val="single"/>
          <w:lang w:val="en-US" w:eastAsia="de-DE"/>
        </w:rPr>
        <w:t>Transport</w:t>
      </w:r>
    </w:p>
    <w:p w14:paraId="2E915A43" w14:textId="0D0942E9" w:rsidR="003A623A" w:rsidRPr="003A623A" w:rsidRDefault="003A623A" w:rsidP="009F6FED">
      <w:pPr>
        <w:pStyle w:val="TextPI"/>
        <w:rPr>
          <w:lang w:val="en-GB"/>
        </w:rPr>
      </w:pPr>
      <w:proofErr w:type="spellStart"/>
      <w:r w:rsidRPr="00F614FC">
        <w:rPr>
          <w:lang w:val="en-GB"/>
        </w:rPr>
        <w:t>Nintedanib</w:t>
      </w:r>
      <w:proofErr w:type="spellEnd"/>
      <w:r w:rsidRPr="00F614FC">
        <w:rPr>
          <w:lang w:val="en-GB"/>
        </w:rPr>
        <w:t xml:space="preserve"> is a substrate of P-</w:t>
      </w:r>
      <w:proofErr w:type="spellStart"/>
      <w:r w:rsidRPr="00F614FC">
        <w:rPr>
          <w:lang w:val="en-GB"/>
        </w:rPr>
        <w:t>gp</w:t>
      </w:r>
      <w:proofErr w:type="spellEnd"/>
      <w:r w:rsidRPr="00F614FC">
        <w:rPr>
          <w:lang w:val="en-GB"/>
        </w:rPr>
        <w:t xml:space="preserve">.  For the interaction potential of </w:t>
      </w:r>
      <w:proofErr w:type="spellStart"/>
      <w:r w:rsidRPr="00F614FC">
        <w:rPr>
          <w:lang w:val="en-GB"/>
        </w:rPr>
        <w:t>nintedanib</w:t>
      </w:r>
      <w:proofErr w:type="spellEnd"/>
      <w:r w:rsidRPr="00F614FC">
        <w:rPr>
          <w:lang w:val="en-GB"/>
        </w:rPr>
        <w:t xml:space="preserve"> with this transporter, see</w:t>
      </w:r>
      <w:r w:rsidR="000A056F">
        <w:rPr>
          <w:lang w:val="en-GB"/>
        </w:rPr>
        <w:t xml:space="preserve"> Section 4.5 Interactions with other medicines and other forms of interactions</w:t>
      </w:r>
      <w:r w:rsidRPr="00F614FC">
        <w:rPr>
          <w:lang w:val="en-GB"/>
        </w:rPr>
        <w:t xml:space="preserve">.  </w:t>
      </w:r>
      <w:proofErr w:type="spellStart"/>
      <w:r w:rsidRPr="00F614FC">
        <w:rPr>
          <w:lang w:val="en-GB"/>
        </w:rPr>
        <w:t>Nintedanib</w:t>
      </w:r>
      <w:proofErr w:type="spellEnd"/>
      <w:r w:rsidRPr="00F614FC">
        <w:rPr>
          <w:lang w:val="en-GB"/>
        </w:rPr>
        <w:t xml:space="preserve"> was shown </w:t>
      </w:r>
      <w:r w:rsidR="009971CE">
        <w:rPr>
          <w:lang w:val="en-GB"/>
        </w:rPr>
        <w:t xml:space="preserve">not </w:t>
      </w:r>
      <w:r w:rsidRPr="00F614FC">
        <w:rPr>
          <w:lang w:val="en-GB"/>
        </w:rPr>
        <w:t xml:space="preserve">to be a substrate or inhibitor of OATP-1B1, OATP-1B3, OATP-2B1, OCT-2 or MRP-2 </w:t>
      </w:r>
      <w:r w:rsidRPr="00F614FC">
        <w:rPr>
          <w:i/>
          <w:lang w:val="en-GB"/>
        </w:rPr>
        <w:t>in vitro</w:t>
      </w:r>
      <w:r w:rsidRPr="00F614FC">
        <w:rPr>
          <w:lang w:val="en-GB"/>
        </w:rPr>
        <w:t>.</w:t>
      </w:r>
      <w:r w:rsidR="004E39B8" w:rsidRPr="00F614FC">
        <w:rPr>
          <w:lang w:val="en-GB"/>
        </w:rPr>
        <w:t xml:space="preserve"> </w:t>
      </w:r>
      <w:r w:rsidRPr="00F614FC">
        <w:rPr>
          <w:lang w:val="en-GB"/>
        </w:rPr>
        <w:t xml:space="preserve"> </w:t>
      </w:r>
      <w:proofErr w:type="spellStart"/>
      <w:r w:rsidRPr="00F614FC">
        <w:rPr>
          <w:lang w:val="en-GB"/>
        </w:rPr>
        <w:t>Nintedanib</w:t>
      </w:r>
      <w:proofErr w:type="spellEnd"/>
      <w:r w:rsidRPr="00F614FC">
        <w:rPr>
          <w:lang w:val="en-GB"/>
        </w:rPr>
        <w:t xml:space="preserve"> was also not a substrate of BCRP. </w:t>
      </w:r>
      <w:r w:rsidR="00C30F29" w:rsidRPr="00F614FC">
        <w:rPr>
          <w:lang w:val="en-GB"/>
        </w:rPr>
        <w:t xml:space="preserve"> </w:t>
      </w:r>
      <w:r w:rsidRPr="00F614FC">
        <w:rPr>
          <w:lang w:val="en-GB"/>
        </w:rPr>
        <w:t>Only a weak inhibitory potential on OCT-1, BCRP, and P-</w:t>
      </w:r>
      <w:proofErr w:type="spellStart"/>
      <w:r w:rsidRPr="00F614FC">
        <w:rPr>
          <w:lang w:val="en-GB"/>
        </w:rPr>
        <w:t>gp</w:t>
      </w:r>
      <w:proofErr w:type="spellEnd"/>
      <w:r w:rsidRPr="00F614FC">
        <w:rPr>
          <w:lang w:val="en-GB"/>
        </w:rPr>
        <w:t xml:space="preserve"> </w:t>
      </w:r>
      <w:proofErr w:type="gramStart"/>
      <w:r w:rsidRPr="00F614FC">
        <w:rPr>
          <w:lang w:val="en-GB"/>
        </w:rPr>
        <w:t>was observed</w:t>
      </w:r>
      <w:proofErr w:type="gramEnd"/>
      <w:r w:rsidRPr="00F614FC">
        <w:rPr>
          <w:lang w:val="en-GB"/>
        </w:rPr>
        <w:t xml:space="preserve"> </w:t>
      </w:r>
      <w:r w:rsidRPr="00F614FC">
        <w:rPr>
          <w:i/>
          <w:lang w:val="en-GB"/>
        </w:rPr>
        <w:t>in vitro</w:t>
      </w:r>
      <w:r w:rsidRPr="00F614FC">
        <w:rPr>
          <w:lang w:val="en-GB"/>
        </w:rPr>
        <w:t xml:space="preserve"> which is considered to be of low clinical relevance.  </w:t>
      </w:r>
      <w:r w:rsidR="009971CE" w:rsidRPr="009971CE">
        <w:rPr>
          <w:i/>
          <w:iCs/>
          <w:lang w:val="en-GB"/>
        </w:rPr>
        <w:t xml:space="preserve">In vitro </w:t>
      </w:r>
      <w:r w:rsidR="009971CE">
        <w:rPr>
          <w:lang w:val="en-GB"/>
        </w:rPr>
        <w:t xml:space="preserve">studies also showed that </w:t>
      </w:r>
      <w:proofErr w:type="spellStart"/>
      <w:r w:rsidR="009971CE">
        <w:rPr>
          <w:lang w:val="en-GB"/>
        </w:rPr>
        <w:t>nintedanib</w:t>
      </w:r>
      <w:proofErr w:type="spellEnd"/>
      <w:r w:rsidR="009971CE">
        <w:rPr>
          <w:lang w:val="en-GB"/>
        </w:rPr>
        <w:t xml:space="preserve"> was a substrate of OCT-1, which is of low clinical relevance</w:t>
      </w:r>
      <w:r w:rsidRPr="00F614FC">
        <w:rPr>
          <w:lang w:val="en-GB"/>
        </w:rPr>
        <w:t>.</w:t>
      </w:r>
    </w:p>
    <w:p w14:paraId="15ADB625" w14:textId="77777777" w:rsidR="00EC4DF6" w:rsidRPr="00AB6D58" w:rsidRDefault="00EC4DF6" w:rsidP="00AB6D58">
      <w:pPr>
        <w:pStyle w:val="PIheading2"/>
        <w:rPr>
          <w:caps/>
        </w:rPr>
      </w:pPr>
      <w:r w:rsidRPr="00AB6D58">
        <w:rPr>
          <w:caps/>
        </w:rPr>
        <w:t>5.3 PRECLINICAL SAFETY DATA</w:t>
      </w:r>
    </w:p>
    <w:p w14:paraId="2E915CB9" w14:textId="77777777" w:rsidR="00910460" w:rsidRPr="00D85D7E" w:rsidRDefault="008C5199" w:rsidP="005D33C9">
      <w:pPr>
        <w:pStyle w:val="PIheading30"/>
        <w:ind w:left="0" w:right="0" w:firstLine="0"/>
        <w:rPr>
          <w:b/>
          <w:bCs/>
          <w:u w:val="none"/>
        </w:rPr>
      </w:pPr>
      <w:r w:rsidRPr="00D85D7E">
        <w:rPr>
          <w:b/>
          <w:bCs/>
          <w:u w:val="none"/>
        </w:rPr>
        <w:t>Genotoxicity</w:t>
      </w:r>
    </w:p>
    <w:p w14:paraId="2E915CBA" w14:textId="77777777" w:rsidR="002E69FC" w:rsidRPr="00287D5D" w:rsidRDefault="002E69FC" w:rsidP="00287D5D">
      <w:pPr>
        <w:pStyle w:val="TextPI"/>
      </w:pPr>
      <w:proofErr w:type="spellStart"/>
      <w:r w:rsidRPr="002E69FC">
        <w:t>Nintedanib</w:t>
      </w:r>
      <w:proofErr w:type="spellEnd"/>
      <w:r w:rsidRPr="002E69FC">
        <w:t xml:space="preserve"> was not genotoxic in the bacterial reverse mutation assay, </w:t>
      </w:r>
      <w:r w:rsidRPr="002E69FC">
        <w:rPr>
          <w:i/>
          <w:iCs/>
        </w:rPr>
        <w:t>in vitro</w:t>
      </w:r>
      <w:r w:rsidRPr="002E69FC">
        <w:t xml:space="preserve"> mouse lymphoma cell forward mutation assay, and </w:t>
      </w:r>
      <w:r w:rsidRPr="002E69FC">
        <w:rPr>
          <w:i/>
          <w:iCs/>
        </w:rPr>
        <w:t>in vivo</w:t>
      </w:r>
      <w:r w:rsidRPr="002E69FC">
        <w:t xml:space="preserve"> rat micronucleus assay.</w:t>
      </w:r>
    </w:p>
    <w:p w14:paraId="2E915CBB" w14:textId="77777777" w:rsidR="00A61E60" w:rsidRPr="00D85D7E" w:rsidRDefault="00A61E60" w:rsidP="005D33C9">
      <w:pPr>
        <w:pStyle w:val="PIheading30"/>
        <w:ind w:left="0" w:right="0" w:firstLine="0"/>
        <w:rPr>
          <w:b/>
          <w:bCs/>
          <w:u w:val="none"/>
        </w:rPr>
      </w:pPr>
      <w:r w:rsidRPr="00D85D7E">
        <w:rPr>
          <w:b/>
          <w:bCs/>
          <w:u w:val="none"/>
        </w:rPr>
        <w:lastRenderedPageBreak/>
        <w:t>Carcinogenicity</w:t>
      </w:r>
    </w:p>
    <w:p w14:paraId="2E915CBC" w14:textId="77777777" w:rsidR="005F2B8D" w:rsidRPr="00A61E60" w:rsidRDefault="005F2B8D" w:rsidP="00A61E60">
      <w:pPr>
        <w:pStyle w:val="TextPI"/>
        <w:rPr>
          <w:lang w:val="en-GB"/>
        </w:rPr>
      </w:pPr>
      <w:r w:rsidRPr="004A3CCE">
        <w:rPr>
          <w:lang w:val="en-GB"/>
        </w:rPr>
        <w:t xml:space="preserve">There was no evidence of carcinogenicity in a 103-week study in mice at oral doses of </w:t>
      </w:r>
      <w:proofErr w:type="spellStart"/>
      <w:r w:rsidRPr="004A3CCE">
        <w:rPr>
          <w:lang w:val="en-GB"/>
        </w:rPr>
        <w:t>nintedanib</w:t>
      </w:r>
      <w:proofErr w:type="spellEnd"/>
      <w:r w:rsidRPr="004A3CCE">
        <w:rPr>
          <w:lang w:val="en-GB"/>
        </w:rPr>
        <w:t xml:space="preserve"> up to 30 mg/kg/day, or in a 104-week study in rats at oral doses up to 10</w:t>
      </w:r>
      <w:r w:rsidR="00443081">
        <w:rPr>
          <w:lang w:val="en-GB"/>
        </w:rPr>
        <w:t> </w:t>
      </w:r>
      <w:r w:rsidRPr="004A3CCE">
        <w:rPr>
          <w:lang w:val="en-GB"/>
        </w:rPr>
        <w:t>mg/kg/day, resulting in approximately 2.5 and 0.15 times the human exposure (AUC) at the maximum recommended human dose (MRHD) of 200 mg twice daily, respectively.</w:t>
      </w:r>
    </w:p>
    <w:p w14:paraId="7BE03B9A" w14:textId="77777777" w:rsidR="00EC4DF6" w:rsidRDefault="00EC4DF6" w:rsidP="00EC4DF6">
      <w:pPr>
        <w:pStyle w:val="PIHeading1"/>
        <w:spacing w:after="120"/>
        <w:rPr>
          <w:rFonts w:cs="Arial"/>
        </w:rPr>
      </w:pPr>
      <w:r>
        <w:rPr>
          <w:rFonts w:cs="Arial"/>
        </w:rPr>
        <w:t>6 PHARMACEUTICAL PARTICULARS</w:t>
      </w:r>
    </w:p>
    <w:p w14:paraId="645B7E80" w14:textId="77777777" w:rsidR="00EC4DF6" w:rsidRPr="00AB6D58" w:rsidRDefault="00EC4DF6" w:rsidP="00AB6D58">
      <w:pPr>
        <w:pStyle w:val="PIheading2"/>
        <w:rPr>
          <w:caps/>
        </w:rPr>
      </w:pPr>
      <w:r w:rsidRPr="00AB6D58">
        <w:rPr>
          <w:caps/>
        </w:rPr>
        <w:t>6.1 LIST OF EXCIPIENTS</w:t>
      </w:r>
    </w:p>
    <w:p w14:paraId="49338872" w14:textId="1134612E" w:rsidR="00EC4DF6" w:rsidRDefault="00EC4DF6" w:rsidP="00EC4DF6">
      <w:pPr>
        <w:pStyle w:val="TextPI"/>
        <w:rPr>
          <w:color w:val="000000" w:themeColor="text1"/>
        </w:rPr>
      </w:pPr>
      <w:r>
        <w:rPr>
          <w:color w:val="000000" w:themeColor="text1"/>
        </w:rPr>
        <w:t xml:space="preserve">Each OFEV capsule also contains medium chain triglycerides, hard fat and lecithin.  </w:t>
      </w:r>
    </w:p>
    <w:p w14:paraId="590654C7" w14:textId="77777777" w:rsidR="00EC4DF6" w:rsidRDefault="00EC4DF6" w:rsidP="00EC4DF6">
      <w:pPr>
        <w:pStyle w:val="TextPI"/>
        <w:rPr>
          <w:color w:val="000000" w:themeColor="text1"/>
        </w:rPr>
      </w:pPr>
      <w:r>
        <w:rPr>
          <w:color w:val="000000" w:themeColor="text1"/>
        </w:rPr>
        <w:t xml:space="preserve">The capsule shell contains </w:t>
      </w:r>
      <w:proofErr w:type="spellStart"/>
      <w:r>
        <w:rPr>
          <w:color w:val="000000" w:themeColor="text1"/>
        </w:rPr>
        <w:t>gelatin</w:t>
      </w:r>
      <w:proofErr w:type="spellEnd"/>
      <w:r>
        <w:rPr>
          <w:color w:val="000000" w:themeColor="text1"/>
        </w:rPr>
        <w:t>, glycerol 85%, titanium dioxide, iron oxide red (CI 77491), iron oxide yellow (CI 77492).</w:t>
      </w:r>
    </w:p>
    <w:p w14:paraId="62EF4E8D" w14:textId="77777777" w:rsidR="00EC4DF6" w:rsidRPr="00970FE3" w:rsidRDefault="00EC4DF6" w:rsidP="00EC4DF6">
      <w:pPr>
        <w:pStyle w:val="TextPI"/>
        <w:rPr>
          <w:color w:val="000000" w:themeColor="text1"/>
        </w:rPr>
      </w:pPr>
      <w:r w:rsidRPr="00C34899">
        <w:rPr>
          <w:color w:val="000000" w:themeColor="text1"/>
        </w:rPr>
        <w:t>The black printing ink</w:t>
      </w:r>
      <w:r>
        <w:rPr>
          <w:color w:val="000000" w:themeColor="text1"/>
        </w:rPr>
        <w:t xml:space="preserve"> (</w:t>
      </w:r>
      <w:proofErr w:type="spellStart"/>
      <w:r>
        <w:rPr>
          <w:color w:val="000000" w:themeColor="text1"/>
        </w:rPr>
        <w:t>Opacode</w:t>
      </w:r>
      <w:proofErr w:type="spellEnd"/>
      <w:r w:rsidRPr="00C34899">
        <w:rPr>
          <w:rFonts w:cs="Arial"/>
          <w:color w:val="000000" w:themeColor="text1"/>
          <w:vertAlign w:val="superscript"/>
        </w:rPr>
        <w:t>®</w:t>
      </w:r>
      <w:r>
        <w:rPr>
          <w:color w:val="000000" w:themeColor="text1"/>
        </w:rPr>
        <w:t xml:space="preserve"> Type S-1-17823) contains shellac, ethanol, propylene glycol, and iron oxide black (CI 77499).</w:t>
      </w:r>
    </w:p>
    <w:p w14:paraId="5545DCF9" w14:textId="77777777" w:rsidR="00EC4DF6" w:rsidRPr="00AB6D58" w:rsidRDefault="00EC4DF6" w:rsidP="00AB6D58">
      <w:pPr>
        <w:pStyle w:val="PIheading2"/>
        <w:rPr>
          <w:caps/>
        </w:rPr>
      </w:pPr>
      <w:r w:rsidRPr="00AB6D58">
        <w:rPr>
          <w:caps/>
        </w:rPr>
        <w:t>6.2 INCOMPATIBILITIES</w:t>
      </w:r>
    </w:p>
    <w:p w14:paraId="743B2BB9" w14:textId="77777777" w:rsidR="00EC4DF6" w:rsidRPr="003F19C3" w:rsidRDefault="00EC4DF6" w:rsidP="00EC4DF6">
      <w:pPr>
        <w:pStyle w:val="TextPI"/>
        <w:rPr>
          <w:color w:val="000000"/>
        </w:rPr>
      </w:pPr>
      <w:r w:rsidRPr="003F19C3">
        <w:rPr>
          <w:color w:val="000000"/>
        </w:rPr>
        <w:t>Incompatibilities were either not assessed or not identified as part of the registration of this medicine.</w:t>
      </w:r>
    </w:p>
    <w:p w14:paraId="1D094E4C" w14:textId="77777777" w:rsidR="00EC4DF6" w:rsidRPr="00AB6D58" w:rsidRDefault="00EC4DF6" w:rsidP="00AB6D58">
      <w:pPr>
        <w:pStyle w:val="PIheading2"/>
        <w:rPr>
          <w:caps/>
        </w:rPr>
      </w:pPr>
      <w:r w:rsidRPr="00AB6D58">
        <w:rPr>
          <w:caps/>
        </w:rPr>
        <w:t>6.3 SHELF LIFE</w:t>
      </w:r>
    </w:p>
    <w:p w14:paraId="090D7747" w14:textId="77777777" w:rsidR="00EC4DF6" w:rsidRPr="003F19C3" w:rsidRDefault="00EC4DF6" w:rsidP="00EC4DF6">
      <w:pPr>
        <w:pStyle w:val="TextPI"/>
        <w:rPr>
          <w:color w:val="000000"/>
        </w:rPr>
      </w:pPr>
      <w:r w:rsidRPr="003F19C3">
        <w:rPr>
          <w:color w:val="000000"/>
        </w:rPr>
        <w:t>In Australia, information on the shelf life can be found on the public summary of the Australian Register of Therapeutic Goods (ARTG). The expiry date can be found on the packaging.</w:t>
      </w:r>
    </w:p>
    <w:p w14:paraId="41BAB247" w14:textId="108593A5" w:rsidR="00EC4DF6" w:rsidRPr="0048474B" w:rsidRDefault="00EC4DF6" w:rsidP="00AB6D58">
      <w:pPr>
        <w:pStyle w:val="PIheading2"/>
      </w:pPr>
      <w:r w:rsidRPr="0048474B">
        <w:t xml:space="preserve">6.4 </w:t>
      </w:r>
      <w:r w:rsidR="0048474B">
        <w:t>SPECIAL PRECAUTIONS FOR STORAGE</w:t>
      </w:r>
    </w:p>
    <w:p w14:paraId="1D63D75D" w14:textId="77777777" w:rsidR="00EC4DF6" w:rsidRPr="00CE6929" w:rsidRDefault="00EC4DF6" w:rsidP="00EC4DF6">
      <w:pPr>
        <w:pStyle w:val="TextPI"/>
      </w:pPr>
      <w:r w:rsidRPr="00CE6929">
        <w:t>Store below 25°C.</w:t>
      </w:r>
      <w:r>
        <w:t xml:space="preserve"> </w:t>
      </w:r>
      <w:r w:rsidRPr="00CE6929">
        <w:t xml:space="preserve">Store in </w:t>
      </w:r>
      <w:r>
        <w:t xml:space="preserve">the </w:t>
      </w:r>
      <w:r w:rsidRPr="00CE6929">
        <w:t xml:space="preserve">original </w:t>
      </w:r>
      <w:r>
        <w:t>package</w:t>
      </w:r>
      <w:r w:rsidRPr="00CE6929">
        <w:t xml:space="preserve"> in order to protect from moisture.</w:t>
      </w:r>
    </w:p>
    <w:p w14:paraId="1D78FAF5" w14:textId="77777777" w:rsidR="00EC4DF6" w:rsidRPr="00AB6D58" w:rsidRDefault="00EC4DF6" w:rsidP="00AB6D58">
      <w:pPr>
        <w:pStyle w:val="PIheading2"/>
        <w:rPr>
          <w:caps/>
        </w:rPr>
      </w:pPr>
      <w:r w:rsidRPr="00AB6D58">
        <w:rPr>
          <w:caps/>
        </w:rPr>
        <w:t>6.5 NATURE AND CONTENTS OF CONTAINER</w:t>
      </w:r>
    </w:p>
    <w:p w14:paraId="2E915EAF" w14:textId="37589832" w:rsidR="00F964D9" w:rsidRPr="00CE6929" w:rsidRDefault="00097191" w:rsidP="00CE6929">
      <w:pPr>
        <w:pStyle w:val="TextPI"/>
      </w:pPr>
      <w:r>
        <w:t>OFEV 100 mg</w:t>
      </w:r>
      <w:r w:rsidRPr="00CE6929">
        <w:t xml:space="preserve"> </w:t>
      </w:r>
      <w:r w:rsidR="009D18D6" w:rsidRPr="00CE6929">
        <w:t xml:space="preserve">capsules are packaged in aluminium/aluminium blisters containing 10 capsules per blister.  </w:t>
      </w:r>
      <w:r w:rsidR="00092CC4">
        <w:t>OFEV</w:t>
      </w:r>
      <w:r w:rsidR="009D18D6" w:rsidRPr="00CE6929">
        <w:t xml:space="preserve"> 100 mg are supplied in packs of 60 capsules</w:t>
      </w:r>
      <w:r w:rsidR="00D60474" w:rsidRPr="00CE6929">
        <w:t>.</w:t>
      </w:r>
    </w:p>
    <w:p w14:paraId="2E915EB0" w14:textId="5CD38ECE" w:rsidR="00D60474" w:rsidRPr="00CE6929" w:rsidRDefault="00097191" w:rsidP="00CE6929">
      <w:pPr>
        <w:pStyle w:val="TextPI"/>
      </w:pPr>
      <w:r>
        <w:t>OFEV 150 mg</w:t>
      </w:r>
      <w:r w:rsidRPr="00CE6929">
        <w:t xml:space="preserve"> </w:t>
      </w:r>
      <w:r w:rsidR="00D60474" w:rsidRPr="00CE6929">
        <w:t xml:space="preserve">capsules are packaged in aluminium/aluminium blisters containing 10 capsules per blister.  </w:t>
      </w:r>
      <w:r w:rsidR="00092CC4">
        <w:t>OFEV</w:t>
      </w:r>
      <w:r w:rsidR="00D60474" w:rsidRPr="00CE6929">
        <w:t xml:space="preserve"> 150 mg are supplied in packs of 60 capsules.</w:t>
      </w:r>
    </w:p>
    <w:p w14:paraId="622BFF5F" w14:textId="77777777" w:rsidR="00EC4DF6" w:rsidRPr="00AB6D58" w:rsidRDefault="00EC4DF6" w:rsidP="00AB6D58">
      <w:pPr>
        <w:pStyle w:val="PIheading2"/>
        <w:rPr>
          <w:caps/>
        </w:rPr>
      </w:pPr>
      <w:r w:rsidRPr="00AB6D58">
        <w:rPr>
          <w:caps/>
        </w:rPr>
        <w:t>6.6 SPECIAL PRECAUTIONS FOR DISPOSAL</w:t>
      </w:r>
    </w:p>
    <w:p w14:paraId="740F1591" w14:textId="77777777" w:rsidR="00EC4DF6" w:rsidRDefault="00EC4DF6" w:rsidP="00EC4DF6">
      <w:pPr>
        <w:pStyle w:val="TextPI"/>
      </w:pPr>
      <w:r>
        <w:t>In Australia, any unused medicine or waste material should be disposed of by taking to your local pharmacy.</w:t>
      </w:r>
    </w:p>
    <w:p w14:paraId="41F37FA3" w14:textId="77777777" w:rsidR="00EC4DF6" w:rsidRPr="00AB6D58" w:rsidRDefault="00EC4DF6" w:rsidP="00AB6D58">
      <w:pPr>
        <w:pStyle w:val="PIheading2"/>
        <w:rPr>
          <w:caps/>
        </w:rPr>
      </w:pPr>
      <w:r w:rsidRPr="00AB6D58">
        <w:rPr>
          <w:caps/>
        </w:rPr>
        <w:t>6.7 PHYSICOCHEMICAL PROPERTIES</w:t>
      </w:r>
    </w:p>
    <w:p w14:paraId="6AC550E1" w14:textId="77777777" w:rsidR="0093669B" w:rsidRDefault="0093669B" w:rsidP="0093669B">
      <w:pPr>
        <w:pStyle w:val="TextPI"/>
      </w:pPr>
      <w:proofErr w:type="spellStart"/>
      <w:r>
        <w:t>Nintedanib</w:t>
      </w:r>
      <w:proofErr w:type="spellEnd"/>
      <w:r>
        <w:t xml:space="preserve"> </w:t>
      </w:r>
      <w:proofErr w:type="spellStart"/>
      <w:r>
        <w:t>esilate</w:t>
      </w:r>
      <w:proofErr w:type="spellEnd"/>
      <w:r>
        <w:t xml:space="preserve"> is a bright yellow powder.  The octanol-water partition coefficient (log </w:t>
      </w:r>
      <w:r>
        <w:rPr>
          <w:i/>
          <w:iCs/>
        </w:rPr>
        <w:t>P</w:t>
      </w:r>
      <w:r>
        <w:rPr>
          <w:vertAlign w:val="subscript"/>
        </w:rPr>
        <w:t>ow</w:t>
      </w:r>
      <w:r>
        <w:t xml:space="preserve">) for </w:t>
      </w:r>
      <w:proofErr w:type="spellStart"/>
      <w:r>
        <w:t>nintedanib</w:t>
      </w:r>
      <w:proofErr w:type="spellEnd"/>
      <w:r>
        <w:t xml:space="preserve"> </w:t>
      </w:r>
      <w:proofErr w:type="spellStart"/>
      <w:r>
        <w:t>esilate</w:t>
      </w:r>
      <w:proofErr w:type="spellEnd"/>
      <w:r>
        <w:t xml:space="preserve"> free base was determined to be 3.6, which demonstrates the lipophilic character of the molecule.  Due to the ionisable groups in </w:t>
      </w:r>
      <w:proofErr w:type="spellStart"/>
      <w:r>
        <w:t>nintedanib</w:t>
      </w:r>
      <w:proofErr w:type="spellEnd"/>
      <w:r>
        <w:t xml:space="preserve"> </w:t>
      </w:r>
      <w:proofErr w:type="spellStart"/>
      <w:r>
        <w:t>esilate</w:t>
      </w:r>
      <w:proofErr w:type="spellEnd"/>
      <w:r>
        <w:t xml:space="preserve">, the </w:t>
      </w:r>
      <w:proofErr w:type="spellStart"/>
      <w:r>
        <w:t>lipophilicity</w:t>
      </w:r>
      <w:proofErr w:type="spellEnd"/>
      <w:r>
        <w:t xml:space="preserve"> profile is strongly pH dependent.  At physiological pH (pH = 7.4), the apparent partition coefficient (log </w:t>
      </w:r>
      <w:r>
        <w:rPr>
          <w:i/>
          <w:iCs/>
        </w:rPr>
        <w:t>D</w:t>
      </w:r>
      <w:r>
        <w:t xml:space="preserve">) was calculated to 3.0.  The molecule is less lipophilic in the acidic pH range (log D </w:t>
      </w:r>
      <w:r>
        <w:rPr>
          <w:rFonts w:cs="Arial"/>
        </w:rPr>
        <w:t>≤</w:t>
      </w:r>
      <w:r>
        <w:t xml:space="preserve"> 1 for pH &lt; 5).</w:t>
      </w:r>
    </w:p>
    <w:p w14:paraId="2EBCACAB" w14:textId="77777777" w:rsidR="0093669B" w:rsidRPr="006128F4" w:rsidRDefault="0093669B" w:rsidP="0093669B">
      <w:pPr>
        <w:pStyle w:val="TextPI"/>
      </w:pPr>
      <w:proofErr w:type="spellStart"/>
      <w:r>
        <w:t>Nintedanib</w:t>
      </w:r>
      <w:proofErr w:type="spellEnd"/>
      <w:r>
        <w:t xml:space="preserve"> </w:t>
      </w:r>
      <w:proofErr w:type="spellStart"/>
      <w:r>
        <w:t>esilate</w:t>
      </w:r>
      <w:proofErr w:type="spellEnd"/>
      <w:r>
        <w:t xml:space="preserve"> is soluble in water.  A saturated solution in water was found to have a concentration of 2.8 mg/mL and exhibited an intrinsic pH of 5.7.  The solubility of </w:t>
      </w:r>
      <w:proofErr w:type="spellStart"/>
      <w:r>
        <w:t>nintedanib</w:t>
      </w:r>
      <w:proofErr w:type="spellEnd"/>
      <w:r>
        <w:t xml:space="preserve"> </w:t>
      </w:r>
      <w:proofErr w:type="spellStart"/>
      <w:r>
        <w:t>esilate</w:t>
      </w:r>
      <w:proofErr w:type="spellEnd"/>
      <w:r>
        <w:t xml:space="preserve"> is strongly pH dependent with an increased solubility at acidic pH, particularly for pH &lt; 3.  The highest solubility of </w:t>
      </w:r>
      <w:proofErr w:type="spellStart"/>
      <w:r>
        <w:t>nintedanib</w:t>
      </w:r>
      <w:proofErr w:type="spellEnd"/>
      <w:r>
        <w:t xml:space="preserve"> </w:t>
      </w:r>
      <w:proofErr w:type="spellStart"/>
      <w:r>
        <w:t>esilate</w:t>
      </w:r>
      <w:proofErr w:type="spellEnd"/>
      <w:r>
        <w:t xml:space="preserve"> in organic solvents is observed in methanol </w:t>
      </w:r>
      <w:r>
        <w:lastRenderedPageBreak/>
        <w:t xml:space="preserve">and </w:t>
      </w:r>
      <w:r>
        <w:rPr>
          <w:i/>
          <w:iCs/>
        </w:rPr>
        <w:t>N</w:t>
      </w:r>
      <w:r>
        <w:t>-</w:t>
      </w:r>
      <w:proofErr w:type="spellStart"/>
      <w:r>
        <w:t>methylpyrrolidone</w:t>
      </w:r>
      <w:proofErr w:type="spellEnd"/>
      <w:r>
        <w:t>.  The best solubility in pharmaceutically relevant co-solvents is observed in propylene glycol.</w:t>
      </w:r>
    </w:p>
    <w:p w14:paraId="278667F3" w14:textId="77777777" w:rsidR="009C7AB7" w:rsidRPr="006659F4" w:rsidRDefault="009C7AB7" w:rsidP="005D33C9">
      <w:pPr>
        <w:pStyle w:val="PIheading30"/>
        <w:ind w:left="0" w:right="0" w:firstLine="0"/>
        <w:rPr>
          <w:b/>
          <w:bCs/>
          <w:u w:val="none"/>
        </w:rPr>
      </w:pPr>
      <w:r w:rsidRPr="006659F4">
        <w:rPr>
          <w:b/>
          <w:bCs/>
          <w:u w:val="none"/>
        </w:rPr>
        <w:t>Chemical Structure</w:t>
      </w:r>
    </w:p>
    <w:p w14:paraId="311335F7" w14:textId="77777777" w:rsidR="00EC4DF6" w:rsidRPr="00BE7CA5" w:rsidRDefault="00EC4DF6" w:rsidP="00EC4DF6">
      <w:pPr>
        <w:pStyle w:val="Default"/>
        <w:ind w:left="2244" w:hanging="2244"/>
        <w:rPr>
          <w:rFonts w:ascii="Arial" w:hAnsi="Arial" w:cs="Arial"/>
          <w:sz w:val="22"/>
          <w:szCs w:val="22"/>
          <w:lang w:val="en-AU" w:eastAsia="en-AU" w:bidi="th-TH"/>
        </w:rPr>
      </w:pPr>
      <w:r w:rsidRPr="00FF207C">
        <w:rPr>
          <w:rFonts w:ascii="Arial" w:hAnsi="Arial" w:cs="Arial"/>
          <w:i/>
          <w:iCs/>
          <w:color w:val="000000" w:themeColor="text1"/>
          <w:sz w:val="22"/>
          <w:szCs w:val="22"/>
          <w:lang w:val="en-AU"/>
        </w:rPr>
        <w:t>Chemical name:</w:t>
      </w:r>
      <w:r w:rsidRPr="00360554">
        <w:rPr>
          <w:rFonts w:ascii="Arial" w:hAnsi="Arial" w:cs="Arial"/>
          <w:color w:val="000000" w:themeColor="text1"/>
          <w:sz w:val="22"/>
          <w:szCs w:val="22"/>
          <w:lang w:val="en-AU"/>
        </w:rPr>
        <w:tab/>
      </w:r>
      <w:r w:rsidRPr="00BE7CA5">
        <w:rPr>
          <w:rFonts w:ascii="Arial" w:hAnsi="Arial" w:cs="Arial"/>
          <w:sz w:val="22"/>
          <w:szCs w:val="22"/>
          <w:lang w:val="en-AU" w:eastAsia="en-AU" w:bidi="th-TH"/>
        </w:rPr>
        <w:t>1</w:t>
      </w:r>
      <w:r w:rsidRPr="00BE7CA5">
        <w:rPr>
          <w:rFonts w:ascii="Arial" w:hAnsi="Arial" w:cs="Arial"/>
          <w:i/>
          <w:iCs/>
          <w:sz w:val="22"/>
          <w:szCs w:val="22"/>
          <w:lang w:val="en-AU" w:eastAsia="en-AU" w:bidi="th-TH"/>
        </w:rPr>
        <w:t>H</w:t>
      </w:r>
      <w:r w:rsidRPr="00BE7CA5">
        <w:rPr>
          <w:rFonts w:ascii="Arial" w:hAnsi="Arial" w:cs="Arial"/>
          <w:sz w:val="22"/>
          <w:szCs w:val="22"/>
          <w:lang w:val="en-AU" w:eastAsia="en-AU" w:bidi="th-TH"/>
        </w:rPr>
        <w:t>-Indole-6-carboxylic ac</w:t>
      </w:r>
      <w:r w:rsidRPr="00360554">
        <w:rPr>
          <w:rFonts w:ascii="Arial" w:hAnsi="Arial" w:cs="Arial"/>
          <w:sz w:val="22"/>
          <w:szCs w:val="22"/>
          <w:lang w:val="en-AU" w:eastAsia="en-AU" w:bidi="th-TH"/>
        </w:rPr>
        <w:t>id, 2</w:t>
      </w:r>
      <w:proofErr w:type="gramStart"/>
      <w:r w:rsidRPr="00360554">
        <w:rPr>
          <w:rFonts w:ascii="Arial" w:hAnsi="Arial" w:cs="Arial"/>
          <w:sz w:val="22"/>
          <w:szCs w:val="22"/>
          <w:lang w:val="en-AU" w:eastAsia="en-AU" w:bidi="th-TH"/>
        </w:rPr>
        <w:t>,3</w:t>
      </w:r>
      <w:proofErr w:type="gramEnd"/>
      <w:r w:rsidRPr="00360554">
        <w:rPr>
          <w:rFonts w:ascii="Arial" w:hAnsi="Arial" w:cs="Arial"/>
          <w:sz w:val="22"/>
          <w:szCs w:val="22"/>
          <w:lang w:val="en-AU" w:eastAsia="en-AU" w:bidi="th-TH"/>
        </w:rPr>
        <w:t>-dihydro-3-[[[4-[methyl[</w:t>
      </w:r>
      <w:r w:rsidRPr="00BE7CA5">
        <w:rPr>
          <w:rFonts w:ascii="Arial" w:hAnsi="Arial" w:cs="Arial"/>
          <w:sz w:val="22"/>
          <w:szCs w:val="22"/>
          <w:lang w:val="en-AU" w:eastAsia="en-AU" w:bidi="th-TH"/>
        </w:rPr>
        <w:t>-(4-methyl-1-piperazinyl)acetyl]amino]phenyl]amino]phenylmethylene]-2-oxo-, methyl ester, (3</w:t>
      </w:r>
      <w:r w:rsidRPr="00BE7CA5">
        <w:rPr>
          <w:rFonts w:ascii="Arial" w:hAnsi="Arial" w:cs="Arial"/>
          <w:i/>
          <w:iCs/>
          <w:sz w:val="22"/>
          <w:szCs w:val="22"/>
          <w:lang w:val="en-AU" w:eastAsia="en-AU" w:bidi="th-TH"/>
        </w:rPr>
        <w:t>Z</w:t>
      </w:r>
      <w:r w:rsidRPr="00BE7CA5">
        <w:rPr>
          <w:rFonts w:ascii="Arial" w:hAnsi="Arial" w:cs="Arial"/>
          <w:sz w:val="22"/>
          <w:szCs w:val="22"/>
          <w:lang w:val="en-AU" w:eastAsia="en-AU" w:bidi="th-TH"/>
        </w:rPr>
        <w:t xml:space="preserve">)-, </w:t>
      </w:r>
      <w:proofErr w:type="spellStart"/>
      <w:r w:rsidRPr="00BE7CA5">
        <w:rPr>
          <w:rFonts w:ascii="Arial" w:hAnsi="Arial" w:cs="Arial"/>
          <w:sz w:val="22"/>
          <w:szCs w:val="22"/>
          <w:lang w:val="en-AU" w:eastAsia="en-AU" w:bidi="th-TH"/>
        </w:rPr>
        <w:t>ethanesulfonate</w:t>
      </w:r>
      <w:proofErr w:type="spellEnd"/>
      <w:r w:rsidRPr="00BE7CA5">
        <w:rPr>
          <w:rFonts w:ascii="Arial" w:hAnsi="Arial" w:cs="Arial"/>
          <w:sz w:val="22"/>
          <w:szCs w:val="22"/>
          <w:lang w:val="en-AU" w:eastAsia="en-AU" w:bidi="th-TH"/>
        </w:rPr>
        <w:t xml:space="preserve"> (1:1) </w:t>
      </w:r>
    </w:p>
    <w:p w14:paraId="1F97CE83" w14:textId="77777777" w:rsidR="00EC4DF6" w:rsidRPr="00360554" w:rsidRDefault="00EC4DF6" w:rsidP="00936DD4">
      <w:pPr>
        <w:autoSpaceDE w:val="0"/>
        <w:autoSpaceDN w:val="0"/>
        <w:adjustRightInd w:val="0"/>
        <w:spacing w:before="180" w:line="258" w:lineRule="exact"/>
        <w:ind w:left="40" w:right="-23"/>
        <w:rPr>
          <w:rFonts w:ascii="Arial" w:hAnsi="Arial" w:cs="Arial"/>
          <w:sz w:val="22"/>
          <w:szCs w:val="22"/>
          <w:lang w:val="pt-PT" w:eastAsia="en-AU" w:bidi="th-TH"/>
        </w:rPr>
      </w:pPr>
      <w:r w:rsidRPr="00FF207C">
        <w:rPr>
          <w:rFonts w:ascii="Arial" w:hAnsi="Arial" w:cs="Arial"/>
          <w:i/>
          <w:iCs/>
          <w:color w:val="000000" w:themeColor="text1"/>
          <w:sz w:val="22"/>
          <w:szCs w:val="22"/>
          <w:lang w:val="pt-PT"/>
        </w:rPr>
        <w:t>Molecular formula:</w:t>
      </w:r>
      <w:r w:rsidRPr="00360554">
        <w:rPr>
          <w:rFonts w:ascii="Arial" w:hAnsi="Arial" w:cs="Arial"/>
          <w:color w:val="000000" w:themeColor="text1"/>
          <w:sz w:val="22"/>
          <w:szCs w:val="22"/>
          <w:lang w:val="pt-PT"/>
        </w:rPr>
        <w:tab/>
      </w:r>
      <w:r w:rsidRPr="00360554">
        <w:rPr>
          <w:rFonts w:ascii="Arial" w:hAnsi="Arial" w:cs="Arial"/>
          <w:spacing w:val="-1"/>
          <w:position w:val="1"/>
          <w:sz w:val="22"/>
          <w:szCs w:val="22"/>
          <w:lang w:val="pt-PT" w:eastAsia="en-AU" w:bidi="th-TH"/>
        </w:rPr>
        <w:t>C</w:t>
      </w:r>
      <w:r w:rsidRPr="00FF207C">
        <w:rPr>
          <w:rFonts w:ascii="Arial" w:hAnsi="Arial" w:cs="Arial"/>
          <w:position w:val="-2"/>
          <w:sz w:val="22"/>
          <w:szCs w:val="22"/>
          <w:vertAlign w:val="subscript"/>
          <w:lang w:val="pt-PT" w:eastAsia="en-AU" w:bidi="th-TH"/>
        </w:rPr>
        <w:t>31</w:t>
      </w:r>
      <w:r w:rsidRPr="00360554">
        <w:rPr>
          <w:rFonts w:ascii="Arial" w:hAnsi="Arial" w:cs="Arial"/>
          <w:position w:val="1"/>
          <w:sz w:val="22"/>
          <w:szCs w:val="22"/>
          <w:lang w:val="pt-PT" w:eastAsia="en-AU" w:bidi="th-TH"/>
        </w:rPr>
        <w:t>H</w:t>
      </w:r>
      <w:r w:rsidRPr="00FF207C">
        <w:rPr>
          <w:rFonts w:ascii="Arial" w:hAnsi="Arial" w:cs="Arial"/>
          <w:position w:val="-2"/>
          <w:sz w:val="22"/>
          <w:szCs w:val="22"/>
          <w:vertAlign w:val="subscript"/>
          <w:lang w:val="pt-PT" w:eastAsia="en-AU" w:bidi="th-TH"/>
        </w:rPr>
        <w:t>3</w:t>
      </w:r>
      <w:r w:rsidRPr="00FF207C">
        <w:rPr>
          <w:rFonts w:ascii="Arial" w:hAnsi="Arial" w:cs="Arial"/>
          <w:spacing w:val="1"/>
          <w:position w:val="-2"/>
          <w:sz w:val="22"/>
          <w:szCs w:val="22"/>
          <w:vertAlign w:val="subscript"/>
          <w:lang w:val="pt-PT" w:eastAsia="en-AU" w:bidi="th-TH"/>
        </w:rPr>
        <w:t>3</w:t>
      </w:r>
      <w:r w:rsidRPr="00360554">
        <w:rPr>
          <w:rFonts w:ascii="Arial" w:hAnsi="Arial" w:cs="Arial"/>
          <w:position w:val="1"/>
          <w:sz w:val="22"/>
          <w:szCs w:val="22"/>
          <w:lang w:val="pt-PT" w:eastAsia="en-AU" w:bidi="th-TH"/>
        </w:rPr>
        <w:t>N</w:t>
      </w:r>
      <w:r w:rsidRPr="00FF207C">
        <w:rPr>
          <w:rFonts w:ascii="Arial" w:hAnsi="Arial" w:cs="Arial"/>
          <w:position w:val="-2"/>
          <w:sz w:val="22"/>
          <w:szCs w:val="22"/>
          <w:vertAlign w:val="subscript"/>
          <w:lang w:val="pt-PT" w:eastAsia="en-AU" w:bidi="th-TH"/>
        </w:rPr>
        <w:t>5</w:t>
      </w:r>
      <w:r w:rsidRPr="00360554">
        <w:rPr>
          <w:rFonts w:ascii="Arial" w:hAnsi="Arial" w:cs="Arial"/>
          <w:spacing w:val="2"/>
          <w:position w:val="1"/>
          <w:sz w:val="22"/>
          <w:szCs w:val="22"/>
          <w:lang w:val="pt-PT" w:eastAsia="en-AU" w:bidi="th-TH"/>
        </w:rPr>
        <w:t>O</w:t>
      </w:r>
      <w:r w:rsidRPr="00FF207C">
        <w:rPr>
          <w:rFonts w:ascii="Arial" w:hAnsi="Arial" w:cs="Arial"/>
          <w:position w:val="-2"/>
          <w:sz w:val="22"/>
          <w:szCs w:val="22"/>
          <w:vertAlign w:val="subscript"/>
          <w:lang w:val="pt-PT" w:eastAsia="en-AU" w:bidi="th-TH"/>
        </w:rPr>
        <w:t>4</w:t>
      </w:r>
      <w:r w:rsidRPr="00360554">
        <w:rPr>
          <w:rFonts w:ascii="Arial" w:hAnsi="Arial" w:cs="Arial"/>
          <w:spacing w:val="1"/>
          <w:position w:val="1"/>
          <w:sz w:val="22"/>
          <w:szCs w:val="22"/>
          <w:lang w:val="pt-PT" w:eastAsia="en-AU" w:bidi="th-TH"/>
        </w:rPr>
        <w:t>.</w:t>
      </w:r>
      <w:r w:rsidRPr="00360554">
        <w:rPr>
          <w:rFonts w:ascii="Arial" w:hAnsi="Arial" w:cs="Arial"/>
          <w:spacing w:val="-1"/>
          <w:position w:val="1"/>
          <w:sz w:val="22"/>
          <w:szCs w:val="22"/>
          <w:lang w:val="pt-PT" w:eastAsia="en-AU" w:bidi="th-TH"/>
        </w:rPr>
        <w:t>C</w:t>
      </w:r>
      <w:r w:rsidRPr="00FF207C">
        <w:rPr>
          <w:rFonts w:ascii="Arial" w:hAnsi="Arial" w:cs="Arial"/>
          <w:position w:val="-2"/>
          <w:sz w:val="22"/>
          <w:szCs w:val="22"/>
          <w:vertAlign w:val="subscript"/>
          <w:lang w:val="pt-PT" w:eastAsia="en-AU" w:bidi="th-TH"/>
        </w:rPr>
        <w:t>2</w:t>
      </w:r>
      <w:r w:rsidRPr="00360554">
        <w:rPr>
          <w:rFonts w:ascii="Arial" w:hAnsi="Arial" w:cs="Arial"/>
          <w:position w:val="1"/>
          <w:sz w:val="22"/>
          <w:szCs w:val="22"/>
          <w:lang w:val="pt-PT" w:eastAsia="en-AU" w:bidi="th-TH"/>
        </w:rPr>
        <w:t>H</w:t>
      </w:r>
      <w:r w:rsidRPr="00FF207C">
        <w:rPr>
          <w:rFonts w:ascii="Arial" w:hAnsi="Arial" w:cs="Arial"/>
          <w:position w:val="-2"/>
          <w:sz w:val="22"/>
          <w:szCs w:val="22"/>
          <w:vertAlign w:val="subscript"/>
          <w:lang w:val="pt-PT" w:eastAsia="en-AU" w:bidi="th-TH"/>
        </w:rPr>
        <w:t>6</w:t>
      </w:r>
      <w:r w:rsidRPr="00360554">
        <w:rPr>
          <w:rFonts w:ascii="Arial" w:hAnsi="Arial" w:cs="Arial"/>
          <w:position w:val="1"/>
          <w:sz w:val="22"/>
          <w:szCs w:val="22"/>
          <w:lang w:val="pt-PT" w:eastAsia="en-AU" w:bidi="th-TH"/>
        </w:rPr>
        <w:t>O</w:t>
      </w:r>
      <w:r w:rsidRPr="00FF207C">
        <w:rPr>
          <w:rFonts w:ascii="Arial" w:hAnsi="Arial" w:cs="Arial"/>
          <w:position w:val="-2"/>
          <w:sz w:val="22"/>
          <w:szCs w:val="22"/>
          <w:vertAlign w:val="subscript"/>
          <w:lang w:val="pt-PT" w:eastAsia="en-AU" w:bidi="th-TH"/>
        </w:rPr>
        <w:t>3</w:t>
      </w:r>
      <w:r w:rsidRPr="00360554">
        <w:rPr>
          <w:rFonts w:ascii="Arial" w:hAnsi="Arial" w:cs="Arial"/>
          <w:position w:val="1"/>
          <w:sz w:val="22"/>
          <w:szCs w:val="22"/>
          <w:lang w:val="pt-PT" w:eastAsia="en-AU" w:bidi="th-TH"/>
        </w:rPr>
        <w:t>S</w:t>
      </w:r>
    </w:p>
    <w:p w14:paraId="5995901A" w14:textId="77777777" w:rsidR="00EC4DF6" w:rsidRPr="00494788" w:rsidRDefault="00EC4DF6" w:rsidP="00EC4DF6">
      <w:pPr>
        <w:pStyle w:val="TextPI"/>
        <w:rPr>
          <w:rFonts w:cs="Arial"/>
          <w:color w:val="000000" w:themeColor="text1"/>
          <w:lang w:val="pt-PT"/>
        </w:rPr>
      </w:pPr>
      <w:r w:rsidRPr="00FF207C">
        <w:rPr>
          <w:rFonts w:cs="Arial"/>
          <w:i/>
          <w:iCs/>
          <w:color w:val="000000" w:themeColor="text1"/>
          <w:lang w:val="pt-PT"/>
        </w:rPr>
        <w:t>Molecular weight:</w:t>
      </w:r>
      <w:r w:rsidRPr="00494788">
        <w:rPr>
          <w:rFonts w:cs="Arial"/>
          <w:color w:val="000000" w:themeColor="text1"/>
          <w:lang w:val="pt-PT"/>
        </w:rPr>
        <w:t xml:space="preserve"> </w:t>
      </w:r>
      <w:r w:rsidRPr="00494788">
        <w:rPr>
          <w:rFonts w:cs="Arial"/>
          <w:color w:val="000000" w:themeColor="text1"/>
          <w:lang w:val="pt-PT"/>
        </w:rPr>
        <w:tab/>
        <w:t>649.7</w:t>
      </w:r>
      <w:r>
        <w:rPr>
          <w:rFonts w:cs="Arial"/>
          <w:color w:val="000000" w:themeColor="text1"/>
          <w:lang w:val="pt-PT"/>
        </w:rPr>
        <w:t>6</w:t>
      </w:r>
    </w:p>
    <w:p w14:paraId="1D3CC118" w14:textId="767178B8" w:rsidR="00EC4DF6" w:rsidRPr="00FF207C" w:rsidRDefault="00EC4DF6" w:rsidP="00936DD4">
      <w:pPr>
        <w:keepNext/>
        <w:autoSpaceDE w:val="0"/>
        <w:autoSpaceDN w:val="0"/>
        <w:adjustRightInd w:val="0"/>
        <w:spacing w:before="180"/>
        <w:rPr>
          <w:rFonts w:ascii="Arial" w:hAnsi="Arial" w:cs="Arial"/>
          <w:i/>
          <w:iCs/>
          <w:sz w:val="22"/>
          <w:szCs w:val="22"/>
          <w:lang w:val="pt-PT" w:eastAsia="en-AU" w:bidi="th-TH"/>
        </w:rPr>
      </w:pPr>
      <w:r w:rsidRPr="00FF207C">
        <w:rPr>
          <w:rFonts w:ascii="Arial" w:hAnsi="Arial" w:cs="Arial"/>
          <w:i/>
          <w:iCs/>
          <w:color w:val="000000" w:themeColor="text1"/>
          <w:sz w:val="22"/>
          <w:szCs w:val="22"/>
          <w:lang w:val="pt-PT"/>
        </w:rPr>
        <w:t>Structural formula:</w:t>
      </w:r>
    </w:p>
    <w:p w14:paraId="3EC86440" w14:textId="2F7C3A71" w:rsidR="00EC4DF6" w:rsidRPr="00494788" w:rsidRDefault="00EC4DF6" w:rsidP="00936DD4">
      <w:pPr>
        <w:pStyle w:val="TextPI"/>
        <w:jc w:val="center"/>
        <w:rPr>
          <w:color w:val="000000" w:themeColor="text1"/>
          <w:lang w:val="pt-PT"/>
        </w:rPr>
      </w:pPr>
      <w:r w:rsidRPr="00494788">
        <w:rPr>
          <w:rFonts w:ascii="Times New Roman" w:hAnsi="Times New Roman"/>
          <w:noProof/>
          <w:sz w:val="24"/>
          <w:szCs w:val="20"/>
          <w:lang w:eastAsia="en-AU"/>
        </w:rPr>
        <w:drawing>
          <wp:inline distT="0" distB="0" distL="0" distR="0" wp14:anchorId="1EFFC25A" wp14:editId="7303C166">
            <wp:extent cx="2609850" cy="1644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2413" cy="1646556"/>
                    </a:xfrm>
                    <a:prstGeom prst="rect">
                      <a:avLst/>
                    </a:prstGeom>
                    <a:noFill/>
                    <a:ln>
                      <a:noFill/>
                    </a:ln>
                  </pic:spPr>
                </pic:pic>
              </a:graphicData>
            </a:graphic>
          </wp:inline>
        </w:drawing>
      </w:r>
    </w:p>
    <w:p w14:paraId="19830457" w14:textId="77777777" w:rsidR="009C7AB7" w:rsidRPr="006659F4" w:rsidRDefault="009C7AB7" w:rsidP="005D33C9">
      <w:pPr>
        <w:pStyle w:val="PIheading30"/>
        <w:ind w:left="0" w:right="0" w:firstLine="0"/>
        <w:rPr>
          <w:b/>
          <w:bCs/>
          <w:u w:val="none"/>
        </w:rPr>
      </w:pPr>
      <w:r w:rsidRPr="006659F4">
        <w:rPr>
          <w:b/>
          <w:bCs/>
          <w:u w:val="none"/>
        </w:rPr>
        <w:t>CAS Number</w:t>
      </w:r>
    </w:p>
    <w:p w14:paraId="524A41CA" w14:textId="77777777" w:rsidR="009C7AB7" w:rsidRDefault="009C7AB7" w:rsidP="009C7AB7">
      <w:pPr>
        <w:pStyle w:val="TextPI"/>
        <w:rPr>
          <w:rFonts w:cs="Arial"/>
          <w:color w:val="000000" w:themeColor="text1"/>
        </w:rPr>
      </w:pPr>
      <w:r w:rsidRPr="000321A5">
        <w:rPr>
          <w:rFonts w:cs="Arial"/>
          <w:color w:val="000000" w:themeColor="text1"/>
        </w:rPr>
        <w:t>656247-18-6</w:t>
      </w:r>
    </w:p>
    <w:p w14:paraId="31C4D078" w14:textId="0924391F" w:rsidR="00EC4DF6" w:rsidRPr="002246D3" w:rsidRDefault="00EC4DF6" w:rsidP="00EC4DF6">
      <w:pPr>
        <w:pStyle w:val="PIHeading1"/>
        <w:spacing w:after="120"/>
        <w:rPr>
          <w:rFonts w:cs="Arial"/>
          <w:caps w:val="0"/>
        </w:rPr>
      </w:pPr>
      <w:r w:rsidRPr="002246D3">
        <w:rPr>
          <w:rFonts w:cs="Arial"/>
          <w:caps w:val="0"/>
        </w:rPr>
        <w:t xml:space="preserve">7 </w:t>
      </w:r>
      <w:r w:rsidR="002246D3">
        <w:rPr>
          <w:rFonts w:cs="Arial"/>
          <w:caps w:val="0"/>
        </w:rPr>
        <w:t>MEDICINE SCHEDULE (POISONS STANDARD)</w:t>
      </w:r>
    </w:p>
    <w:p w14:paraId="63A84E3D" w14:textId="77777777" w:rsidR="00EC4DF6" w:rsidRPr="00B43EEA" w:rsidRDefault="00EC4DF6" w:rsidP="00EC4DF6">
      <w:pPr>
        <w:pStyle w:val="TextPI"/>
      </w:pPr>
      <w:r w:rsidRPr="00B43EEA">
        <w:t>S4 – Prescription Only Medicine</w:t>
      </w:r>
    </w:p>
    <w:p w14:paraId="6C8706FC" w14:textId="77777777" w:rsidR="00EC4DF6" w:rsidRPr="00B55DB5" w:rsidRDefault="00EC4DF6" w:rsidP="005D33C9">
      <w:pPr>
        <w:pStyle w:val="PIHeading1"/>
        <w:keepNext w:val="0"/>
        <w:spacing w:after="120"/>
        <w:rPr>
          <w:rFonts w:cs="Arial"/>
        </w:rPr>
      </w:pPr>
      <w:proofErr w:type="gramStart"/>
      <w:r>
        <w:rPr>
          <w:rFonts w:cs="Arial"/>
        </w:rPr>
        <w:t>8</w:t>
      </w:r>
      <w:proofErr w:type="gramEnd"/>
      <w:r>
        <w:rPr>
          <w:rFonts w:cs="Arial"/>
        </w:rPr>
        <w:t xml:space="preserve"> </w:t>
      </w:r>
      <w:r w:rsidRPr="00B55DB5">
        <w:rPr>
          <w:rFonts w:cs="Arial"/>
        </w:rPr>
        <w:t>SPONSOR</w:t>
      </w:r>
    </w:p>
    <w:p w14:paraId="66756941" w14:textId="77777777" w:rsidR="0083630E" w:rsidRDefault="000A1804" w:rsidP="005D33C9">
      <w:pPr>
        <w:pStyle w:val="TextPI"/>
      </w:pPr>
      <w:r w:rsidRPr="00B43EEA">
        <w:t>Boehringer Ingelheim Pty Limited</w:t>
      </w:r>
    </w:p>
    <w:p w14:paraId="2E915EB4" w14:textId="4153D089" w:rsidR="00E84BD9" w:rsidRPr="00B43EEA" w:rsidRDefault="000A1804" w:rsidP="005D33C9">
      <w:pPr>
        <w:pStyle w:val="TextPI"/>
      </w:pPr>
      <w:r w:rsidRPr="00B43EEA">
        <w:t>ABN 52 000 452 308</w:t>
      </w:r>
    </w:p>
    <w:p w14:paraId="2E915EB5" w14:textId="77777777" w:rsidR="00E84BD9" w:rsidRPr="00B43EEA" w:rsidRDefault="000A1804" w:rsidP="005D33C9">
      <w:pPr>
        <w:pStyle w:val="TextPI"/>
      </w:pPr>
      <w:r w:rsidRPr="00B43EEA">
        <w:t>78 Waterloo Road</w:t>
      </w:r>
    </w:p>
    <w:p w14:paraId="2E915EB6" w14:textId="77777777" w:rsidR="000A1804" w:rsidRDefault="000A1804" w:rsidP="005D33C9">
      <w:pPr>
        <w:pStyle w:val="TextPI"/>
      </w:pPr>
      <w:r w:rsidRPr="00B43EEA">
        <w:t>North Ryde NSW 2113</w:t>
      </w:r>
    </w:p>
    <w:p w14:paraId="5FDF3167" w14:textId="0BD03EA0" w:rsidR="00BE5364" w:rsidRPr="005C5518" w:rsidRDefault="000F322D" w:rsidP="005D33C9">
      <w:pPr>
        <w:pStyle w:val="TextPI"/>
      </w:pPr>
      <w:hyperlink r:id="rId20" w:history="1">
        <w:r w:rsidR="00BE5364" w:rsidRPr="005C5518">
          <w:rPr>
            <w:rStyle w:val="Hyperlink"/>
            <w:color w:val="auto"/>
            <w:u w:val="none"/>
          </w:rPr>
          <w:t>www.boehringer-ingelheim.com.au</w:t>
        </w:r>
      </w:hyperlink>
    </w:p>
    <w:p w14:paraId="6071F8CC" w14:textId="10808EEC" w:rsidR="00EC4DF6" w:rsidRPr="002246D3" w:rsidRDefault="00EC4DF6" w:rsidP="005D33C9">
      <w:pPr>
        <w:pStyle w:val="PIHeading1"/>
        <w:keepLines/>
        <w:tabs>
          <w:tab w:val="clear" w:pos="1418"/>
        </w:tabs>
        <w:spacing w:after="120"/>
        <w:ind w:left="0" w:firstLine="0"/>
        <w:rPr>
          <w:rFonts w:cs="Arial"/>
          <w:caps w:val="0"/>
        </w:rPr>
      </w:pPr>
      <w:r w:rsidRPr="002246D3">
        <w:rPr>
          <w:rFonts w:cs="Arial"/>
          <w:caps w:val="0"/>
        </w:rPr>
        <w:t xml:space="preserve">9 DATE OF FIRST </w:t>
      </w:r>
      <w:r w:rsidR="002246D3">
        <w:rPr>
          <w:rFonts w:cs="Arial"/>
          <w:caps w:val="0"/>
        </w:rPr>
        <w:t>APPROVAL</w:t>
      </w:r>
    </w:p>
    <w:p w14:paraId="2E915EBA" w14:textId="77777777" w:rsidR="006D17A1" w:rsidRDefault="00A92EC9" w:rsidP="005D33C9">
      <w:pPr>
        <w:pStyle w:val="TextPI"/>
      </w:pPr>
      <w:r>
        <w:t>1</w:t>
      </w:r>
      <w:r w:rsidR="006D17A1" w:rsidRPr="006D17A1">
        <w:t xml:space="preserve"> </w:t>
      </w:r>
      <w:r w:rsidR="00072052">
        <w:t>September 2015</w:t>
      </w:r>
    </w:p>
    <w:p w14:paraId="5444123B" w14:textId="77777777" w:rsidR="00EC4DF6" w:rsidRPr="00B55DB5" w:rsidRDefault="00EC4DF6" w:rsidP="00EC4DF6">
      <w:pPr>
        <w:pStyle w:val="PIHeading1"/>
        <w:spacing w:after="120"/>
        <w:rPr>
          <w:rFonts w:cs="Arial"/>
        </w:rPr>
      </w:pPr>
      <w:r>
        <w:rPr>
          <w:rFonts w:cs="Arial"/>
        </w:rPr>
        <w:t xml:space="preserve">10 </w:t>
      </w:r>
      <w:r w:rsidRPr="00B55DB5">
        <w:rPr>
          <w:rFonts w:cs="Arial"/>
        </w:rPr>
        <w:t xml:space="preserve">DATE OF </w:t>
      </w:r>
      <w:r>
        <w:rPr>
          <w:rFonts w:cs="Arial"/>
        </w:rPr>
        <w:t>REVISION</w:t>
      </w:r>
    </w:p>
    <w:p w14:paraId="2E915EBC" w14:textId="2E4BD089" w:rsidR="00FF668C" w:rsidRDefault="00C477A9" w:rsidP="00FF668C">
      <w:pPr>
        <w:pStyle w:val="TextPI"/>
      </w:pPr>
      <w:r w:rsidRPr="00C477A9">
        <w:t>05</w:t>
      </w:r>
      <w:r w:rsidR="00EF4CD3" w:rsidRPr="00C477A9">
        <w:t xml:space="preserve"> January 2021</w:t>
      </w:r>
    </w:p>
    <w:p w14:paraId="37EE6BE0" w14:textId="6AF7809D" w:rsidR="00EC4DF6" w:rsidRPr="00FD273E" w:rsidRDefault="00FD273E" w:rsidP="00FD273E">
      <w:pPr>
        <w:pStyle w:val="PIHeading1"/>
        <w:spacing w:after="120"/>
        <w:rPr>
          <w:rFonts w:cs="Arial"/>
        </w:rPr>
      </w:pPr>
      <w:r>
        <w:rPr>
          <w:rFonts w:cs="Arial"/>
        </w:rPr>
        <w:t>SUMMARY TABLE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381"/>
      </w:tblGrid>
      <w:tr w:rsidR="00EC4DF6" w:rsidRPr="006F67AC" w14:paraId="3368D37E" w14:textId="77777777" w:rsidTr="00826A98">
        <w:tc>
          <w:tcPr>
            <w:tcW w:w="1544" w:type="dxa"/>
            <w:shd w:val="clear" w:color="auto" w:fill="auto"/>
          </w:tcPr>
          <w:p w14:paraId="50AD4053" w14:textId="77777777" w:rsidR="00EC4DF6" w:rsidRPr="006F67AC" w:rsidRDefault="00EC4DF6" w:rsidP="006E09EC">
            <w:pPr>
              <w:pStyle w:val="TextPI"/>
              <w:spacing w:before="0" w:after="0"/>
              <w:rPr>
                <w:b/>
                <w:bCs/>
              </w:rPr>
            </w:pPr>
            <w:r w:rsidRPr="006F67AC">
              <w:rPr>
                <w:b/>
                <w:bCs/>
              </w:rPr>
              <w:t>Section changed</w:t>
            </w:r>
          </w:p>
        </w:tc>
        <w:tc>
          <w:tcPr>
            <w:tcW w:w="7381" w:type="dxa"/>
            <w:shd w:val="clear" w:color="auto" w:fill="auto"/>
          </w:tcPr>
          <w:p w14:paraId="218982BA" w14:textId="77777777" w:rsidR="00EC4DF6" w:rsidRPr="006F67AC" w:rsidRDefault="00EC4DF6" w:rsidP="006E09EC">
            <w:pPr>
              <w:pStyle w:val="TextPI"/>
              <w:spacing w:before="0" w:after="0"/>
              <w:rPr>
                <w:b/>
                <w:bCs/>
              </w:rPr>
            </w:pPr>
            <w:r w:rsidRPr="006F67AC">
              <w:rPr>
                <w:b/>
                <w:bCs/>
              </w:rPr>
              <w:t>Summary of new information</w:t>
            </w:r>
          </w:p>
        </w:tc>
      </w:tr>
      <w:tr w:rsidR="00A871DF" w:rsidRPr="00E03466" w14:paraId="77C677B9" w14:textId="77777777" w:rsidTr="00826A98">
        <w:tc>
          <w:tcPr>
            <w:tcW w:w="1544" w:type="dxa"/>
            <w:shd w:val="clear" w:color="auto" w:fill="auto"/>
          </w:tcPr>
          <w:p w14:paraId="34C44AB6" w14:textId="6DE0F623" w:rsidR="00A871DF" w:rsidRDefault="00A871DF" w:rsidP="00A871DF">
            <w:pPr>
              <w:pStyle w:val="TextPI"/>
              <w:spacing w:before="0" w:after="0"/>
            </w:pPr>
            <w:r>
              <w:t>4.1</w:t>
            </w:r>
          </w:p>
        </w:tc>
        <w:tc>
          <w:tcPr>
            <w:tcW w:w="7381" w:type="dxa"/>
            <w:shd w:val="clear" w:color="auto" w:fill="auto"/>
          </w:tcPr>
          <w:p w14:paraId="6972E4F5" w14:textId="64C7D9D8" w:rsidR="00A871DF" w:rsidRPr="00FD0192" w:rsidRDefault="00A871DF" w:rsidP="00A871DF">
            <w:pPr>
              <w:pStyle w:val="TextPI"/>
              <w:spacing w:before="0" w:after="0"/>
            </w:pPr>
            <w:r>
              <w:t xml:space="preserve">New indication </w:t>
            </w:r>
            <w:r w:rsidR="009733B7">
              <w:t>‘</w:t>
            </w:r>
            <w:r w:rsidRPr="006D2617">
              <w:t>other chronic fibrosing ILDs with a progressive</w:t>
            </w:r>
            <w:r>
              <w:t xml:space="preserve"> phenotype</w:t>
            </w:r>
            <w:r w:rsidR="009733B7">
              <w:t>’</w:t>
            </w:r>
          </w:p>
        </w:tc>
      </w:tr>
      <w:tr w:rsidR="00A871DF" w:rsidRPr="00E03466" w14:paraId="2FC56924" w14:textId="77777777" w:rsidTr="00826A98">
        <w:tc>
          <w:tcPr>
            <w:tcW w:w="1544" w:type="dxa"/>
            <w:shd w:val="clear" w:color="auto" w:fill="auto"/>
          </w:tcPr>
          <w:p w14:paraId="5AF98236" w14:textId="3214F5C3" w:rsidR="00A871DF" w:rsidRDefault="00A871DF" w:rsidP="00A871DF">
            <w:pPr>
              <w:pStyle w:val="TextPI"/>
              <w:spacing w:before="0" w:after="0"/>
            </w:pPr>
            <w:r>
              <w:lastRenderedPageBreak/>
              <w:t>4.2</w:t>
            </w:r>
          </w:p>
        </w:tc>
        <w:tc>
          <w:tcPr>
            <w:tcW w:w="7381" w:type="dxa"/>
            <w:shd w:val="clear" w:color="auto" w:fill="auto"/>
          </w:tcPr>
          <w:p w14:paraId="310534C0" w14:textId="6A869B93" w:rsidR="00A871DF" w:rsidRPr="00FD0192" w:rsidRDefault="009733B7" w:rsidP="00A871DF">
            <w:pPr>
              <w:pStyle w:val="TextPI"/>
              <w:spacing w:before="0" w:after="0"/>
            </w:pPr>
            <w:r w:rsidRPr="009733B7">
              <w:t>Addition of reference to the new indication ‘other chronic fibrosing ILDs with a progressive phenotype’</w:t>
            </w:r>
          </w:p>
        </w:tc>
      </w:tr>
      <w:tr w:rsidR="00A871DF" w:rsidRPr="00E03466" w14:paraId="4008ED2C" w14:textId="77777777" w:rsidTr="00826A98">
        <w:tc>
          <w:tcPr>
            <w:tcW w:w="1544" w:type="dxa"/>
            <w:shd w:val="clear" w:color="auto" w:fill="auto"/>
          </w:tcPr>
          <w:p w14:paraId="5ECD40E7" w14:textId="5A3A2D7C" w:rsidR="00A871DF" w:rsidRDefault="00A871DF" w:rsidP="00A871DF">
            <w:pPr>
              <w:pStyle w:val="TextPI"/>
              <w:spacing w:before="0" w:after="0"/>
            </w:pPr>
            <w:r>
              <w:t>4.4</w:t>
            </w:r>
          </w:p>
        </w:tc>
        <w:tc>
          <w:tcPr>
            <w:tcW w:w="7381" w:type="dxa"/>
            <w:shd w:val="clear" w:color="auto" w:fill="auto"/>
          </w:tcPr>
          <w:p w14:paraId="79E0D476" w14:textId="77777777" w:rsidR="00A871DF" w:rsidRDefault="009733B7" w:rsidP="009733B7">
            <w:pPr>
              <w:pStyle w:val="TextPI"/>
              <w:spacing w:before="0" w:after="0"/>
            </w:pPr>
            <w:r>
              <w:t xml:space="preserve">Update of information related to the </w:t>
            </w:r>
            <w:r w:rsidR="00A871DF" w:rsidRPr="006151A1">
              <w:t xml:space="preserve">new indication </w:t>
            </w:r>
            <w:r>
              <w:t>‘</w:t>
            </w:r>
            <w:r w:rsidR="00A871DF" w:rsidRPr="006151A1">
              <w:t>other chronic fibrosing ILDs with a progressive phenotype</w:t>
            </w:r>
            <w:r>
              <w:t>’</w:t>
            </w:r>
            <w:r w:rsidR="00A871DF" w:rsidRPr="006151A1">
              <w:t xml:space="preserve"> based on </w:t>
            </w:r>
            <w:r w:rsidR="00A871DF">
              <w:t>INBUILD trial</w:t>
            </w:r>
            <w:r w:rsidR="00E27AC1">
              <w:t>.</w:t>
            </w:r>
          </w:p>
          <w:p w14:paraId="033FC22D" w14:textId="3B1ED4F0" w:rsidR="00E27AC1" w:rsidRPr="00FD0192" w:rsidRDefault="00F31F7D" w:rsidP="009733B7">
            <w:pPr>
              <w:pStyle w:val="TextPI"/>
              <w:spacing w:before="0" w:after="0"/>
            </w:pPr>
            <w:r>
              <w:t>Addition of nephrotic range proteinuria, aneurysms and artery dissections</w:t>
            </w:r>
            <w:r w:rsidR="00E27AC1">
              <w:t>.</w:t>
            </w:r>
          </w:p>
        </w:tc>
      </w:tr>
      <w:tr w:rsidR="00A871DF" w:rsidRPr="00E03466" w14:paraId="5BD4CDCF" w14:textId="77777777" w:rsidTr="00826A98">
        <w:tc>
          <w:tcPr>
            <w:tcW w:w="1544" w:type="dxa"/>
            <w:shd w:val="clear" w:color="auto" w:fill="auto"/>
          </w:tcPr>
          <w:p w14:paraId="1FCE88E4" w14:textId="65BA36B0" w:rsidR="00A871DF" w:rsidRDefault="00A871DF" w:rsidP="00A871DF">
            <w:pPr>
              <w:pStyle w:val="TextPI"/>
              <w:spacing w:before="0" w:after="0"/>
            </w:pPr>
            <w:r>
              <w:t>4.8</w:t>
            </w:r>
          </w:p>
        </w:tc>
        <w:tc>
          <w:tcPr>
            <w:tcW w:w="7381" w:type="dxa"/>
            <w:shd w:val="clear" w:color="auto" w:fill="auto"/>
          </w:tcPr>
          <w:p w14:paraId="6819B8FF" w14:textId="77777777" w:rsidR="00A871DF" w:rsidRDefault="00A12C33" w:rsidP="00A12C33">
            <w:pPr>
              <w:pStyle w:val="TextPI"/>
              <w:spacing w:before="0" w:after="0"/>
            </w:pPr>
            <w:r>
              <w:t xml:space="preserve">Addition of adverse events and adverse reactions information for the </w:t>
            </w:r>
            <w:r w:rsidR="00A871DF" w:rsidRPr="006151A1">
              <w:t xml:space="preserve">new indication </w:t>
            </w:r>
            <w:r>
              <w:t>‘</w:t>
            </w:r>
            <w:r w:rsidR="00A871DF" w:rsidRPr="006151A1">
              <w:t>other chronic fibrosing LDs with a progressive</w:t>
            </w:r>
            <w:r w:rsidR="00A871DF">
              <w:t xml:space="preserve"> phenotype</w:t>
            </w:r>
            <w:r>
              <w:t>’</w:t>
            </w:r>
            <w:r w:rsidR="00E27AC1">
              <w:t>.</w:t>
            </w:r>
          </w:p>
          <w:p w14:paraId="51664794" w14:textId="7F6EE770" w:rsidR="00E27AC1" w:rsidRPr="00FD0192" w:rsidRDefault="00D807BB" w:rsidP="00A12C33">
            <w:pPr>
              <w:pStyle w:val="TextPI"/>
              <w:spacing w:before="0" w:after="0"/>
            </w:pPr>
            <w:r>
              <w:t xml:space="preserve">Addition of proteinuria, </w:t>
            </w:r>
            <w:r w:rsidRPr="006F3FF8">
              <w:t xml:space="preserve">aneurysms and artery dissections </w:t>
            </w:r>
            <w:r>
              <w:t>adverse drug reactions</w:t>
            </w:r>
            <w:r w:rsidR="00E27AC1">
              <w:t>.</w:t>
            </w:r>
          </w:p>
        </w:tc>
      </w:tr>
      <w:tr w:rsidR="00A871DF" w:rsidRPr="00E03466" w14:paraId="2AF96C2C" w14:textId="77777777" w:rsidTr="00826A98">
        <w:tc>
          <w:tcPr>
            <w:tcW w:w="1544" w:type="dxa"/>
            <w:shd w:val="clear" w:color="auto" w:fill="auto"/>
          </w:tcPr>
          <w:p w14:paraId="409C3685" w14:textId="284446F5" w:rsidR="00A871DF" w:rsidRDefault="00A871DF" w:rsidP="00A871DF">
            <w:pPr>
              <w:pStyle w:val="TextPI"/>
              <w:spacing w:before="0" w:after="0"/>
            </w:pPr>
            <w:r>
              <w:t>5.1</w:t>
            </w:r>
          </w:p>
        </w:tc>
        <w:tc>
          <w:tcPr>
            <w:tcW w:w="7381" w:type="dxa"/>
            <w:shd w:val="clear" w:color="auto" w:fill="auto"/>
          </w:tcPr>
          <w:p w14:paraId="43E45E10" w14:textId="1EDF01BA" w:rsidR="00A871DF" w:rsidRPr="00FD0192" w:rsidRDefault="00A871DF" w:rsidP="00A871DF">
            <w:pPr>
              <w:pStyle w:val="TextPI"/>
              <w:spacing w:before="0" w:after="0"/>
            </w:pPr>
            <w:r>
              <w:t xml:space="preserve">Addition of clinical trial results from the INBUILD trial for the new  </w:t>
            </w:r>
            <w:r w:rsidRPr="006151A1">
              <w:t xml:space="preserve">indication </w:t>
            </w:r>
            <w:r>
              <w:t>‘</w:t>
            </w:r>
            <w:r w:rsidRPr="006151A1">
              <w:t>other chronic fibrosing ILDs with a progressive phenotype</w:t>
            </w:r>
            <w:r>
              <w:t>’</w:t>
            </w:r>
          </w:p>
        </w:tc>
      </w:tr>
      <w:tr w:rsidR="00A871DF" w:rsidRPr="00E03466" w14:paraId="2F40BF0A" w14:textId="77777777" w:rsidTr="00826A98">
        <w:tc>
          <w:tcPr>
            <w:tcW w:w="1544" w:type="dxa"/>
            <w:shd w:val="clear" w:color="auto" w:fill="auto"/>
          </w:tcPr>
          <w:p w14:paraId="53A6296B" w14:textId="1A2501AA" w:rsidR="00A871DF" w:rsidRDefault="00A871DF" w:rsidP="00A871DF">
            <w:pPr>
              <w:pStyle w:val="TextPI"/>
              <w:spacing w:before="0" w:after="0"/>
            </w:pPr>
            <w:r>
              <w:t>5.2</w:t>
            </w:r>
          </w:p>
        </w:tc>
        <w:tc>
          <w:tcPr>
            <w:tcW w:w="7381" w:type="dxa"/>
            <w:shd w:val="clear" w:color="auto" w:fill="auto"/>
          </w:tcPr>
          <w:p w14:paraId="288FC9E3" w14:textId="33D4F590" w:rsidR="00A871DF" w:rsidRPr="00FD0192" w:rsidRDefault="00A871DF" w:rsidP="00A871DF">
            <w:pPr>
              <w:pStyle w:val="TextPI"/>
              <w:spacing w:before="0" w:after="0"/>
            </w:pPr>
            <w:r>
              <w:t>Addition of reference to the</w:t>
            </w:r>
            <w:r w:rsidRPr="00A709BF">
              <w:t xml:space="preserve"> new indication </w:t>
            </w:r>
            <w:r>
              <w:t>‘</w:t>
            </w:r>
            <w:r w:rsidRPr="00A709BF">
              <w:t>other chronic fibrosing ILDs with a progressive</w:t>
            </w:r>
            <w:r>
              <w:t xml:space="preserve"> phenotype’</w:t>
            </w:r>
          </w:p>
        </w:tc>
      </w:tr>
    </w:tbl>
    <w:p w14:paraId="357461E1" w14:textId="77777777" w:rsidR="00EC4DF6" w:rsidRDefault="00EC4DF6" w:rsidP="00990A75">
      <w:pPr>
        <w:pStyle w:val="TextPI"/>
      </w:pPr>
    </w:p>
    <w:sectPr w:rsidR="00EC4DF6" w:rsidSect="00990A75">
      <w:headerReference w:type="default" r:id="rId21"/>
      <w:footerReference w:type="default" r:id="rId22"/>
      <w:pgSz w:w="11923" w:h="16834" w:code="9"/>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5EF2" w14:textId="77777777" w:rsidR="000F322D" w:rsidRDefault="000F322D" w:rsidP="00287F58">
      <w:r>
        <w:separator/>
      </w:r>
    </w:p>
  </w:endnote>
  <w:endnote w:type="continuationSeparator" w:id="0">
    <w:p w14:paraId="2E915EF3" w14:textId="77777777" w:rsidR="000F322D" w:rsidRDefault="000F322D" w:rsidP="0028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abon">
    <w:altName w:val="Constantia"/>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2"/>
      </w:rPr>
      <w:id w:val="1313297329"/>
      <w:docPartObj>
        <w:docPartGallery w:val="Page Numbers (Bottom of Page)"/>
        <w:docPartUnique/>
      </w:docPartObj>
    </w:sdtPr>
    <w:sdtContent>
      <w:p w14:paraId="2E915EFA" w14:textId="2C35CF40" w:rsidR="000F322D" w:rsidRPr="000A707C" w:rsidRDefault="000F322D" w:rsidP="00BE7930">
        <w:pPr>
          <w:pStyle w:val="Footer"/>
          <w:pBdr>
            <w:top w:val="single" w:sz="4" w:space="1" w:color="auto"/>
          </w:pBdr>
          <w:rPr>
            <w:rFonts w:ascii="Arial" w:hAnsi="Arial" w:cs="Arial"/>
            <w:sz w:val="18"/>
            <w:szCs w:val="12"/>
          </w:rPr>
        </w:pPr>
        <w:r w:rsidRPr="000A707C">
          <w:rPr>
            <w:rFonts w:ascii="Arial" w:hAnsi="Arial" w:cs="Arial"/>
            <w:sz w:val="18"/>
            <w:szCs w:val="12"/>
          </w:rPr>
          <w:t>OFEV PI0153-</w:t>
        </w:r>
        <w:r>
          <w:rPr>
            <w:rFonts w:ascii="Arial" w:hAnsi="Arial" w:cs="Arial"/>
            <w:sz w:val="18"/>
            <w:szCs w:val="12"/>
          </w:rPr>
          <w:t>10</w:t>
        </w:r>
        <w:r>
          <w:rPr>
            <w:rFonts w:ascii="Arial" w:hAnsi="Arial" w:cs="Arial"/>
            <w:sz w:val="18"/>
            <w:szCs w:val="12"/>
          </w:rPr>
          <w:tab/>
        </w:r>
        <w:r w:rsidRPr="004D760A">
          <w:rPr>
            <w:rFonts w:ascii="Arial" w:hAnsi="Arial" w:cs="Arial"/>
            <w:sz w:val="18"/>
            <w:szCs w:val="12"/>
          </w:rPr>
          <w:fldChar w:fldCharType="begin"/>
        </w:r>
        <w:r w:rsidRPr="000A707C">
          <w:rPr>
            <w:rFonts w:ascii="Arial" w:hAnsi="Arial" w:cs="Arial"/>
            <w:sz w:val="18"/>
            <w:szCs w:val="12"/>
          </w:rPr>
          <w:instrText xml:space="preserve"> PAGE   \* MERGEFORMAT </w:instrText>
        </w:r>
        <w:r w:rsidRPr="004D760A">
          <w:rPr>
            <w:rFonts w:ascii="Arial" w:hAnsi="Arial" w:cs="Arial"/>
            <w:sz w:val="18"/>
            <w:szCs w:val="12"/>
          </w:rPr>
          <w:fldChar w:fldCharType="separate"/>
        </w:r>
        <w:r w:rsidR="00936DD4">
          <w:rPr>
            <w:rFonts w:ascii="Arial" w:hAnsi="Arial" w:cs="Arial"/>
            <w:noProof/>
            <w:sz w:val="18"/>
            <w:szCs w:val="12"/>
          </w:rPr>
          <w:t>1</w:t>
        </w:r>
        <w:r w:rsidRPr="004D760A">
          <w:rPr>
            <w:rFonts w:ascii="Arial" w:hAnsi="Arial" w:cs="Arial"/>
            <w:noProof/>
            <w:sz w:val="18"/>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15EF0" w14:textId="77777777" w:rsidR="000F322D" w:rsidRDefault="000F322D" w:rsidP="00287F58">
      <w:r>
        <w:separator/>
      </w:r>
    </w:p>
  </w:footnote>
  <w:footnote w:type="continuationSeparator" w:id="0">
    <w:p w14:paraId="2E915EF1" w14:textId="77777777" w:rsidR="000F322D" w:rsidRDefault="000F322D" w:rsidP="0028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shd w:val="clear" w:color="auto" w:fill="E4F2E0"/>
      <w:tblLook w:val="04A0" w:firstRow="1" w:lastRow="0" w:firstColumn="1" w:lastColumn="0" w:noHBand="0" w:noVBand="1"/>
    </w:tblPr>
    <w:tblGrid>
      <w:gridCol w:w="8720"/>
    </w:tblGrid>
    <w:tr w:rsidR="000F322D" w:rsidRPr="00216867" w14:paraId="680DFF45" w14:textId="77777777" w:rsidTr="000F322D">
      <w:tc>
        <w:tcPr>
          <w:tcW w:w="8720" w:type="dxa"/>
          <w:shd w:val="clear" w:color="auto" w:fill="E4F2E0"/>
        </w:tcPr>
        <w:p w14:paraId="2B333F3E" w14:textId="217A4EC5" w:rsidR="000F322D" w:rsidRPr="00216867" w:rsidRDefault="000F322D" w:rsidP="00216867">
          <w:pPr>
            <w:spacing w:before="180" w:after="180" w:line="240" w:lineRule="atLeast"/>
            <w:rPr>
              <w:sz w:val="18"/>
              <w:szCs w:val="18"/>
            </w:rPr>
          </w:pPr>
          <w:r w:rsidRPr="00216867">
            <w:rPr>
              <w:b/>
              <w:sz w:val="18"/>
              <w:szCs w:val="18"/>
            </w:rPr>
            <w:t xml:space="preserve">Attachment 1: Product information for </w:t>
          </w:r>
          <w:proofErr w:type="spellStart"/>
          <w:r w:rsidRPr="00216867">
            <w:rPr>
              <w:b/>
              <w:sz w:val="18"/>
              <w:szCs w:val="18"/>
            </w:rPr>
            <w:t>AusPAR</w:t>
          </w:r>
          <w:proofErr w:type="spellEnd"/>
          <w:r w:rsidRPr="00216867">
            <w:rPr>
              <w:b/>
              <w:sz w:val="18"/>
              <w:szCs w:val="18"/>
            </w:rPr>
            <w:t xml:space="preserve"> - </w:t>
          </w:r>
          <w:proofErr w:type="spellStart"/>
          <w:r w:rsidRPr="00216867">
            <w:rPr>
              <w:b/>
              <w:sz w:val="18"/>
              <w:szCs w:val="18"/>
            </w:rPr>
            <w:t>Ofev</w:t>
          </w:r>
          <w:proofErr w:type="spellEnd"/>
          <w:r w:rsidRPr="00216867">
            <w:rPr>
              <w:b/>
              <w:sz w:val="18"/>
              <w:szCs w:val="18"/>
            </w:rPr>
            <w:t>/</w:t>
          </w:r>
          <w:proofErr w:type="spellStart"/>
          <w:r w:rsidRPr="00216867">
            <w:rPr>
              <w:b/>
              <w:sz w:val="18"/>
              <w:szCs w:val="18"/>
            </w:rPr>
            <w:t>Vargatef</w:t>
          </w:r>
          <w:proofErr w:type="spellEnd"/>
          <w:r w:rsidRPr="00216867">
            <w:rPr>
              <w:b/>
              <w:sz w:val="18"/>
              <w:szCs w:val="18"/>
            </w:rPr>
            <w:t xml:space="preserve"> – </w:t>
          </w:r>
          <w:proofErr w:type="spellStart"/>
          <w:r w:rsidRPr="00216867">
            <w:rPr>
              <w:b/>
              <w:sz w:val="18"/>
              <w:szCs w:val="18"/>
            </w:rPr>
            <w:t>nintedanib</w:t>
          </w:r>
          <w:proofErr w:type="spellEnd"/>
          <w:r w:rsidRPr="00216867">
            <w:rPr>
              <w:b/>
              <w:sz w:val="18"/>
              <w:szCs w:val="18"/>
            </w:rPr>
            <w:t xml:space="preserve"> (as </w:t>
          </w:r>
          <w:proofErr w:type="spellStart"/>
          <w:r w:rsidRPr="00216867">
            <w:rPr>
              <w:b/>
              <w:sz w:val="18"/>
              <w:szCs w:val="18"/>
            </w:rPr>
            <w:t>esilate</w:t>
          </w:r>
          <w:proofErr w:type="spellEnd"/>
          <w:r w:rsidRPr="00216867">
            <w:rPr>
              <w:b/>
              <w:sz w:val="18"/>
              <w:szCs w:val="18"/>
            </w:rPr>
            <w:t xml:space="preserve">) - </w:t>
          </w:r>
          <w:proofErr w:type="spellStart"/>
          <w:r w:rsidRPr="00216867">
            <w:rPr>
              <w:b/>
              <w:sz w:val="18"/>
              <w:szCs w:val="18"/>
            </w:rPr>
            <w:t>Boehringer</w:t>
          </w:r>
          <w:proofErr w:type="spellEnd"/>
          <w:r w:rsidRPr="00216867">
            <w:rPr>
              <w:b/>
              <w:sz w:val="18"/>
              <w:szCs w:val="18"/>
            </w:rPr>
            <w:t xml:space="preserve"> </w:t>
          </w:r>
          <w:proofErr w:type="spellStart"/>
          <w:r w:rsidRPr="00216867">
            <w:rPr>
              <w:b/>
              <w:sz w:val="18"/>
              <w:szCs w:val="18"/>
            </w:rPr>
            <w:t>Ingelheim</w:t>
          </w:r>
          <w:proofErr w:type="spellEnd"/>
          <w:r w:rsidRPr="00216867">
            <w:rPr>
              <w:b/>
              <w:sz w:val="18"/>
              <w:szCs w:val="18"/>
            </w:rPr>
            <w:t xml:space="preserve"> Pty Ltd - PM-2019-04480-1-5 FINAL 26 February 2021. This is the Product Information that </w:t>
          </w:r>
          <w:proofErr w:type="gramStart"/>
          <w:r w:rsidRPr="00216867">
            <w:rPr>
              <w:b/>
              <w:sz w:val="18"/>
              <w:szCs w:val="18"/>
            </w:rPr>
            <w:t>was approved</w:t>
          </w:r>
          <w:proofErr w:type="gramEnd"/>
          <w:r w:rsidRPr="00216867">
            <w:rPr>
              <w:b/>
              <w:sz w:val="18"/>
              <w:szCs w:val="18"/>
            </w:rPr>
            <w:t xml:space="preserve"> with the submission described in this </w:t>
          </w:r>
          <w:proofErr w:type="spellStart"/>
          <w:r w:rsidRPr="00216867">
            <w:rPr>
              <w:b/>
              <w:sz w:val="18"/>
              <w:szCs w:val="18"/>
            </w:rPr>
            <w:t>AusPAR</w:t>
          </w:r>
          <w:proofErr w:type="spellEnd"/>
          <w:r w:rsidRPr="00216867">
            <w:rPr>
              <w:b/>
              <w:sz w:val="18"/>
              <w:szCs w:val="18"/>
            </w:rPr>
            <w:t xml:space="preserve">. It </w:t>
          </w:r>
          <w:proofErr w:type="gramStart"/>
          <w:r w:rsidRPr="00216867">
            <w:rPr>
              <w:b/>
              <w:sz w:val="18"/>
              <w:szCs w:val="18"/>
            </w:rPr>
            <w:t>may have been superseded</w:t>
          </w:r>
          <w:proofErr w:type="gramEnd"/>
          <w:r w:rsidRPr="00216867">
            <w:rPr>
              <w:b/>
              <w:sz w:val="18"/>
              <w:szCs w:val="18"/>
            </w:rPr>
            <w:t>. For the most recent PI, please refer to the TGA website at &lt;</w:t>
          </w:r>
          <w:hyperlink r:id="rId1" w:history="1">
            <w:r w:rsidRPr="00216867">
              <w:rPr>
                <w:color w:val="0000FF"/>
                <w:sz w:val="18"/>
                <w:szCs w:val="18"/>
                <w:u w:val="single"/>
              </w:rPr>
              <w:t>https://www.tga.gov.au/product-information-pi</w:t>
            </w:r>
          </w:hyperlink>
          <w:r w:rsidRPr="00216867">
            <w:rPr>
              <w:sz w:val="18"/>
              <w:szCs w:val="18"/>
            </w:rPr>
            <w:t>&gt;</w:t>
          </w:r>
        </w:p>
      </w:tc>
    </w:tr>
  </w:tbl>
  <w:p w14:paraId="2E915EF9" w14:textId="77777777" w:rsidR="000F322D" w:rsidRPr="009F6FED" w:rsidRDefault="000F322D" w:rsidP="009F6FE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261A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0C42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2ED1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9462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B02B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063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A17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92FA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251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D470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307DA"/>
    <w:multiLevelType w:val="hybridMultilevel"/>
    <w:tmpl w:val="CCD8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4E43E3"/>
    <w:multiLevelType w:val="hybridMultilevel"/>
    <w:tmpl w:val="2A72D160"/>
    <w:lvl w:ilvl="0" w:tplc="200CB6AA">
      <w:start w:val="1"/>
      <w:numFmt w:val="bullet"/>
      <w:lvlText w:val="o"/>
      <w:lvlJc w:val="left"/>
      <w:pPr>
        <w:ind w:left="720" w:hanging="360"/>
      </w:pPr>
      <w:rPr>
        <w:rFonts w:ascii="Courier New" w:hAnsi="Courier New" w:hint="default"/>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6E1E54"/>
    <w:multiLevelType w:val="hybridMultilevel"/>
    <w:tmpl w:val="EE6C5A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E97574D"/>
    <w:multiLevelType w:val="hybridMultilevel"/>
    <w:tmpl w:val="FA16A60E"/>
    <w:lvl w:ilvl="0" w:tplc="0C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041AEC"/>
    <w:multiLevelType w:val="multilevel"/>
    <w:tmpl w:val="28E4065A"/>
    <w:lvl w:ilvl="0">
      <w:start w:val="1"/>
      <w:numFmt w:val="decimal"/>
      <w:pStyle w:val="TableLabel"/>
      <w:lvlText w:val="Table %1"/>
      <w:lvlJc w:val="left"/>
      <w:pPr>
        <w:tabs>
          <w:tab w:val="num" w:pos="2410"/>
        </w:tabs>
        <w:ind w:left="2410" w:hanging="2268"/>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TableLabelcont"/>
      <w:lvlText w:val="%2Table %1 (cont'd)"/>
      <w:lvlJc w:val="left"/>
      <w:pPr>
        <w:tabs>
          <w:tab w:val="num" w:pos="2268"/>
        </w:tabs>
        <w:ind w:left="2268" w:hanging="22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73AA2"/>
    <w:multiLevelType w:val="hybridMultilevel"/>
    <w:tmpl w:val="3FECA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DF0AA4"/>
    <w:multiLevelType w:val="hybridMultilevel"/>
    <w:tmpl w:val="AAB6A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E314E"/>
    <w:multiLevelType w:val="multilevel"/>
    <w:tmpl w:val="9F448354"/>
    <w:lvl w:ilvl="0">
      <w:start w:val="1"/>
      <w:numFmt w:val="decimal"/>
      <w:pStyle w:val="FigureLabel"/>
      <w:lvlText w:val="Figure %1"/>
      <w:lvlJc w:val="left"/>
      <w:pPr>
        <w:tabs>
          <w:tab w:val="num" w:pos="2268"/>
        </w:tabs>
        <w:ind w:left="2268" w:hanging="2268"/>
      </w:pPr>
      <w:rPr>
        <w:rFonts w:hint="default"/>
        <w:sz w:val="24"/>
        <w:szCs w:val="24"/>
      </w:rPr>
    </w:lvl>
    <w:lvl w:ilvl="1">
      <w:start w:val="1"/>
      <w:numFmt w:val="none"/>
      <w:pStyle w:val="FigureLabelcont"/>
      <w:lvlText w:val="Figure %1 (cont'd)"/>
      <w:lvlJc w:val="left"/>
      <w:pPr>
        <w:tabs>
          <w:tab w:val="num" w:pos="2268"/>
        </w:tabs>
        <w:ind w:left="2268" w:hanging="2268"/>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0E5001B"/>
    <w:multiLevelType w:val="hybridMultilevel"/>
    <w:tmpl w:val="7C20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E17974"/>
    <w:multiLevelType w:val="hybridMultilevel"/>
    <w:tmpl w:val="43CA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09725B"/>
    <w:multiLevelType w:val="singleLevel"/>
    <w:tmpl w:val="CC126DBC"/>
    <w:lvl w:ilvl="0">
      <w:start w:val="1"/>
      <w:numFmt w:val="decimal"/>
      <w:pStyle w:val="bullet1"/>
      <w:lvlText w:val="%1."/>
      <w:lvlJc w:val="left"/>
      <w:pPr>
        <w:tabs>
          <w:tab w:val="num" w:pos="1134"/>
        </w:tabs>
        <w:ind w:left="1134" w:hanging="1134"/>
      </w:pPr>
    </w:lvl>
  </w:abstractNum>
  <w:abstractNum w:abstractNumId="22" w15:restartNumberingAfterBreak="0">
    <w:nsid w:val="56722363"/>
    <w:multiLevelType w:val="hybridMultilevel"/>
    <w:tmpl w:val="9E607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2803A8"/>
    <w:multiLevelType w:val="hybridMultilevel"/>
    <w:tmpl w:val="CCE62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5015C1"/>
    <w:multiLevelType w:val="hybridMultilevel"/>
    <w:tmpl w:val="83302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D7CD5"/>
    <w:multiLevelType w:val="hybridMultilevel"/>
    <w:tmpl w:val="A0D81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3039D8"/>
    <w:multiLevelType w:val="hybridMultilevel"/>
    <w:tmpl w:val="CB482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E82002"/>
    <w:multiLevelType w:val="hybridMultilevel"/>
    <w:tmpl w:val="4C5CE3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E4C747C"/>
    <w:multiLevelType w:val="hybridMultilevel"/>
    <w:tmpl w:val="126E4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6"/>
  </w:num>
  <w:num w:numId="4">
    <w:abstractNumId w:val="12"/>
  </w:num>
  <w:num w:numId="5">
    <w:abstractNumId w:val="13"/>
  </w:num>
  <w:num w:numId="6">
    <w:abstractNumId w:val="11"/>
  </w:num>
  <w:num w:numId="7">
    <w:abstractNumId w:val="26"/>
  </w:num>
  <w:num w:numId="8">
    <w:abstractNumId w:val="18"/>
  </w:num>
  <w:num w:numId="9">
    <w:abstractNumId w:val="14"/>
  </w:num>
  <w:num w:numId="10">
    <w:abstractNumId w:val="18"/>
  </w:num>
  <w:num w:numId="11">
    <w:abstractNumId w:val="18"/>
  </w:num>
  <w:num w:numId="12">
    <w:abstractNumId w:val="18"/>
  </w:num>
  <w:num w:numId="13">
    <w:abstractNumId w:val="10"/>
  </w:num>
  <w:num w:numId="14">
    <w:abstractNumId w:val="28"/>
  </w:num>
  <w:num w:numId="15">
    <w:abstractNumId w:val="2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27"/>
  </w:num>
  <w:num w:numId="29">
    <w:abstractNumId w:val="19"/>
  </w:num>
  <w:num w:numId="30">
    <w:abstractNumId w:val="20"/>
  </w:num>
  <w:num w:numId="31">
    <w:abstractNumId w:val="22"/>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54"/>
    <w:rsid w:val="000005D4"/>
    <w:rsid w:val="000007C0"/>
    <w:rsid w:val="000041B9"/>
    <w:rsid w:val="00004BBE"/>
    <w:rsid w:val="00005C30"/>
    <w:rsid w:val="00005FD5"/>
    <w:rsid w:val="000130F7"/>
    <w:rsid w:val="00014579"/>
    <w:rsid w:val="000211D8"/>
    <w:rsid w:val="00022DE5"/>
    <w:rsid w:val="00025FCB"/>
    <w:rsid w:val="000278B2"/>
    <w:rsid w:val="00027AA9"/>
    <w:rsid w:val="00027DF0"/>
    <w:rsid w:val="0003121B"/>
    <w:rsid w:val="00031854"/>
    <w:rsid w:val="0003205B"/>
    <w:rsid w:val="0003332A"/>
    <w:rsid w:val="00035C76"/>
    <w:rsid w:val="00035FE8"/>
    <w:rsid w:val="00036BD3"/>
    <w:rsid w:val="00040AE0"/>
    <w:rsid w:val="00040F33"/>
    <w:rsid w:val="00042540"/>
    <w:rsid w:val="00042B08"/>
    <w:rsid w:val="00042BA6"/>
    <w:rsid w:val="000431E7"/>
    <w:rsid w:val="00047718"/>
    <w:rsid w:val="00050CB2"/>
    <w:rsid w:val="00050E10"/>
    <w:rsid w:val="00052036"/>
    <w:rsid w:val="000539A6"/>
    <w:rsid w:val="000550B5"/>
    <w:rsid w:val="00057F06"/>
    <w:rsid w:val="000611B6"/>
    <w:rsid w:val="0006227F"/>
    <w:rsid w:val="0006293E"/>
    <w:rsid w:val="00063C89"/>
    <w:rsid w:val="00065629"/>
    <w:rsid w:val="0006756F"/>
    <w:rsid w:val="00071E32"/>
    <w:rsid w:val="00072052"/>
    <w:rsid w:val="00072596"/>
    <w:rsid w:val="0007321E"/>
    <w:rsid w:val="00075528"/>
    <w:rsid w:val="00076A24"/>
    <w:rsid w:val="000802F1"/>
    <w:rsid w:val="0008236D"/>
    <w:rsid w:val="000846CA"/>
    <w:rsid w:val="00084BCE"/>
    <w:rsid w:val="00085D70"/>
    <w:rsid w:val="00092CC4"/>
    <w:rsid w:val="000933C4"/>
    <w:rsid w:val="0009466F"/>
    <w:rsid w:val="00097191"/>
    <w:rsid w:val="000A038A"/>
    <w:rsid w:val="000A056F"/>
    <w:rsid w:val="000A1804"/>
    <w:rsid w:val="000A1EBE"/>
    <w:rsid w:val="000A341D"/>
    <w:rsid w:val="000A3CF6"/>
    <w:rsid w:val="000A61CD"/>
    <w:rsid w:val="000A707C"/>
    <w:rsid w:val="000B42F4"/>
    <w:rsid w:val="000B4EFC"/>
    <w:rsid w:val="000B50EA"/>
    <w:rsid w:val="000B6A21"/>
    <w:rsid w:val="000C401A"/>
    <w:rsid w:val="000C4DC4"/>
    <w:rsid w:val="000C7576"/>
    <w:rsid w:val="000C75F9"/>
    <w:rsid w:val="000D09B9"/>
    <w:rsid w:val="000D1AD9"/>
    <w:rsid w:val="000D3585"/>
    <w:rsid w:val="000D38F8"/>
    <w:rsid w:val="000D4451"/>
    <w:rsid w:val="000D4FCB"/>
    <w:rsid w:val="000D63B5"/>
    <w:rsid w:val="000D6DCA"/>
    <w:rsid w:val="000D6E0F"/>
    <w:rsid w:val="000D7977"/>
    <w:rsid w:val="000D7D9E"/>
    <w:rsid w:val="000E0953"/>
    <w:rsid w:val="000E1693"/>
    <w:rsid w:val="000E3B7C"/>
    <w:rsid w:val="000E49AB"/>
    <w:rsid w:val="000E6EB5"/>
    <w:rsid w:val="000E7E61"/>
    <w:rsid w:val="000F270C"/>
    <w:rsid w:val="000F2DA6"/>
    <w:rsid w:val="000F322D"/>
    <w:rsid w:val="000F3385"/>
    <w:rsid w:val="000F3BA1"/>
    <w:rsid w:val="000F45F9"/>
    <w:rsid w:val="000F4CE5"/>
    <w:rsid w:val="00100483"/>
    <w:rsid w:val="00101B6C"/>
    <w:rsid w:val="00101E75"/>
    <w:rsid w:val="00106AEB"/>
    <w:rsid w:val="001131BA"/>
    <w:rsid w:val="00113B1C"/>
    <w:rsid w:val="00114E2D"/>
    <w:rsid w:val="00116C37"/>
    <w:rsid w:val="00116D9F"/>
    <w:rsid w:val="00117D3F"/>
    <w:rsid w:val="0012105E"/>
    <w:rsid w:val="00122245"/>
    <w:rsid w:val="00123167"/>
    <w:rsid w:val="001231AE"/>
    <w:rsid w:val="001233D9"/>
    <w:rsid w:val="00124B5F"/>
    <w:rsid w:val="00130871"/>
    <w:rsid w:val="00130E4B"/>
    <w:rsid w:val="00131047"/>
    <w:rsid w:val="00131CDD"/>
    <w:rsid w:val="00132933"/>
    <w:rsid w:val="00134151"/>
    <w:rsid w:val="001343F2"/>
    <w:rsid w:val="0014036A"/>
    <w:rsid w:val="0014100D"/>
    <w:rsid w:val="00141830"/>
    <w:rsid w:val="00141F74"/>
    <w:rsid w:val="0014251D"/>
    <w:rsid w:val="001445F4"/>
    <w:rsid w:val="001448C9"/>
    <w:rsid w:val="00145E66"/>
    <w:rsid w:val="00146030"/>
    <w:rsid w:val="00146B79"/>
    <w:rsid w:val="001470B1"/>
    <w:rsid w:val="00147C67"/>
    <w:rsid w:val="00150BBA"/>
    <w:rsid w:val="00152260"/>
    <w:rsid w:val="00152A19"/>
    <w:rsid w:val="00153785"/>
    <w:rsid w:val="00153CD6"/>
    <w:rsid w:val="001600DE"/>
    <w:rsid w:val="001626C1"/>
    <w:rsid w:val="00162D5D"/>
    <w:rsid w:val="00163C82"/>
    <w:rsid w:val="0016572E"/>
    <w:rsid w:val="00170614"/>
    <w:rsid w:val="00170EFE"/>
    <w:rsid w:val="00171945"/>
    <w:rsid w:val="00171DAA"/>
    <w:rsid w:val="0017365A"/>
    <w:rsid w:val="0017580A"/>
    <w:rsid w:val="00177B16"/>
    <w:rsid w:val="001801DD"/>
    <w:rsid w:val="001815C1"/>
    <w:rsid w:val="0018275E"/>
    <w:rsid w:val="00182861"/>
    <w:rsid w:val="0018627A"/>
    <w:rsid w:val="00187960"/>
    <w:rsid w:val="0019009E"/>
    <w:rsid w:val="001902FA"/>
    <w:rsid w:val="00191B83"/>
    <w:rsid w:val="001949BA"/>
    <w:rsid w:val="00194DC6"/>
    <w:rsid w:val="0019560F"/>
    <w:rsid w:val="0019580B"/>
    <w:rsid w:val="001962D2"/>
    <w:rsid w:val="001A4E62"/>
    <w:rsid w:val="001A66A7"/>
    <w:rsid w:val="001A7050"/>
    <w:rsid w:val="001B07E1"/>
    <w:rsid w:val="001B205F"/>
    <w:rsid w:val="001B3642"/>
    <w:rsid w:val="001B3F62"/>
    <w:rsid w:val="001B3FC0"/>
    <w:rsid w:val="001B59F1"/>
    <w:rsid w:val="001B6E0D"/>
    <w:rsid w:val="001B7BA5"/>
    <w:rsid w:val="001C0404"/>
    <w:rsid w:val="001C2F19"/>
    <w:rsid w:val="001C42D1"/>
    <w:rsid w:val="001C541E"/>
    <w:rsid w:val="001C7B43"/>
    <w:rsid w:val="001D0017"/>
    <w:rsid w:val="001D0786"/>
    <w:rsid w:val="001D1C54"/>
    <w:rsid w:val="001D29FA"/>
    <w:rsid w:val="001D2E40"/>
    <w:rsid w:val="001D38DC"/>
    <w:rsid w:val="001D5A70"/>
    <w:rsid w:val="001D647F"/>
    <w:rsid w:val="001D648E"/>
    <w:rsid w:val="001D71A4"/>
    <w:rsid w:val="001E0900"/>
    <w:rsid w:val="001E3FA4"/>
    <w:rsid w:val="001E49F9"/>
    <w:rsid w:val="001E5F36"/>
    <w:rsid w:val="001E671A"/>
    <w:rsid w:val="001E7CD1"/>
    <w:rsid w:val="001F0344"/>
    <w:rsid w:val="001F227E"/>
    <w:rsid w:val="001F368B"/>
    <w:rsid w:val="001F4A46"/>
    <w:rsid w:val="001F5A06"/>
    <w:rsid w:val="001F6036"/>
    <w:rsid w:val="001F6CB5"/>
    <w:rsid w:val="00200208"/>
    <w:rsid w:val="0020090E"/>
    <w:rsid w:val="002035FE"/>
    <w:rsid w:val="002039BD"/>
    <w:rsid w:val="0020404D"/>
    <w:rsid w:val="00205321"/>
    <w:rsid w:val="00205919"/>
    <w:rsid w:val="00211FC2"/>
    <w:rsid w:val="002128F3"/>
    <w:rsid w:val="00213207"/>
    <w:rsid w:val="00213BEE"/>
    <w:rsid w:val="00216867"/>
    <w:rsid w:val="00216C05"/>
    <w:rsid w:val="002213AE"/>
    <w:rsid w:val="00223FA3"/>
    <w:rsid w:val="002246D3"/>
    <w:rsid w:val="00224F3A"/>
    <w:rsid w:val="00225556"/>
    <w:rsid w:val="002259A4"/>
    <w:rsid w:val="002260F2"/>
    <w:rsid w:val="0022627D"/>
    <w:rsid w:val="002309E5"/>
    <w:rsid w:val="00230D38"/>
    <w:rsid w:val="00231546"/>
    <w:rsid w:val="00231922"/>
    <w:rsid w:val="002321C6"/>
    <w:rsid w:val="00232A64"/>
    <w:rsid w:val="00232CE2"/>
    <w:rsid w:val="002331E8"/>
    <w:rsid w:val="002332B6"/>
    <w:rsid w:val="00234108"/>
    <w:rsid w:val="002346D8"/>
    <w:rsid w:val="00234E24"/>
    <w:rsid w:val="00235750"/>
    <w:rsid w:val="00235CA7"/>
    <w:rsid w:val="00236E1C"/>
    <w:rsid w:val="0023750B"/>
    <w:rsid w:val="00241DEA"/>
    <w:rsid w:val="00241E78"/>
    <w:rsid w:val="00245108"/>
    <w:rsid w:val="00247BED"/>
    <w:rsid w:val="002527CD"/>
    <w:rsid w:val="00252901"/>
    <w:rsid w:val="00253F2A"/>
    <w:rsid w:val="002544F0"/>
    <w:rsid w:val="002549D9"/>
    <w:rsid w:val="002552A1"/>
    <w:rsid w:val="00256302"/>
    <w:rsid w:val="002565B9"/>
    <w:rsid w:val="00256C1C"/>
    <w:rsid w:val="00261848"/>
    <w:rsid w:val="00261A62"/>
    <w:rsid w:val="00263BD0"/>
    <w:rsid w:val="00265481"/>
    <w:rsid w:val="00266B38"/>
    <w:rsid w:val="00270D04"/>
    <w:rsid w:val="002712D4"/>
    <w:rsid w:val="00275287"/>
    <w:rsid w:val="00275E23"/>
    <w:rsid w:val="00281438"/>
    <w:rsid w:val="00285A3E"/>
    <w:rsid w:val="00285E0A"/>
    <w:rsid w:val="002874FD"/>
    <w:rsid w:val="00287ABB"/>
    <w:rsid w:val="00287D5D"/>
    <w:rsid w:val="00287ECB"/>
    <w:rsid w:val="00287F58"/>
    <w:rsid w:val="0029020D"/>
    <w:rsid w:val="0029219F"/>
    <w:rsid w:val="00292497"/>
    <w:rsid w:val="00292B9A"/>
    <w:rsid w:val="00292D90"/>
    <w:rsid w:val="00297157"/>
    <w:rsid w:val="002A0608"/>
    <w:rsid w:val="002A2EC4"/>
    <w:rsid w:val="002A4894"/>
    <w:rsid w:val="002A55F0"/>
    <w:rsid w:val="002A7B8C"/>
    <w:rsid w:val="002B0B35"/>
    <w:rsid w:val="002B24B4"/>
    <w:rsid w:val="002B2869"/>
    <w:rsid w:val="002B388D"/>
    <w:rsid w:val="002B3C24"/>
    <w:rsid w:val="002B5396"/>
    <w:rsid w:val="002B5AC0"/>
    <w:rsid w:val="002B5C11"/>
    <w:rsid w:val="002B5DDA"/>
    <w:rsid w:val="002B5E4F"/>
    <w:rsid w:val="002C4443"/>
    <w:rsid w:val="002C4BBC"/>
    <w:rsid w:val="002C5EDB"/>
    <w:rsid w:val="002C7A4D"/>
    <w:rsid w:val="002D1035"/>
    <w:rsid w:val="002D17F5"/>
    <w:rsid w:val="002D3509"/>
    <w:rsid w:val="002D667D"/>
    <w:rsid w:val="002D6A70"/>
    <w:rsid w:val="002E0860"/>
    <w:rsid w:val="002E289C"/>
    <w:rsid w:val="002E3015"/>
    <w:rsid w:val="002E39AC"/>
    <w:rsid w:val="002E461D"/>
    <w:rsid w:val="002E69FC"/>
    <w:rsid w:val="002F021D"/>
    <w:rsid w:val="002F127D"/>
    <w:rsid w:val="002F33AA"/>
    <w:rsid w:val="002F35F1"/>
    <w:rsid w:val="002F3BDA"/>
    <w:rsid w:val="002F45F5"/>
    <w:rsid w:val="002F5922"/>
    <w:rsid w:val="002F5B94"/>
    <w:rsid w:val="002F7684"/>
    <w:rsid w:val="00300289"/>
    <w:rsid w:val="003011F3"/>
    <w:rsid w:val="00301B0F"/>
    <w:rsid w:val="00301F6D"/>
    <w:rsid w:val="00301FCF"/>
    <w:rsid w:val="00302179"/>
    <w:rsid w:val="003045AE"/>
    <w:rsid w:val="0030477C"/>
    <w:rsid w:val="00304A34"/>
    <w:rsid w:val="00305373"/>
    <w:rsid w:val="003054F8"/>
    <w:rsid w:val="00305C96"/>
    <w:rsid w:val="0030676A"/>
    <w:rsid w:val="003115D2"/>
    <w:rsid w:val="003124EB"/>
    <w:rsid w:val="00313F7F"/>
    <w:rsid w:val="00313FB7"/>
    <w:rsid w:val="00314627"/>
    <w:rsid w:val="00317969"/>
    <w:rsid w:val="0032121C"/>
    <w:rsid w:val="00321FBF"/>
    <w:rsid w:val="00322600"/>
    <w:rsid w:val="00323522"/>
    <w:rsid w:val="00324403"/>
    <w:rsid w:val="0032527A"/>
    <w:rsid w:val="00331357"/>
    <w:rsid w:val="00332588"/>
    <w:rsid w:val="0033290D"/>
    <w:rsid w:val="003329F1"/>
    <w:rsid w:val="00335047"/>
    <w:rsid w:val="00336C5A"/>
    <w:rsid w:val="00336D79"/>
    <w:rsid w:val="00336DF7"/>
    <w:rsid w:val="003403CA"/>
    <w:rsid w:val="003417B7"/>
    <w:rsid w:val="003417CB"/>
    <w:rsid w:val="00342A29"/>
    <w:rsid w:val="00342ACA"/>
    <w:rsid w:val="00346706"/>
    <w:rsid w:val="00346A77"/>
    <w:rsid w:val="00347BEF"/>
    <w:rsid w:val="00353952"/>
    <w:rsid w:val="00354633"/>
    <w:rsid w:val="00356BE0"/>
    <w:rsid w:val="003575CC"/>
    <w:rsid w:val="00360554"/>
    <w:rsid w:val="00360F56"/>
    <w:rsid w:val="00360FCD"/>
    <w:rsid w:val="00362DF0"/>
    <w:rsid w:val="003706D1"/>
    <w:rsid w:val="00370C3F"/>
    <w:rsid w:val="00371E00"/>
    <w:rsid w:val="0037266E"/>
    <w:rsid w:val="00372DC1"/>
    <w:rsid w:val="00374232"/>
    <w:rsid w:val="003746C8"/>
    <w:rsid w:val="00375C51"/>
    <w:rsid w:val="003764FA"/>
    <w:rsid w:val="003773BA"/>
    <w:rsid w:val="003809A8"/>
    <w:rsid w:val="003810A0"/>
    <w:rsid w:val="00381F1A"/>
    <w:rsid w:val="00385129"/>
    <w:rsid w:val="00390A6C"/>
    <w:rsid w:val="0039176B"/>
    <w:rsid w:val="00392B62"/>
    <w:rsid w:val="00392C09"/>
    <w:rsid w:val="003931F1"/>
    <w:rsid w:val="003937B8"/>
    <w:rsid w:val="003944EB"/>
    <w:rsid w:val="00394DE5"/>
    <w:rsid w:val="00396DC5"/>
    <w:rsid w:val="00397C5A"/>
    <w:rsid w:val="003A0D89"/>
    <w:rsid w:val="003A1470"/>
    <w:rsid w:val="003A1536"/>
    <w:rsid w:val="003A1D1D"/>
    <w:rsid w:val="003A25F5"/>
    <w:rsid w:val="003A3046"/>
    <w:rsid w:val="003A36A1"/>
    <w:rsid w:val="003A37F2"/>
    <w:rsid w:val="003A3A6A"/>
    <w:rsid w:val="003A5380"/>
    <w:rsid w:val="003A623A"/>
    <w:rsid w:val="003A78E7"/>
    <w:rsid w:val="003B215F"/>
    <w:rsid w:val="003B2190"/>
    <w:rsid w:val="003B58EC"/>
    <w:rsid w:val="003B5D3B"/>
    <w:rsid w:val="003C109C"/>
    <w:rsid w:val="003C4C51"/>
    <w:rsid w:val="003C4D6B"/>
    <w:rsid w:val="003C51C2"/>
    <w:rsid w:val="003C60D2"/>
    <w:rsid w:val="003C612D"/>
    <w:rsid w:val="003C7697"/>
    <w:rsid w:val="003D041C"/>
    <w:rsid w:val="003D0546"/>
    <w:rsid w:val="003D0E08"/>
    <w:rsid w:val="003D4CB3"/>
    <w:rsid w:val="003D68C6"/>
    <w:rsid w:val="003E2AA8"/>
    <w:rsid w:val="003E60B6"/>
    <w:rsid w:val="003F0772"/>
    <w:rsid w:val="003F2C75"/>
    <w:rsid w:val="003F3C29"/>
    <w:rsid w:val="003F3CAD"/>
    <w:rsid w:val="003F5F5F"/>
    <w:rsid w:val="003F6DF8"/>
    <w:rsid w:val="003F7916"/>
    <w:rsid w:val="00401969"/>
    <w:rsid w:val="00403570"/>
    <w:rsid w:val="00404584"/>
    <w:rsid w:val="00405FEC"/>
    <w:rsid w:val="00407303"/>
    <w:rsid w:val="00407C12"/>
    <w:rsid w:val="00411172"/>
    <w:rsid w:val="00412E34"/>
    <w:rsid w:val="00413A88"/>
    <w:rsid w:val="00414A79"/>
    <w:rsid w:val="00414D44"/>
    <w:rsid w:val="00414DA2"/>
    <w:rsid w:val="00417E42"/>
    <w:rsid w:val="004200C4"/>
    <w:rsid w:val="00421349"/>
    <w:rsid w:val="0042370A"/>
    <w:rsid w:val="0042431B"/>
    <w:rsid w:val="004244D1"/>
    <w:rsid w:val="00425E48"/>
    <w:rsid w:val="00425EC5"/>
    <w:rsid w:val="00426A4F"/>
    <w:rsid w:val="00426CFA"/>
    <w:rsid w:val="00427020"/>
    <w:rsid w:val="004279BC"/>
    <w:rsid w:val="00432A28"/>
    <w:rsid w:val="00433754"/>
    <w:rsid w:val="00433FAC"/>
    <w:rsid w:val="00433FF3"/>
    <w:rsid w:val="00437560"/>
    <w:rsid w:val="00437C7A"/>
    <w:rsid w:val="00437D17"/>
    <w:rsid w:val="004408A0"/>
    <w:rsid w:val="00443081"/>
    <w:rsid w:val="004431AB"/>
    <w:rsid w:val="0044335D"/>
    <w:rsid w:val="00445604"/>
    <w:rsid w:val="00452724"/>
    <w:rsid w:val="004528DB"/>
    <w:rsid w:val="004530DE"/>
    <w:rsid w:val="004547B4"/>
    <w:rsid w:val="0045601D"/>
    <w:rsid w:val="00456CDF"/>
    <w:rsid w:val="00457CBE"/>
    <w:rsid w:val="004615CD"/>
    <w:rsid w:val="00461FD0"/>
    <w:rsid w:val="00462506"/>
    <w:rsid w:val="00462A22"/>
    <w:rsid w:val="00464A9A"/>
    <w:rsid w:val="00467FF3"/>
    <w:rsid w:val="00470FF0"/>
    <w:rsid w:val="004720CC"/>
    <w:rsid w:val="00472378"/>
    <w:rsid w:val="004744D6"/>
    <w:rsid w:val="00474708"/>
    <w:rsid w:val="00482793"/>
    <w:rsid w:val="0048474B"/>
    <w:rsid w:val="0048516A"/>
    <w:rsid w:val="004862A3"/>
    <w:rsid w:val="004865D7"/>
    <w:rsid w:val="00486C70"/>
    <w:rsid w:val="00491142"/>
    <w:rsid w:val="00494788"/>
    <w:rsid w:val="00497A77"/>
    <w:rsid w:val="004A23B6"/>
    <w:rsid w:val="004A70DC"/>
    <w:rsid w:val="004A71BB"/>
    <w:rsid w:val="004B0A11"/>
    <w:rsid w:val="004B3131"/>
    <w:rsid w:val="004B4420"/>
    <w:rsid w:val="004B52A2"/>
    <w:rsid w:val="004B5A44"/>
    <w:rsid w:val="004B5B6A"/>
    <w:rsid w:val="004B683B"/>
    <w:rsid w:val="004B6BE3"/>
    <w:rsid w:val="004B6F4C"/>
    <w:rsid w:val="004C08BF"/>
    <w:rsid w:val="004C217C"/>
    <w:rsid w:val="004C2AE1"/>
    <w:rsid w:val="004C2D8D"/>
    <w:rsid w:val="004C392C"/>
    <w:rsid w:val="004C48D2"/>
    <w:rsid w:val="004C4D8D"/>
    <w:rsid w:val="004C53E1"/>
    <w:rsid w:val="004C779F"/>
    <w:rsid w:val="004D0CF0"/>
    <w:rsid w:val="004D1CBE"/>
    <w:rsid w:val="004D3AB6"/>
    <w:rsid w:val="004D5104"/>
    <w:rsid w:val="004D52E3"/>
    <w:rsid w:val="004D748E"/>
    <w:rsid w:val="004D760A"/>
    <w:rsid w:val="004D7C50"/>
    <w:rsid w:val="004E0169"/>
    <w:rsid w:val="004E04A1"/>
    <w:rsid w:val="004E0F71"/>
    <w:rsid w:val="004E11D0"/>
    <w:rsid w:val="004E39B8"/>
    <w:rsid w:val="004E4694"/>
    <w:rsid w:val="004E6BC7"/>
    <w:rsid w:val="004F09C3"/>
    <w:rsid w:val="004F0B5D"/>
    <w:rsid w:val="004F11C3"/>
    <w:rsid w:val="004F180D"/>
    <w:rsid w:val="004F1924"/>
    <w:rsid w:val="004F1936"/>
    <w:rsid w:val="004F1C92"/>
    <w:rsid w:val="004F2959"/>
    <w:rsid w:val="004F2A43"/>
    <w:rsid w:val="004F3E58"/>
    <w:rsid w:val="004F734A"/>
    <w:rsid w:val="004F77A4"/>
    <w:rsid w:val="00503E25"/>
    <w:rsid w:val="00504E2D"/>
    <w:rsid w:val="00505DFA"/>
    <w:rsid w:val="00506D95"/>
    <w:rsid w:val="00507EB8"/>
    <w:rsid w:val="00511753"/>
    <w:rsid w:val="00512C28"/>
    <w:rsid w:val="005137B5"/>
    <w:rsid w:val="00514A99"/>
    <w:rsid w:val="00515E9D"/>
    <w:rsid w:val="0051636E"/>
    <w:rsid w:val="005166DD"/>
    <w:rsid w:val="0051793A"/>
    <w:rsid w:val="00520522"/>
    <w:rsid w:val="00520E96"/>
    <w:rsid w:val="0052557A"/>
    <w:rsid w:val="00525816"/>
    <w:rsid w:val="00525CDC"/>
    <w:rsid w:val="00525F40"/>
    <w:rsid w:val="00530222"/>
    <w:rsid w:val="00530CB7"/>
    <w:rsid w:val="00531AAF"/>
    <w:rsid w:val="0053269D"/>
    <w:rsid w:val="00534183"/>
    <w:rsid w:val="0053504D"/>
    <w:rsid w:val="005367D2"/>
    <w:rsid w:val="0053699A"/>
    <w:rsid w:val="00537E99"/>
    <w:rsid w:val="005400DF"/>
    <w:rsid w:val="00540888"/>
    <w:rsid w:val="00540C1C"/>
    <w:rsid w:val="0054185F"/>
    <w:rsid w:val="0054291D"/>
    <w:rsid w:val="00543DA4"/>
    <w:rsid w:val="00544E55"/>
    <w:rsid w:val="005451D7"/>
    <w:rsid w:val="00545A10"/>
    <w:rsid w:val="00547B98"/>
    <w:rsid w:val="005524C3"/>
    <w:rsid w:val="00554A24"/>
    <w:rsid w:val="005557E5"/>
    <w:rsid w:val="00556E04"/>
    <w:rsid w:val="00560E38"/>
    <w:rsid w:val="005634EA"/>
    <w:rsid w:val="00564C2E"/>
    <w:rsid w:val="005667C3"/>
    <w:rsid w:val="00567AEF"/>
    <w:rsid w:val="005702D5"/>
    <w:rsid w:val="005722B1"/>
    <w:rsid w:val="0057242A"/>
    <w:rsid w:val="00572521"/>
    <w:rsid w:val="0057313F"/>
    <w:rsid w:val="00573500"/>
    <w:rsid w:val="005742F6"/>
    <w:rsid w:val="005766F9"/>
    <w:rsid w:val="00580769"/>
    <w:rsid w:val="005811AF"/>
    <w:rsid w:val="005812DE"/>
    <w:rsid w:val="0058134D"/>
    <w:rsid w:val="005848B6"/>
    <w:rsid w:val="00586264"/>
    <w:rsid w:val="00590A70"/>
    <w:rsid w:val="00591419"/>
    <w:rsid w:val="00591813"/>
    <w:rsid w:val="0059634F"/>
    <w:rsid w:val="00597FBC"/>
    <w:rsid w:val="005A086D"/>
    <w:rsid w:val="005A3187"/>
    <w:rsid w:val="005B0700"/>
    <w:rsid w:val="005B17C1"/>
    <w:rsid w:val="005B1B91"/>
    <w:rsid w:val="005B1D5D"/>
    <w:rsid w:val="005B2A3F"/>
    <w:rsid w:val="005B44C9"/>
    <w:rsid w:val="005C134B"/>
    <w:rsid w:val="005C1627"/>
    <w:rsid w:val="005C2F73"/>
    <w:rsid w:val="005C37BE"/>
    <w:rsid w:val="005C4873"/>
    <w:rsid w:val="005C5518"/>
    <w:rsid w:val="005C6523"/>
    <w:rsid w:val="005D05B9"/>
    <w:rsid w:val="005D07BB"/>
    <w:rsid w:val="005D2799"/>
    <w:rsid w:val="005D2E78"/>
    <w:rsid w:val="005D33C9"/>
    <w:rsid w:val="005D6F47"/>
    <w:rsid w:val="005D758C"/>
    <w:rsid w:val="005D774F"/>
    <w:rsid w:val="005E03FB"/>
    <w:rsid w:val="005E09DF"/>
    <w:rsid w:val="005E0C92"/>
    <w:rsid w:val="005E1F63"/>
    <w:rsid w:val="005E3388"/>
    <w:rsid w:val="005E3E22"/>
    <w:rsid w:val="005E52EF"/>
    <w:rsid w:val="005E67DE"/>
    <w:rsid w:val="005F1582"/>
    <w:rsid w:val="005F2B8D"/>
    <w:rsid w:val="005F2F9E"/>
    <w:rsid w:val="005F3246"/>
    <w:rsid w:val="005F3BE9"/>
    <w:rsid w:val="005F6BCC"/>
    <w:rsid w:val="00600D82"/>
    <w:rsid w:val="00601C68"/>
    <w:rsid w:val="006027E9"/>
    <w:rsid w:val="00604C97"/>
    <w:rsid w:val="00607F91"/>
    <w:rsid w:val="00610EA9"/>
    <w:rsid w:val="0061101C"/>
    <w:rsid w:val="006128F4"/>
    <w:rsid w:val="006141CE"/>
    <w:rsid w:val="006149A5"/>
    <w:rsid w:val="00615531"/>
    <w:rsid w:val="006158D4"/>
    <w:rsid w:val="006172B4"/>
    <w:rsid w:val="00617B9B"/>
    <w:rsid w:val="006202BE"/>
    <w:rsid w:val="006226EE"/>
    <w:rsid w:val="00622F9F"/>
    <w:rsid w:val="006244F7"/>
    <w:rsid w:val="00625648"/>
    <w:rsid w:val="00635D87"/>
    <w:rsid w:val="00637F0F"/>
    <w:rsid w:val="00641457"/>
    <w:rsid w:val="00641561"/>
    <w:rsid w:val="00643DC9"/>
    <w:rsid w:val="00643EFE"/>
    <w:rsid w:val="00644543"/>
    <w:rsid w:val="00645B1C"/>
    <w:rsid w:val="00647667"/>
    <w:rsid w:val="00651D64"/>
    <w:rsid w:val="00651E3C"/>
    <w:rsid w:val="00653652"/>
    <w:rsid w:val="00654140"/>
    <w:rsid w:val="00654847"/>
    <w:rsid w:val="00660479"/>
    <w:rsid w:val="00661973"/>
    <w:rsid w:val="0066299E"/>
    <w:rsid w:val="00663BDF"/>
    <w:rsid w:val="00663EE9"/>
    <w:rsid w:val="006659F4"/>
    <w:rsid w:val="006670E0"/>
    <w:rsid w:val="006675AE"/>
    <w:rsid w:val="00673866"/>
    <w:rsid w:val="00674513"/>
    <w:rsid w:val="0067611F"/>
    <w:rsid w:val="00676ED5"/>
    <w:rsid w:val="006771AC"/>
    <w:rsid w:val="006801DA"/>
    <w:rsid w:val="00682720"/>
    <w:rsid w:val="00683F86"/>
    <w:rsid w:val="00683FBF"/>
    <w:rsid w:val="006848A6"/>
    <w:rsid w:val="00685FB5"/>
    <w:rsid w:val="00686A80"/>
    <w:rsid w:val="006907DA"/>
    <w:rsid w:val="00690D24"/>
    <w:rsid w:val="00691492"/>
    <w:rsid w:val="00691918"/>
    <w:rsid w:val="00692426"/>
    <w:rsid w:val="00692F92"/>
    <w:rsid w:val="00694409"/>
    <w:rsid w:val="00694FA8"/>
    <w:rsid w:val="00695F31"/>
    <w:rsid w:val="00696344"/>
    <w:rsid w:val="006975BF"/>
    <w:rsid w:val="006A1E43"/>
    <w:rsid w:val="006A38D8"/>
    <w:rsid w:val="006A4555"/>
    <w:rsid w:val="006A68AE"/>
    <w:rsid w:val="006A7D87"/>
    <w:rsid w:val="006B2B3D"/>
    <w:rsid w:val="006B2D9F"/>
    <w:rsid w:val="006B4441"/>
    <w:rsid w:val="006B444E"/>
    <w:rsid w:val="006B5FA7"/>
    <w:rsid w:val="006C0326"/>
    <w:rsid w:val="006C0C7F"/>
    <w:rsid w:val="006C1A3A"/>
    <w:rsid w:val="006C25EC"/>
    <w:rsid w:val="006C2788"/>
    <w:rsid w:val="006C379E"/>
    <w:rsid w:val="006C3E48"/>
    <w:rsid w:val="006C7EC9"/>
    <w:rsid w:val="006D009F"/>
    <w:rsid w:val="006D0A62"/>
    <w:rsid w:val="006D17A1"/>
    <w:rsid w:val="006D2D8C"/>
    <w:rsid w:val="006D3A9D"/>
    <w:rsid w:val="006D4DE2"/>
    <w:rsid w:val="006D6016"/>
    <w:rsid w:val="006D61E9"/>
    <w:rsid w:val="006D62BB"/>
    <w:rsid w:val="006D6B37"/>
    <w:rsid w:val="006E09EC"/>
    <w:rsid w:val="006E1339"/>
    <w:rsid w:val="006E4704"/>
    <w:rsid w:val="006E67A0"/>
    <w:rsid w:val="006E6D0A"/>
    <w:rsid w:val="006E77A3"/>
    <w:rsid w:val="006F0189"/>
    <w:rsid w:val="006F0195"/>
    <w:rsid w:val="006F0C9D"/>
    <w:rsid w:val="006F1270"/>
    <w:rsid w:val="006F2E9A"/>
    <w:rsid w:val="006F3132"/>
    <w:rsid w:val="006F4186"/>
    <w:rsid w:val="006F4319"/>
    <w:rsid w:val="006F4BE4"/>
    <w:rsid w:val="006F5406"/>
    <w:rsid w:val="006F5821"/>
    <w:rsid w:val="006F5BC4"/>
    <w:rsid w:val="006F5DDE"/>
    <w:rsid w:val="006F6CA9"/>
    <w:rsid w:val="0070060F"/>
    <w:rsid w:val="00703A33"/>
    <w:rsid w:val="00705C30"/>
    <w:rsid w:val="0071007A"/>
    <w:rsid w:val="007148C2"/>
    <w:rsid w:val="0071766C"/>
    <w:rsid w:val="00720E11"/>
    <w:rsid w:val="00721DFC"/>
    <w:rsid w:val="00722896"/>
    <w:rsid w:val="0072391C"/>
    <w:rsid w:val="00723F4D"/>
    <w:rsid w:val="00724CF0"/>
    <w:rsid w:val="0072666C"/>
    <w:rsid w:val="0073040E"/>
    <w:rsid w:val="00730C09"/>
    <w:rsid w:val="0073369F"/>
    <w:rsid w:val="00733A2C"/>
    <w:rsid w:val="007353AE"/>
    <w:rsid w:val="007359A5"/>
    <w:rsid w:val="00736326"/>
    <w:rsid w:val="0074122A"/>
    <w:rsid w:val="0074190C"/>
    <w:rsid w:val="00741CFE"/>
    <w:rsid w:val="00742767"/>
    <w:rsid w:val="00742E08"/>
    <w:rsid w:val="007473ED"/>
    <w:rsid w:val="00750810"/>
    <w:rsid w:val="00752951"/>
    <w:rsid w:val="00755549"/>
    <w:rsid w:val="00757945"/>
    <w:rsid w:val="007609BA"/>
    <w:rsid w:val="00760EF5"/>
    <w:rsid w:val="007615D1"/>
    <w:rsid w:val="00762DB6"/>
    <w:rsid w:val="00762F6B"/>
    <w:rsid w:val="0076317D"/>
    <w:rsid w:val="00764374"/>
    <w:rsid w:val="00764B7F"/>
    <w:rsid w:val="00767546"/>
    <w:rsid w:val="00770B1A"/>
    <w:rsid w:val="00772820"/>
    <w:rsid w:val="00776941"/>
    <w:rsid w:val="007820CF"/>
    <w:rsid w:val="00782CE2"/>
    <w:rsid w:val="007860F4"/>
    <w:rsid w:val="00786B36"/>
    <w:rsid w:val="00787FF9"/>
    <w:rsid w:val="00791FA0"/>
    <w:rsid w:val="00793359"/>
    <w:rsid w:val="00795954"/>
    <w:rsid w:val="007961BD"/>
    <w:rsid w:val="00797910"/>
    <w:rsid w:val="007A2C9A"/>
    <w:rsid w:val="007A31DF"/>
    <w:rsid w:val="007A3BB5"/>
    <w:rsid w:val="007A6321"/>
    <w:rsid w:val="007A7C3F"/>
    <w:rsid w:val="007B16E1"/>
    <w:rsid w:val="007B4287"/>
    <w:rsid w:val="007B497D"/>
    <w:rsid w:val="007B4BC3"/>
    <w:rsid w:val="007B5A1B"/>
    <w:rsid w:val="007B6D51"/>
    <w:rsid w:val="007C1484"/>
    <w:rsid w:val="007C30A5"/>
    <w:rsid w:val="007C4EE7"/>
    <w:rsid w:val="007D0666"/>
    <w:rsid w:val="007D0AA9"/>
    <w:rsid w:val="007D2ECA"/>
    <w:rsid w:val="007D4422"/>
    <w:rsid w:val="007D688C"/>
    <w:rsid w:val="007D74D7"/>
    <w:rsid w:val="007D751E"/>
    <w:rsid w:val="007D7781"/>
    <w:rsid w:val="007E12C8"/>
    <w:rsid w:val="007E1EC9"/>
    <w:rsid w:val="007E556F"/>
    <w:rsid w:val="007E65AE"/>
    <w:rsid w:val="007E6696"/>
    <w:rsid w:val="007F0B83"/>
    <w:rsid w:val="007F29F2"/>
    <w:rsid w:val="007F5EC8"/>
    <w:rsid w:val="007F6244"/>
    <w:rsid w:val="007F62A9"/>
    <w:rsid w:val="0080178D"/>
    <w:rsid w:val="008027B6"/>
    <w:rsid w:val="008040E0"/>
    <w:rsid w:val="0080595B"/>
    <w:rsid w:val="00805AFC"/>
    <w:rsid w:val="0081488A"/>
    <w:rsid w:val="00816F5C"/>
    <w:rsid w:val="00817C0E"/>
    <w:rsid w:val="0082122C"/>
    <w:rsid w:val="00822960"/>
    <w:rsid w:val="00823120"/>
    <w:rsid w:val="00823D32"/>
    <w:rsid w:val="008256AE"/>
    <w:rsid w:val="00826A98"/>
    <w:rsid w:val="00827EE9"/>
    <w:rsid w:val="0083306C"/>
    <w:rsid w:val="00833F8F"/>
    <w:rsid w:val="00835C1E"/>
    <w:rsid w:val="00835E1F"/>
    <w:rsid w:val="0083630E"/>
    <w:rsid w:val="00837E92"/>
    <w:rsid w:val="0084172B"/>
    <w:rsid w:val="008437F9"/>
    <w:rsid w:val="00843DBA"/>
    <w:rsid w:val="0084444B"/>
    <w:rsid w:val="00844729"/>
    <w:rsid w:val="0084722A"/>
    <w:rsid w:val="008500E0"/>
    <w:rsid w:val="00851413"/>
    <w:rsid w:val="008547A3"/>
    <w:rsid w:val="008549CB"/>
    <w:rsid w:val="00856604"/>
    <w:rsid w:val="00856DBE"/>
    <w:rsid w:val="00860543"/>
    <w:rsid w:val="00860C03"/>
    <w:rsid w:val="00860FA6"/>
    <w:rsid w:val="00860FDA"/>
    <w:rsid w:val="00861B5E"/>
    <w:rsid w:val="00861C24"/>
    <w:rsid w:val="008636DA"/>
    <w:rsid w:val="00865D99"/>
    <w:rsid w:val="0086633C"/>
    <w:rsid w:val="00870C60"/>
    <w:rsid w:val="00871C5B"/>
    <w:rsid w:val="008753B0"/>
    <w:rsid w:val="00875A29"/>
    <w:rsid w:val="00875C61"/>
    <w:rsid w:val="00876463"/>
    <w:rsid w:val="00876966"/>
    <w:rsid w:val="00877EB8"/>
    <w:rsid w:val="00877F12"/>
    <w:rsid w:val="00882247"/>
    <w:rsid w:val="00882437"/>
    <w:rsid w:val="008856F6"/>
    <w:rsid w:val="00886C42"/>
    <w:rsid w:val="0088731E"/>
    <w:rsid w:val="008878FA"/>
    <w:rsid w:val="00887A40"/>
    <w:rsid w:val="00890E8D"/>
    <w:rsid w:val="00893637"/>
    <w:rsid w:val="008961FC"/>
    <w:rsid w:val="00896284"/>
    <w:rsid w:val="008A0B54"/>
    <w:rsid w:val="008A14A0"/>
    <w:rsid w:val="008A1997"/>
    <w:rsid w:val="008A254D"/>
    <w:rsid w:val="008A3D38"/>
    <w:rsid w:val="008A4F84"/>
    <w:rsid w:val="008A534D"/>
    <w:rsid w:val="008A5610"/>
    <w:rsid w:val="008A69C6"/>
    <w:rsid w:val="008A742F"/>
    <w:rsid w:val="008B2308"/>
    <w:rsid w:val="008B25E9"/>
    <w:rsid w:val="008B36FC"/>
    <w:rsid w:val="008B3882"/>
    <w:rsid w:val="008B4DFD"/>
    <w:rsid w:val="008B6E9F"/>
    <w:rsid w:val="008C169A"/>
    <w:rsid w:val="008C28BB"/>
    <w:rsid w:val="008C3B77"/>
    <w:rsid w:val="008C40AD"/>
    <w:rsid w:val="008C416A"/>
    <w:rsid w:val="008C42B3"/>
    <w:rsid w:val="008C5199"/>
    <w:rsid w:val="008C67E4"/>
    <w:rsid w:val="008C6CF5"/>
    <w:rsid w:val="008D04B7"/>
    <w:rsid w:val="008D763A"/>
    <w:rsid w:val="008E0230"/>
    <w:rsid w:val="008E1E8A"/>
    <w:rsid w:val="008E2024"/>
    <w:rsid w:val="008E6B32"/>
    <w:rsid w:val="008F0BB8"/>
    <w:rsid w:val="008F1DC1"/>
    <w:rsid w:val="008F1F54"/>
    <w:rsid w:val="008F21C6"/>
    <w:rsid w:val="008F2289"/>
    <w:rsid w:val="008F393D"/>
    <w:rsid w:val="008F3C67"/>
    <w:rsid w:val="008F4485"/>
    <w:rsid w:val="0090033C"/>
    <w:rsid w:val="00900B53"/>
    <w:rsid w:val="0090124B"/>
    <w:rsid w:val="0090179E"/>
    <w:rsid w:val="00901D1F"/>
    <w:rsid w:val="00904E3C"/>
    <w:rsid w:val="00907003"/>
    <w:rsid w:val="0090729D"/>
    <w:rsid w:val="00907EF0"/>
    <w:rsid w:val="00910460"/>
    <w:rsid w:val="009135E8"/>
    <w:rsid w:val="00913BD8"/>
    <w:rsid w:val="00914C5E"/>
    <w:rsid w:val="00917013"/>
    <w:rsid w:val="00917AC3"/>
    <w:rsid w:val="00922E6C"/>
    <w:rsid w:val="009233A9"/>
    <w:rsid w:val="00923E19"/>
    <w:rsid w:val="0092600A"/>
    <w:rsid w:val="0092668E"/>
    <w:rsid w:val="00926F80"/>
    <w:rsid w:val="00930B9E"/>
    <w:rsid w:val="00931B14"/>
    <w:rsid w:val="00931B60"/>
    <w:rsid w:val="00933B93"/>
    <w:rsid w:val="009341D6"/>
    <w:rsid w:val="00935679"/>
    <w:rsid w:val="0093669B"/>
    <w:rsid w:val="009368E8"/>
    <w:rsid w:val="00936DD4"/>
    <w:rsid w:val="0093750C"/>
    <w:rsid w:val="009432C5"/>
    <w:rsid w:val="009436FB"/>
    <w:rsid w:val="00944490"/>
    <w:rsid w:val="009445CD"/>
    <w:rsid w:val="00947776"/>
    <w:rsid w:val="00954076"/>
    <w:rsid w:val="00954BC2"/>
    <w:rsid w:val="00955F15"/>
    <w:rsid w:val="0095623A"/>
    <w:rsid w:val="00956A33"/>
    <w:rsid w:val="009602A1"/>
    <w:rsid w:val="00961E54"/>
    <w:rsid w:val="00962B68"/>
    <w:rsid w:val="00962F51"/>
    <w:rsid w:val="009642F2"/>
    <w:rsid w:val="009652D7"/>
    <w:rsid w:val="009656E2"/>
    <w:rsid w:val="00966416"/>
    <w:rsid w:val="00966717"/>
    <w:rsid w:val="00966935"/>
    <w:rsid w:val="00966FD2"/>
    <w:rsid w:val="00967190"/>
    <w:rsid w:val="00967544"/>
    <w:rsid w:val="00970FE3"/>
    <w:rsid w:val="00971E2D"/>
    <w:rsid w:val="009733B7"/>
    <w:rsid w:val="00975BC3"/>
    <w:rsid w:val="00982116"/>
    <w:rsid w:val="00983658"/>
    <w:rsid w:val="00983F71"/>
    <w:rsid w:val="009845BE"/>
    <w:rsid w:val="00985C9F"/>
    <w:rsid w:val="00986D63"/>
    <w:rsid w:val="0098794A"/>
    <w:rsid w:val="00990A75"/>
    <w:rsid w:val="00992426"/>
    <w:rsid w:val="009956D8"/>
    <w:rsid w:val="009969AE"/>
    <w:rsid w:val="009971CE"/>
    <w:rsid w:val="009A0EF6"/>
    <w:rsid w:val="009A1C57"/>
    <w:rsid w:val="009A30A9"/>
    <w:rsid w:val="009A549D"/>
    <w:rsid w:val="009A6F7E"/>
    <w:rsid w:val="009A7693"/>
    <w:rsid w:val="009A780D"/>
    <w:rsid w:val="009B1804"/>
    <w:rsid w:val="009B603A"/>
    <w:rsid w:val="009B63D1"/>
    <w:rsid w:val="009B6C78"/>
    <w:rsid w:val="009C104C"/>
    <w:rsid w:val="009C18D3"/>
    <w:rsid w:val="009C2FB5"/>
    <w:rsid w:val="009C306C"/>
    <w:rsid w:val="009C3BE5"/>
    <w:rsid w:val="009C428D"/>
    <w:rsid w:val="009C49A3"/>
    <w:rsid w:val="009C4C77"/>
    <w:rsid w:val="009C5B31"/>
    <w:rsid w:val="009C69A2"/>
    <w:rsid w:val="009C77A9"/>
    <w:rsid w:val="009C7AB7"/>
    <w:rsid w:val="009C7F25"/>
    <w:rsid w:val="009D0426"/>
    <w:rsid w:val="009D1126"/>
    <w:rsid w:val="009D1299"/>
    <w:rsid w:val="009D18D6"/>
    <w:rsid w:val="009E19AA"/>
    <w:rsid w:val="009E2A3C"/>
    <w:rsid w:val="009F370D"/>
    <w:rsid w:val="009F4DA1"/>
    <w:rsid w:val="009F5B79"/>
    <w:rsid w:val="009F5F46"/>
    <w:rsid w:val="009F6FED"/>
    <w:rsid w:val="00A01178"/>
    <w:rsid w:val="00A02A61"/>
    <w:rsid w:val="00A03A48"/>
    <w:rsid w:val="00A05120"/>
    <w:rsid w:val="00A05E32"/>
    <w:rsid w:val="00A0670D"/>
    <w:rsid w:val="00A067DF"/>
    <w:rsid w:val="00A10509"/>
    <w:rsid w:val="00A11EF8"/>
    <w:rsid w:val="00A12C33"/>
    <w:rsid w:val="00A14CD1"/>
    <w:rsid w:val="00A161F1"/>
    <w:rsid w:val="00A21D01"/>
    <w:rsid w:val="00A2409E"/>
    <w:rsid w:val="00A24210"/>
    <w:rsid w:val="00A24338"/>
    <w:rsid w:val="00A25D13"/>
    <w:rsid w:val="00A272B5"/>
    <w:rsid w:val="00A30D45"/>
    <w:rsid w:val="00A32C40"/>
    <w:rsid w:val="00A353E2"/>
    <w:rsid w:val="00A35C51"/>
    <w:rsid w:val="00A36621"/>
    <w:rsid w:val="00A41AD1"/>
    <w:rsid w:val="00A4217D"/>
    <w:rsid w:val="00A45C5F"/>
    <w:rsid w:val="00A462F1"/>
    <w:rsid w:val="00A4721A"/>
    <w:rsid w:val="00A50827"/>
    <w:rsid w:val="00A50BE4"/>
    <w:rsid w:val="00A51938"/>
    <w:rsid w:val="00A5347F"/>
    <w:rsid w:val="00A53FA0"/>
    <w:rsid w:val="00A543C9"/>
    <w:rsid w:val="00A54BC4"/>
    <w:rsid w:val="00A61E60"/>
    <w:rsid w:val="00A64B76"/>
    <w:rsid w:val="00A6519D"/>
    <w:rsid w:val="00A65AEF"/>
    <w:rsid w:val="00A660AF"/>
    <w:rsid w:val="00A672C9"/>
    <w:rsid w:val="00A75A75"/>
    <w:rsid w:val="00A75C6D"/>
    <w:rsid w:val="00A76C7B"/>
    <w:rsid w:val="00A77A61"/>
    <w:rsid w:val="00A81137"/>
    <w:rsid w:val="00A813AB"/>
    <w:rsid w:val="00A83D28"/>
    <w:rsid w:val="00A85200"/>
    <w:rsid w:val="00A85837"/>
    <w:rsid w:val="00A865D8"/>
    <w:rsid w:val="00A871DF"/>
    <w:rsid w:val="00A92EC9"/>
    <w:rsid w:val="00A9357F"/>
    <w:rsid w:val="00A9394E"/>
    <w:rsid w:val="00A93C30"/>
    <w:rsid w:val="00A94C8F"/>
    <w:rsid w:val="00A94F71"/>
    <w:rsid w:val="00AA292D"/>
    <w:rsid w:val="00AA53E5"/>
    <w:rsid w:val="00AA7C16"/>
    <w:rsid w:val="00AB0E5E"/>
    <w:rsid w:val="00AB1343"/>
    <w:rsid w:val="00AB150A"/>
    <w:rsid w:val="00AB2033"/>
    <w:rsid w:val="00AB4E0E"/>
    <w:rsid w:val="00AB6D58"/>
    <w:rsid w:val="00AC01D9"/>
    <w:rsid w:val="00AC1527"/>
    <w:rsid w:val="00AC2ABA"/>
    <w:rsid w:val="00AC3B30"/>
    <w:rsid w:val="00AC4934"/>
    <w:rsid w:val="00AC56C3"/>
    <w:rsid w:val="00AC679E"/>
    <w:rsid w:val="00AC684F"/>
    <w:rsid w:val="00AC7098"/>
    <w:rsid w:val="00AC760B"/>
    <w:rsid w:val="00AC76DF"/>
    <w:rsid w:val="00AD00DC"/>
    <w:rsid w:val="00AD15D0"/>
    <w:rsid w:val="00AD1AB9"/>
    <w:rsid w:val="00AD1AE7"/>
    <w:rsid w:val="00AD1C14"/>
    <w:rsid w:val="00AD1C65"/>
    <w:rsid w:val="00AD1CDA"/>
    <w:rsid w:val="00AD1DB1"/>
    <w:rsid w:val="00AD400D"/>
    <w:rsid w:val="00AD4557"/>
    <w:rsid w:val="00AD4864"/>
    <w:rsid w:val="00AD64F7"/>
    <w:rsid w:val="00AD7874"/>
    <w:rsid w:val="00AE0D0C"/>
    <w:rsid w:val="00AE4580"/>
    <w:rsid w:val="00AE49BC"/>
    <w:rsid w:val="00AE5B28"/>
    <w:rsid w:val="00AE6A04"/>
    <w:rsid w:val="00AE6BE9"/>
    <w:rsid w:val="00AE785B"/>
    <w:rsid w:val="00AE7C96"/>
    <w:rsid w:val="00AE7D4D"/>
    <w:rsid w:val="00AF2C26"/>
    <w:rsid w:val="00B0295E"/>
    <w:rsid w:val="00B02F03"/>
    <w:rsid w:val="00B04D56"/>
    <w:rsid w:val="00B07132"/>
    <w:rsid w:val="00B07FF4"/>
    <w:rsid w:val="00B107C9"/>
    <w:rsid w:val="00B11E55"/>
    <w:rsid w:val="00B12652"/>
    <w:rsid w:val="00B20C64"/>
    <w:rsid w:val="00B20DDB"/>
    <w:rsid w:val="00B22FF7"/>
    <w:rsid w:val="00B24898"/>
    <w:rsid w:val="00B24C6F"/>
    <w:rsid w:val="00B24CA9"/>
    <w:rsid w:val="00B24E40"/>
    <w:rsid w:val="00B267B8"/>
    <w:rsid w:val="00B30B51"/>
    <w:rsid w:val="00B34148"/>
    <w:rsid w:val="00B350CE"/>
    <w:rsid w:val="00B35876"/>
    <w:rsid w:val="00B365E9"/>
    <w:rsid w:val="00B422AB"/>
    <w:rsid w:val="00B42488"/>
    <w:rsid w:val="00B425D7"/>
    <w:rsid w:val="00B428E3"/>
    <w:rsid w:val="00B43358"/>
    <w:rsid w:val="00B43EEA"/>
    <w:rsid w:val="00B44310"/>
    <w:rsid w:val="00B465AE"/>
    <w:rsid w:val="00B502CC"/>
    <w:rsid w:val="00B503CB"/>
    <w:rsid w:val="00B537A4"/>
    <w:rsid w:val="00B54D10"/>
    <w:rsid w:val="00B56760"/>
    <w:rsid w:val="00B60D4B"/>
    <w:rsid w:val="00B60E9C"/>
    <w:rsid w:val="00B61CB1"/>
    <w:rsid w:val="00B646A4"/>
    <w:rsid w:val="00B669A0"/>
    <w:rsid w:val="00B67B79"/>
    <w:rsid w:val="00B70079"/>
    <w:rsid w:val="00B71767"/>
    <w:rsid w:val="00B73696"/>
    <w:rsid w:val="00B75C60"/>
    <w:rsid w:val="00B75CEF"/>
    <w:rsid w:val="00B77478"/>
    <w:rsid w:val="00B80000"/>
    <w:rsid w:val="00B80F94"/>
    <w:rsid w:val="00B81F31"/>
    <w:rsid w:val="00B8359B"/>
    <w:rsid w:val="00B85D3E"/>
    <w:rsid w:val="00B86B54"/>
    <w:rsid w:val="00B872FE"/>
    <w:rsid w:val="00B87629"/>
    <w:rsid w:val="00B87728"/>
    <w:rsid w:val="00B90A7A"/>
    <w:rsid w:val="00B90D73"/>
    <w:rsid w:val="00B92ED5"/>
    <w:rsid w:val="00B935D6"/>
    <w:rsid w:val="00B93A04"/>
    <w:rsid w:val="00BA16A2"/>
    <w:rsid w:val="00BA2751"/>
    <w:rsid w:val="00BA3740"/>
    <w:rsid w:val="00BA6BA0"/>
    <w:rsid w:val="00BB0716"/>
    <w:rsid w:val="00BB0FBC"/>
    <w:rsid w:val="00BB1A19"/>
    <w:rsid w:val="00BB2643"/>
    <w:rsid w:val="00BB4164"/>
    <w:rsid w:val="00BB6E71"/>
    <w:rsid w:val="00BB6FBB"/>
    <w:rsid w:val="00BB7774"/>
    <w:rsid w:val="00BB7AFC"/>
    <w:rsid w:val="00BC1B62"/>
    <w:rsid w:val="00BC2379"/>
    <w:rsid w:val="00BC237C"/>
    <w:rsid w:val="00BC3662"/>
    <w:rsid w:val="00BC3A9D"/>
    <w:rsid w:val="00BD15A2"/>
    <w:rsid w:val="00BD2259"/>
    <w:rsid w:val="00BD24E7"/>
    <w:rsid w:val="00BD2808"/>
    <w:rsid w:val="00BD310C"/>
    <w:rsid w:val="00BD56DD"/>
    <w:rsid w:val="00BD5C57"/>
    <w:rsid w:val="00BD6F7A"/>
    <w:rsid w:val="00BD7E97"/>
    <w:rsid w:val="00BD7F5E"/>
    <w:rsid w:val="00BE189E"/>
    <w:rsid w:val="00BE1BA2"/>
    <w:rsid w:val="00BE3A37"/>
    <w:rsid w:val="00BE3A41"/>
    <w:rsid w:val="00BE5364"/>
    <w:rsid w:val="00BE5F2B"/>
    <w:rsid w:val="00BE6714"/>
    <w:rsid w:val="00BE7930"/>
    <w:rsid w:val="00BE7CA5"/>
    <w:rsid w:val="00BF112E"/>
    <w:rsid w:val="00BF21E9"/>
    <w:rsid w:val="00BF2BDC"/>
    <w:rsid w:val="00BF48EE"/>
    <w:rsid w:val="00BF5B0C"/>
    <w:rsid w:val="00BF6144"/>
    <w:rsid w:val="00BF6DAB"/>
    <w:rsid w:val="00BF6F5F"/>
    <w:rsid w:val="00C02FFA"/>
    <w:rsid w:val="00C0545C"/>
    <w:rsid w:val="00C05A35"/>
    <w:rsid w:val="00C06153"/>
    <w:rsid w:val="00C06C54"/>
    <w:rsid w:val="00C06E1D"/>
    <w:rsid w:val="00C107AF"/>
    <w:rsid w:val="00C13BF6"/>
    <w:rsid w:val="00C13E6B"/>
    <w:rsid w:val="00C16254"/>
    <w:rsid w:val="00C16EF3"/>
    <w:rsid w:val="00C17677"/>
    <w:rsid w:val="00C17CA3"/>
    <w:rsid w:val="00C20CF1"/>
    <w:rsid w:val="00C210B6"/>
    <w:rsid w:val="00C223ED"/>
    <w:rsid w:val="00C24228"/>
    <w:rsid w:val="00C25DB2"/>
    <w:rsid w:val="00C27A4B"/>
    <w:rsid w:val="00C27C93"/>
    <w:rsid w:val="00C30F29"/>
    <w:rsid w:val="00C30FA2"/>
    <w:rsid w:val="00C3284D"/>
    <w:rsid w:val="00C3419E"/>
    <w:rsid w:val="00C34899"/>
    <w:rsid w:val="00C4070B"/>
    <w:rsid w:val="00C41DE5"/>
    <w:rsid w:val="00C423C6"/>
    <w:rsid w:val="00C42F87"/>
    <w:rsid w:val="00C43193"/>
    <w:rsid w:val="00C43BD0"/>
    <w:rsid w:val="00C4632A"/>
    <w:rsid w:val="00C4738E"/>
    <w:rsid w:val="00C477A9"/>
    <w:rsid w:val="00C47EC0"/>
    <w:rsid w:val="00C53CA0"/>
    <w:rsid w:val="00C53E9D"/>
    <w:rsid w:val="00C541C4"/>
    <w:rsid w:val="00C547BE"/>
    <w:rsid w:val="00C55D93"/>
    <w:rsid w:val="00C55F4B"/>
    <w:rsid w:val="00C56239"/>
    <w:rsid w:val="00C5690E"/>
    <w:rsid w:val="00C571B1"/>
    <w:rsid w:val="00C60487"/>
    <w:rsid w:val="00C609FA"/>
    <w:rsid w:val="00C627B8"/>
    <w:rsid w:val="00C62B09"/>
    <w:rsid w:val="00C64D6D"/>
    <w:rsid w:val="00C652BF"/>
    <w:rsid w:val="00C659A9"/>
    <w:rsid w:val="00C65B19"/>
    <w:rsid w:val="00C6642A"/>
    <w:rsid w:val="00C71510"/>
    <w:rsid w:val="00C72070"/>
    <w:rsid w:val="00C72353"/>
    <w:rsid w:val="00C74A7C"/>
    <w:rsid w:val="00C74E39"/>
    <w:rsid w:val="00C7589D"/>
    <w:rsid w:val="00C77A20"/>
    <w:rsid w:val="00C804FA"/>
    <w:rsid w:val="00C81E7D"/>
    <w:rsid w:val="00C81FE7"/>
    <w:rsid w:val="00C82CBC"/>
    <w:rsid w:val="00C82E52"/>
    <w:rsid w:val="00C83159"/>
    <w:rsid w:val="00C85619"/>
    <w:rsid w:val="00C86CDC"/>
    <w:rsid w:val="00C875AA"/>
    <w:rsid w:val="00C875E2"/>
    <w:rsid w:val="00C87E67"/>
    <w:rsid w:val="00C9022D"/>
    <w:rsid w:val="00C921BA"/>
    <w:rsid w:val="00C93445"/>
    <w:rsid w:val="00C947A3"/>
    <w:rsid w:val="00C9510E"/>
    <w:rsid w:val="00C9537A"/>
    <w:rsid w:val="00C95D01"/>
    <w:rsid w:val="00C968DE"/>
    <w:rsid w:val="00CA05B1"/>
    <w:rsid w:val="00CA083E"/>
    <w:rsid w:val="00CA2F79"/>
    <w:rsid w:val="00CA66D6"/>
    <w:rsid w:val="00CA691F"/>
    <w:rsid w:val="00CB10EE"/>
    <w:rsid w:val="00CB157A"/>
    <w:rsid w:val="00CB350B"/>
    <w:rsid w:val="00CB423E"/>
    <w:rsid w:val="00CB5D2A"/>
    <w:rsid w:val="00CB6E24"/>
    <w:rsid w:val="00CC1250"/>
    <w:rsid w:val="00CC4B44"/>
    <w:rsid w:val="00CC4C35"/>
    <w:rsid w:val="00CC5A83"/>
    <w:rsid w:val="00CC6E46"/>
    <w:rsid w:val="00CC7030"/>
    <w:rsid w:val="00CC786B"/>
    <w:rsid w:val="00CD10DD"/>
    <w:rsid w:val="00CD26CD"/>
    <w:rsid w:val="00CD2B71"/>
    <w:rsid w:val="00CD33B5"/>
    <w:rsid w:val="00CD3ABC"/>
    <w:rsid w:val="00CD3D09"/>
    <w:rsid w:val="00CD4953"/>
    <w:rsid w:val="00CD5674"/>
    <w:rsid w:val="00CD5896"/>
    <w:rsid w:val="00CD6318"/>
    <w:rsid w:val="00CD6C93"/>
    <w:rsid w:val="00CD7A91"/>
    <w:rsid w:val="00CE3AB1"/>
    <w:rsid w:val="00CE3C07"/>
    <w:rsid w:val="00CE5446"/>
    <w:rsid w:val="00CE6929"/>
    <w:rsid w:val="00CE6B62"/>
    <w:rsid w:val="00CE6DCF"/>
    <w:rsid w:val="00CE71D8"/>
    <w:rsid w:val="00CE7F05"/>
    <w:rsid w:val="00CF0572"/>
    <w:rsid w:val="00CF07F6"/>
    <w:rsid w:val="00CF21FC"/>
    <w:rsid w:val="00CF39D0"/>
    <w:rsid w:val="00CF3F61"/>
    <w:rsid w:val="00CF5674"/>
    <w:rsid w:val="00D03830"/>
    <w:rsid w:val="00D049AF"/>
    <w:rsid w:val="00D0597C"/>
    <w:rsid w:val="00D0731A"/>
    <w:rsid w:val="00D108C9"/>
    <w:rsid w:val="00D10FA8"/>
    <w:rsid w:val="00D1105D"/>
    <w:rsid w:val="00D11950"/>
    <w:rsid w:val="00D12088"/>
    <w:rsid w:val="00D14390"/>
    <w:rsid w:val="00D14A75"/>
    <w:rsid w:val="00D156ED"/>
    <w:rsid w:val="00D16833"/>
    <w:rsid w:val="00D17283"/>
    <w:rsid w:val="00D172EB"/>
    <w:rsid w:val="00D21E2F"/>
    <w:rsid w:val="00D233B7"/>
    <w:rsid w:val="00D23B7B"/>
    <w:rsid w:val="00D24CAA"/>
    <w:rsid w:val="00D25BBD"/>
    <w:rsid w:val="00D27034"/>
    <w:rsid w:val="00D304FF"/>
    <w:rsid w:val="00D3177F"/>
    <w:rsid w:val="00D33DCF"/>
    <w:rsid w:val="00D3501C"/>
    <w:rsid w:val="00D3594D"/>
    <w:rsid w:val="00D3743C"/>
    <w:rsid w:val="00D40866"/>
    <w:rsid w:val="00D4118A"/>
    <w:rsid w:val="00D411C7"/>
    <w:rsid w:val="00D415E4"/>
    <w:rsid w:val="00D416ED"/>
    <w:rsid w:val="00D41B59"/>
    <w:rsid w:val="00D50AFD"/>
    <w:rsid w:val="00D517FB"/>
    <w:rsid w:val="00D60474"/>
    <w:rsid w:val="00D605C3"/>
    <w:rsid w:val="00D6399C"/>
    <w:rsid w:val="00D63C9E"/>
    <w:rsid w:val="00D656D0"/>
    <w:rsid w:val="00D656D1"/>
    <w:rsid w:val="00D67486"/>
    <w:rsid w:val="00D67F5C"/>
    <w:rsid w:val="00D717FB"/>
    <w:rsid w:val="00D719D5"/>
    <w:rsid w:val="00D748B6"/>
    <w:rsid w:val="00D771A1"/>
    <w:rsid w:val="00D77A87"/>
    <w:rsid w:val="00D807BB"/>
    <w:rsid w:val="00D84ACE"/>
    <w:rsid w:val="00D85174"/>
    <w:rsid w:val="00D85CE5"/>
    <w:rsid w:val="00D85D7E"/>
    <w:rsid w:val="00D876AF"/>
    <w:rsid w:val="00D87BCE"/>
    <w:rsid w:val="00D906C1"/>
    <w:rsid w:val="00D9189C"/>
    <w:rsid w:val="00D92DA3"/>
    <w:rsid w:val="00D92FA1"/>
    <w:rsid w:val="00D94403"/>
    <w:rsid w:val="00D952B5"/>
    <w:rsid w:val="00D95D28"/>
    <w:rsid w:val="00D9664F"/>
    <w:rsid w:val="00D979D5"/>
    <w:rsid w:val="00DA073B"/>
    <w:rsid w:val="00DA0D2B"/>
    <w:rsid w:val="00DA4B2F"/>
    <w:rsid w:val="00DA5575"/>
    <w:rsid w:val="00DA68D9"/>
    <w:rsid w:val="00DA6BFE"/>
    <w:rsid w:val="00DA7A33"/>
    <w:rsid w:val="00DB1588"/>
    <w:rsid w:val="00DB18EC"/>
    <w:rsid w:val="00DB1E30"/>
    <w:rsid w:val="00DB4252"/>
    <w:rsid w:val="00DB48E6"/>
    <w:rsid w:val="00DB52E7"/>
    <w:rsid w:val="00DC0D7F"/>
    <w:rsid w:val="00DC1E3D"/>
    <w:rsid w:val="00DC1F73"/>
    <w:rsid w:val="00DC3404"/>
    <w:rsid w:val="00DC3945"/>
    <w:rsid w:val="00DC5468"/>
    <w:rsid w:val="00DC5A65"/>
    <w:rsid w:val="00DC7203"/>
    <w:rsid w:val="00DC767E"/>
    <w:rsid w:val="00DD028F"/>
    <w:rsid w:val="00DD3D72"/>
    <w:rsid w:val="00DD4332"/>
    <w:rsid w:val="00DD5AE1"/>
    <w:rsid w:val="00DD770C"/>
    <w:rsid w:val="00DE099F"/>
    <w:rsid w:val="00DE2C88"/>
    <w:rsid w:val="00DE48BF"/>
    <w:rsid w:val="00DE5308"/>
    <w:rsid w:val="00DE71E1"/>
    <w:rsid w:val="00DE729E"/>
    <w:rsid w:val="00DE7DFB"/>
    <w:rsid w:val="00DF0C1A"/>
    <w:rsid w:val="00DF1969"/>
    <w:rsid w:val="00DF1AD4"/>
    <w:rsid w:val="00DF40DB"/>
    <w:rsid w:val="00DF4410"/>
    <w:rsid w:val="00DF7E88"/>
    <w:rsid w:val="00E013D6"/>
    <w:rsid w:val="00E01BD9"/>
    <w:rsid w:val="00E0328C"/>
    <w:rsid w:val="00E07106"/>
    <w:rsid w:val="00E072DB"/>
    <w:rsid w:val="00E12B96"/>
    <w:rsid w:val="00E16566"/>
    <w:rsid w:val="00E20CCA"/>
    <w:rsid w:val="00E20EBE"/>
    <w:rsid w:val="00E23FEE"/>
    <w:rsid w:val="00E249A2"/>
    <w:rsid w:val="00E277AE"/>
    <w:rsid w:val="00E27AC1"/>
    <w:rsid w:val="00E3043E"/>
    <w:rsid w:val="00E317CB"/>
    <w:rsid w:val="00E3256D"/>
    <w:rsid w:val="00E34AFC"/>
    <w:rsid w:val="00E35B23"/>
    <w:rsid w:val="00E37488"/>
    <w:rsid w:val="00E4031A"/>
    <w:rsid w:val="00E40CE9"/>
    <w:rsid w:val="00E41BEE"/>
    <w:rsid w:val="00E42379"/>
    <w:rsid w:val="00E42FDD"/>
    <w:rsid w:val="00E43770"/>
    <w:rsid w:val="00E43A55"/>
    <w:rsid w:val="00E456E3"/>
    <w:rsid w:val="00E45907"/>
    <w:rsid w:val="00E47435"/>
    <w:rsid w:val="00E47539"/>
    <w:rsid w:val="00E507F3"/>
    <w:rsid w:val="00E50A8F"/>
    <w:rsid w:val="00E50C5E"/>
    <w:rsid w:val="00E512D2"/>
    <w:rsid w:val="00E52075"/>
    <w:rsid w:val="00E52888"/>
    <w:rsid w:val="00E53304"/>
    <w:rsid w:val="00E53E60"/>
    <w:rsid w:val="00E542C6"/>
    <w:rsid w:val="00E5562B"/>
    <w:rsid w:val="00E61485"/>
    <w:rsid w:val="00E62AEC"/>
    <w:rsid w:val="00E66492"/>
    <w:rsid w:val="00E67835"/>
    <w:rsid w:val="00E67F1D"/>
    <w:rsid w:val="00E71A6A"/>
    <w:rsid w:val="00E71E95"/>
    <w:rsid w:val="00E77D80"/>
    <w:rsid w:val="00E821B0"/>
    <w:rsid w:val="00E82C81"/>
    <w:rsid w:val="00E844EA"/>
    <w:rsid w:val="00E8483C"/>
    <w:rsid w:val="00E84BD9"/>
    <w:rsid w:val="00E87AB9"/>
    <w:rsid w:val="00E9121D"/>
    <w:rsid w:val="00E9122E"/>
    <w:rsid w:val="00E91BFB"/>
    <w:rsid w:val="00E92C87"/>
    <w:rsid w:val="00E9405F"/>
    <w:rsid w:val="00E974D0"/>
    <w:rsid w:val="00EA088F"/>
    <w:rsid w:val="00EA0ACC"/>
    <w:rsid w:val="00EA610F"/>
    <w:rsid w:val="00EA6F7A"/>
    <w:rsid w:val="00EB032A"/>
    <w:rsid w:val="00EB09F2"/>
    <w:rsid w:val="00EB2A06"/>
    <w:rsid w:val="00EB484C"/>
    <w:rsid w:val="00EB7179"/>
    <w:rsid w:val="00EC11C2"/>
    <w:rsid w:val="00EC22FC"/>
    <w:rsid w:val="00EC4DF6"/>
    <w:rsid w:val="00EC5D20"/>
    <w:rsid w:val="00ED1562"/>
    <w:rsid w:val="00ED3143"/>
    <w:rsid w:val="00ED5E91"/>
    <w:rsid w:val="00EE086C"/>
    <w:rsid w:val="00EE197A"/>
    <w:rsid w:val="00EE2D53"/>
    <w:rsid w:val="00EE300A"/>
    <w:rsid w:val="00EE31F4"/>
    <w:rsid w:val="00EE4FAB"/>
    <w:rsid w:val="00EE5C33"/>
    <w:rsid w:val="00EE79A2"/>
    <w:rsid w:val="00EF1EB0"/>
    <w:rsid w:val="00EF330A"/>
    <w:rsid w:val="00EF41B0"/>
    <w:rsid w:val="00EF440F"/>
    <w:rsid w:val="00EF4CD3"/>
    <w:rsid w:val="00EF4E37"/>
    <w:rsid w:val="00EF4E7F"/>
    <w:rsid w:val="00EF54E7"/>
    <w:rsid w:val="00EF59D2"/>
    <w:rsid w:val="00EF6939"/>
    <w:rsid w:val="00F016E4"/>
    <w:rsid w:val="00F017B5"/>
    <w:rsid w:val="00F053ED"/>
    <w:rsid w:val="00F07266"/>
    <w:rsid w:val="00F106F7"/>
    <w:rsid w:val="00F12656"/>
    <w:rsid w:val="00F134F7"/>
    <w:rsid w:val="00F13621"/>
    <w:rsid w:val="00F15D90"/>
    <w:rsid w:val="00F16FAC"/>
    <w:rsid w:val="00F20F0F"/>
    <w:rsid w:val="00F21F80"/>
    <w:rsid w:val="00F223BC"/>
    <w:rsid w:val="00F234BC"/>
    <w:rsid w:val="00F2486A"/>
    <w:rsid w:val="00F2666C"/>
    <w:rsid w:val="00F300F5"/>
    <w:rsid w:val="00F31F7D"/>
    <w:rsid w:val="00F35168"/>
    <w:rsid w:val="00F35208"/>
    <w:rsid w:val="00F35B09"/>
    <w:rsid w:val="00F4152C"/>
    <w:rsid w:val="00F41769"/>
    <w:rsid w:val="00F43F71"/>
    <w:rsid w:val="00F4455D"/>
    <w:rsid w:val="00F45567"/>
    <w:rsid w:val="00F476A1"/>
    <w:rsid w:val="00F501B8"/>
    <w:rsid w:val="00F50912"/>
    <w:rsid w:val="00F51DD2"/>
    <w:rsid w:val="00F51DF2"/>
    <w:rsid w:val="00F525B5"/>
    <w:rsid w:val="00F545A1"/>
    <w:rsid w:val="00F54ED0"/>
    <w:rsid w:val="00F5562A"/>
    <w:rsid w:val="00F56CCD"/>
    <w:rsid w:val="00F56DFC"/>
    <w:rsid w:val="00F613CC"/>
    <w:rsid w:val="00F614FC"/>
    <w:rsid w:val="00F62747"/>
    <w:rsid w:val="00F65370"/>
    <w:rsid w:val="00F65D57"/>
    <w:rsid w:val="00F6663C"/>
    <w:rsid w:val="00F67C65"/>
    <w:rsid w:val="00F7090C"/>
    <w:rsid w:val="00F70AC5"/>
    <w:rsid w:val="00F750EE"/>
    <w:rsid w:val="00F7694D"/>
    <w:rsid w:val="00F76ABF"/>
    <w:rsid w:val="00F77308"/>
    <w:rsid w:val="00F776B2"/>
    <w:rsid w:val="00F77DE2"/>
    <w:rsid w:val="00F80430"/>
    <w:rsid w:val="00F80F2B"/>
    <w:rsid w:val="00F816DE"/>
    <w:rsid w:val="00F833FE"/>
    <w:rsid w:val="00F8399B"/>
    <w:rsid w:val="00F84FCD"/>
    <w:rsid w:val="00F860A0"/>
    <w:rsid w:val="00F87682"/>
    <w:rsid w:val="00F879EA"/>
    <w:rsid w:val="00F87B6F"/>
    <w:rsid w:val="00F91D30"/>
    <w:rsid w:val="00F934C6"/>
    <w:rsid w:val="00F95E7A"/>
    <w:rsid w:val="00F964D9"/>
    <w:rsid w:val="00FA1437"/>
    <w:rsid w:val="00FA1E78"/>
    <w:rsid w:val="00FA24AE"/>
    <w:rsid w:val="00FA31E9"/>
    <w:rsid w:val="00FA35B1"/>
    <w:rsid w:val="00FA3C5C"/>
    <w:rsid w:val="00FA3E8B"/>
    <w:rsid w:val="00FA72FB"/>
    <w:rsid w:val="00FB373A"/>
    <w:rsid w:val="00FB52D3"/>
    <w:rsid w:val="00FC068A"/>
    <w:rsid w:val="00FC1BA7"/>
    <w:rsid w:val="00FC2627"/>
    <w:rsid w:val="00FC4847"/>
    <w:rsid w:val="00FC73A4"/>
    <w:rsid w:val="00FD273E"/>
    <w:rsid w:val="00FD391B"/>
    <w:rsid w:val="00FD737C"/>
    <w:rsid w:val="00FD75AE"/>
    <w:rsid w:val="00FE0558"/>
    <w:rsid w:val="00FE0D4E"/>
    <w:rsid w:val="00FE28CB"/>
    <w:rsid w:val="00FE637D"/>
    <w:rsid w:val="00FE69B9"/>
    <w:rsid w:val="00FF1199"/>
    <w:rsid w:val="00FF180F"/>
    <w:rsid w:val="00FF207C"/>
    <w:rsid w:val="00FF3EC0"/>
    <w:rsid w:val="00FF4C63"/>
    <w:rsid w:val="00FF4FCE"/>
    <w:rsid w:val="00FF59A2"/>
    <w:rsid w:val="00FF668C"/>
    <w:rsid w:val="00FF6695"/>
    <w:rsid w:val="00FF6FA4"/>
    <w:rsid w:val="00FF719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2E9159C1"/>
  <w15:docId w15:val="{622C51A2-D956-4CBA-B04B-4439D49C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47"/>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rsid w:val="00E9121D"/>
    <w:rPr>
      <w:sz w:val="24"/>
      <w:lang w:val="en-US" w:eastAsia="en-US"/>
    </w:rPr>
  </w:style>
  <w:style w:type="paragraph" w:styleId="Footer">
    <w:name w:val="footer"/>
    <w:basedOn w:val="Normal"/>
    <w:link w:val="FooterChar"/>
    <w:uiPriority w:val="99"/>
    <w:unhideWhenUsed/>
    <w:rsid w:val="00E9121D"/>
    <w:pPr>
      <w:tabs>
        <w:tab w:val="center" w:pos="4513"/>
        <w:tab w:val="right" w:pos="9026"/>
      </w:tabs>
    </w:pPr>
  </w:style>
  <w:style w:type="character" w:customStyle="1" w:styleId="FooterChar">
    <w:name w:val="Footer Char"/>
    <w:basedOn w:val="DefaultParagraphFont"/>
    <w:link w:val="Footer"/>
    <w:uiPriority w:val="99"/>
    <w:rsid w:val="00E9121D"/>
    <w:rPr>
      <w:sz w:val="24"/>
      <w:lang w:val="en-US" w:eastAsia="en-US"/>
    </w:rPr>
  </w:style>
  <w:style w:type="paragraph" w:customStyle="1" w:styleId="bullet1">
    <w:name w:val="bullet 1"/>
    <w:basedOn w:val="Normal"/>
    <w:rsid w:val="00E9121D"/>
    <w:pPr>
      <w:widowControl w:val="0"/>
      <w:numPr>
        <w:numId w:val="2"/>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customStyle="1" w:styleId="JSText">
    <w:name w:val="JS Text"/>
    <w:basedOn w:val="Normal"/>
    <w:link w:val="JSTextChar"/>
    <w:rsid w:val="00910460"/>
    <w:pPr>
      <w:jc w:val="both"/>
    </w:pPr>
    <w:rPr>
      <w:rFonts w:ascii="Century" w:eastAsia="MS Mincho" w:hAnsi="Century"/>
      <w:kern w:val="2"/>
      <w:sz w:val="21"/>
      <w:szCs w:val="21"/>
      <w:lang w:val="x-none" w:eastAsia="ja-JP"/>
    </w:rPr>
  </w:style>
  <w:style w:type="character" w:customStyle="1" w:styleId="JSTextChar">
    <w:name w:val="JS Text Char"/>
    <w:link w:val="JSText"/>
    <w:locked/>
    <w:rsid w:val="00910460"/>
    <w:rPr>
      <w:rFonts w:ascii="Century" w:eastAsia="MS Mincho" w:hAnsi="Century"/>
      <w:kern w:val="2"/>
      <w:sz w:val="21"/>
      <w:szCs w:val="21"/>
      <w:lang w:val="x-none" w:eastAsia="ja-JP"/>
    </w:rPr>
  </w:style>
  <w:style w:type="paragraph" w:styleId="ListParagraph">
    <w:name w:val="List Paragraph"/>
    <w:basedOn w:val="Normal"/>
    <w:uiPriority w:val="34"/>
    <w:qFormat/>
    <w:rsid w:val="00910460"/>
    <w:pPr>
      <w:ind w:left="720"/>
      <w:contextualSpacing/>
    </w:pPr>
  </w:style>
  <w:style w:type="paragraph" w:styleId="NormalWeb">
    <w:name w:val="Normal (Web)"/>
    <w:basedOn w:val="Normal"/>
    <w:uiPriority w:val="99"/>
    <w:unhideWhenUsed/>
    <w:rsid w:val="00910460"/>
    <w:pPr>
      <w:spacing w:before="100" w:beforeAutospacing="1" w:after="100" w:afterAutospacing="1"/>
    </w:pPr>
    <w:rPr>
      <w:szCs w:val="24"/>
      <w:lang w:val="en-US"/>
    </w:rPr>
  </w:style>
  <w:style w:type="paragraph" w:customStyle="1" w:styleId="Default">
    <w:name w:val="Default"/>
    <w:rsid w:val="00910460"/>
    <w:pPr>
      <w:autoSpaceDE w:val="0"/>
      <w:autoSpaceDN w:val="0"/>
      <w:adjustRightInd w:val="0"/>
    </w:pPr>
    <w:rPr>
      <w:rFonts w:eastAsia="MS Mincho"/>
      <w:color w:val="000000"/>
      <w:sz w:val="24"/>
      <w:szCs w:val="24"/>
      <w:lang w:val="de-DE" w:eastAsia="ja-JP" w:bidi="hi-IN"/>
    </w:rPr>
  </w:style>
  <w:style w:type="paragraph" w:customStyle="1" w:styleId="Style">
    <w:name w:val="Style"/>
    <w:rsid w:val="00910460"/>
    <w:pPr>
      <w:widowControl w:val="0"/>
      <w:autoSpaceDE w:val="0"/>
      <w:autoSpaceDN w:val="0"/>
      <w:adjustRightInd w:val="0"/>
    </w:pPr>
    <w:rPr>
      <w:sz w:val="24"/>
      <w:szCs w:val="24"/>
      <w:lang w:val="en-US" w:eastAsia="en-US"/>
    </w:rPr>
  </w:style>
  <w:style w:type="paragraph" w:customStyle="1" w:styleId="FDAText">
    <w:name w:val="FDA:Text"/>
    <w:basedOn w:val="Normal"/>
    <w:rsid w:val="00910460"/>
    <w:pPr>
      <w:spacing w:before="180" w:after="180" w:line="360" w:lineRule="atLeast"/>
    </w:pPr>
    <w:rPr>
      <w:lang w:val="en-US" w:eastAsia="de-DE"/>
    </w:rPr>
  </w:style>
  <w:style w:type="paragraph" w:customStyle="1" w:styleId="Pa16">
    <w:name w:val="Pa16"/>
    <w:basedOn w:val="Normal"/>
    <w:next w:val="Normal"/>
    <w:uiPriority w:val="99"/>
    <w:rsid w:val="00AD1AE7"/>
    <w:pPr>
      <w:autoSpaceDE w:val="0"/>
      <w:autoSpaceDN w:val="0"/>
      <w:adjustRightInd w:val="0"/>
      <w:spacing w:before="40" w:after="40" w:line="161" w:lineRule="atLeast"/>
    </w:pPr>
    <w:rPr>
      <w:rFonts w:ascii="HelveticaNeueLT Std Cn" w:eastAsia="Calibri" w:hAnsi="HelveticaNeueLT Std Cn"/>
      <w:szCs w:val="24"/>
      <w:lang w:val="en-US"/>
    </w:rPr>
  </w:style>
  <w:style w:type="paragraph" w:customStyle="1" w:styleId="Pa9">
    <w:name w:val="Pa9"/>
    <w:basedOn w:val="Normal"/>
    <w:next w:val="Normal"/>
    <w:uiPriority w:val="99"/>
    <w:rsid w:val="00AD1AE7"/>
    <w:pPr>
      <w:autoSpaceDE w:val="0"/>
      <w:autoSpaceDN w:val="0"/>
      <w:adjustRightInd w:val="0"/>
      <w:spacing w:before="20" w:after="40" w:line="161" w:lineRule="atLeast"/>
    </w:pPr>
    <w:rPr>
      <w:rFonts w:ascii="HelveticaNeueLT Std Cn" w:eastAsia="Calibri" w:hAnsi="HelveticaNeueLT Std Cn"/>
      <w:szCs w:val="24"/>
      <w:lang w:val="en-US"/>
    </w:rPr>
  </w:style>
  <w:style w:type="paragraph" w:styleId="Revision">
    <w:name w:val="Revision"/>
    <w:hidden/>
    <w:uiPriority w:val="99"/>
    <w:semiHidden/>
    <w:rsid w:val="00211FC2"/>
    <w:rPr>
      <w:sz w:val="24"/>
      <w:lang w:eastAsia="en-US"/>
    </w:rPr>
  </w:style>
  <w:style w:type="paragraph" w:styleId="BodyText">
    <w:name w:val="Body Text"/>
    <w:basedOn w:val="Normal"/>
    <w:link w:val="BodyTextChar"/>
    <w:uiPriority w:val="99"/>
    <w:semiHidden/>
    <w:unhideWhenUsed/>
    <w:rsid w:val="00D50AFD"/>
    <w:pPr>
      <w:spacing w:after="120"/>
    </w:pPr>
  </w:style>
  <w:style w:type="character" w:customStyle="1" w:styleId="BodyTextChar">
    <w:name w:val="Body Text Char"/>
    <w:basedOn w:val="DefaultParagraphFont"/>
    <w:link w:val="BodyText"/>
    <w:uiPriority w:val="99"/>
    <w:semiHidden/>
    <w:rsid w:val="00D50AFD"/>
    <w:rPr>
      <w:sz w:val="24"/>
      <w:lang w:eastAsia="en-US"/>
    </w:rPr>
  </w:style>
  <w:style w:type="character" w:customStyle="1" w:styleId="defaultlabelstyle1">
    <w:name w:val="defaultlabelstyle1"/>
    <w:rsid w:val="00D50AFD"/>
    <w:rPr>
      <w:rFonts w:ascii="Trebuchet MS" w:hAnsi="Trebuchet MS" w:hint="default"/>
      <w:color w:val="333333"/>
    </w:rPr>
  </w:style>
  <w:style w:type="character" w:styleId="Hyperlink">
    <w:name w:val="Hyperlink"/>
    <w:uiPriority w:val="99"/>
    <w:unhideWhenUsed/>
    <w:rsid w:val="00C74A7C"/>
    <w:rPr>
      <w:color w:val="0000FF"/>
      <w:u w:val="single"/>
    </w:rPr>
  </w:style>
  <w:style w:type="paragraph" w:styleId="BodyText2">
    <w:name w:val="Body Text 2"/>
    <w:basedOn w:val="Normal"/>
    <w:link w:val="BodyText2Char"/>
    <w:uiPriority w:val="99"/>
    <w:semiHidden/>
    <w:unhideWhenUsed/>
    <w:rsid w:val="00B44310"/>
    <w:pPr>
      <w:spacing w:after="120" w:line="480" w:lineRule="auto"/>
    </w:pPr>
  </w:style>
  <w:style w:type="character" w:customStyle="1" w:styleId="BodyText2Char">
    <w:name w:val="Body Text 2 Char"/>
    <w:basedOn w:val="DefaultParagraphFont"/>
    <w:link w:val="BodyText2"/>
    <w:uiPriority w:val="99"/>
    <w:semiHidden/>
    <w:rsid w:val="00B44310"/>
    <w:rPr>
      <w:sz w:val="24"/>
      <w:lang w:eastAsia="en-US"/>
    </w:rPr>
  </w:style>
  <w:style w:type="paragraph" w:customStyle="1" w:styleId="CS-FootnoteText">
    <w:name w:val="CS-Footnote Text"/>
    <w:basedOn w:val="Normal"/>
    <w:link w:val="CS-FootnoteTextChar"/>
    <w:rsid w:val="00983F71"/>
    <w:pPr>
      <w:keepLines/>
      <w:ind w:left="720" w:hanging="720"/>
    </w:pPr>
    <w:rPr>
      <w:sz w:val="18"/>
      <w:lang w:val="en-GB" w:eastAsia="de-DE"/>
    </w:rPr>
  </w:style>
  <w:style w:type="character" w:customStyle="1" w:styleId="CS-FootnoteTextChar">
    <w:name w:val="CS-Footnote Text Char"/>
    <w:link w:val="CS-FootnoteText"/>
    <w:rsid w:val="00983F71"/>
    <w:rPr>
      <w:sz w:val="18"/>
      <w:lang w:val="en-GB" w:eastAsia="de-DE"/>
    </w:rPr>
  </w:style>
  <w:style w:type="paragraph" w:customStyle="1" w:styleId="CS-TextinTable10pt">
    <w:name w:val="CS-Text_in_Table:10pt"/>
    <w:basedOn w:val="Normal"/>
    <w:qFormat/>
    <w:rsid w:val="00983F71"/>
    <w:pPr>
      <w:keepNext/>
      <w:keepLines/>
      <w:tabs>
        <w:tab w:val="left" w:pos="144"/>
      </w:tabs>
      <w:spacing w:before="120" w:after="120"/>
    </w:pPr>
    <w:rPr>
      <w:sz w:val="20"/>
      <w:lang w:val="en-GB"/>
    </w:rPr>
  </w:style>
  <w:style w:type="paragraph" w:customStyle="1" w:styleId="CaptionTable">
    <w:name w:val="Caption_Table"/>
    <w:basedOn w:val="Caption"/>
    <w:next w:val="Normal"/>
    <w:rsid w:val="00983F71"/>
    <w:pPr>
      <w:keepNext/>
      <w:keepLines/>
      <w:spacing w:after="180"/>
      <w:ind w:left="1588" w:hanging="1588"/>
    </w:pPr>
    <w:rPr>
      <w:b w:val="0"/>
      <w:bCs w:val="0"/>
      <w:color w:val="auto"/>
      <w:sz w:val="24"/>
      <w:szCs w:val="20"/>
      <w:lang w:val="en-US" w:eastAsia="de-DE"/>
    </w:rPr>
  </w:style>
  <w:style w:type="paragraph" w:styleId="Caption">
    <w:name w:val="caption"/>
    <w:basedOn w:val="Normal"/>
    <w:next w:val="Normal"/>
    <w:uiPriority w:val="35"/>
    <w:unhideWhenUsed/>
    <w:qFormat/>
    <w:rsid w:val="00983F71"/>
    <w:pPr>
      <w:spacing w:after="200"/>
    </w:pPr>
    <w:rPr>
      <w:b/>
      <w:bCs/>
      <w:color w:val="4F81BD" w:themeColor="accent1"/>
      <w:sz w:val="18"/>
      <w:szCs w:val="18"/>
    </w:rPr>
  </w:style>
  <w:style w:type="paragraph" w:customStyle="1" w:styleId="IBText">
    <w:name w:val="IB:Text"/>
    <w:link w:val="IBTextChar"/>
    <w:rsid w:val="00AC56C3"/>
    <w:pPr>
      <w:spacing w:before="120" w:after="240"/>
    </w:pPr>
    <w:rPr>
      <w:noProof/>
      <w:sz w:val="24"/>
      <w:lang w:val="de-DE" w:eastAsia="ja-JP"/>
    </w:rPr>
  </w:style>
  <w:style w:type="character" w:customStyle="1" w:styleId="IBTextChar">
    <w:name w:val="IB:Text Char"/>
    <w:link w:val="IBText"/>
    <w:rsid w:val="00AC56C3"/>
    <w:rPr>
      <w:noProof/>
      <w:sz w:val="24"/>
      <w:lang w:val="de-DE" w:eastAsia="ja-JP"/>
    </w:rPr>
  </w:style>
  <w:style w:type="paragraph" w:customStyle="1" w:styleId="4thlevel">
    <w:name w:val="4th level"/>
    <w:basedOn w:val="Normal"/>
    <w:next w:val="Normal"/>
    <w:rsid w:val="008D763A"/>
    <w:pPr>
      <w:keepNext/>
      <w:keepLines/>
      <w:tabs>
        <w:tab w:val="left" w:pos="1134"/>
      </w:tabs>
      <w:spacing w:before="240" w:after="240"/>
      <w:ind w:left="1134" w:hanging="1134"/>
      <w:outlineLvl w:val="3"/>
    </w:pPr>
    <w:rPr>
      <w:lang w:val="en-US" w:eastAsia="de-DE"/>
    </w:rPr>
  </w:style>
  <w:style w:type="paragraph" w:customStyle="1" w:styleId="FigureLabel">
    <w:name w:val="Figure Label"/>
    <w:basedOn w:val="Normal"/>
    <w:next w:val="Normal"/>
    <w:rsid w:val="00223FA3"/>
    <w:pPr>
      <w:numPr>
        <w:numId w:val="8"/>
      </w:numPr>
      <w:spacing w:before="180" w:after="180"/>
      <w:outlineLvl w:val="5"/>
    </w:pPr>
    <w:rPr>
      <w:lang w:val="en-US" w:eastAsia="de-DE"/>
    </w:rPr>
  </w:style>
  <w:style w:type="paragraph" w:customStyle="1" w:styleId="FigureLabelcont">
    <w:name w:val="Figure Label cont"/>
    <w:basedOn w:val="FigureLabel"/>
    <w:next w:val="Normal"/>
    <w:rsid w:val="00223FA3"/>
    <w:pPr>
      <w:numPr>
        <w:ilvl w:val="1"/>
      </w:numPr>
      <w:outlineLvl w:val="9"/>
    </w:pPr>
    <w:rPr>
      <w:lang w:val="en-GB"/>
    </w:rPr>
  </w:style>
  <w:style w:type="paragraph" w:customStyle="1" w:styleId="TableLabel">
    <w:name w:val="Table Label"/>
    <w:basedOn w:val="Normal"/>
    <w:next w:val="Normal"/>
    <w:rsid w:val="00223FA3"/>
    <w:pPr>
      <w:keepNext/>
      <w:keepLines/>
      <w:numPr>
        <w:numId w:val="9"/>
      </w:numPr>
      <w:spacing w:before="180" w:after="180"/>
      <w:outlineLvl w:val="5"/>
    </w:pPr>
    <w:rPr>
      <w:szCs w:val="24"/>
      <w:lang w:val="en-US"/>
    </w:rPr>
  </w:style>
  <w:style w:type="paragraph" w:customStyle="1" w:styleId="TableLabelcont">
    <w:name w:val="Table Label cont"/>
    <w:basedOn w:val="TableLabel"/>
    <w:next w:val="Normal"/>
    <w:rsid w:val="00223FA3"/>
    <w:pPr>
      <w:numPr>
        <w:ilvl w:val="1"/>
      </w:numPr>
      <w:outlineLvl w:val="9"/>
    </w:pPr>
  </w:style>
  <w:style w:type="paragraph" w:customStyle="1" w:styleId="CSTextinTable10pt">
    <w:name w:val="CS Text_in_Table:10pt"/>
    <w:basedOn w:val="Normal"/>
    <w:rsid w:val="00223FA3"/>
    <w:pPr>
      <w:keepNext/>
      <w:keepLines/>
      <w:tabs>
        <w:tab w:val="left" w:pos="144"/>
      </w:tabs>
      <w:spacing w:before="60" w:after="60"/>
    </w:pPr>
    <w:rPr>
      <w:sz w:val="20"/>
      <w:szCs w:val="24"/>
      <w:lang w:val="en-US" w:eastAsia="de-DE"/>
    </w:rPr>
  </w:style>
  <w:style w:type="paragraph" w:customStyle="1" w:styleId="CS-FootnoteReference">
    <w:name w:val="CS-Footnote Reference"/>
    <w:basedOn w:val="Normal"/>
    <w:link w:val="CS-FootnoteReferenceChar"/>
    <w:qFormat/>
    <w:rsid w:val="00223FA3"/>
    <w:rPr>
      <w:rFonts w:eastAsia="PMingLiU"/>
      <w:position w:val="4"/>
      <w:sz w:val="18"/>
      <w:lang w:val="en-GB"/>
    </w:rPr>
  </w:style>
  <w:style w:type="character" w:customStyle="1" w:styleId="CS-FootnoteReferenceChar">
    <w:name w:val="CS-Footnote Reference Char"/>
    <w:link w:val="CS-FootnoteReference"/>
    <w:rsid w:val="00223FA3"/>
    <w:rPr>
      <w:rFonts w:eastAsia="PMingLiU"/>
      <w:position w:val="4"/>
      <w:sz w:val="18"/>
      <w:lang w:val="en-GB" w:eastAsia="en-US"/>
    </w:rPr>
  </w:style>
  <w:style w:type="paragraph" w:customStyle="1" w:styleId="CS4thlevel">
    <w:name w:val="CS 4th level"/>
    <w:basedOn w:val="Normal"/>
    <w:next w:val="Normal"/>
    <w:rsid w:val="006E1339"/>
    <w:pPr>
      <w:keepNext/>
      <w:keepLines/>
      <w:tabs>
        <w:tab w:val="left" w:pos="1134"/>
      </w:tabs>
      <w:spacing w:before="240" w:after="240"/>
      <w:ind w:left="1134" w:hanging="1134"/>
      <w:outlineLvl w:val="3"/>
    </w:pPr>
    <w:rPr>
      <w:szCs w:val="24"/>
      <w:lang w:val="en-US" w:eastAsia="de-DE"/>
    </w:rPr>
  </w:style>
  <w:style w:type="paragraph" w:customStyle="1" w:styleId="Text">
    <w:name w:val="Text"/>
    <w:basedOn w:val="Normal"/>
    <w:link w:val="TextChar1"/>
    <w:rsid w:val="00985C9F"/>
    <w:pPr>
      <w:spacing w:before="120"/>
      <w:jc w:val="both"/>
    </w:pPr>
    <w:rPr>
      <w:rFonts w:ascii="Sabon" w:hAnsi="Sabon"/>
      <w:lang w:val="en-US"/>
    </w:rPr>
  </w:style>
  <w:style w:type="character" w:customStyle="1" w:styleId="TextChar1">
    <w:name w:val="Text Char1"/>
    <w:link w:val="Text"/>
    <w:rsid w:val="00985C9F"/>
    <w:rPr>
      <w:rFonts w:ascii="Sabon" w:hAnsi="Sabon"/>
      <w:sz w:val="24"/>
      <w:lang w:val="en-US" w:eastAsia="en-US"/>
    </w:rPr>
  </w:style>
  <w:style w:type="paragraph" w:customStyle="1" w:styleId="Bullet">
    <w:name w:val="Bullet"/>
    <w:basedOn w:val="Normal"/>
    <w:rsid w:val="00B71767"/>
    <w:pPr>
      <w:spacing w:after="240" w:line="276" w:lineRule="auto"/>
    </w:pPr>
    <w:rPr>
      <w:rFonts w:ascii="Calibri" w:eastAsia="Calibri" w:hAnsi="Calibri"/>
      <w:sz w:val="22"/>
      <w:szCs w:val="22"/>
    </w:rPr>
  </w:style>
  <w:style w:type="paragraph" w:styleId="NoSpacing">
    <w:name w:val="No Spacing"/>
    <w:uiPriority w:val="1"/>
    <w:qFormat/>
    <w:rsid w:val="00B71767"/>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90033C"/>
  </w:style>
  <w:style w:type="character" w:customStyle="1" w:styleId="DateChar">
    <w:name w:val="Date Char"/>
    <w:basedOn w:val="DefaultParagraphFont"/>
    <w:link w:val="Date"/>
    <w:uiPriority w:val="99"/>
    <w:semiHidden/>
    <w:rsid w:val="0090033C"/>
    <w:rPr>
      <w:sz w:val="24"/>
      <w:lang w:eastAsia="en-US"/>
    </w:rPr>
  </w:style>
  <w:style w:type="paragraph" w:styleId="Bibliography">
    <w:name w:val="Bibliography"/>
    <w:basedOn w:val="Normal"/>
    <w:next w:val="Normal"/>
    <w:uiPriority w:val="37"/>
    <w:semiHidden/>
    <w:unhideWhenUsed/>
    <w:rsid w:val="004F77A4"/>
  </w:style>
  <w:style w:type="paragraph" w:styleId="BlockText">
    <w:name w:val="Block Text"/>
    <w:basedOn w:val="Normal"/>
    <w:uiPriority w:val="99"/>
    <w:semiHidden/>
    <w:unhideWhenUsed/>
    <w:rsid w:val="004F77A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4F77A4"/>
    <w:pPr>
      <w:spacing w:after="120"/>
    </w:pPr>
    <w:rPr>
      <w:sz w:val="16"/>
      <w:szCs w:val="16"/>
    </w:rPr>
  </w:style>
  <w:style w:type="character" w:customStyle="1" w:styleId="BodyText3Char">
    <w:name w:val="Body Text 3 Char"/>
    <w:basedOn w:val="DefaultParagraphFont"/>
    <w:link w:val="BodyText3"/>
    <w:uiPriority w:val="99"/>
    <w:semiHidden/>
    <w:rsid w:val="004F77A4"/>
    <w:rPr>
      <w:sz w:val="16"/>
      <w:szCs w:val="16"/>
      <w:lang w:eastAsia="en-US"/>
    </w:rPr>
  </w:style>
  <w:style w:type="paragraph" w:styleId="BodyTextFirstIndent">
    <w:name w:val="Body Text First Indent"/>
    <w:basedOn w:val="BodyText"/>
    <w:link w:val="BodyTextFirstIndentChar"/>
    <w:uiPriority w:val="99"/>
    <w:semiHidden/>
    <w:unhideWhenUsed/>
    <w:rsid w:val="004F77A4"/>
    <w:pPr>
      <w:spacing w:after="0"/>
      <w:ind w:firstLine="360"/>
    </w:pPr>
  </w:style>
  <w:style w:type="character" w:customStyle="1" w:styleId="BodyTextFirstIndentChar">
    <w:name w:val="Body Text First Indent Char"/>
    <w:basedOn w:val="BodyTextChar"/>
    <w:link w:val="BodyTextFirstIndent"/>
    <w:uiPriority w:val="99"/>
    <w:semiHidden/>
    <w:rsid w:val="004F77A4"/>
    <w:rPr>
      <w:sz w:val="24"/>
      <w:lang w:eastAsia="en-US"/>
    </w:rPr>
  </w:style>
  <w:style w:type="paragraph" w:styleId="BodyTextIndent">
    <w:name w:val="Body Text Indent"/>
    <w:basedOn w:val="Normal"/>
    <w:link w:val="BodyTextIndentChar"/>
    <w:uiPriority w:val="99"/>
    <w:semiHidden/>
    <w:unhideWhenUsed/>
    <w:rsid w:val="004F77A4"/>
    <w:pPr>
      <w:spacing w:after="120"/>
      <w:ind w:left="283"/>
    </w:pPr>
  </w:style>
  <w:style w:type="character" w:customStyle="1" w:styleId="BodyTextIndentChar">
    <w:name w:val="Body Text Indent Char"/>
    <w:basedOn w:val="DefaultParagraphFont"/>
    <w:link w:val="BodyTextIndent"/>
    <w:uiPriority w:val="99"/>
    <w:semiHidden/>
    <w:rsid w:val="004F77A4"/>
    <w:rPr>
      <w:sz w:val="24"/>
      <w:lang w:eastAsia="en-US"/>
    </w:rPr>
  </w:style>
  <w:style w:type="paragraph" w:styleId="BodyTextFirstIndent2">
    <w:name w:val="Body Text First Indent 2"/>
    <w:basedOn w:val="BodyTextIndent"/>
    <w:link w:val="BodyTextFirstIndent2Char"/>
    <w:uiPriority w:val="99"/>
    <w:semiHidden/>
    <w:unhideWhenUsed/>
    <w:rsid w:val="004F77A4"/>
    <w:pPr>
      <w:spacing w:after="0"/>
      <w:ind w:left="360" w:firstLine="360"/>
    </w:pPr>
  </w:style>
  <w:style w:type="character" w:customStyle="1" w:styleId="BodyTextFirstIndent2Char">
    <w:name w:val="Body Text First Indent 2 Char"/>
    <w:basedOn w:val="BodyTextIndentChar"/>
    <w:link w:val="BodyTextFirstIndent2"/>
    <w:uiPriority w:val="99"/>
    <w:semiHidden/>
    <w:rsid w:val="004F77A4"/>
    <w:rPr>
      <w:sz w:val="24"/>
      <w:lang w:eastAsia="en-US"/>
    </w:rPr>
  </w:style>
  <w:style w:type="paragraph" w:styleId="BodyTextIndent2">
    <w:name w:val="Body Text Indent 2"/>
    <w:basedOn w:val="Normal"/>
    <w:link w:val="BodyTextIndent2Char"/>
    <w:uiPriority w:val="99"/>
    <w:semiHidden/>
    <w:unhideWhenUsed/>
    <w:rsid w:val="004F77A4"/>
    <w:pPr>
      <w:spacing w:after="120" w:line="480" w:lineRule="auto"/>
      <w:ind w:left="283"/>
    </w:pPr>
  </w:style>
  <w:style w:type="character" w:customStyle="1" w:styleId="BodyTextIndent2Char">
    <w:name w:val="Body Text Indent 2 Char"/>
    <w:basedOn w:val="DefaultParagraphFont"/>
    <w:link w:val="BodyTextIndent2"/>
    <w:uiPriority w:val="99"/>
    <w:semiHidden/>
    <w:rsid w:val="004F77A4"/>
    <w:rPr>
      <w:sz w:val="24"/>
      <w:lang w:eastAsia="en-US"/>
    </w:rPr>
  </w:style>
  <w:style w:type="paragraph" w:styleId="BodyTextIndent3">
    <w:name w:val="Body Text Indent 3"/>
    <w:basedOn w:val="Normal"/>
    <w:link w:val="BodyTextIndent3Char"/>
    <w:uiPriority w:val="99"/>
    <w:semiHidden/>
    <w:unhideWhenUsed/>
    <w:rsid w:val="004F77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F77A4"/>
    <w:rPr>
      <w:sz w:val="16"/>
      <w:szCs w:val="16"/>
      <w:lang w:eastAsia="en-US"/>
    </w:rPr>
  </w:style>
  <w:style w:type="paragraph" w:styleId="Closing">
    <w:name w:val="Closing"/>
    <w:basedOn w:val="Normal"/>
    <w:link w:val="ClosingChar"/>
    <w:uiPriority w:val="99"/>
    <w:semiHidden/>
    <w:unhideWhenUsed/>
    <w:rsid w:val="004F77A4"/>
    <w:pPr>
      <w:ind w:left="4252"/>
    </w:pPr>
  </w:style>
  <w:style w:type="character" w:customStyle="1" w:styleId="ClosingChar">
    <w:name w:val="Closing Char"/>
    <w:basedOn w:val="DefaultParagraphFont"/>
    <w:link w:val="Closing"/>
    <w:uiPriority w:val="99"/>
    <w:semiHidden/>
    <w:rsid w:val="004F77A4"/>
    <w:rPr>
      <w:sz w:val="24"/>
      <w:lang w:eastAsia="en-US"/>
    </w:rPr>
  </w:style>
  <w:style w:type="paragraph" w:styleId="DocumentMap">
    <w:name w:val="Document Map"/>
    <w:basedOn w:val="Normal"/>
    <w:link w:val="DocumentMapChar"/>
    <w:uiPriority w:val="99"/>
    <w:semiHidden/>
    <w:unhideWhenUsed/>
    <w:rsid w:val="004F77A4"/>
    <w:rPr>
      <w:rFonts w:ascii="Tahoma" w:hAnsi="Tahoma" w:cs="Tahoma"/>
      <w:sz w:val="16"/>
      <w:szCs w:val="16"/>
    </w:rPr>
  </w:style>
  <w:style w:type="character" w:customStyle="1" w:styleId="DocumentMapChar">
    <w:name w:val="Document Map Char"/>
    <w:basedOn w:val="DefaultParagraphFont"/>
    <w:link w:val="DocumentMap"/>
    <w:uiPriority w:val="99"/>
    <w:semiHidden/>
    <w:rsid w:val="004F77A4"/>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4F77A4"/>
  </w:style>
  <w:style w:type="character" w:customStyle="1" w:styleId="E-mailSignatureChar">
    <w:name w:val="E-mail Signature Char"/>
    <w:basedOn w:val="DefaultParagraphFont"/>
    <w:link w:val="E-mailSignature"/>
    <w:uiPriority w:val="99"/>
    <w:semiHidden/>
    <w:rsid w:val="004F77A4"/>
    <w:rPr>
      <w:sz w:val="24"/>
      <w:lang w:eastAsia="en-US"/>
    </w:rPr>
  </w:style>
  <w:style w:type="paragraph" w:styleId="EnvelopeAddress">
    <w:name w:val="envelope address"/>
    <w:basedOn w:val="Normal"/>
    <w:uiPriority w:val="99"/>
    <w:semiHidden/>
    <w:unhideWhenUsed/>
    <w:rsid w:val="004F77A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F77A4"/>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4F77A4"/>
    <w:rPr>
      <w:i/>
      <w:iCs/>
    </w:rPr>
  </w:style>
  <w:style w:type="character" w:customStyle="1" w:styleId="HTMLAddressChar">
    <w:name w:val="HTML Address Char"/>
    <w:basedOn w:val="DefaultParagraphFont"/>
    <w:link w:val="HTMLAddress"/>
    <w:uiPriority w:val="99"/>
    <w:semiHidden/>
    <w:rsid w:val="004F77A4"/>
    <w:rPr>
      <w:i/>
      <w:iCs/>
      <w:sz w:val="24"/>
      <w:lang w:eastAsia="en-US"/>
    </w:rPr>
  </w:style>
  <w:style w:type="paragraph" w:styleId="HTMLPreformatted">
    <w:name w:val="HTML Preformatted"/>
    <w:basedOn w:val="Normal"/>
    <w:link w:val="HTMLPreformattedChar"/>
    <w:uiPriority w:val="99"/>
    <w:semiHidden/>
    <w:unhideWhenUsed/>
    <w:rsid w:val="004F77A4"/>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4F77A4"/>
    <w:rPr>
      <w:rFonts w:ascii="Consolas" w:hAnsi="Consolas" w:cs="Consolas"/>
      <w:lang w:eastAsia="en-US"/>
    </w:rPr>
  </w:style>
  <w:style w:type="paragraph" w:styleId="Index8">
    <w:name w:val="index 8"/>
    <w:basedOn w:val="Normal"/>
    <w:next w:val="Normal"/>
    <w:autoRedefine/>
    <w:uiPriority w:val="99"/>
    <w:semiHidden/>
    <w:unhideWhenUsed/>
    <w:rsid w:val="004F77A4"/>
    <w:pPr>
      <w:ind w:left="1920" w:hanging="240"/>
    </w:pPr>
  </w:style>
  <w:style w:type="paragraph" w:styleId="Index9">
    <w:name w:val="index 9"/>
    <w:basedOn w:val="Normal"/>
    <w:next w:val="Normal"/>
    <w:autoRedefine/>
    <w:uiPriority w:val="99"/>
    <w:semiHidden/>
    <w:unhideWhenUsed/>
    <w:rsid w:val="004F77A4"/>
    <w:pPr>
      <w:ind w:left="2160" w:hanging="240"/>
    </w:pPr>
  </w:style>
  <w:style w:type="paragraph" w:styleId="IntenseQuote">
    <w:name w:val="Intense Quote"/>
    <w:basedOn w:val="Normal"/>
    <w:next w:val="Normal"/>
    <w:link w:val="IntenseQuoteChar"/>
    <w:uiPriority w:val="30"/>
    <w:qFormat/>
    <w:rsid w:val="004F77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77A4"/>
    <w:rPr>
      <w:b/>
      <w:bCs/>
      <w:i/>
      <w:iCs/>
      <w:color w:val="4F81BD" w:themeColor="accent1"/>
      <w:sz w:val="24"/>
      <w:lang w:eastAsia="en-US"/>
    </w:rPr>
  </w:style>
  <w:style w:type="paragraph" w:styleId="List">
    <w:name w:val="List"/>
    <w:basedOn w:val="Normal"/>
    <w:uiPriority w:val="99"/>
    <w:semiHidden/>
    <w:unhideWhenUsed/>
    <w:rsid w:val="004F77A4"/>
    <w:pPr>
      <w:ind w:left="283" w:hanging="283"/>
      <w:contextualSpacing/>
    </w:pPr>
  </w:style>
  <w:style w:type="paragraph" w:styleId="List2">
    <w:name w:val="List 2"/>
    <w:basedOn w:val="Normal"/>
    <w:uiPriority w:val="99"/>
    <w:semiHidden/>
    <w:unhideWhenUsed/>
    <w:rsid w:val="004F77A4"/>
    <w:pPr>
      <w:ind w:left="566" w:hanging="283"/>
      <w:contextualSpacing/>
    </w:pPr>
  </w:style>
  <w:style w:type="paragraph" w:styleId="List3">
    <w:name w:val="List 3"/>
    <w:basedOn w:val="Normal"/>
    <w:uiPriority w:val="99"/>
    <w:semiHidden/>
    <w:unhideWhenUsed/>
    <w:rsid w:val="004F77A4"/>
    <w:pPr>
      <w:ind w:left="849" w:hanging="283"/>
      <w:contextualSpacing/>
    </w:pPr>
  </w:style>
  <w:style w:type="paragraph" w:styleId="List4">
    <w:name w:val="List 4"/>
    <w:basedOn w:val="Normal"/>
    <w:uiPriority w:val="99"/>
    <w:semiHidden/>
    <w:unhideWhenUsed/>
    <w:rsid w:val="004F77A4"/>
    <w:pPr>
      <w:ind w:left="1132" w:hanging="283"/>
      <w:contextualSpacing/>
    </w:pPr>
  </w:style>
  <w:style w:type="paragraph" w:styleId="List5">
    <w:name w:val="List 5"/>
    <w:basedOn w:val="Normal"/>
    <w:uiPriority w:val="99"/>
    <w:semiHidden/>
    <w:unhideWhenUsed/>
    <w:rsid w:val="004F77A4"/>
    <w:pPr>
      <w:ind w:left="1415" w:hanging="283"/>
      <w:contextualSpacing/>
    </w:pPr>
  </w:style>
  <w:style w:type="paragraph" w:styleId="ListBullet">
    <w:name w:val="List Bullet"/>
    <w:basedOn w:val="Normal"/>
    <w:uiPriority w:val="99"/>
    <w:semiHidden/>
    <w:unhideWhenUsed/>
    <w:rsid w:val="004F77A4"/>
    <w:pPr>
      <w:numPr>
        <w:numId w:val="17"/>
      </w:numPr>
      <w:contextualSpacing/>
    </w:pPr>
  </w:style>
  <w:style w:type="paragraph" w:styleId="ListBullet2">
    <w:name w:val="List Bullet 2"/>
    <w:basedOn w:val="Normal"/>
    <w:uiPriority w:val="99"/>
    <w:semiHidden/>
    <w:unhideWhenUsed/>
    <w:rsid w:val="004F77A4"/>
    <w:pPr>
      <w:numPr>
        <w:numId w:val="18"/>
      </w:numPr>
      <w:contextualSpacing/>
    </w:pPr>
  </w:style>
  <w:style w:type="paragraph" w:styleId="ListBullet3">
    <w:name w:val="List Bullet 3"/>
    <w:basedOn w:val="Normal"/>
    <w:uiPriority w:val="99"/>
    <w:semiHidden/>
    <w:unhideWhenUsed/>
    <w:rsid w:val="004F77A4"/>
    <w:pPr>
      <w:numPr>
        <w:numId w:val="19"/>
      </w:numPr>
      <w:contextualSpacing/>
    </w:pPr>
  </w:style>
  <w:style w:type="paragraph" w:styleId="ListBullet4">
    <w:name w:val="List Bullet 4"/>
    <w:basedOn w:val="Normal"/>
    <w:uiPriority w:val="99"/>
    <w:semiHidden/>
    <w:unhideWhenUsed/>
    <w:rsid w:val="004F77A4"/>
    <w:pPr>
      <w:numPr>
        <w:numId w:val="20"/>
      </w:numPr>
      <w:contextualSpacing/>
    </w:pPr>
  </w:style>
  <w:style w:type="paragraph" w:styleId="ListBullet5">
    <w:name w:val="List Bullet 5"/>
    <w:basedOn w:val="Normal"/>
    <w:uiPriority w:val="99"/>
    <w:semiHidden/>
    <w:unhideWhenUsed/>
    <w:rsid w:val="004F77A4"/>
    <w:pPr>
      <w:numPr>
        <w:numId w:val="21"/>
      </w:numPr>
      <w:contextualSpacing/>
    </w:pPr>
  </w:style>
  <w:style w:type="paragraph" w:styleId="ListContinue">
    <w:name w:val="List Continue"/>
    <w:basedOn w:val="Normal"/>
    <w:uiPriority w:val="99"/>
    <w:semiHidden/>
    <w:unhideWhenUsed/>
    <w:rsid w:val="004F77A4"/>
    <w:pPr>
      <w:spacing w:after="120"/>
      <w:ind w:left="283"/>
      <w:contextualSpacing/>
    </w:pPr>
  </w:style>
  <w:style w:type="paragraph" w:styleId="ListContinue2">
    <w:name w:val="List Continue 2"/>
    <w:basedOn w:val="Normal"/>
    <w:uiPriority w:val="99"/>
    <w:semiHidden/>
    <w:unhideWhenUsed/>
    <w:rsid w:val="004F77A4"/>
    <w:pPr>
      <w:spacing w:after="120"/>
      <w:ind w:left="566"/>
      <w:contextualSpacing/>
    </w:pPr>
  </w:style>
  <w:style w:type="paragraph" w:styleId="ListContinue3">
    <w:name w:val="List Continue 3"/>
    <w:basedOn w:val="Normal"/>
    <w:uiPriority w:val="99"/>
    <w:semiHidden/>
    <w:unhideWhenUsed/>
    <w:rsid w:val="004F77A4"/>
    <w:pPr>
      <w:spacing w:after="120"/>
      <w:ind w:left="849"/>
      <w:contextualSpacing/>
    </w:pPr>
  </w:style>
  <w:style w:type="paragraph" w:styleId="ListContinue4">
    <w:name w:val="List Continue 4"/>
    <w:basedOn w:val="Normal"/>
    <w:uiPriority w:val="99"/>
    <w:semiHidden/>
    <w:unhideWhenUsed/>
    <w:rsid w:val="004F77A4"/>
    <w:pPr>
      <w:spacing w:after="120"/>
      <w:ind w:left="1132"/>
      <w:contextualSpacing/>
    </w:pPr>
  </w:style>
  <w:style w:type="paragraph" w:styleId="ListContinue5">
    <w:name w:val="List Continue 5"/>
    <w:basedOn w:val="Normal"/>
    <w:uiPriority w:val="99"/>
    <w:semiHidden/>
    <w:unhideWhenUsed/>
    <w:rsid w:val="004F77A4"/>
    <w:pPr>
      <w:spacing w:after="120"/>
      <w:ind w:left="1415"/>
      <w:contextualSpacing/>
    </w:pPr>
  </w:style>
  <w:style w:type="paragraph" w:styleId="ListNumber">
    <w:name w:val="List Number"/>
    <w:basedOn w:val="Normal"/>
    <w:uiPriority w:val="99"/>
    <w:semiHidden/>
    <w:unhideWhenUsed/>
    <w:rsid w:val="004F77A4"/>
    <w:pPr>
      <w:numPr>
        <w:numId w:val="22"/>
      </w:numPr>
      <w:contextualSpacing/>
    </w:pPr>
  </w:style>
  <w:style w:type="paragraph" w:styleId="ListNumber2">
    <w:name w:val="List Number 2"/>
    <w:basedOn w:val="Normal"/>
    <w:uiPriority w:val="99"/>
    <w:semiHidden/>
    <w:unhideWhenUsed/>
    <w:rsid w:val="004F77A4"/>
    <w:pPr>
      <w:numPr>
        <w:numId w:val="23"/>
      </w:numPr>
      <w:contextualSpacing/>
    </w:pPr>
  </w:style>
  <w:style w:type="paragraph" w:styleId="ListNumber3">
    <w:name w:val="List Number 3"/>
    <w:basedOn w:val="Normal"/>
    <w:uiPriority w:val="99"/>
    <w:semiHidden/>
    <w:unhideWhenUsed/>
    <w:rsid w:val="004F77A4"/>
    <w:pPr>
      <w:numPr>
        <w:numId w:val="24"/>
      </w:numPr>
      <w:contextualSpacing/>
    </w:pPr>
  </w:style>
  <w:style w:type="paragraph" w:styleId="ListNumber4">
    <w:name w:val="List Number 4"/>
    <w:basedOn w:val="Normal"/>
    <w:uiPriority w:val="99"/>
    <w:semiHidden/>
    <w:unhideWhenUsed/>
    <w:rsid w:val="004F77A4"/>
    <w:pPr>
      <w:numPr>
        <w:numId w:val="25"/>
      </w:numPr>
      <w:contextualSpacing/>
    </w:pPr>
  </w:style>
  <w:style w:type="paragraph" w:styleId="ListNumber5">
    <w:name w:val="List Number 5"/>
    <w:basedOn w:val="Normal"/>
    <w:uiPriority w:val="99"/>
    <w:semiHidden/>
    <w:unhideWhenUsed/>
    <w:rsid w:val="004F77A4"/>
    <w:pPr>
      <w:numPr>
        <w:numId w:val="26"/>
      </w:numPr>
      <w:contextualSpacing/>
    </w:pPr>
  </w:style>
  <w:style w:type="paragraph" w:styleId="MacroText">
    <w:name w:val="macro"/>
    <w:link w:val="MacroTextChar"/>
    <w:uiPriority w:val="99"/>
    <w:semiHidden/>
    <w:unhideWhenUsed/>
    <w:rsid w:val="004F77A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uiPriority w:val="99"/>
    <w:semiHidden/>
    <w:rsid w:val="004F77A4"/>
    <w:rPr>
      <w:rFonts w:ascii="Consolas" w:hAnsi="Consolas" w:cs="Consolas"/>
      <w:lang w:eastAsia="en-US"/>
    </w:rPr>
  </w:style>
  <w:style w:type="paragraph" w:styleId="MessageHeader">
    <w:name w:val="Message Header"/>
    <w:basedOn w:val="Normal"/>
    <w:link w:val="MessageHeaderChar"/>
    <w:uiPriority w:val="99"/>
    <w:semiHidden/>
    <w:unhideWhenUsed/>
    <w:rsid w:val="004F77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F77A4"/>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semiHidden/>
    <w:unhideWhenUsed/>
    <w:rsid w:val="004F77A4"/>
    <w:pPr>
      <w:ind w:left="720"/>
    </w:pPr>
  </w:style>
  <w:style w:type="paragraph" w:styleId="NoteHeading">
    <w:name w:val="Note Heading"/>
    <w:basedOn w:val="Normal"/>
    <w:next w:val="Normal"/>
    <w:link w:val="NoteHeadingChar"/>
    <w:uiPriority w:val="99"/>
    <w:semiHidden/>
    <w:unhideWhenUsed/>
    <w:rsid w:val="004F77A4"/>
  </w:style>
  <w:style w:type="character" w:customStyle="1" w:styleId="NoteHeadingChar">
    <w:name w:val="Note Heading Char"/>
    <w:basedOn w:val="DefaultParagraphFont"/>
    <w:link w:val="NoteHeading"/>
    <w:uiPriority w:val="99"/>
    <w:semiHidden/>
    <w:rsid w:val="004F77A4"/>
    <w:rPr>
      <w:sz w:val="24"/>
      <w:lang w:eastAsia="en-US"/>
    </w:rPr>
  </w:style>
  <w:style w:type="paragraph" w:styleId="PlainText">
    <w:name w:val="Plain Text"/>
    <w:basedOn w:val="Normal"/>
    <w:link w:val="PlainTextChar"/>
    <w:uiPriority w:val="99"/>
    <w:semiHidden/>
    <w:unhideWhenUsed/>
    <w:rsid w:val="004F77A4"/>
    <w:rPr>
      <w:rFonts w:ascii="Consolas" w:hAnsi="Consolas" w:cs="Consolas"/>
      <w:sz w:val="21"/>
      <w:szCs w:val="21"/>
    </w:rPr>
  </w:style>
  <w:style w:type="character" w:customStyle="1" w:styleId="PlainTextChar">
    <w:name w:val="Plain Text Char"/>
    <w:basedOn w:val="DefaultParagraphFont"/>
    <w:link w:val="PlainText"/>
    <w:uiPriority w:val="99"/>
    <w:semiHidden/>
    <w:rsid w:val="004F77A4"/>
    <w:rPr>
      <w:rFonts w:ascii="Consolas" w:hAnsi="Consolas" w:cs="Consolas"/>
      <w:sz w:val="21"/>
      <w:szCs w:val="21"/>
      <w:lang w:eastAsia="en-US"/>
    </w:rPr>
  </w:style>
  <w:style w:type="paragraph" w:styleId="Quote">
    <w:name w:val="Quote"/>
    <w:basedOn w:val="Normal"/>
    <w:next w:val="Normal"/>
    <w:link w:val="QuoteChar"/>
    <w:uiPriority w:val="29"/>
    <w:qFormat/>
    <w:rsid w:val="004F77A4"/>
    <w:rPr>
      <w:i/>
      <w:iCs/>
      <w:color w:val="000000" w:themeColor="text1"/>
    </w:rPr>
  </w:style>
  <w:style w:type="character" w:customStyle="1" w:styleId="QuoteChar">
    <w:name w:val="Quote Char"/>
    <w:basedOn w:val="DefaultParagraphFont"/>
    <w:link w:val="Quote"/>
    <w:uiPriority w:val="29"/>
    <w:rsid w:val="004F77A4"/>
    <w:rPr>
      <w:i/>
      <w:iCs/>
      <w:color w:val="000000" w:themeColor="text1"/>
      <w:sz w:val="24"/>
      <w:lang w:eastAsia="en-US"/>
    </w:rPr>
  </w:style>
  <w:style w:type="paragraph" w:styleId="Salutation">
    <w:name w:val="Salutation"/>
    <w:basedOn w:val="Normal"/>
    <w:next w:val="Normal"/>
    <w:link w:val="SalutationChar"/>
    <w:uiPriority w:val="99"/>
    <w:semiHidden/>
    <w:unhideWhenUsed/>
    <w:rsid w:val="004F77A4"/>
  </w:style>
  <w:style w:type="character" w:customStyle="1" w:styleId="SalutationChar">
    <w:name w:val="Salutation Char"/>
    <w:basedOn w:val="DefaultParagraphFont"/>
    <w:link w:val="Salutation"/>
    <w:uiPriority w:val="99"/>
    <w:semiHidden/>
    <w:rsid w:val="004F77A4"/>
    <w:rPr>
      <w:sz w:val="24"/>
      <w:lang w:eastAsia="en-US"/>
    </w:rPr>
  </w:style>
  <w:style w:type="paragraph" w:styleId="Signature">
    <w:name w:val="Signature"/>
    <w:basedOn w:val="Normal"/>
    <w:link w:val="SignatureChar"/>
    <w:uiPriority w:val="99"/>
    <w:semiHidden/>
    <w:unhideWhenUsed/>
    <w:rsid w:val="004F77A4"/>
    <w:pPr>
      <w:ind w:left="4252"/>
    </w:pPr>
  </w:style>
  <w:style w:type="character" w:customStyle="1" w:styleId="SignatureChar">
    <w:name w:val="Signature Char"/>
    <w:basedOn w:val="DefaultParagraphFont"/>
    <w:link w:val="Signature"/>
    <w:uiPriority w:val="99"/>
    <w:semiHidden/>
    <w:rsid w:val="004F77A4"/>
    <w:rPr>
      <w:sz w:val="24"/>
      <w:lang w:eastAsia="en-US"/>
    </w:rPr>
  </w:style>
  <w:style w:type="paragraph" w:styleId="Subtitle">
    <w:name w:val="Subtitle"/>
    <w:basedOn w:val="Normal"/>
    <w:next w:val="Normal"/>
    <w:link w:val="SubtitleChar"/>
    <w:uiPriority w:val="11"/>
    <w:qFormat/>
    <w:rsid w:val="004F77A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F77A4"/>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4F77A4"/>
    <w:pPr>
      <w:ind w:left="240" w:hanging="240"/>
    </w:pPr>
  </w:style>
  <w:style w:type="paragraph" w:styleId="TableofFigures">
    <w:name w:val="table of figures"/>
    <w:basedOn w:val="Normal"/>
    <w:next w:val="Normal"/>
    <w:uiPriority w:val="99"/>
    <w:semiHidden/>
    <w:unhideWhenUsed/>
    <w:rsid w:val="004F77A4"/>
  </w:style>
  <w:style w:type="paragraph" w:styleId="Title">
    <w:name w:val="Title"/>
    <w:basedOn w:val="Normal"/>
    <w:next w:val="Normal"/>
    <w:link w:val="TitleChar"/>
    <w:uiPriority w:val="10"/>
    <w:qFormat/>
    <w:rsid w:val="004F77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77A4"/>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4F77A4"/>
    <w:pPr>
      <w:spacing w:before="120"/>
    </w:pPr>
    <w:rPr>
      <w:rFonts w:asciiTheme="majorHAnsi" w:eastAsiaTheme="majorEastAsia" w:hAnsiTheme="majorHAnsi" w:cstheme="majorBidi"/>
      <w:b/>
      <w:bCs/>
      <w:szCs w:val="24"/>
    </w:rPr>
  </w:style>
  <w:style w:type="paragraph" w:styleId="TOC9">
    <w:name w:val="toc 9"/>
    <w:basedOn w:val="Normal"/>
    <w:next w:val="Normal"/>
    <w:autoRedefine/>
    <w:uiPriority w:val="39"/>
    <w:semiHidden/>
    <w:unhideWhenUsed/>
    <w:rsid w:val="004F77A4"/>
    <w:pPr>
      <w:spacing w:after="100"/>
      <w:ind w:left="1920"/>
    </w:pPr>
  </w:style>
  <w:style w:type="paragraph" w:styleId="TOCHeading">
    <w:name w:val="TOC Heading"/>
    <w:basedOn w:val="Heading1"/>
    <w:next w:val="Normal"/>
    <w:uiPriority w:val="39"/>
    <w:semiHidden/>
    <w:unhideWhenUsed/>
    <w:qFormat/>
    <w:rsid w:val="004F77A4"/>
    <w:pPr>
      <w:spacing w:before="480"/>
      <w:ind w:left="0" w:right="0" w:firstLine="0"/>
      <w:outlineLvl w:val="9"/>
    </w:pPr>
    <w:rPr>
      <w:rFonts w:asciiTheme="majorHAnsi" w:eastAsiaTheme="majorEastAsia" w:hAnsiTheme="majorHAnsi" w:cstheme="majorBidi"/>
      <w:bCs/>
      <w:color w:val="365F91" w:themeColor="accent1" w:themeShade="BF"/>
      <w:sz w:val="28"/>
      <w:szCs w:val="28"/>
    </w:rPr>
  </w:style>
  <w:style w:type="character" w:styleId="FollowedHyperlink">
    <w:name w:val="FollowedHyperlink"/>
    <w:basedOn w:val="DefaultParagraphFont"/>
    <w:uiPriority w:val="99"/>
    <w:semiHidden/>
    <w:unhideWhenUsed/>
    <w:rsid w:val="00643DC9"/>
    <w:rPr>
      <w:color w:val="800080" w:themeColor="followedHyperlink"/>
      <w:u w:val="single"/>
    </w:rPr>
  </w:style>
  <w:style w:type="paragraph" w:customStyle="1" w:styleId="EndNoteBibliography">
    <w:name w:val="EndNote Bibliography"/>
    <w:basedOn w:val="Normal"/>
    <w:link w:val="EndNoteBibliographyZchn"/>
    <w:rsid w:val="00E0328C"/>
    <w:rPr>
      <w:rFonts w:eastAsia="Calibri"/>
      <w:noProof/>
      <w:sz w:val="22"/>
      <w:szCs w:val="22"/>
      <w:lang w:val="en-US"/>
    </w:rPr>
  </w:style>
  <w:style w:type="character" w:customStyle="1" w:styleId="EndNoteBibliographyZchn">
    <w:name w:val="EndNote Bibliography Zchn"/>
    <w:link w:val="EndNoteBibliography"/>
    <w:rsid w:val="00E0328C"/>
    <w:rPr>
      <w:rFonts w:eastAsia="Calibri"/>
      <w:noProof/>
      <w:sz w:val="22"/>
      <w:szCs w:val="22"/>
      <w:lang w:val="en-US" w:eastAsia="en-US"/>
    </w:rPr>
  </w:style>
  <w:style w:type="paragraph" w:customStyle="1" w:styleId="PIheading30">
    <w:name w:val="PI heading 3"/>
    <w:basedOn w:val="Heading3"/>
    <w:qFormat/>
    <w:rsid w:val="005D33C9"/>
    <w:rPr>
      <w:rFonts w:eastAsia="PMingLiU"/>
      <w:b w:val="0"/>
      <w:sz w:val="22"/>
      <w:u w:val="single"/>
      <w:lang w:val="en-US"/>
    </w:rPr>
  </w:style>
  <w:style w:type="table" w:customStyle="1" w:styleId="TableGrid1">
    <w:name w:val="Table Grid1"/>
    <w:basedOn w:val="TableNormal"/>
    <w:next w:val="TableGrid"/>
    <w:uiPriority w:val="59"/>
    <w:rsid w:val="00216867"/>
    <w:rPr>
      <w:rFonts w:ascii="Cambria" w:eastAsia="Cambria" w:hAnsi="Cambria"/>
      <w:sz w:val="22"/>
      <w:szCs w:val="22"/>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5806">
      <w:bodyDiv w:val="1"/>
      <w:marLeft w:val="0"/>
      <w:marRight w:val="0"/>
      <w:marTop w:val="0"/>
      <w:marBottom w:val="0"/>
      <w:divBdr>
        <w:top w:val="none" w:sz="0" w:space="0" w:color="auto"/>
        <w:left w:val="none" w:sz="0" w:space="0" w:color="auto"/>
        <w:bottom w:val="none" w:sz="0" w:space="0" w:color="auto"/>
        <w:right w:val="none" w:sz="0" w:space="0" w:color="auto"/>
      </w:divBdr>
    </w:div>
    <w:div w:id="162935075">
      <w:bodyDiv w:val="1"/>
      <w:marLeft w:val="0"/>
      <w:marRight w:val="0"/>
      <w:marTop w:val="0"/>
      <w:marBottom w:val="0"/>
      <w:divBdr>
        <w:top w:val="none" w:sz="0" w:space="0" w:color="auto"/>
        <w:left w:val="none" w:sz="0" w:space="0" w:color="auto"/>
        <w:bottom w:val="none" w:sz="0" w:space="0" w:color="auto"/>
        <w:right w:val="none" w:sz="0" w:space="0" w:color="auto"/>
      </w:divBdr>
    </w:div>
    <w:div w:id="221911944">
      <w:bodyDiv w:val="1"/>
      <w:marLeft w:val="0"/>
      <w:marRight w:val="0"/>
      <w:marTop w:val="0"/>
      <w:marBottom w:val="0"/>
      <w:divBdr>
        <w:top w:val="none" w:sz="0" w:space="0" w:color="auto"/>
        <w:left w:val="none" w:sz="0" w:space="0" w:color="auto"/>
        <w:bottom w:val="none" w:sz="0" w:space="0" w:color="auto"/>
        <w:right w:val="none" w:sz="0" w:space="0" w:color="auto"/>
      </w:divBdr>
    </w:div>
    <w:div w:id="225336154">
      <w:bodyDiv w:val="1"/>
      <w:marLeft w:val="0"/>
      <w:marRight w:val="0"/>
      <w:marTop w:val="0"/>
      <w:marBottom w:val="0"/>
      <w:divBdr>
        <w:top w:val="none" w:sz="0" w:space="0" w:color="auto"/>
        <w:left w:val="none" w:sz="0" w:space="0" w:color="auto"/>
        <w:bottom w:val="none" w:sz="0" w:space="0" w:color="auto"/>
        <w:right w:val="none" w:sz="0" w:space="0" w:color="auto"/>
      </w:divBdr>
    </w:div>
    <w:div w:id="416026133">
      <w:bodyDiv w:val="1"/>
      <w:marLeft w:val="0"/>
      <w:marRight w:val="0"/>
      <w:marTop w:val="0"/>
      <w:marBottom w:val="0"/>
      <w:divBdr>
        <w:top w:val="none" w:sz="0" w:space="0" w:color="auto"/>
        <w:left w:val="none" w:sz="0" w:space="0" w:color="auto"/>
        <w:bottom w:val="none" w:sz="0" w:space="0" w:color="auto"/>
        <w:right w:val="none" w:sz="0" w:space="0" w:color="auto"/>
      </w:divBdr>
    </w:div>
    <w:div w:id="616835860">
      <w:bodyDiv w:val="1"/>
      <w:marLeft w:val="0"/>
      <w:marRight w:val="0"/>
      <w:marTop w:val="0"/>
      <w:marBottom w:val="0"/>
      <w:divBdr>
        <w:top w:val="none" w:sz="0" w:space="0" w:color="auto"/>
        <w:left w:val="none" w:sz="0" w:space="0" w:color="auto"/>
        <w:bottom w:val="none" w:sz="0" w:space="0" w:color="auto"/>
        <w:right w:val="none" w:sz="0" w:space="0" w:color="auto"/>
      </w:divBdr>
    </w:div>
    <w:div w:id="938953448">
      <w:bodyDiv w:val="1"/>
      <w:marLeft w:val="0"/>
      <w:marRight w:val="0"/>
      <w:marTop w:val="0"/>
      <w:marBottom w:val="0"/>
      <w:divBdr>
        <w:top w:val="none" w:sz="0" w:space="0" w:color="auto"/>
        <w:left w:val="none" w:sz="0" w:space="0" w:color="auto"/>
        <w:bottom w:val="none" w:sz="0" w:space="0" w:color="auto"/>
        <w:right w:val="none" w:sz="0" w:space="0" w:color="auto"/>
      </w:divBdr>
    </w:div>
    <w:div w:id="942693085">
      <w:bodyDiv w:val="1"/>
      <w:marLeft w:val="0"/>
      <w:marRight w:val="0"/>
      <w:marTop w:val="0"/>
      <w:marBottom w:val="0"/>
      <w:divBdr>
        <w:top w:val="none" w:sz="0" w:space="0" w:color="auto"/>
        <w:left w:val="none" w:sz="0" w:space="0" w:color="auto"/>
        <w:bottom w:val="none" w:sz="0" w:space="0" w:color="auto"/>
        <w:right w:val="none" w:sz="0" w:space="0" w:color="auto"/>
      </w:divBdr>
    </w:div>
    <w:div w:id="1148279220">
      <w:bodyDiv w:val="1"/>
      <w:marLeft w:val="0"/>
      <w:marRight w:val="0"/>
      <w:marTop w:val="0"/>
      <w:marBottom w:val="0"/>
      <w:divBdr>
        <w:top w:val="none" w:sz="0" w:space="0" w:color="auto"/>
        <w:left w:val="none" w:sz="0" w:space="0" w:color="auto"/>
        <w:bottom w:val="none" w:sz="0" w:space="0" w:color="auto"/>
        <w:right w:val="none" w:sz="0" w:space="0" w:color="auto"/>
      </w:divBdr>
    </w:div>
    <w:div w:id="1325471300">
      <w:bodyDiv w:val="1"/>
      <w:marLeft w:val="0"/>
      <w:marRight w:val="0"/>
      <w:marTop w:val="0"/>
      <w:marBottom w:val="0"/>
      <w:divBdr>
        <w:top w:val="none" w:sz="0" w:space="0" w:color="auto"/>
        <w:left w:val="none" w:sz="0" w:space="0" w:color="auto"/>
        <w:bottom w:val="none" w:sz="0" w:space="0" w:color="auto"/>
        <w:right w:val="none" w:sz="0" w:space="0" w:color="auto"/>
      </w:divBdr>
    </w:div>
    <w:div w:id="1486625740">
      <w:bodyDiv w:val="1"/>
      <w:marLeft w:val="0"/>
      <w:marRight w:val="0"/>
      <w:marTop w:val="0"/>
      <w:marBottom w:val="0"/>
      <w:divBdr>
        <w:top w:val="none" w:sz="0" w:space="0" w:color="auto"/>
        <w:left w:val="none" w:sz="0" w:space="0" w:color="auto"/>
        <w:bottom w:val="none" w:sz="0" w:space="0" w:color="auto"/>
        <w:right w:val="none" w:sz="0" w:space="0" w:color="auto"/>
      </w:divBdr>
    </w:div>
    <w:div w:id="1543520159">
      <w:bodyDiv w:val="1"/>
      <w:marLeft w:val="0"/>
      <w:marRight w:val="0"/>
      <w:marTop w:val="0"/>
      <w:marBottom w:val="0"/>
      <w:divBdr>
        <w:top w:val="none" w:sz="0" w:space="0" w:color="auto"/>
        <w:left w:val="none" w:sz="0" w:space="0" w:color="auto"/>
        <w:bottom w:val="none" w:sz="0" w:space="0" w:color="auto"/>
        <w:right w:val="none" w:sz="0" w:space="0" w:color="auto"/>
      </w:divBdr>
    </w:div>
    <w:div w:id="1740899819">
      <w:bodyDiv w:val="1"/>
      <w:marLeft w:val="0"/>
      <w:marRight w:val="0"/>
      <w:marTop w:val="0"/>
      <w:marBottom w:val="0"/>
      <w:divBdr>
        <w:top w:val="none" w:sz="0" w:space="0" w:color="auto"/>
        <w:left w:val="none" w:sz="0" w:space="0" w:color="auto"/>
        <w:bottom w:val="none" w:sz="0" w:space="0" w:color="auto"/>
        <w:right w:val="none" w:sz="0" w:space="0" w:color="auto"/>
      </w:divBdr>
    </w:div>
    <w:div w:id="18300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boehringer-ingelheim.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62CFB8C36B74B8469CE88AB2FD05F" ma:contentTypeVersion="0" ma:contentTypeDescription="Create a new document." ma:contentTypeScope="" ma:versionID="3b0d345c845fb26d9becd973b34807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8A4A-84A6-4D06-92DB-F08A0A4C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1DD0E-6BCA-46A5-B577-8C27C8CB1B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D9A058-BD8F-4E6A-A0AE-EAC386FC862F}">
  <ds:schemaRefs>
    <ds:schemaRef ds:uri="http://schemas.microsoft.com/sharepoint/v3/contenttype/forms"/>
  </ds:schemaRefs>
</ds:datastoreItem>
</file>

<file path=customXml/itemProps4.xml><?xml version="1.0" encoding="utf-8"?>
<ds:datastoreItem xmlns:ds="http://schemas.openxmlformats.org/officeDocument/2006/customXml" ds:itemID="{ACA31D24-B1B5-4B60-8928-6BABA50E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16040</Words>
  <Characters>90548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Core PI template</vt:lpstr>
    </vt:vector>
  </TitlesOfParts>
  <Company>Boehringer Ingelheim</Company>
  <LinksUpToDate>false</LinksUpToDate>
  <CharactersWithSpaces>106376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Nintedanib (as Esilate)</dc:title>
  <dc:subject>Product Information</dc:subject>
  <dc:creator>Boehringer Ingelheim</dc:creator>
  <cp:lastPrinted>2018-07-09T00:05:00Z</cp:lastPrinted>
  <dcterms:created xsi:type="dcterms:W3CDTF">2020-12-31T02:34:00Z</dcterms:created>
  <dcterms:modified xsi:type="dcterms:W3CDTF">2021-03-17T06:20:00Z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0x01010018C62CFB8C36B74B8469CE88AB2FD05F</vt:lpwstr>
  </property>
</Properties>
</file>