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F051D0" w14:paraId="78D1AFB1" w14:textId="77777777" w:rsidTr="00BF1190">
        <w:trPr>
          <w:trHeight w:val="1863"/>
        </w:trPr>
        <w:tc>
          <w:tcPr>
            <w:tcW w:w="3652" w:type="dxa"/>
            <w:tcBorders>
              <w:top w:val="nil"/>
              <w:left w:val="nil"/>
              <w:bottom w:val="nil"/>
              <w:right w:val="nil"/>
            </w:tcBorders>
          </w:tcPr>
          <w:p w14:paraId="71D44E6D" w14:textId="77777777" w:rsidR="008E7846" w:rsidRPr="00F051D0" w:rsidRDefault="00F333E5" w:rsidP="00F333E5">
            <w:pPr>
              <w:rPr>
                <w:rFonts w:ascii="Arial" w:hAnsi="Arial" w:cs="Arial"/>
                <w:b/>
                <w:color w:val="002C47"/>
                <w:sz w:val="36"/>
                <w:szCs w:val="36"/>
              </w:rPr>
            </w:pPr>
            <w:r w:rsidRPr="00F051D0">
              <w:rPr>
                <w:rFonts w:ascii="Arial" w:hAnsi="Arial" w:cs="Arial"/>
                <w:b/>
                <w:color w:val="002C47"/>
                <w:sz w:val="36"/>
                <w:szCs w:val="36"/>
              </w:rPr>
              <w:t>February</w:t>
            </w:r>
            <w:r w:rsidR="00C346AB" w:rsidRPr="00F051D0">
              <w:rPr>
                <w:rFonts w:ascii="Arial" w:hAnsi="Arial" w:cs="Arial"/>
                <w:b/>
                <w:color w:val="002C47"/>
                <w:sz w:val="36"/>
                <w:szCs w:val="36"/>
              </w:rPr>
              <w:t xml:space="preserve"> </w:t>
            </w:r>
            <w:r w:rsidRPr="00F051D0">
              <w:rPr>
                <w:rFonts w:ascii="Arial" w:hAnsi="Arial" w:cs="Arial"/>
                <w:b/>
                <w:color w:val="002C47"/>
                <w:sz w:val="36"/>
                <w:szCs w:val="36"/>
              </w:rPr>
              <w:t>2021</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F051D0" w14:paraId="138E2C18" w14:textId="77777777" w:rsidTr="0032583B">
        <w:trPr>
          <w:trHeight w:val="868"/>
        </w:trPr>
        <w:tc>
          <w:tcPr>
            <w:tcW w:w="9079" w:type="dxa"/>
          </w:tcPr>
          <w:p w14:paraId="1F4E227F" w14:textId="77777777" w:rsidR="0032583B" w:rsidRPr="00F051D0" w:rsidRDefault="0032583B" w:rsidP="00733278">
            <w:pPr>
              <w:pStyle w:val="Title"/>
              <w:framePr w:hSpace="0" w:wrap="auto" w:vAnchor="margin" w:yAlign="inline"/>
            </w:pPr>
            <w:r w:rsidRPr="00F051D0">
              <w:t>Australia</w:t>
            </w:r>
            <w:r w:rsidR="00F333E5" w:rsidRPr="00F051D0">
              <w:t xml:space="preserve">n Public Assessment Report for </w:t>
            </w:r>
            <w:r w:rsidR="00F333E5" w:rsidRPr="00733278">
              <w:t>Nintedanib</w:t>
            </w:r>
            <w:r w:rsidR="00F333E5" w:rsidRPr="00F051D0">
              <w:t xml:space="preserve"> (as Esilate)</w:t>
            </w:r>
          </w:p>
        </w:tc>
      </w:tr>
      <w:tr w:rsidR="0032583B" w:rsidRPr="00F051D0" w14:paraId="01FF8559" w14:textId="77777777" w:rsidTr="0032583B">
        <w:tc>
          <w:tcPr>
            <w:tcW w:w="9079" w:type="dxa"/>
          </w:tcPr>
          <w:p w14:paraId="503E52E9" w14:textId="2C2C2D98" w:rsidR="0032583B" w:rsidRPr="00F051D0" w:rsidRDefault="00F333E5" w:rsidP="00733278">
            <w:pPr>
              <w:pStyle w:val="Subtitle"/>
              <w:framePr w:hSpace="0" w:wrap="auto" w:vAnchor="margin" w:yAlign="inline"/>
            </w:pPr>
            <w:r w:rsidRPr="00F051D0">
              <w:t>Proprietary Product Name: Ofev</w:t>
            </w:r>
            <w:r w:rsidR="001C4A10">
              <w:t>/</w:t>
            </w:r>
            <w:r w:rsidRPr="00F051D0">
              <w:t>Vargatef</w:t>
            </w:r>
          </w:p>
        </w:tc>
      </w:tr>
      <w:tr w:rsidR="0032583B" w:rsidRPr="00F051D0" w14:paraId="40A28193" w14:textId="77777777" w:rsidTr="0032583B">
        <w:trPr>
          <w:trHeight w:val="486"/>
        </w:trPr>
        <w:tc>
          <w:tcPr>
            <w:tcW w:w="9079" w:type="dxa"/>
          </w:tcPr>
          <w:p w14:paraId="42AB4C7F" w14:textId="77777777" w:rsidR="0032583B" w:rsidRPr="00F051D0" w:rsidRDefault="00460036" w:rsidP="00733278">
            <w:pPr>
              <w:pStyle w:val="Subtitle"/>
              <w:framePr w:hSpace="0" w:wrap="auto" w:vAnchor="margin" w:yAlign="inline"/>
            </w:pPr>
            <w:r w:rsidRPr="00F051D0">
              <w:t xml:space="preserve">Sponsor: </w:t>
            </w:r>
            <w:r w:rsidR="00F333E5" w:rsidRPr="00F051D0">
              <w:t>Boehringer Ingelheim Pty Ltd</w:t>
            </w:r>
          </w:p>
        </w:tc>
      </w:tr>
    </w:tbl>
    <w:p w14:paraId="3551C24A" w14:textId="77777777" w:rsidR="008E7846" w:rsidRPr="00F051D0" w:rsidRDefault="008E7846" w:rsidP="0085156D">
      <w:r w:rsidRPr="00F051D0">
        <w:br w:type="page"/>
      </w:r>
    </w:p>
    <w:p w14:paraId="1C975B37" w14:textId="77777777" w:rsidR="008E7846" w:rsidRPr="00F051D0" w:rsidRDefault="008E7846" w:rsidP="008E7846">
      <w:pPr>
        <w:pStyle w:val="NonTOCHeading2"/>
      </w:pPr>
      <w:r w:rsidRPr="00F051D0">
        <w:lastRenderedPageBreak/>
        <w:t>About the Therapeutic Goods Administration (TGA)</w:t>
      </w:r>
    </w:p>
    <w:p w14:paraId="759307A5" w14:textId="77777777" w:rsidR="008E7846" w:rsidRPr="00F051D0" w:rsidRDefault="008E7846" w:rsidP="00733278">
      <w:pPr>
        <w:pStyle w:val="ListBullet"/>
      </w:pPr>
      <w:r w:rsidRPr="00F051D0">
        <w:t xml:space="preserve">The Therapeutic Goods Administration (TGA) is </w:t>
      </w:r>
      <w:r w:rsidR="00E624A5" w:rsidRPr="00F051D0">
        <w:t xml:space="preserve">part </w:t>
      </w:r>
      <w:r w:rsidRPr="00F051D0">
        <w:t>of the Australian Government Department of Health and is responsible for regulating medicines and medical devices.</w:t>
      </w:r>
    </w:p>
    <w:p w14:paraId="24994DC3" w14:textId="77777777" w:rsidR="008E7846" w:rsidRPr="00F051D0" w:rsidRDefault="00C80137" w:rsidP="008E7846">
      <w:pPr>
        <w:pStyle w:val="ListBullet"/>
        <w:numPr>
          <w:ilvl w:val="0"/>
          <w:numId w:val="3"/>
        </w:numPr>
        <w:ind w:left="357" w:hanging="357"/>
      </w:pPr>
      <w:r w:rsidRPr="00F051D0">
        <w:t xml:space="preserve">The </w:t>
      </w:r>
      <w:r w:rsidR="008E7846" w:rsidRPr="00F051D0">
        <w:t xml:space="preserve">TGA administers the </w:t>
      </w:r>
      <w:r w:rsidR="008E7846" w:rsidRPr="00F051D0">
        <w:rPr>
          <w:i/>
        </w:rPr>
        <w:t>Therapeutic Goods Act 1989</w:t>
      </w:r>
      <w:r w:rsidR="00785717" w:rsidRPr="00F051D0">
        <w:rPr>
          <w:i/>
        </w:rPr>
        <w:t xml:space="preserve"> </w:t>
      </w:r>
      <w:r w:rsidR="00785717" w:rsidRPr="00F051D0">
        <w:t>(the Act)</w:t>
      </w:r>
      <w:r w:rsidR="008E7846" w:rsidRPr="00F051D0">
        <w:t>, applying a risk management approach designed to ensure therapeutic goods supplied in Australia meet acceptable standards of quality, safety and efficacy (performance) when necessary.</w:t>
      </w:r>
    </w:p>
    <w:p w14:paraId="2848FF64" w14:textId="77777777" w:rsidR="008E7846" w:rsidRPr="00F051D0" w:rsidRDefault="008E7846" w:rsidP="008E7846">
      <w:pPr>
        <w:pStyle w:val="ListBullet"/>
        <w:numPr>
          <w:ilvl w:val="0"/>
          <w:numId w:val="3"/>
        </w:numPr>
        <w:ind w:left="357" w:hanging="357"/>
      </w:pPr>
      <w:r w:rsidRPr="00F051D0">
        <w:t>The work of the TGA is based on applying scientific and clinical expertise to decision-making, to ensure that the benefits to consumers outweigh any risks associated with the use of medicines and medical devices.</w:t>
      </w:r>
    </w:p>
    <w:p w14:paraId="137A7918" w14:textId="77777777" w:rsidR="008E7846" w:rsidRPr="00F051D0" w:rsidRDefault="008E7846" w:rsidP="008E7846">
      <w:pPr>
        <w:pStyle w:val="ListBullet"/>
        <w:numPr>
          <w:ilvl w:val="0"/>
          <w:numId w:val="3"/>
        </w:numPr>
        <w:ind w:left="357" w:hanging="357"/>
      </w:pPr>
      <w:r w:rsidRPr="00F051D0">
        <w:t>The TGA relies on the public, healthcare professionals and industry to report problems with medicines or medical devices. TGA investigates reports received by it to determine any necessary regulatory action.</w:t>
      </w:r>
    </w:p>
    <w:p w14:paraId="5C84586C" w14:textId="77777777" w:rsidR="00441C3F" w:rsidRPr="00F051D0" w:rsidRDefault="008E7846" w:rsidP="00441C3F">
      <w:pPr>
        <w:pStyle w:val="ListBullet"/>
        <w:numPr>
          <w:ilvl w:val="0"/>
          <w:numId w:val="3"/>
        </w:numPr>
        <w:ind w:left="357" w:hanging="357"/>
      </w:pPr>
      <w:r w:rsidRPr="00F051D0">
        <w:t xml:space="preserve">To report a problem with a medicine or medical device, please see the information on </w:t>
      </w:r>
      <w:r w:rsidR="00441C3F" w:rsidRPr="00F051D0">
        <w:t>the TGA website &lt;</w:t>
      </w:r>
      <w:hyperlink r:id="rId11" w:history="1">
        <w:r w:rsidR="00441C3F" w:rsidRPr="00F051D0">
          <w:rPr>
            <w:rStyle w:val="Hyperlink"/>
          </w:rPr>
          <w:t>https://www.tga.gov.au</w:t>
        </w:r>
      </w:hyperlink>
      <w:r w:rsidR="00441C3F" w:rsidRPr="00F051D0">
        <w:t>&gt;.</w:t>
      </w:r>
    </w:p>
    <w:p w14:paraId="5C4104BE" w14:textId="77777777" w:rsidR="008E7846" w:rsidRPr="00F051D0" w:rsidRDefault="008E7846" w:rsidP="00875A6B">
      <w:pPr>
        <w:pStyle w:val="NonTOCHeading2"/>
      </w:pPr>
      <w:r w:rsidRPr="00F051D0">
        <w:t>About AusPARs</w:t>
      </w:r>
    </w:p>
    <w:p w14:paraId="455FE13D" w14:textId="77777777" w:rsidR="008E7846" w:rsidRPr="00F051D0" w:rsidRDefault="008E7846" w:rsidP="008E7846">
      <w:pPr>
        <w:pStyle w:val="ListBullet"/>
        <w:numPr>
          <w:ilvl w:val="0"/>
          <w:numId w:val="3"/>
        </w:numPr>
        <w:ind w:left="357" w:hanging="357"/>
      </w:pPr>
      <w:r w:rsidRPr="00F051D0">
        <w:t>An Australian Public Assessment Re</w:t>
      </w:r>
      <w:r w:rsidR="00133A1B" w:rsidRPr="00F051D0">
        <w:t>port</w:t>
      </w:r>
      <w:r w:rsidRPr="00F051D0">
        <w:t xml:space="preserve"> (AusPAR) provides information about the evaluation of a prescription medicine and the considerations that led the TGA to approve or not approve a pr</w:t>
      </w:r>
      <w:r w:rsidR="00441C3F" w:rsidRPr="00F051D0">
        <w:t>escription medicine submission.</w:t>
      </w:r>
    </w:p>
    <w:p w14:paraId="0A50B070" w14:textId="77777777" w:rsidR="008E7846" w:rsidRPr="00F051D0" w:rsidRDefault="008E7846" w:rsidP="008E7846">
      <w:pPr>
        <w:pStyle w:val="ListBullet"/>
        <w:numPr>
          <w:ilvl w:val="0"/>
          <w:numId w:val="3"/>
        </w:numPr>
        <w:ind w:left="357" w:hanging="357"/>
      </w:pPr>
      <w:r w:rsidRPr="00F051D0">
        <w:t>AusPARs are prepared and published by the TGA.</w:t>
      </w:r>
    </w:p>
    <w:p w14:paraId="548D72E8" w14:textId="77777777" w:rsidR="008E7846" w:rsidRPr="00F051D0" w:rsidRDefault="008E7846" w:rsidP="008E7846">
      <w:pPr>
        <w:pStyle w:val="ListBullet"/>
        <w:numPr>
          <w:ilvl w:val="0"/>
          <w:numId w:val="3"/>
        </w:numPr>
        <w:ind w:left="357" w:hanging="357"/>
      </w:pPr>
      <w:r w:rsidRPr="00F051D0">
        <w:t>An AusPAR is prepared for submissions that relate to new chemical entities, generic medicines, major variations and extensions of indications.</w:t>
      </w:r>
    </w:p>
    <w:p w14:paraId="517E0D4A" w14:textId="77777777" w:rsidR="008E7846" w:rsidRPr="00F051D0" w:rsidRDefault="008E7846" w:rsidP="008E7846">
      <w:pPr>
        <w:pStyle w:val="ListBullet"/>
        <w:numPr>
          <w:ilvl w:val="0"/>
          <w:numId w:val="3"/>
        </w:numPr>
        <w:ind w:left="357" w:hanging="357"/>
      </w:pPr>
      <w:r w:rsidRPr="00F051D0">
        <w:t>An AusPAR is a static document</w:t>
      </w:r>
      <w:r w:rsidR="00133A1B" w:rsidRPr="00F051D0">
        <w:t>;</w:t>
      </w:r>
      <w:r w:rsidRPr="00F051D0">
        <w:t xml:space="preserve"> it provide</w:t>
      </w:r>
      <w:r w:rsidR="00133A1B" w:rsidRPr="00F051D0">
        <w:t>s</w:t>
      </w:r>
      <w:r w:rsidRPr="00F051D0">
        <w:t xml:space="preserve"> information that relates to a submission at a particular point in time.</w:t>
      </w:r>
    </w:p>
    <w:p w14:paraId="6BD0B602" w14:textId="77777777" w:rsidR="00B452CE" w:rsidRPr="00F051D0" w:rsidRDefault="008E7846" w:rsidP="00FF5755">
      <w:pPr>
        <w:pStyle w:val="ListBullet"/>
        <w:numPr>
          <w:ilvl w:val="0"/>
          <w:numId w:val="3"/>
        </w:numPr>
        <w:ind w:left="357" w:hanging="357"/>
      </w:pPr>
      <w:r w:rsidRPr="00F051D0">
        <w:t>A new AusPAR will be developed to reflect changes to indications and/or major variations to a prescription medicine subject to evaluation by the TGA.</w:t>
      </w:r>
    </w:p>
    <w:p w14:paraId="40E35AAB" w14:textId="77777777" w:rsidR="00924482" w:rsidRPr="00F051D0" w:rsidRDefault="00924482" w:rsidP="00F54B65">
      <w:pPr>
        <w:pStyle w:val="LegalSubheading"/>
        <w:spacing w:before="3120"/>
      </w:pPr>
      <w:r w:rsidRPr="00F051D0">
        <w:t>Copyright</w:t>
      </w:r>
    </w:p>
    <w:p w14:paraId="6D1A3A58" w14:textId="77777777" w:rsidR="00924482" w:rsidRPr="00F051D0" w:rsidRDefault="00924482" w:rsidP="00924482">
      <w:pPr>
        <w:pStyle w:val="LegalCopy"/>
      </w:pPr>
      <w:r w:rsidRPr="00F051D0">
        <w:rPr>
          <w:rFonts w:cs="Arial"/>
          <w:lang w:val="en-GB"/>
        </w:rPr>
        <w:t>© Commonwealth of Australia 20</w:t>
      </w:r>
      <w:r w:rsidR="00460036" w:rsidRPr="00F051D0">
        <w:rPr>
          <w:rFonts w:cs="Arial"/>
          <w:lang w:val="en-GB"/>
        </w:rPr>
        <w:t>2</w:t>
      </w:r>
      <w:r w:rsidR="00324E45" w:rsidRPr="00F051D0">
        <w:rPr>
          <w:rFonts w:cs="Arial"/>
          <w:lang w:val="en-GB"/>
        </w:rPr>
        <w:t>1</w:t>
      </w:r>
      <w:r w:rsidRPr="00F051D0">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F051D0">
        <w:rPr>
          <w:rFonts w:cs="Arial"/>
          <w:i/>
          <w:lang w:val="en-GB"/>
        </w:rPr>
        <w:t>Copyright Act 1968</w:t>
      </w:r>
      <w:r w:rsidRPr="00F051D0">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F051D0">
          <w:rPr>
            <w:rStyle w:val="Hyperlink"/>
            <w:rFonts w:cs="Arial"/>
            <w:lang w:val="en-GB"/>
          </w:rPr>
          <w:t>tga.copyright@tga.gov.au</w:t>
        </w:r>
      </w:hyperlink>
      <w:r w:rsidRPr="00F051D0">
        <w:rPr>
          <w:rFonts w:cs="Arial"/>
        </w:rPr>
        <w:t>&gt;.</w:t>
      </w:r>
    </w:p>
    <w:p w14:paraId="223D3536" w14:textId="77777777" w:rsidR="00924482" w:rsidRPr="00F051D0" w:rsidRDefault="00924482" w:rsidP="00924482">
      <w:pPr>
        <w:pStyle w:val="LegalCopy"/>
        <w:sectPr w:rsidR="00924482" w:rsidRPr="00F051D0" w:rsidSect="003D1E62">
          <w:headerReference w:type="default" r:id="rId13"/>
          <w:footerReference w:type="default" r:id="rId14"/>
          <w:head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212F1A2F" w14:textId="77777777" w:rsidR="0089635C" w:rsidRPr="00F051D0" w:rsidRDefault="0089635C" w:rsidP="0010788A">
          <w:pPr>
            <w:pStyle w:val="Contents"/>
          </w:pPr>
          <w:r w:rsidRPr="00F051D0">
            <w:t>Contents</w:t>
          </w:r>
        </w:p>
        <w:p w14:paraId="284AB38B" w14:textId="0BB87BF0" w:rsidR="00FB34FF" w:rsidRDefault="00C525A2">
          <w:pPr>
            <w:pStyle w:val="TOC1"/>
            <w:rPr>
              <w:rFonts w:asciiTheme="minorHAnsi" w:eastAsiaTheme="minorEastAsia" w:hAnsiTheme="minorHAnsi" w:cstheme="minorBidi"/>
              <w:b w:val="0"/>
              <w:noProof/>
              <w:sz w:val="22"/>
              <w:lang w:eastAsia="en-AU"/>
            </w:rPr>
          </w:pPr>
          <w:r w:rsidRPr="00F051D0">
            <w:fldChar w:fldCharType="begin"/>
          </w:r>
          <w:r w:rsidRPr="00F051D0">
            <w:instrText xml:space="preserve"> TOC \h \z \t "Heading 2,1,Heading 3,2" </w:instrText>
          </w:r>
          <w:r w:rsidRPr="00F051D0">
            <w:fldChar w:fldCharType="separate"/>
          </w:r>
          <w:hyperlink w:anchor="_Toc65228876" w:history="1">
            <w:r w:rsidR="00FB34FF" w:rsidRPr="001C4BCE">
              <w:rPr>
                <w:rStyle w:val="Hyperlink"/>
                <w:noProof/>
              </w:rPr>
              <w:t>List of abbreviations</w:t>
            </w:r>
            <w:r w:rsidR="00FB34FF">
              <w:rPr>
                <w:noProof/>
                <w:webHidden/>
              </w:rPr>
              <w:tab/>
            </w:r>
            <w:r w:rsidR="00FB34FF">
              <w:rPr>
                <w:noProof/>
                <w:webHidden/>
              </w:rPr>
              <w:fldChar w:fldCharType="begin"/>
            </w:r>
            <w:r w:rsidR="00FB34FF">
              <w:rPr>
                <w:noProof/>
                <w:webHidden/>
              </w:rPr>
              <w:instrText xml:space="preserve"> PAGEREF _Toc65228876 \h </w:instrText>
            </w:r>
            <w:r w:rsidR="00FB34FF">
              <w:rPr>
                <w:noProof/>
                <w:webHidden/>
              </w:rPr>
            </w:r>
            <w:r w:rsidR="00FB34FF">
              <w:rPr>
                <w:noProof/>
                <w:webHidden/>
              </w:rPr>
              <w:fldChar w:fldCharType="separate"/>
            </w:r>
            <w:r w:rsidR="00FB34FF">
              <w:rPr>
                <w:noProof/>
                <w:webHidden/>
              </w:rPr>
              <w:t>4</w:t>
            </w:r>
            <w:r w:rsidR="00FB34FF">
              <w:rPr>
                <w:noProof/>
                <w:webHidden/>
              </w:rPr>
              <w:fldChar w:fldCharType="end"/>
            </w:r>
          </w:hyperlink>
        </w:p>
        <w:p w14:paraId="54D6A5C0" w14:textId="6FA71D15" w:rsidR="00FB34FF" w:rsidRDefault="00550DD1">
          <w:pPr>
            <w:pStyle w:val="TOC1"/>
            <w:rPr>
              <w:rFonts w:asciiTheme="minorHAnsi" w:eastAsiaTheme="minorEastAsia" w:hAnsiTheme="minorHAnsi" w:cstheme="minorBidi"/>
              <w:b w:val="0"/>
              <w:noProof/>
              <w:sz w:val="22"/>
              <w:lang w:eastAsia="en-AU"/>
            </w:rPr>
          </w:pPr>
          <w:hyperlink w:anchor="_Toc65228877" w:history="1">
            <w:r w:rsidR="00FB34FF" w:rsidRPr="001C4BCE">
              <w:rPr>
                <w:rStyle w:val="Hyperlink"/>
                <w:noProof/>
              </w:rPr>
              <w:t>I. Introduction to product submission</w:t>
            </w:r>
            <w:r w:rsidR="00FB34FF">
              <w:rPr>
                <w:noProof/>
                <w:webHidden/>
              </w:rPr>
              <w:tab/>
            </w:r>
            <w:r w:rsidR="00FB34FF">
              <w:rPr>
                <w:noProof/>
                <w:webHidden/>
              </w:rPr>
              <w:fldChar w:fldCharType="begin"/>
            </w:r>
            <w:r w:rsidR="00FB34FF">
              <w:rPr>
                <w:noProof/>
                <w:webHidden/>
              </w:rPr>
              <w:instrText xml:space="preserve"> PAGEREF _Toc65228877 \h </w:instrText>
            </w:r>
            <w:r w:rsidR="00FB34FF">
              <w:rPr>
                <w:noProof/>
                <w:webHidden/>
              </w:rPr>
            </w:r>
            <w:r w:rsidR="00FB34FF">
              <w:rPr>
                <w:noProof/>
                <w:webHidden/>
              </w:rPr>
              <w:fldChar w:fldCharType="separate"/>
            </w:r>
            <w:r w:rsidR="00FB34FF">
              <w:rPr>
                <w:noProof/>
                <w:webHidden/>
              </w:rPr>
              <w:t>6</w:t>
            </w:r>
            <w:r w:rsidR="00FB34FF">
              <w:rPr>
                <w:noProof/>
                <w:webHidden/>
              </w:rPr>
              <w:fldChar w:fldCharType="end"/>
            </w:r>
          </w:hyperlink>
        </w:p>
        <w:p w14:paraId="49A190D0" w14:textId="54D76193" w:rsidR="00FB34FF" w:rsidRDefault="00550DD1">
          <w:pPr>
            <w:pStyle w:val="TOC2"/>
            <w:rPr>
              <w:rFonts w:asciiTheme="minorHAnsi" w:eastAsiaTheme="minorEastAsia" w:hAnsiTheme="minorHAnsi" w:cstheme="minorBidi"/>
              <w:b w:val="0"/>
              <w:noProof/>
              <w:sz w:val="22"/>
              <w:lang w:eastAsia="en-AU"/>
            </w:rPr>
          </w:pPr>
          <w:hyperlink w:anchor="_Toc65228878" w:history="1">
            <w:r w:rsidR="00FB34FF" w:rsidRPr="001C4BCE">
              <w:rPr>
                <w:rStyle w:val="Hyperlink"/>
                <w:noProof/>
                <w:lang w:eastAsia="en-AU"/>
              </w:rPr>
              <w:t>Submission details</w:t>
            </w:r>
            <w:r w:rsidR="00FB34FF">
              <w:rPr>
                <w:noProof/>
                <w:webHidden/>
              </w:rPr>
              <w:tab/>
            </w:r>
            <w:r w:rsidR="00FB34FF">
              <w:rPr>
                <w:noProof/>
                <w:webHidden/>
              </w:rPr>
              <w:fldChar w:fldCharType="begin"/>
            </w:r>
            <w:r w:rsidR="00FB34FF">
              <w:rPr>
                <w:noProof/>
                <w:webHidden/>
              </w:rPr>
              <w:instrText xml:space="preserve"> PAGEREF _Toc65228878 \h </w:instrText>
            </w:r>
            <w:r w:rsidR="00FB34FF">
              <w:rPr>
                <w:noProof/>
                <w:webHidden/>
              </w:rPr>
            </w:r>
            <w:r w:rsidR="00FB34FF">
              <w:rPr>
                <w:noProof/>
                <w:webHidden/>
              </w:rPr>
              <w:fldChar w:fldCharType="separate"/>
            </w:r>
            <w:r w:rsidR="00FB34FF">
              <w:rPr>
                <w:noProof/>
                <w:webHidden/>
              </w:rPr>
              <w:t>6</w:t>
            </w:r>
            <w:r w:rsidR="00FB34FF">
              <w:rPr>
                <w:noProof/>
                <w:webHidden/>
              </w:rPr>
              <w:fldChar w:fldCharType="end"/>
            </w:r>
          </w:hyperlink>
        </w:p>
        <w:p w14:paraId="563D6223" w14:textId="697C4F48" w:rsidR="00FB34FF" w:rsidRDefault="00550DD1">
          <w:pPr>
            <w:pStyle w:val="TOC2"/>
            <w:rPr>
              <w:rFonts w:asciiTheme="minorHAnsi" w:eastAsiaTheme="minorEastAsia" w:hAnsiTheme="minorHAnsi" w:cstheme="minorBidi"/>
              <w:b w:val="0"/>
              <w:noProof/>
              <w:sz w:val="22"/>
              <w:lang w:eastAsia="en-AU"/>
            </w:rPr>
          </w:pPr>
          <w:hyperlink w:anchor="_Toc65228879" w:history="1">
            <w:r w:rsidR="00FB34FF" w:rsidRPr="001C4BCE">
              <w:rPr>
                <w:rStyle w:val="Hyperlink"/>
                <w:noProof/>
              </w:rPr>
              <w:t>Product background</w:t>
            </w:r>
            <w:r w:rsidR="00FB34FF">
              <w:rPr>
                <w:noProof/>
                <w:webHidden/>
              </w:rPr>
              <w:tab/>
            </w:r>
            <w:r w:rsidR="00FB34FF">
              <w:rPr>
                <w:noProof/>
                <w:webHidden/>
              </w:rPr>
              <w:fldChar w:fldCharType="begin"/>
            </w:r>
            <w:r w:rsidR="00FB34FF">
              <w:rPr>
                <w:noProof/>
                <w:webHidden/>
              </w:rPr>
              <w:instrText xml:space="preserve"> PAGEREF _Toc65228879 \h </w:instrText>
            </w:r>
            <w:r w:rsidR="00FB34FF">
              <w:rPr>
                <w:noProof/>
                <w:webHidden/>
              </w:rPr>
            </w:r>
            <w:r w:rsidR="00FB34FF">
              <w:rPr>
                <w:noProof/>
                <w:webHidden/>
              </w:rPr>
              <w:fldChar w:fldCharType="separate"/>
            </w:r>
            <w:r w:rsidR="00FB34FF">
              <w:rPr>
                <w:noProof/>
                <w:webHidden/>
              </w:rPr>
              <w:t>7</w:t>
            </w:r>
            <w:r w:rsidR="00FB34FF">
              <w:rPr>
                <w:noProof/>
                <w:webHidden/>
              </w:rPr>
              <w:fldChar w:fldCharType="end"/>
            </w:r>
          </w:hyperlink>
        </w:p>
        <w:p w14:paraId="0BEACC1C" w14:textId="1914BEC1" w:rsidR="00FB34FF" w:rsidRDefault="00550DD1">
          <w:pPr>
            <w:pStyle w:val="TOC2"/>
            <w:rPr>
              <w:rFonts w:asciiTheme="minorHAnsi" w:eastAsiaTheme="minorEastAsia" w:hAnsiTheme="minorHAnsi" w:cstheme="minorBidi"/>
              <w:b w:val="0"/>
              <w:noProof/>
              <w:sz w:val="22"/>
              <w:lang w:eastAsia="en-AU"/>
            </w:rPr>
          </w:pPr>
          <w:hyperlink w:anchor="_Toc65228880" w:history="1">
            <w:r w:rsidR="00FB34FF" w:rsidRPr="001C4BCE">
              <w:rPr>
                <w:rStyle w:val="Hyperlink"/>
                <w:noProof/>
              </w:rPr>
              <w:t>Regulatory status</w:t>
            </w:r>
            <w:r w:rsidR="00FB34FF">
              <w:rPr>
                <w:noProof/>
                <w:webHidden/>
              </w:rPr>
              <w:tab/>
            </w:r>
            <w:r w:rsidR="00FB34FF">
              <w:rPr>
                <w:noProof/>
                <w:webHidden/>
              </w:rPr>
              <w:fldChar w:fldCharType="begin"/>
            </w:r>
            <w:r w:rsidR="00FB34FF">
              <w:rPr>
                <w:noProof/>
                <w:webHidden/>
              </w:rPr>
              <w:instrText xml:space="preserve"> PAGEREF _Toc65228880 \h </w:instrText>
            </w:r>
            <w:r w:rsidR="00FB34FF">
              <w:rPr>
                <w:noProof/>
                <w:webHidden/>
              </w:rPr>
            </w:r>
            <w:r w:rsidR="00FB34FF">
              <w:rPr>
                <w:noProof/>
                <w:webHidden/>
              </w:rPr>
              <w:fldChar w:fldCharType="separate"/>
            </w:r>
            <w:r w:rsidR="00FB34FF">
              <w:rPr>
                <w:noProof/>
                <w:webHidden/>
              </w:rPr>
              <w:t>9</w:t>
            </w:r>
            <w:r w:rsidR="00FB34FF">
              <w:rPr>
                <w:noProof/>
                <w:webHidden/>
              </w:rPr>
              <w:fldChar w:fldCharType="end"/>
            </w:r>
          </w:hyperlink>
        </w:p>
        <w:p w14:paraId="49A4F728" w14:textId="5842294E" w:rsidR="00FB34FF" w:rsidRDefault="00550DD1">
          <w:pPr>
            <w:pStyle w:val="TOC2"/>
            <w:rPr>
              <w:rFonts w:asciiTheme="minorHAnsi" w:eastAsiaTheme="minorEastAsia" w:hAnsiTheme="minorHAnsi" w:cstheme="minorBidi"/>
              <w:b w:val="0"/>
              <w:noProof/>
              <w:sz w:val="22"/>
              <w:lang w:eastAsia="en-AU"/>
            </w:rPr>
          </w:pPr>
          <w:hyperlink w:anchor="_Toc65228881" w:history="1">
            <w:r w:rsidR="00FB34FF" w:rsidRPr="001C4BCE">
              <w:rPr>
                <w:rStyle w:val="Hyperlink"/>
                <w:noProof/>
              </w:rPr>
              <w:t>Product Information</w:t>
            </w:r>
            <w:r w:rsidR="00FB34FF">
              <w:rPr>
                <w:noProof/>
                <w:webHidden/>
              </w:rPr>
              <w:tab/>
            </w:r>
            <w:r w:rsidR="00FB34FF">
              <w:rPr>
                <w:noProof/>
                <w:webHidden/>
              </w:rPr>
              <w:fldChar w:fldCharType="begin"/>
            </w:r>
            <w:r w:rsidR="00FB34FF">
              <w:rPr>
                <w:noProof/>
                <w:webHidden/>
              </w:rPr>
              <w:instrText xml:space="preserve"> PAGEREF _Toc65228881 \h </w:instrText>
            </w:r>
            <w:r w:rsidR="00FB34FF">
              <w:rPr>
                <w:noProof/>
                <w:webHidden/>
              </w:rPr>
            </w:r>
            <w:r w:rsidR="00FB34FF">
              <w:rPr>
                <w:noProof/>
                <w:webHidden/>
              </w:rPr>
              <w:fldChar w:fldCharType="separate"/>
            </w:r>
            <w:r w:rsidR="00FB34FF">
              <w:rPr>
                <w:noProof/>
                <w:webHidden/>
              </w:rPr>
              <w:t>10</w:t>
            </w:r>
            <w:r w:rsidR="00FB34FF">
              <w:rPr>
                <w:noProof/>
                <w:webHidden/>
              </w:rPr>
              <w:fldChar w:fldCharType="end"/>
            </w:r>
          </w:hyperlink>
        </w:p>
        <w:p w14:paraId="58AAA115" w14:textId="1558FD22" w:rsidR="00FB34FF" w:rsidRDefault="00550DD1">
          <w:pPr>
            <w:pStyle w:val="TOC1"/>
            <w:rPr>
              <w:rFonts w:asciiTheme="minorHAnsi" w:eastAsiaTheme="minorEastAsia" w:hAnsiTheme="minorHAnsi" w:cstheme="minorBidi"/>
              <w:b w:val="0"/>
              <w:noProof/>
              <w:sz w:val="22"/>
              <w:lang w:eastAsia="en-AU"/>
            </w:rPr>
          </w:pPr>
          <w:hyperlink w:anchor="_Toc65228882" w:history="1">
            <w:r w:rsidR="00FB34FF" w:rsidRPr="001C4BCE">
              <w:rPr>
                <w:rStyle w:val="Hyperlink"/>
                <w:noProof/>
              </w:rPr>
              <w:t>II. Registration timeline</w:t>
            </w:r>
            <w:r w:rsidR="00FB34FF">
              <w:rPr>
                <w:noProof/>
                <w:webHidden/>
              </w:rPr>
              <w:tab/>
            </w:r>
            <w:r w:rsidR="00FB34FF">
              <w:rPr>
                <w:noProof/>
                <w:webHidden/>
              </w:rPr>
              <w:fldChar w:fldCharType="begin"/>
            </w:r>
            <w:r w:rsidR="00FB34FF">
              <w:rPr>
                <w:noProof/>
                <w:webHidden/>
              </w:rPr>
              <w:instrText xml:space="preserve"> PAGEREF _Toc65228882 \h </w:instrText>
            </w:r>
            <w:r w:rsidR="00FB34FF">
              <w:rPr>
                <w:noProof/>
                <w:webHidden/>
              </w:rPr>
            </w:r>
            <w:r w:rsidR="00FB34FF">
              <w:rPr>
                <w:noProof/>
                <w:webHidden/>
              </w:rPr>
              <w:fldChar w:fldCharType="separate"/>
            </w:r>
            <w:r w:rsidR="00FB34FF">
              <w:rPr>
                <w:noProof/>
                <w:webHidden/>
              </w:rPr>
              <w:t>10</w:t>
            </w:r>
            <w:r w:rsidR="00FB34FF">
              <w:rPr>
                <w:noProof/>
                <w:webHidden/>
              </w:rPr>
              <w:fldChar w:fldCharType="end"/>
            </w:r>
          </w:hyperlink>
        </w:p>
        <w:p w14:paraId="24F27D85" w14:textId="67061063" w:rsidR="00FB34FF" w:rsidRDefault="00550DD1">
          <w:pPr>
            <w:pStyle w:val="TOC1"/>
            <w:rPr>
              <w:rFonts w:asciiTheme="minorHAnsi" w:eastAsiaTheme="minorEastAsia" w:hAnsiTheme="minorHAnsi" w:cstheme="minorBidi"/>
              <w:b w:val="0"/>
              <w:noProof/>
              <w:sz w:val="22"/>
              <w:lang w:eastAsia="en-AU"/>
            </w:rPr>
          </w:pPr>
          <w:hyperlink w:anchor="_Toc65228883" w:history="1">
            <w:r w:rsidR="00FB34FF" w:rsidRPr="001C4BCE">
              <w:rPr>
                <w:rStyle w:val="Hyperlink"/>
                <w:noProof/>
              </w:rPr>
              <w:t>III. Submission overview and risk/benefit assessment</w:t>
            </w:r>
            <w:r w:rsidR="00FB34FF">
              <w:rPr>
                <w:noProof/>
                <w:webHidden/>
              </w:rPr>
              <w:tab/>
            </w:r>
            <w:r w:rsidR="00FB34FF">
              <w:rPr>
                <w:noProof/>
                <w:webHidden/>
              </w:rPr>
              <w:fldChar w:fldCharType="begin"/>
            </w:r>
            <w:r w:rsidR="00FB34FF">
              <w:rPr>
                <w:noProof/>
                <w:webHidden/>
              </w:rPr>
              <w:instrText xml:space="preserve"> PAGEREF _Toc65228883 \h </w:instrText>
            </w:r>
            <w:r w:rsidR="00FB34FF">
              <w:rPr>
                <w:noProof/>
                <w:webHidden/>
              </w:rPr>
            </w:r>
            <w:r w:rsidR="00FB34FF">
              <w:rPr>
                <w:noProof/>
                <w:webHidden/>
              </w:rPr>
              <w:fldChar w:fldCharType="separate"/>
            </w:r>
            <w:r w:rsidR="00FB34FF">
              <w:rPr>
                <w:noProof/>
                <w:webHidden/>
              </w:rPr>
              <w:t>11</w:t>
            </w:r>
            <w:r w:rsidR="00FB34FF">
              <w:rPr>
                <w:noProof/>
                <w:webHidden/>
              </w:rPr>
              <w:fldChar w:fldCharType="end"/>
            </w:r>
          </w:hyperlink>
        </w:p>
        <w:p w14:paraId="05C61775" w14:textId="2A381375" w:rsidR="00FB34FF" w:rsidRDefault="00550DD1">
          <w:pPr>
            <w:pStyle w:val="TOC2"/>
            <w:rPr>
              <w:rFonts w:asciiTheme="minorHAnsi" w:eastAsiaTheme="minorEastAsia" w:hAnsiTheme="minorHAnsi" w:cstheme="minorBidi"/>
              <w:b w:val="0"/>
              <w:noProof/>
              <w:sz w:val="22"/>
              <w:lang w:eastAsia="en-AU"/>
            </w:rPr>
          </w:pPr>
          <w:hyperlink w:anchor="_Toc65228884" w:history="1">
            <w:r w:rsidR="00FB34FF" w:rsidRPr="001C4BCE">
              <w:rPr>
                <w:rStyle w:val="Hyperlink"/>
                <w:noProof/>
              </w:rPr>
              <w:t>Quality</w:t>
            </w:r>
            <w:r w:rsidR="00FB34FF">
              <w:rPr>
                <w:noProof/>
                <w:webHidden/>
              </w:rPr>
              <w:tab/>
            </w:r>
            <w:r w:rsidR="00FB34FF">
              <w:rPr>
                <w:noProof/>
                <w:webHidden/>
              </w:rPr>
              <w:fldChar w:fldCharType="begin"/>
            </w:r>
            <w:r w:rsidR="00FB34FF">
              <w:rPr>
                <w:noProof/>
                <w:webHidden/>
              </w:rPr>
              <w:instrText xml:space="preserve"> PAGEREF _Toc65228884 \h </w:instrText>
            </w:r>
            <w:r w:rsidR="00FB34FF">
              <w:rPr>
                <w:noProof/>
                <w:webHidden/>
              </w:rPr>
            </w:r>
            <w:r w:rsidR="00FB34FF">
              <w:rPr>
                <w:noProof/>
                <w:webHidden/>
              </w:rPr>
              <w:fldChar w:fldCharType="separate"/>
            </w:r>
            <w:r w:rsidR="00FB34FF">
              <w:rPr>
                <w:noProof/>
                <w:webHidden/>
              </w:rPr>
              <w:t>11</w:t>
            </w:r>
            <w:r w:rsidR="00FB34FF">
              <w:rPr>
                <w:noProof/>
                <w:webHidden/>
              </w:rPr>
              <w:fldChar w:fldCharType="end"/>
            </w:r>
          </w:hyperlink>
        </w:p>
        <w:p w14:paraId="1B7EA990" w14:textId="58DB305C" w:rsidR="00FB34FF" w:rsidRDefault="00550DD1">
          <w:pPr>
            <w:pStyle w:val="TOC2"/>
            <w:rPr>
              <w:rFonts w:asciiTheme="minorHAnsi" w:eastAsiaTheme="minorEastAsia" w:hAnsiTheme="minorHAnsi" w:cstheme="minorBidi"/>
              <w:b w:val="0"/>
              <w:noProof/>
              <w:sz w:val="22"/>
              <w:lang w:eastAsia="en-AU"/>
            </w:rPr>
          </w:pPr>
          <w:hyperlink w:anchor="_Toc65228885" w:history="1">
            <w:r w:rsidR="00FB34FF" w:rsidRPr="001C4BCE">
              <w:rPr>
                <w:rStyle w:val="Hyperlink"/>
                <w:noProof/>
              </w:rPr>
              <w:t>Nonclinical</w:t>
            </w:r>
            <w:r w:rsidR="00FB34FF">
              <w:rPr>
                <w:noProof/>
                <w:webHidden/>
              </w:rPr>
              <w:tab/>
            </w:r>
            <w:r w:rsidR="00FB34FF">
              <w:rPr>
                <w:noProof/>
                <w:webHidden/>
              </w:rPr>
              <w:fldChar w:fldCharType="begin"/>
            </w:r>
            <w:r w:rsidR="00FB34FF">
              <w:rPr>
                <w:noProof/>
                <w:webHidden/>
              </w:rPr>
              <w:instrText xml:space="preserve"> PAGEREF _Toc65228885 \h </w:instrText>
            </w:r>
            <w:r w:rsidR="00FB34FF">
              <w:rPr>
                <w:noProof/>
                <w:webHidden/>
              </w:rPr>
            </w:r>
            <w:r w:rsidR="00FB34FF">
              <w:rPr>
                <w:noProof/>
                <w:webHidden/>
              </w:rPr>
              <w:fldChar w:fldCharType="separate"/>
            </w:r>
            <w:r w:rsidR="00FB34FF">
              <w:rPr>
                <w:noProof/>
                <w:webHidden/>
              </w:rPr>
              <w:t>11</w:t>
            </w:r>
            <w:r w:rsidR="00FB34FF">
              <w:rPr>
                <w:noProof/>
                <w:webHidden/>
              </w:rPr>
              <w:fldChar w:fldCharType="end"/>
            </w:r>
          </w:hyperlink>
        </w:p>
        <w:p w14:paraId="653BCCC8" w14:textId="374422EF" w:rsidR="00FB34FF" w:rsidRDefault="00550DD1">
          <w:pPr>
            <w:pStyle w:val="TOC2"/>
            <w:rPr>
              <w:rFonts w:asciiTheme="minorHAnsi" w:eastAsiaTheme="minorEastAsia" w:hAnsiTheme="minorHAnsi" w:cstheme="minorBidi"/>
              <w:b w:val="0"/>
              <w:noProof/>
              <w:sz w:val="22"/>
              <w:lang w:eastAsia="en-AU"/>
            </w:rPr>
          </w:pPr>
          <w:hyperlink w:anchor="_Toc65228886" w:history="1">
            <w:r w:rsidR="00FB34FF" w:rsidRPr="001C4BCE">
              <w:rPr>
                <w:rStyle w:val="Hyperlink"/>
                <w:noProof/>
              </w:rPr>
              <w:t>Clinical</w:t>
            </w:r>
            <w:r w:rsidR="00FB34FF">
              <w:rPr>
                <w:noProof/>
                <w:webHidden/>
              </w:rPr>
              <w:tab/>
            </w:r>
            <w:r w:rsidR="00FB34FF">
              <w:rPr>
                <w:noProof/>
                <w:webHidden/>
              </w:rPr>
              <w:fldChar w:fldCharType="begin"/>
            </w:r>
            <w:r w:rsidR="00FB34FF">
              <w:rPr>
                <w:noProof/>
                <w:webHidden/>
              </w:rPr>
              <w:instrText xml:space="preserve"> PAGEREF _Toc65228886 \h </w:instrText>
            </w:r>
            <w:r w:rsidR="00FB34FF">
              <w:rPr>
                <w:noProof/>
                <w:webHidden/>
              </w:rPr>
            </w:r>
            <w:r w:rsidR="00FB34FF">
              <w:rPr>
                <w:noProof/>
                <w:webHidden/>
              </w:rPr>
              <w:fldChar w:fldCharType="separate"/>
            </w:r>
            <w:r w:rsidR="00FB34FF">
              <w:rPr>
                <w:noProof/>
                <w:webHidden/>
              </w:rPr>
              <w:t>11</w:t>
            </w:r>
            <w:r w:rsidR="00FB34FF">
              <w:rPr>
                <w:noProof/>
                <w:webHidden/>
              </w:rPr>
              <w:fldChar w:fldCharType="end"/>
            </w:r>
          </w:hyperlink>
        </w:p>
        <w:p w14:paraId="422BFBD5" w14:textId="113DE931" w:rsidR="00FB34FF" w:rsidRDefault="00550DD1">
          <w:pPr>
            <w:pStyle w:val="TOC2"/>
            <w:rPr>
              <w:rFonts w:asciiTheme="minorHAnsi" w:eastAsiaTheme="minorEastAsia" w:hAnsiTheme="minorHAnsi" w:cstheme="minorBidi"/>
              <w:b w:val="0"/>
              <w:noProof/>
              <w:sz w:val="22"/>
              <w:lang w:eastAsia="en-AU"/>
            </w:rPr>
          </w:pPr>
          <w:hyperlink w:anchor="_Toc65228887" w:history="1">
            <w:r w:rsidR="00FB34FF" w:rsidRPr="001C4BCE">
              <w:rPr>
                <w:rStyle w:val="Hyperlink"/>
                <w:noProof/>
                <w:lang w:eastAsia="en-AU"/>
              </w:rPr>
              <w:t>Risk management plan</w:t>
            </w:r>
            <w:r w:rsidR="00FB34FF">
              <w:rPr>
                <w:noProof/>
                <w:webHidden/>
              </w:rPr>
              <w:tab/>
            </w:r>
            <w:r w:rsidR="00FB34FF">
              <w:rPr>
                <w:noProof/>
                <w:webHidden/>
              </w:rPr>
              <w:fldChar w:fldCharType="begin"/>
            </w:r>
            <w:r w:rsidR="00FB34FF">
              <w:rPr>
                <w:noProof/>
                <w:webHidden/>
              </w:rPr>
              <w:instrText xml:space="preserve"> PAGEREF _Toc65228887 \h </w:instrText>
            </w:r>
            <w:r w:rsidR="00FB34FF">
              <w:rPr>
                <w:noProof/>
                <w:webHidden/>
              </w:rPr>
            </w:r>
            <w:r w:rsidR="00FB34FF">
              <w:rPr>
                <w:noProof/>
                <w:webHidden/>
              </w:rPr>
              <w:fldChar w:fldCharType="separate"/>
            </w:r>
            <w:r w:rsidR="00FB34FF">
              <w:rPr>
                <w:noProof/>
                <w:webHidden/>
              </w:rPr>
              <w:t>15</w:t>
            </w:r>
            <w:r w:rsidR="00FB34FF">
              <w:rPr>
                <w:noProof/>
                <w:webHidden/>
              </w:rPr>
              <w:fldChar w:fldCharType="end"/>
            </w:r>
          </w:hyperlink>
        </w:p>
        <w:p w14:paraId="2C68F8CA" w14:textId="2022C0F0" w:rsidR="00FB34FF" w:rsidRDefault="00550DD1">
          <w:pPr>
            <w:pStyle w:val="TOC2"/>
            <w:rPr>
              <w:rFonts w:asciiTheme="minorHAnsi" w:eastAsiaTheme="minorEastAsia" w:hAnsiTheme="minorHAnsi" w:cstheme="minorBidi"/>
              <w:b w:val="0"/>
              <w:noProof/>
              <w:sz w:val="22"/>
              <w:lang w:eastAsia="en-AU"/>
            </w:rPr>
          </w:pPr>
          <w:hyperlink w:anchor="_Toc65228888" w:history="1">
            <w:r w:rsidR="00FB34FF" w:rsidRPr="001C4BCE">
              <w:rPr>
                <w:rStyle w:val="Hyperlink"/>
                <w:noProof/>
              </w:rPr>
              <w:t>Risk-benefit analysis</w:t>
            </w:r>
            <w:r w:rsidR="00FB34FF">
              <w:rPr>
                <w:noProof/>
                <w:webHidden/>
              </w:rPr>
              <w:tab/>
            </w:r>
            <w:r w:rsidR="00FB34FF">
              <w:rPr>
                <w:noProof/>
                <w:webHidden/>
              </w:rPr>
              <w:fldChar w:fldCharType="begin"/>
            </w:r>
            <w:r w:rsidR="00FB34FF">
              <w:rPr>
                <w:noProof/>
                <w:webHidden/>
              </w:rPr>
              <w:instrText xml:space="preserve"> PAGEREF _Toc65228888 \h </w:instrText>
            </w:r>
            <w:r w:rsidR="00FB34FF">
              <w:rPr>
                <w:noProof/>
                <w:webHidden/>
              </w:rPr>
            </w:r>
            <w:r w:rsidR="00FB34FF">
              <w:rPr>
                <w:noProof/>
                <w:webHidden/>
              </w:rPr>
              <w:fldChar w:fldCharType="separate"/>
            </w:r>
            <w:r w:rsidR="00FB34FF">
              <w:rPr>
                <w:noProof/>
                <w:webHidden/>
              </w:rPr>
              <w:t>16</w:t>
            </w:r>
            <w:r w:rsidR="00FB34FF">
              <w:rPr>
                <w:noProof/>
                <w:webHidden/>
              </w:rPr>
              <w:fldChar w:fldCharType="end"/>
            </w:r>
          </w:hyperlink>
        </w:p>
        <w:p w14:paraId="521D3220" w14:textId="599AEF06" w:rsidR="00FB34FF" w:rsidRDefault="00550DD1">
          <w:pPr>
            <w:pStyle w:val="TOC2"/>
            <w:rPr>
              <w:rFonts w:asciiTheme="minorHAnsi" w:eastAsiaTheme="minorEastAsia" w:hAnsiTheme="minorHAnsi" w:cstheme="minorBidi"/>
              <w:b w:val="0"/>
              <w:noProof/>
              <w:sz w:val="22"/>
              <w:lang w:eastAsia="en-AU"/>
            </w:rPr>
          </w:pPr>
          <w:hyperlink w:anchor="_Toc65228889" w:history="1">
            <w:r w:rsidR="00FB34FF" w:rsidRPr="001C4BCE">
              <w:rPr>
                <w:rStyle w:val="Hyperlink"/>
                <w:noProof/>
              </w:rPr>
              <w:t>Outcome</w:t>
            </w:r>
            <w:r w:rsidR="00FB34FF">
              <w:rPr>
                <w:noProof/>
                <w:webHidden/>
              </w:rPr>
              <w:tab/>
            </w:r>
            <w:r w:rsidR="00FB34FF">
              <w:rPr>
                <w:noProof/>
                <w:webHidden/>
              </w:rPr>
              <w:fldChar w:fldCharType="begin"/>
            </w:r>
            <w:r w:rsidR="00FB34FF">
              <w:rPr>
                <w:noProof/>
                <w:webHidden/>
              </w:rPr>
              <w:instrText xml:space="preserve"> PAGEREF _Toc65228889 \h </w:instrText>
            </w:r>
            <w:r w:rsidR="00FB34FF">
              <w:rPr>
                <w:noProof/>
                <w:webHidden/>
              </w:rPr>
            </w:r>
            <w:r w:rsidR="00FB34FF">
              <w:rPr>
                <w:noProof/>
                <w:webHidden/>
              </w:rPr>
              <w:fldChar w:fldCharType="separate"/>
            </w:r>
            <w:r w:rsidR="00FB34FF">
              <w:rPr>
                <w:noProof/>
                <w:webHidden/>
              </w:rPr>
              <w:t>18</w:t>
            </w:r>
            <w:r w:rsidR="00FB34FF">
              <w:rPr>
                <w:noProof/>
                <w:webHidden/>
              </w:rPr>
              <w:fldChar w:fldCharType="end"/>
            </w:r>
          </w:hyperlink>
        </w:p>
        <w:p w14:paraId="4518E02C" w14:textId="281BBE7C" w:rsidR="00FB34FF" w:rsidRDefault="00550DD1">
          <w:pPr>
            <w:pStyle w:val="TOC1"/>
            <w:rPr>
              <w:rFonts w:asciiTheme="minorHAnsi" w:eastAsiaTheme="minorEastAsia" w:hAnsiTheme="minorHAnsi" w:cstheme="minorBidi"/>
              <w:b w:val="0"/>
              <w:noProof/>
              <w:sz w:val="22"/>
              <w:lang w:eastAsia="en-AU"/>
            </w:rPr>
          </w:pPr>
          <w:hyperlink w:anchor="_Toc65228890" w:history="1">
            <w:r w:rsidR="00FB34FF" w:rsidRPr="001C4BCE">
              <w:rPr>
                <w:rStyle w:val="Hyperlink"/>
                <w:noProof/>
              </w:rPr>
              <w:t>Attachment 1. Product Information</w:t>
            </w:r>
            <w:r w:rsidR="00FB34FF">
              <w:rPr>
                <w:noProof/>
                <w:webHidden/>
              </w:rPr>
              <w:tab/>
            </w:r>
            <w:r w:rsidR="00FB34FF">
              <w:rPr>
                <w:noProof/>
                <w:webHidden/>
              </w:rPr>
              <w:fldChar w:fldCharType="begin"/>
            </w:r>
            <w:r w:rsidR="00FB34FF">
              <w:rPr>
                <w:noProof/>
                <w:webHidden/>
              </w:rPr>
              <w:instrText xml:space="preserve"> PAGEREF _Toc65228890 \h </w:instrText>
            </w:r>
            <w:r w:rsidR="00FB34FF">
              <w:rPr>
                <w:noProof/>
                <w:webHidden/>
              </w:rPr>
            </w:r>
            <w:r w:rsidR="00FB34FF">
              <w:rPr>
                <w:noProof/>
                <w:webHidden/>
              </w:rPr>
              <w:fldChar w:fldCharType="separate"/>
            </w:r>
            <w:r w:rsidR="00FB34FF">
              <w:rPr>
                <w:noProof/>
                <w:webHidden/>
              </w:rPr>
              <w:t>19</w:t>
            </w:r>
            <w:r w:rsidR="00FB34FF">
              <w:rPr>
                <w:noProof/>
                <w:webHidden/>
              </w:rPr>
              <w:fldChar w:fldCharType="end"/>
            </w:r>
          </w:hyperlink>
        </w:p>
        <w:p w14:paraId="5CDDC5DB" w14:textId="2B1D90DA" w:rsidR="003A7F6C" w:rsidRPr="00F051D0" w:rsidRDefault="00C525A2" w:rsidP="00B811C6">
          <w:pPr>
            <w:pStyle w:val="TOC2"/>
          </w:pPr>
          <w:r w:rsidRPr="00F051D0">
            <w:fldChar w:fldCharType="end"/>
          </w:r>
        </w:p>
      </w:sdtContent>
    </w:sdt>
    <w:bookmarkStart w:id="2" w:name="_Toc314842482" w:displacedByCustomXml="prev"/>
    <w:p w14:paraId="615E09F5" w14:textId="77777777" w:rsidR="00FD119B" w:rsidRPr="00F051D0" w:rsidRDefault="00324E45" w:rsidP="00733278">
      <w:pPr>
        <w:pStyle w:val="Heading2"/>
        <w:pageBreakBefore/>
      </w:pPr>
      <w:bookmarkStart w:id="3" w:name="_Toc351716269"/>
      <w:bookmarkStart w:id="4" w:name="_Toc351718881"/>
      <w:bookmarkStart w:id="5" w:name="_Toc355338616"/>
      <w:bookmarkStart w:id="6" w:name="_Toc356306144"/>
      <w:bookmarkStart w:id="7" w:name="_Toc65228876"/>
      <w:r w:rsidRPr="00F051D0">
        <w:t>List of</w:t>
      </w:r>
      <w:r w:rsidR="00FD119B" w:rsidRPr="00F051D0">
        <w:t xml:space="preserve"> abbreviations</w:t>
      </w:r>
      <w:bookmarkEnd w:id="3"/>
      <w:bookmarkEnd w:id="4"/>
      <w:bookmarkEnd w:id="5"/>
      <w:bookmarkEnd w:id="6"/>
      <w:bookmarkEnd w:id="7"/>
    </w:p>
    <w:tbl>
      <w:tblPr>
        <w:tblStyle w:val="TableTGAblue"/>
        <w:tblW w:w="0" w:type="auto"/>
        <w:tblLook w:val="04A0" w:firstRow="1" w:lastRow="0" w:firstColumn="1" w:lastColumn="0" w:noHBand="0" w:noVBand="1"/>
      </w:tblPr>
      <w:tblGrid>
        <w:gridCol w:w="1799"/>
        <w:gridCol w:w="6685"/>
      </w:tblGrid>
      <w:tr w:rsidR="00FD119B" w:rsidRPr="00F051D0" w14:paraId="76999FD1" w14:textId="77777777" w:rsidTr="00C91316">
        <w:trPr>
          <w:cnfStyle w:val="100000000000" w:firstRow="1" w:lastRow="0" w:firstColumn="0" w:lastColumn="0" w:oddVBand="0" w:evenVBand="0" w:oddHBand="0" w:evenHBand="0" w:firstRowFirstColumn="0" w:firstRowLastColumn="0" w:lastRowFirstColumn="0" w:lastRowLastColumn="0"/>
        </w:trPr>
        <w:tc>
          <w:tcPr>
            <w:tcW w:w="1799" w:type="dxa"/>
            <w:tcBorders>
              <w:top w:val="single" w:sz="8" w:space="0" w:color="auto"/>
              <w:left w:val="single" w:sz="8" w:space="0" w:color="auto"/>
              <w:bottom w:val="single" w:sz="8" w:space="0" w:color="auto"/>
              <w:right w:val="single" w:sz="8" w:space="0" w:color="auto"/>
            </w:tcBorders>
          </w:tcPr>
          <w:p w14:paraId="6FB0EFB1" w14:textId="77777777" w:rsidR="00FD119B" w:rsidRPr="00F051D0" w:rsidRDefault="00FD119B" w:rsidP="00CF5DAD">
            <w:pPr>
              <w:keepNext w:val="0"/>
              <w:ind w:left="0" w:right="0"/>
              <w:rPr>
                <w:szCs w:val="22"/>
                <w:lang w:eastAsia="en-US"/>
              </w:rPr>
            </w:pPr>
            <w:r w:rsidRPr="00F051D0">
              <w:rPr>
                <w:szCs w:val="22"/>
                <w:lang w:eastAsia="en-US"/>
              </w:rPr>
              <w:t>Abbreviation</w:t>
            </w:r>
          </w:p>
        </w:tc>
        <w:tc>
          <w:tcPr>
            <w:tcW w:w="6685" w:type="dxa"/>
            <w:tcBorders>
              <w:top w:val="single" w:sz="8" w:space="0" w:color="auto"/>
              <w:left w:val="single" w:sz="8" w:space="0" w:color="auto"/>
              <w:bottom w:val="single" w:sz="8" w:space="0" w:color="auto"/>
              <w:right w:val="single" w:sz="8" w:space="0" w:color="auto"/>
            </w:tcBorders>
          </w:tcPr>
          <w:p w14:paraId="71E84485" w14:textId="77777777" w:rsidR="00FD119B" w:rsidRPr="00F051D0" w:rsidRDefault="00FD119B" w:rsidP="00CF5DAD">
            <w:pPr>
              <w:keepNext w:val="0"/>
              <w:ind w:left="0" w:right="0"/>
              <w:rPr>
                <w:szCs w:val="22"/>
                <w:lang w:eastAsia="en-US"/>
              </w:rPr>
            </w:pPr>
            <w:r w:rsidRPr="00F051D0">
              <w:rPr>
                <w:szCs w:val="22"/>
                <w:lang w:eastAsia="en-US"/>
              </w:rPr>
              <w:t>Meaning</w:t>
            </w:r>
          </w:p>
        </w:tc>
      </w:tr>
      <w:tr w:rsidR="00460036" w:rsidRPr="00F051D0" w14:paraId="555252BC" w14:textId="77777777" w:rsidTr="00C91316">
        <w:tc>
          <w:tcPr>
            <w:tcW w:w="1799" w:type="dxa"/>
            <w:tcBorders>
              <w:top w:val="single" w:sz="8" w:space="0" w:color="auto"/>
            </w:tcBorders>
          </w:tcPr>
          <w:p w14:paraId="7E951EB7" w14:textId="77777777" w:rsidR="00460036" w:rsidRPr="00F051D0" w:rsidRDefault="00460036" w:rsidP="009D348F">
            <w:pPr>
              <w:pStyle w:val="Tabletext"/>
              <w:ind w:left="0"/>
            </w:pPr>
            <w:r w:rsidRPr="00F051D0">
              <w:t>ACM</w:t>
            </w:r>
          </w:p>
        </w:tc>
        <w:tc>
          <w:tcPr>
            <w:tcW w:w="6685" w:type="dxa"/>
            <w:tcBorders>
              <w:top w:val="single" w:sz="8" w:space="0" w:color="auto"/>
            </w:tcBorders>
          </w:tcPr>
          <w:p w14:paraId="39C8542F" w14:textId="77777777" w:rsidR="00460036" w:rsidRPr="00F051D0" w:rsidRDefault="00460036" w:rsidP="009D348F">
            <w:pPr>
              <w:pStyle w:val="Tabletext"/>
              <w:ind w:left="0"/>
            </w:pPr>
            <w:r w:rsidRPr="00F051D0">
              <w:t>Advisory Committee on Medicines</w:t>
            </w:r>
          </w:p>
        </w:tc>
      </w:tr>
      <w:tr w:rsidR="00F333E5" w:rsidRPr="00F051D0" w14:paraId="03615C28" w14:textId="77777777" w:rsidTr="00C91316">
        <w:tc>
          <w:tcPr>
            <w:tcW w:w="1799" w:type="dxa"/>
          </w:tcPr>
          <w:p w14:paraId="523CD0F6" w14:textId="77777777" w:rsidR="00F333E5" w:rsidRPr="00F051D0" w:rsidRDefault="00F333E5" w:rsidP="009D348F">
            <w:pPr>
              <w:pStyle w:val="Tabletext"/>
              <w:ind w:left="0"/>
              <w:rPr>
                <w:sz w:val="20"/>
                <w:szCs w:val="20"/>
              </w:rPr>
            </w:pPr>
            <w:r w:rsidRPr="00F051D0">
              <w:rPr>
                <w:sz w:val="20"/>
                <w:szCs w:val="20"/>
              </w:rPr>
              <w:t>AE</w:t>
            </w:r>
          </w:p>
        </w:tc>
        <w:tc>
          <w:tcPr>
            <w:tcW w:w="6685" w:type="dxa"/>
          </w:tcPr>
          <w:p w14:paraId="02293EF8" w14:textId="77777777" w:rsidR="00F333E5" w:rsidRPr="00F051D0" w:rsidRDefault="00F333E5" w:rsidP="009D348F">
            <w:pPr>
              <w:pStyle w:val="Tabletext"/>
              <w:ind w:left="0"/>
              <w:rPr>
                <w:sz w:val="20"/>
                <w:szCs w:val="20"/>
              </w:rPr>
            </w:pPr>
            <w:r w:rsidRPr="00F051D0">
              <w:rPr>
                <w:sz w:val="20"/>
                <w:szCs w:val="20"/>
              </w:rPr>
              <w:t>Adverse event</w:t>
            </w:r>
          </w:p>
        </w:tc>
      </w:tr>
      <w:tr w:rsidR="00F333E5" w:rsidRPr="00F051D0" w14:paraId="3BE19F7F" w14:textId="77777777" w:rsidTr="00C91316">
        <w:tc>
          <w:tcPr>
            <w:tcW w:w="1799" w:type="dxa"/>
          </w:tcPr>
          <w:p w14:paraId="1D9A289C" w14:textId="77777777" w:rsidR="00F333E5" w:rsidRPr="00F051D0" w:rsidRDefault="00F333E5" w:rsidP="009D348F">
            <w:pPr>
              <w:pStyle w:val="Tabletext"/>
              <w:ind w:left="0"/>
              <w:rPr>
                <w:sz w:val="20"/>
                <w:szCs w:val="20"/>
              </w:rPr>
            </w:pPr>
            <w:r w:rsidRPr="00F051D0">
              <w:rPr>
                <w:sz w:val="20"/>
                <w:szCs w:val="20"/>
              </w:rPr>
              <w:t>ALT</w:t>
            </w:r>
          </w:p>
        </w:tc>
        <w:tc>
          <w:tcPr>
            <w:tcW w:w="6685" w:type="dxa"/>
          </w:tcPr>
          <w:p w14:paraId="3E14B7F2" w14:textId="77777777" w:rsidR="00F333E5" w:rsidRPr="00F051D0" w:rsidRDefault="00F333E5" w:rsidP="009D348F">
            <w:pPr>
              <w:pStyle w:val="Tabletext"/>
              <w:ind w:left="0"/>
              <w:rPr>
                <w:sz w:val="20"/>
                <w:szCs w:val="20"/>
              </w:rPr>
            </w:pPr>
            <w:r w:rsidRPr="00F051D0">
              <w:rPr>
                <w:sz w:val="20"/>
                <w:szCs w:val="20"/>
              </w:rPr>
              <w:t>Alanine aminotransferase</w:t>
            </w:r>
          </w:p>
        </w:tc>
      </w:tr>
      <w:tr w:rsidR="00F333E5" w:rsidRPr="00F051D0" w14:paraId="3E8850FF" w14:textId="77777777" w:rsidTr="00C91316">
        <w:tc>
          <w:tcPr>
            <w:tcW w:w="1799" w:type="dxa"/>
          </w:tcPr>
          <w:p w14:paraId="2D23627A" w14:textId="77777777" w:rsidR="00F333E5" w:rsidRPr="00F051D0" w:rsidRDefault="00F333E5" w:rsidP="009D348F">
            <w:pPr>
              <w:pStyle w:val="Tabletext"/>
              <w:ind w:left="0"/>
            </w:pPr>
            <w:r w:rsidRPr="00F051D0">
              <w:t>ARTG</w:t>
            </w:r>
          </w:p>
        </w:tc>
        <w:tc>
          <w:tcPr>
            <w:tcW w:w="6685" w:type="dxa"/>
          </w:tcPr>
          <w:p w14:paraId="4185A143" w14:textId="77777777" w:rsidR="00F333E5" w:rsidRPr="00F051D0" w:rsidRDefault="00F333E5" w:rsidP="009D348F">
            <w:pPr>
              <w:pStyle w:val="Tabletext"/>
              <w:ind w:left="0"/>
            </w:pPr>
            <w:r w:rsidRPr="00F051D0">
              <w:t>Australian Register of Therapeutic Goods</w:t>
            </w:r>
          </w:p>
        </w:tc>
      </w:tr>
      <w:tr w:rsidR="00F333E5" w:rsidRPr="00F051D0" w14:paraId="134965B4" w14:textId="77777777" w:rsidTr="00C91316">
        <w:tc>
          <w:tcPr>
            <w:tcW w:w="1799" w:type="dxa"/>
          </w:tcPr>
          <w:p w14:paraId="0E980F52" w14:textId="77777777" w:rsidR="00F333E5" w:rsidRPr="00F051D0" w:rsidRDefault="00F333E5" w:rsidP="009D348F">
            <w:pPr>
              <w:pStyle w:val="Tabletext"/>
              <w:ind w:left="0"/>
              <w:rPr>
                <w:sz w:val="20"/>
                <w:szCs w:val="20"/>
              </w:rPr>
            </w:pPr>
            <w:r w:rsidRPr="00F051D0">
              <w:rPr>
                <w:sz w:val="20"/>
                <w:szCs w:val="20"/>
              </w:rPr>
              <w:t>AST</w:t>
            </w:r>
          </w:p>
        </w:tc>
        <w:tc>
          <w:tcPr>
            <w:tcW w:w="6685" w:type="dxa"/>
          </w:tcPr>
          <w:p w14:paraId="7A90779B" w14:textId="77777777" w:rsidR="00F333E5" w:rsidRPr="00F051D0" w:rsidRDefault="00F333E5" w:rsidP="009D348F">
            <w:pPr>
              <w:pStyle w:val="Tabletext"/>
              <w:ind w:left="0"/>
              <w:rPr>
                <w:sz w:val="20"/>
                <w:szCs w:val="20"/>
              </w:rPr>
            </w:pPr>
            <w:r w:rsidRPr="00F051D0">
              <w:rPr>
                <w:sz w:val="20"/>
                <w:szCs w:val="20"/>
                <w:lang w:eastAsia="ja-JP"/>
              </w:rPr>
              <w:t>Aspartate aminotransferase</w:t>
            </w:r>
          </w:p>
        </w:tc>
      </w:tr>
      <w:tr w:rsidR="00F333E5" w:rsidRPr="00F051D0" w14:paraId="617DC460" w14:textId="77777777" w:rsidTr="00C91316">
        <w:tc>
          <w:tcPr>
            <w:tcW w:w="1799" w:type="dxa"/>
          </w:tcPr>
          <w:p w14:paraId="01CF6F8E" w14:textId="44FC9C02" w:rsidR="00F333E5" w:rsidRPr="00F051D0" w:rsidRDefault="00F333E5" w:rsidP="009D348F">
            <w:pPr>
              <w:pStyle w:val="Tabletext"/>
              <w:ind w:left="0"/>
              <w:rPr>
                <w:sz w:val="20"/>
                <w:szCs w:val="20"/>
              </w:rPr>
            </w:pPr>
            <w:r w:rsidRPr="00F051D0">
              <w:rPr>
                <w:sz w:val="20"/>
                <w:szCs w:val="20"/>
              </w:rPr>
              <w:t>B</w:t>
            </w:r>
            <w:r w:rsidR="00AB2CA7">
              <w:rPr>
                <w:sz w:val="20"/>
                <w:szCs w:val="20"/>
              </w:rPr>
              <w:t>I</w:t>
            </w:r>
            <w:r w:rsidRPr="00F051D0">
              <w:rPr>
                <w:sz w:val="20"/>
                <w:szCs w:val="20"/>
              </w:rPr>
              <w:t>D</w:t>
            </w:r>
          </w:p>
        </w:tc>
        <w:tc>
          <w:tcPr>
            <w:tcW w:w="6685" w:type="dxa"/>
          </w:tcPr>
          <w:p w14:paraId="0DF740CE" w14:textId="14D24096" w:rsidR="00F333E5" w:rsidRPr="00F051D0" w:rsidRDefault="00F333E5" w:rsidP="009D348F">
            <w:pPr>
              <w:pStyle w:val="Tabletext"/>
              <w:ind w:left="0"/>
              <w:rPr>
                <w:sz w:val="20"/>
                <w:szCs w:val="20"/>
              </w:rPr>
            </w:pPr>
            <w:r w:rsidRPr="00F051D0">
              <w:rPr>
                <w:sz w:val="20"/>
                <w:szCs w:val="20"/>
              </w:rPr>
              <w:t>Twice daily</w:t>
            </w:r>
            <w:r w:rsidR="00750685">
              <w:rPr>
                <w:sz w:val="20"/>
                <w:szCs w:val="20"/>
              </w:rPr>
              <w:t xml:space="preserve"> (L</w:t>
            </w:r>
            <w:r w:rsidR="00750685" w:rsidRPr="00750685">
              <w:rPr>
                <w:sz w:val="20"/>
                <w:szCs w:val="20"/>
              </w:rPr>
              <w:t>atin</w:t>
            </w:r>
            <w:r w:rsidR="00A34CB6">
              <w:rPr>
                <w:sz w:val="20"/>
                <w:szCs w:val="20"/>
              </w:rPr>
              <w:t>:</w:t>
            </w:r>
            <w:r w:rsidR="00750685" w:rsidRPr="00AE47F0">
              <w:rPr>
                <w:i/>
                <w:sz w:val="20"/>
                <w:szCs w:val="20"/>
              </w:rPr>
              <w:t xml:space="preserve"> bis in die</w:t>
            </w:r>
            <w:r w:rsidR="00750685">
              <w:rPr>
                <w:sz w:val="20"/>
                <w:szCs w:val="20"/>
              </w:rPr>
              <w:t>)</w:t>
            </w:r>
          </w:p>
        </w:tc>
      </w:tr>
      <w:tr w:rsidR="00F333E5" w:rsidRPr="00F051D0" w14:paraId="7ADF8DE1" w14:textId="77777777" w:rsidTr="00C91316">
        <w:tc>
          <w:tcPr>
            <w:tcW w:w="1799" w:type="dxa"/>
          </w:tcPr>
          <w:p w14:paraId="30E387CB" w14:textId="77777777" w:rsidR="00F333E5" w:rsidRPr="00F051D0" w:rsidRDefault="00F333E5" w:rsidP="009D348F">
            <w:pPr>
              <w:pStyle w:val="Tabletext"/>
              <w:ind w:left="0"/>
              <w:rPr>
                <w:sz w:val="20"/>
                <w:szCs w:val="20"/>
              </w:rPr>
            </w:pPr>
            <w:r w:rsidRPr="00F051D0">
              <w:rPr>
                <w:sz w:val="20"/>
                <w:szCs w:val="20"/>
              </w:rPr>
              <w:t>CI</w:t>
            </w:r>
          </w:p>
        </w:tc>
        <w:tc>
          <w:tcPr>
            <w:tcW w:w="6685" w:type="dxa"/>
          </w:tcPr>
          <w:p w14:paraId="23DD4652" w14:textId="77777777" w:rsidR="00F333E5" w:rsidRPr="00F051D0" w:rsidRDefault="00F333E5" w:rsidP="009D348F">
            <w:pPr>
              <w:pStyle w:val="Tabletext"/>
              <w:ind w:left="0"/>
              <w:rPr>
                <w:sz w:val="20"/>
                <w:szCs w:val="20"/>
              </w:rPr>
            </w:pPr>
            <w:r w:rsidRPr="00F051D0">
              <w:rPr>
                <w:sz w:val="20"/>
                <w:szCs w:val="20"/>
              </w:rPr>
              <w:t>Confidence interval</w:t>
            </w:r>
          </w:p>
        </w:tc>
      </w:tr>
      <w:tr w:rsidR="00F333E5" w:rsidRPr="00F051D0" w14:paraId="1E4DF8A5" w14:textId="77777777" w:rsidTr="00C91316">
        <w:tc>
          <w:tcPr>
            <w:tcW w:w="1799" w:type="dxa"/>
          </w:tcPr>
          <w:p w14:paraId="2B322390" w14:textId="77777777" w:rsidR="00F333E5" w:rsidRPr="00F051D0" w:rsidRDefault="00F333E5" w:rsidP="009D348F">
            <w:pPr>
              <w:pStyle w:val="Tabletext"/>
              <w:ind w:left="0"/>
              <w:rPr>
                <w:sz w:val="20"/>
                <w:szCs w:val="20"/>
              </w:rPr>
            </w:pPr>
            <w:r w:rsidRPr="00F051D0">
              <w:rPr>
                <w:sz w:val="20"/>
                <w:szCs w:val="20"/>
              </w:rPr>
              <w:t>CTD</w:t>
            </w:r>
          </w:p>
        </w:tc>
        <w:tc>
          <w:tcPr>
            <w:tcW w:w="6685" w:type="dxa"/>
          </w:tcPr>
          <w:p w14:paraId="3D8B266D" w14:textId="77777777" w:rsidR="00F333E5" w:rsidRPr="00F051D0" w:rsidRDefault="00F333E5" w:rsidP="009D348F">
            <w:pPr>
              <w:pStyle w:val="Tabletext"/>
              <w:ind w:left="0"/>
              <w:rPr>
                <w:sz w:val="20"/>
                <w:szCs w:val="20"/>
              </w:rPr>
            </w:pPr>
            <w:r w:rsidRPr="00F051D0">
              <w:rPr>
                <w:sz w:val="20"/>
                <w:szCs w:val="20"/>
              </w:rPr>
              <w:t>Connective tissue disease</w:t>
            </w:r>
          </w:p>
        </w:tc>
      </w:tr>
      <w:tr w:rsidR="00F333E5" w:rsidRPr="00F051D0" w14:paraId="2BEEA1D0" w14:textId="77777777" w:rsidTr="00C91316">
        <w:tc>
          <w:tcPr>
            <w:tcW w:w="1799" w:type="dxa"/>
          </w:tcPr>
          <w:p w14:paraId="30488BA3" w14:textId="77777777" w:rsidR="00F333E5" w:rsidRPr="00F051D0" w:rsidRDefault="00F333E5" w:rsidP="009D348F">
            <w:pPr>
              <w:pStyle w:val="Tabletext"/>
              <w:ind w:left="0"/>
              <w:rPr>
                <w:sz w:val="20"/>
                <w:szCs w:val="20"/>
              </w:rPr>
            </w:pPr>
            <w:r w:rsidRPr="00F051D0">
              <w:rPr>
                <w:sz w:val="20"/>
                <w:szCs w:val="20"/>
              </w:rPr>
              <w:t>DBL</w:t>
            </w:r>
          </w:p>
        </w:tc>
        <w:tc>
          <w:tcPr>
            <w:tcW w:w="6685" w:type="dxa"/>
          </w:tcPr>
          <w:p w14:paraId="6A21C0CE" w14:textId="77777777" w:rsidR="00F333E5" w:rsidRPr="00F051D0" w:rsidRDefault="00F333E5" w:rsidP="009D348F">
            <w:pPr>
              <w:pStyle w:val="Tabletext"/>
              <w:ind w:left="0"/>
              <w:rPr>
                <w:sz w:val="20"/>
                <w:szCs w:val="20"/>
              </w:rPr>
            </w:pPr>
            <w:r w:rsidRPr="00F051D0">
              <w:rPr>
                <w:sz w:val="20"/>
                <w:szCs w:val="20"/>
              </w:rPr>
              <w:t>Database lock</w:t>
            </w:r>
          </w:p>
        </w:tc>
      </w:tr>
      <w:tr w:rsidR="00F333E5" w:rsidRPr="00F051D0" w14:paraId="40231658" w14:textId="77777777" w:rsidTr="00C91316">
        <w:tc>
          <w:tcPr>
            <w:tcW w:w="1799" w:type="dxa"/>
          </w:tcPr>
          <w:p w14:paraId="4BA60C41" w14:textId="77777777" w:rsidR="00F333E5" w:rsidRPr="00F051D0" w:rsidRDefault="00F333E5" w:rsidP="009D348F">
            <w:pPr>
              <w:pStyle w:val="Tabletext"/>
              <w:ind w:left="0"/>
              <w:rPr>
                <w:sz w:val="20"/>
                <w:szCs w:val="20"/>
              </w:rPr>
            </w:pPr>
            <w:r w:rsidRPr="00F051D0">
              <w:rPr>
                <w:sz w:val="20"/>
                <w:szCs w:val="20"/>
              </w:rPr>
              <w:t>DLCO</w:t>
            </w:r>
          </w:p>
        </w:tc>
        <w:tc>
          <w:tcPr>
            <w:tcW w:w="6685" w:type="dxa"/>
          </w:tcPr>
          <w:p w14:paraId="3C310895" w14:textId="77777777" w:rsidR="00F333E5" w:rsidRPr="00F051D0" w:rsidRDefault="00F333E5" w:rsidP="009D348F">
            <w:pPr>
              <w:pStyle w:val="Tabletext"/>
              <w:ind w:left="0"/>
              <w:rPr>
                <w:sz w:val="20"/>
                <w:szCs w:val="20"/>
              </w:rPr>
            </w:pPr>
            <w:r w:rsidRPr="00F051D0">
              <w:rPr>
                <w:sz w:val="20"/>
                <w:szCs w:val="20"/>
              </w:rPr>
              <w:t>Carbon monoxide diffusion capacity</w:t>
            </w:r>
          </w:p>
        </w:tc>
      </w:tr>
      <w:tr w:rsidR="008661DF" w:rsidRPr="00F051D0" w14:paraId="4287AACD" w14:textId="77777777" w:rsidTr="00C91316">
        <w:tc>
          <w:tcPr>
            <w:tcW w:w="1799" w:type="dxa"/>
          </w:tcPr>
          <w:p w14:paraId="6BFE0395" w14:textId="29B7BBFF" w:rsidR="008661DF" w:rsidRPr="00F051D0" w:rsidRDefault="008661DF" w:rsidP="008661DF">
            <w:pPr>
              <w:pStyle w:val="Tabletext"/>
              <w:ind w:left="0"/>
              <w:rPr>
                <w:sz w:val="20"/>
                <w:szCs w:val="20"/>
              </w:rPr>
            </w:pPr>
            <w:r>
              <w:rPr>
                <w:sz w:val="20"/>
                <w:szCs w:val="20"/>
              </w:rPr>
              <w:t>EU</w:t>
            </w:r>
          </w:p>
        </w:tc>
        <w:tc>
          <w:tcPr>
            <w:tcW w:w="6685" w:type="dxa"/>
          </w:tcPr>
          <w:p w14:paraId="0ADC5A7A" w14:textId="35EBDD2B" w:rsidR="008661DF" w:rsidRPr="00F051D0" w:rsidRDefault="008661DF" w:rsidP="008661DF">
            <w:pPr>
              <w:pStyle w:val="Tabletext"/>
              <w:ind w:left="0"/>
              <w:rPr>
                <w:sz w:val="20"/>
                <w:szCs w:val="20"/>
              </w:rPr>
            </w:pPr>
            <w:r>
              <w:rPr>
                <w:sz w:val="20"/>
                <w:szCs w:val="20"/>
              </w:rPr>
              <w:t>European Union</w:t>
            </w:r>
          </w:p>
        </w:tc>
      </w:tr>
      <w:tr w:rsidR="00F333E5" w:rsidRPr="00F051D0" w14:paraId="750D9971" w14:textId="77777777" w:rsidTr="00C91316">
        <w:tc>
          <w:tcPr>
            <w:tcW w:w="1799" w:type="dxa"/>
          </w:tcPr>
          <w:p w14:paraId="0B3732BE" w14:textId="77777777" w:rsidR="00F333E5" w:rsidRPr="00F051D0" w:rsidRDefault="00F333E5" w:rsidP="009D348F">
            <w:pPr>
              <w:pStyle w:val="Tabletext"/>
              <w:ind w:left="0"/>
              <w:rPr>
                <w:sz w:val="20"/>
                <w:szCs w:val="20"/>
              </w:rPr>
            </w:pPr>
            <w:r w:rsidRPr="00F051D0">
              <w:rPr>
                <w:sz w:val="20"/>
                <w:szCs w:val="20"/>
              </w:rPr>
              <w:t>FVC</w:t>
            </w:r>
          </w:p>
        </w:tc>
        <w:tc>
          <w:tcPr>
            <w:tcW w:w="6685" w:type="dxa"/>
          </w:tcPr>
          <w:p w14:paraId="5FA26BC7" w14:textId="77777777" w:rsidR="00F333E5" w:rsidRPr="00F051D0" w:rsidRDefault="00F333E5" w:rsidP="009D348F">
            <w:pPr>
              <w:pStyle w:val="Tabletext"/>
              <w:ind w:left="0"/>
              <w:rPr>
                <w:sz w:val="20"/>
                <w:szCs w:val="20"/>
              </w:rPr>
            </w:pPr>
            <w:r w:rsidRPr="00F051D0">
              <w:rPr>
                <w:sz w:val="20"/>
                <w:szCs w:val="20"/>
              </w:rPr>
              <w:t>Forced vital capacity</w:t>
            </w:r>
          </w:p>
        </w:tc>
      </w:tr>
      <w:tr w:rsidR="00F333E5" w:rsidRPr="00F051D0" w14:paraId="56FA534E" w14:textId="77777777" w:rsidTr="00C91316">
        <w:tc>
          <w:tcPr>
            <w:tcW w:w="1799" w:type="dxa"/>
          </w:tcPr>
          <w:p w14:paraId="28E4ACD4" w14:textId="77777777" w:rsidR="00F333E5" w:rsidRPr="00F051D0" w:rsidRDefault="00F333E5" w:rsidP="009D348F">
            <w:pPr>
              <w:pStyle w:val="Tabletext"/>
              <w:ind w:left="0"/>
              <w:rPr>
                <w:sz w:val="20"/>
                <w:szCs w:val="20"/>
              </w:rPr>
            </w:pPr>
            <w:r w:rsidRPr="00F051D0">
              <w:rPr>
                <w:sz w:val="20"/>
                <w:szCs w:val="20"/>
              </w:rPr>
              <w:t>HR</w:t>
            </w:r>
          </w:p>
        </w:tc>
        <w:tc>
          <w:tcPr>
            <w:tcW w:w="6685" w:type="dxa"/>
          </w:tcPr>
          <w:p w14:paraId="67C6F6E3" w14:textId="77777777" w:rsidR="00F333E5" w:rsidRPr="00F051D0" w:rsidRDefault="00F333E5" w:rsidP="009D348F">
            <w:pPr>
              <w:pStyle w:val="Tabletext"/>
              <w:ind w:left="0"/>
              <w:rPr>
                <w:sz w:val="20"/>
                <w:szCs w:val="20"/>
              </w:rPr>
            </w:pPr>
            <w:r w:rsidRPr="00F051D0">
              <w:rPr>
                <w:sz w:val="20"/>
                <w:szCs w:val="20"/>
              </w:rPr>
              <w:t>Hazard ratio</w:t>
            </w:r>
          </w:p>
        </w:tc>
      </w:tr>
      <w:tr w:rsidR="00F333E5" w:rsidRPr="00F051D0" w14:paraId="58FB875F" w14:textId="77777777" w:rsidTr="00C91316">
        <w:tc>
          <w:tcPr>
            <w:tcW w:w="1799" w:type="dxa"/>
          </w:tcPr>
          <w:p w14:paraId="5C5AC64E" w14:textId="77777777" w:rsidR="00F333E5" w:rsidRPr="00F051D0" w:rsidRDefault="00F333E5" w:rsidP="009D348F">
            <w:pPr>
              <w:pStyle w:val="Tabletext"/>
              <w:ind w:left="0"/>
              <w:rPr>
                <w:sz w:val="20"/>
                <w:szCs w:val="20"/>
              </w:rPr>
            </w:pPr>
            <w:r w:rsidRPr="00F051D0">
              <w:rPr>
                <w:sz w:val="20"/>
                <w:szCs w:val="20"/>
              </w:rPr>
              <w:t>HRCT</w:t>
            </w:r>
          </w:p>
        </w:tc>
        <w:tc>
          <w:tcPr>
            <w:tcW w:w="6685" w:type="dxa"/>
          </w:tcPr>
          <w:p w14:paraId="2176788D" w14:textId="77777777" w:rsidR="00F333E5" w:rsidRPr="00F051D0" w:rsidRDefault="00F333E5" w:rsidP="009D348F">
            <w:pPr>
              <w:pStyle w:val="Tabletext"/>
              <w:ind w:left="0"/>
              <w:rPr>
                <w:sz w:val="20"/>
                <w:szCs w:val="20"/>
              </w:rPr>
            </w:pPr>
            <w:r w:rsidRPr="00F051D0">
              <w:rPr>
                <w:sz w:val="20"/>
                <w:szCs w:val="20"/>
              </w:rPr>
              <w:t>High resolution computed tomography</w:t>
            </w:r>
          </w:p>
        </w:tc>
      </w:tr>
      <w:tr w:rsidR="00F333E5" w:rsidRPr="00F051D0" w14:paraId="11AABB49" w14:textId="77777777" w:rsidTr="00C91316">
        <w:tc>
          <w:tcPr>
            <w:tcW w:w="1799" w:type="dxa"/>
          </w:tcPr>
          <w:p w14:paraId="448532A9" w14:textId="77777777" w:rsidR="00F333E5" w:rsidRPr="00F051D0" w:rsidRDefault="00F333E5" w:rsidP="009D348F">
            <w:pPr>
              <w:pStyle w:val="Tabletext"/>
              <w:ind w:left="0"/>
              <w:rPr>
                <w:sz w:val="20"/>
                <w:szCs w:val="20"/>
              </w:rPr>
            </w:pPr>
            <w:r w:rsidRPr="00F051D0">
              <w:rPr>
                <w:sz w:val="20"/>
                <w:szCs w:val="20"/>
              </w:rPr>
              <w:t>ILD</w:t>
            </w:r>
          </w:p>
        </w:tc>
        <w:tc>
          <w:tcPr>
            <w:tcW w:w="6685" w:type="dxa"/>
          </w:tcPr>
          <w:p w14:paraId="44F54D7E" w14:textId="7BF1CA33" w:rsidR="00F333E5" w:rsidRPr="00F051D0" w:rsidRDefault="00261563" w:rsidP="009D348F">
            <w:pPr>
              <w:pStyle w:val="Tabletext"/>
              <w:ind w:left="0"/>
              <w:rPr>
                <w:sz w:val="20"/>
                <w:szCs w:val="20"/>
              </w:rPr>
            </w:pPr>
            <w:r w:rsidRPr="00F051D0">
              <w:rPr>
                <w:sz w:val="20"/>
                <w:szCs w:val="20"/>
              </w:rPr>
              <w:t>Interstitial lung disease</w:t>
            </w:r>
          </w:p>
        </w:tc>
      </w:tr>
      <w:tr w:rsidR="00F333E5" w:rsidRPr="00F051D0" w14:paraId="54060953" w14:textId="77777777" w:rsidTr="00C91316">
        <w:tc>
          <w:tcPr>
            <w:tcW w:w="1799" w:type="dxa"/>
          </w:tcPr>
          <w:p w14:paraId="2367CDB7" w14:textId="77777777" w:rsidR="00F333E5" w:rsidRPr="00F051D0" w:rsidRDefault="00F333E5" w:rsidP="009D348F">
            <w:pPr>
              <w:pStyle w:val="Tabletext"/>
              <w:ind w:left="0"/>
              <w:rPr>
                <w:sz w:val="20"/>
                <w:szCs w:val="20"/>
              </w:rPr>
            </w:pPr>
            <w:r w:rsidRPr="00F051D0">
              <w:rPr>
                <w:sz w:val="20"/>
                <w:szCs w:val="20"/>
              </w:rPr>
              <w:t>IPF</w:t>
            </w:r>
          </w:p>
        </w:tc>
        <w:tc>
          <w:tcPr>
            <w:tcW w:w="6685" w:type="dxa"/>
          </w:tcPr>
          <w:p w14:paraId="604BB906" w14:textId="77777777" w:rsidR="00F333E5" w:rsidRPr="00F051D0" w:rsidRDefault="00F333E5" w:rsidP="009D348F">
            <w:pPr>
              <w:pStyle w:val="Tabletext"/>
              <w:ind w:left="0"/>
              <w:rPr>
                <w:sz w:val="20"/>
                <w:szCs w:val="20"/>
              </w:rPr>
            </w:pPr>
            <w:r w:rsidRPr="00F051D0">
              <w:rPr>
                <w:sz w:val="20"/>
                <w:szCs w:val="20"/>
              </w:rPr>
              <w:t>Idiopathic pulmonary fibrosis</w:t>
            </w:r>
          </w:p>
        </w:tc>
      </w:tr>
      <w:tr w:rsidR="00F333E5" w:rsidRPr="00F051D0" w14:paraId="4E9ED3A6" w14:textId="77777777" w:rsidTr="00C91316">
        <w:tc>
          <w:tcPr>
            <w:tcW w:w="1799" w:type="dxa"/>
          </w:tcPr>
          <w:p w14:paraId="06A08F72" w14:textId="77777777" w:rsidR="00F333E5" w:rsidRPr="00F051D0" w:rsidRDefault="00F333E5" w:rsidP="009D348F">
            <w:pPr>
              <w:pStyle w:val="Tabletext"/>
              <w:ind w:left="0"/>
              <w:rPr>
                <w:sz w:val="20"/>
                <w:szCs w:val="20"/>
              </w:rPr>
            </w:pPr>
            <w:r w:rsidRPr="00F051D0">
              <w:rPr>
                <w:sz w:val="20"/>
                <w:szCs w:val="20"/>
              </w:rPr>
              <w:t>K-BILD</w:t>
            </w:r>
          </w:p>
        </w:tc>
        <w:tc>
          <w:tcPr>
            <w:tcW w:w="6685" w:type="dxa"/>
          </w:tcPr>
          <w:p w14:paraId="58ABB72B" w14:textId="46FB4024" w:rsidR="00F333E5" w:rsidRPr="00F051D0" w:rsidRDefault="00F333E5" w:rsidP="009D348F">
            <w:pPr>
              <w:pStyle w:val="Tabletext"/>
              <w:ind w:left="0"/>
              <w:rPr>
                <w:sz w:val="20"/>
                <w:szCs w:val="20"/>
              </w:rPr>
            </w:pPr>
            <w:r w:rsidRPr="00F051D0">
              <w:rPr>
                <w:sz w:val="20"/>
                <w:szCs w:val="20"/>
              </w:rPr>
              <w:t xml:space="preserve">King's </w:t>
            </w:r>
            <w:r w:rsidR="002E426C" w:rsidRPr="00F051D0">
              <w:rPr>
                <w:sz w:val="20"/>
                <w:szCs w:val="20"/>
              </w:rPr>
              <w:t>Brief Interstitial Lung Disease Questionnaire</w:t>
            </w:r>
          </w:p>
        </w:tc>
      </w:tr>
      <w:tr w:rsidR="00B86B1A" w:rsidRPr="00F051D0" w14:paraId="2ECABC47" w14:textId="77777777" w:rsidTr="00C91316">
        <w:tc>
          <w:tcPr>
            <w:tcW w:w="1799" w:type="dxa"/>
          </w:tcPr>
          <w:p w14:paraId="521E9305" w14:textId="748919ED" w:rsidR="00B86B1A" w:rsidRPr="00F051D0" w:rsidRDefault="00B86B1A" w:rsidP="00B86B1A">
            <w:pPr>
              <w:pStyle w:val="Tabletext"/>
              <w:ind w:left="0"/>
              <w:rPr>
                <w:sz w:val="20"/>
                <w:szCs w:val="20"/>
              </w:rPr>
            </w:pPr>
            <w:r w:rsidRPr="00F051D0">
              <w:rPr>
                <w:sz w:val="20"/>
                <w:szCs w:val="20"/>
              </w:rPr>
              <w:t>NSCLC</w:t>
            </w:r>
          </w:p>
        </w:tc>
        <w:tc>
          <w:tcPr>
            <w:tcW w:w="6685" w:type="dxa"/>
          </w:tcPr>
          <w:p w14:paraId="79FB0A65" w14:textId="46BA34C9" w:rsidR="00B86B1A" w:rsidRPr="00F051D0" w:rsidRDefault="00B86B1A" w:rsidP="00B86B1A">
            <w:pPr>
              <w:pStyle w:val="Tabletext"/>
              <w:ind w:left="0"/>
              <w:rPr>
                <w:sz w:val="20"/>
                <w:szCs w:val="20"/>
              </w:rPr>
            </w:pPr>
            <w:r w:rsidRPr="00F051D0">
              <w:rPr>
                <w:sz w:val="20"/>
                <w:szCs w:val="20"/>
              </w:rPr>
              <w:t>Non-small cell lung cancer</w:t>
            </w:r>
          </w:p>
        </w:tc>
      </w:tr>
      <w:tr w:rsidR="00F333E5" w:rsidRPr="00F051D0" w14:paraId="7A5CC0DF" w14:textId="77777777" w:rsidTr="00C91316">
        <w:tc>
          <w:tcPr>
            <w:tcW w:w="1799" w:type="dxa"/>
          </w:tcPr>
          <w:p w14:paraId="166CF203" w14:textId="77777777" w:rsidR="00F333E5" w:rsidRPr="00F051D0" w:rsidRDefault="00F333E5" w:rsidP="009D348F">
            <w:pPr>
              <w:pStyle w:val="Tabletext"/>
              <w:ind w:left="0"/>
              <w:rPr>
                <w:sz w:val="20"/>
                <w:szCs w:val="20"/>
              </w:rPr>
            </w:pPr>
            <w:r w:rsidRPr="00F051D0">
              <w:rPr>
                <w:sz w:val="20"/>
                <w:szCs w:val="20"/>
              </w:rPr>
              <w:t>NSIP</w:t>
            </w:r>
          </w:p>
        </w:tc>
        <w:tc>
          <w:tcPr>
            <w:tcW w:w="6685" w:type="dxa"/>
          </w:tcPr>
          <w:p w14:paraId="6C8D0DF1" w14:textId="77777777" w:rsidR="00F333E5" w:rsidRPr="00F051D0" w:rsidRDefault="00F333E5" w:rsidP="009D348F">
            <w:pPr>
              <w:pStyle w:val="Tabletext"/>
              <w:ind w:left="0"/>
              <w:rPr>
                <w:sz w:val="20"/>
                <w:szCs w:val="20"/>
              </w:rPr>
            </w:pPr>
            <w:r w:rsidRPr="00F051D0">
              <w:rPr>
                <w:sz w:val="20"/>
                <w:szCs w:val="20"/>
              </w:rPr>
              <w:t>Non-specific interstitial pneumonia</w:t>
            </w:r>
          </w:p>
        </w:tc>
      </w:tr>
      <w:tr w:rsidR="00426DED" w:rsidRPr="00F051D0" w14:paraId="7E9B5EB4" w14:textId="77777777" w:rsidTr="00C91316">
        <w:tc>
          <w:tcPr>
            <w:tcW w:w="1799" w:type="dxa"/>
          </w:tcPr>
          <w:p w14:paraId="7AC4B1DD" w14:textId="15A7F75D" w:rsidR="00426DED" w:rsidRPr="00F051D0" w:rsidRDefault="00426DED" w:rsidP="00426DED">
            <w:pPr>
              <w:pStyle w:val="Tabletext"/>
              <w:ind w:left="0"/>
              <w:rPr>
                <w:sz w:val="20"/>
                <w:szCs w:val="20"/>
              </w:rPr>
            </w:pPr>
            <w:r w:rsidRPr="00426DED">
              <w:rPr>
                <w:sz w:val="20"/>
                <w:szCs w:val="20"/>
              </w:rPr>
              <w:t>PBRER</w:t>
            </w:r>
            <w:r w:rsidR="00A34CB6">
              <w:rPr>
                <w:sz w:val="20"/>
                <w:szCs w:val="20"/>
              </w:rPr>
              <w:t>(</w:t>
            </w:r>
            <w:r w:rsidRPr="00426DED">
              <w:rPr>
                <w:sz w:val="20"/>
                <w:szCs w:val="20"/>
              </w:rPr>
              <w:t>s</w:t>
            </w:r>
            <w:r w:rsidR="00A34CB6">
              <w:rPr>
                <w:sz w:val="20"/>
                <w:szCs w:val="20"/>
              </w:rPr>
              <w:t>)</w:t>
            </w:r>
          </w:p>
        </w:tc>
        <w:tc>
          <w:tcPr>
            <w:tcW w:w="6685" w:type="dxa"/>
          </w:tcPr>
          <w:p w14:paraId="66E87347" w14:textId="7659D484" w:rsidR="00426DED" w:rsidRPr="00F051D0" w:rsidRDefault="00426DED" w:rsidP="00426DED">
            <w:pPr>
              <w:pStyle w:val="Tabletext"/>
              <w:ind w:left="0"/>
              <w:rPr>
                <w:sz w:val="20"/>
                <w:szCs w:val="20"/>
              </w:rPr>
            </w:pPr>
            <w:r>
              <w:rPr>
                <w:sz w:val="20"/>
                <w:szCs w:val="20"/>
              </w:rPr>
              <w:t>P</w:t>
            </w:r>
            <w:r w:rsidRPr="00426DED">
              <w:rPr>
                <w:sz w:val="20"/>
                <w:szCs w:val="20"/>
              </w:rPr>
              <w:t>eriodic be</w:t>
            </w:r>
            <w:r>
              <w:rPr>
                <w:sz w:val="20"/>
                <w:szCs w:val="20"/>
              </w:rPr>
              <w:t>nefit–risk evaluation report</w:t>
            </w:r>
            <w:r w:rsidR="00A34CB6">
              <w:rPr>
                <w:sz w:val="20"/>
                <w:szCs w:val="20"/>
              </w:rPr>
              <w:t>(</w:t>
            </w:r>
            <w:r>
              <w:rPr>
                <w:sz w:val="20"/>
                <w:szCs w:val="20"/>
              </w:rPr>
              <w:t>s</w:t>
            </w:r>
            <w:r w:rsidR="00A34CB6">
              <w:rPr>
                <w:sz w:val="20"/>
                <w:szCs w:val="20"/>
              </w:rPr>
              <w:t>)</w:t>
            </w:r>
          </w:p>
        </w:tc>
      </w:tr>
      <w:tr w:rsidR="00F333E5" w:rsidRPr="00F051D0" w14:paraId="7A1503EC" w14:textId="77777777" w:rsidTr="00C91316">
        <w:tc>
          <w:tcPr>
            <w:tcW w:w="1799" w:type="dxa"/>
          </w:tcPr>
          <w:p w14:paraId="5360219F" w14:textId="77777777" w:rsidR="00F333E5" w:rsidRPr="00F051D0" w:rsidRDefault="00F333E5" w:rsidP="009D348F">
            <w:pPr>
              <w:pStyle w:val="Tabletext"/>
              <w:ind w:left="0"/>
              <w:rPr>
                <w:sz w:val="20"/>
                <w:szCs w:val="20"/>
              </w:rPr>
            </w:pPr>
            <w:r w:rsidRPr="00F051D0">
              <w:rPr>
                <w:sz w:val="20"/>
                <w:szCs w:val="20"/>
              </w:rPr>
              <w:t>PF-ILD</w:t>
            </w:r>
          </w:p>
        </w:tc>
        <w:tc>
          <w:tcPr>
            <w:tcW w:w="6685" w:type="dxa"/>
          </w:tcPr>
          <w:p w14:paraId="29F6BF48" w14:textId="752D997F" w:rsidR="00F333E5" w:rsidRPr="00F051D0" w:rsidRDefault="00B5289C" w:rsidP="00B5289C">
            <w:pPr>
              <w:pStyle w:val="Tabletext"/>
              <w:ind w:left="0"/>
              <w:rPr>
                <w:sz w:val="20"/>
                <w:szCs w:val="20"/>
              </w:rPr>
            </w:pPr>
            <w:r w:rsidRPr="00F051D0">
              <w:rPr>
                <w:sz w:val="20"/>
                <w:szCs w:val="20"/>
              </w:rPr>
              <w:t>Interstitial lung diseases with a progressive phenotype</w:t>
            </w:r>
          </w:p>
        </w:tc>
      </w:tr>
      <w:tr w:rsidR="00F333E5" w:rsidRPr="00F051D0" w14:paraId="5458F82F" w14:textId="77777777" w:rsidTr="00C91316">
        <w:tc>
          <w:tcPr>
            <w:tcW w:w="1799" w:type="dxa"/>
          </w:tcPr>
          <w:p w14:paraId="673389A4" w14:textId="77777777" w:rsidR="00F333E5" w:rsidRPr="00F051D0" w:rsidRDefault="00F333E5" w:rsidP="009D348F">
            <w:pPr>
              <w:pStyle w:val="Tabletext"/>
              <w:ind w:left="0"/>
              <w:rPr>
                <w:sz w:val="20"/>
                <w:szCs w:val="20"/>
              </w:rPr>
            </w:pPr>
            <w:r w:rsidRPr="00F051D0">
              <w:rPr>
                <w:sz w:val="20"/>
                <w:szCs w:val="20"/>
              </w:rPr>
              <w:t>PI</w:t>
            </w:r>
          </w:p>
        </w:tc>
        <w:tc>
          <w:tcPr>
            <w:tcW w:w="6685" w:type="dxa"/>
          </w:tcPr>
          <w:p w14:paraId="3F344C1E" w14:textId="3F5AD727" w:rsidR="00F333E5" w:rsidRPr="00F051D0" w:rsidRDefault="00F333E5" w:rsidP="009D348F">
            <w:pPr>
              <w:pStyle w:val="Tabletext"/>
              <w:ind w:left="0"/>
              <w:rPr>
                <w:sz w:val="20"/>
                <w:szCs w:val="20"/>
              </w:rPr>
            </w:pPr>
            <w:r w:rsidRPr="00F051D0">
              <w:rPr>
                <w:sz w:val="20"/>
                <w:szCs w:val="20"/>
              </w:rPr>
              <w:t xml:space="preserve">Product </w:t>
            </w:r>
            <w:r w:rsidR="009D1648" w:rsidRPr="00F051D0">
              <w:rPr>
                <w:sz w:val="20"/>
                <w:szCs w:val="20"/>
              </w:rPr>
              <w:t>Information</w:t>
            </w:r>
          </w:p>
        </w:tc>
      </w:tr>
      <w:tr w:rsidR="00744CF1" w:rsidRPr="00F051D0" w14:paraId="0C06D7C2" w14:textId="77777777" w:rsidTr="00C91316">
        <w:tc>
          <w:tcPr>
            <w:tcW w:w="1799" w:type="dxa"/>
          </w:tcPr>
          <w:p w14:paraId="2F4290F6" w14:textId="14B0E290" w:rsidR="00744CF1" w:rsidRPr="00F051D0" w:rsidRDefault="00744CF1" w:rsidP="00744CF1">
            <w:pPr>
              <w:pStyle w:val="Tabletext"/>
              <w:ind w:left="0"/>
              <w:rPr>
                <w:sz w:val="20"/>
                <w:szCs w:val="20"/>
              </w:rPr>
            </w:pPr>
            <w:r w:rsidRPr="00F051D0">
              <w:rPr>
                <w:sz w:val="20"/>
                <w:szCs w:val="20"/>
              </w:rPr>
              <w:t>PK</w:t>
            </w:r>
          </w:p>
        </w:tc>
        <w:tc>
          <w:tcPr>
            <w:tcW w:w="6685" w:type="dxa"/>
          </w:tcPr>
          <w:p w14:paraId="27C00183" w14:textId="6CCE1BD5" w:rsidR="00744CF1" w:rsidRPr="00F051D0" w:rsidRDefault="00744CF1" w:rsidP="00744CF1">
            <w:pPr>
              <w:pStyle w:val="Tabletext"/>
              <w:ind w:left="0"/>
              <w:rPr>
                <w:sz w:val="20"/>
                <w:szCs w:val="20"/>
              </w:rPr>
            </w:pPr>
            <w:r w:rsidRPr="00F051D0">
              <w:rPr>
                <w:sz w:val="20"/>
                <w:szCs w:val="20"/>
              </w:rPr>
              <w:t>Pharmacokinetic</w:t>
            </w:r>
            <w:r w:rsidR="00A34CB6">
              <w:rPr>
                <w:sz w:val="20"/>
                <w:szCs w:val="20"/>
              </w:rPr>
              <w:t>(</w:t>
            </w:r>
            <w:r w:rsidRPr="00F051D0">
              <w:rPr>
                <w:sz w:val="20"/>
                <w:szCs w:val="20"/>
              </w:rPr>
              <w:t>s</w:t>
            </w:r>
            <w:r w:rsidR="00A34CB6">
              <w:rPr>
                <w:sz w:val="20"/>
                <w:szCs w:val="20"/>
              </w:rPr>
              <w:t>)</w:t>
            </w:r>
          </w:p>
        </w:tc>
      </w:tr>
      <w:tr w:rsidR="00A8722D" w:rsidRPr="00F051D0" w14:paraId="151A40C9" w14:textId="77777777" w:rsidTr="00C91316">
        <w:tc>
          <w:tcPr>
            <w:tcW w:w="1799" w:type="dxa"/>
          </w:tcPr>
          <w:p w14:paraId="6F5D20D0" w14:textId="6D5703FB" w:rsidR="00A8722D" w:rsidRPr="00F051D0" w:rsidRDefault="00A8722D" w:rsidP="00A8722D">
            <w:pPr>
              <w:pStyle w:val="Tabletext"/>
              <w:ind w:left="0"/>
              <w:rPr>
                <w:sz w:val="20"/>
                <w:szCs w:val="20"/>
              </w:rPr>
            </w:pPr>
            <w:r w:rsidRPr="00F051D0">
              <w:rPr>
                <w:sz w:val="20"/>
                <w:szCs w:val="20"/>
              </w:rPr>
              <w:t>PSUR</w:t>
            </w:r>
          </w:p>
        </w:tc>
        <w:tc>
          <w:tcPr>
            <w:tcW w:w="6685" w:type="dxa"/>
          </w:tcPr>
          <w:p w14:paraId="62C0AF84" w14:textId="3D0C8137" w:rsidR="00A8722D" w:rsidRPr="00F051D0" w:rsidRDefault="00A8722D" w:rsidP="00A8722D">
            <w:pPr>
              <w:pStyle w:val="Tabletext"/>
              <w:ind w:left="0"/>
              <w:rPr>
                <w:sz w:val="20"/>
                <w:szCs w:val="20"/>
              </w:rPr>
            </w:pPr>
            <w:r w:rsidRPr="00F051D0">
              <w:rPr>
                <w:sz w:val="20"/>
                <w:szCs w:val="20"/>
              </w:rPr>
              <w:t>Periodic safety update report</w:t>
            </w:r>
          </w:p>
        </w:tc>
      </w:tr>
      <w:tr w:rsidR="00F333E5" w:rsidRPr="00F051D0" w14:paraId="22FD5BCF" w14:textId="77777777" w:rsidTr="00C91316">
        <w:tc>
          <w:tcPr>
            <w:tcW w:w="1799" w:type="dxa"/>
          </w:tcPr>
          <w:p w14:paraId="26F0BE90" w14:textId="77777777" w:rsidR="00F333E5" w:rsidRPr="00F051D0" w:rsidRDefault="00F333E5" w:rsidP="009D348F">
            <w:pPr>
              <w:pStyle w:val="Tabletext"/>
              <w:ind w:left="0"/>
              <w:rPr>
                <w:sz w:val="20"/>
                <w:szCs w:val="20"/>
              </w:rPr>
            </w:pPr>
            <w:r w:rsidRPr="00F051D0">
              <w:rPr>
                <w:sz w:val="20"/>
                <w:szCs w:val="20"/>
              </w:rPr>
              <w:t>SSc-ILD</w:t>
            </w:r>
          </w:p>
        </w:tc>
        <w:tc>
          <w:tcPr>
            <w:tcW w:w="6685" w:type="dxa"/>
          </w:tcPr>
          <w:p w14:paraId="7CCB6C0E" w14:textId="77777777" w:rsidR="00F333E5" w:rsidRPr="00F051D0" w:rsidRDefault="00F333E5" w:rsidP="009D348F">
            <w:pPr>
              <w:pStyle w:val="Tabletext"/>
              <w:ind w:left="0"/>
              <w:rPr>
                <w:sz w:val="20"/>
                <w:szCs w:val="20"/>
              </w:rPr>
            </w:pPr>
            <w:r w:rsidRPr="00F051D0">
              <w:rPr>
                <w:sz w:val="20"/>
                <w:szCs w:val="20"/>
              </w:rPr>
              <w:t>Systemic sclerosis-associated interstitial lung disease</w:t>
            </w:r>
          </w:p>
        </w:tc>
      </w:tr>
      <w:tr w:rsidR="00F333E5" w:rsidRPr="00F051D0" w14:paraId="2F3BCB9E" w14:textId="77777777" w:rsidTr="00C91316">
        <w:tc>
          <w:tcPr>
            <w:tcW w:w="1799" w:type="dxa"/>
          </w:tcPr>
          <w:p w14:paraId="6CB7DE73" w14:textId="77777777" w:rsidR="00F333E5" w:rsidRPr="00F051D0" w:rsidRDefault="00F333E5" w:rsidP="009D348F">
            <w:pPr>
              <w:pStyle w:val="Tabletext"/>
              <w:ind w:left="0"/>
              <w:rPr>
                <w:sz w:val="20"/>
                <w:szCs w:val="20"/>
              </w:rPr>
            </w:pPr>
            <w:r w:rsidRPr="00F051D0">
              <w:rPr>
                <w:sz w:val="20"/>
                <w:szCs w:val="20"/>
              </w:rPr>
              <w:t>TGA</w:t>
            </w:r>
          </w:p>
        </w:tc>
        <w:tc>
          <w:tcPr>
            <w:tcW w:w="6685" w:type="dxa"/>
          </w:tcPr>
          <w:p w14:paraId="64DDE234" w14:textId="77777777" w:rsidR="00F333E5" w:rsidRPr="00F051D0" w:rsidRDefault="00F333E5" w:rsidP="009D348F">
            <w:pPr>
              <w:pStyle w:val="Tabletext"/>
              <w:ind w:left="0"/>
              <w:rPr>
                <w:sz w:val="20"/>
                <w:szCs w:val="20"/>
              </w:rPr>
            </w:pPr>
            <w:r w:rsidRPr="00F051D0">
              <w:rPr>
                <w:sz w:val="20"/>
                <w:szCs w:val="20"/>
              </w:rPr>
              <w:t>Therapeutic Goods Administration</w:t>
            </w:r>
          </w:p>
        </w:tc>
      </w:tr>
      <w:tr w:rsidR="00F333E5" w:rsidRPr="00F051D0" w14:paraId="1EC0F021" w14:textId="77777777" w:rsidTr="00C91316">
        <w:tc>
          <w:tcPr>
            <w:tcW w:w="1799" w:type="dxa"/>
          </w:tcPr>
          <w:p w14:paraId="23FF475D" w14:textId="77777777" w:rsidR="00F333E5" w:rsidRPr="00F051D0" w:rsidRDefault="00F333E5" w:rsidP="009D348F">
            <w:pPr>
              <w:pStyle w:val="Tabletext"/>
              <w:ind w:left="0"/>
              <w:rPr>
                <w:sz w:val="20"/>
                <w:szCs w:val="20"/>
              </w:rPr>
            </w:pPr>
            <w:r w:rsidRPr="00F051D0">
              <w:rPr>
                <w:sz w:val="20"/>
                <w:szCs w:val="20"/>
              </w:rPr>
              <w:t>UIP</w:t>
            </w:r>
          </w:p>
        </w:tc>
        <w:tc>
          <w:tcPr>
            <w:tcW w:w="6685" w:type="dxa"/>
          </w:tcPr>
          <w:p w14:paraId="136181E5" w14:textId="77777777" w:rsidR="00F333E5" w:rsidRPr="00F051D0" w:rsidRDefault="00F333E5" w:rsidP="009D348F">
            <w:pPr>
              <w:pStyle w:val="Tabletext"/>
              <w:ind w:left="0"/>
              <w:rPr>
                <w:sz w:val="20"/>
                <w:szCs w:val="20"/>
              </w:rPr>
            </w:pPr>
            <w:r w:rsidRPr="00F051D0">
              <w:rPr>
                <w:sz w:val="20"/>
                <w:szCs w:val="20"/>
              </w:rPr>
              <w:t>Usual interstitial pneumonia</w:t>
            </w:r>
          </w:p>
        </w:tc>
      </w:tr>
      <w:tr w:rsidR="00F333E5" w:rsidRPr="00F051D0" w14:paraId="20B8B33A" w14:textId="77777777" w:rsidTr="00C91316">
        <w:tc>
          <w:tcPr>
            <w:tcW w:w="1799" w:type="dxa"/>
          </w:tcPr>
          <w:p w14:paraId="6AC8F5D5" w14:textId="77777777" w:rsidR="00F333E5" w:rsidRPr="00F051D0" w:rsidRDefault="00F333E5" w:rsidP="009D348F">
            <w:pPr>
              <w:pStyle w:val="Tabletext"/>
              <w:ind w:left="0"/>
              <w:rPr>
                <w:sz w:val="20"/>
                <w:szCs w:val="20"/>
              </w:rPr>
            </w:pPr>
            <w:r w:rsidRPr="00F051D0">
              <w:rPr>
                <w:sz w:val="20"/>
                <w:szCs w:val="20"/>
              </w:rPr>
              <w:t>ULN</w:t>
            </w:r>
          </w:p>
        </w:tc>
        <w:tc>
          <w:tcPr>
            <w:tcW w:w="6685" w:type="dxa"/>
          </w:tcPr>
          <w:p w14:paraId="3A8BD009" w14:textId="77777777" w:rsidR="00F333E5" w:rsidRPr="00F051D0" w:rsidRDefault="00F333E5" w:rsidP="009D348F">
            <w:pPr>
              <w:pStyle w:val="Tabletext"/>
              <w:ind w:left="0"/>
              <w:rPr>
                <w:sz w:val="20"/>
                <w:szCs w:val="20"/>
              </w:rPr>
            </w:pPr>
            <w:r w:rsidRPr="00F051D0">
              <w:rPr>
                <w:sz w:val="20"/>
                <w:szCs w:val="20"/>
              </w:rPr>
              <w:t>Upper limit of normal</w:t>
            </w:r>
          </w:p>
        </w:tc>
      </w:tr>
      <w:tr w:rsidR="009D1648" w:rsidRPr="00F051D0" w14:paraId="12DCB355" w14:textId="77777777" w:rsidTr="00C91316">
        <w:tc>
          <w:tcPr>
            <w:tcW w:w="1799" w:type="dxa"/>
          </w:tcPr>
          <w:p w14:paraId="4805E9C7" w14:textId="288F840A" w:rsidR="009D1648" w:rsidRPr="00F051D0" w:rsidRDefault="009D1648" w:rsidP="009D1648">
            <w:pPr>
              <w:pStyle w:val="Tabletext"/>
              <w:ind w:left="0"/>
              <w:rPr>
                <w:sz w:val="20"/>
                <w:szCs w:val="20"/>
              </w:rPr>
            </w:pPr>
            <w:r w:rsidRPr="00F051D0">
              <w:rPr>
                <w:sz w:val="20"/>
                <w:szCs w:val="20"/>
              </w:rPr>
              <w:t>USA</w:t>
            </w:r>
          </w:p>
        </w:tc>
        <w:tc>
          <w:tcPr>
            <w:tcW w:w="6685" w:type="dxa"/>
          </w:tcPr>
          <w:p w14:paraId="25E665D0" w14:textId="2F92CBCF" w:rsidR="009D1648" w:rsidRPr="00F051D0" w:rsidRDefault="009D1648" w:rsidP="009D1648">
            <w:pPr>
              <w:pStyle w:val="Tabletext"/>
              <w:ind w:left="0"/>
              <w:rPr>
                <w:sz w:val="20"/>
                <w:szCs w:val="20"/>
              </w:rPr>
            </w:pPr>
            <w:r w:rsidRPr="00F051D0">
              <w:rPr>
                <w:sz w:val="20"/>
                <w:szCs w:val="20"/>
              </w:rPr>
              <w:t>United States of America</w:t>
            </w:r>
          </w:p>
        </w:tc>
      </w:tr>
    </w:tbl>
    <w:p w14:paraId="41F98255" w14:textId="77777777" w:rsidR="008E7846" w:rsidRPr="00F051D0" w:rsidRDefault="00F53C07" w:rsidP="00733278">
      <w:pPr>
        <w:pStyle w:val="Heading2"/>
        <w:pageBreakBefore/>
      </w:pPr>
      <w:bookmarkStart w:id="8" w:name="_Toc65228877"/>
      <w:r w:rsidRPr="00F051D0">
        <w:t>I.</w:t>
      </w:r>
      <w:r w:rsidR="008E7846" w:rsidRPr="00F051D0">
        <w:t xml:space="preserve"> Introduction to product submission</w:t>
      </w:r>
      <w:bookmarkEnd w:id="8"/>
      <w:bookmarkEnd w:id="0"/>
      <w:bookmarkEnd w:id="2"/>
    </w:p>
    <w:p w14:paraId="1C09BDC3" w14:textId="77777777" w:rsidR="008E7846" w:rsidRPr="00F051D0" w:rsidRDefault="008E7846" w:rsidP="008E7846">
      <w:pPr>
        <w:pStyle w:val="Heading3"/>
        <w:rPr>
          <w:lang w:eastAsia="en-AU"/>
        </w:rPr>
      </w:pPr>
      <w:bookmarkStart w:id="9" w:name="_Toc247691502"/>
      <w:bookmarkStart w:id="10" w:name="_Toc314842483"/>
      <w:bookmarkStart w:id="11" w:name="_Toc65228878"/>
      <w:r w:rsidRPr="00F051D0">
        <w:rPr>
          <w:lang w:eastAsia="en-AU"/>
        </w:rPr>
        <w:t>Submission details</w:t>
      </w:r>
      <w:bookmarkEnd w:id="9"/>
      <w:bookmarkEnd w:id="10"/>
      <w:bookmarkEnd w:id="11"/>
    </w:p>
    <w:tbl>
      <w:tblPr>
        <w:tblW w:w="9214" w:type="dxa"/>
        <w:tblInd w:w="108" w:type="dxa"/>
        <w:tblLook w:val="01E0" w:firstRow="1" w:lastRow="1" w:firstColumn="1" w:lastColumn="1" w:noHBand="0" w:noVBand="0"/>
      </w:tblPr>
      <w:tblGrid>
        <w:gridCol w:w="2907"/>
        <w:gridCol w:w="6307"/>
      </w:tblGrid>
      <w:tr w:rsidR="008E7846" w:rsidRPr="00F051D0" w14:paraId="72AACBE4" w14:textId="77777777" w:rsidTr="003735BC">
        <w:tc>
          <w:tcPr>
            <w:tcW w:w="2907" w:type="dxa"/>
          </w:tcPr>
          <w:p w14:paraId="3CC1B53C" w14:textId="77777777" w:rsidR="008E7846" w:rsidRPr="00F051D0" w:rsidRDefault="001B5C90" w:rsidP="001B5C90">
            <w:pPr>
              <w:rPr>
                <w:i/>
              </w:rPr>
            </w:pPr>
            <w:r w:rsidRPr="00F051D0">
              <w:rPr>
                <w:i/>
              </w:rPr>
              <w:t>Type of s</w:t>
            </w:r>
            <w:r w:rsidR="008E7846" w:rsidRPr="00F051D0">
              <w:rPr>
                <w:i/>
              </w:rPr>
              <w:t>ubmission</w:t>
            </w:r>
            <w:r w:rsidRPr="00F051D0">
              <w:rPr>
                <w:i/>
              </w:rPr>
              <w:t>:</w:t>
            </w:r>
          </w:p>
        </w:tc>
        <w:tc>
          <w:tcPr>
            <w:tcW w:w="6307" w:type="dxa"/>
          </w:tcPr>
          <w:p w14:paraId="6E529F01" w14:textId="6D1EBE12" w:rsidR="008E7846" w:rsidRPr="00F051D0" w:rsidRDefault="00261563" w:rsidP="00261563">
            <w:r w:rsidRPr="00F051D0">
              <w:t>Extension of indications, variation to register entry resulting in a change of product information requiring evaluation of clinical, nonclinical, or bioequivalence data</w:t>
            </w:r>
          </w:p>
        </w:tc>
      </w:tr>
      <w:tr w:rsidR="00460036" w:rsidRPr="00F051D0" w14:paraId="3CBD4CE6" w14:textId="77777777" w:rsidTr="003735BC">
        <w:tc>
          <w:tcPr>
            <w:tcW w:w="2907" w:type="dxa"/>
          </w:tcPr>
          <w:p w14:paraId="1D5CE4A3" w14:textId="0190B7AF" w:rsidR="00460036" w:rsidRPr="00F051D0" w:rsidRDefault="00261563" w:rsidP="00261563">
            <w:pPr>
              <w:rPr>
                <w:i/>
              </w:rPr>
            </w:pPr>
            <w:r w:rsidRPr="00F051D0">
              <w:rPr>
                <w:i/>
              </w:rPr>
              <w:t>Product name</w:t>
            </w:r>
            <w:r w:rsidR="00460036" w:rsidRPr="00F051D0">
              <w:rPr>
                <w:i/>
              </w:rPr>
              <w:t>s:</w:t>
            </w:r>
          </w:p>
        </w:tc>
        <w:tc>
          <w:tcPr>
            <w:tcW w:w="6307" w:type="dxa"/>
          </w:tcPr>
          <w:p w14:paraId="0FBC0FF8" w14:textId="3FBB7FD2" w:rsidR="00460036" w:rsidRPr="00F051D0" w:rsidRDefault="00261563" w:rsidP="006746F2">
            <w:r w:rsidRPr="00F051D0">
              <w:t>Ofev</w:t>
            </w:r>
            <w:r w:rsidR="001C4A10">
              <w:t>/</w:t>
            </w:r>
            <w:r w:rsidRPr="00F051D0">
              <w:t>Vargatef</w:t>
            </w:r>
          </w:p>
        </w:tc>
      </w:tr>
      <w:tr w:rsidR="00460036" w:rsidRPr="00F051D0" w14:paraId="0B8C8485" w14:textId="77777777" w:rsidTr="003735BC">
        <w:tc>
          <w:tcPr>
            <w:tcW w:w="2907" w:type="dxa"/>
          </w:tcPr>
          <w:p w14:paraId="453BE90C" w14:textId="3A1EA41A" w:rsidR="00460036" w:rsidRPr="00F051D0" w:rsidRDefault="00443380" w:rsidP="003D1E62">
            <w:pPr>
              <w:rPr>
                <w:i/>
              </w:rPr>
            </w:pPr>
            <w:r w:rsidRPr="00F051D0">
              <w:rPr>
                <w:i/>
              </w:rPr>
              <w:t>Active ingredient</w:t>
            </w:r>
            <w:r w:rsidR="00460036" w:rsidRPr="00F051D0">
              <w:rPr>
                <w:i/>
              </w:rPr>
              <w:t>:</w:t>
            </w:r>
          </w:p>
        </w:tc>
        <w:tc>
          <w:tcPr>
            <w:tcW w:w="6307" w:type="dxa"/>
          </w:tcPr>
          <w:p w14:paraId="266854DE" w14:textId="0BFC01B5" w:rsidR="00460036" w:rsidRPr="00F051D0" w:rsidRDefault="00443380" w:rsidP="001B5C90">
            <w:r w:rsidRPr="00F051D0">
              <w:t>Nintedanib (as esilate)</w:t>
            </w:r>
          </w:p>
        </w:tc>
      </w:tr>
      <w:tr w:rsidR="008E7846" w:rsidRPr="00F051D0" w14:paraId="10A7BEF0" w14:textId="77777777" w:rsidTr="003735BC">
        <w:tc>
          <w:tcPr>
            <w:tcW w:w="2907" w:type="dxa"/>
          </w:tcPr>
          <w:p w14:paraId="28C49AD0" w14:textId="77777777" w:rsidR="008E7846" w:rsidRPr="00F051D0" w:rsidRDefault="008E7846" w:rsidP="003D1E62">
            <w:r w:rsidRPr="00F051D0">
              <w:rPr>
                <w:i/>
              </w:rPr>
              <w:t>Decision</w:t>
            </w:r>
            <w:r w:rsidRPr="00F051D0">
              <w:t>:</w:t>
            </w:r>
          </w:p>
        </w:tc>
        <w:tc>
          <w:tcPr>
            <w:tcW w:w="6307" w:type="dxa"/>
          </w:tcPr>
          <w:p w14:paraId="1973F5C1" w14:textId="7BB3F026" w:rsidR="008E7846" w:rsidRPr="00F051D0" w:rsidRDefault="002D3AFC" w:rsidP="002D3AFC">
            <w:r w:rsidRPr="00F051D0">
              <w:t>Approved</w:t>
            </w:r>
          </w:p>
        </w:tc>
      </w:tr>
      <w:tr w:rsidR="008E7846" w:rsidRPr="00F051D0" w14:paraId="471938AB" w14:textId="77777777" w:rsidTr="003735BC">
        <w:tc>
          <w:tcPr>
            <w:tcW w:w="2907" w:type="dxa"/>
          </w:tcPr>
          <w:p w14:paraId="0E54BE27" w14:textId="77777777" w:rsidR="008E7846" w:rsidRPr="00F051D0" w:rsidRDefault="008E7846" w:rsidP="001B5C90">
            <w:pPr>
              <w:rPr>
                <w:i/>
              </w:rPr>
            </w:pPr>
            <w:r w:rsidRPr="00F051D0">
              <w:rPr>
                <w:i/>
              </w:rPr>
              <w:t xml:space="preserve">Date of </w:t>
            </w:r>
            <w:r w:rsidR="001B5C90" w:rsidRPr="00F051D0">
              <w:rPr>
                <w:i/>
              </w:rPr>
              <w:t>d</w:t>
            </w:r>
            <w:r w:rsidRPr="00F051D0">
              <w:rPr>
                <w:i/>
              </w:rPr>
              <w:t>ecision:</w:t>
            </w:r>
          </w:p>
        </w:tc>
        <w:tc>
          <w:tcPr>
            <w:tcW w:w="6307" w:type="dxa"/>
          </w:tcPr>
          <w:p w14:paraId="640FA426" w14:textId="3193A542" w:rsidR="008E7846" w:rsidRPr="00F051D0" w:rsidRDefault="002D3AFC" w:rsidP="001B5C90">
            <w:r w:rsidRPr="00F051D0">
              <w:t>23 December 2020</w:t>
            </w:r>
          </w:p>
        </w:tc>
      </w:tr>
      <w:tr w:rsidR="00ED2922" w:rsidRPr="00F051D0" w14:paraId="78F3658B" w14:textId="77777777" w:rsidTr="003735BC">
        <w:tc>
          <w:tcPr>
            <w:tcW w:w="2907" w:type="dxa"/>
          </w:tcPr>
          <w:p w14:paraId="2D9FE36B" w14:textId="77777777" w:rsidR="00ED2922" w:rsidRPr="00F051D0" w:rsidRDefault="00ED2922" w:rsidP="001B5C90">
            <w:pPr>
              <w:rPr>
                <w:i/>
              </w:rPr>
            </w:pPr>
            <w:r w:rsidRPr="00F051D0">
              <w:rPr>
                <w:i/>
              </w:rPr>
              <w:t>Date of entry onto ARTG</w:t>
            </w:r>
            <w:r w:rsidR="00500337" w:rsidRPr="00F051D0">
              <w:rPr>
                <w:i/>
              </w:rPr>
              <w:t>:</w:t>
            </w:r>
          </w:p>
        </w:tc>
        <w:tc>
          <w:tcPr>
            <w:tcW w:w="6307" w:type="dxa"/>
          </w:tcPr>
          <w:p w14:paraId="69E45DE7" w14:textId="5C55F61C" w:rsidR="00ED2922" w:rsidRPr="00F051D0" w:rsidRDefault="00550DD1" w:rsidP="000E3C99">
            <w:pPr>
              <w:rPr>
                <w:i/>
              </w:rPr>
            </w:pPr>
            <w:r>
              <w:t>5</w:t>
            </w:r>
            <w:bookmarkStart w:id="12" w:name="_GoBack"/>
            <w:bookmarkEnd w:id="12"/>
            <w:r w:rsidR="000E3C99" w:rsidRPr="00F051D0">
              <w:t xml:space="preserve"> January 2021</w:t>
            </w:r>
          </w:p>
        </w:tc>
      </w:tr>
      <w:tr w:rsidR="00500337" w:rsidRPr="00F051D0" w14:paraId="08CBC2D2" w14:textId="77777777" w:rsidTr="003735BC">
        <w:tc>
          <w:tcPr>
            <w:tcW w:w="2907" w:type="dxa"/>
          </w:tcPr>
          <w:p w14:paraId="2C8B84A7" w14:textId="08819B01" w:rsidR="00500337" w:rsidRPr="00F051D0" w:rsidRDefault="00500337" w:rsidP="00CD3C42">
            <w:pPr>
              <w:rPr>
                <w:i/>
              </w:rPr>
            </w:pPr>
            <w:r w:rsidRPr="00F051D0">
              <w:rPr>
                <w:i/>
              </w:rPr>
              <w:t>ARTG numbers:</w:t>
            </w:r>
          </w:p>
        </w:tc>
        <w:tc>
          <w:tcPr>
            <w:tcW w:w="6307" w:type="dxa"/>
          </w:tcPr>
          <w:p w14:paraId="7F6CB795" w14:textId="794F88CD" w:rsidR="00500337" w:rsidRPr="00F051D0" w:rsidRDefault="00CD3C42" w:rsidP="00EC463D">
            <w:r w:rsidRPr="00F051D0">
              <w:t xml:space="preserve">226065, </w:t>
            </w:r>
            <w:r w:rsidR="009349B2" w:rsidRPr="00F051D0">
              <w:t>226066</w:t>
            </w:r>
            <w:r w:rsidRPr="00F051D0">
              <w:t>, 226067</w:t>
            </w:r>
            <w:r w:rsidR="00433FF0" w:rsidRPr="00F051D0">
              <w:t xml:space="preserve"> and</w:t>
            </w:r>
            <w:r w:rsidRPr="00F051D0">
              <w:t xml:space="preserve"> </w:t>
            </w:r>
            <w:r w:rsidR="009349B2" w:rsidRPr="00F051D0">
              <w:t>226068</w:t>
            </w:r>
          </w:p>
        </w:tc>
      </w:tr>
      <w:tr w:rsidR="003735BC" w:rsidRPr="00F051D0" w14:paraId="48CEFDC0" w14:textId="77777777" w:rsidTr="003735BC">
        <w:tc>
          <w:tcPr>
            <w:tcW w:w="2907" w:type="dxa"/>
          </w:tcPr>
          <w:p w14:paraId="0BFDB727" w14:textId="77777777" w:rsidR="003735BC" w:rsidRPr="00F051D0" w:rsidRDefault="00FA5069" w:rsidP="001B5C90">
            <w:pPr>
              <w:rPr>
                <w:i/>
              </w:rPr>
            </w:pPr>
            <w:r w:rsidRPr="00F051D0">
              <w:rPr>
                <w:rFonts w:ascii="Wingdings 3" w:hAnsi="Wingdings 3"/>
                <w:sz w:val="34"/>
                <w:szCs w:val="34"/>
                <w:lang w:eastAsia="en-AU"/>
              </w:rPr>
              <w:t></w:t>
            </w:r>
            <w:r w:rsidR="003735BC" w:rsidRPr="00F051D0">
              <w:rPr>
                <w:i/>
              </w:rPr>
              <w:t>Black Triangle Scheme</w:t>
            </w:r>
            <w:r w:rsidR="004C4FBE" w:rsidRPr="00F051D0">
              <w:rPr>
                <w:i/>
              </w:rPr>
              <w:t>:</w:t>
            </w:r>
            <w:r w:rsidR="00460036" w:rsidRPr="00F051D0">
              <w:rPr>
                <w:rStyle w:val="FootnoteReference"/>
                <w:i/>
              </w:rPr>
              <w:footnoteReference w:id="2"/>
            </w:r>
          </w:p>
        </w:tc>
        <w:tc>
          <w:tcPr>
            <w:tcW w:w="6307" w:type="dxa"/>
          </w:tcPr>
          <w:p w14:paraId="745DAD51" w14:textId="74454590" w:rsidR="003735BC" w:rsidRPr="00F051D0" w:rsidRDefault="00CD3C42" w:rsidP="00CD3C42">
            <w:r w:rsidRPr="00F051D0">
              <w:t>No</w:t>
            </w:r>
          </w:p>
        </w:tc>
      </w:tr>
      <w:tr w:rsidR="008E7846" w:rsidRPr="00F051D0" w14:paraId="3F9A9414" w14:textId="77777777" w:rsidTr="00BF1190">
        <w:tc>
          <w:tcPr>
            <w:tcW w:w="2907" w:type="dxa"/>
          </w:tcPr>
          <w:p w14:paraId="6820B862" w14:textId="77777777" w:rsidR="008E7846" w:rsidRPr="00F051D0" w:rsidRDefault="008E7846" w:rsidP="001B5C90">
            <w:pPr>
              <w:rPr>
                <w:i/>
              </w:rPr>
            </w:pPr>
            <w:r w:rsidRPr="00F051D0">
              <w:rPr>
                <w:i/>
              </w:rPr>
              <w:t xml:space="preserve">Sponsor’s </w:t>
            </w:r>
            <w:r w:rsidR="001B5C90" w:rsidRPr="00F051D0">
              <w:rPr>
                <w:i/>
              </w:rPr>
              <w:t>n</w:t>
            </w:r>
            <w:r w:rsidRPr="00F051D0">
              <w:rPr>
                <w:i/>
              </w:rPr>
              <w:t xml:space="preserve">ame and </w:t>
            </w:r>
            <w:r w:rsidR="001B5C90" w:rsidRPr="00F051D0">
              <w:rPr>
                <w:i/>
              </w:rPr>
              <w:t>a</w:t>
            </w:r>
            <w:r w:rsidRPr="00F051D0">
              <w:rPr>
                <w:i/>
              </w:rPr>
              <w:t>ddress:</w:t>
            </w:r>
          </w:p>
        </w:tc>
        <w:tc>
          <w:tcPr>
            <w:tcW w:w="6307" w:type="dxa"/>
          </w:tcPr>
          <w:p w14:paraId="305FF55D" w14:textId="77777777" w:rsidR="00CD3C42" w:rsidRPr="00F051D0" w:rsidRDefault="00CD3C42" w:rsidP="00CD3C42">
            <w:r w:rsidRPr="00F051D0">
              <w:t>Boehringer Ingelheim Pty Limited</w:t>
            </w:r>
          </w:p>
          <w:p w14:paraId="31068C61" w14:textId="77777777" w:rsidR="00A34CB6" w:rsidRDefault="00CD3C42" w:rsidP="00CD3C42">
            <w:r w:rsidRPr="00F051D0">
              <w:t>78 Waterloo Road</w:t>
            </w:r>
          </w:p>
          <w:p w14:paraId="4A4E7991" w14:textId="07B31ECC" w:rsidR="008E7846" w:rsidRPr="00F051D0" w:rsidRDefault="00CD3C42" w:rsidP="00CD3C42">
            <w:r w:rsidRPr="00F051D0">
              <w:t>North Ryde NSW 2113</w:t>
            </w:r>
          </w:p>
        </w:tc>
      </w:tr>
      <w:tr w:rsidR="008E7846" w:rsidRPr="00F051D0" w14:paraId="287537C5" w14:textId="77777777" w:rsidTr="00BF1190">
        <w:tc>
          <w:tcPr>
            <w:tcW w:w="2907" w:type="dxa"/>
          </w:tcPr>
          <w:p w14:paraId="282FAC64" w14:textId="3961F8CF" w:rsidR="008E7846" w:rsidRPr="00F051D0" w:rsidRDefault="001B5C90" w:rsidP="00876AD3">
            <w:pPr>
              <w:rPr>
                <w:i/>
              </w:rPr>
            </w:pPr>
            <w:r w:rsidRPr="00F051D0">
              <w:rPr>
                <w:i/>
              </w:rPr>
              <w:t>Dos</w:t>
            </w:r>
            <w:r w:rsidR="00876AD3" w:rsidRPr="00F051D0">
              <w:rPr>
                <w:i/>
              </w:rPr>
              <w:t>e form</w:t>
            </w:r>
            <w:r w:rsidRPr="00F051D0">
              <w:rPr>
                <w:i/>
              </w:rPr>
              <w:t>:</w:t>
            </w:r>
          </w:p>
        </w:tc>
        <w:tc>
          <w:tcPr>
            <w:tcW w:w="6307" w:type="dxa"/>
          </w:tcPr>
          <w:p w14:paraId="47F54C19" w14:textId="623740AA" w:rsidR="008E7846" w:rsidRPr="00F051D0" w:rsidRDefault="00876AD3" w:rsidP="00E45619">
            <w:r w:rsidRPr="00F051D0">
              <w:t>Soft capsule</w:t>
            </w:r>
          </w:p>
        </w:tc>
      </w:tr>
      <w:tr w:rsidR="008E7846" w:rsidRPr="00F051D0" w14:paraId="5DA78BEA" w14:textId="77777777" w:rsidTr="00BF1190">
        <w:tc>
          <w:tcPr>
            <w:tcW w:w="2907" w:type="dxa"/>
          </w:tcPr>
          <w:p w14:paraId="33E94E7E" w14:textId="6BD03B8D" w:rsidR="008E7846" w:rsidRPr="00F051D0" w:rsidRDefault="00324E45" w:rsidP="00D36802">
            <w:pPr>
              <w:rPr>
                <w:i/>
              </w:rPr>
            </w:pPr>
            <w:r w:rsidRPr="00F051D0">
              <w:rPr>
                <w:i/>
              </w:rPr>
              <w:t>Strengths:</w:t>
            </w:r>
          </w:p>
        </w:tc>
        <w:tc>
          <w:tcPr>
            <w:tcW w:w="6307" w:type="dxa"/>
          </w:tcPr>
          <w:p w14:paraId="18750E05" w14:textId="3380292C" w:rsidR="008E7846" w:rsidRPr="00F051D0" w:rsidRDefault="00B5289C" w:rsidP="00B5289C">
            <w:r w:rsidRPr="00F051D0">
              <w:t>100</w:t>
            </w:r>
            <w:r w:rsidR="00901D56">
              <w:t> </w:t>
            </w:r>
            <w:r w:rsidRPr="00F051D0">
              <w:t>mg and</w:t>
            </w:r>
            <w:r w:rsidR="001E2DE0" w:rsidRPr="00F051D0">
              <w:t xml:space="preserve"> </w:t>
            </w:r>
            <w:r w:rsidRPr="00F051D0">
              <w:t>150</w:t>
            </w:r>
            <w:r w:rsidR="00901D56">
              <w:t> </w:t>
            </w:r>
            <w:r w:rsidRPr="00F051D0">
              <w:t>mg</w:t>
            </w:r>
          </w:p>
        </w:tc>
      </w:tr>
      <w:tr w:rsidR="008E7846" w:rsidRPr="00F051D0" w14:paraId="2DF5792A" w14:textId="77777777" w:rsidTr="00BF1190">
        <w:tc>
          <w:tcPr>
            <w:tcW w:w="2907" w:type="dxa"/>
          </w:tcPr>
          <w:p w14:paraId="7FAF6F63" w14:textId="0DB764E8" w:rsidR="008E7846" w:rsidRPr="00F051D0" w:rsidRDefault="008E7846" w:rsidP="00CD3C42">
            <w:pPr>
              <w:rPr>
                <w:i/>
              </w:rPr>
            </w:pPr>
            <w:r w:rsidRPr="00F051D0">
              <w:rPr>
                <w:i/>
              </w:rPr>
              <w:t>Container:</w:t>
            </w:r>
          </w:p>
        </w:tc>
        <w:tc>
          <w:tcPr>
            <w:tcW w:w="6307" w:type="dxa"/>
          </w:tcPr>
          <w:p w14:paraId="085131F0" w14:textId="1CD2760F" w:rsidR="008E7846" w:rsidRPr="00F051D0" w:rsidRDefault="00CD3C42" w:rsidP="00E45619">
            <w:r w:rsidRPr="00F051D0">
              <w:t>Blister pack</w:t>
            </w:r>
          </w:p>
        </w:tc>
      </w:tr>
      <w:tr w:rsidR="008E7846" w:rsidRPr="00F051D0" w14:paraId="5C89A5F9" w14:textId="77777777" w:rsidTr="00BF1190">
        <w:tc>
          <w:tcPr>
            <w:tcW w:w="2907" w:type="dxa"/>
          </w:tcPr>
          <w:p w14:paraId="3D3603D8" w14:textId="0EE5FFED" w:rsidR="008E7846" w:rsidRPr="00F051D0" w:rsidRDefault="008E7846" w:rsidP="00BF734A">
            <w:pPr>
              <w:rPr>
                <w:i/>
              </w:rPr>
            </w:pPr>
            <w:r w:rsidRPr="00F051D0">
              <w:rPr>
                <w:i/>
              </w:rPr>
              <w:t>Pack size:</w:t>
            </w:r>
          </w:p>
        </w:tc>
        <w:tc>
          <w:tcPr>
            <w:tcW w:w="6307" w:type="dxa"/>
          </w:tcPr>
          <w:p w14:paraId="5C3E492A" w14:textId="5B6D50DC" w:rsidR="008E7846" w:rsidRPr="00F051D0" w:rsidRDefault="00876AD3" w:rsidP="00876AD3">
            <w:r w:rsidRPr="00F051D0">
              <w:t>60</w:t>
            </w:r>
          </w:p>
        </w:tc>
      </w:tr>
      <w:tr w:rsidR="008E7846" w:rsidRPr="00F051D0" w14:paraId="5AF6DAEF" w14:textId="77777777" w:rsidTr="00BF1190">
        <w:tc>
          <w:tcPr>
            <w:tcW w:w="2907" w:type="dxa"/>
          </w:tcPr>
          <w:p w14:paraId="27B139DE" w14:textId="77777777" w:rsidR="008E7846" w:rsidRPr="00F051D0" w:rsidRDefault="008E7846" w:rsidP="001B5C90">
            <w:pPr>
              <w:rPr>
                <w:i/>
              </w:rPr>
            </w:pPr>
            <w:r w:rsidRPr="00F051D0">
              <w:rPr>
                <w:i/>
              </w:rPr>
              <w:t xml:space="preserve">Approved </w:t>
            </w:r>
            <w:r w:rsidR="001B5C90" w:rsidRPr="00F051D0">
              <w:rPr>
                <w:i/>
              </w:rPr>
              <w:t>t</w:t>
            </w:r>
            <w:r w:rsidRPr="00F051D0">
              <w:rPr>
                <w:i/>
              </w:rPr>
              <w:t>herapeutic use:</w:t>
            </w:r>
          </w:p>
        </w:tc>
        <w:tc>
          <w:tcPr>
            <w:tcW w:w="6307" w:type="dxa"/>
          </w:tcPr>
          <w:p w14:paraId="5505CF84" w14:textId="7C61526D" w:rsidR="008E7846" w:rsidRPr="00F051D0" w:rsidRDefault="00D42B39" w:rsidP="006746F2">
            <w:pPr>
              <w:rPr>
                <w:rFonts w:eastAsia="MS Mincho"/>
                <w:i/>
                <w:lang w:eastAsia="ja-JP"/>
              </w:rPr>
            </w:pPr>
            <w:r w:rsidRPr="00F051D0">
              <w:rPr>
                <w:i/>
              </w:rPr>
              <w:t>Ofev</w:t>
            </w:r>
            <w:r w:rsidR="00171EC7">
              <w:rPr>
                <w:i/>
              </w:rPr>
              <w:t>/</w:t>
            </w:r>
            <w:r w:rsidRPr="00F051D0">
              <w:rPr>
                <w:i/>
              </w:rPr>
              <w:t xml:space="preserve">Vargatef is also indicated for the treatment of other chronic fibrosing </w:t>
            </w:r>
            <w:r w:rsidR="00B5289C" w:rsidRPr="00F051D0">
              <w:rPr>
                <w:i/>
              </w:rPr>
              <w:t xml:space="preserve">interstitial lung diseases </w:t>
            </w:r>
            <w:r w:rsidRPr="00F051D0">
              <w:rPr>
                <w:i/>
              </w:rPr>
              <w:t>(ILDs) with a progressive phenotype.</w:t>
            </w:r>
          </w:p>
        </w:tc>
      </w:tr>
      <w:tr w:rsidR="008E7846" w:rsidRPr="00F051D0" w14:paraId="6900AC31" w14:textId="77777777" w:rsidTr="00BF1190">
        <w:tc>
          <w:tcPr>
            <w:tcW w:w="2907" w:type="dxa"/>
          </w:tcPr>
          <w:p w14:paraId="4B39F6D0" w14:textId="683293E2" w:rsidR="008E7846" w:rsidRPr="00F051D0" w:rsidRDefault="008E7846" w:rsidP="00CD3C42">
            <w:pPr>
              <w:rPr>
                <w:i/>
              </w:rPr>
            </w:pPr>
            <w:r w:rsidRPr="00F051D0">
              <w:rPr>
                <w:i/>
              </w:rPr>
              <w:t>Route of administration:</w:t>
            </w:r>
          </w:p>
        </w:tc>
        <w:tc>
          <w:tcPr>
            <w:tcW w:w="6307" w:type="dxa"/>
          </w:tcPr>
          <w:p w14:paraId="09BE6A4C" w14:textId="13995BD9" w:rsidR="008E7846" w:rsidRPr="00F051D0" w:rsidRDefault="00CD3C42" w:rsidP="00E45619">
            <w:r w:rsidRPr="00F051D0">
              <w:t>Oral</w:t>
            </w:r>
          </w:p>
        </w:tc>
      </w:tr>
      <w:tr w:rsidR="008E7846" w:rsidRPr="00F051D0" w14:paraId="6F5FAAC0" w14:textId="77777777" w:rsidTr="00BF1190">
        <w:tc>
          <w:tcPr>
            <w:tcW w:w="2907" w:type="dxa"/>
          </w:tcPr>
          <w:p w14:paraId="59DAB1AF" w14:textId="77777777" w:rsidR="008E7846" w:rsidRPr="00F051D0" w:rsidRDefault="008E7846" w:rsidP="00E45619">
            <w:pPr>
              <w:rPr>
                <w:i/>
              </w:rPr>
            </w:pPr>
            <w:r w:rsidRPr="00F051D0">
              <w:rPr>
                <w:i/>
              </w:rPr>
              <w:t>Dosage:</w:t>
            </w:r>
          </w:p>
        </w:tc>
        <w:tc>
          <w:tcPr>
            <w:tcW w:w="6307" w:type="dxa"/>
          </w:tcPr>
          <w:p w14:paraId="4EC8B30F" w14:textId="0B2431C2" w:rsidR="008A2914" w:rsidRPr="00F051D0" w:rsidRDefault="008A2914" w:rsidP="0035488F">
            <w:pPr>
              <w:rPr>
                <w:b/>
              </w:rPr>
            </w:pPr>
            <w:r w:rsidRPr="00F051D0">
              <w:rPr>
                <w:b/>
              </w:rPr>
              <w:t>Non-small cell lung carcinoma</w:t>
            </w:r>
          </w:p>
          <w:p w14:paraId="18C33A17" w14:textId="16A83A13" w:rsidR="00AB5DD1" w:rsidRPr="00F051D0" w:rsidRDefault="00AB5DD1" w:rsidP="0035488F">
            <w:r w:rsidRPr="00F051D0">
              <w:t xml:space="preserve">Treatment with </w:t>
            </w:r>
            <w:r w:rsidR="00D36802" w:rsidRPr="00F051D0">
              <w:t xml:space="preserve">Ofev </w:t>
            </w:r>
            <w:r w:rsidRPr="00F051D0">
              <w:t>should be initiated and supervised by</w:t>
            </w:r>
            <w:r w:rsidR="0035488F" w:rsidRPr="00F051D0">
              <w:t xml:space="preserve"> a physician experienced in the </w:t>
            </w:r>
            <w:r w:rsidRPr="00F051D0">
              <w:t>use of anticancer therapies.</w:t>
            </w:r>
          </w:p>
          <w:p w14:paraId="1CD8FCE2" w14:textId="45D92F41" w:rsidR="0035488F" w:rsidRPr="00F051D0" w:rsidRDefault="00AB5DD1" w:rsidP="0035488F">
            <w:r w:rsidRPr="00F051D0">
              <w:t xml:space="preserve">The recommended dose of </w:t>
            </w:r>
            <w:r w:rsidR="00D36802" w:rsidRPr="00F051D0">
              <w:t xml:space="preserve">Ofev </w:t>
            </w:r>
            <w:r w:rsidRPr="00F051D0">
              <w:t>is 200</w:t>
            </w:r>
            <w:r w:rsidR="00901D56">
              <w:t> </w:t>
            </w:r>
            <w:r w:rsidRPr="00F051D0">
              <w:t xml:space="preserve">mg twice daily </w:t>
            </w:r>
            <w:r w:rsidR="00121308" w:rsidRPr="00F051D0">
              <w:t>(B</w:t>
            </w:r>
            <w:r w:rsidR="00AB2CA7">
              <w:t>I</w:t>
            </w:r>
            <w:r w:rsidR="00121308" w:rsidRPr="00F051D0">
              <w:t xml:space="preserve">D) </w:t>
            </w:r>
            <w:r w:rsidRPr="00F051D0">
              <w:t>administere</w:t>
            </w:r>
            <w:r w:rsidR="0035488F" w:rsidRPr="00F051D0">
              <w:t xml:space="preserve">d approximately 12 hours </w:t>
            </w:r>
            <w:r w:rsidR="00B5289C" w:rsidRPr="00F051D0">
              <w:t>apart, on D</w:t>
            </w:r>
            <w:r w:rsidRPr="00F051D0">
              <w:t>ays 2 to 21 of a standard 21-day docetaxel treatment cycle.</w:t>
            </w:r>
          </w:p>
          <w:p w14:paraId="60B95349" w14:textId="058C18F8" w:rsidR="0035488F" w:rsidRPr="00F051D0" w:rsidRDefault="00D36802" w:rsidP="0035488F">
            <w:r w:rsidRPr="00F051D0">
              <w:t xml:space="preserve">Ofev </w:t>
            </w:r>
            <w:r w:rsidR="0035488F" w:rsidRPr="00F051D0">
              <w:t xml:space="preserve">must not be taken on the same day of docetaxel </w:t>
            </w:r>
            <w:r w:rsidR="00B5289C" w:rsidRPr="00F051D0">
              <w:t>chemotherapy administration (</w:t>
            </w:r>
            <w:r w:rsidR="00A34CB6">
              <w:t xml:space="preserve">that is, </w:t>
            </w:r>
            <w:r w:rsidR="00B5289C" w:rsidRPr="00F051D0">
              <w:t>D</w:t>
            </w:r>
            <w:r w:rsidR="0035488F" w:rsidRPr="00F051D0">
              <w:t>ay 1).</w:t>
            </w:r>
          </w:p>
          <w:p w14:paraId="40BCF149" w14:textId="467DD6B1" w:rsidR="0035488F" w:rsidRPr="00F051D0" w:rsidRDefault="0035488F" w:rsidP="0035488F">
            <w:r w:rsidRPr="00F051D0">
              <w:t>The recommended maximum daily dose of 400</w:t>
            </w:r>
            <w:r w:rsidR="00901D56">
              <w:t> </w:t>
            </w:r>
            <w:r w:rsidRPr="00F051D0">
              <w:t>mg should not be exceeded.</w:t>
            </w:r>
          </w:p>
          <w:p w14:paraId="19BC9038" w14:textId="7C0CB7B5" w:rsidR="0035488F" w:rsidRPr="00F051D0" w:rsidRDefault="0035488F" w:rsidP="0035488F">
            <w:r w:rsidRPr="00F051D0">
              <w:t xml:space="preserve">Patients may continue therapy with </w:t>
            </w:r>
            <w:r w:rsidR="00D36802" w:rsidRPr="00F051D0">
              <w:t xml:space="preserve">Ofev </w:t>
            </w:r>
            <w:r w:rsidRPr="00F051D0">
              <w:t>after discontinuation of docetaxel for as long as clinical benefit is observed or until unacceptable toxicity occurs.</w:t>
            </w:r>
          </w:p>
          <w:p w14:paraId="7290876F" w14:textId="03E49C98" w:rsidR="0035488F" w:rsidRPr="00F051D0" w:rsidRDefault="0035488F" w:rsidP="0035488F">
            <w:r w:rsidRPr="00F051D0">
              <w:t>For dosage, method of administration and dose modifications of docetaxel, please refer to the corresponding product information for docetaxel.</w:t>
            </w:r>
          </w:p>
          <w:p w14:paraId="2DA8B46C" w14:textId="61A717BB" w:rsidR="0035488F" w:rsidRPr="00F051D0" w:rsidRDefault="00B5289C" w:rsidP="0035488F">
            <w:pPr>
              <w:rPr>
                <w:b/>
              </w:rPr>
            </w:pPr>
            <w:r w:rsidRPr="00F051D0">
              <w:rPr>
                <w:b/>
              </w:rPr>
              <w:t>Idiopathic pulmonary fibrosis</w:t>
            </w:r>
            <w:r w:rsidR="0035488F" w:rsidRPr="00F051D0">
              <w:rPr>
                <w:b/>
              </w:rPr>
              <w:t xml:space="preserve">, other chronic fibrosing </w:t>
            </w:r>
            <w:r w:rsidR="007863C6" w:rsidRPr="00F051D0">
              <w:rPr>
                <w:b/>
              </w:rPr>
              <w:t xml:space="preserve">interstitial lung disease </w:t>
            </w:r>
            <w:r w:rsidR="0035488F" w:rsidRPr="00F051D0">
              <w:rPr>
                <w:b/>
              </w:rPr>
              <w:t xml:space="preserve">with a progressive phenotype, and </w:t>
            </w:r>
            <w:r w:rsidR="00D06454">
              <w:rPr>
                <w:b/>
              </w:rPr>
              <w:t xml:space="preserve">systemic sclerosis </w:t>
            </w:r>
            <w:r w:rsidRPr="00F051D0">
              <w:rPr>
                <w:b/>
              </w:rPr>
              <w:t>associated interstitial lung disease</w:t>
            </w:r>
          </w:p>
          <w:p w14:paraId="736B64AE" w14:textId="595C0F45" w:rsidR="0035488F" w:rsidRPr="00F051D0" w:rsidRDefault="0035488F" w:rsidP="0035488F">
            <w:r w:rsidRPr="00F051D0">
              <w:t xml:space="preserve">Treatment should be initiated by physicians experienced in the diagnosis and treatment of conditions for which </w:t>
            </w:r>
            <w:r w:rsidR="00D36802" w:rsidRPr="00F051D0">
              <w:t xml:space="preserve">Ofev </w:t>
            </w:r>
            <w:r w:rsidRPr="00F051D0">
              <w:t>is indicated.</w:t>
            </w:r>
          </w:p>
          <w:p w14:paraId="46550123" w14:textId="1E65A63C" w:rsidR="0035488F" w:rsidRPr="00F051D0" w:rsidRDefault="0035488F" w:rsidP="0035488F">
            <w:r w:rsidRPr="00F051D0">
              <w:t xml:space="preserve">The recommended dose of </w:t>
            </w:r>
            <w:r w:rsidR="00D36802" w:rsidRPr="00F051D0">
              <w:t xml:space="preserve">Ofev </w:t>
            </w:r>
            <w:r w:rsidRPr="00F051D0">
              <w:t xml:space="preserve">is 150 mg </w:t>
            </w:r>
            <w:r w:rsidR="00121308" w:rsidRPr="00F051D0">
              <w:t>B</w:t>
            </w:r>
            <w:r w:rsidR="00AB2CA7">
              <w:t>I</w:t>
            </w:r>
            <w:r w:rsidR="00121308" w:rsidRPr="00F051D0">
              <w:t>D</w:t>
            </w:r>
            <w:r w:rsidRPr="00F051D0">
              <w:t xml:space="preserve"> administered approximately 12</w:t>
            </w:r>
            <w:r w:rsidR="00901D56">
              <w:t> </w:t>
            </w:r>
            <w:r w:rsidRPr="00F051D0">
              <w:t>hours apart.</w:t>
            </w:r>
          </w:p>
          <w:p w14:paraId="43729449" w14:textId="1B4513AD" w:rsidR="0035488F" w:rsidRPr="00F051D0" w:rsidRDefault="0035488F" w:rsidP="0035488F">
            <w:r w:rsidRPr="00F051D0">
              <w:t>The recommended maximum daily dose of 300</w:t>
            </w:r>
            <w:r w:rsidR="00901D56">
              <w:t> </w:t>
            </w:r>
            <w:r w:rsidRPr="00F051D0">
              <w:t>mg should not be exceeded.</w:t>
            </w:r>
          </w:p>
          <w:p w14:paraId="58EF4CBC" w14:textId="49168F33" w:rsidR="0035488F" w:rsidRPr="00F051D0" w:rsidRDefault="00460036" w:rsidP="0035488F">
            <w:r w:rsidRPr="00F051D0">
              <w:t>For further information regarding dosage, refer to the Product Information.</w:t>
            </w:r>
          </w:p>
        </w:tc>
      </w:tr>
      <w:tr w:rsidR="00460036" w:rsidRPr="00F051D0" w14:paraId="1B08A23C" w14:textId="77777777" w:rsidTr="00BF1190">
        <w:tc>
          <w:tcPr>
            <w:tcW w:w="2907" w:type="dxa"/>
          </w:tcPr>
          <w:p w14:paraId="44267B84" w14:textId="77777777" w:rsidR="00460036" w:rsidRPr="00F051D0" w:rsidRDefault="00460036" w:rsidP="00E45619">
            <w:pPr>
              <w:rPr>
                <w:i/>
              </w:rPr>
            </w:pPr>
            <w:r w:rsidRPr="00F051D0">
              <w:rPr>
                <w:i/>
              </w:rPr>
              <w:t>Pregnancy category:</w:t>
            </w:r>
          </w:p>
        </w:tc>
        <w:tc>
          <w:tcPr>
            <w:tcW w:w="6307" w:type="dxa"/>
          </w:tcPr>
          <w:p w14:paraId="7E62E976" w14:textId="34618239" w:rsidR="0035488F" w:rsidRPr="00F051D0" w:rsidRDefault="0035488F" w:rsidP="0035488F">
            <w:r w:rsidRPr="00F051D0">
              <w:t>D</w:t>
            </w:r>
          </w:p>
          <w:p w14:paraId="3880F8C4" w14:textId="33A34BC1" w:rsidR="0035488F" w:rsidRPr="00F051D0" w:rsidRDefault="0035488F" w:rsidP="0035488F">
            <w:r w:rsidRPr="00F051D0">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p w14:paraId="310B56AB" w14:textId="257E4E7E" w:rsidR="00460036" w:rsidRPr="00F051D0" w:rsidRDefault="00460036" w:rsidP="0035488F">
            <w:r w:rsidRPr="00F051D0">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35448F8B" w14:textId="77777777" w:rsidR="008E7846" w:rsidRPr="00F051D0" w:rsidRDefault="008E7846" w:rsidP="00733278">
      <w:pPr>
        <w:pStyle w:val="Heading3"/>
      </w:pPr>
      <w:bookmarkStart w:id="13" w:name="_Toc247691503"/>
      <w:bookmarkStart w:id="14" w:name="_Toc314842484"/>
      <w:bookmarkStart w:id="15" w:name="_Toc65228879"/>
      <w:r w:rsidRPr="00F051D0">
        <w:t>Product background</w:t>
      </w:r>
      <w:bookmarkEnd w:id="13"/>
      <w:bookmarkEnd w:id="14"/>
      <w:bookmarkEnd w:id="15"/>
    </w:p>
    <w:p w14:paraId="2243A6BB" w14:textId="0687CB9A" w:rsidR="008E7846" w:rsidRPr="00F051D0" w:rsidRDefault="00250271" w:rsidP="00733278">
      <w:r w:rsidRPr="00F051D0">
        <w:t>This AusPA</w:t>
      </w:r>
      <w:r w:rsidR="00B7638B" w:rsidRPr="00F051D0">
        <w:t>R describes the application by Boehringer Ingelheim Pty Limited</w:t>
      </w:r>
      <w:r w:rsidR="00D31017" w:rsidRPr="00F051D0">
        <w:t xml:space="preserve"> (the sponsor) to register Ofev</w:t>
      </w:r>
      <w:r w:rsidR="001C4A10">
        <w:t>/</w:t>
      </w:r>
      <w:r w:rsidR="00D31017" w:rsidRPr="00F051D0">
        <w:t xml:space="preserve">Vargatef </w:t>
      </w:r>
      <w:r w:rsidRPr="00F051D0">
        <w:t>(</w:t>
      </w:r>
      <w:r w:rsidR="009F1E0C" w:rsidRPr="00F051D0">
        <w:t>n</w:t>
      </w:r>
      <w:r w:rsidR="00D31017" w:rsidRPr="00F051D0">
        <w:t>intedanib (as esilate)</w:t>
      </w:r>
      <w:r w:rsidRPr="00F051D0">
        <w:t xml:space="preserve">) </w:t>
      </w:r>
      <w:r w:rsidR="007743EB" w:rsidRPr="00F051D0">
        <w:t>100</w:t>
      </w:r>
      <w:r w:rsidR="00901D56">
        <w:t> </w:t>
      </w:r>
      <w:r w:rsidR="007743EB" w:rsidRPr="00F051D0">
        <w:t>mg and 150</w:t>
      </w:r>
      <w:r w:rsidR="00901D56">
        <w:t> </w:t>
      </w:r>
      <w:r w:rsidR="007743EB" w:rsidRPr="00F051D0">
        <w:t>mg</w:t>
      </w:r>
      <w:r w:rsidRPr="00F051D0">
        <w:t xml:space="preserve">, </w:t>
      </w:r>
      <w:r w:rsidR="00D31017" w:rsidRPr="00F051D0">
        <w:t>s</w:t>
      </w:r>
      <w:r w:rsidR="00B14E82" w:rsidRPr="00F051D0">
        <w:t>oft capsule</w:t>
      </w:r>
      <w:r w:rsidRPr="00F051D0">
        <w:t xml:space="preserve"> for the following proposed </w:t>
      </w:r>
      <w:r w:rsidR="00D31017" w:rsidRPr="00F051D0">
        <w:t>e</w:t>
      </w:r>
      <w:r w:rsidRPr="00F051D0">
        <w:t>xtension of indications</w:t>
      </w:r>
      <w:r w:rsidR="00CF5DAD" w:rsidRPr="00F051D0">
        <w:t>:</w:t>
      </w:r>
    </w:p>
    <w:p w14:paraId="13D11725" w14:textId="7AB81E02" w:rsidR="00120F1A" w:rsidRPr="00F051D0" w:rsidRDefault="00120F1A" w:rsidP="00120F1A">
      <w:pPr>
        <w:ind w:left="720"/>
        <w:rPr>
          <w:i/>
        </w:rPr>
      </w:pPr>
      <w:r w:rsidRPr="00F051D0">
        <w:rPr>
          <w:i/>
        </w:rPr>
        <w:t>Treatment of other chronic fibrosing Interstitial Lung Diseases (ILDs) with a progressive phenotype (PF-ILD).</w:t>
      </w:r>
    </w:p>
    <w:p w14:paraId="77830222" w14:textId="0386C913" w:rsidR="007B5AEA" w:rsidRPr="00F051D0" w:rsidRDefault="007863C6" w:rsidP="007B5AEA">
      <w:pPr>
        <w:rPr>
          <w:lang w:eastAsia="ja-JP"/>
        </w:rPr>
      </w:pPr>
      <w:r w:rsidRPr="00F051D0">
        <w:rPr>
          <w:lang w:eastAsia="ja-JP"/>
        </w:rPr>
        <w:t xml:space="preserve">The term </w:t>
      </w:r>
      <w:r w:rsidR="00A34CB6">
        <w:rPr>
          <w:lang w:eastAsia="ja-JP"/>
        </w:rPr>
        <w:t xml:space="preserve">interstitial lung disease </w:t>
      </w:r>
      <w:r w:rsidR="007B5AEA" w:rsidRPr="00F051D0">
        <w:rPr>
          <w:lang w:eastAsia="ja-JP"/>
        </w:rPr>
        <w:t>encompasses a heterogeneous group of diseases which are characterised by diffuse inflammation and fibrosis of the lung parenchyma.</w:t>
      </w:r>
      <w:bookmarkStart w:id="16" w:name="_Ref63540925"/>
      <w:r w:rsidR="007B5AEA" w:rsidRPr="00F051D0">
        <w:rPr>
          <w:rStyle w:val="FootnoteReference"/>
          <w:lang w:eastAsia="ja-JP"/>
        </w:rPr>
        <w:footnoteReference w:id="3"/>
      </w:r>
      <w:bookmarkEnd w:id="16"/>
      <w:r w:rsidR="007B5AEA" w:rsidRPr="00F051D0">
        <w:rPr>
          <w:lang w:eastAsia="ja-JP"/>
        </w:rPr>
        <w:t xml:space="preserve"> According to the American Thoracic Society</w:t>
      </w:r>
      <w:r w:rsidR="00A34CB6">
        <w:rPr>
          <w:lang w:eastAsia="ja-JP"/>
        </w:rPr>
        <w:t>,</w:t>
      </w:r>
      <w:r w:rsidR="007B5AEA" w:rsidRPr="00F051D0">
        <w:rPr>
          <w:lang w:eastAsia="ja-JP"/>
        </w:rPr>
        <w:t xml:space="preserve"> the term encompasses more than 200</w:t>
      </w:r>
      <w:r w:rsidR="00901D56">
        <w:rPr>
          <w:lang w:eastAsia="ja-JP"/>
        </w:rPr>
        <w:t> </w:t>
      </w:r>
      <w:r w:rsidR="007B5AEA" w:rsidRPr="00F051D0">
        <w:rPr>
          <w:lang w:eastAsia="ja-JP"/>
        </w:rPr>
        <w:t>lung disorders.</w:t>
      </w:r>
      <w:r w:rsidR="007B5AEA" w:rsidRPr="00F051D0">
        <w:rPr>
          <w:rStyle w:val="FootnoteReference"/>
          <w:lang w:eastAsia="ja-JP"/>
        </w:rPr>
        <w:footnoteReference w:id="4"/>
      </w:r>
    </w:p>
    <w:p w14:paraId="77F5C85C" w14:textId="06ABA5F2" w:rsidR="007B5AEA" w:rsidRPr="00F051D0" w:rsidRDefault="007B5AEA" w:rsidP="007B5AEA">
      <w:pPr>
        <w:rPr>
          <w:lang w:eastAsia="ja-JP"/>
        </w:rPr>
      </w:pPr>
      <w:r w:rsidRPr="00F051D0">
        <w:rPr>
          <w:lang w:eastAsia="ja-JP"/>
        </w:rPr>
        <w:t xml:space="preserve">A subgroup of patients with ILD exhibit a phenotype of progressive fibrosis, with increasing symptoms, worsening quality of life, declining lung function and reduced survival. The umbrella term </w:t>
      </w:r>
      <w:r w:rsidR="00824571">
        <w:rPr>
          <w:lang w:eastAsia="ja-JP"/>
        </w:rPr>
        <w:t>interstitial lung disease with a progressive phenotype</w:t>
      </w:r>
      <w:r w:rsidRPr="00F051D0">
        <w:rPr>
          <w:lang w:eastAsia="ja-JP"/>
        </w:rPr>
        <w:t xml:space="preserve"> has been applied to this subgroup. This term includes subjects with a variety of disease entities. However many of these diseases have similarities in pathogenesis and clinical behaviour and therefore a potential for common treatments.</w:t>
      </w:r>
      <w:r w:rsidRPr="00F051D0">
        <w:rPr>
          <w:vertAlign w:val="superscript"/>
          <w:lang w:eastAsia="ja-JP"/>
        </w:rPr>
        <w:fldChar w:fldCharType="begin"/>
      </w:r>
      <w:r w:rsidRPr="00F051D0">
        <w:rPr>
          <w:vertAlign w:val="superscript"/>
          <w:lang w:eastAsia="ja-JP"/>
        </w:rPr>
        <w:instrText xml:space="preserve"> NOTEREF _Ref63540925 \h  \* MERGEFORMAT </w:instrText>
      </w:r>
      <w:r w:rsidRPr="00F051D0">
        <w:rPr>
          <w:vertAlign w:val="superscript"/>
          <w:lang w:eastAsia="ja-JP"/>
        </w:rPr>
      </w:r>
      <w:r w:rsidRPr="00F051D0">
        <w:rPr>
          <w:vertAlign w:val="superscript"/>
          <w:lang w:eastAsia="ja-JP"/>
        </w:rPr>
        <w:fldChar w:fldCharType="separate"/>
      </w:r>
      <w:r w:rsidRPr="00F051D0">
        <w:rPr>
          <w:vertAlign w:val="superscript"/>
          <w:lang w:eastAsia="ja-JP"/>
        </w:rPr>
        <w:t>2</w:t>
      </w:r>
      <w:r w:rsidRPr="00F051D0">
        <w:rPr>
          <w:vertAlign w:val="superscript"/>
          <w:lang w:eastAsia="ja-JP"/>
        </w:rPr>
        <w:fldChar w:fldCharType="end"/>
      </w:r>
      <w:r w:rsidRPr="00F051D0">
        <w:rPr>
          <w:vertAlign w:val="superscript"/>
          <w:lang w:eastAsia="ja-JP"/>
        </w:rPr>
        <w:t xml:space="preserve">, </w:t>
      </w:r>
      <w:r w:rsidRPr="00F051D0">
        <w:rPr>
          <w:rStyle w:val="FootnoteReference"/>
          <w:lang w:eastAsia="ja-JP"/>
        </w:rPr>
        <w:footnoteReference w:id="5"/>
      </w:r>
      <w:r w:rsidRPr="00F051D0">
        <w:rPr>
          <w:vertAlign w:val="superscript"/>
          <w:lang w:eastAsia="ja-JP"/>
        </w:rPr>
        <w:t xml:space="preserve">, </w:t>
      </w:r>
      <w:bookmarkStart w:id="17" w:name="_Ref63541010"/>
      <w:r w:rsidRPr="00F051D0">
        <w:rPr>
          <w:rStyle w:val="FootnoteReference"/>
          <w:lang w:eastAsia="ja-JP"/>
        </w:rPr>
        <w:footnoteReference w:id="6"/>
      </w:r>
      <w:bookmarkEnd w:id="17"/>
    </w:p>
    <w:p w14:paraId="2B1474EC" w14:textId="6DAACAA4" w:rsidR="007B5AEA" w:rsidRPr="00F051D0" w:rsidRDefault="007B5AEA" w:rsidP="007B5AEA">
      <w:pPr>
        <w:rPr>
          <w:lang w:eastAsia="ja-JP"/>
        </w:rPr>
      </w:pPr>
      <w:r w:rsidRPr="00F051D0">
        <w:rPr>
          <w:lang w:eastAsia="ja-JP"/>
        </w:rPr>
        <w:t>Idiopathic pulmonary fibrosis (IPF) is the most common form of ILD that displays a progressive phenotype. Other ILDs that may exhibit a progressive pattern include connective tissue disease (CTD)-associated ILD, fibrotic hypersensitivity pneumonitis, unclassifiable ILD and idiopathic non-specific interstitial pneumonia (NSIP).</w:t>
      </w:r>
      <w:r w:rsidRPr="00F051D0">
        <w:rPr>
          <w:vertAlign w:val="superscript"/>
          <w:lang w:eastAsia="ja-JP"/>
        </w:rPr>
        <w:fldChar w:fldCharType="begin"/>
      </w:r>
      <w:r w:rsidRPr="00F051D0">
        <w:rPr>
          <w:vertAlign w:val="superscript"/>
          <w:lang w:eastAsia="ja-JP"/>
        </w:rPr>
        <w:instrText xml:space="preserve"> NOTEREF _Ref63540925 \h  \* MERGEFORMAT </w:instrText>
      </w:r>
      <w:r w:rsidRPr="00F051D0">
        <w:rPr>
          <w:vertAlign w:val="superscript"/>
          <w:lang w:eastAsia="ja-JP"/>
        </w:rPr>
      </w:r>
      <w:r w:rsidRPr="00F051D0">
        <w:rPr>
          <w:vertAlign w:val="superscript"/>
          <w:lang w:eastAsia="ja-JP"/>
        </w:rPr>
        <w:fldChar w:fldCharType="separate"/>
      </w:r>
      <w:r w:rsidRPr="00F051D0">
        <w:rPr>
          <w:vertAlign w:val="superscript"/>
          <w:lang w:eastAsia="ja-JP"/>
        </w:rPr>
        <w:t>2</w:t>
      </w:r>
      <w:r w:rsidRPr="00F051D0">
        <w:rPr>
          <w:vertAlign w:val="superscript"/>
          <w:lang w:eastAsia="ja-JP"/>
        </w:rPr>
        <w:fldChar w:fldCharType="end"/>
      </w:r>
      <w:r w:rsidRPr="00F051D0">
        <w:rPr>
          <w:vertAlign w:val="superscript"/>
          <w:lang w:eastAsia="ja-JP"/>
        </w:rPr>
        <w:t xml:space="preserve">, </w:t>
      </w:r>
      <w:r w:rsidRPr="00F051D0">
        <w:rPr>
          <w:vertAlign w:val="superscript"/>
          <w:lang w:eastAsia="ja-JP"/>
        </w:rPr>
        <w:fldChar w:fldCharType="begin"/>
      </w:r>
      <w:r w:rsidRPr="00F051D0">
        <w:rPr>
          <w:vertAlign w:val="superscript"/>
          <w:lang w:eastAsia="ja-JP"/>
        </w:rPr>
        <w:instrText xml:space="preserve"> NOTEREF _Ref63541010 \h  \* MERGEFORMAT </w:instrText>
      </w:r>
      <w:r w:rsidRPr="00F051D0">
        <w:rPr>
          <w:vertAlign w:val="superscript"/>
          <w:lang w:eastAsia="ja-JP"/>
        </w:rPr>
      </w:r>
      <w:r w:rsidRPr="00F051D0">
        <w:rPr>
          <w:vertAlign w:val="superscript"/>
          <w:lang w:eastAsia="ja-JP"/>
        </w:rPr>
        <w:fldChar w:fldCharType="separate"/>
      </w:r>
      <w:r w:rsidRPr="00F051D0">
        <w:rPr>
          <w:vertAlign w:val="superscript"/>
          <w:lang w:eastAsia="ja-JP"/>
        </w:rPr>
        <w:t>5</w:t>
      </w:r>
      <w:r w:rsidRPr="00F051D0">
        <w:rPr>
          <w:vertAlign w:val="superscript"/>
          <w:lang w:eastAsia="ja-JP"/>
        </w:rPr>
        <w:fldChar w:fldCharType="end"/>
      </w:r>
    </w:p>
    <w:p w14:paraId="4AD6532E" w14:textId="47F38901" w:rsidR="007B5AEA" w:rsidRPr="00F051D0" w:rsidRDefault="007B5AEA" w:rsidP="007B5AEA">
      <w:pPr>
        <w:rPr>
          <w:lang w:eastAsia="ja-JP"/>
        </w:rPr>
      </w:pPr>
      <w:r w:rsidRPr="00F051D0">
        <w:rPr>
          <w:lang w:eastAsia="ja-JP"/>
        </w:rPr>
        <w:t xml:space="preserve">Risk factors for an increased likelihood of progression include male sex, increased age, lower forced vital capacity (FVC) and carbon monoxide diffusion capacity (DLCO) at </w:t>
      </w:r>
      <w:r w:rsidR="00824571">
        <w:rPr>
          <w:lang w:eastAsia="ja-JP"/>
        </w:rPr>
        <w:t>B</w:t>
      </w:r>
      <w:r w:rsidRPr="00F051D0">
        <w:rPr>
          <w:lang w:eastAsia="ja-JP"/>
        </w:rPr>
        <w:t>aseline and a ‘usual interstitial pneumonia</w:t>
      </w:r>
      <w:r w:rsidR="00824571">
        <w:rPr>
          <w:lang w:eastAsia="ja-JP"/>
        </w:rPr>
        <w:t>’ or ‘UIP’</w:t>
      </w:r>
      <w:r w:rsidRPr="00F051D0">
        <w:rPr>
          <w:lang w:eastAsia="ja-JP"/>
        </w:rPr>
        <w:t xml:space="preserve"> pattern on radiological imaging.</w:t>
      </w:r>
      <w:r w:rsidRPr="00F051D0">
        <w:rPr>
          <w:vertAlign w:val="superscript"/>
          <w:lang w:eastAsia="ja-JP"/>
        </w:rPr>
        <w:fldChar w:fldCharType="begin"/>
      </w:r>
      <w:r w:rsidRPr="00F051D0">
        <w:rPr>
          <w:vertAlign w:val="superscript"/>
          <w:lang w:eastAsia="ja-JP"/>
        </w:rPr>
        <w:instrText xml:space="preserve"> NOTEREF _Ref63540925 \h  \* MERGEFORMAT </w:instrText>
      </w:r>
      <w:r w:rsidRPr="00F051D0">
        <w:rPr>
          <w:vertAlign w:val="superscript"/>
          <w:lang w:eastAsia="ja-JP"/>
        </w:rPr>
      </w:r>
      <w:r w:rsidRPr="00F051D0">
        <w:rPr>
          <w:vertAlign w:val="superscript"/>
          <w:lang w:eastAsia="ja-JP"/>
        </w:rPr>
        <w:fldChar w:fldCharType="separate"/>
      </w:r>
      <w:r w:rsidRPr="00F051D0">
        <w:rPr>
          <w:vertAlign w:val="superscript"/>
          <w:lang w:eastAsia="ja-JP"/>
        </w:rPr>
        <w:t>2</w:t>
      </w:r>
      <w:r w:rsidRPr="00F051D0">
        <w:rPr>
          <w:vertAlign w:val="superscript"/>
          <w:lang w:eastAsia="ja-JP"/>
        </w:rPr>
        <w:fldChar w:fldCharType="end"/>
      </w:r>
    </w:p>
    <w:p w14:paraId="1B41F690" w14:textId="2B425E82" w:rsidR="007B5AEA" w:rsidRPr="00F051D0" w:rsidRDefault="007B5AEA" w:rsidP="007B5AEA">
      <w:pPr>
        <w:rPr>
          <w:lang w:eastAsia="ja-JP"/>
        </w:rPr>
      </w:pPr>
      <w:r w:rsidRPr="00F051D0">
        <w:rPr>
          <w:lang w:eastAsia="ja-JP"/>
        </w:rPr>
        <w:t>The features of UIP are:</w:t>
      </w:r>
      <w:bookmarkStart w:id="18" w:name="_Ref63541191"/>
      <w:r w:rsidRPr="00F051D0">
        <w:rPr>
          <w:rStyle w:val="FootnoteReference"/>
          <w:lang w:eastAsia="ja-JP"/>
        </w:rPr>
        <w:footnoteReference w:id="7"/>
      </w:r>
      <w:bookmarkEnd w:id="18"/>
    </w:p>
    <w:p w14:paraId="4C9CA689" w14:textId="44775561" w:rsidR="007B5AEA" w:rsidRPr="00F051D0" w:rsidRDefault="00D06454" w:rsidP="009F1E0C">
      <w:pPr>
        <w:pStyle w:val="ListBullet"/>
        <w:rPr>
          <w:lang w:eastAsia="ja-JP"/>
        </w:rPr>
      </w:pPr>
      <w:r w:rsidRPr="00F051D0">
        <w:rPr>
          <w:lang w:eastAsia="ja-JP"/>
        </w:rPr>
        <w:t>H</w:t>
      </w:r>
      <w:r w:rsidR="007B5AEA" w:rsidRPr="00F051D0">
        <w:rPr>
          <w:lang w:eastAsia="ja-JP"/>
        </w:rPr>
        <w:t>oneycombing</w:t>
      </w:r>
      <w:r w:rsidR="00225F68">
        <w:rPr>
          <w:lang w:eastAsia="ja-JP"/>
        </w:rPr>
        <w:t xml:space="preserve">, </w:t>
      </w:r>
      <w:r w:rsidR="007B5AEA" w:rsidRPr="00F051D0">
        <w:rPr>
          <w:lang w:eastAsia="ja-JP"/>
        </w:rPr>
        <w:t>clustered cystic air spaces, 3</w:t>
      </w:r>
      <w:r w:rsidR="009F1E0C" w:rsidRPr="00F051D0">
        <w:rPr>
          <w:lang w:eastAsia="ja-JP"/>
        </w:rPr>
        <w:t xml:space="preserve"> to </w:t>
      </w:r>
      <w:r w:rsidR="007B5AEA" w:rsidRPr="00F051D0">
        <w:rPr>
          <w:lang w:eastAsia="ja-JP"/>
        </w:rPr>
        <w:t>10</w:t>
      </w:r>
      <w:r w:rsidR="00901D56">
        <w:rPr>
          <w:lang w:eastAsia="ja-JP"/>
        </w:rPr>
        <w:t> </w:t>
      </w:r>
      <w:r w:rsidR="009F1E0C" w:rsidRPr="00F051D0">
        <w:rPr>
          <w:lang w:eastAsia="ja-JP"/>
        </w:rPr>
        <w:t xml:space="preserve">mm in diameter with thick, well </w:t>
      </w:r>
      <w:r w:rsidR="007B5AEA" w:rsidRPr="00F051D0">
        <w:rPr>
          <w:lang w:eastAsia="ja-JP"/>
        </w:rPr>
        <w:t>defined walls. It often presents as multiple layers of subpleural cysts on top of each other, but may also present as a single layer;</w:t>
      </w:r>
    </w:p>
    <w:p w14:paraId="30ADC6C3" w14:textId="28DFD65B" w:rsidR="007B5AEA" w:rsidRPr="00F051D0" w:rsidRDefault="009F1E0C" w:rsidP="009F1E0C">
      <w:pPr>
        <w:pStyle w:val="ListBullet"/>
        <w:rPr>
          <w:lang w:eastAsia="ja-JP"/>
        </w:rPr>
      </w:pPr>
      <w:r w:rsidRPr="00F051D0">
        <w:rPr>
          <w:lang w:eastAsia="ja-JP"/>
        </w:rPr>
        <w:t>t</w:t>
      </w:r>
      <w:r w:rsidR="007B5AEA" w:rsidRPr="00F051D0">
        <w:rPr>
          <w:lang w:eastAsia="ja-JP"/>
        </w:rPr>
        <w:t>raction bronchiectasis</w:t>
      </w:r>
      <w:r w:rsidR="00225F68">
        <w:rPr>
          <w:lang w:eastAsia="ja-JP"/>
        </w:rPr>
        <w:t xml:space="preserve">, </w:t>
      </w:r>
      <w:r w:rsidR="007B5AEA" w:rsidRPr="00F051D0">
        <w:rPr>
          <w:lang w:eastAsia="ja-JP"/>
        </w:rPr>
        <w:t>ranging from subtle irregularity and non-tapering of the bronchial</w:t>
      </w:r>
      <w:r w:rsidR="00BE5E94">
        <w:rPr>
          <w:lang w:eastAsia="ja-JP"/>
        </w:rPr>
        <w:t xml:space="preserve"> </w:t>
      </w:r>
      <w:r w:rsidR="007B5AEA" w:rsidRPr="00F051D0">
        <w:rPr>
          <w:lang w:eastAsia="ja-JP"/>
        </w:rPr>
        <w:t>/</w:t>
      </w:r>
      <w:r w:rsidR="00BE5E94">
        <w:rPr>
          <w:lang w:eastAsia="ja-JP"/>
        </w:rPr>
        <w:t xml:space="preserve"> </w:t>
      </w:r>
      <w:r w:rsidR="007B5AEA" w:rsidRPr="00F051D0">
        <w:rPr>
          <w:lang w:eastAsia="ja-JP"/>
        </w:rPr>
        <w:t>bronchiolar wall to marked airway distortion and varicosity;</w:t>
      </w:r>
      <w:r w:rsidR="00225F68">
        <w:rPr>
          <w:lang w:eastAsia="ja-JP"/>
        </w:rPr>
        <w:t xml:space="preserve"> and</w:t>
      </w:r>
    </w:p>
    <w:p w14:paraId="15AEFD63" w14:textId="3CAA03AB" w:rsidR="007B5AEA" w:rsidRPr="00F051D0" w:rsidRDefault="009F1E0C" w:rsidP="009F1E0C">
      <w:pPr>
        <w:pStyle w:val="ListBullet"/>
        <w:rPr>
          <w:lang w:eastAsia="ja-JP"/>
        </w:rPr>
      </w:pPr>
      <w:r w:rsidRPr="00F051D0">
        <w:rPr>
          <w:lang w:eastAsia="ja-JP"/>
        </w:rPr>
        <w:t>g</w:t>
      </w:r>
      <w:r w:rsidR="007B5AEA" w:rsidRPr="00F051D0">
        <w:rPr>
          <w:lang w:eastAsia="ja-JP"/>
        </w:rPr>
        <w:t>round glass opacification</w:t>
      </w:r>
      <w:r w:rsidR="00225F68">
        <w:rPr>
          <w:lang w:eastAsia="ja-JP"/>
        </w:rPr>
        <w:t xml:space="preserve">, </w:t>
      </w:r>
      <w:r w:rsidR="007B5AEA" w:rsidRPr="00F051D0">
        <w:rPr>
          <w:lang w:eastAsia="ja-JP"/>
        </w:rPr>
        <w:t>a hazy increased opacity of lung with preservation of the bronchial and vascular markings. The ground glass opacification is superimposed on a fine reticular pattern</w:t>
      </w:r>
      <w:r w:rsidRPr="00F051D0">
        <w:rPr>
          <w:lang w:eastAsia="ja-JP"/>
        </w:rPr>
        <w:t>.</w:t>
      </w:r>
    </w:p>
    <w:p w14:paraId="753B6A92" w14:textId="2862C791" w:rsidR="007B5AEA" w:rsidRPr="00F051D0" w:rsidRDefault="007B5AEA" w:rsidP="007B5AEA">
      <w:pPr>
        <w:rPr>
          <w:lang w:eastAsia="ja-JP"/>
        </w:rPr>
      </w:pPr>
      <w:r w:rsidRPr="00F051D0">
        <w:rPr>
          <w:lang w:eastAsia="ja-JP"/>
        </w:rPr>
        <w:t>UIP is the hallmark radiological pattern for IPF;</w:t>
      </w:r>
      <w:r w:rsidRPr="00F051D0">
        <w:rPr>
          <w:vertAlign w:val="superscript"/>
          <w:lang w:eastAsia="ja-JP"/>
        </w:rPr>
        <w:fldChar w:fldCharType="begin"/>
      </w:r>
      <w:r w:rsidRPr="00F051D0">
        <w:rPr>
          <w:vertAlign w:val="superscript"/>
          <w:lang w:eastAsia="ja-JP"/>
        </w:rPr>
        <w:instrText xml:space="preserve"> NOTEREF _Ref63541191 \h  \* MERGEFORMAT </w:instrText>
      </w:r>
      <w:r w:rsidRPr="00F051D0">
        <w:rPr>
          <w:vertAlign w:val="superscript"/>
          <w:lang w:eastAsia="ja-JP"/>
        </w:rPr>
      </w:r>
      <w:r w:rsidRPr="00F051D0">
        <w:rPr>
          <w:vertAlign w:val="superscript"/>
          <w:lang w:eastAsia="ja-JP"/>
        </w:rPr>
        <w:fldChar w:fldCharType="separate"/>
      </w:r>
      <w:r w:rsidRPr="00F051D0">
        <w:rPr>
          <w:vertAlign w:val="superscript"/>
          <w:lang w:eastAsia="ja-JP"/>
        </w:rPr>
        <w:t>6</w:t>
      </w:r>
      <w:r w:rsidRPr="00F051D0">
        <w:rPr>
          <w:vertAlign w:val="superscript"/>
          <w:lang w:eastAsia="ja-JP"/>
        </w:rPr>
        <w:fldChar w:fldCharType="end"/>
      </w:r>
      <w:r w:rsidRPr="00F051D0">
        <w:rPr>
          <w:lang w:eastAsia="ja-JP"/>
        </w:rPr>
        <w:t xml:space="preserve"> but can also be present with other forms of ILD.</w:t>
      </w:r>
      <w:r w:rsidRPr="00F051D0">
        <w:rPr>
          <w:rStyle w:val="FootnoteReference"/>
          <w:lang w:eastAsia="ja-JP"/>
        </w:rPr>
        <w:footnoteReference w:id="8"/>
      </w:r>
    </w:p>
    <w:p w14:paraId="216C6627" w14:textId="4999477F" w:rsidR="007B5AEA" w:rsidRPr="00F051D0" w:rsidRDefault="007B5AEA" w:rsidP="007B5AEA">
      <w:pPr>
        <w:rPr>
          <w:lang w:eastAsia="ja-JP"/>
        </w:rPr>
      </w:pPr>
      <w:r w:rsidRPr="00F051D0">
        <w:rPr>
          <w:lang w:eastAsia="ja-JP"/>
        </w:rPr>
        <w:t>There are currently no approved pharmacological therapies for non-IPF ILDs. Immunosuppressive agents are used to treat some forms of disease such as CTD</w:t>
      </w:r>
      <w:r w:rsidR="00A60C2A">
        <w:rPr>
          <w:lang w:eastAsia="ja-JP"/>
        </w:rPr>
        <w:noBreakHyphen/>
      </w:r>
      <w:r w:rsidRPr="00F051D0">
        <w:rPr>
          <w:lang w:eastAsia="ja-JP"/>
        </w:rPr>
        <w:t>associated ILD, fibrotic hypersensitivity pneumonitis and unclassifiable ILD. Agents used include prednisone, mycophenolate, azathioprine, methotrexate and cyclosporin. Non</w:t>
      </w:r>
      <w:r w:rsidR="00A60C2A">
        <w:rPr>
          <w:lang w:eastAsia="ja-JP"/>
        </w:rPr>
        <w:noBreakHyphen/>
      </w:r>
      <w:r w:rsidRPr="00F051D0">
        <w:rPr>
          <w:lang w:eastAsia="ja-JP"/>
        </w:rPr>
        <w:t>pharmacological treatments include avoidance of precipitating factors (smoking, antigens, occupational exposures</w:t>
      </w:r>
      <w:r w:rsidR="009E2F40">
        <w:rPr>
          <w:lang w:eastAsia="ja-JP"/>
        </w:rPr>
        <w:t xml:space="preserve"> and so on</w:t>
      </w:r>
      <w:r w:rsidRPr="00F051D0">
        <w:rPr>
          <w:lang w:eastAsia="ja-JP"/>
        </w:rPr>
        <w:t>), pulmonary rehabilitation, oxygen therapy and lung transplantation.</w:t>
      </w:r>
      <w:r w:rsidRPr="00F051D0">
        <w:rPr>
          <w:vertAlign w:val="superscript"/>
          <w:lang w:eastAsia="ja-JP"/>
        </w:rPr>
        <w:fldChar w:fldCharType="begin"/>
      </w:r>
      <w:r w:rsidRPr="00F051D0">
        <w:rPr>
          <w:vertAlign w:val="superscript"/>
          <w:lang w:eastAsia="ja-JP"/>
        </w:rPr>
        <w:instrText xml:space="preserve"> NOTEREF _Ref63540925 \h  \* MERGEFORMAT </w:instrText>
      </w:r>
      <w:r w:rsidRPr="00F051D0">
        <w:rPr>
          <w:vertAlign w:val="superscript"/>
          <w:lang w:eastAsia="ja-JP"/>
        </w:rPr>
      </w:r>
      <w:r w:rsidRPr="00F051D0">
        <w:rPr>
          <w:vertAlign w:val="superscript"/>
          <w:lang w:eastAsia="ja-JP"/>
        </w:rPr>
        <w:fldChar w:fldCharType="separate"/>
      </w:r>
      <w:r w:rsidRPr="00F051D0">
        <w:rPr>
          <w:vertAlign w:val="superscript"/>
          <w:lang w:eastAsia="ja-JP"/>
        </w:rPr>
        <w:t>2</w:t>
      </w:r>
      <w:r w:rsidRPr="00F051D0">
        <w:rPr>
          <w:vertAlign w:val="superscript"/>
          <w:lang w:eastAsia="ja-JP"/>
        </w:rPr>
        <w:fldChar w:fldCharType="end"/>
      </w:r>
    </w:p>
    <w:p w14:paraId="15D6481A" w14:textId="41CFCD08" w:rsidR="007B5AEA" w:rsidRPr="00F051D0" w:rsidRDefault="007B5AEA" w:rsidP="007B5AEA">
      <w:pPr>
        <w:rPr>
          <w:lang w:eastAsia="ja-JP"/>
        </w:rPr>
      </w:pPr>
      <w:r w:rsidRPr="00F051D0">
        <w:rPr>
          <w:lang w:eastAsia="ja-JP"/>
        </w:rPr>
        <w:t xml:space="preserve">The clinical rationale for the use of nintedanib in PF-ILDs was stated as follows in the sponsor’s </w:t>
      </w:r>
      <w:r w:rsidR="00BA51F4" w:rsidRPr="00F051D0">
        <w:rPr>
          <w:lang w:eastAsia="ja-JP"/>
        </w:rPr>
        <w:t>clinical overview</w:t>
      </w:r>
      <w:r w:rsidR="00A60C2A">
        <w:rPr>
          <w:lang w:eastAsia="ja-JP"/>
        </w:rPr>
        <w:t>, given below:</w:t>
      </w:r>
    </w:p>
    <w:p w14:paraId="5898C2A5" w14:textId="5B1E9DB3" w:rsidR="007B5AEA" w:rsidRPr="00F051D0" w:rsidRDefault="00EA3692" w:rsidP="007B5AEA">
      <w:pPr>
        <w:ind w:left="426"/>
        <w:rPr>
          <w:i/>
          <w:lang w:eastAsia="ja-JP"/>
        </w:rPr>
      </w:pPr>
      <w:r w:rsidRPr="00F051D0">
        <w:rPr>
          <w:i/>
          <w:lang w:eastAsia="ja-JP"/>
        </w:rPr>
        <w:t>‘</w:t>
      </w:r>
      <w:r w:rsidR="006E4E59" w:rsidRPr="00F051D0">
        <w:rPr>
          <w:i/>
          <w:lang w:eastAsia="ja-JP"/>
        </w:rPr>
        <w:t>T</w:t>
      </w:r>
      <w:r w:rsidR="007B5AEA" w:rsidRPr="00F051D0">
        <w:rPr>
          <w:i/>
          <w:lang w:eastAsia="ja-JP"/>
        </w:rPr>
        <w:t>he working hypothesis is that the response to lung injury in these patients includes the development of fibrosis, which becomes progressive, self-sustaining, and independent of the original clinical association or trigger. It was postulated that, at this stage, targeted anti-fibrotic therapy is required to slow the progression of the disease. With the exception of IPF, for which nintedanib and pirfenidone are available, there is no approved therapy for other chronic fibrosing ILDs with a progressive phenotype. Based on the similarity in both the underlying pathophysiology and clinical course with IPF, it was anticipated that nintedanib elicits comparable effects in patients with progressive fibrosing ILDs as demonstrated in IPF.</w:t>
      </w:r>
      <w:r w:rsidR="00EF0275" w:rsidRPr="00F051D0">
        <w:rPr>
          <w:i/>
          <w:lang w:eastAsia="ja-JP"/>
        </w:rPr>
        <w:t>’</w:t>
      </w:r>
    </w:p>
    <w:p w14:paraId="1DC7A9E3" w14:textId="77777777" w:rsidR="008E7846" w:rsidRPr="00F051D0" w:rsidRDefault="00386150" w:rsidP="008E7846">
      <w:pPr>
        <w:pStyle w:val="Heading3"/>
      </w:pPr>
      <w:bookmarkStart w:id="19" w:name="_Toc314842485"/>
      <w:bookmarkStart w:id="20" w:name="_Toc247691504"/>
      <w:bookmarkStart w:id="21" w:name="_Toc65228880"/>
      <w:r w:rsidRPr="00F051D0">
        <w:t>Regulatory s</w:t>
      </w:r>
      <w:r w:rsidR="008E7846" w:rsidRPr="00F051D0">
        <w:t>tatus</w:t>
      </w:r>
      <w:bookmarkEnd w:id="19"/>
      <w:bookmarkEnd w:id="20"/>
      <w:bookmarkEnd w:id="21"/>
    </w:p>
    <w:p w14:paraId="3613BFE5" w14:textId="31B2EFCF" w:rsidR="00006FAB" w:rsidRPr="00F051D0" w:rsidRDefault="00006FAB" w:rsidP="00006FAB">
      <w:bookmarkStart w:id="22" w:name="_Toc247691505"/>
      <w:bookmarkStart w:id="23" w:name="_Toc314842486"/>
      <w:r w:rsidRPr="00F051D0">
        <w:t>The product received initial registration on the Australian Register of Therapeutic Goods (ARTG) on</w:t>
      </w:r>
      <w:r w:rsidR="00DB50D1" w:rsidRPr="00F051D0">
        <w:t xml:space="preserve"> 1</w:t>
      </w:r>
      <w:r w:rsidR="00901D56">
        <w:t> </w:t>
      </w:r>
      <w:r w:rsidR="00DB50D1" w:rsidRPr="00F051D0">
        <w:t xml:space="preserve">September 2015 </w:t>
      </w:r>
      <w:r w:rsidR="00903856" w:rsidRPr="00F051D0">
        <w:t>for the below indications:</w:t>
      </w:r>
    </w:p>
    <w:p w14:paraId="717A20FD" w14:textId="2D290D53" w:rsidR="00DB50D1" w:rsidRPr="00F051D0" w:rsidRDefault="00B86B1A" w:rsidP="00DB50D1">
      <w:pPr>
        <w:ind w:left="720"/>
        <w:rPr>
          <w:i/>
        </w:rPr>
      </w:pPr>
      <w:r w:rsidRPr="00F051D0">
        <w:rPr>
          <w:i/>
        </w:rPr>
        <w:t xml:space="preserve">Ofev </w:t>
      </w:r>
      <w:r w:rsidR="00DB50D1" w:rsidRPr="00F051D0">
        <w:rPr>
          <w:i/>
        </w:rPr>
        <w:t>is indicated in combination with docetaxel for the treatment of patients with locally advanced, metastatic or recurrent non-small cell lung cancer (NSCLC) of adenocarcinoma tumour histology after failure of first line chemotherapy.</w:t>
      </w:r>
      <w:r w:rsidRPr="00F051D0">
        <w:rPr>
          <w:i/>
        </w:rPr>
        <w:t xml:space="preserve"> Ofev </w:t>
      </w:r>
      <w:r w:rsidR="00DB50D1" w:rsidRPr="00F051D0">
        <w:rPr>
          <w:i/>
        </w:rPr>
        <w:t xml:space="preserve">is indicated for the treatment of </w:t>
      </w:r>
      <w:r w:rsidRPr="00F051D0">
        <w:rPr>
          <w:i/>
        </w:rPr>
        <w:t xml:space="preserve">idiopathic pulmonary fibrosis </w:t>
      </w:r>
      <w:r w:rsidR="00DB50D1" w:rsidRPr="00F051D0">
        <w:rPr>
          <w:i/>
        </w:rPr>
        <w:t>(IPF).</w:t>
      </w:r>
      <w:r w:rsidRPr="00F051D0">
        <w:rPr>
          <w:i/>
        </w:rPr>
        <w:t xml:space="preserve"> Ofev </w:t>
      </w:r>
      <w:r w:rsidR="00DB50D1" w:rsidRPr="00F051D0">
        <w:rPr>
          <w:i/>
        </w:rPr>
        <w:t xml:space="preserve">is also indicated for the treatment of other chronic </w:t>
      </w:r>
      <w:r w:rsidRPr="00F051D0">
        <w:rPr>
          <w:i/>
        </w:rPr>
        <w:t xml:space="preserve">fibrosing interstitial lung diseases </w:t>
      </w:r>
      <w:r w:rsidR="00DB50D1" w:rsidRPr="00F051D0">
        <w:rPr>
          <w:i/>
        </w:rPr>
        <w:t>(ILDs) with a progressive phenotype.</w:t>
      </w:r>
      <w:r w:rsidRPr="00F051D0">
        <w:rPr>
          <w:i/>
        </w:rPr>
        <w:t xml:space="preserve"> Ofev </w:t>
      </w:r>
      <w:r w:rsidR="00DB50D1" w:rsidRPr="00F051D0">
        <w:rPr>
          <w:i/>
        </w:rPr>
        <w:t>is indicated for slowing the rate of decline in pulmonary function in patients with systemic sclerosis-associated interstitial lung disease (SSc-ILD).</w:t>
      </w:r>
    </w:p>
    <w:p w14:paraId="04F72784" w14:textId="5E3D7077" w:rsidR="00006FAB" w:rsidRPr="00F051D0" w:rsidRDefault="00006FAB" w:rsidP="006A5D44">
      <w:r w:rsidRPr="00F051D0">
        <w:t xml:space="preserve">At the time the TGA considered this application, a similar application was </w:t>
      </w:r>
      <w:r w:rsidR="002C3A61">
        <w:t xml:space="preserve">approved in the </w:t>
      </w:r>
      <w:r w:rsidR="002C3A61" w:rsidRPr="00F051D0">
        <w:t>Europe</w:t>
      </w:r>
      <w:r w:rsidR="002C3A61">
        <w:t>an Union (EU)</w:t>
      </w:r>
      <w:r w:rsidR="002C3A61" w:rsidRPr="00F051D0">
        <w:t xml:space="preserve"> (</w:t>
      </w:r>
      <w:r w:rsidR="002C3A61">
        <w:t>a</w:t>
      </w:r>
      <w:r w:rsidR="002C3A61" w:rsidRPr="002C3A61">
        <w:t>pproved 13 July 2020</w:t>
      </w:r>
      <w:r w:rsidR="002C3A61" w:rsidRPr="00F051D0">
        <w:t xml:space="preserve">), the United States of America (USA) </w:t>
      </w:r>
      <w:r w:rsidR="002C3A61">
        <w:t>(a</w:t>
      </w:r>
      <w:r w:rsidR="002C3A61" w:rsidRPr="002C3A61">
        <w:t>pproved 9</w:t>
      </w:r>
      <w:r w:rsidR="00901D56">
        <w:t> </w:t>
      </w:r>
      <w:r w:rsidR="002C3A61" w:rsidRPr="002C3A61">
        <w:t>March 2020</w:t>
      </w:r>
      <w:r w:rsidR="002C3A61">
        <w:t>),</w:t>
      </w:r>
      <w:r w:rsidR="002C3A61" w:rsidRPr="00F051D0">
        <w:t xml:space="preserve"> Canada (</w:t>
      </w:r>
      <w:r w:rsidR="002C3A61">
        <w:t>a</w:t>
      </w:r>
      <w:r w:rsidR="002C3A61" w:rsidRPr="002C3A61">
        <w:t>pproved 20 May 2020</w:t>
      </w:r>
      <w:r w:rsidR="002C3A61">
        <w:t xml:space="preserve">) and </w:t>
      </w:r>
      <w:r w:rsidR="002C3A61" w:rsidRPr="002C3A61">
        <w:t>Switzerland</w:t>
      </w:r>
      <w:r w:rsidR="00A60C2A">
        <w:t xml:space="preserve"> </w:t>
      </w:r>
      <w:r w:rsidR="002C3A61">
        <w:t>(a</w:t>
      </w:r>
      <w:r w:rsidR="002C3A61" w:rsidRPr="002C3A61">
        <w:t>pproved 1</w:t>
      </w:r>
      <w:r w:rsidR="00901D56">
        <w:t> </w:t>
      </w:r>
      <w:r w:rsidR="002C3A61" w:rsidRPr="002C3A61">
        <w:t>October 2020</w:t>
      </w:r>
      <w:r w:rsidR="002C3A61">
        <w:t xml:space="preserve">); and </w:t>
      </w:r>
      <w:r w:rsidRPr="00F051D0">
        <w:t>under consideration</w:t>
      </w:r>
      <w:r w:rsidR="002C3A61">
        <w:t xml:space="preserve"> in</w:t>
      </w:r>
      <w:r w:rsidRPr="00F051D0">
        <w:t xml:space="preserve"> </w:t>
      </w:r>
      <w:r w:rsidR="002C3A61">
        <w:t>Singapore</w:t>
      </w:r>
      <w:r w:rsidR="006A5D44" w:rsidRPr="00F051D0">
        <w:t xml:space="preserve"> </w:t>
      </w:r>
      <w:r w:rsidR="002C3A61">
        <w:t xml:space="preserve">(submitted </w:t>
      </w:r>
      <w:r w:rsidR="002C3A61" w:rsidRPr="002C3A61">
        <w:t>30</w:t>
      </w:r>
      <w:r w:rsidR="00901D56">
        <w:t> </w:t>
      </w:r>
      <w:r w:rsidR="002C3A61" w:rsidRPr="002C3A61">
        <w:t>March 2020</w:t>
      </w:r>
      <w:r w:rsidR="006A5D44" w:rsidRPr="00F051D0">
        <w:t>)</w:t>
      </w:r>
      <w:r w:rsidRPr="00F051D0">
        <w:t>.</w:t>
      </w:r>
    </w:p>
    <w:p w14:paraId="3D77ED7B" w14:textId="3DD9F0FB" w:rsidR="00324E45" w:rsidRPr="00F051D0" w:rsidRDefault="00324E45" w:rsidP="00324E45">
      <w:pPr>
        <w:pStyle w:val="TableTitle"/>
      </w:pPr>
      <w:r w:rsidRPr="00F051D0">
        <w:t xml:space="preserve">Table </w:t>
      </w:r>
      <w:r w:rsidR="00550DD1">
        <w:fldChar w:fldCharType="begin"/>
      </w:r>
      <w:r w:rsidR="00550DD1">
        <w:instrText xml:space="preserve"> SEQ Table \* ARABIC </w:instrText>
      </w:r>
      <w:r w:rsidR="00550DD1">
        <w:fldChar w:fldCharType="separate"/>
      </w:r>
      <w:r w:rsidR="005A5EB7" w:rsidRPr="00F051D0">
        <w:rPr>
          <w:noProof/>
        </w:rPr>
        <w:t>1</w:t>
      </w:r>
      <w:r w:rsidR="00550DD1">
        <w:rPr>
          <w:noProof/>
        </w:rPr>
        <w:fldChar w:fldCharType="end"/>
      </w:r>
      <w:r w:rsidRPr="00F051D0">
        <w:t>: International regulatory status</w:t>
      </w:r>
    </w:p>
    <w:tbl>
      <w:tblPr>
        <w:tblStyle w:val="TableTGAblue"/>
        <w:tblW w:w="0" w:type="auto"/>
        <w:tblLook w:val="04A0" w:firstRow="1" w:lastRow="0" w:firstColumn="1" w:lastColumn="0" w:noHBand="0" w:noVBand="1"/>
      </w:tblPr>
      <w:tblGrid>
        <w:gridCol w:w="1512"/>
        <w:gridCol w:w="1853"/>
        <w:gridCol w:w="1851"/>
        <w:gridCol w:w="3268"/>
      </w:tblGrid>
      <w:tr w:rsidR="006A5D44" w:rsidRPr="00F051D0" w14:paraId="528E13AC" w14:textId="77777777" w:rsidTr="002C3A61">
        <w:trPr>
          <w:cnfStyle w:val="100000000000" w:firstRow="1" w:lastRow="0" w:firstColumn="0" w:lastColumn="0" w:oddVBand="0" w:evenVBand="0" w:oddHBand="0" w:evenHBand="0" w:firstRowFirstColumn="0" w:firstRowLastColumn="0" w:lastRowFirstColumn="0" w:lastRowLastColumn="0"/>
        </w:trPr>
        <w:tc>
          <w:tcPr>
            <w:tcW w:w="1266" w:type="dxa"/>
          </w:tcPr>
          <w:p w14:paraId="3CDE5A54" w14:textId="77777777" w:rsidR="00006FAB" w:rsidRPr="00F051D0" w:rsidRDefault="00006FAB" w:rsidP="00006FAB">
            <w:pPr>
              <w:ind w:left="0" w:right="0"/>
            </w:pPr>
            <w:r w:rsidRPr="00F051D0">
              <w:t>Region</w:t>
            </w:r>
          </w:p>
        </w:tc>
        <w:tc>
          <w:tcPr>
            <w:tcW w:w="1909" w:type="dxa"/>
          </w:tcPr>
          <w:p w14:paraId="393C2FC4" w14:textId="77777777" w:rsidR="00006FAB" w:rsidRPr="00F051D0" w:rsidRDefault="00006FAB" w:rsidP="00006FAB">
            <w:pPr>
              <w:ind w:left="0" w:right="0"/>
            </w:pPr>
            <w:r w:rsidRPr="00F051D0">
              <w:t>Submission date</w:t>
            </w:r>
          </w:p>
        </w:tc>
        <w:tc>
          <w:tcPr>
            <w:tcW w:w="1852" w:type="dxa"/>
          </w:tcPr>
          <w:p w14:paraId="55015795" w14:textId="77777777" w:rsidR="00006FAB" w:rsidRPr="00F051D0" w:rsidRDefault="00006FAB" w:rsidP="00006FAB">
            <w:pPr>
              <w:ind w:left="0" w:right="0"/>
            </w:pPr>
            <w:r w:rsidRPr="00F051D0">
              <w:t>Status</w:t>
            </w:r>
          </w:p>
        </w:tc>
        <w:tc>
          <w:tcPr>
            <w:tcW w:w="3457" w:type="dxa"/>
          </w:tcPr>
          <w:p w14:paraId="2F89BFC1" w14:textId="77777777" w:rsidR="00006FAB" w:rsidRPr="00F051D0" w:rsidRDefault="00006FAB" w:rsidP="00006FAB">
            <w:pPr>
              <w:ind w:left="0" w:right="0"/>
            </w:pPr>
            <w:r w:rsidRPr="00F051D0">
              <w:t>Approved indications</w:t>
            </w:r>
          </w:p>
        </w:tc>
      </w:tr>
      <w:tr w:rsidR="00006FAB" w:rsidRPr="00F051D0" w14:paraId="2970D578" w14:textId="77777777" w:rsidTr="002C3A61">
        <w:tc>
          <w:tcPr>
            <w:tcW w:w="1266" w:type="dxa"/>
          </w:tcPr>
          <w:p w14:paraId="2F958F0B" w14:textId="22154298" w:rsidR="00006FAB" w:rsidRPr="00F051D0" w:rsidRDefault="008661DF" w:rsidP="00006FAB">
            <w:pPr>
              <w:ind w:left="0" w:right="0"/>
            </w:pPr>
            <w:r>
              <w:t>EU</w:t>
            </w:r>
          </w:p>
        </w:tc>
        <w:tc>
          <w:tcPr>
            <w:tcW w:w="1909" w:type="dxa"/>
          </w:tcPr>
          <w:p w14:paraId="179D5F82" w14:textId="317AE906" w:rsidR="002C3A61" w:rsidRPr="00F051D0" w:rsidRDefault="006F5D2C" w:rsidP="006A5D44">
            <w:pPr>
              <w:ind w:left="0" w:right="0"/>
              <w:jc w:val="both"/>
            </w:pPr>
            <w:r w:rsidRPr="00BB05C0">
              <w:rPr>
                <w:rFonts w:cs="Verdana"/>
                <w:color w:val="000000"/>
              </w:rPr>
              <w:t>27 August 2019</w:t>
            </w:r>
          </w:p>
        </w:tc>
        <w:tc>
          <w:tcPr>
            <w:tcW w:w="1852" w:type="dxa"/>
          </w:tcPr>
          <w:p w14:paraId="0B65AEC9" w14:textId="2799A72C" w:rsidR="00006FAB" w:rsidRPr="00F051D0" w:rsidRDefault="008661DF" w:rsidP="006A5D44">
            <w:pPr>
              <w:ind w:left="0" w:right="0"/>
            </w:pPr>
            <w:r>
              <w:t>Approved 13 July 2020</w:t>
            </w:r>
          </w:p>
        </w:tc>
        <w:tc>
          <w:tcPr>
            <w:tcW w:w="3457" w:type="dxa"/>
          </w:tcPr>
          <w:p w14:paraId="56EEFD1B" w14:textId="3E378971" w:rsidR="00006FAB" w:rsidRPr="008661DF" w:rsidRDefault="008661DF" w:rsidP="008661DF">
            <w:pPr>
              <w:ind w:left="0"/>
              <w:rPr>
                <w:i/>
              </w:rPr>
            </w:pPr>
            <w:r w:rsidRPr="008661DF">
              <w:rPr>
                <w:i/>
              </w:rPr>
              <w:t>Ofev is also indicated in adults for the treatment of other chronic fibrosing interstitial lung diseases (ILDs) with a progressive phenotype.</w:t>
            </w:r>
          </w:p>
        </w:tc>
      </w:tr>
      <w:tr w:rsidR="00006FAB" w:rsidRPr="00F051D0" w14:paraId="69BAF52B" w14:textId="77777777" w:rsidTr="002C3A61">
        <w:tc>
          <w:tcPr>
            <w:tcW w:w="1266" w:type="dxa"/>
          </w:tcPr>
          <w:p w14:paraId="68BA1C35" w14:textId="79A38767" w:rsidR="00006FAB" w:rsidRPr="00F051D0" w:rsidRDefault="006A5D44" w:rsidP="006A5D44">
            <w:pPr>
              <w:ind w:left="0" w:right="0"/>
            </w:pPr>
            <w:r w:rsidRPr="00F051D0">
              <w:t>USA</w:t>
            </w:r>
          </w:p>
        </w:tc>
        <w:tc>
          <w:tcPr>
            <w:tcW w:w="1909" w:type="dxa"/>
          </w:tcPr>
          <w:p w14:paraId="46D8FF43" w14:textId="0879772B" w:rsidR="00006FAB" w:rsidRPr="00F051D0" w:rsidRDefault="006F5D2C" w:rsidP="00006FAB">
            <w:pPr>
              <w:ind w:left="0" w:right="0"/>
            </w:pPr>
            <w:r>
              <w:rPr>
                <w:rFonts w:cs="Calibri"/>
                <w:lang w:val="en-US"/>
              </w:rPr>
              <w:t>9 September 2019</w:t>
            </w:r>
          </w:p>
        </w:tc>
        <w:tc>
          <w:tcPr>
            <w:tcW w:w="1852" w:type="dxa"/>
          </w:tcPr>
          <w:p w14:paraId="0DC5774C" w14:textId="518D3810" w:rsidR="00006FAB" w:rsidRPr="00F051D0" w:rsidRDefault="008661DF" w:rsidP="00006FAB">
            <w:pPr>
              <w:ind w:left="0" w:right="0"/>
            </w:pPr>
            <w:r w:rsidRPr="008661DF">
              <w:t>Approved 9 March 2020</w:t>
            </w:r>
          </w:p>
        </w:tc>
        <w:tc>
          <w:tcPr>
            <w:tcW w:w="3457" w:type="dxa"/>
          </w:tcPr>
          <w:p w14:paraId="6B7E5CCC" w14:textId="021A0E9B" w:rsidR="00006FAB" w:rsidRPr="008661DF" w:rsidRDefault="008661DF" w:rsidP="008661DF">
            <w:pPr>
              <w:ind w:left="0"/>
              <w:rPr>
                <w:i/>
              </w:rPr>
            </w:pPr>
            <w:r w:rsidRPr="008661DF">
              <w:rPr>
                <w:i/>
              </w:rPr>
              <w:t>Treatment for chronic fibrosing interstitial lung diseases with a progressive phenotype.</w:t>
            </w:r>
          </w:p>
        </w:tc>
      </w:tr>
      <w:tr w:rsidR="006A5D44" w:rsidRPr="00F051D0" w14:paraId="56F3EE06" w14:textId="77777777" w:rsidTr="002C3A61">
        <w:tc>
          <w:tcPr>
            <w:tcW w:w="1266" w:type="dxa"/>
          </w:tcPr>
          <w:p w14:paraId="5DCB6E16" w14:textId="696937E0" w:rsidR="006A5D44" w:rsidRPr="00F051D0" w:rsidRDefault="006A5D44" w:rsidP="006A5D44">
            <w:pPr>
              <w:ind w:left="0"/>
            </w:pPr>
            <w:r w:rsidRPr="00F051D0">
              <w:t>Canada</w:t>
            </w:r>
          </w:p>
        </w:tc>
        <w:tc>
          <w:tcPr>
            <w:tcW w:w="1909" w:type="dxa"/>
          </w:tcPr>
          <w:p w14:paraId="604B3335" w14:textId="21A2E67A" w:rsidR="006A5D44" w:rsidRPr="00F051D0" w:rsidRDefault="006F5D2C" w:rsidP="006A5D44">
            <w:pPr>
              <w:ind w:left="0"/>
            </w:pPr>
            <w:r w:rsidRPr="006F5D2C">
              <w:rPr>
                <w:rFonts w:eastAsia="DengXian"/>
                <w:color w:val="auto"/>
                <w:szCs w:val="22"/>
                <w:lang w:val="en-US" w:eastAsia="zh-CN"/>
              </w:rPr>
              <w:t>25 October 2019</w:t>
            </w:r>
          </w:p>
        </w:tc>
        <w:tc>
          <w:tcPr>
            <w:tcW w:w="1852" w:type="dxa"/>
          </w:tcPr>
          <w:p w14:paraId="3FF863B4" w14:textId="4E2B77A3" w:rsidR="006A5D44" w:rsidRPr="00F051D0" w:rsidRDefault="008661DF" w:rsidP="006A5D44">
            <w:pPr>
              <w:ind w:left="0"/>
              <w:rPr>
                <w:b/>
              </w:rPr>
            </w:pPr>
            <w:r w:rsidRPr="008661DF">
              <w:t>Approved 20 May 2020</w:t>
            </w:r>
          </w:p>
        </w:tc>
        <w:tc>
          <w:tcPr>
            <w:tcW w:w="3457" w:type="dxa"/>
          </w:tcPr>
          <w:p w14:paraId="3715B600" w14:textId="16936616" w:rsidR="006A5D44" w:rsidRPr="00AE47F0" w:rsidRDefault="006746F2" w:rsidP="008661DF">
            <w:pPr>
              <w:ind w:left="0"/>
              <w:rPr>
                <w:i/>
              </w:rPr>
            </w:pPr>
            <w:r w:rsidRPr="00AE47F0">
              <w:rPr>
                <w:i/>
              </w:rPr>
              <w:t>Ofev</w:t>
            </w:r>
            <w:r w:rsidR="008661DF" w:rsidRPr="00AE47F0">
              <w:rPr>
                <w:i/>
              </w:rPr>
              <w:t xml:space="preserve"> (nintedanib) is indicated for the treatment of other chronic fibrosing interstitial lung diseases (ILDs) with a progressive phenotype (also known as progressive fibrosing ILD).</w:t>
            </w:r>
          </w:p>
        </w:tc>
      </w:tr>
      <w:tr w:rsidR="008661DF" w:rsidRPr="00F051D0" w14:paraId="6DFD3CA6" w14:textId="77777777" w:rsidTr="002C3A61">
        <w:tc>
          <w:tcPr>
            <w:tcW w:w="1266" w:type="dxa"/>
          </w:tcPr>
          <w:p w14:paraId="6440FF4E" w14:textId="63085C45" w:rsidR="008661DF" w:rsidRPr="00F051D0" w:rsidRDefault="008661DF" w:rsidP="002C3A61">
            <w:pPr>
              <w:ind w:left="0"/>
            </w:pPr>
            <w:r>
              <w:t>Singapore</w:t>
            </w:r>
          </w:p>
        </w:tc>
        <w:tc>
          <w:tcPr>
            <w:tcW w:w="1909" w:type="dxa"/>
          </w:tcPr>
          <w:p w14:paraId="2C8F477A" w14:textId="4C1D88CA" w:rsidR="008661DF" w:rsidRPr="00F051D0" w:rsidRDefault="002C3A61" w:rsidP="008F3889">
            <w:pPr>
              <w:ind w:left="0"/>
            </w:pPr>
            <w:r>
              <w:t>30 March 2020</w:t>
            </w:r>
          </w:p>
        </w:tc>
        <w:tc>
          <w:tcPr>
            <w:tcW w:w="1852" w:type="dxa"/>
          </w:tcPr>
          <w:p w14:paraId="0FB5DBA1" w14:textId="7313A08E" w:rsidR="008661DF" w:rsidRPr="008661DF" w:rsidRDefault="002C3A61" w:rsidP="002C3A61">
            <w:pPr>
              <w:ind w:left="0"/>
            </w:pPr>
            <w:r>
              <w:t>Under consideration</w:t>
            </w:r>
          </w:p>
        </w:tc>
        <w:tc>
          <w:tcPr>
            <w:tcW w:w="3457" w:type="dxa"/>
          </w:tcPr>
          <w:p w14:paraId="4EB76DD4" w14:textId="74E5E111" w:rsidR="008661DF" w:rsidRPr="008661DF" w:rsidRDefault="002C3A61" w:rsidP="002C3A61">
            <w:pPr>
              <w:ind w:left="0"/>
            </w:pPr>
            <w:r>
              <w:t>Under consideration</w:t>
            </w:r>
          </w:p>
        </w:tc>
      </w:tr>
      <w:tr w:rsidR="002C3A61" w:rsidRPr="00F051D0" w14:paraId="672D0F0C" w14:textId="77777777" w:rsidTr="002C3A61">
        <w:tc>
          <w:tcPr>
            <w:tcW w:w="1266" w:type="dxa"/>
          </w:tcPr>
          <w:p w14:paraId="57724C18" w14:textId="02EBA06C" w:rsidR="002C3A61" w:rsidRDefault="002C3A61" w:rsidP="002C3A61">
            <w:pPr>
              <w:ind w:left="0"/>
            </w:pPr>
            <w:r w:rsidRPr="002C3A61">
              <w:t>Switzerland</w:t>
            </w:r>
          </w:p>
        </w:tc>
        <w:tc>
          <w:tcPr>
            <w:tcW w:w="1909" w:type="dxa"/>
          </w:tcPr>
          <w:p w14:paraId="56DE1573" w14:textId="51CCE658" w:rsidR="002C3A61" w:rsidRDefault="006F5D2C" w:rsidP="008F3889">
            <w:pPr>
              <w:ind w:left="0"/>
            </w:pPr>
            <w:r>
              <w:t>25 October 2019</w:t>
            </w:r>
          </w:p>
        </w:tc>
        <w:tc>
          <w:tcPr>
            <w:tcW w:w="1852" w:type="dxa"/>
          </w:tcPr>
          <w:p w14:paraId="20E9C9BA" w14:textId="642520F2" w:rsidR="002C3A61" w:rsidRDefault="002C3A61" w:rsidP="008F3889">
            <w:pPr>
              <w:ind w:left="0"/>
            </w:pPr>
            <w:r w:rsidRPr="002C3A61">
              <w:t>Approved 1</w:t>
            </w:r>
            <w:r w:rsidR="00A60C2A">
              <w:t> </w:t>
            </w:r>
            <w:r w:rsidRPr="002C3A61">
              <w:t>October</w:t>
            </w:r>
            <w:r w:rsidR="00A60C2A">
              <w:t> </w:t>
            </w:r>
            <w:r w:rsidRPr="002C3A61">
              <w:t>2020</w:t>
            </w:r>
          </w:p>
        </w:tc>
        <w:tc>
          <w:tcPr>
            <w:tcW w:w="3457" w:type="dxa"/>
          </w:tcPr>
          <w:p w14:paraId="43EC9C18" w14:textId="44B74304" w:rsidR="002C3A61" w:rsidRPr="00AE47F0" w:rsidRDefault="002C3A61" w:rsidP="002C3A61">
            <w:pPr>
              <w:ind w:left="0"/>
              <w:rPr>
                <w:i/>
              </w:rPr>
            </w:pPr>
            <w:r w:rsidRPr="00AE47F0">
              <w:rPr>
                <w:i/>
              </w:rPr>
              <w:t>Ofev is also indicated for the treatment of other chronic fibrosing interstitial lung diseases (ILDs) with a progressive phenotype</w:t>
            </w:r>
          </w:p>
        </w:tc>
      </w:tr>
    </w:tbl>
    <w:p w14:paraId="445C6496" w14:textId="77777777" w:rsidR="008E7846" w:rsidRPr="00F051D0" w:rsidRDefault="008E7846" w:rsidP="00940A89">
      <w:pPr>
        <w:pStyle w:val="Heading3"/>
      </w:pPr>
      <w:bookmarkStart w:id="24" w:name="_Toc65228881"/>
      <w:r w:rsidRPr="00F051D0">
        <w:t>Product Information</w:t>
      </w:r>
      <w:bookmarkEnd w:id="22"/>
      <w:bookmarkEnd w:id="23"/>
      <w:bookmarkEnd w:id="24"/>
    </w:p>
    <w:p w14:paraId="278BB2E6" w14:textId="77777777" w:rsidR="00940A89" w:rsidRPr="00F051D0" w:rsidRDefault="006136D7" w:rsidP="00940A89">
      <w:bookmarkStart w:id="25" w:name="_Toc247691506"/>
      <w:bookmarkStart w:id="26" w:name="_Toc314842487"/>
      <w:r w:rsidRPr="00F051D0">
        <w:t xml:space="preserve">The Product Information (PI) approved with the submission which is described in this AusPAR can be found as Attachment 1. For the most recent PI, please refer to the TGA website at </w:t>
      </w:r>
      <w:r w:rsidR="00441C3F" w:rsidRPr="00F051D0">
        <w:t>&lt;</w:t>
      </w:r>
      <w:hyperlink r:id="rId16" w:history="1">
        <w:r w:rsidR="00441C3F" w:rsidRPr="00F051D0">
          <w:rPr>
            <w:rStyle w:val="Hyperlink"/>
          </w:rPr>
          <w:t>https://www.tga.gov.au/product-information-pi</w:t>
        </w:r>
      </w:hyperlink>
      <w:r w:rsidR="00441C3F" w:rsidRPr="00F051D0">
        <w:t>&gt;</w:t>
      </w:r>
      <w:r w:rsidR="00940A89" w:rsidRPr="00F051D0">
        <w:t>.</w:t>
      </w:r>
    </w:p>
    <w:p w14:paraId="7AF5CB31" w14:textId="77777777" w:rsidR="00500337" w:rsidRPr="00F051D0" w:rsidRDefault="00500337" w:rsidP="00500337">
      <w:pPr>
        <w:pStyle w:val="Heading2"/>
      </w:pPr>
      <w:bookmarkStart w:id="27" w:name="_Toc504480011"/>
      <w:bookmarkStart w:id="28" w:name="_Toc65228882"/>
      <w:r w:rsidRPr="00F051D0">
        <w:t>II. Registration timeline</w:t>
      </w:r>
      <w:bookmarkEnd w:id="27"/>
      <w:bookmarkEnd w:id="28"/>
    </w:p>
    <w:p w14:paraId="428119DA" w14:textId="77777777" w:rsidR="00500337" w:rsidRPr="00F051D0" w:rsidRDefault="00500337" w:rsidP="00500337">
      <w:r w:rsidRPr="00F051D0">
        <w:t>The following table captures the key steps and dates for this application and which are detailed and discussed in this AusPAR.</w:t>
      </w:r>
    </w:p>
    <w:p w14:paraId="6860F15F" w14:textId="49117D0F" w:rsidR="006A58A8" w:rsidRPr="00F051D0" w:rsidRDefault="00015E42" w:rsidP="00015E42">
      <w:pPr>
        <w:pStyle w:val="TableTitle"/>
      </w:pPr>
      <w:r w:rsidRPr="00F051D0">
        <w:t xml:space="preserve">Table </w:t>
      </w:r>
      <w:r w:rsidR="00550DD1">
        <w:fldChar w:fldCharType="begin"/>
      </w:r>
      <w:r w:rsidR="00550DD1">
        <w:instrText xml:space="preserve"> SEQ Table \* ARABIC </w:instrText>
      </w:r>
      <w:r w:rsidR="00550DD1">
        <w:fldChar w:fldCharType="separate"/>
      </w:r>
      <w:r w:rsidR="005A5EB7" w:rsidRPr="00F051D0">
        <w:rPr>
          <w:noProof/>
        </w:rPr>
        <w:t>2</w:t>
      </w:r>
      <w:r w:rsidR="00550DD1">
        <w:rPr>
          <w:noProof/>
        </w:rPr>
        <w:fldChar w:fldCharType="end"/>
      </w:r>
      <w:r w:rsidR="00006FAB" w:rsidRPr="00F051D0">
        <w:t>:</w:t>
      </w:r>
      <w:r w:rsidR="006A58A8" w:rsidRPr="00F051D0">
        <w:t xml:space="preserve"> Timeline for Submission PM-</w:t>
      </w:r>
      <w:r w:rsidRPr="00F051D0">
        <w:t>2019</w:t>
      </w:r>
      <w:r w:rsidR="006A58A8" w:rsidRPr="00F051D0">
        <w:t>-</w:t>
      </w:r>
      <w:r w:rsidRPr="00F051D0">
        <w:t>04480-1-5</w:t>
      </w:r>
    </w:p>
    <w:tbl>
      <w:tblPr>
        <w:tblStyle w:val="TableTGAblue"/>
        <w:tblW w:w="0" w:type="auto"/>
        <w:tblLook w:val="04A0" w:firstRow="1" w:lastRow="0" w:firstColumn="1" w:lastColumn="0" w:noHBand="0" w:noVBand="1"/>
      </w:tblPr>
      <w:tblGrid>
        <w:gridCol w:w="4263"/>
        <w:gridCol w:w="4231"/>
      </w:tblGrid>
      <w:tr w:rsidR="00500337" w:rsidRPr="00F051D0" w14:paraId="5A1EE01E" w14:textId="77777777" w:rsidTr="00164743">
        <w:trPr>
          <w:cnfStyle w:val="100000000000" w:firstRow="1" w:lastRow="0" w:firstColumn="0" w:lastColumn="0" w:oddVBand="0" w:evenVBand="0" w:oddHBand="0" w:evenHBand="0" w:firstRowFirstColumn="0" w:firstRowLastColumn="0" w:lastRowFirstColumn="0" w:lastRowLastColumn="0"/>
          <w:cantSplit/>
        </w:trPr>
        <w:tc>
          <w:tcPr>
            <w:tcW w:w="4263" w:type="dxa"/>
            <w:tcBorders>
              <w:top w:val="single" w:sz="4" w:space="0" w:color="auto"/>
              <w:left w:val="single" w:sz="4" w:space="0" w:color="auto"/>
              <w:bottom w:val="single" w:sz="4" w:space="0" w:color="auto"/>
              <w:right w:val="single" w:sz="4" w:space="0" w:color="auto"/>
            </w:tcBorders>
          </w:tcPr>
          <w:p w14:paraId="53C5C5BD" w14:textId="77777777" w:rsidR="00500337" w:rsidRPr="00F051D0" w:rsidRDefault="00500337" w:rsidP="00500337">
            <w:pPr>
              <w:ind w:left="0" w:right="0"/>
            </w:pPr>
            <w:r w:rsidRPr="00F051D0">
              <w:t>Description</w:t>
            </w:r>
          </w:p>
        </w:tc>
        <w:tc>
          <w:tcPr>
            <w:tcW w:w="4231" w:type="dxa"/>
            <w:tcBorders>
              <w:top w:val="single" w:sz="4" w:space="0" w:color="auto"/>
              <w:left w:val="single" w:sz="4" w:space="0" w:color="auto"/>
              <w:bottom w:val="single" w:sz="4" w:space="0" w:color="auto"/>
              <w:right w:val="single" w:sz="4" w:space="0" w:color="auto"/>
            </w:tcBorders>
          </w:tcPr>
          <w:p w14:paraId="653FC2BE" w14:textId="77777777" w:rsidR="00500337" w:rsidRPr="00F051D0" w:rsidRDefault="00500337" w:rsidP="00500337">
            <w:pPr>
              <w:ind w:left="0" w:right="0"/>
            </w:pPr>
            <w:r w:rsidRPr="00F051D0">
              <w:t>Date</w:t>
            </w:r>
          </w:p>
        </w:tc>
      </w:tr>
      <w:tr w:rsidR="00500337" w:rsidRPr="00F051D0" w14:paraId="2E97682E" w14:textId="77777777" w:rsidTr="00164743">
        <w:tc>
          <w:tcPr>
            <w:tcW w:w="4263" w:type="dxa"/>
            <w:tcBorders>
              <w:top w:val="single" w:sz="4" w:space="0" w:color="auto"/>
            </w:tcBorders>
          </w:tcPr>
          <w:p w14:paraId="6D88CAB8" w14:textId="77777777" w:rsidR="00500337" w:rsidRPr="00F051D0" w:rsidRDefault="00500337" w:rsidP="00500337">
            <w:pPr>
              <w:ind w:left="0" w:right="0"/>
            </w:pPr>
            <w:r w:rsidRPr="00F051D0">
              <w:t>Submission dossier accepted and first round evaluation commenced</w:t>
            </w:r>
          </w:p>
        </w:tc>
        <w:tc>
          <w:tcPr>
            <w:tcW w:w="4231" w:type="dxa"/>
            <w:tcBorders>
              <w:top w:val="single" w:sz="4" w:space="0" w:color="auto"/>
            </w:tcBorders>
          </w:tcPr>
          <w:p w14:paraId="33D5DD4B" w14:textId="046E0A7E" w:rsidR="00500337" w:rsidRPr="00F051D0" w:rsidRDefault="00F538B3" w:rsidP="00500337">
            <w:pPr>
              <w:ind w:left="0" w:right="0"/>
            </w:pPr>
            <w:r w:rsidRPr="00F051D0">
              <w:t>3 January 2020</w:t>
            </w:r>
          </w:p>
        </w:tc>
      </w:tr>
      <w:tr w:rsidR="00500337" w:rsidRPr="00F051D0" w14:paraId="208721EF" w14:textId="77777777" w:rsidTr="00164743">
        <w:tc>
          <w:tcPr>
            <w:tcW w:w="4263" w:type="dxa"/>
          </w:tcPr>
          <w:p w14:paraId="01846FB3" w14:textId="77777777" w:rsidR="00500337" w:rsidRPr="00F051D0" w:rsidRDefault="00500337" w:rsidP="00500337">
            <w:pPr>
              <w:ind w:left="0" w:right="0"/>
            </w:pPr>
            <w:r w:rsidRPr="00F051D0">
              <w:t>First round evaluation completed</w:t>
            </w:r>
          </w:p>
        </w:tc>
        <w:tc>
          <w:tcPr>
            <w:tcW w:w="4231" w:type="dxa"/>
          </w:tcPr>
          <w:p w14:paraId="50BDE857" w14:textId="7B459721" w:rsidR="00500337" w:rsidRPr="00F051D0" w:rsidRDefault="00F538B3" w:rsidP="00500337">
            <w:pPr>
              <w:ind w:left="0" w:right="0"/>
            </w:pPr>
            <w:r w:rsidRPr="00F051D0">
              <w:t>29 May 2020</w:t>
            </w:r>
          </w:p>
        </w:tc>
      </w:tr>
      <w:tr w:rsidR="00500337" w:rsidRPr="00F051D0" w14:paraId="7EF1A46B" w14:textId="77777777" w:rsidTr="00164743">
        <w:tc>
          <w:tcPr>
            <w:tcW w:w="4263" w:type="dxa"/>
          </w:tcPr>
          <w:p w14:paraId="7B2D81F9" w14:textId="77777777" w:rsidR="00500337" w:rsidRPr="00F051D0" w:rsidRDefault="00500337" w:rsidP="00500337">
            <w:pPr>
              <w:ind w:left="0" w:right="0"/>
            </w:pPr>
            <w:r w:rsidRPr="00F051D0">
              <w:t>Sponsor provides responses on questions raised in first round evaluation</w:t>
            </w:r>
          </w:p>
        </w:tc>
        <w:tc>
          <w:tcPr>
            <w:tcW w:w="4231" w:type="dxa"/>
          </w:tcPr>
          <w:p w14:paraId="1BE0177C" w14:textId="64716B0E" w:rsidR="00500337" w:rsidRPr="00F051D0" w:rsidRDefault="00F538B3" w:rsidP="00500337">
            <w:pPr>
              <w:ind w:left="0" w:right="0"/>
            </w:pPr>
            <w:r w:rsidRPr="00F051D0">
              <w:t>30 July 2020</w:t>
            </w:r>
          </w:p>
        </w:tc>
      </w:tr>
      <w:tr w:rsidR="00500337" w:rsidRPr="00F051D0" w14:paraId="4FB19F64" w14:textId="77777777" w:rsidTr="00164743">
        <w:tc>
          <w:tcPr>
            <w:tcW w:w="4263" w:type="dxa"/>
          </w:tcPr>
          <w:p w14:paraId="173D9BCD" w14:textId="77777777" w:rsidR="00500337" w:rsidRPr="00F051D0" w:rsidRDefault="00500337" w:rsidP="00500337">
            <w:pPr>
              <w:ind w:left="0" w:right="0"/>
            </w:pPr>
            <w:r w:rsidRPr="00F051D0">
              <w:t>Second round evaluation completed</w:t>
            </w:r>
          </w:p>
        </w:tc>
        <w:tc>
          <w:tcPr>
            <w:tcW w:w="4231" w:type="dxa"/>
          </w:tcPr>
          <w:p w14:paraId="318ED5EC" w14:textId="48BFD2EA" w:rsidR="00500337" w:rsidRPr="00F051D0" w:rsidRDefault="00F538B3" w:rsidP="00500337">
            <w:pPr>
              <w:ind w:left="0" w:right="0"/>
            </w:pPr>
            <w:r w:rsidRPr="00F051D0">
              <w:t>31 August 2020</w:t>
            </w:r>
          </w:p>
        </w:tc>
      </w:tr>
      <w:tr w:rsidR="00500337" w:rsidRPr="00F051D0" w14:paraId="752190EC" w14:textId="77777777" w:rsidTr="00164743">
        <w:tc>
          <w:tcPr>
            <w:tcW w:w="4263" w:type="dxa"/>
          </w:tcPr>
          <w:p w14:paraId="6C3CA54E" w14:textId="569C650A" w:rsidR="00500337" w:rsidRPr="00F051D0" w:rsidRDefault="00324E45" w:rsidP="00EA50C6">
            <w:pPr>
              <w:ind w:left="0" w:right="0"/>
            </w:pPr>
            <w:r w:rsidRPr="00F051D0">
              <w:t>Delegate’s Overall benefit-risk assessment and reque</w:t>
            </w:r>
            <w:r w:rsidR="00EA50C6" w:rsidRPr="00F051D0">
              <w:t>st for Advisory Committee advice</w:t>
            </w:r>
          </w:p>
        </w:tc>
        <w:tc>
          <w:tcPr>
            <w:tcW w:w="4231" w:type="dxa"/>
          </w:tcPr>
          <w:p w14:paraId="6D9E8357" w14:textId="1209E341" w:rsidR="00500337" w:rsidRPr="00F051D0" w:rsidRDefault="00EA50C6" w:rsidP="00500337">
            <w:pPr>
              <w:ind w:left="0" w:right="0"/>
            </w:pPr>
            <w:r w:rsidRPr="00F051D0">
              <w:t>2 November 2020</w:t>
            </w:r>
          </w:p>
        </w:tc>
      </w:tr>
      <w:tr w:rsidR="00500337" w:rsidRPr="00F051D0" w14:paraId="572AF66B" w14:textId="77777777" w:rsidTr="00164743">
        <w:tc>
          <w:tcPr>
            <w:tcW w:w="4263" w:type="dxa"/>
          </w:tcPr>
          <w:p w14:paraId="23C1925D" w14:textId="77777777" w:rsidR="00500337" w:rsidRPr="00F051D0" w:rsidRDefault="00500337" w:rsidP="00500337">
            <w:pPr>
              <w:ind w:left="0" w:right="0"/>
            </w:pPr>
            <w:r w:rsidRPr="00F051D0">
              <w:t>Sponsor’s pre-Advisory Committee response</w:t>
            </w:r>
          </w:p>
        </w:tc>
        <w:tc>
          <w:tcPr>
            <w:tcW w:w="4231" w:type="dxa"/>
          </w:tcPr>
          <w:p w14:paraId="5418D186" w14:textId="554BC2CC" w:rsidR="00500337" w:rsidRPr="00F051D0" w:rsidRDefault="008661DF" w:rsidP="00500337">
            <w:pPr>
              <w:ind w:left="0" w:right="0"/>
            </w:pPr>
            <w:r>
              <w:t>17 November 2020</w:t>
            </w:r>
          </w:p>
        </w:tc>
      </w:tr>
      <w:tr w:rsidR="00500337" w:rsidRPr="00F051D0" w14:paraId="5026E5FE" w14:textId="77777777" w:rsidTr="00164743">
        <w:tc>
          <w:tcPr>
            <w:tcW w:w="4263" w:type="dxa"/>
          </w:tcPr>
          <w:p w14:paraId="263C4090" w14:textId="77777777" w:rsidR="00500337" w:rsidRPr="00F051D0" w:rsidRDefault="00500337" w:rsidP="00500337">
            <w:pPr>
              <w:ind w:left="0" w:right="0"/>
            </w:pPr>
            <w:r w:rsidRPr="00F051D0">
              <w:t>Advisory Committee meeting</w:t>
            </w:r>
          </w:p>
        </w:tc>
        <w:tc>
          <w:tcPr>
            <w:tcW w:w="4231" w:type="dxa"/>
          </w:tcPr>
          <w:p w14:paraId="7085980C" w14:textId="276766A8" w:rsidR="00500337" w:rsidRPr="00F051D0" w:rsidRDefault="00F538B3" w:rsidP="00F538B3">
            <w:pPr>
              <w:ind w:left="0" w:right="0"/>
            </w:pPr>
            <w:r w:rsidRPr="00F051D0">
              <w:t>3 December 2020</w:t>
            </w:r>
          </w:p>
        </w:tc>
      </w:tr>
      <w:tr w:rsidR="00500337" w:rsidRPr="00F051D0" w14:paraId="11D769BA" w14:textId="77777777" w:rsidTr="00164743">
        <w:tc>
          <w:tcPr>
            <w:tcW w:w="4263" w:type="dxa"/>
          </w:tcPr>
          <w:p w14:paraId="7F520ED2" w14:textId="77777777" w:rsidR="00500337" w:rsidRPr="00F051D0" w:rsidRDefault="00500337" w:rsidP="00500337">
            <w:pPr>
              <w:ind w:left="0" w:right="0"/>
            </w:pPr>
            <w:r w:rsidRPr="00F051D0">
              <w:t>Registration decision (Outcome)</w:t>
            </w:r>
          </w:p>
        </w:tc>
        <w:tc>
          <w:tcPr>
            <w:tcW w:w="4231" w:type="dxa"/>
          </w:tcPr>
          <w:p w14:paraId="0A0F8E6C" w14:textId="1D182080" w:rsidR="00500337" w:rsidRPr="00F051D0" w:rsidRDefault="00F538B3" w:rsidP="00500337">
            <w:pPr>
              <w:ind w:left="0" w:right="0"/>
            </w:pPr>
            <w:r w:rsidRPr="00F051D0">
              <w:t>23 December 2020</w:t>
            </w:r>
          </w:p>
        </w:tc>
      </w:tr>
      <w:tr w:rsidR="00500337" w:rsidRPr="00F051D0" w14:paraId="78141E99" w14:textId="77777777" w:rsidTr="00164743">
        <w:tc>
          <w:tcPr>
            <w:tcW w:w="4263" w:type="dxa"/>
          </w:tcPr>
          <w:p w14:paraId="0FFFC9A8" w14:textId="77777777" w:rsidR="00500337" w:rsidRPr="00F051D0" w:rsidRDefault="00500337" w:rsidP="00500337">
            <w:pPr>
              <w:ind w:left="0" w:right="0"/>
            </w:pPr>
            <w:r w:rsidRPr="00F051D0">
              <w:t xml:space="preserve">Completion of administrative activities and registration on </w:t>
            </w:r>
            <w:r w:rsidR="00006FAB" w:rsidRPr="00F051D0">
              <w:t xml:space="preserve">the </w:t>
            </w:r>
            <w:r w:rsidRPr="00F051D0">
              <w:t>ARTG</w:t>
            </w:r>
          </w:p>
        </w:tc>
        <w:tc>
          <w:tcPr>
            <w:tcW w:w="4231" w:type="dxa"/>
          </w:tcPr>
          <w:p w14:paraId="62E7F7A3" w14:textId="2F2B94E5" w:rsidR="00500337" w:rsidRPr="00F051D0" w:rsidRDefault="00F538B3" w:rsidP="00500337">
            <w:pPr>
              <w:ind w:left="0" w:right="0"/>
            </w:pPr>
            <w:r w:rsidRPr="00F051D0">
              <w:t>5 January 2021</w:t>
            </w:r>
          </w:p>
        </w:tc>
      </w:tr>
      <w:tr w:rsidR="00500337" w:rsidRPr="00F051D0" w14:paraId="124C7300" w14:textId="77777777" w:rsidTr="00164743">
        <w:tc>
          <w:tcPr>
            <w:tcW w:w="4263" w:type="dxa"/>
          </w:tcPr>
          <w:p w14:paraId="36E6D37C" w14:textId="77777777" w:rsidR="00500337" w:rsidRPr="00F051D0" w:rsidRDefault="00500337" w:rsidP="00500337">
            <w:pPr>
              <w:ind w:left="0" w:right="0"/>
            </w:pPr>
            <w:r w:rsidRPr="00F051D0">
              <w:t>Number of working days from submission dossier acceptance to registration decision*</w:t>
            </w:r>
          </w:p>
        </w:tc>
        <w:tc>
          <w:tcPr>
            <w:tcW w:w="4231" w:type="dxa"/>
          </w:tcPr>
          <w:p w14:paraId="504C1848" w14:textId="1D831C4D" w:rsidR="00500337" w:rsidRPr="00F051D0" w:rsidRDefault="00F538B3" w:rsidP="00500337">
            <w:pPr>
              <w:ind w:left="0" w:right="0"/>
            </w:pPr>
            <w:r w:rsidRPr="00F051D0">
              <w:t>223</w:t>
            </w:r>
          </w:p>
        </w:tc>
      </w:tr>
    </w:tbl>
    <w:p w14:paraId="19E48F9C" w14:textId="77777777" w:rsidR="00500337" w:rsidRPr="00F051D0" w:rsidRDefault="00500337" w:rsidP="00500337">
      <w:pPr>
        <w:pStyle w:val="TableDescription"/>
      </w:pPr>
      <w:r w:rsidRPr="00F051D0">
        <w:t>*</w:t>
      </w:r>
      <w:r w:rsidR="00BF3774" w:rsidRPr="00F051D0">
        <w:t xml:space="preserve">Statutory </w:t>
      </w:r>
      <w:r w:rsidRPr="00F051D0">
        <w:t>timeframe for standard applications is 2</w:t>
      </w:r>
      <w:r w:rsidR="00BF3774" w:rsidRPr="00F051D0">
        <w:t>55</w:t>
      </w:r>
      <w:r w:rsidRPr="00F051D0">
        <w:t xml:space="preserve"> working days</w:t>
      </w:r>
    </w:p>
    <w:p w14:paraId="6703C949" w14:textId="77777777" w:rsidR="008E7846" w:rsidRPr="00F051D0" w:rsidRDefault="00456765" w:rsidP="008E7846">
      <w:pPr>
        <w:pStyle w:val="Heading2"/>
      </w:pPr>
      <w:bookmarkStart w:id="29" w:name="_Toc196046504"/>
      <w:bookmarkStart w:id="30" w:name="_Toc247691527"/>
      <w:bookmarkStart w:id="31" w:name="_Toc314842510"/>
      <w:bookmarkStart w:id="32" w:name="_Toc65228883"/>
      <w:bookmarkStart w:id="33" w:name="_Toc163441390"/>
      <w:bookmarkEnd w:id="25"/>
      <w:bookmarkEnd w:id="26"/>
      <w:bookmarkEnd w:id="1"/>
      <w:r w:rsidRPr="00F051D0">
        <w:t>I</w:t>
      </w:r>
      <w:r w:rsidR="00DA64CB" w:rsidRPr="00F051D0">
        <w:t>I</w:t>
      </w:r>
      <w:r w:rsidR="008E7846" w:rsidRPr="00F051D0">
        <w:t xml:space="preserve">I. </w:t>
      </w:r>
      <w:r w:rsidR="00006FAB" w:rsidRPr="00F051D0">
        <w:t xml:space="preserve">Submission overview </w:t>
      </w:r>
      <w:r w:rsidR="008E7846" w:rsidRPr="00F051D0">
        <w:t>and risk/benefit assessment</w:t>
      </w:r>
      <w:bookmarkEnd w:id="29"/>
      <w:bookmarkEnd w:id="30"/>
      <w:bookmarkEnd w:id="31"/>
      <w:bookmarkEnd w:id="32"/>
    </w:p>
    <w:p w14:paraId="174DDB93" w14:textId="77777777" w:rsidR="00006FAB" w:rsidRPr="00F051D0" w:rsidRDefault="00006FAB" w:rsidP="00006FAB">
      <w:bookmarkStart w:id="34" w:name="_Toc247691528"/>
      <w:r w:rsidRPr="00F051D0">
        <w:t>The submission was summarised in the following Delegate’s overview and recommendations.</w:t>
      </w:r>
    </w:p>
    <w:p w14:paraId="7B4AAE6A" w14:textId="77777777" w:rsidR="008E7846" w:rsidRPr="00F051D0" w:rsidRDefault="008E7846" w:rsidP="008E7846">
      <w:pPr>
        <w:pStyle w:val="Heading3"/>
      </w:pPr>
      <w:bookmarkStart w:id="35" w:name="_Toc314842511"/>
      <w:bookmarkStart w:id="36" w:name="_Toc65228884"/>
      <w:r w:rsidRPr="00F051D0">
        <w:t>Quality</w:t>
      </w:r>
      <w:bookmarkEnd w:id="34"/>
      <w:bookmarkEnd w:id="35"/>
      <w:bookmarkEnd w:id="36"/>
    </w:p>
    <w:p w14:paraId="1FB91764" w14:textId="77777777" w:rsidR="00E45619" w:rsidRPr="00F051D0" w:rsidRDefault="00006FAB" w:rsidP="00006FAB">
      <w:r w:rsidRPr="00F051D0">
        <w:t>There was no requirement for a quality evaluation in a submission of this type.</w:t>
      </w:r>
    </w:p>
    <w:p w14:paraId="1AC31A05" w14:textId="5BB2D1B4" w:rsidR="008E7846" w:rsidRPr="00F051D0" w:rsidRDefault="008E7846" w:rsidP="008E7846">
      <w:pPr>
        <w:pStyle w:val="Heading3"/>
      </w:pPr>
      <w:bookmarkStart w:id="37" w:name="_Toc314842512"/>
      <w:bookmarkStart w:id="38" w:name="_Toc65228885"/>
      <w:r w:rsidRPr="00F051D0">
        <w:t>Nonclinical</w:t>
      </w:r>
      <w:bookmarkEnd w:id="37"/>
      <w:bookmarkEnd w:id="38"/>
    </w:p>
    <w:p w14:paraId="72BB8025" w14:textId="2E7A48BB" w:rsidR="00560B46" w:rsidRPr="00F051D0" w:rsidRDefault="00560B46" w:rsidP="00560B46">
      <w:r w:rsidRPr="00F051D0">
        <w:t>Nintedanib binds competitively to the adenosine triphosphate binding pocket of several kinases involved in the pathogenesis of fibrotic tissue remodelling and block</w:t>
      </w:r>
      <w:r w:rsidR="00226F87" w:rsidRPr="00F051D0">
        <w:t>s the intracellular signalling.</w:t>
      </w:r>
    </w:p>
    <w:p w14:paraId="1E2FFF95" w14:textId="64FB9067" w:rsidR="00560B46" w:rsidRPr="00F051D0" w:rsidRDefault="00560B46" w:rsidP="00560B46">
      <w:r w:rsidRPr="00F051D0">
        <w:t>Nintedanib has been approved for slowing the rate</w:t>
      </w:r>
      <w:r w:rsidR="00D36802" w:rsidRPr="00F051D0">
        <w:t xml:space="preserve"> of </w:t>
      </w:r>
      <w:r w:rsidRPr="00F051D0">
        <w:t>decline in pulmonary function in patients with SSc-ILD. The current submission is to extend the indications of nintedanib for the treatment of other chronic fibrosing PF-ILD</w:t>
      </w:r>
      <w:r w:rsidR="007863C6" w:rsidRPr="00F051D0">
        <w:t>s</w:t>
      </w:r>
      <w:r w:rsidRPr="00F051D0">
        <w:t>. Data supporting the SSc-ILD indication are also supportive of this extension to indications.</w:t>
      </w:r>
    </w:p>
    <w:p w14:paraId="326CBF96" w14:textId="13F2FBBD" w:rsidR="00560B46" w:rsidRPr="00F051D0" w:rsidRDefault="00560B46" w:rsidP="00560B46">
      <w:r w:rsidRPr="00F051D0">
        <w:t xml:space="preserve">In mouse models of chronic hypersensitivity pneumonitis, nintedanib treatment significantly reduced the pulmonary accumulation of white blood cells, attenuated inflammatory mediators in lung homogenates and reduced lung tissue collagen-1 and </w:t>
      </w:r>
      <w:r w:rsidR="00A60C2A">
        <w:t>alpha-</w:t>
      </w:r>
      <w:r w:rsidRPr="00F051D0">
        <w:t>smooth muscle actin content.</w:t>
      </w:r>
    </w:p>
    <w:p w14:paraId="10FEA9C6" w14:textId="651E7611" w:rsidR="00560B46" w:rsidRPr="00F051D0" w:rsidRDefault="00CF3E40" w:rsidP="00560B46">
      <w:r w:rsidRPr="00F051D0">
        <w:t xml:space="preserve">In a well </w:t>
      </w:r>
      <w:r w:rsidR="00D36802" w:rsidRPr="00F051D0">
        <w:t xml:space="preserve">established </w:t>
      </w:r>
      <w:r w:rsidR="00560B46" w:rsidRPr="00F051D0">
        <w:t>mous</w:t>
      </w:r>
      <w:r w:rsidRPr="00F051D0">
        <w:t xml:space="preserve">e model of rheumatoid arthritis </w:t>
      </w:r>
      <w:r w:rsidR="00560B46" w:rsidRPr="00F051D0">
        <w:t xml:space="preserve">associated </w:t>
      </w:r>
      <w:r w:rsidRPr="00F051D0">
        <w:t>ILD</w:t>
      </w:r>
      <w:r w:rsidR="00560B46" w:rsidRPr="00F051D0">
        <w:t xml:space="preserve"> like mouse induced by zymosan nintedanib 60 mg/kg/day had divergent effects. When treatment was started when both joint swelling and interstitial pneumonia were still developing, nintedanib reduced joint swelling by 50%, but did not reduced pulmonary fibrosis. On the contrary, when treatment was started when the arthritis pathology reached its maximum, nintedanib reduced pulmonary fibrosis (reduction of lung hydroxyproline by 33%, and increased lymphocytes and infiltrating macr</w:t>
      </w:r>
      <w:r w:rsidR="00744CF1" w:rsidRPr="00F051D0">
        <w:t>ophages (CD11c</w:t>
      </w:r>
      <w:r w:rsidR="00744CF1" w:rsidRPr="00AE47F0">
        <w:rPr>
          <w:vertAlign w:val="superscript"/>
        </w:rPr>
        <w:t>var</w:t>
      </w:r>
      <w:r w:rsidR="00744CF1" w:rsidRPr="00F051D0">
        <w:t>CD11b</w:t>
      </w:r>
      <w:r w:rsidR="00744CF1" w:rsidRPr="00AE47F0">
        <w:rPr>
          <w:vertAlign w:val="superscript"/>
        </w:rPr>
        <w:t>+</w:t>
      </w:r>
      <w:r w:rsidR="00744CF1" w:rsidRPr="00F051D0">
        <w:t>F4/80</w:t>
      </w:r>
      <w:r w:rsidR="00744CF1" w:rsidRPr="00AE47F0">
        <w:rPr>
          <w:vertAlign w:val="superscript"/>
        </w:rPr>
        <w:t>+</w:t>
      </w:r>
      <w:r w:rsidR="00744CF1" w:rsidRPr="00F051D0">
        <w:t xml:space="preserve">) approximately </w:t>
      </w:r>
      <w:r w:rsidR="00560B46" w:rsidRPr="00F051D0">
        <w:t>2</w:t>
      </w:r>
      <w:r w:rsidR="00744CF1" w:rsidRPr="00F051D0">
        <w:t xml:space="preserve"> to </w:t>
      </w:r>
      <w:r w:rsidR="00560B46" w:rsidRPr="00F051D0">
        <w:t>3 fold compared with untreated control, without affecting joint swelling.</w:t>
      </w:r>
    </w:p>
    <w:p w14:paraId="14C3C0F6" w14:textId="3E30D8BE" w:rsidR="00560B46" w:rsidRPr="00F051D0" w:rsidRDefault="00560B46" w:rsidP="00560B46">
      <w:r w:rsidRPr="00F051D0">
        <w:t>Nintedanib was also tested in a mouse model of collagen-induced arthritis, due to its capacity to inhibit some growth factor receptors involved in angiogenesis. Nintedanib had no effect on the progr</w:t>
      </w:r>
      <w:r w:rsidR="00226F87" w:rsidRPr="00F051D0">
        <w:t>ession of rheumatoid arthritis.</w:t>
      </w:r>
    </w:p>
    <w:p w14:paraId="34CE6167" w14:textId="5A0AA35E" w:rsidR="00560B46" w:rsidRPr="00F051D0" w:rsidRDefault="00560B46" w:rsidP="00560B46">
      <w:r w:rsidRPr="00F051D0">
        <w:t>There are no nonclinical objections to the new indication for the treatment of other chronic fibrosing PF-ILD</w:t>
      </w:r>
      <w:r w:rsidR="007863C6" w:rsidRPr="00F051D0">
        <w:t>s</w:t>
      </w:r>
      <w:r w:rsidR="006E4E59" w:rsidRPr="00F051D0">
        <w:t>.</w:t>
      </w:r>
    </w:p>
    <w:p w14:paraId="7623BE5A" w14:textId="1BE21E91" w:rsidR="00560B46" w:rsidRPr="00F051D0" w:rsidRDefault="00560B46" w:rsidP="00560B46">
      <w:r w:rsidRPr="00F051D0">
        <w:t xml:space="preserve">The proposed </w:t>
      </w:r>
      <w:r w:rsidR="00A60C2A">
        <w:t>PI</w:t>
      </w:r>
      <w:r w:rsidRPr="00F051D0">
        <w:t xml:space="preserve"> document is</w:t>
      </w:r>
      <w:r w:rsidR="00A60C2A">
        <w:t xml:space="preserve"> considered</w:t>
      </w:r>
      <w:r w:rsidRPr="00F051D0">
        <w:t xml:space="preserve"> acceptable.</w:t>
      </w:r>
    </w:p>
    <w:p w14:paraId="7F7471F8" w14:textId="77777777" w:rsidR="008E7846" w:rsidRPr="00F051D0" w:rsidRDefault="008E7846" w:rsidP="008E7846">
      <w:pPr>
        <w:pStyle w:val="Heading3"/>
      </w:pPr>
      <w:bookmarkStart w:id="39" w:name="_Toc247691530"/>
      <w:bookmarkStart w:id="40" w:name="_Toc314842513"/>
      <w:bookmarkStart w:id="41" w:name="_Toc65228886"/>
      <w:r w:rsidRPr="00F051D0">
        <w:t>Clinical</w:t>
      </w:r>
      <w:bookmarkEnd w:id="39"/>
      <w:bookmarkEnd w:id="40"/>
      <w:bookmarkEnd w:id="41"/>
    </w:p>
    <w:p w14:paraId="5C22601A" w14:textId="5EB529F0" w:rsidR="0043037A" w:rsidRPr="0043037A" w:rsidRDefault="00006FAB" w:rsidP="0043037A">
      <w:bookmarkStart w:id="42" w:name="_Toc314842514"/>
      <w:r w:rsidRPr="0043037A">
        <w:t>The clinical dossier consisted</w:t>
      </w:r>
      <w:r w:rsidR="00EC2BA1" w:rsidRPr="0043037A">
        <w:t xml:space="preserve"> o</w:t>
      </w:r>
      <w:r w:rsidR="0043037A" w:rsidRPr="0043037A">
        <w:t>f one pivotal Phase III trial.</w:t>
      </w:r>
    </w:p>
    <w:p w14:paraId="21B522FF" w14:textId="77777777" w:rsidR="005A5EB7" w:rsidRPr="00F051D0" w:rsidRDefault="005A5EB7" w:rsidP="005A5EB7">
      <w:pPr>
        <w:pStyle w:val="Heading4"/>
      </w:pPr>
      <w:r w:rsidRPr="00F051D0">
        <w:t>Pharmacology</w:t>
      </w:r>
    </w:p>
    <w:p w14:paraId="3D0C4C35" w14:textId="77777777" w:rsidR="005A5EB7" w:rsidRPr="00F051D0" w:rsidRDefault="005A5EB7" w:rsidP="005A5EB7">
      <w:pPr>
        <w:pStyle w:val="Heading5"/>
      </w:pPr>
      <w:r w:rsidRPr="00F051D0">
        <w:t>Pharmacokinetics</w:t>
      </w:r>
    </w:p>
    <w:p w14:paraId="3B171CD6" w14:textId="658F4913" w:rsidR="005A5EB7" w:rsidRPr="00F051D0" w:rsidRDefault="005A5EB7" w:rsidP="005A5EB7">
      <w:r w:rsidRPr="00F051D0">
        <w:t>Trough plasma concentrations of nintedanib were measured at two time</w:t>
      </w:r>
      <w:r w:rsidR="00181351">
        <w:t xml:space="preserve"> </w:t>
      </w:r>
      <w:r w:rsidRPr="00F051D0">
        <w:t xml:space="preserve">points during the one pivotal study included in the submission. The </w:t>
      </w:r>
      <w:r w:rsidR="00744CF1" w:rsidRPr="00F051D0">
        <w:t>pharmacokinetics (</w:t>
      </w:r>
      <w:r w:rsidRPr="00F051D0">
        <w:t>PK</w:t>
      </w:r>
      <w:r w:rsidR="00744CF1" w:rsidRPr="00F051D0">
        <w:t>)</w:t>
      </w:r>
      <w:r w:rsidRPr="00F051D0">
        <w:t xml:space="preserve"> findings were consistent with those previously observed for nintedanib.</w:t>
      </w:r>
    </w:p>
    <w:p w14:paraId="7CBA7139" w14:textId="5EFB0793" w:rsidR="005A5EB7" w:rsidRPr="00F051D0" w:rsidRDefault="00744CF1" w:rsidP="005A5EB7">
      <w:r w:rsidRPr="00F051D0">
        <w:t xml:space="preserve">Exposure </w:t>
      </w:r>
      <w:r w:rsidR="005A5EB7" w:rsidRPr="00F051D0">
        <w:t>response analyses for efficacy (decline in FVC) and safety (</w:t>
      </w:r>
      <w:r w:rsidRPr="00F051D0">
        <w:t>aspartate aminotransferase (</w:t>
      </w:r>
      <w:r w:rsidR="005A5EB7" w:rsidRPr="00F051D0">
        <w:t>AST</w:t>
      </w:r>
      <w:r w:rsidRPr="00F051D0">
        <w:t>)</w:t>
      </w:r>
      <w:r w:rsidR="00BE5E94">
        <w:t xml:space="preserve"> </w:t>
      </w:r>
      <w:r w:rsidR="005A5EB7" w:rsidRPr="00F051D0">
        <w:t>/</w:t>
      </w:r>
      <w:r w:rsidR="00BE5E94">
        <w:t xml:space="preserve"> </w:t>
      </w:r>
      <w:r w:rsidRPr="00F051D0">
        <w:t>alanine aminotransferase (</w:t>
      </w:r>
      <w:r w:rsidR="005A5EB7" w:rsidRPr="00F051D0">
        <w:t>ALT</w:t>
      </w:r>
      <w:r w:rsidRPr="00F051D0">
        <w:t>)</w:t>
      </w:r>
      <w:r w:rsidR="005A5EB7" w:rsidRPr="00F051D0">
        <w:t xml:space="preserve"> elevations) in the new patient population were also presented. A relationship between nintedanib exposure and the rate of decline in FVC was demonstrated. The relationship was generally consistent with that observed in IPF subjects.</w:t>
      </w:r>
    </w:p>
    <w:p w14:paraId="052F5B4D" w14:textId="2E57C610" w:rsidR="005A5EB7" w:rsidRPr="00F051D0" w:rsidRDefault="005A5EB7" w:rsidP="005A5EB7">
      <w:r w:rsidRPr="00F051D0">
        <w:t>A relationship between nintedanib exposure and the risk of elevations in AST or ALT (to ≥</w:t>
      </w:r>
      <w:r w:rsidR="00901D56">
        <w:t> </w:t>
      </w:r>
      <w:r w:rsidRPr="00F051D0">
        <w:t>3</w:t>
      </w:r>
      <w:r w:rsidR="00744CF1" w:rsidRPr="00F051D0">
        <w:t xml:space="preserve"> </w:t>
      </w:r>
      <w:r w:rsidRPr="00F051D0">
        <w:t xml:space="preserve">x the </w:t>
      </w:r>
      <w:r w:rsidR="00744CF1" w:rsidRPr="00F051D0">
        <w:t>upper limit of normal (</w:t>
      </w:r>
      <w:r w:rsidRPr="00F051D0">
        <w:t>ULN</w:t>
      </w:r>
      <w:r w:rsidR="00744CF1" w:rsidRPr="00F051D0">
        <w:t>)</w:t>
      </w:r>
      <w:r w:rsidRPr="00F051D0">
        <w:t>) was also demonstrated. This relationship had been established in previous analyses.</w:t>
      </w:r>
    </w:p>
    <w:p w14:paraId="7ADBB7FD" w14:textId="77777777" w:rsidR="005A5EB7" w:rsidRPr="00F051D0" w:rsidRDefault="005A5EB7" w:rsidP="005A5EB7">
      <w:pPr>
        <w:pStyle w:val="Heading5"/>
      </w:pPr>
      <w:r w:rsidRPr="00F051D0">
        <w:t>Pharmacodynamics</w:t>
      </w:r>
    </w:p>
    <w:p w14:paraId="3DF5DD38" w14:textId="28871CF9" w:rsidR="005A5EB7" w:rsidRPr="00F051D0" w:rsidRDefault="005A5EB7" w:rsidP="005A5EB7">
      <w:r w:rsidRPr="00F051D0">
        <w:t>No new pharmacodynamic data were submitted</w:t>
      </w:r>
      <w:r w:rsidR="00C73DE1" w:rsidRPr="00F051D0">
        <w:t>.</w:t>
      </w:r>
    </w:p>
    <w:p w14:paraId="05C64455" w14:textId="77777777" w:rsidR="005A5EB7" w:rsidRPr="00F051D0" w:rsidRDefault="005A5EB7" w:rsidP="005A5EB7">
      <w:pPr>
        <w:pStyle w:val="Heading4"/>
      </w:pPr>
      <w:r w:rsidRPr="00F051D0">
        <w:t>Efficacy</w:t>
      </w:r>
    </w:p>
    <w:p w14:paraId="5E420F74" w14:textId="568DB3DF" w:rsidR="005A5EB7" w:rsidRPr="00F051D0" w:rsidRDefault="005A5EB7" w:rsidP="005A5EB7">
      <w:r w:rsidRPr="00F051D0">
        <w:t>The dosing regimen chosen for the pivotal study was 150</w:t>
      </w:r>
      <w:r w:rsidR="00901D56">
        <w:t> </w:t>
      </w:r>
      <w:r w:rsidRPr="00F051D0">
        <w:t xml:space="preserve">mg </w:t>
      </w:r>
      <w:r w:rsidR="00121308" w:rsidRPr="00F051D0">
        <w:t>twice daily (B</w:t>
      </w:r>
      <w:r w:rsidR="00AB2CA7">
        <w:t>I</w:t>
      </w:r>
      <w:r w:rsidR="00121308" w:rsidRPr="00F051D0">
        <w:t>D)</w:t>
      </w:r>
      <w:r w:rsidRPr="00F051D0">
        <w:t>. The choice was based on the findings of the studies conducted in IPF, where this dose was found to be effective and safe.</w:t>
      </w:r>
    </w:p>
    <w:p w14:paraId="6D2DBED5" w14:textId="4F3767CE" w:rsidR="005A5EB7" w:rsidRPr="00F051D0" w:rsidRDefault="005A5EB7" w:rsidP="005A5EB7">
      <w:r w:rsidRPr="00F051D0">
        <w:t xml:space="preserve">Data to support the efficacy of nintedanib for the proposed new indication came from a single pivotal </w:t>
      </w:r>
      <w:r w:rsidR="00121308" w:rsidRPr="00F051D0">
        <w:t>P</w:t>
      </w:r>
      <w:r w:rsidRPr="00F051D0">
        <w:t xml:space="preserve">hase </w:t>
      </w:r>
      <w:r w:rsidR="00121308" w:rsidRPr="00F051D0">
        <w:t>III</w:t>
      </w:r>
      <w:r w:rsidRPr="00F051D0">
        <w:t xml:space="preserve"> trial</w:t>
      </w:r>
      <w:r w:rsidR="005E056D">
        <w:t xml:space="preserve">, </w:t>
      </w:r>
      <w:r w:rsidRPr="00F051D0">
        <w:t>Study 1199.247 (</w:t>
      </w:r>
      <w:r w:rsidR="005E056D">
        <w:t xml:space="preserve">also known as </w:t>
      </w:r>
      <w:r w:rsidRPr="00F051D0">
        <w:t xml:space="preserve">the INBUILD </w:t>
      </w:r>
      <w:r w:rsidR="001F0F55">
        <w:t>trial</w:t>
      </w:r>
      <w:r w:rsidRPr="00F051D0">
        <w:t>).</w:t>
      </w:r>
    </w:p>
    <w:p w14:paraId="621CDA30" w14:textId="1B59C88D" w:rsidR="005A5EB7" w:rsidRPr="00F051D0" w:rsidRDefault="005A5EB7" w:rsidP="00121308">
      <w:pPr>
        <w:pStyle w:val="Heading5"/>
      </w:pPr>
      <w:r w:rsidRPr="00F051D0">
        <w:t>Study 1199.247 (</w:t>
      </w:r>
      <w:r w:rsidR="001F0F55">
        <w:t xml:space="preserve">the </w:t>
      </w:r>
      <w:r w:rsidRPr="00F051D0">
        <w:t>INBUILD</w:t>
      </w:r>
      <w:r w:rsidR="001F0F55">
        <w:t xml:space="preserve"> trial</w:t>
      </w:r>
      <w:r w:rsidRPr="00F051D0">
        <w:t>)</w:t>
      </w:r>
    </w:p>
    <w:p w14:paraId="6B5A87C2" w14:textId="424EFF99" w:rsidR="005A5EB7" w:rsidRPr="00F051D0" w:rsidRDefault="005A5EB7" w:rsidP="005A5EB7">
      <w:r w:rsidRPr="00F051D0">
        <w:t>This was a multicentre, multinational, p</w:t>
      </w:r>
      <w:r w:rsidR="00121308" w:rsidRPr="00F051D0">
        <w:t xml:space="preserve">rospective, randomised, placebo </w:t>
      </w:r>
      <w:r w:rsidRPr="00F051D0">
        <w:t>con</w:t>
      </w:r>
      <w:r w:rsidR="00121308" w:rsidRPr="00F051D0">
        <w:t xml:space="preserve">trolled, double blind, parallel </w:t>
      </w:r>
      <w:r w:rsidRPr="00F051D0">
        <w:t>design clinical trial to investigate the efficacy and safety of nintedanib in patients with PF-ILD over 52 weeks.</w:t>
      </w:r>
    </w:p>
    <w:p w14:paraId="0E426BC3" w14:textId="364B63A5" w:rsidR="005A5EB7" w:rsidRPr="00F051D0" w:rsidRDefault="005A5EB7" w:rsidP="005A5EB7">
      <w:r w:rsidRPr="00F051D0">
        <w:t>The objective of this trial was to investigate the efficacy and safety of 150</w:t>
      </w:r>
      <w:r w:rsidR="00901D56">
        <w:t> </w:t>
      </w:r>
      <w:r w:rsidRPr="00F051D0">
        <w:t xml:space="preserve">mg </w:t>
      </w:r>
      <w:r w:rsidR="00121308" w:rsidRPr="00F051D0">
        <w:t>B</w:t>
      </w:r>
      <w:r w:rsidR="00AB2CA7">
        <w:t>I</w:t>
      </w:r>
      <w:r w:rsidR="00121308" w:rsidRPr="00F051D0">
        <w:t>D</w:t>
      </w:r>
      <w:r w:rsidRPr="00F051D0">
        <w:t xml:space="preserve"> nintedanib in patients with PF-ILD compared to </w:t>
      </w:r>
      <w:r w:rsidR="00121308" w:rsidRPr="00F051D0">
        <w:t>placebo over 52 weeks (</w:t>
      </w:r>
      <w:r w:rsidR="005E056D">
        <w:t>P</w:t>
      </w:r>
      <w:r w:rsidR="00226F87" w:rsidRPr="00F051D0">
        <w:t>art A).</w:t>
      </w:r>
    </w:p>
    <w:p w14:paraId="252CC3C0" w14:textId="5BDF0D9E" w:rsidR="005A5EB7" w:rsidRPr="00F051D0" w:rsidRDefault="005A5EB7" w:rsidP="005A5EB7">
      <w:r w:rsidRPr="00F051D0">
        <w:t>The primary objective was to demonstrate a reduction in lung function decline, as measured by the annual rate of decline in FVC for nintedanib com</w:t>
      </w:r>
      <w:r w:rsidR="00226F87" w:rsidRPr="00F051D0">
        <w:t>pared to placebo over 52</w:t>
      </w:r>
      <w:r w:rsidR="005B3D21">
        <w:t> </w:t>
      </w:r>
      <w:r w:rsidR="00226F87" w:rsidRPr="00F051D0">
        <w:t>weeks.</w:t>
      </w:r>
    </w:p>
    <w:p w14:paraId="415E6129" w14:textId="63D11FBF" w:rsidR="005A5EB7" w:rsidRPr="00F051D0" w:rsidRDefault="005A5EB7" w:rsidP="005A5EB7">
      <w:r w:rsidRPr="00F051D0">
        <w:t>The main secondary objectives of the trial were to investigate the effect of nintedanib treatment on quality of life over 52 weeks using the King’s Brief Interstitial Lung Disease Questionnaire (K-BILD)</w:t>
      </w:r>
      <w:r w:rsidR="005E056D">
        <w:t>;</w:t>
      </w:r>
      <w:r w:rsidR="005E056D">
        <w:rPr>
          <w:rStyle w:val="FootnoteReference"/>
        </w:rPr>
        <w:footnoteReference w:id="9"/>
      </w:r>
      <w:r w:rsidRPr="00F051D0">
        <w:t xml:space="preserve"> and to assess the effect of nintedanib on time to first acute ILD exacerbation or death over 52 weeks and on overall survival alone</w:t>
      </w:r>
      <w:r w:rsidR="00226F87" w:rsidRPr="00F051D0">
        <w:t xml:space="preserve"> over 52</w:t>
      </w:r>
      <w:r w:rsidR="00901D56">
        <w:t> </w:t>
      </w:r>
      <w:r w:rsidR="00226F87" w:rsidRPr="00F051D0">
        <w:t>weeks.</w:t>
      </w:r>
    </w:p>
    <w:p w14:paraId="5CC23583" w14:textId="77777777" w:rsidR="005A5EB7" w:rsidRPr="00F051D0" w:rsidRDefault="005A5EB7" w:rsidP="005A5EB7">
      <w:r w:rsidRPr="00F051D0">
        <w:t>Other objectives included the assessment of other symptoms of the disease such as dyspnoea and cough, as well as the assessment of safety, tolerability, and PK of nintedanib.</w:t>
      </w:r>
    </w:p>
    <w:p w14:paraId="0CDEEA90" w14:textId="2EFC0660" w:rsidR="005A5EB7" w:rsidRPr="00F051D0" w:rsidRDefault="005A5EB7" w:rsidP="005A5EB7">
      <w:r w:rsidRPr="00F051D0">
        <w:t>Subjects were required to have a diagnosis of an ILD with evidence of fibrosis on</w:t>
      </w:r>
      <w:r w:rsidR="00121308" w:rsidRPr="00F051D0">
        <w:t xml:space="preserve"> high resolution computed tomography</w:t>
      </w:r>
      <w:r w:rsidRPr="00F051D0">
        <w:t xml:space="preserve"> </w:t>
      </w:r>
      <w:r w:rsidR="00121308" w:rsidRPr="00F051D0">
        <w:t>(</w:t>
      </w:r>
      <w:r w:rsidRPr="00F051D0">
        <w:t>HRCT</w:t>
      </w:r>
      <w:r w:rsidR="00121308" w:rsidRPr="00F051D0">
        <w:t>)</w:t>
      </w:r>
      <w:r w:rsidRPr="00F051D0">
        <w:t xml:space="preserve"> and evidence of disease progression. Enrolment was restricted to subjects with a DLCO of ≥ 30% and &lt;</w:t>
      </w:r>
      <w:r w:rsidR="00121308" w:rsidRPr="00F051D0">
        <w:t xml:space="preserve"> </w:t>
      </w:r>
      <w:r w:rsidRPr="00F051D0">
        <w:t>80%, and an FVC of ≥ 45% of predicted. Subjects with IPF were excluded.</w:t>
      </w:r>
    </w:p>
    <w:p w14:paraId="5049E38E" w14:textId="6C08180F" w:rsidR="005A5EB7" w:rsidRPr="00F051D0" w:rsidRDefault="00121308" w:rsidP="005A5EB7">
      <w:r w:rsidRPr="00F051D0">
        <w:t xml:space="preserve">Subjects were randomised in a 1 to </w:t>
      </w:r>
      <w:r w:rsidR="005A5EB7" w:rsidRPr="00F051D0">
        <w:t>1 ratio to receive either nintedanib 150</w:t>
      </w:r>
      <w:r w:rsidR="00901D56">
        <w:t> </w:t>
      </w:r>
      <w:r w:rsidR="005A5EB7" w:rsidRPr="00F051D0">
        <w:t>mg B</w:t>
      </w:r>
      <w:r w:rsidR="00AB2CA7">
        <w:t>I</w:t>
      </w:r>
      <w:r w:rsidR="005A5EB7" w:rsidRPr="00F051D0">
        <w:t>D or matching placebo orally. In the event of toxicity, the dose could be reduced to 100</w:t>
      </w:r>
      <w:r w:rsidR="00901D56">
        <w:t> </w:t>
      </w:r>
      <w:r w:rsidR="005A5EB7" w:rsidRPr="00F051D0">
        <w:t>mg B</w:t>
      </w:r>
      <w:r w:rsidR="00AB2CA7">
        <w:t>I</w:t>
      </w:r>
      <w:r w:rsidR="005A5EB7" w:rsidRPr="00F051D0">
        <w:t>D temporarily or permanently, or treatment could be interrupted.</w:t>
      </w:r>
    </w:p>
    <w:p w14:paraId="7C4550C8" w14:textId="73C486B9" w:rsidR="005A5EB7" w:rsidRPr="00F051D0" w:rsidRDefault="005A5EB7" w:rsidP="005A5EB7">
      <w:r w:rsidRPr="00F051D0">
        <w:t>The main analysis of trial was performed after the last randomised pat</w:t>
      </w:r>
      <w:r w:rsidR="00121308" w:rsidRPr="00F051D0">
        <w:t>ient had completed the Week 52 visit. The main benefit</w:t>
      </w:r>
      <w:r w:rsidR="002935F2" w:rsidRPr="00F051D0">
        <w:t>-</w:t>
      </w:r>
      <w:r w:rsidRPr="00F051D0">
        <w:t xml:space="preserve">risk assessment of nintedanib in patients with PF-ILD was based on efficacy and </w:t>
      </w:r>
      <w:r w:rsidR="00121308" w:rsidRPr="00F051D0">
        <w:t>safety data over 52 weeks, that is data from p</w:t>
      </w:r>
      <w:r w:rsidRPr="00F051D0">
        <w:t>art A of the trial. Additional data collected beyond 52 weeks</w:t>
      </w:r>
      <w:r w:rsidR="00226F87" w:rsidRPr="00F051D0">
        <w:t>.</w:t>
      </w:r>
    </w:p>
    <w:p w14:paraId="0A390737" w14:textId="62100A90" w:rsidR="005A5EB7" w:rsidRPr="00F051D0" w:rsidRDefault="005A5EB7" w:rsidP="005A5EB7">
      <w:r w:rsidRPr="00F051D0">
        <w:t xml:space="preserve">Part B and available at the </w:t>
      </w:r>
      <w:r w:rsidR="00121308" w:rsidRPr="00F051D0">
        <w:t>database lock (</w:t>
      </w:r>
      <w:r w:rsidRPr="00F051D0">
        <w:t>DBL</w:t>
      </w:r>
      <w:r w:rsidR="00121308" w:rsidRPr="00F051D0">
        <w:t>)</w:t>
      </w:r>
      <w:r w:rsidRPr="00F051D0">
        <w:t>1 snapshot were included in the main analysis as supportive information. Eva</w:t>
      </w:r>
      <w:r w:rsidR="00BD6EB4" w:rsidRPr="00F051D0">
        <w:t>luations over the whole trial (</w:t>
      </w:r>
      <w:r w:rsidR="005E056D">
        <w:t>P</w:t>
      </w:r>
      <w:r w:rsidRPr="00F051D0">
        <w:t>art</w:t>
      </w:r>
      <w:r w:rsidR="005E056D">
        <w:t>s</w:t>
      </w:r>
      <w:r w:rsidRPr="00F051D0">
        <w:t xml:space="preserve"> A</w:t>
      </w:r>
      <w:r w:rsidR="00BD6EB4" w:rsidRPr="00F051D0">
        <w:t xml:space="preserve"> </w:t>
      </w:r>
      <w:r w:rsidR="005E056D">
        <w:t>and</w:t>
      </w:r>
      <w:r w:rsidR="00BD6EB4" w:rsidRPr="00F051D0">
        <w:t xml:space="preserve"> </w:t>
      </w:r>
      <w:r w:rsidRPr="00F051D0">
        <w:t>B) included time-to-event efficacy endpoints and safety analyses.</w:t>
      </w:r>
    </w:p>
    <w:p w14:paraId="48D67483" w14:textId="02839F8F" w:rsidR="005A5EB7" w:rsidRPr="00F051D0" w:rsidRDefault="00BD6EB4" w:rsidP="005A5EB7">
      <w:r w:rsidRPr="00F051D0">
        <w:t>There were two</w:t>
      </w:r>
      <w:r w:rsidR="005A5EB7" w:rsidRPr="00F051D0">
        <w:t xml:space="preserve"> co-primary populations defined for the analyses in this trial:</w:t>
      </w:r>
    </w:p>
    <w:p w14:paraId="6640B3E2" w14:textId="27C6BBA8" w:rsidR="005A5EB7" w:rsidRPr="00F051D0" w:rsidRDefault="00BD6EB4" w:rsidP="005A5EB7">
      <w:pPr>
        <w:pStyle w:val="ListBullet"/>
      </w:pPr>
      <w:r w:rsidRPr="00F051D0">
        <w:t>a</w:t>
      </w:r>
      <w:r w:rsidR="005A5EB7" w:rsidRPr="00F051D0">
        <w:t>ll patients (the overall population)</w:t>
      </w:r>
      <w:r w:rsidR="005E056D">
        <w:t>; and</w:t>
      </w:r>
    </w:p>
    <w:p w14:paraId="5B41CD53" w14:textId="31EB5ABB" w:rsidR="005A5EB7" w:rsidRPr="00F051D0" w:rsidRDefault="00BD6EB4" w:rsidP="005A5EB7">
      <w:pPr>
        <w:pStyle w:val="ListBullet"/>
      </w:pPr>
      <w:r w:rsidRPr="00F051D0">
        <w:t>p</w:t>
      </w:r>
      <w:r w:rsidR="005A5EB7" w:rsidRPr="00F051D0">
        <w:t>atients with HRCT with UIP-like fibrotic pattern</w:t>
      </w:r>
      <w:r w:rsidRPr="00F051D0">
        <w:t>.</w:t>
      </w:r>
    </w:p>
    <w:p w14:paraId="6609D01A" w14:textId="0956CAC1" w:rsidR="005A5EB7" w:rsidRPr="00F051D0" w:rsidRDefault="005A5EB7" w:rsidP="005A5EB7">
      <w:r w:rsidRPr="00F051D0">
        <w:t>A total of 1010 subjects were screened for the trial. Of these, 663 were randomised and treated</w:t>
      </w:r>
      <w:r w:rsidR="005E056D">
        <w:t xml:space="preserve">, </w:t>
      </w:r>
      <w:r w:rsidRPr="00F051D0">
        <w:t>331 to placebo and 332 to nintedanib. The randomised set and treated set were identical for each of the two study arms. In the placebo arm, 85.2% of subjects completed 52 weeks of treatment compared to 75.9% in the nintedanib arm. Reasons for discontinuation were adverse events, withdrawal by the patient, other reasons, protocol</w:t>
      </w:r>
      <w:r w:rsidR="00BD6EB4" w:rsidRPr="00F051D0">
        <w:t xml:space="preserve"> deviations, and loss to follow-up</w:t>
      </w:r>
      <w:r w:rsidRPr="00F051D0">
        <w:t xml:space="preserve">. Discontinuations due to adverse events were more common in the nintedanib arm (19.6% </w:t>
      </w:r>
      <w:r w:rsidR="00BD6EB4" w:rsidRPr="00F051D0">
        <w:t>versus</w:t>
      </w:r>
      <w:r w:rsidRPr="00F051D0">
        <w:t xml:space="preserve"> 10.3%). Overall, 65.7% of patients in the nintedanib group and 69.8% of patients in the placebo group completed the planned treatment. Overall, the two treatment arms were well balanced with respect to these baseline factors.</w:t>
      </w:r>
    </w:p>
    <w:p w14:paraId="7C15AF4C" w14:textId="0D06AE90" w:rsidR="005A5EB7" w:rsidRPr="00F051D0" w:rsidRDefault="00BD6EB4" w:rsidP="005A5EB7">
      <w:r w:rsidRPr="00F051D0">
        <w:t>Results: I</w:t>
      </w:r>
      <w:r w:rsidR="005A5EB7" w:rsidRPr="00F051D0">
        <w:t>n the overall population, the adjusted annual rate of decline in FVC over 52</w:t>
      </w:r>
      <w:r w:rsidR="005B3D21">
        <w:t> </w:t>
      </w:r>
      <w:r w:rsidR="005A5EB7" w:rsidRPr="00F051D0">
        <w:t>weeks was lower in the nintedanib group (-80.82 mL/year) than in the placebo group (-187.78 mL/year). The adjusted difference between the treatment groups was 106.96</w:t>
      </w:r>
      <w:r w:rsidR="005B3D21">
        <w:t> </w:t>
      </w:r>
      <w:r w:rsidR="005A5EB7" w:rsidRPr="00F051D0">
        <w:t>mL/year (9</w:t>
      </w:r>
      <w:r w:rsidR="00226F87" w:rsidRPr="00F051D0">
        <w:t xml:space="preserve">5% </w:t>
      </w:r>
      <w:r w:rsidRPr="00F051D0">
        <w:t>confidence interval (</w:t>
      </w:r>
      <w:r w:rsidR="00226F87" w:rsidRPr="00F051D0">
        <w:t>CI</w:t>
      </w:r>
      <w:r w:rsidRPr="00F051D0">
        <w:t xml:space="preserve">): 65.42 to </w:t>
      </w:r>
      <w:r w:rsidR="00226F87" w:rsidRPr="00F051D0">
        <w:t>148.50; p</w:t>
      </w:r>
      <w:r w:rsidRPr="00F051D0">
        <w:t xml:space="preserve"> </w:t>
      </w:r>
      <w:r w:rsidR="00226F87" w:rsidRPr="00F051D0">
        <w:t>&lt;</w:t>
      </w:r>
      <w:r w:rsidRPr="00F051D0">
        <w:t xml:space="preserve"> </w:t>
      </w:r>
      <w:r w:rsidR="00226F87" w:rsidRPr="00F051D0">
        <w:t>0.0001).</w:t>
      </w:r>
    </w:p>
    <w:p w14:paraId="0F279B97" w14:textId="3AEBDDAB" w:rsidR="005A5EB7" w:rsidRPr="00F051D0" w:rsidRDefault="005A5EB7" w:rsidP="00BD6EB4">
      <w:pPr>
        <w:pStyle w:val="Heading6"/>
      </w:pPr>
      <w:r w:rsidRPr="00F051D0">
        <w:t xml:space="preserve">Patients with </w:t>
      </w:r>
      <w:r w:rsidR="00121308" w:rsidRPr="00F051D0">
        <w:t xml:space="preserve">high resolution computed tomography </w:t>
      </w:r>
      <w:r w:rsidR="00226F87" w:rsidRPr="00F051D0">
        <w:t xml:space="preserve">with </w:t>
      </w:r>
      <w:r w:rsidR="00BD6EB4" w:rsidRPr="00F051D0">
        <w:t xml:space="preserve">usual interstitial pneumonia </w:t>
      </w:r>
      <w:r w:rsidR="00226F87" w:rsidRPr="00F051D0">
        <w:t>like fibrotic pattern</w:t>
      </w:r>
    </w:p>
    <w:p w14:paraId="7D88A726" w14:textId="3F5DB266" w:rsidR="005A5EB7" w:rsidRPr="00F051D0" w:rsidRDefault="005A5EB7" w:rsidP="005A5EB7">
      <w:r w:rsidRPr="00F051D0">
        <w:t>Of the 412 patients with HRCT with UIP</w:t>
      </w:r>
      <w:r w:rsidR="00BD6EB4" w:rsidRPr="00F051D0">
        <w:t xml:space="preserve"> </w:t>
      </w:r>
      <w:r w:rsidRPr="00F051D0">
        <w:t>like fibrotic pattern, 206 patients received nintedanib and 206 received placebo. In the co-primary population of patients with HRCT with UIP</w:t>
      </w:r>
      <w:r w:rsidR="00BD6EB4" w:rsidRPr="00F051D0">
        <w:t xml:space="preserve"> </w:t>
      </w:r>
      <w:r w:rsidRPr="00F051D0">
        <w:t>like fibrotic pattern, the adjusted annual rate of decline in FVC over 52</w:t>
      </w:r>
      <w:r w:rsidR="00901D56">
        <w:t> </w:t>
      </w:r>
      <w:r w:rsidRPr="00F051D0">
        <w:t>weeks was lower in the nintedanib group (-82.87 mL/year) than in the placebo group (</w:t>
      </w:r>
      <w:r w:rsidR="005E056D">
        <w:noBreakHyphen/>
      </w:r>
      <w:r w:rsidRPr="00F051D0">
        <w:t>211.07</w:t>
      </w:r>
      <w:r w:rsidR="005B3D21">
        <w:t> </w:t>
      </w:r>
      <w:r w:rsidRPr="00F051D0">
        <w:t>mL/year). The adjusted difference between the treatment groups was 128.20</w:t>
      </w:r>
      <w:r w:rsidR="00901D56">
        <w:t> </w:t>
      </w:r>
      <w:r w:rsidRPr="00F051D0">
        <w:t>mL/year (95% CI</w:t>
      </w:r>
      <w:r w:rsidR="00BD6EB4" w:rsidRPr="00F051D0">
        <w:t>:</w:t>
      </w:r>
      <w:r w:rsidRPr="00F051D0">
        <w:t xml:space="preserve"> 70.81</w:t>
      </w:r>
      <w:r w:rsidR="00BD6EB4" w:rsidRPr="00F051D0">
        <w:t xml:space="preserve"> to</w:t>
      </w:r>
      <w:r w:rsidRPr="00F051D0">
        <w:t xml:space="preserve"> 185.59; p</w:t>
      </w:r>
      <w:r w:rsidR="00BD6EB4" w:rsidRPr="00F051D0">
        <w:t xml:space="preserve"> </w:t>
      </w:r>
      <w:r w:rsidRPr="00F051D0">
        <w:t>&lt;</w:t>
      </w:r>
      <w:r w:rsidR="00BD6EB4" w:rsidRPr="00F051D0">
        <w:t xml:space="preserve"> </w:t>
      </w:r>
      <w:r w:rsidRPr="00F051D0">
        <w:t>0.0001</w:t>
      </w:r>
      <w:r w:rsidR="00BD6EB4" w:rsidRPr="00F051D0">
        <w:t>)</w:t>
      </w:r>
      <w:r w:rsidR="00C73DE1" w:rsidRPr="00F051D0">
        <w:t>.</w:t>
      </w:r>
    </w:p>
    <w:p w14:paraId="4424A41C" w14:textId="2818469E" w:rsidR="005A5EB7" w:rsidRPr="00F051D0" w:rsidRDefault="005A5EB7" w:rsidP="00BD6EB4">
      <w:pPr>
        <w:pStyle w:val="Heading6"/>
      </w:pPr>
      <w:r w:rsidRPr="00F051D0">
        <w:t>Patients wi</w:t>
      </w:r>
      <w:r w:rsidR="00226F87" w:rsidRPr="00F051D0">
        <w:t xml:space="preserve">th other </w:t>
      </w:r>
      <w:r w:rsidR="00121308" w:rsidRPr="00F051D0">
        <w:t xml:space="preserve">high resolution computed tomography </w:t>
      </w:r>
      <w:r w:rsidR="00226F87" w:rsidRPr="00F051D0">
        <w:t>fibrotic patterns</w:t>
      </w:r>
    </w:p>
    <w:p w14:paraId="4CB8AE8C" w14:textId="013349D2" w:rsidR="005A5EB7" w:rsidRPr="00F051D0" w:rsidRDefault="005A5EB7" w:rsidP="005A5EB7">
      <w:r w:rsidRPr="00F051D0">
        <w:t>In the complementary population of patients with other HRCT fibrotic patterns, the adjusted annual rate of decline in FVC over 52 weeks was lower in the nintedanib group (-78.97</w:t>
      </w:r>
      <w:r w:rsidR="00901D56">
        <w:t> </w:t>
      </w:r>
      <w:r w:rsidRPr="00F051D0">
        <w:t>mL/year) than in the placebo group (-154.24 mL/year). The adjusted difference between the treatment groups was 75.28 mL/year.</w:t>
      </w:r>
    </w:p>
    <w:p w14:paraId="6385A504" w14:textId="6ECBE3C7" w:rsidR="005A5EB7" w:rsidRPr="00F051D0" w:rsidRDefault="005A5EB7" w:rsidP="005A5EB7">
      <w:r w:rsidRPr="00F051D0">
        <w:t>In the primarily analysis, the statistical model assumed that patients who discontinued from the study prematurely would have behaved similarly to those who remained in the study. A sensitivity analysis was conducted in which only on-treatment measurements of FVC were used in the model. The results were consistent with the findings of the primary analysis.</w:t>
      </w:r>
    </w:p>
    <w:p w14:paraId="4C80EBE9" w14:textId="7928D072" w:rsidR="005A5EB7" w:rsidRPr="00F051D0" w:rsidRDefault="005A5EB7" w:rsidP="005A5EB7">
      <w:pPr>
        <w:rPr>
          <w:rFonts w:asciiTheme="minorHAnsi" w:hAnsiTheme="minorHAnsi"/>
        </w:rPr>
      </w:pPr>
      <w:r w:rsidRPr="00F051D0">
        <w:t>Results in subgroups depending on gender, age group, race, baseline FVC % predicted, and underlying clinical ILD diagnosis (grouped) for overall population. For the co-primary population of patients with HRCT with UIP-like fibrotic pattern, the subgroups were defined by gender, age group, and race. Furthermore, an additional analysis investigated the impact of the underlying ILD diagnoses by employing the method of exc</w:t>
      </w:r>
      <w:r w:rsidR="00BD6EB4" w:rsidRPr="00F051D0">
        <w:t xml:space="preserve">luding ILD diagnosis groups one by </w:t>
      </w:r>
      <w:r w:rsidRPr="00F051D0">
        <w:t>one was performed. There were no major differences in treatment effects were observed. The direction of effect estimates for all analysed subgroups appeared consistent with the overall effec</w:t>
      </w:r>
      <w:r w:rsidR="00226F87" w:rsidRPr="00F051D0">
        <w:t>t.</w:t>
      </w:r>
    </w:p>
    <w:p w14:paraId="601BB171" w14:textId="6EA0864E" w:rsidR="00E0638D" w:rsidRDefault="005A5EB7" w:rsidP="005A5EB7">
      <w:pPr>
        <w:pStyle w:val="TableTitle"/>
      </w:pPr>
      <w:r w:rsidRPr="00F051D0">
        <w:t xml:space="preserve">Table </w:t>
      </w:r>
      <w:r w:rsidR="00A34CB6">
        <w:fldChar w:fldCharType="begin"/>
      </w:r>
      <w:r w:rsidR="00A34CB6">
        <w:rPr>
          <w:b w:val="0"/>
        </w:rPr>
        <w:instrText xml:space="preserve"> SEQ Table \* ARABIC </w:instrText>
      </w:r>
      <w:r w:rsidR="00A34CB6">
        <w:fldChar w:fldCharType="separate"/>
      </w:r>
      <w:r w:rsidRPr="00F051D0">
        <w:rPr>
          <w:noProof/>
        </w:rPr>
        <w:t>3</w:t>
      </w:r>
      <w:r w:rsidR="00A34CB6">
        <w:rPr>
          <w:noProof/>
        </w:rPr>
        <w:fldChar w:fldCharType="end"/>
      </w:r>
      <w:r w:rsidRPr="00F051D0">
        <w:t xml:space="preserve">: </w:t>
      </w:r>
      <w:r w:rsidR="00AB3192">
        <w:t xml:space="preserve">Study 1199.247 </w:t>
      </w:r>
      <w:r w:rsidR="005E056D">
        <w:t>A</w:t>
      </w:r>
      <w:r w:rsidRPr="00F051D0">
        <w:t xml:space="preserve">nnual rate of decline in </w:t>
      </w:r>
      <w:r w:rsidR="00BD6EB4" w:rsidRPr="00F051D0">
        <w:t>forced vital capacity (mL/year)</w:t>
      </w:r>
      <w:r w:rsidRPr="00F051D0">
        <w:t xml:space="preserve"> over 52 weeks </w:t>
      </w:r>
      <w:r w:rsidR="005E056D">
        <w:t>(in</w:t>
      </w:r>
      <w:r w:rsidRPr="00F051D0">
        <w:t xml:space="preserve"> </w:t>
      </w:r>
      <w:r w:rsidR="00FA7C86">
        <w:t>the t</w:t>
      </w:r>
      <w:r w:rsidR="00FA7C86" w:rsidRPr="00FA7C86">
        <w:t xml:space="preserve">reated </w:t>
      </w:r>
      <w:r w:rsidR="00FA7C86">
        <w:t>set</w:t>
      </w:r>
      <w:r w:rsidR="005E056D">
        <w:t>)</w:t>
      </w:r>
    </w:p>
    <w:p w14:paraId="26C79808" w14:textId="3C0A4231" w:rsidR="005A5EB7" w:rsidRDefault="00A35188" w:rsidP="00733278">
      <w:pPr>
        <w:pStyle w:val="TableDescription"/>
      </w:pPr>
      <w:r>
        <w:rPr>
          <w:noProof/>
          <w:lang w:eastAsia="en-AU"/>
        </w:rPr>
        <w:drawing>
          <wp:inline distT="0" distB="0" distL="0" distR="0" wp14:anchorId="37318F84" wp14:editId="64404657">
            <wp:extent cx="5400040" cy="2360295"/>
            <wp:effectExtent l="0" t="0" r="0" b="1905"/>
            <wp:docPr id="1" name="Picture 1" descr="Study 1199.247 Annual rate of decline in forced vital capacity (mL/year) over 52 weeks (in the treated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2360295"/>
                    </a:xfrm>
                    <a:prstGeom prst="rect">
                      <a:avLst/>
                    </a:prstGeom>
                  </pic:spPr>
                </pic:pic>
              </a:graphicData>
            </a:graphic>
          </wp:inline>
        </w:drawing>
      </w:r>
      <w:r w:rsidR="00AB3192" w:rsidRPr="00AE47F0">
        <w:rPr>
          <w:vertAlign w:val="superscript"/>
        </w:rPr>
        <w:t>1</w:t>
      </w:r>
      <w:r w:rsidR="00AB3192" w:rsidRPr="00AB3192">
        <w:t>.Based on a random coefficient regression with fixed effects for treatment, HRCT pattern (only for the overall population), and baseline FVC</w:t>
      </w:r>
      <w:r w:rsidR="00AB3192">
        <w:t xml:space="preserve"> (mL),</w:t>
      </w:r>
      <w:r w:rsidR="00AB3192" w:rsidRPr="00AB3192">
        <w:t xml:space="preserve"> and including treatment-by-time and baseline-by-time interactions w</w:t>
      </w:r>
      <w:r w:rsidR="00AB3192">
        <w:t xml:space="preserve">ithin </w:t>
      </w:r>
      <w:r w:rsidR="00AB3192" w:rsidRPr="00AB3192">
        <w:t>patient errors were modelled by an unstructured variance</w:t>
      </w:r>
      <w:r w:rsidR="00AB3192">
        <w:t xml:space="preserve"> </w:t>
      </w:r>
      <w:r w:rsidR="00AB3192" w:rsidRPr="00AB3192">
        <w:t>covariance matrix.</w:t>
      </w:r>
    </w:p>
    <w:p w14:paraId="788F67A1" w14:textId="4009C41F" w:rsidR="004A1EC9" w:rsidRPr="00A35188" w:rsidRDefault="00A35188" w:rsidP="00733278">
      <w:pPr>
        <w:pStyle w:val="TableDescription"/>
      </w:pPr>
      <w:r w:rsidRPr="008F3889">
        <w:rPr>
          <w:vertAlign w:val="superscript"/>
        </w:rPr>
        <w:t>2</w:t>
      </w:r>
      <w:r>
        <w:t xml:space="preserve"> Normal p-value 0.0137</w:t>
      </w:r>
    </w:p>
    <w:p w14:paraId="5220286C" w14:textId="5936E619" w:rsidR="005A5EB7" w:rsidRPr="00F051D0" w:rsidRDefault="005A5EB7" w:rsidP="006214A8">
      <w:pPr>
        <w:pStyle w:val="FigureTitle"/>
      </w:pPr>
      <w:r w:rsidRPr="00F051D0">
        <w:t xml:space="preserve">Figure </w:t>
      </w:r>
      <w:r w:rsidR="00550DD1">
        <w:fldChar w:fldCharType="begin"/>
      </w:r>
      <w:r w:rsidR="00550DD1">
        <w:instrText xml:space="preserve"> SEQ Figure \* ARABIC </w:instrText>
      </w:r>
      <w:r w:rsidR="00550DD1">
        <w:fldChar w:fldCharType="separate"/>
      </w:r>
      <w:r w:rsidRPr="00F051D0">
        <w:rPr>
          <w:noProof/>
        </w:rPr>
        <w:t>1</w:t>
      </w:r>
      <w:r w:rsidR="00550DD1">
        <w:rPr>
          <w:noProof/>
        </w:rPr>
        <w:fldChar w:fldCharType="end"/>
      </w:r>
      <w:r w:rsidRPr="00F051D0">
        <w:t xml:space="preserve">: </w:t>
      </w:r>
      <w:r w:rsidR="004F727E" w:rsidRPr="004F727E">
        <w:t xml:space="preserve">Study 1199.247 </w:t>
      </w:r>
      <w:r w:rsidR="006214A8">
        <w:t>R</w:t>
      </w:r>
      <w:r w:rsidRPr="00F051D0">
        <w:t>esults for the primary endpoint in the co-primary populations and the complementary p</w:t>
      </w:r>
      <w:r w:rsidR="00FA7C86">
        <w:t xml:space="preserve">opulation (primary analysis) – </w:t>
      </w:r>
      <w:r w:rsidR="00FA7C86" w:rsidRPr="00FA7C86">
        <w:t>the treated set</w:t>
      </w:r>
    </w:p>
    <w:p w14:paraId="55742F2B" w14:textId="5E22B386" w:rsidR="005A5EB7" w:rsidRPr="00F051D0" w:rsidRDefault="00116123" w:rsidP="00733278">
      <w:r w:rsidRPr="00116123">
        <w:rPr>
          <w:noProof/>
          <w:lang w:eastAsia="en-AU"/>
        </w:rPr>
        <w:drawing>
          <wp:inline distT="0" distB="0" distL="0" distR="0" wp14:anchorId="3E9CD9A0" wp14:editId="307C4DA7">
            <wp:extent cx="5975350" cy="2489200"/>
            <wp:effectExtent l="0" t="0" r="6350" b="6350"/>
            <wp:docPr id="2" name="Grafik 2" descr="Study 1199.247 Results for the primary endpoint in the co-primary populations and the complementary population (primary analysis) – the treated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31563" b="8083"/>
                    <a:stretch/>
                  </pic:blipFill>
                  <pic:spPr bwMode="auto">
                    <a:xfrm>
                      <a:off x="0" y="0"/>
                      <a:ext cx="5975350" cy="2489200"/>
                    </a:xfrm>
                    <a:prstGeom prst="rect">
                      <a:avLst/>
                    </a:prstGeom>
                    <a:noFill/>
                    <a:ln>
                      <a:noFill/>
                    </a:ln>
                    <a:extLst>
                      <a:ext uri="{53640926-AAD7-44D8-BBD7-CCE9431645EC}">
                        <a14:shadowObscured xmlns:a14="http://schemas.microsoft.com/office/drawing/2010/main"/>
                      </a:ext>
                    </a:extLst>
                  </pic:spPr>
                </pic:pic>
              </a:graphicData>
            </a:graphic>
          </wp:inline>
        </w:drawing>
      </w:r>
      <w:r w:rsidR="005A5EB7" w:rsidRPr="00F051D0">
        <w:t>Results for main secondary efficacy outcomes</w:t>
      </w:r>
    </w:p>
    <w:p w14:paraId="65425EAF" w14:textId="7918B9CA" w:rsidR="005A5EB7" w:rsidRPr="00F051D0" w:rsidRDefault="00BD6EB4" w:rsidP="00BD6EB4">
      <w:pPr>
        <w:pStyle w:val="Heading6"/>
      </w:pPr>
      <w:r w:rsidRPr="00F051D0">
        <w:t xml:space="preserve">King's </w:t>
      </w:r>
      <w:r w:rsidR="00723FD1" w:rsidRPr="00F051D0">
        <w:t xml:space="preserve">Brief Interstitial Lung Disease Questionnaire </w:t>
      </w:r>
      <w:r w:rsidR="005A5EB7" w:rsidRPr="00F051D0">
        <w:t>total score</w:t>
      </w:r>
    </w:p>
    <w:p w14:paraId="3E374627" w14:textId="2ADCDD23" w:rsidR="005A5EB7" w:rsidRPr="00F051D0" w:rsidRDefault="005A5EB7" w:rsidP="005A5EB7">
      <w:r w:rsidRPr="00F051D0">
        <w:t>In the overall population, the adjusted mean of absolute change from baseline in K-BILD total score at Week 52 was small in either treatment group. The adjusted mean difference between treatment groups was 1.34 (95% CI</w:t>
      </w:r>
      <w:r w:rsidR="00D06454">
        <w:t xml:space="preserve">: </w:t>
      </w:r>
      <w:r w:rsidR="00BD6EB4" w:rsidRPr="00F051D0">
        <w:t>-0.31 to</w:t>
      </w:r>
      <w:r w:rsidRPr="00F051D0">
        <w:t xml:space="preserve"> 2.98).</w:t>
      </w:r>
    </w:p>
    <w:p w14:paraId="176C3484" w14:textId="58CB5C2C" w:rsidR="005A5EB7" w:rsidRPr="00F051D0" w:rsidRDefault="005A5EB7" w:rsidP="005A5EB7">
      <w:pPr>
        <w:pStyle w:val="Heading6"/>
      </w:pPr>
      <w:r w:rsidRPr="00F051D0">
        <w:t>Time to first acute</w:t>
      </w:r>
      <w:r w:rsidR="00BD6EB4" w:rsidRPr="00F051D0">
        <w:t xml:space="preserve"> interstitial lung disease</w:t>
      </w:r>
      <w:r w:rsidRPr="00F051D0">
        <w:t xml:space="preserve"> exacerbation or death</w:t>
      </w:r>
    </w:p>
    <w:p w14:paraId="2D276D24" w14:textId="5A2A17A6" w:rsidR="005A5EB7" w:rsidRPr="00F051D0" w:rsidRDefault="005A5EB7" w:rsidP="005A5EB7">
      <w:r w:rsidRPr="00F051D0">
        <w:t>In the overall population, the incidence of an acute exacerbation or death event over 52</w:t>
      </w:r>
      <w:r w:rsidR="005B3D21">
        <w:t> </w:t>
      </w:r>
      <w:r w:rsidRPr="00F051D0">
        <w:t xml:space="preserve">weeks was 9.7% in the placebo arm and 7.8% in the nintedanib arm. The hazard ratio </w:t>
      </w:r>
      <w:r w:rsidR="00226F87" w:rsidRPr="00F051D0">
        <w:t>was 0.80 (95%</w:t>
      </w:r>
      <w:r w:rsidR="00BD6EB4" w:rsidRPr="00F051D0">
        <w:t xml:space="preserve"> </w:t>
      </w:r>
      <w:r w:rsidR="00226F87" w:rsidRPr="00F051D0">
        <w:t>CI: 0.48 to 1.34).</w:t>
      </w:r>
    </w:p>
    <w:p w14:paraId="5C92D8F7" w14:textId="50A81A9F" w:rsidR="005A5EB7" w:rsidRPr="00F051D0" w:rsidRDefault="005A5EB7" w:rsidP="005A5EB7">
      <w:r w:rsidRPr="00F051D0">
        <w:t>In the subpopulation with a UIP-like pattern on HRCT, the incidence of events was 12.1% in the placebo arm and 8.3% in the nintedanib arm, with a hazard ratio</w:t>
      </w:r>
      <w:r w:rsidR="00226F87" w:rsidRPr="00F051D0">
        <w:t xml:space="preserve"> of 0.67 (95%CI:</w:t>
      </w:r>
      <w:r w:rsidR="00901D56">
        <w:t> </w:t>
      </w:r>
      <w:r w:rsidR="00226F87" w:rsidRPr="00F051D0">
        <w:t>0.36 to 1.24).</w:t>
      </w:r>
    </w:p>
    <w:p w14:paraId="25B75DDB" w14:textId="73C40226" w:rsidR="005A5EB7" w:rsidRPr="00F051D0" w:rsidRDefault="005A5EB7" w:rsidP="005A5EB7">
      <w:pPr>
        <w:pStyle w:val="Heading6"/>
      </w:pPr>
      <w:r w:rsidRPr="00F051D0">
        <w:t>Time to death</w:t>
      </w:r>
    </w:p>
    <w:p w14:paraId="06986E08" w14:textId="5243D462" w:rsidR="005A5EB7" w:rsidRPr="00F051D0" w:rsidRDefault="005A5EB7" w:rsidP="005A5EB7">
      <w:r w:rsidRPr="00F051D0">
        <w:t>Results for the overall population over the first 52 weeks of the study deaths occurred in 5.1% of placebo-treated subjects and 4.8% of nintedanib</w:t>
      </w:r>
      <w:r w:rsidR="00F86AEB" w:rsidRPr="00F051D0">
        <w:t xml:space="preserve"> </w:t>
      </w:r>
      <w:r w:rsidRPr="00F051D0">
        <w:t>treated subjects. The difference was not significant with a hazard ratio of 0.94 (95%</w:t>
      </w:r>
      <w:r w:rsidR="00BD6EB4" w:rsidRPr="00F051D0">
        <w:t xml:space="preserve"> </w:t>
      </w:r>
      <w:r w:rsidRPr="00F051D0">
        <w:t>CI: 0.47 to 1.86)</w:t>
      </w:r>
      <w:r w:rsidR="00F86AEB" w:rsidRPr="00F051D0">
        <w:t>.</w:t>
      </w:r>
    </w:p>
    <w:p w14:paraId="20C1E9B9" w14:textId="574658CB" w:rsidR="005A5EB7" w:rsidRPr="00F051D0" w:rsidRDefault="005A5EB7" w:rsidP="005A5EB7">
      <w:r w:rsidRPr="00F051D0">
        <w:t>Results were similar in the subpopulation wi</w:t>
      </w:r>
      <w:r w:rsidR="00F86AEB" w:rsidRPr="00F051D0">
        <w:t>th a UIP-like pattern on HRCT –</w:t>
      </w:r>
      <w:r w:rsidRPr="00F051D0">
        <w:t>7.8% with placebo v</w:t>
      </w:r>
      <w:r w:rsidR="00F86AEB" w:rsidRPr="00F051D0">
        <w:t>ersus</w:t>
      </w:r>
      <w:r w:rsidRPr="00F051D0">
        <w:t xml:space="preserve"> 5.3% with nintedanib; </w:t>
      </w:r>
      <w:r w:rsidR="00754CC9" w:rsidRPr="00F051D0">
        <w:t>hazard ratio (</w:t>
      </w:r>
      <w:r w:rsidRPr="00F051D0">
        <w:t>HR</w:t>
      </w:r>
      <w:r w:rsidR="00754CC9" w:rsidRPr="00F051D0">
        <w:t>)</w:t>
      </w:r>
      <w:r w:rsidRPr="00F051D0">
        <w:t xml:space="preserve"> = 0.68 (95% CI: 0.32 to 1.47)</w:t>
      </w:r>
      <w:r w:rsidR="00F86AEB" w:rsidRPr="00F051D0">
        <w:t>.</w:t>
      </w:r>
    </w:p>
    <w:p w14:paraId="31D2905C" w14:textId="49D71E10" w:rsidR="005A5EB7" w:rsidRPr="00F051D0" w:rsidRDefault="00226F87" w:rsidP="005A5EB7">
      <w:pPr>
        <w:pStyle w:val="Heading4"/>
      </w:pPr>
      <w:r w:rsidRPr="00F051D0">
        <w:t>Safety</w:t>
      </w:r>
    </w:p>
    <w:p w14:paraId="675A6863" w14:textId="0BAA6532" w:rsidR="005A5EB7" w:rsidRPr="00F051D0" w:rsidRDefault="005A5EB7" w:rsidP="005A5EB7">
      <w:r w:rsidRPr="00F051D0">
        <w:t>The only data to support the safety of nintedanib in the proposed new patient po</w:t>
      </w:r>
      <w:r w:rsidR="00E32198">
        <w:t>pulation come from the pivotal S</w:t>
      </w:r>
      <w:r w:rsidRPr="00F051D0">
        <w:t>tudy 1199.247. In this trial a total of 332 subjects were treated nintedanib, and 331 with placebo. Mean duration of exposure to nintedanib in the overall population was 15.58 months and 248 subjects received the drug for more than 12</w:t>
      </w:r>
      <w:r w:rsidR="005B3D21">
        <w:t> </w:t>
      </w:r>
      <w:r w:rsidRPr="00F051D0">
        <w:t>months. This extent of exposure is considered adequate to assess safety in the proposed new population.</w:t>
      </w:r>
    </w:p>
    <w:p w14:paraId="0D2BA92F" w14:textId="40915CCD" w:rsidR="005A5EB7" w:rsidRPr="00F051D0" w:rsidRDefault="005A5EB7" w:rsidP="005A5EB7">
      <w:r w:rsidRPr="00F051D0">
        <w:t xml:space="preserve">Over the whole trial, nintedanib treatment was associated with a small increase in the incidence of overall </w:t>
      </w:r>
      <w:r w:rsidR="006D0801" w:rsidRPr="00F051D0">
        <w:t>adverse events (</w:t>
      </w:r>
      <w:r w:rsidRPr="00F051D0">
        <w:t>AE</w:t>
      </w:r>
      <w:r w:rsidR="006D0801" w:rsidRPr="00F051D0">
        <w:t>)</w:t>
      </w:r>
      <w:r w:rsidRPr="00F051D0">
        <w:t xml:space="preserve"> (98.2% v</w:t>
      </w:r>
      <w:r w:rsidR="00076EB7" w:rsidRPr="00F051D0">
        <w:t>ersu</w:t>
      </w:r>
      <w:r w:rsidRPr="00F051D0">
        <w:t xml:space="preserve">s 93.1%). However, there was no apparent increase in the severe AEs (27.1% </w:t>
      </w:r>
      <w:r w:rsidR="00076EB7" w:rsidRPr="00F051D0">
        <w:t>versus</w:t>
      </w:r>
      <w:r w:rsidRPr="00F051D0">
        <w:t xml:space="preserve"> 32.0%) or serious AEs (44.3% </w:t>
      </w:r>
      <w:r w:rsidR="00076EB7" w:rsidRPr="00F051D0">
        <w:t>versus</w:t>
      </w:r>
      <w:r w:rsidRPr="00F051D0">
        <w:t xml:space="preserve"> 49.5%). There was also no increase in fatal AEs (6.3% </w:t>
      </w:r>
      <w:r w:rsidR="00076EB7" w:rsidRPr="00F051D0">
        <w:t>versus</w:t>
      </w:r>
      <w:r w:rsidRPr="00F051D0">
        <w:t xml:space="preserve"> 10.9%) and there was a trend towards reduced overall mortality with nintedanib. Nintedanib treatment was associated with an increased incidence of AEs leading to discontinuation of treatment (22.0% </w:t>
      </w:r>
      <w:r w:rsidR="00076EB7" w:rsidRPr="00F051D0">
        <w:t>versus</w:t>
      </w:r>
      <w:r w:rsidRPr="00F051D0">
        <w:t xml:space="preserve"> 14.5%).</w:t>
      </w:r>
    </w:p>
    <w:p w14:paraId="09DF2647" w14:textId="3B6A8C99" w:rsidR="005A5EB7" w:rsidRPr="00F051D0" w:rsidRDefault="005A5EB7" w:rsidP="005A5EB7">
      <w:r w:rsidRPr="00F051D0">
        <w:t>The pattern of nintedanib toxicity observed in the study was consistent with that previously documented for the dr</w:t>
      </w:r>
      <w:r w:rsidR="006D0801" w:rsidRPr="00F051D0">
        <w:t>ug. The major toxicities were: gastrointestinal disorders, especially diarrhoea but also nausea, vomiting, abdominal pain and decreased appetite; hepatotoxicity; weight loss; headache; and hypertension.</w:t>
      </w:r>
    </w:p>
    <w:p w14:paraId="42A1DB08" w14:textId="56504472" w:rsidR="005A5EB7" w:rsidRPr="00F051D0" w:rsidRDefault="005A5EB7" w:rsidP="005A5EB7">
      <w:r w:rsidRPr="00F051D0">
        <w:t>There was no notable increase in the incidence of arterial or venous thromboembolism, bleeding or neutrop</w:t>
      </w:r>
      <w:r w:rsidR="00CF08AC">
        <w:t>a</w:t>
      </w:r>
      <w:r w:rsidRPr="00F051D0">
        <w:t>enia in this study. The incidence of eosinophilia (&gt; 1.0 x 10</w:t>
      </w:r>
      <w:r w:rsidRPr="008F3889">
        <w:rPr>
          <w:vertAlign w:val="superscript"/>
        </w:rPr>
        <w:t>9</w:t>
      </w:r>
      <w:r w:rsidRPr="00F051D0">
        <w:t>/L or &gt;</w:t>
      </w:r>
      <w:r w:rsidR="00901D56">
        <w:t> </w:t>
      </w:r>
      <w:r w:rsidRPr="00F051D0">
        <w:t>10%) was increased with nintedanib compared to placebo in this study. There were no apparent increases in the incidence of immune system AEs or parasitic infections and according to the sponsor these events generally resolved with longer follow-up. It would be of interest to know whether an increased incidence of eosinophilia has be</w:t>
      </w:r>
      <w:r w:rsidR="006D0801" w:rsidRPr="00F051D0">
        <w:t xml:space="preserve">en observed in previous placebo </w:t>
      </w:r>
      <w:r w:rsidRPr="00F051D0">
        <w:t>controlled studies of nintedanib.</w:t>
      </w:r>
    </w:p>
    <w:p w14:paraId="3A2BBBEC" w14:textId="7E5A879F" w:rsidR="005A5EB7" w:rsidRPr="00F051D0" w:rsidRDefault="007863C6" w:rsidP="005A5EB7">
      <w:r w:rsidRPr="00F051D0">
        <w:t xml:space="preserve">PF-ILDs </w:t>
      </w:r>
      <w:r w:rsidR="005A5EB7" w:rsidRPr="00F051D0">
        <w:t>(other than IPF) are serious illnesses, and there are currently no therapies approved for their treatment. In these circumstances, the toxicity profile of nintedanib as outlined above is not unacceptable.</w:t>
      </w:r>
    </w:p>
    <w:p w14:paraId="47CBCBE8" w14:textId="77777777" w:rsidR="007B6132" w:rsidRPr="00F051D0" w:rsidRDefault="007B6132" w:rsidP="00555280">
      <w:pPr>
        <w:pStyle w:val="Heading4"/>
      </w:pPr>
      <w:r w:rsidRPr="00F051D0">
        <w:t>Clinical evaluator’s recommendation</w:t>
      </w:r>
    </w:p>
    <w:p w14:paraId="2328D902" w14:textId="4ED054BE" w:rsidR="00003A0A" w:rsidRPr="00F051D0" w:rsidRDefault="00003A0A" w:rsidP="00003A0A">
      <w:r w:rsidRPr="00F051D0">
        <w:t xml:space="preserve">The clinical evaluator has recommended approval of </w:t>
      </w:r>
      <w:r w:rsidR="00D36802" w:rsidRPr="00F051D0">
        <w:t>Ofev</w:t>
      </w:r>
      <w:r w:rsidR="001C4A10">
        <w:t>/</w:t>
      </w:r>
      <w:r w:rsidR="00D36802" w:rsidRPr="00F051D0">
        <w:t xml:space="preserve">Vargatef </w:t>
      </w:r>
      <w:r w:rsidRPr="00F051D0">
        <w:t>(nintedanib) for the proposed indication and dosage regimens.</w:t>
      </w:r>
    </w:p>
    <w:p w14:paraId="535A7AF6" w14:textId="77777777" w:rsidR="008E7846" w:rsidRPr="00F051D0" w:rsidRDefault="00386150" w:rsidP="007B6132">
      <w:pPr>
        <w:pStyle w:val="Heading3"/>
        <w:rPr>
          <w:lang w:eastAsia="en-AU"/>
        </w:rPr>
      </w:pPr>
      <w:bookmarkStart w:id="43" w:name="_Toc65228887"/>
      <w:r w:rsidRPr="00F051D0">
        <w:rPr>
          <w:lang w:eastAsia="en-AU"/>
        </w:rPr>
        <w:t>Risk m</w:t>
      </w:r>
      <w:r w:rsidR="008E7846" w:rsidRPr="00F051D0">
        <w:rPr>
          <w:lang w:eastAsia="en-AU"/>
        </w:rPr>
        <w:t xml:space="preserve">anagement </w:t>
      </w:r>
      <w:r w:rsidRPr="00F051D0">
        <w:rPr>
          <w:lang w:eastAsia="en-AU"/>
        </w:rPr>
        <w:t>p</w:t>
      </w:r>
      <w:r w:rsidR="008E7846" w:rsidRPr="00F051D0">
        <w:rPr>
          <w:lang w:eastAsia="en-AU"/>
        </w:rPr>
        <w:t>lan</w:t>
      </w:r>
      <w:bookmarkEnd w:id="42"/>
      <w:bookmarkEnd w:id="43"/>
    </w:p>
    <w:p w14:paraId="301A475D" w14:textId="77777777" w:rsidR="008E7846" w:rsidRPr="00F051D0" w:rsidRDefault="007D53B6" w:rsidP="007D53B6">
      <w:r w:rsidRPr="00F051D0">
        <w:t>There was no requirement for a risk management plan evaluation for a submission of this type.</w:t>
      </w:r>
      <w:r w:rsidRPr="00F051D0">
        <w:rPr>
          <w:rStyle w:val="FootnoteReference"/>
        </w:rPr>
        <w:footnoteReference w:id="10"/>
      </w:r>
    </w:p>
    <w:p w14:paraId="7B3077EC" w14:textId="77777777" w:rsidR="008E7846" w:rsidRPr="00F051D0" w:rsidRDefault="00AA0ED0" w:rsidP="00733278">
      <w:pPr>
        <w:pStyle w:val="Heading3"/>
      </w:pPr>
      <w:bookmarkStart w:id="44" w:name="_Toc247691531"/>
      <w:bookmarkStart w:id="45" w:name="_Toc314842515"/>
      <w:bookmarkStart w:id="46" w:name="_Toc65228888"/>
      <w:bookmarkStart w:id="47" w:name="_Toc196046505"/>
      <w:bookmarkStart w:id="48" w:name="_Toc196046949"/>
      <w:r w:rsidRPr="00F051D0">
        <w:t>Risk-benefit a</w:t>
      </w:r>
      <w:r w:rsidR="008E7846" w:rsidRPr="00F051D0">
        <w:t>nalysis</w:t>
      </w:r>
      <w:bookmarkEnd w:id="44"/>
      <w:bookmarkEnd w:id="45"/>
      <w:bookmarkEnd w:id="46"/>
    </w:p>
    <w:p w14:paraId="0D75A155" w14:textId="77777777" w:rsidR="00D23139" w:rsidRPr="00F051D0" w:rsidRDefault="007D53B6" w:rsidP="00D23139">
      <w:pPr>
        <w:pStyle w:val="Heading4"/>
      </w:pPr>
      <w:r w:rsidRPr="00F051D0">
        <w:t>Delegate’s considerations</w:t>
      </w:r>
    </w:p>
    <w:p w14:paraId="5B99CCDB" w14:textId="050653E9" w:rsidR="000566C0" w:rsidRPr="00F051D0" w:rsidRDefault="00686BA6" w:rsidP="000566C0">
      <w:r w:rsidRPr="00F051D0">
        <w:t xml:space="preserve">The </w:t>
      </w:r>
      <w:r w:rsidR="00A764B0" w:rsidRPr="00F051D0">
        <w:t>D</w:t>
      </w:r>
      <w:r w:rsidR="000566C0" w:rsidRPr="00F051D0">
        <w:t xml:space="preserve">elegate must make a decision under the </w:t>
      </w:r>
      <w:r w:rsidR="00CF08AC">
        <w:t>T</w:t>
      </w:r>
      <w:r w:rsidR="000566C0" w:rsidRPr="00F051D0">
        <w:t xml:space="preserve">herapeutic </w:t>
      </w:r>
      <w:r w:rsidR="00CF08AC">
        <w:t>G</w:t>
      </w:r>
      <w:r w:rsidR="000566C0" w:rsidRPr="00F051D0">
        <w:t xml:space="preserve">oods </w:t>
      </w:r>
      <w:r w:rsidR="00CF08AC">
        <w:t>A</w:t>
      </w:r>
      <w:r w:rsidR="000566C0" w:rsidRPr="00F051D0">
        <w:t>ct in relation to quality, safety and efficacy.</w:t>
      </w:r>
    </w:p>
    <w:p w14:paraId="6FE50988" w14:textId="371CA5D9" w:rsidR="000566C0" w:rsidRPr="00F051D0" w:rsidRDefault="000566C0" w:rsidP="000566C0">
      <w:pPr>
        <w:pStyle w:val="Heading5"/>
      </w:pPr>
      <w:r w:rsidRPr="00F051D0">
        <w:t>In relation to quality</w:t>
      </w:r>
    </w:p>
    <w:p w14:paraId="40AB9620" w14:textId="6566BF41" w:rsidR="000566C0" w:rsidRPr="00F051D0" w:rsidRDefault="000566C0" w:rsidP="000566C0">
      <w:r w:rsidRPr="00F051D0">
        <w:t>The non-clinical evaluator has confirmed that there are no nonclinical objections to the new indication for the treatment of other chronic fibrosing PF-ILD</w:t>
      </w:r>
      <w:r w:rsidR="007863C6" w:rsidRPr="00F051D0">
        <w:t>s</w:t>
      </w:r>
      <w:r w:rsidRPr="00F051D0">
        <w:t xml:space="preserve">. There are no other outstanding issues. The proposed </w:t>
      </w:r>
      <w:r w:rsidR="00CF08AC">
        <w:t>PI</w:t>
      </w:r>
      <w:r w:rsidRPr="00F051D0">
        <w:t xml:space="preserve"> document is acceptable.</w:t>
      </w:r>
    </w:p>
    <w:p w14:paraId="6C7F6948" w14:textId="081A9374" w:rsidR="000566C0" w:rsidRPr="00F051D0" w:rsidRDefault="00733278" w:rsidP="00C55C15">
      <w:pPr>
        <w:pStyle w:val="Heading5"/>
      </w:pPr>
      <w:r>
        <w:t>In relation to efficacy</w:t>
      </w:r>
    </w:p>
    <w:p w14:paraId="0F135329" w14:textId="6C1381AD" w:rsidR="000566C0" w:rsidRPr="00F051D0" w:rsidRDefault="000566C0" w:rsidP="000566C0">
      <w:r w:rsidRPr="00F051D0">
        <w:t>No specific dose response studies have been performed. In the pivotal study, the same dose a</w:t>
      </w:r>
      <w:r w:rsidR="00C55C15" w:rsidRPr="00F051D0">
        <w:t>s approved for IPF was used (that is</w:t>
      </w:r>
      <w:r w:rsidRPr="00F051D0">
        <w:t xml:space="preserve"> </w:t>
      </w:r>
      <w:r w:rsidR="00CF08AC">
        <w:t xml:space="preserve">a </w:t>
      </w:r>
      <w:r w:rsidRPr="00F051D0">
        <w:t>150 mg</w:t>
      </w:r>
      <w:r w:rsidR="00CF08AC">
        <w:t>,</w:t>
      </w:r>
      <w:r w:rsidRPr="00F051D0">
        <w:t xml:space="preserve"> </w:t>
      </w:r>
      <w:r w:rsidR="00121308" w:rsidRPr="00F051D0">
        <w:t>B</w:t>
      </w:r>
      <w:r w:rsidR="00AB2CA7">
        <w:t>I</w:t>
      </w:r>
      <w:r w:rsidR="00121308" w:rsidRPr="00F051D0">
        <w:t>D</w:t>
      </w:r>
      <w:r w:rsidRPr="00F051D0">
        <w:t xml:space="preserve"> dose). Given the similarities in disease process in the IPF and PF-ILD populations, the choice is considered acceptable.</w:t>
      </w:r>
    </w:p>
    <w:p w14:paraId="559DDB5E" w14:textId="59EC28F9" w:rsidR="000566C0" w:rsidRPr="00F051D0" w:rsidRDefault="001F0F55" w:rsidP="000566C0">
      <w:pPr>
        <w:rPr>
          <w:rFonts w:asciiTheme="minorHAnsi" w:hAnsiTheme="minorHAnsi"/>
        </w:rPr>
      </w:pPr>
      <w:r>
        <w:t xml:space="preserve">The </w:t>
      </w:r>
      <w:r w:rsidR="000566C0" w:rsidRPr="00F051D0">
        <w:t xml:space="preserve">INBUILD </w:t>
      </w:r>
      <w:r>
        <w:t>trial</w:t>
      </w:r>
      <w:r w:rsidR="000566C0" w:rsidRPr="00F051D0">
        <w:t xml:space="preserve"> enrolled patients that exhibited a progressive fibrosing phenotype (independently from the underlying cause of their ILDs). Patients were enrolled to this study based on the predicted progression pattern rather than underlying aetiology and un</w:t>
      </w:r>
      <w:r w:rsidR="00226F87" w:rsidRPr="00F051D0">
        <w:t>derlying ILD diagnoses.</w:t>
      </w:r>
    </w:p>
    <w:p w14:paraId="23F58582" w14:textId="6EC93667" w:rsidR="000566C0" w:rsidRPr="00F051D0" w:rsidRDefault="000566C0" w:rsidP="000566C0">
      <w:r w:rsidRPr="00F051D0">
        <w:t xml:space="preserve">In the study </w:t>
      </w:r>
      <w:r w:rsidR="00C55C15" w:rsidRPr="00F051D0">
        <w:t xml:space="preserve">patients were randomised in a 1 to </w:t>
      </w:r>
      <w:r w:rsidRPr="00F051D0">
        <w:t>1 ratio to nintedanib 150</w:t>
      </w:r>
      <w:r w:rsidR="00901D56">
        <w:t> </w:t>
      </w:r>
      <w:r w:rsidRPr="00F051D0">
        <w:t xml:space="preserve">mg </w:t>
      </w:r>
      <w:r w:rsidR="00121308" w:rsidRPr="00F051D0">
        <w:t>B</w:t>
      </w:r>
      <w:r w:rsidR="00AB2CA7">
        <w:t>I</w:t>
      </w:r>
      <w:r w:rsidR="00121308" w:rsidRPr="00F051D0">
        <w:t>D</w:t>
      </w:r>
      <w:r w:rsidRPr="00F051D0">
        <w:t xml:space="preserve"> or placebo </w:t>
      </w:r>
      <w:r w:rsidR="00121308" w:rsidRPr="00F051D0">
        <w:t>B</w:t>
      </w:r>
      <w:r w:rsidR="00AB2CA7">
        <w:t>I</w:t>
      </w:r>
      <w:r w:rsidR="00121308" w:rsidRPr="00F051D0">
        <w:t>D</w:t>
      </w:r>
      <w:r w:rsidRPr="00F051D0">
        <w:t>. Dose reductions to 100</w:t>
      </w:r>
      <w:r w:rsidR="00C55C15" w:rsidRPr="00F051D0">
        <w:t xml:space="preserve"> </w:t>
      </w:r>
      <w:r w:rsidRPr="00F051D0">
        <w:t xml:space="preserve">mg </w:t>
      </w:r>
      <w:r w:rsidR="00121308" w:rsidRPr="00F051D0">
        <w:t>B</w:t>
      </w:r>
      <w:r w:rsidR="00AB2CA7">
        <w:t>I</w:t>
      </w:r>
      <w:r w:rsidR="00121308" w:rsidRPr="00F051D0">
        <w:t>D</w:t>
      </w:r>
      <w:r w:rsidRPr="00F051D0">
        <w:t xml:space="preserve"> were allowed in case of AEs (in line with the current recommendation for IPF patients). The primary endpoint of this study was the annual rate of decline in FVC which is considered acceptable. The same primary endpoint was used in the pivotal study investigating the effect of nintedanib in the treatment of IPF. However, it is important to highlight that the annual rate of decline in </w:t>
      </w:r>
      <w:r w:rsidR="009F1E0C" w:rsidRPr="00F051D0">
        <w:t>FVC</w:t>
      </w:r>
      <w:r w:rsidRPr="00F051D0">
        <w:t xml:space="preserve"> is only a surrogate endpoint and therefore it is considered that a positive trend in other endpoints investi</w:t>
      </w:r>
      <w:r w:rsidR="00226F87" w:rsidRPr="00F051D0">
        <w:t>gating direct clinical effects.</w:t>
      </w:r>
    </w:p>
    <w:p w14:paraId="7A070701" w14:textId="0AFAED5B" w:rsidR="000566C0" w:rsidRPr="00F051D0" w:rsidRDefault="000566C0" w:rsidP="000566C0">
      <w:r w:rsidRPr="00F051D0">
        <w:t>In the study there were three main secondary endpoints – absolute change from baseline in K-BILD</w:t>
      </w:r>
      <w:r w:rsidR="00C55C15" w:rsidRPr="00F051D0">
        <w:t xml:space="preserve"> total score at W</w:t>
      </w:r>
      <w:r w:rsidRPr="00F051D0">
        <w:t>eek 52, time to first acute ILD exacerbation or death over 52</w:t>
      </w:r>
      <w:r w:rsidR="005B3D21">
        <w:t> </w:t>
      </w:r>
      <w:r w:rsidRPr="00F051D0">
        <w:t xml:space="preserve">weeks and time to death over 52 weeks. The K-BILD score is a validated health status questionnaire for </w:t>
      </w:r>
      <w:r w:rsidR="007863C6" w:rsidRPr="00F051D0">
        <w:t>ILDs</w:t>
      </w:r>
      <w:r w:rsidRPr="00F051D0">
        <w:t xml:space="preserve"> and correlates highly with the St George’s Respiratory Questionnaire,</w:t>
      </w:r>
      <w:r w:rsidR="00CF08AC">
        <w:rPr>
          <w:rStyle w:val="FootnoteReference"/>
        </w:rPr>
        <w:footnoteReference w:id="11"/>
      </w:r>
      <w:r w:rsidRPr="00F051D0">
        <w:t xml:space="preserve"> which was included as a key secondary endpoint in the pivotal trials of IPF.</w:t>
      </w:r>
    </w:p>
    <w:p w14:paraId="18A1F76E" w14:textId="04981FF8" w:rsidR="000566C0" w:rsidRPr="00F051D0" w:rsidRDefault="000566C0" w:rsidP="00573E0C">
      <w:r w:rsidRPr="00F051D0">
        <w:t>In the study there were</w:t>
      </w:r>
      <w:r w:rsidR="00754CC9" w:rsidRPr="00F051D0">
        <w:t xml:space="preserve"> two co-primary populations, they are</w:t>
      </w:r>
      <w:r w:rsidRPr="00F051D0">
        <w:t xml:space="preserve"> overall population and the population of patients with HRCT with UIP-like fibrotic pattern only. In both these populations in patients receiving treatment with nintedanib for 52 weeks the annual rate of decline in FVC was statistically significantly lower as compared to patients receiving placebo. In the overall population the adjusted difference between the treatment groups was 106.96</w:t>
      </w:r>
      <w:r w:rsidR="00901D56">
        <w:t> </w:t>
      </w:r>
      <w:r w:rsidRPr="00F051D0">
        <w:t>mL/year (95% CI</w:t>
      </w:r>
      <w:r w:rsidR="00BD6EB4" w:rsidRPr="00F051D0">
        <w:t>:</w:t>
      </w:r>
      <w:r w:rsidRPr="00F051D0">
        <w:t xml:space="preserve"> 65.42</w:t>
      </w:r>
      <w:r w:rsidR="00BD6EB4" w:rsidRPr="00F051D0">
        <w:t xml:space="preserve"> to</w:t>
      </w:r>
      <w:r w:rsidRPr="00F051D0">
        <w:t xml:space="preserve"> 148.50; p</w:t>
      </w:r>
      <w:r w:rsidR="00754CC9" w:rsidRPr="00F051D0">
        <w:t xml:space="preserve"> </w:t>
      </w:r>
      <w:r w:rsidRPr="00F051D0">
        <w:t>&lt;</w:t>
      </w:r>
      <w:r w:rsidR="00754CC9" w:rsidRPr="00F051D0">
        <w:t xml:space="preserve"> </w:t>
      </w:r>
      <w:r w:rsidRPr="00F051D0">
        <w:t>0.0001) and in patients with UIP</w:t>
      </w:r>
      <w:r w:rsidR="00754CC9" w:rsidRPr="00F051D0">
        <w:t xml:space="preserve"> </w:t>
      </w:r>
      <w:r w:rsidRPr="00F051D0">
        <w:t xml:space="preserve">like fibrotic pattern-the adjusted difference between the treatment groups was </w:t>
      </w:r>
      <w:r w:rsidR="00573E0C">
        <w:t>128.20 </w:t>
      </w:r>
      <w:r w:rsidRPr="00F051D0">
        <w:t>mL/year (95% CI</w:t>
      </w:r>
      <w:r w:rsidR="00BD6EB4" w:rsidRPr="00F051D0">
        <w:t>: 70.81 to</w:t>
      </w:r>
      <w:r w:rsidRPr="00F051D0">
        <w:t xml:space="preserve"> 185.59; p</w:t>
      </w:r>
      <w:r w:rsidR="00754CC9" w:rsidRPr="00F051D0">
        <w:t xml:space="preserve"> </w:t>
      </w:r>
      <w:r w:rsidRPr="00F051D0">
        <w:t>&lt;</w:t>
      </w:r>
      <w:r w:rsidR="00754CC9" w:rsidRPr="00F051D0">
        <w:t xml:space="preserve"> </w:t>
      </w:r>
      <w:r w:rsidRPr="00F051D0">
        <w:t>0.0001). Sensitivity analyses (multiple imputation approach 1, 2 and 3) support the result of the primary analysis.</w:t>
      </w:r>
    </w:p>
    <w:p w14:paraId="7DC19626" w14:textId="6FE1316B" w:rsidR="000566C0" w:rsidRPr="00F051D0" w:rsidRDefault="000566C0" w:rsidP="000566C0">
      <w:r w:rsidRPr="00F051D0">
        <w:t xml:space="preserve">The reported differences between treatment and placebo groups was similar to those observed in studies in </w:t>
      </w:r>
      <w:r w:rsidR="00754CC9" w:rsidRPr="00F051D0">
        <w:t>patients with IPF (i</w:t>
      </w:r>
      <w:r w:rsidRPr="00F051D0">
        <w:t xml:space="preserve">n </w:t>
      </w:r>
      <w:r w:rsidR="00A60AB1">
        <w:t>the</w:t>
      </w:r>
      <w:r w:rsidRPr="00F051D0">
        <w:t xml:space="preserve"> INPULSIS-1</w:t>
      </w:r>
      <w:r w:rsidR="00A60AB1">
        <w:t xml:space="preserve"> trial</w:t>
      </w:r>
      <w:r w:rsidRPr="00F051D0">
        <w:t>,</w:t>
      </w:r>
      <w:r w:rsidR="00A60AB1">
        <w:t xml:space="preserve"> the</w:t>
      </w:r>
      <w:r w:rsidRPr="00F051D0">
        <w:t xml:space="preserve"> INPULSIS-2</w:t>
      </w:r>
      <w:r w:rsidR="00A60AB1">
        <w:t xml:space="preserve"> trial</w:t>
      </w:r>
      <w:r w:rsidRPr="00F051D0">
        <w:t xml:space="preserve"> (pooled data) the observed difference between the treatmen</w:t>
      </w:r>
      <w:r w:rsidR="00754CC9" w:rsidRPr="00F051D0">
        <w:t>t and placebo group was 109.9</w:t>
      </w:r>
      <w:r w:rsidR="00901D56">
        <w:t> </w:t>
      </w:r>
      <w:r w:rsidR="00754CC9" w:rsidRPr="00F051D0">
        <w:t>mL</w:t>
      </w:r>
      <w:r w:rsidRPr="00F051D0">
        <w:t>).</w:t>
      </w:r>
    </w:p>
    <w:p w14:paraId="49095998" w14:textId="218F9ACB" w:rsidR="000566C0" w:rsidRPr="00F051D0" w:rsidRDefault="000566C0" w:rsidP="000566C0">
      <w:r w:rsidRPr="00F051D0">
        <w:t>All other endpoints studied during the trial were considered exploratory. The endpoints that were based on measurement of FVC (time to progression or death, proportion of patients with a relative decline from baseline in FVC % predicted of &gt;</w:t>
      </w:r>
      <w:r w:rsidR="00754CC9" w:rsidRPr="00F051D0">
        <w:t xml:space="preserve"> </w:t>
      </w:r>
      <w:r w:rsidRPr="00F051D0">
        <w:t>10% or &gt;</w:t>
      </w:r>
      <w:r w:rsidR="00901D56">
        <w:t> </w:t>
      </w:r>
      <w:r w:rsidRPr="00F051D0">
        <w:t xml:space="preserve">5%, absolute change from baseline in FVC / FVC % predicted) all gave results suggesting a benefit for nintedanib over placebo. A benefit for nintedanib was not demonstrated on other clinical endpoints such as overall survival, death due to a respiratory cause, acute exacerbations, hospitalisations or diffusion capacity. There was a suggestion of a benefit for nintedanib over placebo for time to acute exacerbation or death over the whole </w:t>
      </w:r>
      <w:r w:rsidR="00BD6EB4" w:rsidRPr="00F051D0">
        <w:t>period of the trial (HR = 0.67 (</w:t>
      </w:r>
      <w:r w:rsidRPr="00F051D0">
        <w:t>95% CI</w:t>
      </w:r>
      <w:r w:rsidR="00BD6EB4" w:rsidRPr="00F051D0">
        <w:t>: 0.46 to 0.98)</w:t>
      </w:r>
      <w:r w:rsidRPr="00F051D0">
        <w:t>) but this endpoint was an exploratory one.</w:t>
      </w:r>
    </w:p>
    <w:p w14:paraId="694B3417" w14:textId="6E70BFD3" w:rsidR="000566C0" w:rsidRPr="00F051D0" w:rsidRDefault="000566C0" w:rsidP="000566C0">
      <w:r w:rsidRPr="00F051D0">
        <w:t>A number of patient</w:t>
      </w:r>
      <w:r w:rsidR="00754CC9" w:rsidRPr="00F051D0">
        <w:t xml:space="preserve"> </w:t>
      </w:r>
      <w:r w:rsidRPr="00F051D0">
        <w:t>reported outcome measures were examined in the trial. The main measure was the K-BILD score. This instrument failed to demonstrate any statistically or clinically significant differences between the two treatments. Two other instruments (the</w:t>
      </w:r>
      <w:r w:rsidR="00754CC9" w:rsidRPr="00F051D0">
        <w:t xml:space="preserve"> </w:t>
      </w:r>
      <w:r w:rsidR="00723FD1" w:rsidRPr="00F051D0">
        <w:t xml:space="preserve">Living With Pulmonary Fibrosis Questionnaire </w:t>
      </w:r>
      <w:r w:rsidRPr="00F051D0">
        <w:t xml:space="preserve">and the </w:t>
      </w:r>
      <w:r w:rsidR="00723FD1" w:rsidRPr="00F051D0">
        <w:t>Pulmonary Fibrosis – Impact On Quality Of Life Survey</w:t>
      </w:r>
      <w:r w:rsidRPr="00F051D0">
        <w:t>) suggested a possible beneficial effect for nintedanib over placebo. However, th</w:t>
      </w:r>
      <w:r w:rsidR="00226F87" w:rsidRPr="00F051D0">
        <w:t>ese were exploratory endpoints.</w:t>
      </w:r>
    </w:p>
    <w:p w14:paraId="11EB0E11" w14:textId="0F2B02F0" w:rsidR="000566C0" w:rsidRPr="00F051D0" w:rsidRDefault="000566C0" w:rsidP="000566C0">
      <w:pPr>
        <w:pStyle w:val="Heading5"/>
      </w:pPr>
      <w:r w:rsidRPr="00F051D0">
        <w:t>In relation to safety</w:t>
      </w:r>
    </w:p>
    <w:p w14:paraId="01876457" w14:textId="51365647" w:rsidR="000566C0" w:rsidRPr="00F051D0" w:rsidRDefault="000566C0" w:rsidP="000566C0">
      <w:r w:rsidRPr="00F051D0">
        <w:t xml:space="preserve">The safety findings of </w:t>
      </w:r>
      <w:r w:rsidR="00CF08AC">
        <w:t xml:space="preserve">Study </w:t>
      </w:r>
      <w:r w:rsidRPr="00F051D0">
        <w:t>1199.247 for the 52 weeks and the whole trial data were overall consistent with the known safet</w:t>
      </w:r>
      <w:r w:rsidR="00226F87" w:rsidRPr="00F051D0">
        <w:t>y profile of nintedanib in IPF.</w:t>
      </w:r>
    </w:p>
    <w:p w14:paraId="42211FFE" w14:textId="6DAAA511" w:rsidR="000566C0" w:rsidRPr="00F051D0" w:rsidRDefault="00733278" w:rsidP="000566C0">
      <w:pPr>
        <w:pStyle w:val="Heading5"/>
      </w:pPr>
      <w:r>
        <w:t>Overall</w:t>
      </w:r>
    </w:p>
    <w:p w14:paraId="0BD52A92" w14:textId="56B2C566" w:rsidR="000566C0" w:rsidRPr="00F051D0" w:rsidRDefault="000566C0" w:rsidP="000566C0">
      <w:r w:rsidRPr="00F051D0">
        <w:t>The term ILD encompasses a large group of over 200 pulmonary d</w:t>
      </w:r>
      <w:r w:rsidR="00754CC9" w:rsidRPr="00F051D0">
        <w:t xml:space="preserve">isorders. While IPF is the best </w:t>
      </w:r>
      <w:r w:rsidRPr="00F051D0">
        <w:t>known PF-ILD, there is a group of patients with different underlying clinical ILD diagnoses other than IPF who develop a progressive fibrosing phenotype duri</w:t>
      </w:r>
      <w:r w:rsidR="00226F87" w:rsidRPr="00F051D0">
        <w:t>ng the course of their disease.</w:t>
      </w:r>
    </w:p>
    <w:p w14:paraId="18841D94" w14:textId="22065DD0" w:rsidR="000566C0" w:rsidRPr="00F051D0" w:rsidRDefault="000566C0" w:rsidP="000566C0">
      <w:r w:rsidRPr="00F051D0">
        <w:t>The benefit of nintedanib in the proposed new patient population is a delay in disease progression, as measured by decline in FVC. The pivotal study demonstrated a statistically significant reduction compared to placebo in the rate of decline of FVC over 52 weeks. The magni</w:t>
      </w:r>
      <w:r w:rsidR="002935F2" w:rsidRPr="00F051D0">
        <w:t>tude of this benefit (106.96 mL</w:t>
      </w:r>
      <w:r w:rsidRPr="00F051D0">
        <w:t xml:space="preserve"> per year compared to placebo) is similar to that observed with nintedanib in studies in subjects with IPF (109.9 m</w:t>
      </w:r>
      <w:r w:rsidR="00754CC9" w:rsidRPr="00F051D0">
        <w:t>L</w:t>
      </w:r>
      <w:r w:rsidRPr="00F051D0">
        <w:t>). Sensitivity analyses support the results of the primary analysis. Findings in various subgroups were consistent with those in the overall population.</w:t>
      </w:r>
    </w:p>
    <w:p w14:paraId="3E19D97D" w14:textId="4C9AC4E9" w:rsidR="000566C0" w:rsidRPr="00F051D0" w:rsidRDefault="000566C0" w:rsidP="000566C0">
      <w:r w:rsidRPr="00F051D0">
        <w:t xml:space="preserve">The delay in disease progression has not been shown to translate into a survival benefit. However, the study was not designed to </w:t>
      </w:r>
      <w:r w:rsidR="00D36802" w:rsidRPr="00F051D0">
        <w:t xml:space="preserve">demonstrate improved survival. </w:t>
      </w:r>
      <w:r w:rsidRPr="00F051D0">
        <w:t>However, the proportion of patients with a &gt; 10% relative decline in FVC % predicted was 48.9% in the placebo arm and 40.7% in the nintedanib arm. The odds ratio for this endpoint suggested a benefit for nint</w:t>
      </w:r>
      <w:r w:rsidR="00BD6EB4" w:rsidRPr="00F051D0">
        <w:t>edanib over placebo (HR = 0.70 (95% CI: 0.52 to 0.96)</w:t>
      </w:r>
      <w:r w:rsidRPr="00F051D0">
        <w:t>). For IPF subjects, a decline in FVC of this magnitude has been associated with an increased risk of mortality</w:t>
      </w:r>
      <w:r w:rsidR="006E4E59" w:rsidRPr="00F051D0">
        <w:t>.</w:t>
      </w:r>
    </w:p>
    <w:p w14:paraId="662AB407" w14:textId="54AF793A" w:rsidR="000566C0" w:rsidRPr="00F051D0" w:rsidRDefault="000566C0" w:rsidP="000566C0">
      <w:r w:rsidRPr="00F051D0">
        <w:t xml:space="preserve">Over the whole trial, nintedanib treatment was associated with a small increase in the incidence of overall AEs. However, nintedanib treatment was not associated with an increase in the overall incidence of severe, serious or fatal AEs. The increase in the incidence of discontinuations due to AEs was modest (22.0% </w:t>
      </w:r>
      <w:r w:rsidR="00076EB7" w:rsidRPr="00F051D0">
        <w:t>versus</w:t>
      </w:r>
      <w:r w:rsidRPr="00F051D0">
        <w:t xml:space="preserve"> 14.5%) suggesting that toxicity in most subjects can be managed through the use of dose interruptions and/or reductions. To put this into context, chronic fibrosing ILDs with a progressive phenotype are serious and potentially life</w:t>
      </w:r>
      <w:r w:rsidR="002935F2" w:rsidRPr="00F051D0">
        <w:t xml:space="preserve"> </w:t>
      </w:r>
      <w:r w:rsidRPr="00F051D0">
        <w:t>threatening diseases.</w:t>
      </w:r>
    </w:p>
    <w:p w14:paraId="0F51CE35" w14:textId="5C54871C" w:rsidR="000566C0" w:rsidRPr="00F051D0" w:rsidRDefault="00A764B0" w:rsidP="000566C0">
      <w:r w:rsidRPr="00F051D0">
        <w:t>Based on the above points, the D</w:t>
      </w:r>
      <w:r w:rsidR="002935F2" w:rsidRPr="00F051D0">
        <w:t>elegate considers the benefit-</w:t>
      </w:r>
      <w:r w:rsidR="000566C0" w:rsidRPr="00F051D0">
        <w:t xml:space="preserve">risk of </w:t>
      </w:r>
      <w:r w:rsidR="00D36802" w:rsidRPr="00F051D0">
        <w:t>Ofev</w:t>
      </w:r>
      <w:r w:rsidR="001C4A10">
        <w:t>/</w:t>
      </w:r>
      <w:r w:rsidR="00D36802" w:rsidRPr="00F051D0">
        <w:t xml:space="preserve">Vargatef </w:t>
      </w:r>
      <w:r w:rsidR="000566C0" w:rsidRPr="00F051D0">
        <w:t>in the proposed indication, for the treatment of other chronic fibrosing ILDs with a progressive phenotype, as favourable although advice is sought from the committee regarding th</w:t>
      </w:r>
      <w:r w:rsidR="00226F87" w:rsidRPr="00F051D0">
        <w:t>e specific issues raised above.</w:t>
      </w:r>
    </w:p>
    <w:p w14:paraId="42F404F0" w14:textId="77777777" w:rsidR="00D23139" w:rsidRPr="00F051D0" w:rsidRDefault="00D23139" w:rsidP="00D23139">
      <w:pPr>
        <w:pStyle w:val="Heading4"/>
      </w:pPr>
      <w:r w:rsidRPr="00F051D0">
        <w:t>Proposed action</w:t>
      </w:r>
    </w:p>
    <w:p w14:paraId="5D00BF4F" w14:textId="705B7F61" w:rsidR="002B291D" w:rsidRPr="00F051D0" w:rsidRDefault="00A01F6A" w:rsidP="002B291D">
      <w:r w:rsidRPr="00F051D0">
        <w:t>The Delegate</w:t>
      </w:r>
      <w:r w:rsidR="002B291D" w:rsidRPr="00F051D0">
        <w:t xml:space="preserve"> ha</w:t>
      </w:r>
      <w:r w:rsidR="00CF08AC">
        <w:t>s</w:t>
      </w:r>
      <w:r w:rsidR="002B291D" w:rsidRPr="00F051D0">
        <w:t xml:space="preserve"> no reason to say, at this time, that the ap</w:t>
      </w:r>
      <w:r w:rsidR="00D36802" w:rsidRPr="00F051D0">
        <w:t>plication for Ofev</w:t>
      </w:r>
      <w:r w:rsidR="001C4A10">
        <w:t>/</w:t>
      </w:r>
      <w:r w:rsidR="00D36802" w:rsidRPr="00F051D0">
        <w:t xml:space="preserve">Vargatef </w:t>
      </w:r>
      <w:r w:rsidR="002B291D" w:rsidRPr="00F051D0">
        <w:t>should not be approved for registration.</w:t>
      </w:r>
    </w:p>
    <w:p w14:paraId="0A67B916" w14:textId="77777777" w:rsidR="008E7846" w:rsidRPr="00F051D0" w:rsidRDefault="008E7846" w:rsidP="007D53B6">
      <w:pPr>
        <w:pStyle w:val="Heading4"/>
      </w:pPr>
      <w:r w:rsidRPr="00F051D0">
        <w:t xml:space="preserve">Advisory Committee </w:t>
      </w:r>
      <w:r w:rsidR="007D53B6" w:rsidRPr="00F051D0">
        <w:t>c</w:t>
      </w:r>
      <w:r w:rsidRPr="00F051D0">
        <w:t>onsiderations</w:t>
      </w:r>
      <w:r w:rsidR="00456765" w:rsidRPr="00F051D0">
        <w:rPr>
          <w:rStyle w:val="FootnoteReference"/>
        </w:rPr>
        <w:footnoteReference w:id="12"/>
      </w:r>
    </w:p>
    <w:p w14:paraId="4834252F" w14:textId="77777777" w:rsidR="00744121" w:rsidRPr="00F051D0" w:rsidRDefault="00744121" w:rsidP="00744121">
      <w:pPr>
        <w:rPr>
          <w:bCs/>
        </w:rPr>
      </w:pPr>
      <w:bookmarkStart w:id="49" w:name="_Toc247691532"/>
      <w:bookmarkStart w:id="50" w:name="_Toc314842516"/>
      <w:bookmarkEnd w:id="33"/>
      <w:bookmarkEnd w:id="47"/>
      <w:bookmarkEnd w:id="48"/>
      <w:r w:rsidRPr="00F051D0">
        <w:rPr>
          <w:bCs/>
        </w:rPr>
        <w:t>The Advisory Committee on Medicines (ACM), having considered the evaluations and the Delegate’s overview, as well as the sponsor’s response to these documents, advised the following.</w:t>
      </w:r>
    </w:p>
    <w:p w14:paraId="13834BA7" w14:textId="77777777" w:rsidR="00744121" w:rsidRPr="00F051D0" w:rsidRDefault="00744121" w:rsidP="00744121">
      <w:pPr>
        <w:pStyle w:val="Heading5"/>
      </w:pPr>
      <w:r w:rsidRPr="00F051D0">
        <w:t>Specific advice to the Delegate</w:t>
      </w:r>
    </w:p>
    <w:p w14:paraId="3483EC0B" w14:textId="672A575A" w:rsidR="00CE79E9" w:rsidRPr="00F051D0" w:rsidRDefault="00CE79E9" w:rsidP="00CE79E9">
      <w:pPr>
        <w:pStyle w:val="Numberbullet0"/>
        <w:rPr>
          <w:b/>
          <w:i/>
        </w:rPr>
      </w:pPr>
      <w:r w:rsidRPr="00F051D0">
        <w:rPr>
          <w:b/>
          <w:i/>
        </w:rPr>
        <w:t xml:space="preserve">Is chronic fibrosing interstitial lung disease with a progressive phenotype a recognised clinical entity? </w:t>
      </w:r>
    </w:p>
    <w:p w14:paraId="4804D5FA" w14:textId="03936F78" w:rsidR="00CE79E9" w:rsidRPr="00F051D0" w:rsidRDefault="00CE79E9" w:rsidP="00CE79E9">
      <w:r w:rsidRPr="00F051D0">
        <w:t xml:space="preserve">The ACM agreed that chronic fibrosing interstitial lung disease with progressive phenotype’ is a recognised clinical entity. The ACM further noted that there are currently no therapies approved for their treatment and this treatment </w:t>
      </w:r>
      <w:r w:rsidR="00226F87" w:rsidRPr="00F051D0">
        <w:t>will benefit affected patients.</w:t>
      </w:r>
    </w:p>
    <w:p w14:paraId="7C91C5F6" w14:textId="03A895A1" w:rsidR="00CE79E9" w:rsidRPr="00F051D0" w:rsidRDefault="00CE79E9" w:rsidP="00CE79E9">
      <w:pPr>
        <w:pStyle w:val="Numberbullet0"/>
        <w:rPr>
          <w:b/>
          <w:i/>
        </w:rPr>
      </w:pPr>
      <w:r w:rsidRPr="00F051D0">
        <w:rPr>
          <w:b/>
          <w:i/>
        </w:rPr>
        <w:t>Is F</w:t>
      </w:r>
      <w:r w:rsidR="00D85C40">
        <w:rPr>
          <w:b/>
          <w:i/>
        </w:rPr>
        <w:t>VC an appropriate surrogate end</w:t>
      </w:r>
      <w:r w:rsidRPr="00F051D0">
        <w:rPr>
          <w:b/>
          <w:i/>
        </w:rPr>
        <w:t xml:space="preserve">point? How well does FVC correlate with exacerbations, morbidity and </w:t>
      </w:r>
      <w:r w:rsidR="00226F87" w:rsidRPr="00F051D0">
        <w:rPr>
          <w:b/>
          <w:i/>
        </w:rPr>
        <w:t>death in this disease?</w:t>
      </w:r>
    </w:p>
    <w:p w14:paraId="4B03E802" w14:textId="5EF2A9EA" w:rsidR="00CE79E9" w:rsidRPr="00F051D0" w:rsidRDefault="00CE79E9" w:rsidP="00CE79E9">
      <w:r w:rsidRPr="00F051D0">
        <w:t xml:space="preserve">The ACM agreed that a decrease in FVC correlates to an increase in mortality rates and that this is an appropriate </w:t>
      </w:r>
      <w:r w:rsidR="00226F87" w:rsidRPr="00F051D0">
        <w:t>marker for surrogate endpoints.</w:t>
      </w:r>
    </w:p>
    <w:p w14:paraId="6FE882CB" w14:textId="5EC4630C" w:rsidR="00CE79E9" w:rsidRPr="00F051D0" w:rsidRDefault="007743EB" w:rsidP="00CE79E9">
      <w:pPr>
        <w:pStyle w:val="Numberbullet0"/>
        <w:rPr>
          <w:b/>
          <w:i/>
        </w:rPr>
      </w:pPr>
      <w:r w:rsidRPr="00F051D0">
        <w:rPr>
          <w:b/>
          <w:i/>
        </w:rPr>
        <w:t>Does the benefit-</w:t>
      </w:r>
      <w:r w:rsidR="00CE79E9" w:rsidRPr="00F051D0">
        <w:rPr>
          <w:b/>
          <w:i/>
        </w:rPr>
        <w:t>risk profile of nintedanib appear favourable for the proposed indication?</w:t>
      </w:r>
    </w:p>
    <w:p w14:paraId="4EF860C7" w14:textId="6E671833" w:rsidR="00CE79E9" w:rsidRPr="00F051D0" w:rsidRDefault="00CE79E9" w:rsidP="00CE79E9">
      <w:r w:rsidRPr="00F051D0">
        <w:t>The ACM advised that the risk benefit profile for nintedanib is favourable for the proposed indication. The ACM stated that there would be clinical benefit in using nintedanib for the proposed indication.</w:t>
      </w:r>
    </w:p>
    <w:p w14:paraId="46481894" w14:textId="18E09E01" w:rsidR="00744121" w:rsidRPr="00F051D0" w:rsidRDefault="00744121" w:rsidP="00744121">
      <w:pPr>
        <w:pStyle w:val="Heading5"/>
      </w:pPr>
      <w:r w:rsidRPr="00F051D0">
        <w:t>Conclusion</w:t>
      </w:r>
    </w:p>
    <w:p w14:paraId="50606E62" w14:textId="39D11B03" w:rsidR="00CE79E9" w:rsidRPr="00F051D0" w:rsidRDefault="00CE79E9" w:rsidP="00CE79E9">
      <w:r w:rsidRPr="00F051D0">
        <w:t>The ACM considered this product to have an overall positive benefit-r</w:t>
      </w:r>
      <w:r w:rsidR="00226F87" w:rsidRPr="00F051D0">
        <w:t>isk profile for the indication:</w:t>
      </w:r>
    </w:p>
    <w:p w14:paraId="7C1A3DE3" w14:textId="5C1A58E8" w:rsidR="00CE79E9" w:rsidRPr="00F051D0" w:rsidRDefault="00CE79E9" w:rsidP="00CE79E9">
      <w:pPr>
        <w:ind w:left="720"/>
        <w:rPr>
          <w:i/>
        </w:rPr>
      </w:pPr>
      <w:r w:rsidRPr="00F051D0">
        <w:rPr>
          <w:i/>
        </w:rPr>
        <w:t>Treatment of other chronic fibrosing Interstitial Lung Diseases (ILDs) with a progressive phenotype.</w:t>
      </w:r>
    </w:p>
    <w:p w14:paraId="3ED8C515" w14:textId="77777777" w:rsidR="008E7846" w:rsidRPr="00F051D0" w:rsidRDefault="008E7846" w:rsidP="008E7846">
      <w:pPr>
        <w:pStyle w:val="Heading3"/>
      </w:pPr>
      <w:bookmarkStart w:id="51" w:name="_Toc65228889"/>
      <w:r w:rsidRPr="00F051D0">
        <w:t>Outcome</w:t>
      </w:r>
      <w:bookmarkEnd w:id="49"/>
      <w:bookmarkEnd w:id="50"/>
      <w:bookmarkEnd w:id="51"/>
    </w:p>
    <w:p w14:paraId="1D0D8C0D" w14:textId="3F087BDF" w:rsidR="00744121" w:rsidRPr="00F051D0" w:rsidRDefault="00744121" w:rsidP="00224180">
      <w:bookmarkStart w:id="52" w:name="_Toc247691533"/>
      <w:bookmarkStart w:id="53" w:name="_Toc314842517"/>
      <w:r w:rsidRPr="00F051D0">
        <w:t xml:space="preserve">Based on a review of quality, safety and efficacy, the TGA approved the registration of </w:t>
      </w:r>
      <w:r w:rsidR="00F3055E" w:rsidRPr="00F051D0">
        <w:t>Ofev</w:t>
      </w:r>
      <w:r w:rsidR="001C4A10">
        <w:t>/</w:t>
      </w:r>
      <w:r w:rsidR="00F3055E" w:rsidRPr="00F051D0">
        <w:t xml:space="preserve">Vargatef </w:t>
      </w:r>
      <w:r w:rsidRPr="00F051D0">
        <w:t>(</w:t>
      </w:r>
      <w:r w:rsidR="00F3055E" w:rsidRPr="00F051D0">
        <w:t>nintedanib (as esilate)</w:t>
      </w:r>
      <w:r w:rsidRPr="00F051D0">
        <w:t xml:space="preserve">) </w:t>
      </w:r>
      <w:r w:rsidR="007743EB" w:rsidRPr="00F051D0">
        <w:t>100 mg and 150 mg</w:t>
      </w:r>
      <w:r w:rsidRPr="00F051D0">
        <w:t xml:space="preserve">, </w:t>
      </w:r>
      <w:r w:rsidR="00B14E82" w:rsidRPr="00F051D0">
        <w:t>soft capsule</w:t>
      </w:r>
      <w:r w:rsidRPr="00F051D0">
        <w:t xml:space="preserve">, </w:t>
      </w:r>
      <w:r w:rsidR="00B14E82" w:rsidRPr="00F051D0">
        <w:t>blister pack</w:t>
      </w:r>
      <w:r w:rsidRPr="00F051D0">
        <w:t>, for the following extension of indications:</w:t>
      </w:r>
    </w:p>
    <w:p w14:paraId="6CD8649A" w14:textId="140965B9" w:rsidR="00F3055E" w:rsidRPr="00F051D0" w:rsidRDefault="00F3055E" w:rsidP="00F3055E">
      <w:pPr>
        <w:ind w:left="720"/>
        <w:rPr>
          <w:i/>
        </w:rPr>
      </w:pPr>
      <w:r w:rsidRPr="00F051D0">
        <w:rPr>
          <w:i/>
        </w:rPr>
        <w:t>Ofev</w:t>
      </w:r>
      <w:r w:rsidR="001C4A10">
        <w:rPr>
          <w:i/>
        </w:rPr>
        <w:t>/</w:t>
      </w:r>
      <w:r w:rsidRPr="00F051D0">
        <w:rPr>
          <w:i/>
        </w:rPr>
        <w:t xml:space="preserve">Vargatef is also indicated for the treatment of other chronic fibrosing </w:t>
      </w:r>
      <w:r w:rsidR="00A8722D" w:rsidRPr="00F051D0">
        <w:rPr>
          <w:i/>
        </w:rPr>
        <w:t xml:space="preserve">interstitial lung diseases </w:t>
      </w:r>
      <w:r w:rsidRPr="00F051D0">
        <w:rPr>
          <w:i/>
        </w:rPr>
        <w:t>(ILDs) with a progressive phenotype.</w:t>
      </w:r>
    </w:p>
    <w:p w14:paraId="5175E5E5" w14:textId="77777777" w:rsidR="007D53B6" w:rsidRPr="00F051D0" w:rsidRDefault="007D53B6" w:rsidP="00733278">
      <w:pPr>
        <w:keepNext/>
      </w:pPr>
      <w:r w:rsidRPr="00F051D0">
        <w:t>As such, the full indications at this time were:</w:t>
      </w:r>
    </w:p>
    <w:p w14:paraId="03A1C1AA" w14:textId="2DDE823C" w:rsidR="003A5541" w:rsidRPr="00F051D0" w:rsidRDefault="003A5541" w:rsidP="003A5541">
      <w:pPr>
        <w:ind w:left="720"/>
        <w:rPr>
          <w:i/>
        </w:rPr>
      </w:pPr>
      <w:r w:rsidRPr="00F051D0">
        <w:rPr>
          <w:i/>
        </w:rPr>
        <w:t>Ofev</w:t>
      </w:r>
      <w:r w:rsidR="001C4A10">
        <w:rPr>
          <w:i/>
        </w:rPr>
        <w:t>/</w:t>
      </w:r>
      <w:r w:rsidRPr="00F051D0">
        <w:rPr>
          <w:i/>
        </w:rPr>
        <w:t>Vargatef is indicated in combination with docetaxel for the treatment of patients with locally advanced, metastatic or recurrent non-small cell lung cancer (NSCLC) of adenocarcinoma tumour histology after failure of first line chemotherapy.</w:t>
      </w:r>
    </w:p>
    <w:p w14:paraId="3301689F" w14:textId="73B42D41" w:rsidR="00D23139" w:rsidRPr="00F051D0" w:rsidRDefault="003A5541" w:rsidP="003A5541">
      <w:pPr>
        <w:ind w:left="720"/>
        <w:rPr>
          <w:i/>
        </w:rPr>
      </w:pPr>
      <w:r w:rsidRPr="00F051D0">
        <w:rPr>
          <w:i/>
        </w:rPr>
        <w:t>Ofev</w:t>
      </w:r>
      <w:r w:rsidR="001C4A10">
        <w:rPr>
          <w:i/>
        </w:rPr>
        <w:t>/</w:t>
      </w:r>
      <w:r w:rsidRPr="00F051D0">
        <w:rPr>
          <w:i/>
        </w:rPr>
        <w:t xml:space="preserve">Vargatef is indicated for the treatment of </w:t>
      </w:r>
      <w:r w:rsidR="00A8722D" w:rsidRPr="00F051D0">
        <w:rPr>
          <w:i/>
        </w:rPr>
        <w:t xml:space="preserve">idiopathic pulmonary fibrosis </w:t>
      </w:r>
      <w:r w:rsidRPr="00F051D0">
        <w:rPr>
          <w:i/>
        </w:rPr>
        <w:t>(IPF).</w:t>
      </w:r>
    </w:p>
    <w:p w14:paraId="3F862D50" w14:textId="61A673F9" w:rsidR="003A5541" w:rsidRPr="00F051D0" w:rsidRDefault="003A5541" w:rsidP="003A5541">
      <w:pPr>
        <w:ind w:left="720"/>
        <w:rPr>
          <w:i/>
        </w:rPr>
      </w:pPr>
      <w:r w:rsidRPr="00F051D0">
        <w:rPr>
          <w:i/>
        </w:rPr>
        <w:t>Ofev</w:t>
      </w:r>
      <w:r w:rsidR="001C4A10">
        <w:rPr>
          <w:i/>
        </w:rPr>
        <w:t>/</w:t>
      </w:r>
      <w:r w:rsidRPr="00F051D0">
        <w:rPr>
          <w:i/>
        </w:rPr>
        <w:t xml:space="preserve">Vargatef is also indicated for the treatment of other chronic fibrosing </w:t>
      </w:r>
      <w:r w:rsidR="00A8722D" w:rsidRPr="00F051D0">
        <w:rPr>
          <w:i/>
        </w:rPr>
        <w:t xml:space="preserve">interstitial lung diseases </w:t>
      </w:r>
      <w:r w:rsidRPr="00F051D0">
        <w:rPr>
          <w:i/>
        </w:rPr>
        <w:t>(ILDs) with a progressive phenotype.</w:t>
      </w:r>
    </w:p>
    <w:p w14:paraId="7D8AE590" w14:textId="6EB1ED9C" w:rsidR="003A5541" w:rsidRPr="00F051D0" w:rsidRDefault="003A5541" w:rsidP="003A5541">
      <w:pPr>
        <w:ind w:left="720"/>
        <w:rPr>
          <w:i/>
        </w:rPr>
      </w:pPr>
      <w:r w:rsidRPr="00F051D0">
        <w:rPr>
          <w:i/>
        </w:rPr>
        <w:t>Ofev</w:t>
      </w:r>
      <w:r w:rsidR="001C4A10">
        <w:rPr>
          <w:i/>
        </w:rPr>
        <w:t>/</w:t>
      </w:r>
      <w:r w:rsidRPr="00F051D0">
        <w:rPr>
          <w:i/>
        </w:rPr>
        <w:t>Vargatef is indicated for slowing the rate of decline in pulmonary function in patients with systemic sclerosis-associated interstitial lung disease (SSc-ILD).</w:t>
      </w:r>
    </w:p>
    <w:p w14:paraId="58175ADA" w14:textId="77777777" w:rsidR="00D23139" w:rsidRPr="00F051D0" w:rsidRDefault="00D23139" w:rsidP="00D23139">
      <w:pPr>
        <w:pStyle w:val="Heading4"/>
      </w:pPr>
      <w:r w:rsidRPr="00F051D0">
        <w:t>Specific conditions of registration applying to these goods</w:t>
      </w:r>
    </w:p>
    <w:p w14:paraId="67449530" w14:textId="51D0B75C" w:rsidR="00D651F6" w:rsidRPr="00F051D0" w:rsidRDefault="00D651F6" w:rsidP="00D651F6">
      <w:pPr>
        <w:pStyle w:val="ListBullet"/>
      </w:pPr>
      <w:r w:rsidRPr="00F051D0">
        <w:t xml:space="preserve">This approval does not impose any requirement for the submission of </w:t>
      </w:r>
      <w:r w:rsidR="00A8722D" w:rsidRPr="00F051D0">
        <w:t>periodic safety update reports (PSURs</w:t>
      </w:r>
      <w:r w:rsidR="00426DED">
        <w:t>;</w:t>
      </w:r>
      <w:r w:rsidR="00426DED">
        <w:rPr>
          <w:rStyle w:val="FootnoteReference"/>
        </w:rPr>
        <w:footnoteReference w:id="13"/>
      </w:r>
      <w:r w:rsidR="00A8722D" w:rsidRPr="00F051D0">
        <w:t>)</w:t>
      </w:r>
      <w:r w:rsidRPr="00F051D0">
        <w:t xml:space="preserve">. </w:t>
      </w:r>
      <w:r w:rsidR="00A01F6A" w:rsidRPr="00F051D0">
        <w:t>The sponsor</w:t>
      </w:r>
      <w:r w:rsidRPr="00F051D0">
        <w:t xml:space="preserve"> should note that it is a requirement that all existing requirements for the submission of PSURs as a consequence of the initial registration or subsequent changes must be completed.</w:t>
      </w:r>
    </w:p>
    <w:p w14:paraId="230E4E68" w14:textId="77777777" w:rsidR="008E7846" w:rsidRPr="00F051D0" w:rsidRDefault="00A80B5B" w:rsidP="00D23139">
      <w:pPr>
        <w:pStyle w:val="Heading2"/>
      </w:pPr>
      <w:bookmarkStart w:id="54" w:name="_Toc65228890"/>
      <w:r w:rsidRPr="00F051D0">
        <w:t xml:space="preserve">Attachment 1. </w:t>
      </w:r>
      <w:r w:rsidR="008E7846" w:rsidRPr="00F051D0">
        <w:t xml:space="preserve">Product </w:t>
      </w:r>
      <w:r w:rsidR="00AA0ED0" w:rsidRPr="00F051D0">
        <w:t>I</w:t>
      </w:r>
      <w:r w:rsidR="008E7846" w:rsidRPr="00F051D0">
        <w:t>nformation</w:t>
      </w:r>
      <w:bookmarkEnd w:id="52"/>
      <w:bookmarkEnd w:id="53"/>
      <w:bookmarkEnd w:id="54"/>
    </w:p>
    <w:p w14:paraId="240AE3E7" w14:textId="709F901F" w:rsidR="00C80137" w:rsidRPr="00F051D0" w:rsidRDefault="006136D7" w:rsidP="001C5B9C">
      <w:pPr>
        <w:rPr>
          <w:color w:val="000000"/>
          <w:lang w:eastAsia="en-AU"/>
        </w:rPr>
        <w:sectPr w:rsidR="00C80137" w:rsidRPr="00F051D0" w:rsidSect="00B452CE">
          <w:headerReference w:type="even" r:id="rId19"/>
          <w:headerReference w:type="default" r:id="rId20"/>
          <w:headerReference w:type="first" r:id="rId21"/>
          <w:footerReference w:type="first" r:id="rId22"/>
          <w:pgSz w:w="11906" w:h="16838" w:code="9"/>
          <w:pgMar w:top="834" w:right="1701" w:bottom="1191" w:left="1701" w:header="907" w:footer="216" w:gutter="0"/>
          <w:cols w:space="708"/>
          <w:docGrid w:linePitch="360"/>
        </w:sectPr>
      </w:pPr>
      <w:r w:rsidRPr="00F051D0">
        <w:t xml:space="preserve">The PI for </w:t>
      </w:r>
      <w:r w:rsidR="00A857E3" w:rsidRPr="00F051D0">
        <w:t xml:space="preserve">Ofev </w:t>
      </w:r>
      <w:r w:rsidRPr="00F051D0">
        <w:t xml:space="preserve">approved with the submission which is described in this AusPAR is at Attachment 1. For the most recent PI, please refer to the TGA website at </w:t>
      </w:r>
      <w:r w:rsidR="007C6B9B" w:rsidRPr="00F051D0">
        <w:t>&lt;</w:t>
      </w:r>
      <w:hyperlink r:id="rId23" w:history="1">
        <w:r w:rsidR="007C6B9B" w:rsidRPr="00F051D0">
          <w:rPr>
            <w:rStyle w:val="Hyperlink"/>
          </w:rPr>
          <w:t>https://www.tga.gov.au/product-information-pi</w:t>
        </w:r>
      </w:hyperlink>
      <w:r w:rsidR="007C6B9B" w:rsidRPr="00F051D0">
        <w:t xml:space="preserve">&gt;. </w:t>
      </w:r>
      <w:r w:rsidRPr="00F051D0">
        <w:t xml:space="preserve">The PI for </w:t>
      </w:r>
      <w:r w:rsidR="00A857E3" w:rsidRPr="00F051D0">
        <w:t xml:space="preserve">Vargatef </w:t>
      </w:r>
      <w:r w:rsidRPr="00F051D0">
        <w:t>is identical except for the product name.</w:t>
      </w: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F051D0" w14:paraId="347E4A5D" w14:textId="77777777" w:rsidTr="00A05FA4">
        <w:trPr>
          <w:trHeight w:hRule="exact" w:val="704"/>
        </w:trPr>
        <w:tc>
          <w:tcPr>
            <w:tcW w:w="9175" w:type="dxa"/>
          </w:tcPr>
          <w:p w14:paraId="50D5C89F" w14:textId="77777777" w:rsidR="001C32CD" w:rsidRPr="00F051D0" w:rsidRDefault="001C32CD" w:rsidP="00A05FA4">
            <w:pPr>
              <w:pStyle w:val="TGASignoff"/>
            </w:pPr>
            <w:r w:rsidRPr="00F051D0">
              <w:t>Therapeutic Goods Administration</w:t>
            </w:r>
          </w:p>
        </w:tc>
      </w:tr>
      <w:tr w:rsidR="001C32CD" w:rsidRPr="004C239D" w14:paraId="5DEDD5F2" w14:textId="77777777" w:rsidTr="00A05FA4">
        <w:trPr>
          <w:trHeight w:val="1221"/>
        </w:trPr>
        <w:tc>
          <w:tcPr>
            <w:tcW w:w="9175" w:type="dxa"/>
            <w:tcMar>
              <w:top w:w="28" w:type="dxa"/>
            </w:tcMar>
          </w:tcPr>
          <w:p w14:paraId="6BF79A04" w14:textId="77777777" w:rsidR="001C32CD" w:rsidRPr="00F051D0" w:rsidRDefault="001C32CD" w:rsidP="00A05FA4">
            <w:pPr>
              <w:pStyle w:val="Address"/>
            </w:pPr>
            <w:r w:rsidRPr="00F051D0">
              <w:t>PO Box 100 Woden ACT 2606 Australia</w:t>
            </w:r>
          </w:p>
          <w:p w14:paraId="14DC6931" w14:textId="77777777" w:rsidR="001C32CD" w:rsidRPr="00F051D0" w:rsidRDefault="001C32CD" w:rsidP="00A05FA4">
            <w:pPr>
              <w:pStyle w:val="Address"/>
            </w:pPr>
            <w:r w:rsidRPr="00F051D0">
              <w:t xml:space="preserve">Email: </w:t>
            </w:r>
            <w:hyperlink r:id="rId24" w:history="1">
              <w:r w:rsidRPr="00F051D0">
                <w:rPr>
                  <w:rStyle w:val="Hyperlink"/>
                </w:rPr>
                <w:t>info@tga.gov.au</w:t>
              </w:r>
            </w:hyperlink>
            <w:r w:rsidRPr="00F051D0">
              <w:t xml:space="preserve">  Phone: 1800 020 653  Fax: 02 6232 8605</w:t>
            </w:r>
          </w:p>
          <w:p w14:paraId="66BC3944" w14:textId="77777777" w:rsidR="001C32CD" w:rsidRPr="004C239D" w:rsidRDefault="00550DD1" w:rsidP="00A05FA4">
            <w:pPr>
              <w:pStyle w:val="Address"/>
              <w:spacing w:line="260" w:lineRule="atLeast"/>
              <w:rPr>
                <w:b/>
                <w:color w:val="0000FF"/>
                <w:u w:val="single"/>
              </w:rPr>
            </w:pPr>
            <w:hyperlink r:id="rId25" w:history="1">
              <w:r w:rsidR="007C6B9B" w:rsidRPr="00F051D0">
                <w:rPr>
                  <w:rStyle w:val="Hyperlink"/>
                  <w:b/>
                </w:rPr>
                <w:t>https://www.tga.gov.au</w:t>
              </w:r>
            </w:hyperlink>
          </w:p>
        </w:tc>
      </w:tr>
    </w:tbl>
    <w:p w14:paraId="08358281" w14:textId="77777777" w:rsidR="00774E1D" w:rsidRPr="008A5E0B" w:rsidRDefault="00774E1D" w:rsidP="004C239D"/>
    <w:sectPr w:rsidR="00774E1D" w:rsidRPr="008A5E0B" w:rsidSect="001C32CD">
      <w:headerReference w:type="even" r:id="rId26"/>
      <w:headerReference w:type="default" r:id="rId27"/>
      <w:footerReference w:type="default" r:id="rId28"/>
      <w:headerReference w:type="first" r:id="rId29"/>
      <w:footerReference w:type="first" r:id="rId30"/>
      <w:pgSz w:w="11906" w:h="16838" w:code="9"/>
      <w:pgMar w:top="13467" w:right="1701" w:bottom="426" w:left="1701" w:header="907"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82683" w16cid:durableId="23D8A200"/>
  <w16cid:commentId w16cid:paraId="34241B16" w16cid:durableId="23DA6907"/>
  <w16cid:commentId w16cid:paraId="3F0FB90B" w16cid:durableId="23D8A201"/>
  <w16cid:commentId w16cid:paraId="337E0584" w16cid:durableId="23DA691B"/>
  <w16cid:commentId w16cid:paraId="7D348681" w16cid:durableId="23D8A202"/>
  <w16cid:commentId w16cid:paraId="6A7FB2F5" w16cid:durableId="23DA69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20245" w14:textId="77777777" w:rsidR="008F3889" w:rsidRDefault="008F3889" w:rsidP="00C40A36">
      <w:pPr>
        <w:spacing w:after="0"/>
      </w:pPr>
      <w:r>
        <w:separator/>
      </w:r>
    </w:p>
  </w:endnote>
  <w:endnote w:type="continuationSeparator" w:id="0">
    <w:p w14:paraId="1792169C" w14:textId="77777777" w:rsidR="008F3889" w:rsidRDefault="008F3889" w:rsidP="00C40A36">
      <w:pPr>
        <w:spacing w:after="0"/>
      </w:pPr>
      <w:r>
        <w:continuationSeparator/>
      </w:r>
    </w:p>
  </w:endnote>
  <w:endnote w:type="continuationNotice" w:id="1">
    <w:p w14:paraId="7768897E" w14:textId="77777777" w:rsidR="008F3889" w:rsidRDefault="008F38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655"/>
      <w:gridCol w:w="1206"/>
    </w:tblGrid>
    <w:tr w:rsidR="008F3889" w:rsidRPr="00487162" w14:paraId="2A063521" w14:textId="77777777" w:rsidTr="00733278">
      <w:trPr>
        <w:trHeight w:val="269"/>
      </w:trPr>
      <w:tc>
        <w:tcPr>
          <w:tcW w:w="7655" w:type="dxa"/>
          <w:tcMar>
            <w:top w:w="142" w:type="dxa"/>
            <w:bottom w:w="0" w:type="dxa"/>
          </w:tcMar>
        </w:tcPr>
        <w:p w14:paraId="5F4B82A7" w14:textId="391B42C6" w:rsidR="008F3889" w:rsidRPr="00487162" w:rsidRDefault="008F3889" w:rsidP="006746F2">
          <w:pPr>
            <w:pStyle w:val="Footer"/>
          </w:pPr>
          <w:r w:rsidRPr="00487162">
            <w:t>AusPA</w:t>
          </w:r>
          <w:r>
            <w:t xml:space="preserve">R - </w:t>
          </w:r>
          <w:r w:rsidRPr="00261563">
            <w:t>Ofev</w:t>
          </w:r>
          <w:r>
            <w:t>/</w:t>
          </w:r>
          <w:r w:rsidRPr="00261563">
            <w:t xml:space="preserve">Vargatef </w:t>
          </w:r>
          <w:r w:rsidRPr="00460036">
            <w:t xml:space="preserve">– </w:t>
          </w:r>
          <w:r>
            <w:t>nintedanib (as e</w:t>
          </w:r>
          <w:r w:rsidRPr="00261563">
            <w:t>silate)</w:t>
          </w:r>
          <w:r>
            <w:t xml:space="preserve"> - </w:t>
          </w:r>
          <w:r w:rsidRPr="00261563">
            <w:t>Boehringer Ingelheim Pty Ltd</w:t>
          </w:r>
          <w:r>
            <w:t xml:space="preserve"> - </w:t>
          </w:r>
          <w:r w:rsidRPr="00261563">
            <w:t>PM-2019-04480-1-5</w:t>
          </w:r>
          <w:r>
            <w:br/>
          </w:r>
          <w:r w:rsidR="00F2216E">
            <w:t>FINAL</w:t>
          </w:r>
          <w:r w:rsidRPr="00487162">
            <w:t xml:space="preserve"> </w:t>
          </w:r>
          <w:r>
            <w:t>2</w:t>
          </w:r>
          <w:r w:rsidR="00F2216E">
            <w:t>6</w:t>
          </w:r>
          <w:r>
            <w:t xml:space="preserve"> February 2021</w:t>
          </w:r>
        </w:p>
      </w:tc>
      <w:tc>
        <w:tcPr>
          <w:tcW w:w="1206" w:type="dxa"/>
          <w:tcMar>
            <w:top w:w="142" w:type="dxa"/>
            <w:bottom w:w="0" w:type="dxa"/>
          </w:tcMar>
        </w:tcPr>
        <w:p w14:paraId="6EE032B5" w14:textId="2EEEF9A9" w:rsidR="008F3889" w:rsidRPr="00487162" w:rsidRDefault="008F3889" w:rsidP="00DB750B">
          <w:pPr>
            <w:pStyle w:val="Footer"/>
            <w:jc w:val="right"/>
          </w:pPr>
          <w:r w:rsidRPr="00487162">
            <w:t xml:space="preserve">Page </w:t>
          </w:r>
          <w:r>
            <w:fldChar w:fldCharType="begin"/>
          </w:r>
          <w:r>
            <w:instrText xml:space="preserve"> PAGE  \* Arabic </w:instrText>
          </w:r>
          <w:r>
            <w:fldChar w:fldCharType="separate"/>
          </w:r>
          <w:r w:rsidR="00550DD1">
            <w:rPr>
              <w:noProof/>
            </w:rPr>
            <w:t>5</w:t>
          </w:r>
          <w:r>
            <w:fldChar w:fldCharType="end"/>
          </w:r>
          <w:r w:rsidRPr="00487162">
            <w:t xml:space="preserve"> of </w:t>
          </w:r>
          <w:r w:rsidR="00550DD1">
            <w:fldChar w:fldCharType="begin"/>
          </w:r>
          <w:r w:rsidR="00550DD1">
            <w:instrText xml:space="preserve"> NUMPAGES  \* Arabic </w:instrText>
          </w:r>
          <w:r w:rsidR="00550DD1">
            <w:fldChar w:fldCharType="separate"/>
          </w:r>
          <w:r w:rsidR="00550DD1">
            <w:rPr>
              <w:noProof/>
            </w:rPr>
            <w:t>20</w:t>
          </w:r>
          <w:r w:rsidR="00550DD1">
            <w:rPr>
              <w:noProof/>
            </w:rPr>
            <w:fldChar w:fldCharType="end"/>
          </w:r>
        </w:p>
      </w:tc>
    </w:tr>
  </w:tbl>
  <w:p w14:paraId="4B30F1B4" w14:textId="77777777" w:rsidR="008F3889" w:rsidRDefault="008F3889"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8F3889" w:rsidRPr="00487162" w14:paraId="2E0EC656" w14:textId="77777777" w:rsidTr="00E45619">
      <w:trPr>
        <w:trHeight w:val="269"/>
      </w:trPr>
      <w:tc>
        <w:tcPr>
          <w:tcW w:w="4519" w:type="dxa"/>
          <w:tcBorders>
            <w:top w:val="single" w:sz="4" w:space="0" w:color="auto"/>
          </w:tcBorders>
          <w:tcMar>
            <w:top w:w="142" w:type="dxa"/>
            <w:bottom w:w="0" w:type="dxa"/>
          </w:tcMar>
        </w:tcPr>
        <w:p w14:paraId="0131BD80" w14:textId="77777777" w:rsidR="008F3889" w:rsidRPr="00487162" w:rsidRDefault="008F3889" w:rsidP="00FE1DEE">
          <w:pPr>
            <w:pStyle w:val="Footer"/>
          </w:pPr>
          <w:r w:rsidRPr="00487162">
            <w:t>Document title, Part #, Section # - Section title</w:t>
          </w:r>
        </w:p>
        <w:p w14:paraId="6C3F9790" w14:textId="77777777" w:rsidR="008F3889" w:rsidRPr="00487162" w:rsidRDefault="008F3889" w:rsidP="00FE1DEE">
          <w:pPr>
            <w:pStyle w:val="Footer"/>
          </w:pPr>
          <w:r w:rsidRPr="00487162">
            <w:t>V1.0 October 2010</w:t>
          </w:r>
        </w:p>
      </w:tc>
      <w:tc>
        <w:tcPr>
          <w:tcW w:w="4342" w:type="dxa"/>
          <w:tcBorders>
            <w:top w:val="single" w:sz="4" w:space="0" w:color="auto"/>
          </w:tcBorders>
          <w:tcMar>
            <w:top w:w="142" w:type="dxa"/>
            <w:bottom w:w="0" w:type="dxa"/>
          </w:tcMar>
        </w:tcPr>
        <w:p w14:paraId="5EA654C4" w14:textId="77777777" w:rsidR="008F3889" w:rsidRPr="00487162" w:rsidRDefault="008F3889"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550DD1">
            <w:fldChar w:fldCharType="begin"/>
          </w:r>
          <w:r w:rsidR="00550DD1">
            <w:instrText xml:space="preserve"> NUMPAGES  </w:instrText>
          </w:r>
          <w:r w:rsidR="00550DD1">
            <w:fldChar w:fldCharType="separate"/>
          </w:r>
          <w:r>
            <w:rPr>
              <w:noProof/>
            </w:rPr>
            <w:t>2</w:t>
          </w:r>
          <w:r w:rsidR="00550DD1">
            <w:rPr>
              <w:noProof/>
            </w:rPr>
            <w:fldChar w:fldCharType="end"/>
          </w:r>
        </w:p>
      </w:tc>
    </w:tr>
  </w:tbl>
  <w:p w14:paraId="07DB90A3" w14:textId="77777777" w:rsidR="008F3889" w:rsidRDefault="008F3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3D6C6" w14:textId="77777777" w:rsidR="008F3889" w:rsidRPr="001C32CD" w:rsidRDefault="008F3889"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8F3889" w14:paraId="18286C1C" w14:textId="77777777" w:rsidTr="0010601F">
      <w:trPr>
        <w:trHeight w:val="108"/>
      </w:trPr>
      <w:tc>
        <w:tcPr>
          <w:tcW w:w="8875" w:type="dxa"/>
          <w:gridSpan w:val="2"/>
          <w:tcBorders>
            <w:bottom w:val="single" w:sz="4" w:space="0" w:color="auto"/>
          </w:tcBorders>
          <w:tcMar>
            <w:right w:w="284" w:type="dxa"/>
          </w:tcMar>
        </w:tcPr>
        <w:p w14:paraId="7A506B63" w14:textId="77777777" w:rsidR="008F3889" w:rsidRDefault="008F3889" w:rsidP="006E08B3">
          <w:pPr>
            <w:pStyle w:val="Heading3"/>
          </w:pPr>
          <w:r>
            <w:t>Copyright</w:t>
          </w:r>
        </w:p>
        <w:p w14:paraId="7A34AFFE" w14:textId="77777777" w:rsidR="008F3889" w:rsidRDefault="008F3889" w:rsidP="006E08B3">
          <w:r>
            <w:rPr>
              <w:rFonts w:cs="Arial"/>
            </w:rPr>
            <w:t>©</w:t>
          </w:r>
          <w:r>
            <w:t xml:space="preserve"> Commonwealth of Australia [add year]</w:t>
          </w:r>
        </w:p>
        <w:p w14:paraId="5250AD5E" w14:textId="77777777" w:rsidR="008F3889" w:rsidRDefault="008F3889" w:rsidP="006E08B3"/>
        <w:p w14:paraId="7C17BFFE" w14:textId="77777777" w:rsidR="008F3889" w:rsidRDefault="008F3889"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362D731A" w14:textId="77777777" w:rsidR="008F3889" w:rsidRDefault="008F3889" w:rsidP="006E08B3"/>
        <w:p w14:paraId="08A581CB" w14:textId="77777777" w:rsidR="008F3889" w:rsidRDefault="008F3889" w:rsidP="006E08B3">
          <w:pPr>
            <w:pStyle w:val="Heading3"/>
          </w:pPr>
          <w:r>
            <w:t>Confidentiality</w:t>
          </w:r>
        </w:p>
        <w:p w14:paraId="5070F7F3" w14:textId="77777777" w:rsidR="008F3889" w:rsidRDefault="008F3889"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18E50FC1" w14:textId="77777777" w:rsidR="008F3889" w:rsidRDefault="008F3889" w:rsidP="006E08B3"/>
        <w:p w14:paraId="269A16DD" w14:textId="77777777" w:rsidR="008F3889" w:rsidRDefault="008F3889" w:rsidP="006E08B3">
          <w:r>
            <w:t>For submission made by individuals, all personal details, other than your name, will be removed from your submission before it is published on the TGA’s Internet site.</w:t>
          </w:r>
        </w:p>
        <w:p w14:paraId="006BD529" w14:textId="77777777" w:rsidR="008F3889" w:rsidRDefault="008F3889" w:rsidP="006E08B3"/>
        <w:p w14:paraId="43DD3433" w14:textId="77777777" w:rsidR="008F3889" w:rsidRDefault="008F3889" w:rsidP="006E08B3">
          <w:r>
            <w:t>In addition, a list of parties making submissions will be published. If you do not wish to be identified with your submission you must specifically request this in the space provided ib the submission coversheet.</w:t>
          </w:r>
        </w:p>
      </w:tc>
    </w:tr>
    <w:tr w:rsidR="008F3889" w14:paraId="39E9BC6F" w14:textId="77777777" w:rsidTr="0010601F">
      <w:trPr>
        <w:trHeight w:val="417"/>
      </w:trPr>
      <w:tc>
        <w:tcPr>
          <w:tcW w:w="4519" w:type="dxa"/>
          <w:tcBorders>
            <w:top w:val="single" w:sz="4" w:space="0" w:color="auto"/>
          </w:tcBorders>
          <w:tcMar>
            <w:top w:w="142" w:type="dxa"/>
            <w:bottom w:w="0" w:type="dxa"/>
          </w:tcMar>
        </w:tcPr>
        <w:p w14:paraId="61C83C78" w14:textId="77777777" w:rsidR="008F3889" w:rsidRDefault="008F3889" w:rsidP="006E08B3">
          <w:r>
            <w:t>Document title, Part #, Section # - Section title</w:t>
          </w:r>
        </w:p>
        <w:p w14:paraId="59C4C0AD" w14:textId="77777777" w:rsidR="008F3889" w:rsidRDefault="008F3889" w:rsidP="006E08B3">
          <w:r>
            <w:t>V1.0 October 2010</w:t>
          </w:r>
        </w:p>
      </w:tc>
      <w:tc>
        <w:tcPr>
          <w:tcW w:w="4356" w:type="dxa"/>
          <w:tcBorders>
            <w:top w:val="single" w:sz="4" w:space="0" w:color="auto"/>
          </w:tcBorders>
          <w:tcMar>
            <w:top w:w="142" w:type="dxa"/>
            <w:bottom w:w="0" w:type="dxa"/>
          </w:tcMar>
        </w:tcPr>
        <w:p w14:paraId="6C209B11" w14:textId="77777777" w:rsidR="008F3889" w:rsidRDefault="008F3889"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550DD1">
            <w:fldChar w:fldCharType="begin"/>
          </w:r>
          <w:r w:rsidR="00550DD1">
            <w:instrText xml:space="preserve"> NUMPAGES  \* Arabic </w:instrText>
          </w:r>
          <w:r w:rsidR="00550DD1">
            <w:fldChar w:fldCharType="separate"/>
          </w:r>
          <w:r>
            <w:rPr>
              <w:noProof/>
            </w:rPr>
            <w:t>2</w:t>
          </w:r>
          <w:r w:rsidR="00550DD1">
            <w:rPr>
              <w:noProof/>
            </w:rPr>
            <w:fldChar w:fldCharType="end"/>
          </w:r>
          <w:r>
            <w:t xml:space="preserve">  </w:t>
          </w:r>
        </w:p>
      </w:tc>
    </w:tr>
  </w:tbl>
  <w:p w14:paraId="56EEBF78" w14:textId="77777777" w:rsidR="008F3889" w:rsidRDefault="008F38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4CC91" w14:textId="77777777" w:rsidR="008F3889" w:rsidRDefault="008F3889" w:rsidP="00C40A36">
      <w:pPr>
        <w:spacing w:after="0"/>
      </w:pPr>
      <w:r>
        <w:separator/>
      </w:r>
    </w:p>
  </w:footnote>
  <w:footnote w:type="continuationSeparator" w:id="0">
    <w:p w14:paraId="67D65DF2" w14:textId="77777777" w:rsidR="008F3889" w:rsidRDefault="008F3889" w:rsidP="00C40A36">
      <w:pPr>
        <w:spacing w:after="0"/>
      </w:pPr>
      <w:r>
        <w:continuationSeparator/>
      </w:r>
    </w:p>
  </w:footnote>
  <w:footnote w:type="continuationNotice" w:id="1">
    <w:p w14:paraId="6197B21F" w14:textId="77777777" w:rsidR="008F3889" w:rsidRDefault="008F3889">
      <w:pPr>
        <w:spacing w:before="0" w:after="0" w:line="240" w:lineRule="auto"/>
      </w:pPr>
    </w:p>
  </w:footnote>
  <w:footnote w:id="2">
    <w:p w14:paraId="1B9FCABE" w14:textId="77777777" w:rsidR="008F3889" w:rsidRPr="00F051D0" w:rsidRDefault="008F3889">
      <w:pPr>
        <w:pStyle w:val="FootnoteText"/>
      </w:pPr>
      <w:r w:rsidRPr="00F051D0">
        <w:rPr>
          <w:rStyle w:val="FootnoteReference"/>
        </w:rPr>
        <w:footnoteRef/>
      </w:r>
      <w:r w:rsidRPr="00F051D0">
        <w:t xml:space="preserve"> The </w:t>
      </w:r>
      <w:r w:rsidRPr="00F051D0">
        <w:rPr>
          <w:b/>
        </w:rPr>
        <w:t>Black Triangle Scheme</w:t>
      </w:r>
      <w:r w:rsidRPr="00F051D0">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3">
    <w:p w14:paraId="4FAA24B8" w14:textId="3DBD1538" w:rsidR="008F3889" w:rsidRPr="00F051D0" w:rsidRDefault="008F3889">
      <w:pPr>
        <w:pStyle w:val="FootnoteText"/>
      </w:pPr>
      <w:r w:rsidRPr="00F051D0">
        <w:rPr>
          <w:rStyle w:val="FootnoteReference"/>
        </w:rPr>
        <w:footnoteRef/>
      </w:r>
      <w:r w:rsidRPr="006F5D2C">
        <w:rPr>
          <w:lang w:val="da-DK"/>
        </w:rPr>
        <w:t xml:space="preserve"> Wong, A. W. et al. </w:t>
      </w:r>
      <w:r w:rsidRPr="00F051D0">
        <w:t xml:space="preserve">Progression of Fibrosing Interstitial Lung Disease, </w:t>
      </w:r>
      <w:r w:rsidRPr="00F051D0">
        <w:rPr>
          <w:i/>
        </w:rPr>
        <w:t>Respir Res</w:t>
      </w:r>
      <w:r w:rsidRPr="00F051D0">
        <w:t>, 2020; 21 (1): 32.</w:t>
      </w:r>
    </w:p>
  </w:footnote>
  <w:footnote w:id="4">
    <w:p w14:paraId="03230A54" w14:textId="6777C2CD" w:rsidR="008F3889" w:rsidRPr="00F051D0" w:rsidRDefault="008F3889">
      <w:pPr>
        <w:pStyle w:val="FootnoteText"/>
      </w:pPr>
      <w:r w:rsidRPr="00F051D0">
        <w:rPr>
          <w:rStyle w:val="FootnoteReference"/>
        </w:rPr>
        <w:footnoteRef/>
      </w:r>
      <w:r w:rsidRPr="00F051D0">
        <w:t xml:space="preserve"> American Thoracic Society. Breathing in America: Diseases, Progress, and Hope. (Accessed on 02 November 2020).</w:t>
      </w:r>
    </w:p>
  </w:footnote>
  <w:footnote w:id="5">
    <w:p w14:paraId="31B82CD4" w14:textId="6EBB2481" w:rsidR="008F3889" w:rsidRPr="00F051D0" w:rsidRDefault="008F3889">
      <w:pPr>
        <w:pStyle w:val="FootnoteText"/>
      </w:pPr>
      <w:r w:rsidRPr="00F051D0">
        <w:rPr>
          <w:rStyle w:val="FootnoteReference"/>
        </w:rPr>
        <w:footnoteRef/>
      </w:r>
      <w:r w:rsidRPr="00F051D0">
        <w:t xml:space="preserve"> Collins, B. F. and Raghu, G. Antifibrotic Therapy for Fibrotic Lung Disease Beyond Idiopathic Pulmonary Fibrosis, </w:t>
      </w:r>
      <w:r w:rsidRPr="00F051D0">
        <w:rPr>
          <w:i/>
        </w:rPr>
        <w:t>Eur Respir Rev</w:t>
      </w:r>
      <w:r w:rsidRPr="00F051D0">
        <w:t>, 2019; 28 (153): 190022.</w:t>
      </w:r>
    </w:p>
  </w:footnote>
  <w:footnote w:id="6">
    <w:p w14:paraId="788DA169" w14:textId="4F0BAAD7" w:rsidR="008F3889" w:rsidRPr="00F051D0" w:rsidRDefault="008F3889">
      <w:pPr>
        <w:pStyle w:val="FootnoteText"/>
      </w:pPr>
      <w:r w:rsidRPr="00F051D0">
        <w:rPr>
          <w:rStyle w:val="FootnoteReference"/>
        </w:rPr>
        <w:footnoteRef/>
      </w:r>
      <w:r w:rsidRPr="00F051D0">
        <w:t xml:space="preserve"> Cottin, V. Treatment of Progressive Fibrosing Interstitial Lung Diseases: a Milestone in the Management of Interstitial Lung Diseases, </w:t>
      </w:r>
      <w:r w:rsidRPr="00F051D0">
        <w:rPr>
          <w:i/>
        </w:rPr>
        <w:t>Eur Respir Rev</w:t>
      </w:r>
      <w:r w:rsidRPr="00F051D0">
        <w:t>, 2019; 28 (153): 190109.</w:t>
      </w:r>
    </w:p>
  </w:footnote>
  <w:footnote w:id="7">
    <w:p w14:paraId="2C3066D6" w14:textId="3CB6D099" w:rsidR="008F3889" w:rsidRPr="00F051D0" w:rsidRDefault="008F3889">
      <w:pPr>
        <w:pStyle w:val="FootnoteText"/>
      </w:pPr>
      <w:r w:rsidRPr="00F051D0">
        <w:rPr>
          <w:rStyle w:val="FootnoteReference"/>
        </w:rPr>
        <w:footnoteRef/>
      </w:r>
      <w:r w:rsidRPr="00F051D0">
        <w:t xml:space="preserve"> Raghu, G. et al. Diagnosis of Idiopathic Pulmonary Fibrosis. An Official ATS/ERS/JRS/ALAT Clinical Practice Guideline, </w:t>
      </w:r>
      <w:r w:rsidRPr="00F051D0">
        <w:rPr>
          <w:i/>
        </w:rPr>
        <w:t>Am J Respir Crit Care Med</w:t>
      </w:r>
      <w:r w:rsidRPr="00F051D0">
        <w:t>, 2018; 198 (5): e44-e68.</w:t>
      </w:r>
    </w:p>
  </w:footnote>
  <w:footnote w:id="8">
    <w:p w14:paraId="708ED639" w14:textId="534F0347" w:rsidR="008F3889" w:rsidRPr="00F051D0" w:rsidRDefault="008F3889">
      <w:pPr>
        <w:pStyle w:val="FootnoteText"/>
      </w:pPr>
      <w:r w:rsidRPr="00F051D0">
        <w:rPr>
          <w:rStyle w:val="FootnoteReference"/>
        </w:rPr>
        <w:footnoteRef/>
      </w:r>
      <w:r w:rsidRPr="006F5D2C">
        <w:rPr>
          <w:lang w:val="fr-FR"/>
        </w:rPr>
        <w:t xml:space="preserve"> Wuyts. W. A. et al. </w:t>
      </w:r>
      <w:r w:rsidRPr="00F051D0">
        <w:t xml:space="preserve">Differential Diagnosis of Usual Interstitial Pneumonia: When Is It Truly Idiopathic? </w:t>
      </w:r>
      <w:r w:rsidRPr="00F051D0">
        <w:rPr>
          <w:i/>
        </w:rPr>
        <w:t>Eur Respir Rev</w:t>
      </w:r>
      <w:r w:rsidRPr="00F051D0">
        <w:t>, 2014; 23: 308–319</w:t>
      </w:r>
    </w:p>
  </w:footnote>
  <w:footnote w:id="9">
    <w:p w14:paraId="03445A86" w14:textId="2FC8D6E6" w:rsidR="008F3889" w:rsidRPr="008F3889" w:rsidRDefault="008F3889">
      <w:pPr>
        <w:pStyle w:val="FootnoteText"/>
        <w:rPr>
          <w:lang w:val="en-US"/>
        </w:rPr>
      </w:pPr>
      <w:r>
        <w:rPr>
          <w:rStyle w:val="FootnoteReference"/>
        </w:rPr>
        <w:footnoteRef/>
      </w:r>
      <w:r>
        <w:t xml:space="preserve"> </w:t>
      </w:r>
      <w:r w:rsidRPr="005E056D">
        <w:t>The King’s Brief Interstitial Lung Disease (K</w:t>
      </w:r>
      <w:r>
        <w:t>-</w:t>
      </w:r>
      <w:r w:rsidRPr="005E056D">
        <w:t>BILD) is a 15-item validated health-related quality of life (HRQOL) questionnaire. The method of scoring the K</w:t>
      </w:r>
      <w:r>
        <w:t>-</w:t>
      </w:r>
      <w:r w:rsidRPr="005E056D">
        <w:t>BILD has recently changed to incorporate a logit-scale transformation from one that used raw item responses, as this is potentially a more linear scale.</w:t>
      </w:r>
    </w:p>
  </w:footnote>
  <w:footnote w:id="10">
    <w:p w14:paraId="79E4E2D1" w14:textId="77777777" w:rsidR="008F3889" w:rsidRPr="00F051D0" w:rsidRDefault="008F3889">
      <w:pPr>
        <w:pStyle w:val="FootnoteText"/>
      </w:pPr>
      <w:r w:rsidRPr="00F051D0">
        <w:rPr>
          <w:rStyle w:val="FootnoteReference"/>
        </w:rPr>
        <w:footnoteRef/>
      </w:r>
      <w:r w:rsidRPr="00F051D0">
        <w:t xml:space="preserve"> The sponsor must still comply with routine product vigilance and risk minimisation requirements.</w:t>
      </w:r>
    </w:p>
  </w:footnote>
  <w:footnote w:id="11">
    <w:p w14:paraId="577075AE" w14:textId="43204BF5" w:rsidR="008F3889" w:rsidRPr="008F3889" w:rsidRDefault="008F3889">
      <w:pPr>
        <w:pStyle w:val="FootnoteText"/>
        <w:rPr>
          <w:lang w:val="en-US"/>
        </w:rPr>
      </w:pPr>
      <w:r>
        <w:rPr>
          <w:rStyle w:val="FootnoteReference"/>
        </w:rPr>
        <w:footnoteRef/>
      </w:r>
      <w:r>
        <w:t xml:space="preserve"> St George’s Respiratory Questionnaire: A d</w:t>
      </w:r>
      <w:r w:rsidRPr="00CF08AC">
        <w:t>isease-specific instrument designed to measure impact on overall health, daily life, and perceived well-being in patients with obstructive airways disease.</w:t>
      </w:r>
    </w:p>
  </w:footnote>
  <w:footnote w:id="12">
    <w:p w14:paraId="5CDE6C0D" w14:textId="77777777" w:rsidR="008F3889" w:rsidRPr="00F051D0" w:rsidRDefault="008F3889" w:rsidP="00456765">
      <w:pPr>
        <w:pStyle w:val="FootnoteText"/>
      </w:pPr>
      <w:r w:rsidRPr="00F051D0">
        <w:rPr>
          <w:rStyle w:val="FootnoteReference"/>
        </w:rPr>
        <w:footnoteRef/>
      </w:r>
      <w:r w:rsidRPr="00F051D0">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5BE41FF0" w14:textId="77777777" w:rsidR="008F3889" w:rsidRPr="00456765" w:rsidRDefault="008F3889" w:rsidP="00456765">
      <w:pPr>
        <w:pStyle w:val="FootnoteText"/>
        <w:rPr>
          <w:lang w:val="en-US"/>
        </w:rPr>
      </w:pPr>
      <w:r w:rsidRPr="00F051D0">
        <w:t>The Committee is established under Regulation 35 of the Therapeutic Goods Regulations 1990. Members are appointed by the Minister. The ACM was established in January 2017 replacing Advisory Committee on Prescription Medicines (ACPM) which was formed in January 2010. ACM encompass 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 w:id="13">
    <w:p w14:paraId="4F173410" w14:textId="6E1EE4E5" w:rsidR="008F3889" w:rsidRDefault="008F3889">
      <w:pPr>
        <w:pStyle w:val="FootnoteText"/>
      </w:pPr>
      <w:r>
        <w:rPr>
          <w:rStyle w:val="FootnoteReference"/>
        </w:rPr>
        <w:footnoteRef/>
      </w:r>
      <w:r>
        <w:t xml:space="preserve"> </w:t>
      </w:r>
      <w:r w:rsidRPr="00426DED">
        <w:t xml:space="preserve">A </w:t>
      </w:r>
      <w:r w:rsidRPr="00426DED">
        <w:rPr>
          <w:b/>
        </w:rPr>
        <w:t>periodic safety update report (PSUR)</w:t>
      </w:r>
      <w:r w:rsidRPr="00426DED">
        <w:t xml:space="preserve"> is a systematic review of the global safety data of an approved medicine that becomes available dur</w:t>
      </w:r>
      <w:r w:rsidRPr="00D87EA2">
        <w:t>ing a defined time period. PSURs are also referred to as periodic benefit–risk evaluation reports (PBRERs).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C1D4" w14:textId="77777777" w:rsidR="008F3889" w:rsidRDefault="008F3889"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66E8" w14:textId="77777777" w:rsidR="008F3889" w:rsidRDefault="008F3889">
    <w:pPr>
      <w:rPr>
        <w:noProof/>
        <w:lang w:eastAsia="en-AU"/>
      </w:rPr>
    </w:pPr>
    <w:r w:rsidRPr="00347824">
      <w:rPr>
        <w:noProof/>
        <w:lang w:eastAsia="en-AU"/>
      </w:rPr>
      <w:drawing>
        <wp:anchor distT="0" distB="0" distL="114300" distR="114300" simplePos="0" relativeHeight="251658240" behindDoc="1" locked="0" layoutInCell="1" allowOverlap="1" wp14:anchorId="09419CE7" wp14:editId="352D082F">
          <wp:simplePos x="0" y="0"/>
          <wp:positionH relativeFrom="column">
            <wp:posOffset>-1089660</wp:posOffset>
          </wp:positionH>
          <wp:positionV relativeFrom="paragraph">
            <wp:posOffset>-585470</wp:posOffset>
          </wp:positionV>
          <wp:extent cx="7572375" cy="10706100"/>
          <wp:effectExtent l="19050" t="0" r="0" b="0"/>
          <wp:wrapNone/>
          <wp:docPr id="6"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78FAB256" w14:textId="77777777" w:rsidR="008F3889" w:rsidRDefault="008F3889" w:rsidP="00593AD1">
    <w:pPr>
      <w:pStyle w:val="HeaderNoLi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E937" w14:textId="77777777" w:rsidR="008F3889" w:rsidRDefault="008F38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78A86" w14:textId="77777777" w:rsidR="008F3889" w:rsidRDefault="008F3889">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00B55" w14:textId="77777777" w:rsidR="008F3889" w:rsidRDefault="008F3889">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5DF6" w14:textId="77777777" w:rsidR="008F3889" w:rsidRDefault="008F38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77497" w14:textId="77777777" w:rsidR="008F3889" w:rsidRDefault="008F3889"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3600" w14:textId="77777777" w:rsidR="008F3889" w:rsidRDefault="008F3889" w:rsidP="006E08B3">
    <w:r>
      <w:t>Therapeutic Goods Administration</w:t>
    </w:r>
  </w:p>
  <w:p w14:paraId="5687621C" w14:textId="77777777" w:rsidR="008F3889" w:rsidRDefault="008F3889"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760AE"/>
    <w:multiLevelType w:val="hybridMultilevel"/>
    <w:tmpl w:val="4E9C26E4"/>
    <w:lvl w:ilvl="0" w:tplc="B67096CC">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60225B"/>
    <w:multiLevelType w:val="hybridMultilevel"/>
    <w:tmpl w:val="CB4A8A4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0B1B75"/>
    <w:multiLevelType w:val="multilevel"/>
    <w:tmpl w:val="D3FAAFB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731"/>
        </w:tabs>
        <w:ind w:left="1731" w:hanging="1022"/>
      </w:pPr>
      <w:rPr>
        <w:rFonts w:hint="default"/>
      </w:rPr>
    </w:lvl>
    <w:lvl w:ilvl="2">
      <w:start w:val="1"/>
      <w:numFmt w:val="decimal"/>
      <w:lvlText w:val="%1.%2.%3."/>
      <w:lvlJc w:val="left"/>
      <w:pPr>
        <w:tabs>
          <w:tab w:val="num" w:pos="1134"/>
        </w:tabs>
        <w:ind w:left="1134" w:hanging="964"/>
      </w:pPr>
      <w:rPr>
        <w:rFonts w:hint="default"/>
      </w:rPr>
    </w:lvl>
    <w:lvl w:ilvl="3">
      <w:start w:val="1"/>
      <w:numFmt w:val="decimal"/>
      <w:lvlText w:val="%1.%2.%3.%4."/>
      <w:lvlJc w:val="left"/>
      <w:pPr>
        <w:tabs>
          <w:tab w:val="num" w:pos="1418"/>
        </w:tabs>
        <w:ind w:left="1418" w:hanging="1191"/>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4"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8"/>
  </w:num>
  <w:num w:numId="4">
    <w:abstractNumId w:val="8"/>
  </w:num>
  <w:num w:numId="5">
    <w:abstractNumId w:val="0"/>
  </w:num>
  <w:num w:numId="6">
    <w:abstractNumId w:val="8"/>
  </w:num>
  <w:num w:numId="7">
    <w:abstractNumId w:val="8"/>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8"/>
  </w:num>
  <w:num w:numId="14">
    <w:abstractNumId w:val="8"/>
  </w:num>
  <w:num w:numId="15">
    <w:abstractNumId w:val="8"/>
  </w:num>
  <w:num w:numId="16">
    <w:abstractNumId w:val="6"/>
  </w:num>
  <w:num w:numId="17">
    <w:abstractNumId w:val="6"/>
  </w:num>
  <w:num w:numId="18">
    <w:abstractNumId w:val="6"/>
  </w:num>
  <w:num w:numId="19">
    <w:abstractNumId w:val="8"/>
  </w:num>
  <w:num w:numId="20">
    <w:abstractNumId w:val="8"/>
  </w:num>
  <w:num w:numId="21">
    <w:abstractNumId w:val="8"/>
  </w:num>
  <w:num w:numId="22">
    <w:abstractNumId w:val="6"/>
  </w:num>
  <w:num w:numId="23">
    <w:abstractNumId w:val="6"/>
  </w:num>
  <w:num w:numId="24">
    <w:abstractNumId w:val="6"/>
  </w:num>
  <w:num w:numId="2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1"/>
  </w:num>
  <w:num w:numId="28">
    <w:abstractNumId w:val="14"/>
  </w:num>
  <w:num w:numId="29">
    <w:abstractNumId w:val="7"/>
  </w:num>
  <w:num w:numId="30">
    <w:abstractNumId w:val="9"/>
  </w:num>
  <w:num w:numId="31">
    <w:abstractNumId w:val="4"/>
  </w:num>
  <w:num w:numId="32">
    <w:abstractNumId w:val="12"/>
  </w:num>
  <w:num w:numId="33">
    <w:abstractNumId w:val="5"/>
  </w:num>
  <w:num w:numId="34">
    <w:abstractNumId w:val="10"/>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A4"/>
    <w:rsid w:val="00002031"/>
    <w:rsid w:val="00003A0A"/>
    <w:rsid w:val="00004734"/>
    <w:rsid w:val="00006B22"/>
    <w:rsid w:val="00006FAB"/>
    <w:rsid w:val="0001276A"/>
    <w:rsid w:val="00015E42"/>
    <w:rsid w:val="000246AE"/>
    <w:rsid w:val="00025C67"/>
    <w:rsid w:val="00044772"/>
    <w:rsid w:val="0004541C"/>
    <w:rsid w:val="0005559E"/>
    <w:rsid w:val="000566C0"/>
    <w:rsid w:val="000604D6"/>
    <w:rsid w:val="00064E8A"/>
    <w:rsid w:val="000734D8"/>
    <w:rsid w:val="00076EB7"/>
    <w:rsid w:val="00077775"/>
    <w:rsid w:val="00090471"/>
    <w:rsid w:val="00096AA7"/>
    <w:rsid w:val="000A3AED"/>
    <w:rsid w:val="000B3532"/>
    <w:rsid w:val="000B3A75"/>
    <w:rsid w:val="000C00C2"/>
    <w:rsid w:val="000C690F"/>
    <w:rsid w:val="000D1295"/>
    <w:rsid w:val="000D391B"/>
    <w:rsid w:val="000D3D6D"/>
    <w:rsid w:val="000D4FC7"/>
    <w:rsid w:val="000E3C99"/>
    <w:rsid w:val="000E6196"/>
    <w:rsid w:val="000F4869"/>
    <w:rsid w:val="000F5B42"/>
    <w:rsid w:val="000F6E6F"/>
    <w:rsid w:val="0010601F"/>
    <w:rsid w:val="0010788A"/>
    <w:rsid w:val="00107A31"/>
    <w:rsid w:val="00110EA5"/>
    <w:rsid w:val="00112F56"/>
    <w:rsid w:val="00116123"/>
    <w:rsid w:val="00120F1A"/>
    <w:rsid w:val="00121308"/>
    <w:rsid w:val="00122C2E"/>
    <w:rsid w:val="00124ACD"/>
    <w:rsid w:val="00125318"/>
    <w:rsid w:val="001305A2"/>
    <w:rsid w:val="00133238"/>
    <w:rsid w:val="00133A1B"/>
    <w:rsid w:val="0014197B"/>
    <w:rsid w:val="001447CD"/>
    <w:rsid w:val="001516B1"/>
    <w:rsid w:val="00154EBB"/>
    <w:rsid w:val="00156316"/>
    <w:rsid w:val="00161181"/>
    <w:rsid w:val="00162D14"/>
    <w:rsid w:val="00163780"/>
    <w:rsid w:val="00164743"/>
    <w:rsid w:val="00165389"/>
    <w:rsid w:val="00171EC7"/>
    <w:rsid w:val="0017693F"/>
    <w:rsid w:val="0018110E"/>
    <w:rsid w:val="00181351"/>
    <w:rsid w:val="00181684"/>
    <w:rsid w:val="001843C6"/>
    <w:rsid w:val="00184687"/>
    <w:rsid w:val="001850E0"/>
    <w:rsid w:val="00185F9D"/>
    <w:rsid w:val="001A03AF"/>
    <w:rsid w:val="001A2158"/>
    <w:rsid w:val="001A2424"/>
    <w:rsid w:val="001A4641"/>
    <w:rsid w:val="001A525F"/>
    <w:rsid w:val="001B09F9"/>
    <w:rsid w:val="001B5C90"/>
    <w:rsid w:val="001B6448"/>
    <w:rsid w:val="001C32CD"/>
    <w:rsid w:val="001C4A10"/>
    <w:rsid w:val="001C5B9C"/>
    <w:rsid w:val="001D2984"/>
    <w:rsid w:val="001D3FC6"/>
    <w:rsid w:val="001E07CF"/>
    <w:rsid w:val="001E2DE0"/>
    <w:rsid w:val="001E59F1"/>
    <w:rsid w:val="001F0F55"/>
    <w:rsid w:val="001F2CEE"/>
    <w:rsid w:val="001F3EB3"/>
    <w:rsid w:val="001F440F"/>
    <w:rsid w:val="001F49EB"/>
    <w:rsid w:val="001F6CBA"/>
    <w:rsid w:val="00201D4E"/>
    <w:rsid w:val="002076C9"/>
    <w:rsid w:val="00220B8A"/>
    <w:rsid w:val="00224180"/>
    <w:rsid w:val="002257F3"/>
    <w:rsid w:val="00225F68"/>
    <w:rsid w:val="00226F87"/>
    <w:rsid w:val="00233456"/>
    <w:rsid w:val="002339A5"/>
    <w:rsid w:val="00250271"/>
    <w:rsid w:val="00256D50"/>
    <w:rsid w:val="00257848"/>
    <w:rsid w:val="002578E8"/>
    <w:rsid w:val="00261563"/>
    <w:rsid w:val="0027084A"/>
    <w:rsid w:val="00280265"/>
    <w:rsid w:val="00286434"/>
    <w:rsid w:val="00286C59"/>
    <w:rsid w:val="00291957"/>
    <w:rsid w:val="002935F2"/>
    <w:rsid w:val="002942D1"/>
    <w:rsid w:val="0029501A"/>
    <w:rsid w:val="002A3721"/>
    <w:rsid w:val="002B1638"/>
    <w:rsid w:val="002B291D"/>
    <w:rsid w:val="002B3624"/>
    <w:rsid w:val="002B513F"/>
    <w:rsid w:val="002C14DC"/>
    <w:rsid w:val="002C3A61"/>
    <w:rsid w:val="002D0741"/>
    <w:rsid w:val="002D0952"/>
    <w:rsid w:val="002D3AFC"/>
    <w:rsid w:val="002E40B3"/>
    <w:rsid w:val="002E426C"/>
    <w:rsid w:val="002E4C9A"/>
    <w:rsid w:val="002F11F8"/>
    <w:rsid w:val="002F3F56"/>
    <w:rsid w:val="002F43AF"/>
    <w:rsid w:val="002F44B5"/>
    <w:rsid w:val="002F5122"/>
    <w:rsid w:val="00311AC0"/>
    <w:rsid w:val="003176FC"/>
    <w:rsid w:val="00324E45"/>
    <w:rsid w:val="0032583B"/>
    <w:rsid w:val="00327883"/>
    <w:rsid w:val="00335504"/>
    <w:rsid w:val="00340C18"/>
    <w:rsid w:val="003442FD"/>
    <w:rsid w:val="00347824"/>
    <w:rsid w:val="00350567"/>
    <w:rsid w:val="003521E8"/>
    <w:rsid w:val="0035488F"/>
    <w:rsid w:val="00370CE3"/>
    <w:rsid w:val="003728F3"/>
    <w:rsid w:val="003735BC"/>
    <w:rsid w:val="0037496E"/>
    <w:rsid w:val="00383221"/>
    <w:rsid w:val="00386150"/>
    <w:rsid w:val="003874CE"/>
    <w:rsid w:val="00390900"/>
    <w:rsid w:val="003964D2"/>
    <w:rsid w:val="003A5541"/>
    <w:rsid w:val="003A79D0"/>
    <w:rsid w:val="003A7F6C"/>
    <w:rsid w:val="003B4D60"/>
    <w:rsid w:val="003B5146"/>
    <w:rsid w:val="003B7E39"/>
    <w:rsid w:val="003C0B99"/>
    <w:rsid w:val="003C58DC"/>
    <w:rsid w:val="003D1E62"/>
    <w:rsid w:val="003E0B99"/>
    <w:rsid w:val="003E2486"/>
    <w:rsid w:val="003E3208"/>
    <w:rsid w:val="003F0B04"/>
    <w:rsid w:val="0040134E"/>
    <w:rsid w:val="00424A8F"/>
    <w:rsid w:val="00426DED"/>
    <w:rsid w:val="0043037A"/>
    <w:rsid w:val="00432AA4"/>
    <w:rsid w:val="004334C7"/>
    <w:rsid w:val="00433FF0"/>
    <w:rsid w:val="00440A2D"/>
    <w:rsid w:val="00441C3F"/>
    <w:rsid w:val="00443380"/>
    <w:rsid w:val="00444D1A"/>
    <w:rsid w:val="0045186A"/>
    <w:rsid w:val="004564A7"/>
    <w:rsid w:val="00456765"/>
    <w:rsid w:val="00460036"/>
    <w:rsid w:val="004617BF"/>
    <w:rsid w:val="00463658"/>
    <w:rsid w:val="004637A0"/>
    <w:rsid w:val="004722CC"/>
    <w:rsid w:val="00490483"/>
    <w:rsid w:val="004936E4"/>
    <w:rsid w:val="00494E60"/>
    <w:rsid w:val="00497487"/>
    <w:rsid w:val="004A1EC9"/>
    <w:rsid w:val="004A2771"/>
    <w:rsid w:val="004A6189"/>
    <w:rsid w:val="004A7390"/>
    <w:rsid w:val="004B7B76"/>
    <w:rsid w:val="004C239D"/>
    <w:rsid w:val="004C2DCA"/>
    <w:rsid w:val="004C4FBE"/>
    <w:rsid w:val="004C61D2"/>
    <w:rsid w:val="004F0C4A"/>
    <w:rsid w:val="004F0F38"/>
    <w:rsid w:val="004F47D6"/>
    <w:rsid w:val="004F727E"/>
    <w:rsid w:val="00500337"/>
    <w:rsid w:val="00501921"/>
    <w:rsid w:val="00530354"/>
    <w:rsid w:val="0053305B"/>
    <w:rsid w:val="0053625B"/>
    <w:rsid w:val="005434C6"/>
    <w:rsid w:val="00543B39"/>
    <w:rsid w:val="00546154"/>
    <w:rsid w:val="00550096"/>
    <w:rsid w:val="00550DD1"/>
    <w:rsid w:val="00555280"/>
    <w:rsid w:val="00557FF9"/>
    <w:rsid w:val="00560B46"/>
    <w:rsid w:val="00562327"/>
    <w:rsid w:val="0057104E"/>
    <w:rsid w:val="005711D5"/>
    <w:rsid w:val="00573E0C"/>
    <w:rsid w:val="00576378"/>
    <w:rsid w:val="00577130"/>
    <w:rsid w:val="00577945"/>
    <w:rsid w:val="00577E38"/>
    <w:rsid w:val="00585322"/>
    <w:rsid w:val="005857C6"/>
    <w:rsid w:val="00592F6E"/>
    <w:rsid w:val="00593AD1"/>
    <w:rsid w:val="005958F9"/>
    <w:rsid w:val="005A215E"/>
    <w:rsid w:val="005A5710"/>
    <w:rsid w:val="005A5EB7"/>
    <w:rsid w:val="005A68B6"/>
    <w:rsid w:val="005B1479"/>
    <w:rsid w:val="005B3D21"/>
    <w:rsid w:val="005B4AE0"/>
    <w:rsid w:val="005C5570"/>
    <w:rsid w:val="005C5B66"/>
    <w:rsid w:val="005C79A4"/>
    <w:rsid w:val="005D0082"/>
    <w:rsid w:val="005D5442"/>
    <w:rsid w:val="005E056D"/>
    <w:rsid w:val="00603F32"/>
    <w:rsid w:val="00604A5C"/>
    <w:rsid w:val="00605AD4"/>
    <w:rsid w:val="006136D7"/>
    <w:rsid w:val="006214A8"/>
    <w:rsid w:val="00625A6E"/>
    <w:rsid w:val="00632398"/>
    <w:rsid w:val="00640FC3"/>
    <w:rsid w:val="00642020"/>
    <w:rsid w:val="006430EE"/>
    <w:rsid w:val="0065337B"/>
    <w:rsid w:val="0065419D"/>
    <w:rsid w:val="006603BC"/>
    <w:rsid w:val="006604D8"/>
    <w:rsid w:val="00662781"/>
    <w:rsid w:val="00664A5B"/>
    <w:rsid w:val="00666707"/>
    <w:rsid w:val="0066735C"/>
    <w:rsid w:val="006746F2"/>
    <w:rsid w:val="006763D2"/>
    <w:rsid w:val="00677242"/>
    <w:rsid w:val="00680C08"/>
    <w:rsid w:val="00686BA6"/>
    <w:rsid w:val="0069096B"/>
    <w:rsid w:val="006916A0"/>
    <w:rsid w:val="006931B1"/>
    <w:rsid w:val="006A15C0"/>
    <w:rsid w:val="006A58A8"/>
    <w:rsid w:val="006A5D44"/>
    <w:rsid w:val="006C3E2A"/>
    <w:rsid w:val="006C642F"/>
    <w:rsid w:val="006D03E5"/>
    <w:rsid w:val="006D0801"/>
    <w:rsid w:val="006D1286"/>
    <w:rsid w:val="006D4617"/>
    <w:rsid w:val="006D5D3E"/>
    <w:rsid w:val="006E08B3"/>
    <w:rsid w:val="006E4E59"/>
    <w:rsid w:val="006F17AC"/>
    <w:rsid w:val="006F25B8"/>
    <w:rsid w:val="006F572E"/>
    <w:rsid w:val="006F5D2C"/>
    <w:rsid w:val="007046D6"/>
    <w:rsid w:val="00705DB0"/>
    <w:rsid w:val="007061B3"/>
    <w:rsid w:val="00722B1C"/>
    <w:rsid w:val="00722B57"/>
    <w:rsid w:val="00723FD1"/>
    <w:rsid w:val="00730F8A"/>
    <w:rsid w:val="00733278"/>
    <w:rsid w:val="00735A8C"/>
    <w:rsid w:val="0074253D"/>
    <w:rsid w:val="00744121"/>
    <w:rsid w:val="0074429B"/>
    <w:rsid w:val="00744CF1"/>
    <w:rsid w:val="00750685"/>
    <w:rsid w:val="00754CC9"/>
    <w:rsid w:val="00757FA5"/>
    <w:rsid w:val="007615BC"/>
    <w:rsid w:val="007618B9"/>
    <w:rsid w:val="00762F05"/>
    <w:rsid w:val="007652FF"/>
    <w:rsid w:val="00770CAC"/>
    <w:rsid w:val="00770EF1"/>
    <w:rsid w:val="00773EF7"/>
    <w:rsid w:val="007743EB"/>
    <w:rsid w:val="00774E1D"/>
    <w:rsid w:val="007765D8"/>
    <w:rsid w:val="0077675A"/>
    <w:rsid w:val="00780355"/>
    <w:rsid w:val="007819FD"/>
    <w:rsid w:val="00785717"/>
    <w:rsid w:val="00785721"/>
    <w:rsid w:val="007863C6"/>
    <w:rsid w:val="007866AA"/>
    <w:rsid w:val="00793A59"/>
    <w:rsid w:val="007A4097"/>
    <w:rsid w:val="007A46F5"/>
    <w:rsid w:val="007A6505"/>
    <w:rsid w:val="007B5AEA"/>
    <w:rsid w:val="007B6132"/>
    <w:rsid w:val="007B6E9F"/>
    <w:rsid w:val="007C1216"/>
    <w:rsid w:val="007C1AF7"/>
    <w:rsid w:val="007C6B9B"/>
    <w:rsid w:val="007D53B6"/>
    <w:rsid w:val="007F79D1"/>
    <w:rsid w:val="00805D27"/>
    <w:rsid w:val="00806DCB"/>
    <w:rsid w:val="00821776"/>
    <w:rsid w:val="00822A24"/>
    <w:rsid w:val="00824571"/>
    <w:rsid w:val="008321F5"/>
    <w:rsid w:val="00832219"/>
    <w:rsid w:val="00832369"/>
    <w:rsid w:val="00832679"/>
    <w:rsid w:val="00834660"/>
    <w:rsid w:val="00836BC2"/>
    <w:rsid w:val="0085156D"/>
    <w:rsid w:val="00852B28"/>
    <w:rsid w:val="0085641B"/>
    <w:rsid w:val="00857136"/>
    <w:rsid w:val="008661DF"/>
    <w:rsid w:val="00875A6B"/>
    <w:rsid w:val="00876AD3"/>
    <w:rsid w:val="00885B11"/>
    <w:rsid w:val="00886D15"/>
    <w:rsid w:val="00887DD8"/>
    <w:rsid w:val="00891BA9"/>
    <w:rsid w:val="0089261E"/>
    <w:rsid w:val="00896018"/>
    <w:rsid w:val="008960DD"/>
    <w:rsid w:val="0089635C"/>
    <w:rsid w:val="00896362"/>
    <w:rsid w:val="008A2914"/>
    <w:rsid w:val="008A2B9D"/>
    <w:rsid w:val="008A3D9F"/>
    <w:rsid w:val="008A5E0B"/>
    <w:rsid w:val="008A6D59"/>
    <w:rsid w:val="008B4B03"/>
    <w:rsid w:val="008B596F"/>
    <w:rsid w:val="008C159F"/>
    <w:rsid w:val="008C1623"/>
    <w:rsid w:val="008C1850"/>
    <w:rsid w:val="008C3308"/>
    <w:rsid w:val="008C51A9"/>
    <w:rsid w:val="008E7846"/>
    <w:rsid w:val="008F02E5"/>
    <w:rsid w:val="008F1CCC"/>
    <w:rsid w:val="008F2967"/>
    <w:rsid w:val="008F3889"/>
    <w:rsid w:val="008F6943"/>
    <w:rsid w:val="00901D56"/>
    <w:rsid w:val="00902A21"/>
    <w:rsid w:val="00903856"/>
    <w:rsid w:val="0091523F"/>
    <w:rsid w:val="00920330"/>
    <w:rsid w:val="009219D7"/>
    <w:rsid w:val="00922D53"/>
    <w:rsid w:val="00923B70"/>
    <w:rsid w:val="00924482"/>
    <w:rsid w:val="00924CC2"/>
    <w:rsid w:val="00930237"/>
    <w:rsid w:val="009349B2"/>
    <w:rsid w:val="00937C17"/>
    <w:rsid w:val="00940A89"/>
    <w:rsid w:val="00941F77"/>
    <w:rsid w:val="00946EA5"/>
    <w:rsid w:val="00960520"/>
    <w:rsid w:val="00963C08"/>
    <w:rsid w:val="009752A5"/>
    <w:rsid w:val="0098585A"/>
    <w:rsid w:val="009A4CED"/>
    <w:rsid w:val="009A690D"/>
    <w:rsid w:val="009B1D12"/>
    <w:rsid w:val="009B416B"/>
    <w:rsid w:val="009C4BD5"/>
    <w:rsid w:val="009D1648"/>
    <w:rsid w:val="009D348F"/>
    <w:rsid w:val="009D7B77"/>
    <w:rsid w:val="009E0BB0"/>
    <w:rsid w:val="009E2F40"/>
    <w:rsid w:val="009E3FBB"/>
    <w:rsid w:val="009F1E0C"/>
    <w:rsid w:val="009F7353"/>
    <w:rsid w:val="00A01F6A"/>
    <w:rsid w:val="00A04F85"/>
    <w:rsid w:val="00A05FA4"/>
    <w:rsid w:val="00A102E4"/>
    <w:rsid w:val="00A1077C"/>
    <w:rsid w:val="00A1219C"/>
    <w:rsid w:val="00A12C42"/>
    <w:rsid w:val="00A14DF7"/>
    <w:rsid w:val="00A22D57"/>
    <w:rsid w:val="00A26684"/>
    <w:rsid w:val="00A3246D"/>
    <w:rsid w:val="00A34CB6"/>
    <w:rsid w:val="00A35188"/>
    <w:rsid w:val="00A36FA7"/>
    <w:rsid w:val="00A44DDB"/>
    <w:rsid w:val="00A475B7"/>
    <w:rsid w:val="00A47AF7"/>
    <w:rsid w:val="00A47C3E"/>
    <w:rsid w:val="00A50226"/>
    <w:rsid w:val="00A50BFB"/>
    <w:rsid w:val="00A60AB1"/>
    <w:rsid w:val="00A60BAD"/>
    <w:rsid w:val="00A60C2A"/>
    <w:rsid w:val="00A764B0"/>
    <w:rsid w:val="00A77F87"/>
    <w:rsid w:val="00A80B5B"/>
    <w:rsid w:val="00A84E36"/>
    <w:rsid w:val="00A857E3"/>
    <w:rsid w:val="00A8722D"/>
    <w:rsid w:val="00A964D1"/>
    <w:rsid w:val="00AA0ED0"/>
    <w:rsid w:val="00AB2CA7"/>
    <w:rsid w:val="00AB3192"/>
    <w:rsid w:val="00AB5DD1"/>
    <w:rsid w:val="00AC2B40"/>
    <w:rsid w:val="00AC2BB2"/>
    <w:rsid w:val="00AC2C3C"/>
    <w:rsid w:val="00AC512D"/>
    <w:rsid w:val="00AD0083"/>
    <w:rsid w:val="00AD3935"/>
    <w:rsid w:val="00AE47F0"/>
    <w:rsid w:val="00AE5CBC"/>
    <w:rsid w:val="00AE65EB"/>
    <w:rsid w:val="00AE67A7"/>
    <w:rsid w:val="00AF1D94"/>
    <w:rsid w:val="00AF60C5"/>
    <w:rsid w:val="00B009C6"/>
    <w:rsid w:val="00B01548"/>
    <w:rsid w:val="00B06C27"/>
    <w:rsid w:val="00B130C5"/>
    <w:rsid w:val="00B13EBD"/>
    <w:rsid w:val="00B14E82"/>
    <w:rsid w:val="00B21D29"/>
    <w:rsid w:val="00B25034"/>
    <w:rsid w:val="00B31C05"/>
    <w:rsid w:val="00B33588"/>
    <w:rsid w:val="00B33863"/>
    <w:rsid w:val="00B37D17"/>
    <w:rsid w:val="00B4175E"/>
    <w:rsid w:val="00B41C85"/>
    <w:rsid w:val="00B452CE"/>
    <w:rsid w:val="00B5289C"/>
    <w:rsid w:val="00B54C25"/>
    <w:rsid w:val="00B57CAE"/>
    <w:rsid w:val="00B73355"/>
    <w:rsid w:val="00B7638B"/>
    <w:rsid w:val="00B76B91"/>
    <w:rsid w:val="00B77EB1"/>
    <w:rsid w:val="00B811C6"/>
    <w:rsid w:val="00B855B0"/>
    <w:rsid w:val="00B86B1A"/>
    <w:rsid w:val="00B92E08"/>
    <w:rsid w:val="00BA51F4"/>
    <w:rsid w:val="00BC2987"/>
    <w:rsid w:val="00BC4658"/>
    <w:rsid w:val="00BC622A"/>
    <w:rsid w:val="00BD6EB4"/>
    <w:rsid w:val="00BE0A78"/>
    <w:rsid w:val="00BE5E94"/>
    <w:rsid w:val="00BE79F0"/>
    <w:rsid w:val="00BF046D"/>
    <w:rsid w:val="00BF1190"/>
    <w:rsid w:val="00BF3774"/>
    <w:rsid w:val="00BF5D04"/>
    <w:rsid w:val="00BF734A"/>
    <w:rsid w:val="00C009AA"/>
    <w:rsid w:val="00C1164D"/>
    <w:rsid w:val="00C16861"/>
    <w:rsid w:val="00C16B80"/>
    <w:rsid w:val="00C346AB"/>
    <w:rsid w:val="00C36B3A"/>
    <w:rsid w:val="00C404A6"/>
    <w:rsid w:val="00C40A36"/>
    <w:rsid w:val="00C44419"/>
    <w:rsid w:val="00C45E7B"/>
    <w:rsid w:val="00C471B1"/>
    <w:rsid w:val="00C525A2"/>
    <w:rsid w:val="00C52E24"/>
    <w:rsid w:val="00C55C15"/>
    <w:rsid w:val="00C6316B"/>
    <w:rsid w:val="00C634A9"/>
    <w:rsid w:val="00C64586"/>
    <w:rsid w:val="00C70A36"/>
    <w:rsid w:val="00C70D53"/>
    <w:rsid w:val="00C73D0B"/>
    <w:rsid w:val="00C73DE1"/>
    <w:rsid w:val="00C74F5C"/>
    <w:rsid w:val="00C772FF"/>
    <w:rsid w:val="00C80137"/>
    <w:rsid w:val="00C801AF"/>
    <w:rsid w:val="00C80256"/>
    <w:rsid w:val="00C832E3"/>
    <w:rsid w:val="00C91316"/>
    <w:rsid w:val="00C94CD4"/>
    <w:rsid w:val="00C9747E"/>
    <w:rsid w:val="00CB6BC0"/>
    <w:rsid w:val="00CC1B7C"/>
    <w:rsid w:val="00CC727F"/>
    <w:rsid w:val="00CD3C42"/>
    <w:rsid w:val="00CD5A5E"/>
    <w:rsid w:val="00CE79E9"/>
    <w:rsid w:val="00CF08AC"/>
    <w:rsid w:val="00CF15C3"/>
    <w:rsid w:val="00CF2B6F"/>
    <w:rsid w:val="00CF2F3E"/>
    <w:rsid w:val="00CF3E40"/>
    <w:rsid w:val="00CF58B6"/>
    <w:rsid w:val="00CF5DAD"/>
    <w:rsid w:val="00D0062D"/>
    <w:rsid w:val="00D017ED"/>
    <w:rsid w:val="00D040D3"/>
    <w:rsid w:val="00D04C65"/>
    <w:rsid w:val="00D06454"/>
    <w:rsid w:val="00D153D8"/>
    <w:rsid w:val="00D201D2"/>
    <w:rsid w:val="00D224FE"/>
    <w:rsid w:val="00D23139"/>
    <w:rsid w:val="00D262D4"/>
    <w:rsid w:val="00D31017"/>
    <w:rsid w:val="00D36802"/>
    <w:rsid w:val="00D425BB"/>
    <w:rsid w:val="00D42B39"/>
    <w:rsid w:val="00D453FA"/>
    <w:rsid w:val="00D6493E"/>
    <w:rsid w:val="00D651F6"/>
    <w:rsid w:val="00D7195D"/>
    <w:rsid w:val="00D7301E"/>
    <w:rsid w:val="00D74ABF"/>
    <w:rsid w:val="00D83012"/>
    <w:rsid w:val="00D83AE1"/>
    <w:rsid w:val="00D855D4"/>
    <w:rsid w:val="00D85C40"/>
    <w:rsid w:val="00D87EA2"/>
    <w:rsid w:val="00D902C9"/>
    <w:rsid w:val="00D93466"/>
    <w:rsid w:val="00DA097E"/>
    <w:rsid w:val="00DA1124"/>
    <w:rsid w:val="00DA64CB"/>
    <w:rsid w:val="00DB06B8"/>
    <w:rsid w:val="00DB50D1"/>
    <w:rsid w:val="00DB6124"/>
    <w:rsid w:val="00DB750B"/>
    <w:rsid w:val="00DB75B7"/>
    <w:rsid w:val="00DC0A2F"/>
    <w:rsid w:val="00DC1948"/>
    <w:rsid w:val="00DC2982"/>
    <w:rsid w:val="00DC6E02"/>
    <w:rsid w:val="00DD17E4"/>
    <w:rsid w:val="00DD28CD"/>
    <w:rsid w:val="00DE02AE"/>
    <w:rsid w:val="00DE39D1"/>
    <w:rsid w:val="00DF1D7F"/>
    <w:rsid w:val="00DF4BE4"/>
    <w:rsid w:val="00E02382"/>
    <w:rsid w:val="00E02FB4"/>
    <w:rsid w:val="00E0638D"/>
    <w:rsid w:val="00E13FC7"/>
    <w:rsid w:val="00E20571"/>
    <w:rsid w:val="00E20EAA"/>
    <w:rsid w:val="00E235F7"/>
    <w:rsid w:val="00E23659"/>
    <w:rsid w:val="00E239D4"/>
    <w:rsid w:val="00E26130"/>
    <w:rsid w:val="00E32198"/>
    <w:rsid w:val="00E33D42"/>
    <w:rsid w:val="00E40B22"/>
    <w:rsid w:val="00E44ED1"/>
    <w:rsid w:val="00E45619"/>
    <w:rsid w:val="00E4588F"/>
    <w:rsid w:val="00E46DA3"/>
    <w:rsid w:val="00E51BB1"/>
    <w:rsid w:val="00E55CB0"/>
    <w:rsid w:val="00E624A5"/>
    <w:rsid w:val="00E64BA4"/>
    <w:rsid w:val="00E67BC1"/>
    <w:rsid w:val="00E7344E"/>
    <w:rsid w:val="00E82665"/>
    <w:rsid w:val="00EA01F4"/>
    <w:rsid w:val="00EA3692"/>
    <w:rsid w:val="00EA3B33"/>
    <w:rsid w:val="00EA50C6"/>
    <w:rsid w:val="00EB064C"/>
    <w:rsid w:val="00EB0798"/>
    <w:rsid w:val="00EB40AD"/>
    <w:rsid w:val="00EB586E"/>
    <w:rsid w:val="00EB5FC8"/>
    <w:rsid w:val="00EC2BA1"/>
    <w:rsid w:val="00EC463D"/>
    <w:rsid w:val="00EC7A85"/>
    <w:rsid w:val="00ED2922"/>
    <w:rsid w:val="00ED3CAD"/>
    <w:rsid w:val="00ED49EC"/>
    <w:rsid w:val="00ED5A41"/>
    <w:rsid w:val="00ED6238"/>
    <w:rsid w:val="00ED6499"/>
    <w:rsid w:val="00EE1DE8"/>
    <w:rsid w:val="00EE27C2"/>
    <w:rsid w:val="00EF0275"/>
    <w:rsid w:val="00EF4BAD"/>
    <w:rsid w:val="00EF59DC"/>
    <w:rsid w:val="00F033EC"/>
    <w:rsid w:val="00F04F68"/>
    <w:rsid w:val="00F051D0"/>
    <w:rsid w:val="00F12670"/>
    <w:rsid w:val="00F14B27"/>
    <w:rsid w:val="00F2216E"/>
    <w:rsid w:val="00F3055E"/>
    <w:rsid w:val="00F3148D"/>
    <w:rsid w:val="00F325C5"/>
    <w:rsid w:val="00F32FE0"/>
    <w:rsid w:val="00F333E5"/>
    <w:rsid w:val="00F35298"/>
    <w:rsid w:val="00F47333"/>
    <w:rsid w:val="00F47E37"/>
    <w:rsid w:val="00F538B3"/>
    <w:rsid w:val="00F53C07"/>
    <w:rsid w:val="00F54B65"/>
    <w:rsid w:val="00F633D7"/>
    <w:rsid w:val="00F63DBF"/>
    <w:rsid w:val="00F640B6"/>
    <w:rsid w:val="00F66A9D"/>
    <w:rsid w:val="00F66DF2"/>
    <w:rsid w:val="00F77863"/>
    <w:rsid w:val="00F80E40"/>
    <w:rsid w:val="00F848D9"/>
    <w:rsid w:val="00F86AEB"/>
    <w:rsid w:val="00FA3820"/>
    <w:rsid w:val="00FA5069"/>
    <w:rsid w:val="00FA5B82"/>
    <w:rsid w:val="00FA639E"/>
    <w:rsid w:val="00FA7C86"/>
    <w:rsid w:val="00FB34FF"/>
    <w:rsid w:val="00FC1FCA"/>
    <w:rsid w:val="00FC25E4"/>
    <w:rsid w:val="00FC4EF7"/>
    <w:rsid w:val="00FD0824"/>
    <w:rsid w:val="00FD119B"/>
    <w:rsid w:val="00FD1EDC"/>
    <w:rsid w:val="00FD3737"/>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C03A5AE"/>
  <w15:docId w15:val="{39C930C0-6626-4CA0-8BB1-94FAC55E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733278"/>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733278"/>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Segoe UI" w:hAnsi="Segoe UI"/>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Segoe UI" w:hAnsi="Segoe UI"/>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Segoe UI" w:hAnsi="Segoe UI"/>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733278"/>
    <w:pPr>
      <w:framePr w:hSpace="180" w:wrap="around" w:vAnchor="page" w:hAnchor="text" w:y="3316"/>
      <w:spacing w:after="480" w:line="240" w:lineRule="auto"/>
      <w:contextualSpacing/>
      <w:outlineLvl w:val="0"/>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733278"/>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table" w:customStyle="1" w:styleId="TableTGAblue1">
    <w:name w:val="Table TGA blue1"/>
    <w:basedOn w:val="TableNormal"/>
    <w:uiPriority w:val="99"/>
    <w:qFormat/>
    <w:rsid w:val="00F333E5"/>
    <w:pPr>
      <w:spacing w:after="0" w:line="240" w:lineRule="auto"/>
      <w:ind w:left="170" w:right="170"/>
    </w:pPr>
    <w:rPr>
      <w:rFonts w:ascii="Cambria" w:hAnsi="Cambria" w:cs="Times New Roman"/>
      <w:color w:val="000000"/>
      <w:szCs w:val="21"/>
      <w:lang w:eastAsia="en-AU"/>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wordWrap/>
        <w:spacing w:beforeLines="0" w:beforeAutospacing="0" w:afterLines="0" w:afterAutospacing="0"/>
      </w:pPr>
      <w:rPr>
        <w:rFonts w:ascii="Segoe UI" w:hAnsi="Segoe UI"/>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tblStylePr w:type="firstCol">
      <w:pPr>
        <w:keepNext w:val="0"/>
        <w:wordWrap/>
      </w:pPr>
    </w:tblStylePr>
  </w:style>
  <w:style w:type="paragraph" w:styleId="ListParagraph">
    <w:name w:val="List Paragraph"/>
    <w:basedOn w:val="Normal"/>
    <w:link w:val="ListParagraphChar"/>
    <w:uiPriority w:val="34"/>
    <w:rsid w:val="005A5EB7"/>
    <w:pPr>
      <w:adjustRightInd w:val="0"/>
      <w:snapToGrid w:val="0"/>
      <w:spacing w:before="180" w:after="180"/>
      <w:ind w:left="720"/>
      <w:contextualSpacing/>
    </w:pPr>
    <w:rPr>
      <w:rFonts w:eastAsia="MS Mincho"/>
      <w:szCs w:val="20"/>
      <w:lang w:eastAsia="ja-JP"/>
    </w:rPr>
  </w:style>
  <w:style w:type="character" w:customStyle="1" w:styleId="ListParagraphChar">
    <w:name w:val="List Paragraph Char"/>
    <w:basedOn w:val="DefaultParagraphFont"/>
    <w:link w:val="ListParagraph"/>
    <w:uiPriority w:val="34"/>
    <w:rsid w:val="005A5EB7"/>
    <w:rPr>
      <w:rFonts w:ascii="Cambria" w:eastAsia="MS Mincho" w:hAnsi="Cambria" w:cs="Times New Roman"/>
      <w:szCs w:val="20"/>
      <w:lang w:eastAsia="ja-JP"/>
    </w:rPr>
  </w:style>
  <w:style w:type="paragraph" w:customStyle="1" w:styleId="Default">
    <w:name w:val="Default"/>
    <w:rsid w:val="00CE79E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tga.copyright@tga.gov.au" TargetMode="External"/><Relationship Id="rId17" Type="http://schemas.openxmlformats.org/officeDocument/2006/relationships/image" Target="media/image2.png"/><Relationship Id="rId25" Type="http://schemas.openxmlformats.org/officeDocument/2006/relationships/hyperlink" Target="https://www.tga.gov.au" TargetMode="External"/><Relationship Id="rId2" Type="http://schemas.openxmlformats.org/officeDocument/2006/relationships/customXml" Target="../customXml/item2.xml"/><Relationship Id="rId16" Type="http://schemas.openxmlformats.org/officeDocument/2006/relationships/hyperlink" Target="https://www.tga.gov.au/product-information-pi"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 TargetMode="External"/><Relationship Id="rId24" Type="http://schemas.openxmlformats.org/officeDocument/2006/relationships/hyperlink" Target="mailto:info@tga.gov.au" TargetMode="Externa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tga.gov.au/product-information-pi"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M\AppData\Local\Hewlett-Packard\HP%20TRIM\TEMP\HPTRIM.73944\D19-5975236%20%20AusPAR%20-%20template%20-%20streamlined.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20D999858FD6478C379A46674CB25B" ma:contentTypeVersion="10" ma:contentTypeDescription="Create a new document." ma:contentTypeScope="" ma:versionID="cf49b3badb4263d681c6bee74617a980">
  <xsd:schema xmlns:xsd="http://www.w3.org/2001/XMLSchema" xmlns:xs="http://www.w3.org/2001/XMLSchema" xmlns:p="http://schemas.microsoft.com/office/2006/metadata/properties" xmlns:ns3="f67a3997-f8e3-4f10-bb8c-bce9cfa4452f" targetNamespace="http://schemas.microsoft.com/office/2006/metadata/properties" ma:root="true" ma:fieldsID="60519588278e56cd12cba38806171f33" ns3:_="">
    <xsd:import namespace="f67a3997-f8e3-4f10-bb8c-bce9cfa445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3997-f8e3-4f10-bb8c-bce9cfa44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BDA8-C891-4E82-B0E2-658C0CF2D7B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67a3997-f8e3-4f10-bb8c-bce9cfa4452f"/>
    <ds:schemaRef ds:uri="http://www.w3.org/XML/1998/namespace"/>
    <ds:schemaRef ds:uri="http://purl.org/dc/dcmitype/"/>
  </ds:schemaRefs>
</ds:datastoreItem>
</file>

<file path=customXml/itemProps2.xml><?xml version="1.0" encoding="utf-8"?>
<ds:datastoreItem xmlns:ds="http://schemas.openxmlformats.org/officeDocument/2006/customXml" ds:itemID="{225614A4-385F-4634-906E-95A5AF7046E6}">
  <ds:schemaRefs>
    <ds:schemaRef ds:uri="http://schemas.microsoft.com/sharepoint/v3/contenttype/forms"/>
  </ds:schemaRefs>
</ds:datastoreItem>
</file>

<file path=customXml/itemProps3.xml><?xml version="1.0" encoding="utf-8"?>
<ds:datastoreItem xmlns:ds="http://schemas.openxmlformats.org/officeDocument/2006/customXml" ds:itemID="{B16A2A52-95AC-40FB-8D2E-48762B5CD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3997-f8e3-4f10-bb8c-bce9cfa44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60A26-8A77-4FEE-8077-5822EE89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D19-5975236  AusPAR - template - streamlined.DOTX</Template>
  <TotalTime>118</TotalTime>
  <Pages>20</Pages>
  <Words>6114</Words>
  <Characters>33079</Characters>
  <Application>Microsoft Office Word</Application>
  <DocSecurity>0</DocSecurity>
  <Lines>1033</Lines>
  <Paragraphs>632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Australian public assessment report for</vt:lpstr>
      <vt:lpstr>Australian public assessment report for</vt:lpstr>
    </vt:vector>
  </TitlesOfParts>
  <Company>Department of Health Therapeutic Goods Administration</Company>
  <LinksUpToDate>false</LinksUpToDate>
  <CharactersWithSpaces>38561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dc:title>
  <dc:subject>prescription medicine regulation</dc:subject>
  <dc:creator>Therapeutic Goods Administration</dc:creator>
  <cp:keywords>AusPARs</cp:keywords>
  <cp:lastModifiedBy>LACK, Janet</cp:lastModifiedBy>
  <cp:revision>2</cp:revision>
  <cp:lastPrinted>2019-08-14T04:30:00Z</cp:lastPrinted>
  <dcterms:created xsi:type="dcterms:W3CDTF">2021-02-25T18:14:00Z</dcterms:created>
  <dcterms:modified xsi:type="dcterms:W3CDTF">2021-04-19T00:34:00Z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0x010100E920D999858FD6478C379A46674CB25B</vt:lpwstr>
  </property>
</Properties>
</file>