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14:paraId="7180CA11" w14:textId="77777777" w:rsidTr="00164354">
        <w:trPr>
          <w:trHeight w:val="1863"/>
        </w:trPr>
        <w:tc>
          <w:tcPr>
            <w:tcW w:w="7763" w:type="dxa"/>
            <w:tcBorders>
              <w:top w:val="nil"/>
              <w:left w:val="nil"/>
              <w:bottom w:val="nil"/>
              <w:right w:val="nil"/>
            </w:tcBorders>
          </w:tcPr>
          <w:p w14:paraId="7180CA0F" w14:textId="49F8FE1E" w:rsidR="008E7846" w:rsidRDefault="00164354" w:rsidP="0017078F">
            <w:pPr>
              <w:rPr>
                <w:rFonts w:ascii="Arial" w:hAnsi="Arial" w:cs="Arial"/>
                <w:b/>
                <w:color w:val="002C47"/>
                <w:sz w:val="36"/>
                <w:szCs w:val="36"/>
              </w:rPr>
            </w:pPr>
            <w:r>
              <w:rPr>
                <w:rFonts w:ascii="Arial" w:hAnsi="Arial" w:cs="Arial"/>
                <w:b/>
                <w:color w:val="002C47"/>
                <w:sz w:val="36"/>
                <w:szCs w:val="36"/>
              </w:rPr>
              <w:t xml:space="preserve">First Round CER report: 12 January </w:t>
            </w:r>
            <w:r w:rsidR="00C44D27">
              <w:rPr>
                <w:rFonts w:ascii="Arial" w:hAnsi="Arial" w:cs="Arial"/>
                <w:b/>
                <w:color w:val="002C47"/>
                <w:sz w:val="36"/>
                <w:szCs w:val="36"/>
              </w:rPr>
              <w:t>2015</w:t>
            </w:r>
          </w:p>
          <w:p w14:paraId="7180CA10" w14:textId="77777777" w:rsidR="00164354" w:rsidRPr="0017078F" w:rsidRDefault="00164354" w:rsidP="0017078F">
            <w:pPr>
              <w:rPr>
                <w:rFonts w:ascii="Arial" w:hAnsi="Arial" w:cs="Arial"/>
                <w:b/>
                <w:color w:val="002C47"/>
                <w:sz w:val="36"/>
                <w:szCs w:val="36"/>
              </w:rPr>
            </w:pPr>
            <w:r>
              <w:rPr>
                <w:rFonts w:ascii="Arial" w:hAnsi="Arial" w:cs="Arial"/>
                <w:b/>
                <w:color w:val="002C47"/>
                <w:sz w:val="36"/>
                <w:szCs w:val="36"/>
              </w:rPr>
              <w:t>Second Round CER report: 25 April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180CA13" w14:textId="77777777" w:rsidTr="00E07F15">
        <w:trPr>
          <w:trHeight w:val="1548"/>
        </w:trPr>
        <w:tc>
          <w:tcPr>
            <w:tcW w:w="9079" w:type="dxa"/>
          </w:tcPr>
          <w:p w14:paraId="7180CA12"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7180CA15" w14:textId="77777777" w:rsidTr="00E07F15">
        <w:trPr>
          <w:trHeight w:val="868"/>
        </w:trPr>
        <w:tc>
          <w:tcPr>
            <w:tcW w:w="9079" w:type="dxa"/>
          </w:tcPr>
          <w:p w14:paraId="7180CA14" w14:textId="77777777" w:rsidR="00E07F15" w:rsidRPr="00A964D1" w:rsidRDefault="00E07F15" w:rsidP="005E3A78">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5E3A78">
              <w:rPr>
                <w:color w:val="FFFFFF" w:themeColor="background1"/>
              </w:rPr>
              <w:t>Nintedanib</w:t>
            </w:r>
            <w:proofErr w:type="spellEnd"/>
            <w:r w:rsidR="005E3A78">
              <w:rPr>
                <w:color w:val="FFFFFF" w:themeColor="background1"/>
              </w:rPr>
              <w:t xml:space="preserve"> </w:t>
            </w:r>
            <w:proofErr w:type="spellStart"/>
            <w:r w:rsidR="005E3A78">
              <w:rPr>
                <w:color w:val="FFFFFF" w:themeColor="background1"/>
              </w:rPr>
              <w:t>esilate</w:t>
            </w:r>
            <w:proofErr w:type="spellEnd"/>
          </w:p>
        </w:tc>
      </w:tr>
      <w:tr w:rsidR="00E07F15" w:rsidRPr="00B64760" w14:paraId="7180CA17" w14:textId="77777777" w:rsidTr="00E07F15">
        <w:tc>
          <w:tcPr>
            <w:tcW w:w="9079" w:type="dxa"/>
          </w:tcPr>
          <w:p w14:paraId="7180CA16" w14:textId="77777777" w:rsidR="00E07F15" w:rsidRPr="008E7846" w:rsidRDefault="00E07F15" w:rsidP="005E3A78">
            <w:pPr>
              <w:pStyle w:val="Subtitle"/>
              <w:rPr>
                <w:color w:val="FFFFFF" w:themeColor="background1"/>
              </w:rPr>
            </w:pPr>
            <w:r w:rsidRPr="008E7846">
              <w:rPr>
                <w:color w:val="FFFFFF" w:themeColor="background1"/>
              </w:rPr>
              <w:t xml:space="preserve">Proprietary Product Name: </w:t>
            </w:r>
            <w:proofErr w:type="spellStart"/>
            <w:r w:rsidR="005E3A78">
              <w:rPr>
                <w:color w:val="FFFFFF" w:themeColor="background1"/>
              </w:rPr>
              <w:t>Ofev</w:t>
            </w:r>
            <w:proofErr w:type="spellEnd"/>
            <w:r w:rsidR="005E3A78">
              <w:rPr>
                <w:color w:val="FFFFFF" w:themeColor="background1"/>
              </w:rPr>
              <w:t xml:space="preserve"> and </w:t>
            </w:r>
            <w:proofErr w:type="spellStart"/>
            <w:r w:rsidR="005E3A78">
              <w:rPr>
                <w:color w:val="FFFFFF" w:themeColor="background1"/>
              </w:rPr>
              <w:t>Vargatef</w:t>
            </w:r>
            <w:proofErr w:type="spellEnd"/>
          </w:p>
        </w:tc>
      </w:tr>
      <w:tr w:rsidR="00E07F15" w:rsidRPr="009F46F8" w14:paraId="7180CA19" w14:textId="77777777" w:rsidTr="00E07F15">
        <w:trPr>
          <w:trHeight w:val="486"/>
        </w:trPr>
        <w:tc>
          <w:tcPr>
            <w:tcW w:w="9079" w:type="dxa"/>
          </w:tcPr>
          <w:p w14:paraId="7180CA18" w14:textId="7962D260" w:rsidR="00E07F15" w:rsidRPr="00F20E90" w:rsidRDefault="00E07F15" w:rsidP="005E3A78">
            <w:pPr>
              <w:pStyle w:val="Subtitle"/>
              <w:rPr>
                <w:color w:val="FFFFFF" w:themeColor="background1"/>
                <w:lang w:val="de-DE"/>
              </w:rPr>
            </w:pPr>
            <w:r w:rsidRPr="00F20E90">
              <w:rPr>
                <w:color w:val="FFFFFF" w:themeColor="background1"/>
                <w:lang w:val="de-DE"/>
              </w:rPr>
              <w:t xml:space="preserve">Sponsor: </w:t>
            </w:r>
            <w:r w:rsidR="005E3A78" w:rsidRPr="00F20E90">
              <w:rPr>
                <w:color w:val="FFFFFF" w:themeColor="background1"/>
                <w:lang w:val="de-DE"/>
              </w:rPr>
              <w:t>Boehringer Ingleheim Pty Ltd</w:t>
            </w:r>
          </w:p>
        </w:tc>
      </w:tr>
    </w:tbl>
    <w:p w14:paraId="7180CA1A" w14:textId="77777777" w:rsidR="008E7846" w:rsidRPr="00F20E90" w:rsidRDefault="008E7846" w:rsidP="008E7846">
      <w:pPr>
        <w:pStyle w:val="NonTOCHeading2"/>
        <w:rPr>
          <w:lang w:val="de-DE"/>
        </w:rPr>
      </w:pPr>
      <w:r w:rsidRPr="00F20E90">
        <w:rPr>
          <w:lang w:val="de-DE"/>
        </w:rPr>
        <w:br w:type="page"/>
      </w:r>
    </w:p>
    <w:p w14:paraId="7180CA1B" w14:textId="77777777" w:rsidR="008E7846" w:rsidRPr="001F6CBA" w:rsidRDefault="008E7846" w:rsidP="008E7846">
      <w:pPr>
        <w:pStyle w:val="NonTOCHeading2"/>
      </w:pPr>
      <w:r w:rsidRPr="001F6CBA">
        <w:lastRenderedPageBreak/>
        <w:t>About the Therapeutic Goods Administration (TGA)</w:t>
      </w:r>
    </w:p>
    <w:p w14:paraId="7180CA1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180CA1D"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180CA1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180CA1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180CA20"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2" w:history="1">
        <w:r w:rsidR="00E979F4" w:rsidRPr="00FE02B1">
          <w:rPr>
            <w:rStyle w:val="Hyperlink"/>
          </w:rPr>
          <w:t>https://www.tga.gov.au</w:t>
        </w:r>
      </w:hyperlink>
      <w:r w:rsidR="00112F56">
        <w:t>&gt;</w:t>
      </w:r>
      <w:r>
        <w:t>.</w:t>
      </w:r>
    </w:p>
    <w:p w14:paraId="7180CA21"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7180CA22"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7180CA23" w14:textId="77777777" w:rsidR="003D0A3B" w:rsidRDefault="003D0A3B" w:rsidP="003D0A3B">
      <w:pPr>
        <w:pStyle w:val="ListBullet"/>
      </w:pPr>
      <w:r w:rsidRPr="003D0A3B">
        <w:t>The words [Information redacted], where they appear in this document, indicate that confidential information has been deleted.</w:t>
      </w:r>
    </w:p>
    <w:p w14:paraId="7180CA24"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3" w:history="1">
        <w:r w:rsidR="0010193C">
          <w:rPr>
            <w:rStyle w:val="Hyperlink"/>
          </w:rPr>
          <w:t>https://www.tga.gov.au/product-information-pi</w:t>
        </w:r>
      </w:hyperlink>
      <w:r w:rsidR="0017078F">
        <w:t>&gt;.</w:t>
      </w:r>
    </w:p>
    <w:p w14:paraId="7180CA25" w14:textId="77777777" w:rsidR="00924482" w:rsidRPr="00DF1D7F" w:rsidRDefault="00924482" w:rsidP="00344693">
      <w:pPr>
        <w:pStyle w:val="LegalSubheading"/>
        <w:spacing w:before="3960"/>
      </w:pPr>
      <w:r w:rsidRPr="00DF1D7F">
        <w:t>Copyright</w:t>
      </w:r>
    </w:p>
    <w:p w14:paraId="7180CA26" w14:textId="77777777"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4" w:history="1">
        <w:r w:rsidRPr="00191B3B">
          <w:rPr>
            <w:rStyle w:val="Hyperlink"/>
            <w:rFonts w:cs="Arial"/>
            <w:lang w:val="en-GB"/>
          </w:rPr>
          <w:t>tga.copyright@tga.gov.au</w:t>
        </w:r>
      </w:hyperlink>
      <w:r w:rsidRPr="00191B3B">
        <w:rPr>
          <w:rFonts w:cs="Arial"/>
        </w:rPr>
        <w:t>&gt;.</w:t>
      </w:r>
    </w:p>
    <w:p w14:paraId="7180CA27"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180CA28" w14:textId="77777777" w:rsidR="0089635C" w:rsidRPr="0089635C" w:rsidRDefault="0089635C" w:rsidP="0010788A">
          <w:pPr>
            <w:pStyle w:val="Contents"/>
          </w:pPr>
          <w:r w:rsidRPr="0010788A">
            <w:t>Con</w:t>
          </w:r>
          <w:bookmarkStart w:id="2" w:name="_GoBack"/>
          <w:bookmarkEnd w:id="2"/>
          <w:r w:rsidRPr="0010788A">
            <w:t>tents</w:t>
          </w:r>
        </w:p>
        <w:p w14:paraId="4F0D3375" w14:textId="77777777" w:rsidR="001A507F"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3381722" w:history="1">
            <w:r w:rsidR="001A507F" w:rsidRPr="00D31F2E">
              <w:rPr>
                <w:rStyle w:val="Hyperlink"/>
                <w:noProof/>
              </w:rPr>
              <w:t>1.</w:t>
            </w:r>
            <w:r w:rsidR="001A507F">
              <w:rPr>
                <w:rFonts w:asciiTheme="minorHAnsi" w:eastAsiaTheme="minorEastAsia" w:hAnsiTheme="minorHAnsi" w:cstheme="minorBidi"/>
                <w:b w:val="0"/>
                <w:noProof/>
                <w:sz w:val="22"/>
                <w:lang w:eastAsia="en-AU"/>
              </w:rPr>
              <w:tab/>
            </w:r>
            <w:r w:rsidR="001A507F" w:rsidRPr="00D31F2E">
              <w:rPr>
                <w:rStyle w:val="Hyperlink"/>
                <w:noProof/>
              </w:rPr>
              <w:t>List of abbreviations</w:t>
            </w:r>
            <w:r w:rsidR="001A507F">
              <w:rPr>
                <w:noProof/>
                <w:webHidden/>
              </w:rPr>
              <w:tab/>
            </w:r>
            <w:r w:rsidR="001A507F">
              <w:rPr>
                <w:noProof/>
                <w:webHidden/>
              </w:rPr>
              <w:fldChar w:fldCharType="begin"/>
            </w:r>
            <w:r w:rsidR="001A507F">
              <w:rPr>
                <w:noProof/>
                <w:webHidden/>
              </w:rPr>
              <w:instrText xml:space="preserve"> PAGEREF _Toc443381722 \h </w:instrText>
            </w:r>
            <w:r w:rsidR="001A507F">
              <w:rPr>
                <w:noProof/>
                <w:webHidden/>
              </w:rPr>
            </w:r>
            <w:r w:rsidR="001A507F">
              <w:rPr>
                <w:noProof/>
                <w:webHidden/>
              </w:rPr>
              <w:fldChar w:fldCharType="separate"/>
            </w:r>
            <w:r w:rsidR="001A507F">
              <w:rPr>
                <w:noProof/>
                <w:webHidden/>
              </w:rPr>
              <w:t>5</w:t>
            </w:r>
            <w:r w:rsidR="001A507F">
              <w:rPr>
                <w:noProof/>
                <w:webHidden/>
              </w:rPr>
              <w:fldChar w:fldCharType="end"/>
            </w:r>
          </w:hyperlink>
        </w:p>
        <w:p w14:paraId="487BE718"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23" w:history="1">
            <w:r w:rsidRPr="00D31F2E">
              <w:rPr>
                <w:rStyle w:val="Hyperlink"/>
                <w:noProof/>
              </w:rPr>
              <w:t>2.</w:t>
            </w:r>
            <w:r>
              <w:rPr>
                <w:rFonts w:asciiTheme="minorHAnsi" w:eastAsiaTheme="minorEastAsia" w:hAnsiTheme="minorHAnsi" w:cstheme="minorBidi"/>
                <w:b w:val="0"/>
                <w:noProof/>
                <w:sz w:val="22"/>
                <w:lang w:eastAsia="en-AU"/>
              </w:rPr>
              <w:tab/>
            </w:r>
            <w:r w:rsidRPr="00D31F2E">
              <w:rPr>
                <w:rStyle w:val="Hyperlink"/>
                <w:noProof/>
              </w:rPr>
              <w:t>Introduction</w:t>
            </w:r>
            <w:r>
              <w:rPr>
                <w:noProof/>
                <w:webHidden/>
              </w:rPr>
              <w:tab/>
            </w:r>
            <w:r>
              <w:rPr>
                <w:noProof/>
                <w:webHidden/>
              </w:rPr>
              <w:fldChar w:fldCharType="begin"/>
            </w:r>
            <w:r>
              <w:rPr>
                <w:noProof/>
                <w:webHidden/>
              </w:rPr>
              <w:instrText xml:space="preserve"> PAGEREF _Toc443381723 \h </w:instrText>
            </w:r>
            <w:r>
              <w:rPr>
                <w:noProof/>
                <w:webHidden/>
              </w:rPr>
            </w:r>
            <w:r>
              <w:rPr>
                <w:noProof/>
                <w:webHidden/>
              </w:rPr>
              <w:fldChar w:fldCharType="separate"/>
            </w:r>
            <w:r>
              <w:rPr>
                <w:noProof/>
                <w:webHidden/>
              </w:rPr>
              <w:t>8</w:t>
            </w:r>
            <w:r>
              <w:rPr>
                <w:noProof/>
                <w:webHidden/>
              </w:rPr>
              <w:fldChar w:fldCharType="end"/>
            </w:r>
          </w:hyperlink>
        </w:p>
        <w:p w14:paraId="545D6A85"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24" w:history="1">
            <w:r w:rsidRPr="00D31F2E">
              <w:rPr>
                <w:rStyle w:val="Hyperlink"/>
                <w:noProof/>
              </w:rPr>
              <w:t>2.1.</w:t>
            </w:r>
            <w:r>
              <w:rPr>
                <w:rFonts w:asciiTheme="minorHAnsi" w:eastAsiaTheme="minorEastAsia" w:hAnsiTheme="minorHAnsi" w:cstheme="minorBidi"/>
                <w:noProof/>
                <w:lang w:eastAsia="en-AU"/>
              </w:rPr>
              <w:tab/>
            </w:r>
            <w:r w:rsidRPr="00D31F2E">
              <w:rPr>
                <w:rStyle w:val="Hyperlink"/>
                <w:noProof/>
              </w:rPr>
              <w:t>Submission type</w:t>
            </w:r>
            <w:r>
              <w:rPr>
                <w:noProof/>
                <w:webHidden/>
              </w:rPr>
              <w:tab/>
            </w:r>
            <w:r>
              <w:rPr>
                <w:noProof/>
                <w:webHidden/>
              </w:rPr>
              <w:fldChar w:fldCharType="begin"/>
            </w:r>
            <w:r>
              <w:rPr>
                <w:noProof/>
                <w:webHidden/>
              </w:rPr>
              <w:instrText xml:space="preserve"> PAGEREF _Toc443381724 \h </w:instrText>
            </w:r>
            <w:r>
              <w:rPr>
                <w:noProof/>
                <w:webHidden/>
              </w:rPr>
            </w:r>
            <w:r>
              <w:rPr>
                <w:noProof/>
                <w:webHidden/>
              </w:rPr>
              <w:fldChar w:fldCharType="separate"/>
            </w:r>
            <w:r>
              <w:rPr>
                <w:noProof/>
                <w:webHidden/>
              </w:rPr>
              <w:t>8</w:t>
            </w:r>
            <w:r>
              <w:rPr>
                <w:noProof/>
                <w:webHidden/>
              </w:rPr>
              <w:fldChar w:fldCharType="end"/>
            </w:r>
          </w:hyperlink>
        </w:p>
        <w:p w14:paraId="1ECC5240"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25" w:history="1">
            <w:r w:rsidRPr="00D31F2E">
              <w:rPr>
                <w:rStyle w:val="Hyperlink"/>
                <w:noProof/>
              </w:rPr>
              <w:t>2.2.</w:t>
            </w:r>
            <w:r>
              <w:rPr>
                <w:rFonts w:asciiTheme="minorHAnsi" w:eastAsiaTheme="minorEastAsia" w:hAnsiTheme="minorHAnsi" w:cstheme="minorBidi"/>
                <w:noProof/>
                <w:lang w:eastAsia="en-AU"/>
              </w:rPr>
              <w:tab/>
            </w:r>
            <w:r w:rsidRPr="00D31F2E">
              <w:rPr>
                <w:rStyle w:val="Hyperlink"/>
                <w:noProof/>
              </w:rPr>
              <w:t>Drug class and therapeutic indication</w:t>
            </w:r>
            <w:r>
              <w:rPr>
                <w:noProof/>
                <w:webHidden/>
              </w:rPr>
              <w:tab/>
            </w:r>
            <w:r>
              <w:rPr>
                <w:noProof/>
                <w:webHidden/>
              </w:rPr>
              <w:fldChar w:fldCharType="begin"/>
            </w:r>
            <w:r>
              <w:rPr>
                <w:noProof/>
                <w:webHidden/>
              </w:rPr>
              <w:instrText xml:space="preserve"> PAGEREF _Toc443381725 \h </w:instrText>
            </w:r>
            <w:r>
              <w:rPr>
                <w:noProof/>
                <w:webHidden/>
              </w:rPr>
            </w:r>
            <w:r>
              <w:rPr>
                <w:noProof/>
                <w:webHidden/>
              </w:rPr>
              <w:fldChar w:fldCharType="separate"/>
            </w:r>
            <w:r>
              <w:rPr>
                <w:noProof/>
                <w:webHidden/>
              </w:rPr>
              <w:t>8</w:t>
            </w:r>
            <w:r>
              <w:rPr>
                <w:noProof/>
                <w:webHidden/>
              </w:rPr>
              <w:fldChar w:fldCharType="end"/>
            </w:r>
          </w:hyperlink>
        </w:p>
        <w:p w14:paraId="1F7C243D"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26" w:history="1">
            <w:r w:rsidRPr="00D31F2E">
              <w:rPr>
                <w:rStyle w:val="Hyperlink"/>
                <w:noProof/>
              </w:rPr>
              <w:t>2.3.</w:t>
            </w:r>
            <w:r>
              <w:rPr>
                <w:rFonts w:asciiTheme="minorHAnsi" w:eastAsiaTheme="minorEastAsia" w:hAnsiTheme="minorHAnsi" w:cstheme="minorBidi"/>
                <w:noProof/>
                <w:lang w:eastAsia="en-AU"/>
              </w:rPr>
              <w:tab/>
            </w:r>
            <w:r w:rsidRPr="00D31F2E">
              <w:rPr>
                <w:rStyle w:val="Hyperlink"/>
                <w:noProof/>
              </w:rPr>
              <w:t>Dosage forms and strengths</w:t>
            </w:r>
            <w:r>
              <w:rPr>
                <w:noProof/>
                <w:webHidden/>
              </w:rPr>
              <w:tab/>
            </w:r>
            <w:r>
              <w:rPr>
                <w:noProof/>
                <w:webHidden/>
              </w:rPr>
              <w:fldChar w:fldCharType="begin"/>
            </w:r>
            <w:r>
              <w:rPr>
                <w:noProof/>
                <w:webHidden/>
              </w:rPr>
              <w:instrText xml:space="preserve"> PAGEREF _Toc443381726 \h </w:instrText>
            </w:r>
            <w:r>
              <w:rPr>
                <w:noProof/>
                <w:webHidden/>
              </w:rPr>
            </w:r>
            <w:r>
              <w:rPr>
                <w:noProof/>
                <w:webHidden/>
              </w:rPr>
              <w:fldChar w:fldCharType="separate"/>
            </w:r>
            <w:r>
              <w:rPr>
                <w:noProof/>
                <w:webHidden/>
              </w:rPr>
              <w:t>8</w:t>
            </w:r>
            <w:r>
              <w:rPr>
                <w:noProof/>
                <w:webHidden/>
              </w:rPr>
              <w:fldChar w:fldCharType="end"/>
            </w:r>
          </w:hyperlink>
        </w:p>
        <w:p w14:paraId="7886FA78"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27" w:history="1">
            <w:r w:rsidRPr="00D31F2E">
              <w:rPr>
                <w:rStyle w:val="Hyperlink"/>
                <w:noProof/>
              </w:rPr>
              <w:t>2.4.</w:t>
            </w:r>
            <w:r>
              <w:rPr>
                <w:rFonts w:asciiTheme="minorHAnsi" w:eastAsiaTheme="minorEastAsia" w:hAnsiTheme="minorHAnsi" w:cstheme="minorBidi"/>
                <w:noProof/>
                <w:lang w:eastAsia="en-AU"/>
              </w:rPr>
              <w:tab/>
            </w:r>
            <w:r w:rsidRPr="00D31F2E">
              <w:rPr>
                <w:rStyle w:val="Hyperlink"/>
                <w:noProof/>
              </w:rPr>
              <w:t>Dosage and administration</w:t>
            </w:r>
            <w:r>
              <w:rPr>
                <w:noProof/>
                <w:webHidden/>
              </w:rPr>
              <w:tab/>
            </w:r>
            <w:r>
              <w:rPr>
                <w:noProof/>
                <w:webHidden/>
              </w:rPr>
              <w:fldChar w:fldCharType="begin"/>
            </w:r>
            <w:r>
              <w:rPr>
                <w:noProof/>
                <w:webHidden/>
              </w:rPr>
              <w:instrText xml:space="preserve"> PAGEREF _Toc443381727 \h </w:instrText>
            </w:r>
            <w:r>
              <w:rPr>
                <w:noProof/>
                <w:webHidden/>
              </w:rPr>
            </w:r>
            <w:r>
              <w:rPr>
                <w:noProof/>
                <w:webHidden/>
              </w:rPr>
              <w:fldChar w:fldCharType="separate"/>
            </w:r>
            <w:r>
              <w:rPr>
                <w:noProof/>
                <w:webHidden/>
              </w:rPr>
              <w:t>8</w:t>
            </w:r>
            <w:r>
              <w:rPr>
                <w:noProof/>
                <w:webHidden/>
              </w:rPr>
              <w:fldChar w:fldCharType="end"/>
            </w:r>
          </w:hyperlink>
        </w:p>
        <w:p w14:paraId="6D43C447"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28" w:history="1">
            <w:r w:rsidRPr="00D31F2E">
              <w:rPr>
                <w:rStyle w:val="Hyperlink"/>
                <w:noProof/>
              </w:rPr>
              <w:t>3.</w:t>
            </w:r>
            <w:r>
              <w:rPr>
                <w:rFonts w:asciiTheme="minorHAnsi" w:eastAsiaTheme="minorEastAsia" w:hAnsiTheme="minorHAnsi" w:cstheme="minorBidi"/>
                <w:b w:val="0"/>
                <w:noProof/>
                <w:sz w:val="22"/>
                <w:lang w:eastAsia="en-AU"/>
              </w:rPr>
              <w:tab/>
            </w:r>
            <w:r w:rsidRPr="00D31F2E">
              <w:rPr>
                <w:rStyle w:val="Hyperlink"/>
                <w:noProof/>
              </w:rPr>
              <w:t>Clinical rationale</w:t>
            </w:r>
            <w:r>
              <w:rPr>
                <w:noProof/>
                <w:webHidden/>
              </w:rPr>
              <w:tab/>
            </w:r>
            <w:r>
              <w:rPr>
                <w:noProof/>
                <w:webHidden/>
              </w:rPr>
              <w:fldChar w:fldCharType="begin"/>
            </w:r>
            <w:r>
              <w:rPr>
                <w:noProof/>
                <w:webHidden/>
              </w:rPr>
              <w:instrText xml:space="preserve"> PAGEREF _Toc443381728 \h </w:instrText>
            </w:r>
            <w:r>
              <w:rPr>
                <w:noProof/>
                <w:webHidden/>
              </w:rPr>
            </w:r>
            <w:r>
              <w:rPr>
                <w:noProof/>
                <w:webHidden/>
              </w:rPr>
              <w:fldChar w:fldCharType="separate"/>
            </w:r>
            <w:r>
              <w:rPr>
                <w:noProof/>
                <w:webHidden/>
              </w:rPr>
              <w:t>8</w:t>
            </w:r>
            <w:r>
              <w:rPr>
                <w:noProof/>
                <w:webHidden/>
              </w:rPr>
              <w:fldChar w:fldCharType="end"/>
            </w:r>
          </w:hyperlink>
        </w:p>
        <w:p w14:paraId="5BCDCD34"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29" w:history="1">
            <w:r w:rsidRPr="00D31F2E">
              <w:rPr>
                <w:rStyle w:val="Hyperlink"/>
                <w:noProof/>
              </w:rPr>
              <w:t>3.1.</w:t>
            </w:r>
            <w:r>
              <w:rPr>
                <w:rFonts w:asciiTheme="minorHAnsi" w:eastAsiaTheme="minorEastAsia" w:hAnsiTheme="minorHAnsi" w:cstheme="minorBidi"/>
                <w:noProof/>
                <w:lang w:eastAsia="en-AU"/>
              </w:rPr>
              <w:tab/>
            </w:r>
            <w:r w:rsidRPr="00D31F2E">
              <w:rPr>
                <w:rStyle w:val="Hyperlink"/>
                <w:noProof/>
              </w:rPr>
              <w:t>NSCLC</w:t>
            </w:r>
            <w:r>
              <w:rPr>
                <w:noProof/>
                <w:webHidden/>
              </w:rPr>
              <w:tab/>
            </w:r>
            <w:r>
              <w:rPr>
                <w:noProof/>
                <w:webHidden/>
              </w:rPr>
              <w:fldChar w:fldCharType="begin"/>
            </w:r>
            <w:r>
              <w:rPr>
                <w:noProof/>
                <w:webHidden/>
              </w:rPr>
              <w:instrText xml:space="preserve"> PAGEREF _Toc443381729 \h </w:instrText>
            </w:r>
            <w:r>
              <w:rPr>
                <w:noProof/>
                <w:webHidden/>
              </w:rPr>
            </w:r>
            <w:r>
              <w:rPr>
                <w:noProof/>
                <w:webHidden/>
              </w:rPr>
              <w:fldChar w:fldCharType="separate"/>
            </w:r>
            <w:r>
              <w:rPr>
                <w:noProof/>
                <w:webHidden/>
              </w:rPr>
              <w:t>8</w:t>
            </w:r>
            <w:r>
              <w:rPr>
                <w:noProof/>
                <w:webHidden/>
              </w:rPr>
              <w:fldChar w:fldCharType="end"/>
            </w:r>
          </w:hyperlink>
        </w:p>
        <w:p w14:paraId="01463603"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0" w:history="1">
            <w:r w:rsidRPr="00D31F2E">
              <w:rPr>
                <w:rStyle w:val="Hyperlink"/>
                <w:noProof/>
              </w:rPr>
              <w:t>3.2.</w:t>
            </w:r>
            <w:r>
              <w:rPr>
                <w:rFonts w:asciiTheme="minorHAnsi" w:eastAsiaTheme="minorEastAsia" w:hAnsiTheme="minorHAnsi" w:cstheme="minorBidi"/>
                <w:noProof/>
                <w:lang w:eastAsia="en-AU"/>
              </w:rPr>
              <w:tab/>
            </w:r>
            <w:r w:rsidRPr="00D31F2E">
              <w:rPr>
                <w:rStyle w:val="Hyperlink"/>
                <w:noProof/>
              </w:rPr>
              <w:t>IPF</w:t>
            </w:r>
            <w:r>
              <w:rPr>
                <w:noProof/>
                <w:webHidden/>
              </w:rPr>
              <w:tab/>
            </w:r>
            <w:r>
              <w:rPr>
                <w:noProof/>
                <w:webHidden/>
              </w:rPr>
              <w:fldChar w:fldCharType="begin"/>
            </w:r>
            <w:r>
              <w:rPr>
                <w:noProof/>
                <w:webHidden/>
              </w:rPr>
              <w:instrText xml:space="preserve"> PAGEREF _Toc443381730 \h </w:instrText>
            </w:r>
            <w:r>
              <w:rPr>
                <w:noProof/>
                <w:webHidden/>
              </w:rPr>
            </w:r>
            <w:r>
              <w:rPr>
                <w:noProof/>
                <w:webHidden/>
              </w:rPr>
              <w:fldChar w:fldCharType="separate"/>
            </w:r>
            <w:r>
              <w:rPr>
                <w:noProof/>
                <w:webHidden/>
              </w:rPr>
              <w:t>9</w:t>
            </w:r>
            <w:r>
              <w:rPr>
                <w:noProof/>
                <w:webHidden/>
              </w:rPr>
              <w:fldChar w:fldCharType="end"/>
            </w:r>
          </w:hyperlink>
        </w:p>
        <w:p w14:paraId="7D92B6B3"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31" w:history="1">
            <w:r w:rsidRPr="00D31F2E">
              <w:rPr>
                <w:rStyle w:val="Hyperlink"/>
                <w:noProof/>
              </w:rPr>
              <w:t>4.</w:t>
            </w:r>
            <w:r>
              <w:rPr>
                <w:rFonts w:asciiTheme="minorHAnsi" w:eastAsiaTheme="minorEastAsia" w:hAnsiTheme="minorHAnsi" w:cstheme="minorBidi"/>
                <w:b w:val="0"/>
                <w:noProof/>
                <w:sz w:val="22"/>
                <w:lang w:eastAsia="en-AU"/>
              </w:rPr>
              <w:tab/>
            </w:r>
            <w:r w:rsidRPr="00D31F2E">
              <w:rPr>
                <w:rStyle w:val="Hyperlink"/>
                <w:noProof/>
              </w:rPr>
              <w:t>Contents of the clinical dossier</w:t>
            </w:r>
            <w:r>
              <w:rPr>
                <w:noProof/>
                <w:webHidden/>
              </w:rPr>
              <w:tab/>
            </w:r>
            <w:r>
              <w:rPr>
                <w:noProof/>
                <w:webHidden/>
              </w:rPr>
              <w:fldChar w:fldCharType="begin"/>
            </w:r>
            <w:r>
              <w:rPr>
                <w:noProof/>
                <w:webHidden/>
              </w:rPr>
              <w:instrText xml:space="preserve"> PAGEREF _Toc443381731 \h </w:instrText>
            </w:r>
            <w:r>
              <w:rPr>
                <w:noProof/>
                <w:webHidden/>
              </w:rPr>
            </w:r>
            <w:r>
              <w:rPr>
                <w:noProof/>
                <w:webHidden/>
              </w:rPr>
              <w:fldChar w:fldCharType="separate"/>
            </w:r>
            <w:r>
              <w:rPr>
                <w:noProof/>
                <w:webHidden/>
              </w:rPr>
              <w:t>9</w:t>
            </w:r>
            <w:r>
              <w:rPr>
                <w:noProof/>
                <w:webHidden/>
              </w:rPr>
              <w:fldChar w:fldCharType="end"/>
            </w:r>
          </w:hyperlink>
        </w:p>
        <w:p w14:paraId="0077F847"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2" w:history="1">
            <w:r w:rsidRPr="00D31F2E">
              <w:rPr>
                <w:rStyle w:val="Hyperlink"/>
                <w:noProof/>
              </w:rPr>
              <w:t>4.1.</w:t>
            </w:r>
            <w:r>
              <w:rPr>
                <w:rFonts w:asciiTheme="minorHAnsi" w:eastAsiaTheme="minorEastAsia" w:hAnsiTheme="minorHAnsi" w:cstheme="minorBidi"/>
                <w:noProof/>
                <w:lang w:eastAsia="en-AU"/>
              </w:rPr>
              <w:tab/>
            </w:r>
            <w:r w:rsidRPr="00D31F2E">
              <w:rPr>
                <w:rStyle w:val="Hyperlink"/>
                <w:noProof/>
              </w:rPr>
              <w:t>Scope of the clinical dossier</w:t>
            </w:r>
            <w:r>
              <w:rPr>
                <w:noProof/>
                <w:webHidden/>
              </w:rPr>
              <w:tab/>
            </w:r>
            <w:r>
              <w:rPr>
                <w:noProof/>
                <w:webHidden/>
              </w:rPr>
              <w:fldChar w:fldCharType="begin"/>
            </w:r>
            <w:r>
              <w:rPr>
                <w:noProof/>
                <w:webHidden/>
              </w:rPr>
              <w:instrText xml:space="preserve"> PAGEREF _Toc443381732 \h </w:instrText>
            </w:r>
            <w:r>
              <w:rPr>
                <w:noProof/>
                <w:webHidden/>
              </w:rPr>
            </w:r>
            <w:r>
              <w:rPr>
                <w:noProof/>
                <w:webHidden/>
              </w:rPr>
              <w:fldChar w:fldCharType="separate"/>
            </w:r>
            <w:r>
              <w:rPr>
                <w:noProof/>
                <w:webHidden/>
              </w:rPr>
              <w:t>9</w:t>
            </w:r>
            <w:r>
              <w:rPr>
                <w:noProof/>
                <w:webHidden/>
              </w:rPr>
              <w:fldChar w:fldCharType="end"/>
            </w:r>
          </w:hyperlink>
        </w:p>
        <w:p w14:paraId="157C756A"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3" w:history="1">
            <w:r w:rsidRPr="00D31F2E">
              <w:rPr>
                <w:rStyle w:val="Hyperlink"/>
                <w:noProof/>
              </w:rPr>
              <w:t>4.2.</w:t>
            </w:r>
            <w:r>
              <w:rPr>
                <w:rFonts w:asciiTheme="minorHAnsi" w:eastAsiaTheme="minorEastAsia" w:hAnsiTheme="minorHAnsi" w:cstheme="minorBidi"/>
                <w:noProof/>
                <w:lang w:eastAsia="en-AU"/>
              </w:rPr>
              <w:tab/>
            </w:r>
            <w:r w:rsidRPr="00D31F2E">
              <w:rPr>
                <w:rStyle w:val="Hyperlink"/>
                <w:noProof/>
              </w:rPr>
              <w:t>Paediatric data</w:t>
            </w:r>
            <w:r>
              <w:rPr>
                <w:noProof/>
                <w:webHidden/>
              </w:rPr>
              <w:tab/>
            </w:r>
            <w:r>
              <w:rPr>
                <w:noProof/>
                <w:webHidden/>
              </w:rPr>
              <w:fldChar w:fldCharType="begin"/>
            </w:r>
            <w:r>
              <w:rPr>
                <w:noProof/>
                <w:webHidden/>
              </w:rPr>
              <w:instrText xml:space="preserve"> PAGEREF _Toc443381733 \h </w:instrText>
            </w:r>
            <w:r>
              <w:rPr>
                <w:noProof/>
                <w:webHidden/>
              </w:rPr>
            </w:r>
            <w:r>
              <w:rPr>
                <w:noProof/>
                <w:webHidden/>
              </w:rPr>
              <w:fldChar w:fldCharType="separate"/>
            </w:r>
            <w:r>
              <w:rPr>
                <w:noProof/>
                <w:webHidden/>
              </w:rPr>
              <w:t>10</w:t>
            </w:r>
            <w:r>
              <w:rPr>
                <w:noProof/>
                <w:webHidden/>
              </w:rPr>
              <w:fldChar w:fldCharType="end"/>
            </w:r>
          </w:hyperlink>
        </w:p>
        <w:p w14:paraId="62B13122"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4" w:history="1">
            <w:r w:rsidRPr="00D31F2E">
              <w:rPr>
                <w:rStyle w:val="Hyperlink"/>
                <w:noProof/>
              </w:rPr>
              <w:t>4.3.</w:t>
            </w:r>
            <w:r>
              <w:rPr>
                <w:rFonts w:asciiTheme="minorHAnsi" w:eastAsiaTheme="minorEastAsia" w:hAnsiTheme="minorHAnsi" w:cstheme="minorBidi"/>
                <w:noProof/>
                <w:lang w:eastAsia="en-AU"/>
              </w:rPr>
              <w:tab/>
            </w:r>
            <w:r w:rsidRPr="00D31F2E">
              <w:rPr>
                <w:rStyle w:val="Hyperlink"/>
                <w:noProof/>
              </w:rPr>
              <w:t>Good clinical practice</w:t>
            </w:r>
            <w:r>
              <w:rPr>
                <w:noProof/>
                <w:webHidden/>
              </w:rPr>
              <w:tab/>
            </w:r>
            <w:r>
              <w:rPr>
                <w:noProof/>
                <w:webHidden/>
              </w:rPr>
              <w:fldChar w:fldCharType="begin"/>
            </w:r>
            <w:r>
              <w:rPr>
                <w:noProof/>
                <w:webHidden/>
              </w:rPr>
              <w:instrText xml:space="preserve"> PAGEREF _Toc443381734 \h </w:instrText>
            </w:r>
            <w:r>
              <w:rPr>
                <w:noProof/>
                <w:webHidden/>
              </w:rPr>
            </w:r>
            <w:r>
              <w:rPr>
                <w:noProof/>
                <w:webHidden/>
              </w:rPr>
              <w:fldChar w:fldCharType="separate"/>
            </w:r>
            <w:r>
              <w:rPr>
                <w:noProof/>
                <w:webHidden/>
              </w:rPr>
              <w:t>10</w:t>
            </w:r>
            <w:r>
              <w:rPr>
                <w:noProof/>
                <w:webHidden/>
              </w:rPr>
              <w:fldChar w:fldCharType="end"/>
            </w:r>
          </w:hyperlink>
        </w:p>
        <w:p w14:paraId="42B6D196"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35" w:history="1">
            <w:r w:rsidRPr="00D31F2E">
              <w:rPr>
                <w:rStyle w:val="Hyperlink"/>
                <w:noProof/>
              </w:rPr>
              <w:t>5.</w:t>
            </w:r>
            <w:r>
              <w:rPr>
                <w:rFonts w:asciiTheme="minorHAnsi" w:eastAsiaTheme="minorEastAsia" w:hAnsiTheme="minorHAnsi" w:cstheme="minorBidi"/>
                <w:b w:val="0"/>
                <w:noProof/>
                <w:sz w:val="22"/>
                <w:lang w:eastAsia="en-AU"/>
              </w:rPr>
              <w:tab/>
            </w:r>
            <w:r w:rsidRPr="00D31F2E">
              <w:rPr>
                <w:rStyle w:val="Hyperlink"/>
                <w:noProof/>
              </w:rPr>
              <w:t>Pharmacokinetics</w:t>
            </w:r>
            <w:r>
              <w:rPr>
                <w:noProof/>
                <w:webHidden/>
              </w:rPr>
              <w:tab/>
            </w:r>
            <w:r>
              <w:rPr>
                <w:noProof/>
                <w:webHidden/>
              </w:rPr>
              <w:fldChar w:fldCharType="begin"/>
            </w:r>
            <w:r>
              <w:rPr>
                <w:noProof/>
                <w:webHidden/>
              </w:rPr>
              <w:instrText xml:space="preserve"> PAGEREF _Toc443381735 \h </w:instrText>
            </w:r>
            <w:r>
              <w:rPr>
                <w:noProof/>
                <w:webHidden/>
              </w:rPr>
            </w:r>
            <w:r>
              <w:rPr>
                <w:noProof/>
                <w:webHidden/>
              </w:rPr>
              <w:fldChar w:fldCharType="separate"/>
            </w:r>
            <w:r>
              <w:rPr>
                <w:noProof/>
                <w:webHidden/>
              </w:rPr>
              <w:t>10</w:t>
            </w:r>
            <w:r>
              <w:rPr>
                <w:noProof/>
                <w:webHidden/>
              </w:rPr>
              <w:fldChar w:fldCharType="end"/>
            </w:r>
          </w:hyperlink>
        </w:p>
        <w:p w14:paraId="7A933CC2"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6" w:history="1">
            <w:r w:rsidRPr="00D31F2E">
              <w:rPr>
                <w:rStyle w:val="Hyperlink"/>
                <w:noProof/>
              </w:rPr>
              <w:t>5.1.</w:t>
            </w:r>
            <w:r>
              <w:rPr>
                <w:rFonts w:asciiTheme="minorHAnsi" w:eastAsiaTheme="minorEastAsia" w:hAnsiTheme="minorHAnsi" w:cstheme="minorBidi"/>
                <w:noProof/>
                <w:lang w:eastAsia="en-AU"/>
              </w:rPr>
              <w:tab/>
            </w:r>
            <w:r w:rsidRPr="00D31F2E">
              <w:rPr>
                <w:rStyle w:val="Hyperlink"/>
                <w:noProof/>
              </w:rPr>
              <w:t>Studies providing pharmacokinetic data</w:t>
            </w:r>
            <w:r>
              <w:rPr>
                <w:noProof/>
                <w:webHidden/>
              </w:rPr>
              <w:tab/>
            </w:r>
            <w:r>
              <w:rPr>
                <w:noProof/>
                <w:webHidden/>
              </w:rPr>
              <w:fldChar w:fldCharType="begin"/>
            </w:r>
            <w:r>
              <w:rPr>
                <w:noProof/>
                <w:webHidden/>
              </w:rPr>
              <w:instrText xml:space="preserve"> PAGEREF _Toc443381736 \h </w:instrText>
            </w:r>
            <w:r>
              <w:rPr>
                <w:noProof/>
                <w:webHidden/>
              </w:rPr>
            </w:r>
            <w:r>
              <w:rPr>
                <w:noProof/>
                <w:webHidden/>
              </w:rPr>
              <w:fldChar w:fldCharType="separate"/>
            </w:r>
            <w:r>
              <w:rPr>
                <w:noProof/>
                <w:webHidden/>
              </w:rPr>
              <w:t>10</w:t>
            </w:r>
            <w:r>
              <w:rPr>
                <w:noProof/>
                <w:webHidden/>
              </w:rPr>
              <w:fldChar w:fldCharType="end"/>
            </w:r>
          </w:hyperlink>
        </w:p>
        <w:p w14:paraId="7D8ED370"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7" w:history="1">
            <w:r w:rsidRPr="00D31F2E">
              <w:rPr>
                <w:rStyle w:val="Hyperlink"/>
                <w:noProof/>
              </w:rPr>
              <w:t>5.2.</w:t>
            </w:r>
            <w:r>
              <w:rPr>
                <w:rFonts w:asciiTheme="minorHAnsi" w:eastAsiaTheme="minorEastAsia" w:hAnsiTheme="minorHAnsi" w:cstheme="minorBidi"/>
                <w:noProof/>
                <w:lang w:eastAsia="en-AU"/>
              </w:rPr>
              <w:tab/>
            </w:r>
            <w:r w:rsidRPr="00D31F2E">
              <w:rPr>
                <w:rStyle w:val="Hyperlink"/>
                <w:noProof/>
              </w:rPr>
              <w:t>Summary of pharmacokinetics</w:t>
            </w:r>
            <w:r>
              <w:rPr>
                <w:noProof/>
                <w:webHidden/>
              </w:rPr>
              <w:tab/>
            </w:r>
            <w:r>
              <w:rPr>
                <w:noProof/>
                <w:webHidden/>
              </w:rPr>
              <w:fldChar w:fldCharType="begin"/>
            </w:r>
            <w:r>
              <w:rPr>
                <w:noProof/>
                <w:webHidden/>
              </w:rPr>
              <w:instrText xml:space="preserve"> PAGEREF _Toc443381737 \h </w:instrText>
            </w:r>
            <w:r>
              <w:rPr>
                <w:noProof/>
                <w:webHidden/>
              </w:rPr>
            </w:r>
            <w:r>
              <w:rPr>
                <w:noProof/>
                <w:webHidden/>
              </w:rPr>
              <w:fldChar w:fldCharType="separate"/>
            </w:r>
            <w:r>
              <w:rPr>
                <w:noProof/>
                <w:webHidden/>
              </w:rPr>
              <w:t>11</w:t>
            </w:r>
            <w:r>
              <w:rPr>
                <w:noProof/>
                <w:webHidden/>
              </w:rPr>
              <w:fldChar w:fldCharType="end"/>
            </w:r>
          </w:hyperlink>
        </w:p>
        <w:p w14:paraId="6B525E5B"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38" w:history="1">
            <w:r w:rsidRPr="00D31F2E">
              <w:rPr>
                <w:rStyle w:val="Hyperlink"/>
                <w:noProof/>
              </w:rPr>
              <w:t>5.3.</w:t>
            </w:r>
            <w:r>
              <w:rPr>
                <w:rFonts w:asciiTheme="minorHAnsi" w:eastAsiaTheme="minorEastAsia" w:hAnsiTheme="minorHAnsi" w:cstheme="minorBidi"/>
                <w:noProof/>
                <w:lang w:eastAsia="en-AU"/>
              </w:rPr>
              <w:tab/>
            </w:r>
            <w:r w:rsidRPr="00D31F2E">
              <w:rPr>
                <w:rStyle w:val="Hyperlink"/>
                <w:noProof/>
              </w:rPr>
              <w:t>Evaluator’s overall conclusions on pharmacokinetics</w:t>
            </w:r>
            <w:r>
              <w:rPr>
                <w:noProof/>
                <w:webHidden/>
              </w:rPr>
              <w:tab/>
            </w:r>
            <w:r>
              <w:rPr>
                <w:noProof/>
                <w:webHidden/>
              </w:rPr>
              <w:fldChar w:fldCharType="begin"/>
            </w:r>
            <w:r>
              <w:rPr>
                <w:noProof/>
                <w:webHidden/>
              </w:rPr>
              <w:instrText xml:space="preserve"> PAGEREF _Toc443381738 \h </w:instrText>
            </w:r>
            <w:r>
              <w:rPr>
                <w:noProof/>
                <w:webHidden/>
              </w:rPr>
            </w:r>
            <w:r>
              <w:rPr>
                <w:noProof/>
                <w:webHidden/>
              </w:rPr>
              <w:fldChar w:fldCharType="separate"/>
            </w:r>
            <w:r>
              <w:rPr>
                <w:noProof/>
                <w:webHidden/>
              </w:rPr>
              <w:t>19</w:t>
            </w:r>
            <w:r>
              <w:rPr>
                <w:noProof/>
                <w:webHidden/>
              </w:rPr>
              <w:fldChar w:fldCharType="end"/>
            </w:r>
          </w:hyperlink>
        </w:p>
        <w:p w14:paraId="51FAADD6"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39" w:history="1">
            <w:r w:rsidRPr="00D31F2E">
              <w:rPr>
                <w:rStyle w:val="Hyperlink"/>
                <w:noProof/>
              </w:rPr>
              <w:t>6.</w:t>
            </w:r>
            <w:r>
              <w:rPr>
                <w:rFonts w:asciiTheme="minorHAnsi" w:eastAsiaTheme="minorEastAsia" w:hAnsiTheme="minorHAnsi" w:cstheme="minorBidi"/>
                <w:b w:val="0"/>
                <w:noProof/>
                <w:sz w:val="22"/>
                <w:lang w:eastAsia="en-AU"/>
              </w:rPr>
              <w:tab/>
            </w:r>
            <w:r w:rsidRPr="00D31F2E">
              <w:rPr>
                <w:rStyle w:val="Hyperlink"/>
                <w:noProof/>
              </w:rPr>
              <w:t>Pharmacodynamics</w:t>
            </w:r>
            <w:r>
              <w:rPr>
                <w:noProof/>
                <w:webHidden/>
              </w:rPr>
              <w:tab/>
            </w:r>
            <w:r>
              <w:rPr>
                <w:noProof/>
                <w:webHidden/>
              </w:rPr>
              <w:fldChar w:fldCharType="begin"/>
            </w:r>
            <w:r>
              <w:rPr>
                <w:noProof/>
                <w:webHidden/>
              </w:rPr>
              <w:instrText xml:space="preserve"> PAGEREF _Toc443381739 \h </w:instrText>
            </w:r>
            <w:r>
              <w:rPr>
                <w:noProof/>
                <w:webHidden/>
              </w:rPr>
            </w:r>
            <w:r>
              <w:rPr>
                <w:noProof/>
                <w:webHidden/>
              </w:rPr>
              <w:fldChar w:fldCharType="separate"/>
            </w:r>
            <w:r>
              <w:rPr>
                <w:noProof/>
                <w:webHidden/>
              </w:rPr>
              <w:t>19</w:t>
            </w:r>
            <w:r>
              <w:rPr>
                <w:noProof/>
                <w:webHidden/>
              </w:rPr>
              <w:fldChar w:fldCharType="end"/>
            </w:r>
          </w:hyperlink>
        </w:p>
        <w:p w14:paraId="18EBD06C"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0" w:history="1">
            <w:r w:rsidRPr="00D31F2E">
              <w:rPr>
                <w:rStyle w:val="Hyperlink"/>
                <w:noProof/>
              </w:rPr>
              <w:t>6.1.</w:t>
            </w:r>
            <w:r>
              <w:rPr>
                <w:rFonts w:asciiTheme="minorHAnsi" w:eastAsiaTheme="minorEastAsia" w:hAnsiTheme="minorHAnsi" w:cstheme="minorBidi"/>
                <w:noProof/>
                <w:lang w:eastAsia="en-AU"/>
              </w:rPr>
              <w:tab/>
            </w:r>
            <w:r w:rsidRPr="00D31F2E">
              <w:rPr>
                <w:rStyle w:val="Hyperlink"/>
                <w:noProof/>
              </w:rPr>
              <w:t>Studies providing pharmacodynamic data</w:t>
            </w:r>
            <w:r>
              <w:rPr>
                <w:noProof/>
                <w:webHidden/>
              </w:rPr>
              <w:tab/>
            </w:r>
            <w:r>
              <w:rPr>
                <w:noProof/>
                <w:webHidden/>
              </w:rPr>
              <w:fldChar w:fldCharType="begin"/>
            </w:r>
            <w:r>
              <w:rPr>
                <w:noProof/>
                <w:webHidden/>
              </w:rPr>
              <w:instrText xml:space="preserve"> PAGEREF _Toc443381740 \h </w:instrText>
            </w:r>
            <w:r>
              <w:rPr>
                <w:noProof/>
                <w:webHidden/>
              </w:rPr>
            </w:r>
            <w:r>
              <w:rPr>
                <w:noProof/>
                <w:webHidden/>
              </w:rPr>
              <w:fldChar w:fldCharType="separate"/>
            </w:r>
            <w:r>
              <w:rPr>
                <w:noProof/>
                <w:webHidden/>
              </w:rPr>
              <w:t>19</w:t>
            </w:r>
            <w:r>
              <w:rPr>
                <w:noProof/>
                <w:webHidden/>
              </w:rPr>
              <w:fldChar w:fldCharType="end"/>
            </w:r>
          </w:hyperlink>
        </w:p>
        <w:p w14:paraId="29A7855E"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1" w:history="1">
            <w:r w:rsidRPr="00D31F2E">
              <w:rPr>
                <w:rStyle w:val="Hyperlink"/>
                <w:noProof/>
              </w:rPr>
              <w:t>6.2.</w:t>
            </w:r>
            <w:r>
              <w:rPr>
                <w:rFonts w:asciiTheme="minorHAnsi" w:eastAsiaTheme="minorEastAsia" w:hAnsiTheme="minorHAnsi" w:cstheme="minorBidi"/>
                <w:noProof/>
                <w:lang w:eastAsia="en-AU"/>
              </w:rPr>
              <w:tab/>
            </w:r>
            <w:r w:rsidRPr="00D31F2E">
              <w:rPr>
                <w:rStyle w:val="Hyperlink"/>
                <w:noProof/>
              </w:rPr>
              <w:t>Summary of pharmacodynamics</w:t>
            </w:r>
            <w:r>
              <w:rPr>
                <w:noProof/>
                <w:webHidden/>
              </w:rPr>
              <w:tab/>
            </w:r>
            <w:r>
              <w:rPr>
                <w:noProof/>
                <w:webHidden/>
              </w:rPr>
              <w:fldChar w:fldCharType="begin"/>
            </w:r>
            <w:r>
              <w:rPr>
                <w:noProof/>
                <w:webHidden/>
              </w:rPr>
              <w:instrText xml:space="preserve"> PAGEREF _Toc443381741 \h </w:instrText>
            </w:r>
            <w:r>
              <w:rPr>
                <w:noProof/>
                <w:webHidden/>
              </w:rPr>
            </w:r>
            <w:r>
              <w:rPr>
                <w:noProof/>
                <w:webHidden/>
              </w:rPr>
              <w:fldChar w:fldCharType="separate"/>
            </w:r>
            <w:r>
              <w:rPr>
                <w:noProof/>
                <w:webHidden/>
              </w:rPr>
              <w:t>20</w:t>
            </w:r>
            <w:r>
              <w:rPr>
                <w:noProof/>
                <w:webHidden/>
              </w:rPr>
              <w:fldChar w:fldCharType="end"/>
            </w:r>
          </w:hyperlink>
        </w:p>
        <w:p w14:paraId="1AB44197"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2" w:history="1">
            <w:r w:rsidRPr="00D31F2E">
              <w:rPr>
                <w:rStyle w:val="Hyperlink"/>
                <w:noProof/>
              </w:rPr>
              <w:t>6.3.</w:t>
            </w:r>
            <w:r>
              <w:rPr>
                <w:rFonts w:asciiTheme="minorHAnsi" w:eastAsiaTheme="minorEastAsia" w:hAnsiTheme="minorHAnsi" w:cstheme="minorBidi"/>
                <w:noProof/>
                <w:lang w:eastAsia="en-AU"/>
              </w:rPr>
              <w:tab/>
            </w:r>
            <w:r w:rsidRPr="00D31F2E">
              <w:rPr>
                <w:rStyle w:val="Hyperlink"/>
                <w:noProof/>
              </w:rPr>
              <w:t>Evaluator’s overall conclusions on pharmacodynamics</w:t>
            </w:r>
            <w:r>
              <w:rPr>
                <w:noProof/>
                <w:webHidden/>
              </w:rPr>
              <w:tab/>
            </w:r>
            <w:r>
              <w:rPr>
                <w:noProof/>
                <w:webHidden/>
              </w:rPr>
              <w:fldChar w:fldCharType="begin"/>
            </w:r>
            <w:r>
              <w:rPr>
                <w:noProof/>
                <w:webHidden/>
              </w:rPr>
              <w:instrText xml:space="preserve"> PAGEREF _Toc443381742 \h </w:instrText>
            </w:r>
            <w:r>
              <w:rPr>
                <w:noProof/>
                <w:webHidden/>
              </w:rPr>
            </w:r>
            <w:r>
              <w:rPr>
                <w:noProof/>
                <w:webHidden/>
              </w:rPr>
              <w:fldChar w:fldCharType="separate"/>
            </w:r>
            <w:r>
              <w:rPr>
                <w:noProof/>
                <w:webHidden/>
              </w:rPr>
              <w:t>20</w:t>
            </w:r>
            <w:r>
              <w:rPr>
                <w:noProof/>
                <w:webHidden/>
              </w:rPr>
              <w:fldChar w:fldCharType="end"/>
            </w:r>
          </w:hyperlink>
        </w:p>
        <w:p w14:paraId="1044FA8D"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43" w:history="1">
            <w:r w:rsidRPr="00D31F2E">
              <w:rPr>
                <w:rStyle w:val="Hyperlink"/>
                <w:noProof/>
              </w:rPr>
              <w:t>7.</w:t>
            </w:r>
            <w:r>
              <w:rPr>
                <w:rFonts w:asciiTheme="minorHAnsi" w:eastAsiaTheme="minorEastAsia" w:hAnsiTheme="minorHAnsi" w:cstheme="minorBidi"/>
                <w:b w:val="0"/>
                <w:noProof/>
                <w:sz w:val="22"/>
                <w:lang w:eastAsia="en-AU"/>
              </w:rPr>
              <w:tab/>
            </w:r>
            <w:r w:rsidRPr="00D31F2E">
              <w:rPr>
                <w:rStyle w:val="Hyperlink"/>
                <w:noProof/>
              </w:rPr>
              <w:t>Dosage selection for the pivotal studies</w:t>
            </w:r>
            <w:r>
              <w:rPr>
                <w:noProof/>
                <w:webHidden/>
              </w:rPr>
              <w:tab/>
            </w:r>
            <w:r>
              <w:rPr>
                <w:noProof/>
                <w:webHidden/>
              </w:rPr>
              <w:fldChar w:fldCharType="begin"/>
            </w:r>
            <w:r>
              <w:rPr>
                <w:noProof/>
                <w:webHidden/>
              </w:rPr>
              <w:instrText xml:space="preserve"> PAGEREF _Toc443381743 \h </w:instrText>
            </w:r>
            <w:r>
              <w:rPr>
                <w:noProof/>
                <w:webHidden/>
              </w:rPr>
            </w:r>
            <w:r>
              <w:rPr>
                <w:noProof/>
                <w:webHidden/>
              </w:rPr>
              <w:fldChar w:fldCharType="separate"/>
            </w:r>
            <w:r>
              <w:rPr>
                <w:noProof/>
                <w:webHidden/>
              </w:rPr>
              <w:t>20</w:t>
            </w:r>
            <w:r>
              <w:rPr>
                <w:noProof/>
                <w:webHidden/>
              </w:rPr>
              <w:fldChar w:fldCharType="end"/>
            </w:r>
          </w:hyperlink>
        </w:p>
        <w:p w14:paraId="414CABA5"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4" w:history="1">
            <w:r w:rsidRPr="00D31F2E">
              <w:rPr>
                <w:rStyle w:val="Hyperlink"/>
                <w:noProof/>
              </w:rPr>
              <w:t>7.1.</w:t>
            </w:r>
            <w:r>
              <w:rPr>
                <w:rFonts w:asciiTheme="minorHAnsi" w:eastAsiaTheme="minorEastAsia" w:hAnsiTheme="minorHAnsi" w:cstheme="minorBidi"/>
                <w:noProof/>
                <w:lang w:eastAsia="en-AU"/>
              </w:rPr>
              <w:tab/>
            </w:r>
            <w:r w:rsidRPr="00D31F2E">
              <w:rPr>
                <w:rStyle w:val="Hyperlink"/>
                <w:noProof/>
              </w:rPr>
              <w:t>Non-small cell lung cancer (NSCLC)</w:t>
            </w:r>
            <w:r>
              <w:rPr>
                <w:noProof/>
                <w:webHidden/>
              </w:rPr>
              <w:tab/>
            </w:r>
            <w:r>
              <w:rPr>
                <w:noProof/>
                <w:webHidden/>
              </w:rPr>
              <w:fldChar w:fldCharType="begin"/>
            </w:r>
            <w:r>
              <w:rPr>
                <w:noProof/>
                <w:webHidden/>
              </w:rPr>
              <w:instrText xml:space="preserve"> PAGEREF _Toc443381744 \h </w:instrText>
            </w:r>
            <w:r>
              <w:rPr>
                <w:noProof/>
                <w:webHidden/>
              </w:rPr>
            </w:r>
            <w:r>
              <w:rPr>
                <w:noProof/>
                <w:webHidden/>
              </w:rPr>
              <w:fldChar w:fldCharType="separate"/>
            </w:r>
            <w:r>
              <w:rPr>
                <w:noProof/>
                <w:webHidden/>
              </w:rPr>
              <w:t>20</w:t>
            </w:r>
            <w:r>
              <w:rPr>
                <w:noProof/>
                <w:webHidden/>
              </w:rPr>
              <w:fldChar w:fldCharType="end"/>
            </w:r>
          </w:hyperlink>
        </w:p>
        <w:p w14:paraId="3561AA2A"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5" w:history="1">
            <w:r w:rsidRPr="00D31F2E">
              <w:rPr>
                <w:rStyle w:val="Hyperlink"/>
                <w:noProof/>
              </w:rPr>
              <w:t>7.2.</w:t>
            </w:r>
            <w:r>
              <w:rPr>
                <w:rFonts w:asciiTheme="minorHAnsi" w:eastAsiaTheme="minorEastAsia" w:hAnsiTheme="minorHAnsi" w:cstheme="minorBidi"/>
                <w:noProof/>
                <w:lang w:eastAsia="en-AU"/>
              </w:rPr>
              <w:tab/>
            </w:r>
            <w:r w:rsidRPr="00D31F2E">
              <w:rPr>
                <w:rStyle w:val="Hyperlink"/>
                <w:noProof/>
              </w:rPr>
              <w:t>Idiopathic pulmonary fibrosis (IPF)</w:t>
            </w:r>
            <w:r>
              <w:rPr>
                <w:noProof/>
                <w:webHidden/>
              </w:rPr>
              <w:tab/>
            </w:r>
            <w:r>
              <w:rPr>
                <w:noProof/>
                <w:webHidden/>
              </w:rPr>
              <w:fldChar w:fldCharType="begin"/>
            </w:r>
            <w:r>
              <w:rPr>
                <w:noProof/>
                <w:webHidden/>
              </w:rPr>
              <w:instrText xml:space="preserve"> PAGEREF _Toc443381745 \h </w:instrText>
            </w:r>
            <w:r>
              <w:rPr>
                <w:noProof/>
                <w:webHidden/>
              </w:rPr>
            </w:r>
            <w:r>
              <w:rPr>
                <w:noProof/>
                <w:webHidden/>
              </w:rPr>
              <w:fldChar w:fldCharType="separate"/>
            </w:r>
            <w:r>
              <w:rPr>
                <w:noProof/>
                <w:webHidden/>
              </w:rPr>
              <w:t>20</w:t>
            </w:r>
            <w:r>
              <w:rPr>
                <w:noProof/>
                <w:webHidden/>
              </w:rPr>
              <w:fldChar w:fldCharType="end"/>
            </w:r>
          </w:hyperlink>
        </w:p>
        <w:p w14:paraId="7EC9E332"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46" w:history="1">
            <w:r w:rsidRPr="00D31F2E">
              <w:rPr>
                <w:rStyle w:val="Hyperlink"/>
                <w:noProof/>
              </w:rPr>
              <w:t>8.</w:t>
            </w:r>
            <w:r>
              <w:rPr>
                <w:rFonts w:asciiTheme="minorHAnsi" w:eastAsiaTheme="minorEastAsia" w:hAnsiTheme="minorHAnsi" w:cstheme="minorBidi"/>
                <w:b w:val="0"/>
                <w:noProof/>
                <w:sz w:val="22"/>
                <w:lang w:eastAsia="en-AU"/>
              </w:rPr>
              <w:tab/>
            </w:r>
            <w:r w:rsidRPr="00D31F2E">
              <w:rPr>
                <w:rStyle w:val="Hyperlink"/>
                <w:noProof/>
              </w:rPr>
              <w:t>Clinical efficacy</w:t>
            </w:r>
            <w:r>
              <w:rPr>
                <w:noProof/>
                <w:webHidden/>
              </w:rPr>
              <w:tab/>
            </w:r>
            <w:r>
              <w:rPr>
                <w:noProof/>
                <w:webHidden/>
              </w:rPr>
              <w:fldChar w:fldCharType="begin"/>
            </w:r>
            <w:r>
              <w:rPr>
                <w:noProof/>
                <w:webHidden/>
              </w:rPr>
              <w:instrText xml:space="preserve"> PAGEREF _Toc443381746 \h </w:instrText>
            </w:r>
            <w:r>
              <w:rPr>
                <w:noProof/>
                <w:webHidden/>
              </w:rPr>
            </w:r>
            <w:r>
              <w:rPr>
                <w:noProof/>
                <w:webHidden/>
              </w:rPr>
              <w:fldChar w:fldCharType="separate"/>
            </w:r>
            <w:r>
              <w:rPr>
                <w:noProof/>
                <w:webHidden/>
              </w:rPr>
              <w:t>20</w:t>
            </w:r>
            <w:r>
              <w:rPr>
                <w:noProof/>
                <w:webHidden/>
              </w:rPr>
              <w:fldChar w:fldCharType="end"/>
            </w:r>
          </w:hyperlink>
        </w:p>
        <w:p w14:paraId="221E027B"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7" w:history="1">
            <w:r w:rsidRPr="00D31F2E">
              <w:rPr>
                <w:rStyle w:val="Hyperlink"/>
                <w:noProof/>
              </w:rPr>
              <w:t>8.1.</w:t>
            </w:r>
            <w:r>
              <w:rPr>
                <w:rFonts w:asciiTheme="minorHAnsi" w:eastAsiaTheme="minorEastAsia" w:hAnsiTheme="minorHAnsi" w:cstheme="minorBidi"/>
                <w:noProof/>
                <w:lang w:eastAsia="en-AU"/>
              </w:rPr>
              <w:tab/>
            </w:r>
            <w:r w:rsidRPr="00D31F2E">
              <w:rPr>
                <w:rStyle w:val="Hyperlink"/>
                <w:noProof/>
              </w:rPr>
              <w:t>Non-small cell lung cancer (NSCLC)</w:t>
            </w:r>
            <w:r>
              <w:rPr>
                <w:noProof/>
                <w:webHidden/>
              </w:rPr>
              <w:tab/>
            </w:r>
            <w:r>
              <w:rPr>
                <w:noProof/>
                <w:webHidden/>
              </w:rPr>
              <w:fldChar w:fldCharType="begin"/>
            </w:r>
            <w:r>
              <w:rPr>
                <w:noProof/>
                <w:webHidden/>
              </w:rPr>
              <w:instrText xml:space="preserve"> PAGEREF _Toc443381747 \h </w:instrText>
            </w:r>
            <w:r>
              <w:rPr>
                <w:noProof/>
                <w:webHidden/>
              </w:rPr>
            </w:r>
            <w:r>
              <w:rPr>
                <w:noProof/>
                <w:webHidden/>
              </w:rPr>
              <w:fldChar w:fldCharType="separate"/>
            </w:r>
            <w:r>
              <w:rPr>
                <w:noProof/>
                <w:webHidden/>
              </w:rPr>
              <w:t>20</w:t>
            </w:r>
            <w:r>
              <w:rPr>
                <w:noProof/>
                <w:webHidden/>
              </w:rPr>
              <w:fldChar w:fldCharType="end"/>
            </w:r>
          </w:hyperlink>
        </w:p>
        <w:p w14:paraId="7451F22F"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48" w:history="1">
            <w:r w:rsidRPr="00D31F2E">
              <w:rPr>
                <w:rStyle w:val="Hyperlink"/>
                <w:noProof/>
              </w:rPr>
              <w:t>8.2.</w:t>
            </w:r>
            <w:r>
              <w:rPr>
                <w:rFonts w:asciiTheme="minorHAnsi" w:eastAsiaTheme="minorEastAsia" w:hAnsiTheme="minorHAnsi" w:cstheme="minorBidi"/>
                <w:noProof/>
                <w:lang w:eastAsia="en-AU"/>
              </w:rPr>
              <w:tab/>
            </w:r>
            <w:r w:rsidRPr="00D31F2E">
              <w:rPr>
                <w:rStyle w:val="Hyperlink"/>
                <w:noProof/>
              </w:rPr>
              <w:t>Idiopathic pulmonary fibrosis (IPF)</w:t>
            </w:r>
            <w:r>
              <w:rPr>
                <w:noProof/>
                <w:webHidden/>
              </w:rPr>
              <w:tab/>
            </w:r>
            <w:r>
              <w:rPr>
                <w:noProof/>
                <w:webHidden/>
              </w:rPr>
              <w:fldChar w:fldCharType="begin"/>
            </w:r>
            <w:r>
              <w:rPr>
                <w:noProof/>
                <w:webHidden/>
              </w:rPr>
              <w:instrText xml:space="preserve"> PAGEREF _Toc443381748 \h </w:instrText>
            </w:r>
            <w:r>
              <w:rPr>
                <w:noProof/>
                <w:webHidden/>
              </w:rPr>
            </w:r>
            <w:r>
              <w:rPr>
                <w:noProof/>
                <w:webHidden/>
              </w:rPr>
              <w:fldChar w:fldCharType="separate"/>
            </w:r>
            <w:r>
              <w:rPr>
                <w:noProof/>
                <w:webHidden/>
              </w:rPr>
              <w:t>39</w:t>
            </w:r>
            <w:r>
              <w:rPr>
                <w:noProof/>
                <w:webHidden/>
              </w:rPr>
              <w:fldChar w:fldCharType="end"/>
            </w:r>
          </w:hyperlink>
        </w:p>
        <w:p w14:paraId="06C4FC8C" w14:textId="77777777" w:rsidR="001A507F" w:rsidRDefault="001A507F">
          <w:pPr>
            <w:pStyle w:val="TOC2"/>
            <w:tabs>
              <w:tab w:val="left" w:pos="1100"/>
            </w:tabs>
            <w:rPr>
              <w:rFonts w:asciiTheme="minorHAnsi" w:eastAsiaTheme="minorEastAsia" w:hAnsiTheme="minorHAnsi" w:cstheme="minorBidi"/>
              <w:b w:val="0"/>
              <w:noProof/>
              <w:sz w:val="22"/>
              <w:lang w:eastAsia="en-AU"/>
            </w:rPr>
          </w:pPr>
          <w:hyperlink w:anchor="_Toc443381749" w:history="1">
            <w:r w:rsidRPr="00D31F2E">
              <w:rPr>
                <w:rStyle w:val="Hyperlink"/>
                <w:noProof/>
              </w:rPr>
              <w:t>9.</w:t>
            </w:r>
            <w:r>
              <w:rPr>
                <w:rFonts w:asciiTheme="minorHAnsi" w:eastAsiaTheme="minorEastAsia" w:hAnsiTheme="minorHAnsi" w:cstheme="minorBidi"/>
                <w:b w:val="0"/>
                <w:noProof/>
                <w:sz w:val="22"/>
                <w:lang w:eastAsia="en-AU"/>
              </w:rPr>
              <w:tab/>
            </w:r>
            <w:r w:rsidRPr="00D31F2E">
              <w:rPr>
                <w:rStyle w:val="Hyperlink"/>
                <w:noProof/>
              </w:rPr>
              <w:t>Clinical safety</w:t>
            </w:r>
            <w:r>
              <w:rPr>
                <w:noProof/>
                <w:webHidden/>
              </w:rPr>
              <w:tab/>
            </w:r>
            <w:r>
              <w:rPr>
                <w:noProof/>
                <w:webHidden/>
              </w:rPr>
              <w:fldChar w:fldCharType="begin"/>
            </w:r>
            <w:r>
              <w:rPr>
                <w:noProof/>
                <w:webHidden/>
              </w:rPr>
              <w:instrText xml:space="preserve"> PAGEREF _Toc443381749 \h </w:instrText>
            </w:r>
            <w:r>
              <w:rPr>
                <w:noProof/>
                <w:webHidden/>
              </w:rPr>
            </w:r>
            <w:r>
              <w:rPr>
                <w:noProof/>
                <w:webHidden/>
              </w:rPr>
              <w:fldChar w:fldCharType="separate"/>
            </w:r>
            <w:r>
              <w:rPr>
                <w:noProof/>
                <w:webHidden/>
              </w:rPr>
              <w:t>54</w:t>
            </w:r>
            <w:r>
              <w:rPr>
                <w:noProof/>
                <w:webHidden/>
              </w:rPr>
              <w:fldChar w:fldCharType="end"/>
            </w:r>
          </w:hyperlink>
        </w:p>
        <w:p w14:paraId="4E1949EB"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0" w:history="1">
            <w:r w:rsidRPr="00D31F2E">
              <w:rPr>
                <w:rStyle w:val="Hyperlink"/>
                <w:noProof/>
              </w:rPr>
              <w:t>9.1.</w:t>
            </w:r>
            <w:r>
              <w:rPr>
                <w:rFonts w:asciiTheme="minorHAnsi" w:eastAsiaTheme="minorEastAsia" w:hAnsiTheme="minorHAnsi" w:cstheme="minorBidi"/>
                <w:noProof/>
                <w:lang w:eastAsia="en-AU"/>
              </w:rPr>
              <w:tab/>
            </w:r>
            <w:r w:rsidRPr="00D31F2E">
              <w:rPr>
                <w:rStyle w:val="Hyperlink"/>
                <w:noProof/>
              </w:rPr>
              <w:t>NSCLC</w:t>
            </w:r>
            <w:r>
              <w:rPr>
                <w:noProof/>
                <w:webHidden/>
              </w:rPr>
              <w:tab/>
            </w:r>
            <w:r>
              <w:rPr>
                <w:noProof/>
                <w:webHidden/>
              </w:rPr>
              <w:fldChar w:fldCharType="begin"/>
            </w:r>
            <w:r>
              <w:rPr>
                <w:noProof/>
                <w:webHidden/>
              </w:rPr>
              <w:instrText xml:space="preserve"> PAGEREF _Toc443381750 \h </w:instrText>
            </w:r>
            <w:r>
              <w:rPr>
                <w:noProof/>
                <w:webHidden/>
              </w:rPr>
            </w:r>
            <w:r>
              <w:rPr>
                <w:noProof/>
                <w:webHidden/>
              </w:rPr>
              <w:fldChar w:fldCharType="separate"/>
            </w:r>
            <w:r>
              <w:rPr>
                <w:noProof/>
                <w:webHidden/>
              </w:rPr>
              <w:t>54</w:t>
            </w:r>
            <w:r>
              <w:rPr>
                <w:noProof/>
                <w:webHidden/>
              </w:rPr>
              <w:fldChar w:fldCharType="end"/>
            </w:r>
          </w:hyperlink>
        </w:p>
        <w:p w14:paraId="3B35AC04"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1" w:history="1">
            <w:r w:rsidRPr="00D31F2E">
              <w:rPr>
                <w:rStyle w:val="Hyperlink"/>
                <w:noProof/>
              </w:rPr>
              <w:t>9.2.</w:t>
            </w:r>
            <w:r>
              <w:rPr>
                <w:rFonts w:asciiTheme="minorHAnsi" w:eastAsiaTheme="minorEastAsia" w:hAnsiTheme="minorHAnsi" w:cstheme="minorBidi"/>
                <w:noProof/>
                <w:lang w:eastAsia="en-AU"/>
              </w:rPr>
              <w:tab/>
            </w:r>
            <w:r w:rsidRPr="00D31F2E">
              <w:rPr>
                <w:rStyle w:val="Hyperlink"/>
                <w:noProof/>
              </w:rPr>
              <w:t>IPF</w:t>
            </w:r>
            <w:r>
              <w:rPr>
                <w:noProof/>
                <w:webHidden/>
              </w:rPr>
              <w:tab/>
            </w:r>
            <w:r>
              <w:rPr>
                <w:noProof/>
                <w:webHidden/>
              </w:rPr>
              <w:fldChar w:fldCharType="begin"/>
            </w:r>
            <w:r>
              <w:rPr>
                <w:noProof/>
                <w:webHidden/>
              </w:rPr>
              <w:instrText xml:space="preserve"> PAGEREF _Toc443381751 \h </w:instrText>
            </w:r>
            <w:r>
              <w:rPr>
                <w:noProof/>
                <w:webHidden/>
              </w:rPr>
            </w:r>
            <w:r>
              <w:rPr>
                <w:noProof/>
                <w:webHidden/>
              </w:rPr>
              <w:fldChar w:fldCharType="separate"/>
            </w:r>
            <w:r>
              <w:rPr>
                <w:noProof/>
                <w:webHidden/>
              </w:rPr>
              <w:t>64</w:t>
            </w:r>
            <w:r>
              <w:rPr>
                <w:noProof/>
                <w:webHidden/>
              </w:rPr>
              <w:fldChar w:fldCharType="end"/>
            </w:r>
          </w:hyperlink>
        </w:p>
        <w:p w14:paraId="1514E1A8"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2" w:history="1">
            <w:r w:rsidRPr="00D31F2E">
              <w:rPr>
                <w:rStyle w:val="Hyperlink"/>
                <w:noProof/>
              </w:rPr>
              <w:t>9.3.</w:t>
            </w:r>
            <w:r>
              <w:rPr>
                <w:rFonts w:asciiTheme="minorHAnsi" w:eastAsiaTheme="minorEastAsia" w:hAnsiTheme="minorHAnsi" w:cstheme="minorBidi"/>
                <w:noProof/>
                <w:lang w:eastAsia="en-AU"/>
              </w:rPr>
              <w:tab/>
            </w:r>
            <w:r w:rsidRPr="00D31F2E">
              <w:rPr>
                <w:rStyle w:val="Hyperlink"/>
                <w:noProof/>
              </w:rPr>
              <w:t>Post-marketing experience</w:t>
            </w:r>
            <w:r>
              <w:rPr>
                <w:noProof/>
                <w:webHidden/>
              </w:rPr>
              <w:tab/>
            </w:r>
            <w:r>
              <w:rPr>
                <w:noProof/>
                <w:webHidden/>
              </w:rPr>
              <w:fldChar w:fldCharType="begin"/>
            </w:r>
            <w:r>
              <w:rPr>
                <w:noProof/>
                <w:webHidden/>
              </w:rPr>
              <w:instrText xml:space="preserve"> PAGEREF _Toc443381752 \h </w:instrText>
            </w:r>
            <w:r>
              <w:rPr>
                <w:noProof/>
                <w:webHidden/>
              </w:rPr>
            </w:r>
            <w:r>
              <w:rPr>
                <w:noProof/>
                <w:webHidden/>
              </w:rPr>
              <w:fldChar w:fldCharType="separate"/>
            </w:r>
            <w:r>
              <w:rPr>
                <w:noProof/>
                <w:webHidden/>
              </w:rPr>
              <w:t>73</w:t>
            </w:r>
            <w:r>
              <w:rPr>
                <w:noProof/>
                <w:webHidden/>
              </w:rPr>
              <w:fldChar w:fldCharType="end"/>
            </w:r>
          </w:hyperlink>
        </w:p>
        <w:p w14:paraId="5D21B974"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3" w:history="1">
            <w:r w:rsidRPr="00D31F2E">
              <w:rPr>
                <w:rStyle w:val="Hyperlink"/>
                <w:noProof/>
              </w:rPr>
              <w:t>9.4.</w:t>
            </w:r>
            <w:r>
              <w:rPr>
                <w:rFonts w:asciiTheme="minorHAnsi" w:eastAsiaTheme="minorEastAsia" w:hAnsiTheme="minorHAnsi" w:cstheme="minorBidi"/>
                <w:noProof/>
                <w:lang w:eastAsia="en-AU"/>
              </w:rPr>
              <w:tab/>
            </w:r>
            <w:r w:rsidRPr="00D31F2E">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_Toc443381753 \h </w:instrText>
            </w:r>
            <w:r>
              <w:rPr>
                <w:noProof/>
                <w:webHidden/>
              </w:rPr>
            </w:r>
            <w:r>
              <w:rPr>
                <w:noProof/>
                <w:webHidden/>
              </w:rPr>
              <w:fldChar w:fldCharType="separate"/>
            </w:r>
            <w:r>
              <w:rPr>
                <w:noProof/>
                <w:webHidden/>
              </w:rPr>
              <w:t>73</w:t>
            </w:r>
            <w:r>
              <w:rPr>
                <w:noProof/>
                <w:webHidden/>
              </w:rPr>
              <w:fldChar w:fldCharType="end"/>
            </w:r>
          </w:hyperlink>
        </w:p>
        <w:p w14:paraId="71D485A8"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4" w:history="1">
            <w:r w:rsidRPr="00D31F2E">
              <w:rPr>
                <w:rStyle w:val="Hyperlink"/>
                <w:noProof/>
              </w:rPr>
              <w:t>9.5.</w:t>
            </w:r>
            <w:r>
              <w:rPr>
                <w:rFonts w:asciiTheme="minorHAnsi" w:eastAsiaTheme="minorEastAsia" w:hAnsiTheme="minorHAnsi" w:cstheme="minorBidi"/>
                <w:noProof/>
                <w:lang w:eastAsia="en-AU"/>
              </w:rPr>
              <w:tab/>
            </w:r>
            <w:r w:rsidRPr="00D31F2E">
              <w:rPr>
                <w:rStyle w:val="Hyperlink"/>
                <w:noProof/>
              </w:rPr>
              <w:t>Other safety issues</w:t>
            </w:r>
            <w:r>
              <w:rPr>
                <w:noProof/>
                <w:webHidden/>
              </w:rPr>
              <w:tab/>
            </w:r>
            <w:r>
              <w:rPr>
                <w:noProof/>
                <w:webHidden/>
              </w:rPr>
              <w:fldChar w:fldCharType="begin"/>
            </w:r>
            <w:r>
              <w:rPr>
                <w:noProof/>
                <w:webHidden/>
              </w:rPr>
              <w:instrText xml:space="preserve"> PAGEREF _Toc443381754 \h </w:instrText>
            </w:r>
            <w:r>
              <w:rPr>
                <w:noProof/>
                <w:webHidden/>
              </w:rPr>
            </w:r>
            <w:r>
              <w:rPr>
                <w:noProof/>
                <w:webHidden/>
              </w:rPr>
              <w:fldChar w:fldCharType="separate"/>
            </w:r>
            <w:r>
              <w:rPr>
                <w:noProof/>
                <w:webHidden/>
              </w:rPr>
              <w:t>74</w:t>
            </w:r>
            <w:r>
              <w:rPr>
                <w:noProof/>
                <w:webHidden/>
              </w:rPr>
              <w:fldChar w:fldCharType="end"/>
            </w:r>
          </w:hyperlink>
        </w:p>
        <w:p w14:paraId="01187B2A"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5" w:history="1">
            <w:r w:rsidRPr="00D31F2E">
              <w:rPr>
                <w:rStyle w:val="Hyperlink"/>
                <w:noProof/>
              </w:rPr>
              <w:t>9.6.</w:t>
            </w:r>
            <w:r>
              <w:rPr>
                <w:rFonts w:asciiTheme="minorHAnsi" w:eastAsiaTheme="minorEastAsia" w:hAnsiTheme="minorHAnsi" w:cstheme="minorBidi"/>
                <w:noProof/>
                <w:lang w:eastAsia="en-AU"/>
              </w:rPr>
              <w:tab/>
            </w:r>
            <w:r w:rsidRPr="00D31F2E">
              <w:rPr>
                <w:rStyle w:val="Hyperlink"/>
                <w:noProof/>
              </w:rPr>
              <w:t>Evaluator’s overall conclusions on clinical safety</w:t>
            </w:r>
            <w:r>
              <w:rPr>
                <w:noProof/>
                <w:webHidden/>
              </w:rPr>
              <w:tab/>
            </w:r>
            <w:r>
              <w:rPr>
                <w:noProof/>
                <w:webHidden/>
              </w:rPr>
              <w:fldChar w:fldCharType="begin"/>
            </w:r>
            <w:r>
              <w:rPr>
                <w:noProof/>
                <w:webHidden/>
              </w:rPr>
              <w:instrText xml:space="preserve"> PAGEREF _Toc443381755 \h </w:instrText>
            </w:r>
            <w:r>
              <w:rPr>
                <w:noProof/>
                <w:webHidden/>
              </w:rPr>
            </w:r>
            <w:r>
              <w:rPr>
                <w:noProof/>
                <w:webHidden/>
              </w:rPr>
              <w:fldChar w:fldCharType="separate"/>
            </w:r>
            <w:r>
              <w:rPr>
                <w:noProof/>
                <w:webHidden/>
              </w:rPr>
              <w:t>74</w:t>
            </w:r>
            <w:r>
              <w:rPr>
                <w:noProof/>
                <w:webHidden/>
              </w:rPr>
              <w:fldChar w:fldCharType="end"/>
            </w:r>
          </w:hyperlink>
        </w:p>
        <w:p w14:paraId="2339BAC6"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56" w:history="1">
            <w:r w:rsidRPr="00D31F2E">
              <w:rPr>
                <w:rStyle w:val="Hyperlink"/>
                <w:noProof/>
              </w:rPr>
              <w:t>10.</w:t>
            </w:r>
            <w:r>
              <w:rPr>
                <w:rFonts w:asciiTheme="minorHAnsi" w:eastAsiaTheme="minorEastAsia" w:hAnsiTheme="minorHAnsi" w:cstheme="minorBidi"/>
                <w:b w:val="0"/>
                <w:noProof/>
                <w:sz w:val="22"/>
                <w:lang w:eastAsia="en-AU"/>
              </w:rPr>
              <w:tab/>
            </w:r>
            <w:r w:rsidRPr="00D31F2E">
              <w:rPr>
                <w:rStyle w:val="Hyperlink"/>
                <w:noProof/>
              </w:rPr>
              <w:t>First round benefit-risk assessment</w:t>
            </w:r>
            <w:r>
              <w:rPr>
                <w:noProof/>
                <w:webHidden/>
              </w:rPr>
              <w:tab/>
            </w:r>
            <w:r>
              <w:rPr>
                <w:noProof/>
                <w:webHidden/>
              </w:rPr>
              <w:fldChar w:fldCharType="begin"/>
            </w:r>
            <w:r>
              <w:rPr>
                <w:noProof/>
                <w:webHidden/>
              </w:rPr>
              <w:instrText xml:space="preserve"> PAGEREF _Toc443381756 \h </w:instrText>
            </w:r>
            <w:r>
              <w:rPr>
                <w:noProof/>
                <w:webHidden/>
              </w:rPr>
            </w:r>
            <w:r>
              <w:rPr>
                <w:noProof/>
                <w:webHidden/>
              </w:rPr>
              <w:fldChar w:fldCharType="separate"/>
            </w:r>
            <w:r>
              <w:rPr>
                <w:noProof/>
                <w:webHidden/>
              </w:rPr>
              <w:t>75</w:t>
            </w:r>
            <w:r>
              <w:rPr>
                <w:noProof/>
                <w:webHidden/>
              </w:rPr>
              <w:fldChar w:fldCharType="end"/>
            </w:r>
          </w:hyperlink>
        </w:p>
        <w:p w14:paraId="78BF0077"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7" w:history="1">
            <w:r w:rsidRPr="00D31F2E">
              <w:rPr>
                <w:rStyle w:val="Hyperlink"/>
                <w:noProof/>
              </w:rPr>
              <w:t>10.1.</w:t>
            </w:r>
            <w:r>
              <w:rPr>
                <w:rFonts w:asciiTheme="minorHAnsi" w:eastAsiaTheme="minorEastAsia" w:hAnsiTheme="minorHAnsi" w:cstheme="minorBidi"/>
                <w:noProof/>
                <w:lang w:eastAsia="en-AU"/>
              </w:rPr>
              <w:tab/>
            </w:r>
            <w:r w:rsidRPr="00D31F2E">
              <w:rPr>
                <w:rStyle w:val="Hyperlink"/>
                <w:noProof/>
              </w:rPr>
              <w:t>First round assessment of benefits</w:t>
            </w:r>
            <w:r>
              <w:rPr>
                <w:noProof/>
                <w:webHidden/>
              </w:rPr>
              <w:tab/>
            </w:r>
            <w:r>
              <w:rPr>
                <w:noProof/>
                <w:webHidden/>
              </w:rPr>
              <w:fldChar w:fldCharType="begin"/>
            </w:r>
            <w:r>
              <w:rPr>
                <w:noProof/>
                <w:webHidden/>
              </w:rPr>
              <w:instrText xml:space="preserve"> PAGEREF _Toc443381757 \h </w:instrText>
            </w:r>
            <w:r>
              <w:rPr>
                <w:noProof/>
                <w:webHidden/>
              </w:rPr>
            </w:r>
            <w:r>
              <w:rPr>
                <w:noProof/>
                <w:webHidden/>
              </w:rPr>
              <w:fldChar w:fldCharType="separate"/>
            </w:r>
            <w:r>
              <w:rPr>
                <w:noProof/>
                <w:webHidden/>
              </w:rPr>
              <w:t>75</w:t>
            </w:r>
            <w:r>
              <w:rPr>
                <w:noProof/>
                <w:webHidden/>
              </w:rPr>
              <w:fldChar w:fldCharType="end"/>
            </w:r>
          </w:hyperlink>
        </w:p>
        <w:p w14:paraId="5281C5F6"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8" w:history="1">
            <w:r w:rsidRPr="00D31F2E">
              <w:rPr>
                <w:rStyle w:val="Hyperlink"/>
                <w:noProof/>
              </w:rPr>
              <w:t>10.2.</w:t>
            </w:r>
            <w:r>
              <w:rPr>
                <w:rFonts w:asciiTheme="minorHAnsi" w:eastAsiaTheme="minorEastAsia" w:hAnsiTheme="minorHAnsi" w:cstheme="minorBidi"/>
                <w:noProof/>
                <w:lang w:eastAsia="en-AU"/>
              </w:rPr>
              <w:tab/>
            </w:r>
            <w:r w:rsidRPr="00D31F2E">
              <w:rPr>
                <w:rStyle w:val="Hyperlink"/>
                <w:noProof/>
              </w:rPr>
              <w:t>First round assessment of risks</w:t>
            </w:r>
            <w:r>
              <w:rPr>
                <w:noProof/>
                <w:webHidden/>
              </w:rPr>
              <w:tab/>
            </w:r>
            <w:r>
              <w:rPr>
                <w:noProof/>
                <w:webHidden/>
              </w:rPr>
              <w:fldChar w:fldCharType="begin"/>
            </w:r>
            <w:r>
              <w:rPr>
                <w:noProof/>
                <w:webHidden/>
              </w:rPr>
              <w:instrText xml:space="preserve"> PAGEREF _Toc443381758 \h </w:instrText>
            </w:r>
            <w:r>
              <w:rPr>
                <w:noProof/>
                <w:webHidden/>
              </w:rPr>
            </w:r>
            <w:r>
              <w:rPr>
                <w:noProof/>
                <w:webHidden/>
              </w:rPr>
              <w:fldChar w:fldCharType="separate"/>
            </w:r>
            <w:r>
              <w:rPr>
                <w:noProof/>
                <w:webHidden/>
              </w:rPr>
              <w:t>75</w:t>
            </w:r>
            <w:r>
              <w:rPr>
                <w:noProof/>
                <w:webHidden/>
              </w:rPr>
              <w:fldChar w:fldCharType="end"/>
            </w:r>
          </w:hyperlink>
        </w:p>
        <w:p w14:paraId="57943FAA"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59" w:history="1">
            <w:r w:rsidRPr="00D31F2E">
              <w:rPr>
                <w:rStyle w:val="Hyperlink"/>
                <w:noProof/>
              </w:rPr>
              <w:t>10.3.</w:t>
            </w:r>
            <w:r>
              <w:rPr>
                <w:rFonts w:asciiTheme="minorHAnsi" w:eastAsiaTheme="minorEastAsia" w:hAnsiTheme="minorHAnsi" w:cstheme="minorBidi"/>
                <w:noProof/>
                <w:lang w:eastAsia="en-AU"/>
              </w:rPr>
              <w:tab/>
            </w:r>
            <w:r w:rsidRPr="00D31F2E">
              <w:rPr>
                <w:rStyle w:val="Hyperlink"/>
                <w:noProof/>
              </w:rPr>
              <w:t>First round assessment of benefit-risk balance</w:t>
            </w:r>
            <w:r>
              <w:rPr>
                <w:noProof/>
                <w:webHidden/>
              </w:rPr>
              <w:tab/>
            </w:r>
            <w:r>
              <w:rPr>
                <w:noProof/>
                <w:webHidden/>
              </w:rPr>
              <w:fldChar w:fldCharType="begin"/>
            </w:r>
            <w:r>
              <w:rPr>
                <w:noProof/>
                <w:webHidden/>
              </w:rPr>
              <w:instrText xml:space="preserve"> PAGEREF _Toc443381759 \h </w:instrText>
            </w:r>
            <w:r>
              <w:rPr>
                <w:noProof/>
                <w:webHidden/>
              </w:rPr>
            </w:r>
            <w:r>
              <w:rPr>
                <w:noProof/>
                <w:webHidden/>
              </w:rPr>
              <w:fldChar w:fldCharType="separate"/>
            </w:r>
            <w:r>
              <w:rPr>
                <w:noProof/>
                <w:webHidden/>
              </w:rPr>
              <w:t>76</w:t>
            </w:r>
            <w:r>
              <w:rPr>
                <w:noProof/>
                <w:webHidden/>
              </w:rPr>
              <w:fldChar w:fldCharType="end"/>
            </w:r>
          </w:hyperlink>
        </w:p>
        <w:p w14:paraId="6D5B39AB"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60" w:history="1">
            <w:r w:rsidRPr="00D31F2E">
              <w:rPr>
                <w:rStyle w:val="Hyperlink"/>
                <w:noProof/>
              </w:rPr>
              <w:t>11.</w:t>
            </w:r>
            <w:r>
              <w:rPr>
                <w:rFonts w:asciiTheme="minorHAnsi" w:eastAsiaTheme="minorEastAsia" w:hAnsiTheme="minorHAnsi" w:cstheme="minorBidi"/>
                <w:b w:val="0"/>
                <w:noProof/>
                <w:sz w:val="22"/>
                <w:lang w:eastAsia="en-AU"/>
              </w:rPr>
              <w:tab/>
            </w:r>
            <w:r w:rsidRPr="00D31F2E">
              <w:rPr>
                <w:rStyle w:val="Hyperlink"/>
                <w:noProof/>
              </w:rPr>
              <w:t>First round recommendation regarding authorisation</w:t>
            </w:r>
            <w:r>
              <w:rPr>
                <w:noProof/>
                <w:webHidden/>
              </w:rPr>
              <w:tab/>
            </w:r>
            <w:r>
              <w:rPr>
                <w:noProof/>
                <w:webHidden/>
              </w:rPr>
              <w:fldChar w:fldCharType="begin"/>
            </w:r>
            <w:r>
              <w:rPr>
                <w:noProof/>
                <w:webHidden/>
              </w:rPr>
              <w:instrText xml:space="preserve"> PAGEREF _Toc443381760 \h </w:instrText>
            </w:r>
            <w:r>
              <w:rPr>
                <w:noProof/>
                <w:webHidden/>
              </w:rPr>
            </w:r>
            <w:r>
              <w:rPr>
                <w:noProof/>
                <w:webHidden/>
              </w:rPr>
              <w:fldChar w:fldCharType="separate"/>
            </w:r>
            <w:r>
              <w:rPr>
                <w:noProof/>
                <w:webHidden/>
              </w:rPr>
              <w:t>76</w:t>
            </w:r>
            <w:r>
              <w:rPr>
                <w:noProof/>
                <w:webHidden/>
              </w:rPr>
              <w:fldChar w:fldCharType="end"/>
            </w:r>
          </w:hyperlink>
        </w:p>
        <w:p w14:paraId="5FC037F3"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61" w:history="1">
            <w:r w:rsidRPr="00D31F2E">
              <w:rPr>
                <w:rStyle w:val="Hyperlink"/>
                <w:noProof/>
              </w:rPr>
              <w:t>12.</w:t>
            </w:r>
            <w:r>
              <w:rPr>
                <w:rFonts w:asciiTheme="minorHAnsi" w:eastAsiaTheme="minorEastAsia" w:hAnsiTheme="minorHAnsi" w:cstheme="minorBidi"/>
                <w:b w:val="0"/>
                <w:noProof/>
                <w:sz w:val="22"/>
                <w:lang w:eastAsia="en-AU"/>
              </w:rPr>
              <w:tab/>
            </w:r>
            <w:r w:rsidRPr="00D31F2E">
              <w:rPr>
                <w:rStyle w:val="Hyperlink"/>
                <w:noProof/>
              </w:rPr>
              <w:t>Clinical questions</w:t>
            </w:r>
            <w:r>
              <w:rPr>
                <w:noProof/>
                <w:webHidden/>
              </w:rPr>
              <w:tab/>
            </w:r>
            <w:r>
              <w:rPr>
                <w:noProof/>
                <w:webHidden/>
              </w:rPr>
              <w:fldChar w:fldCharType="begin"/>
            </w:r>
            <w:r>
              <w:rPr>
                <w:noProof/>
                <w:webHidden/>
              </w:rPr>
              <w:instrText xml:space="preserve"> PAGEREF _Toc443381761 \h </w:instrText>
            </w:r>
            <w:r>
              <w:rPr>
                <w:noProof/>
                <w:webHidden/>
              </w:rPr>
            </w:r>
            <w:r>
              <w:rPr>
                <w:noProof/>
                <w:webHidden/>
              </w:rPr>
              <w:fldChar w:fldCharType="separate"/>
            </w:r>
            <w:r>
              <w:rPr>
                <w:noProof/>
                <w:webHidden/>
              </w:rPr>
              <w:t>76</w:t>
            </w:r>
            <w:r>
              <w:rPr>
                <w:noProof/>
                <w:webHidden/>
              </w:rPr>
              <w:fldChar w:fldCharType="end"/>
            </w:r>
          </w:hyperlink>
        </w:p>
        <w:p w14:paraId="6C2F5598"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62" w:history="1">
            <w:r w:rsidRPr="00D31F2E">
              <w:rPr>
                <w:rStyle w:val="Hyperlink"/>
                <w:noProof/>
              </w:rPr>
              <w:t>12.1.</w:t>
            </w:r>
            <w:r>
              <w:rPr>
                <w:rFonts w:asciiTheme="minorHAnsi" w:eastAsiaTheme="minorEastAsia" w:hAnsiTheme="minorHAnsi" w:cstheme="minorBidi"/>
                <w:noProof/>
                <w:lang w:eastAsia="en-AU"/>
              </w:rPr>
              <w:tab/>
            </w:r>
            <w:r w:rsidRPr="00D31F2E">
              <w:rPr>
                <w:rStyle w:val="Hyperlink"/>
                <w:noProof/>
              </w:rPr>
              <w:t>Pharmacokinetics</w:t>
            </w:r>
            <w:r>
              <w:rPr>
                <w:noProof/>
                <w:webHidden/>
              </w:rPr>
              <w:tab/>
            </w:r>
            <w:r>
              <w:rPr>
                <w:noProof/>
                <w:webHidden/>
              </w:rPr>
              <w:fldChar w:fldCharType="begin"/>
            </w:r>
            <w:r>
              <w:rPr>
                <w:noProof/>
                <w:webHidden/>
              </w:rPr>
              <w:instrText xml:space="preserve"> PAGEREF _Toc443381762 \h </w:instrText>
            </w:r>
            <w:r>
              <w:rPr>
                <w:noProof/>
                <w:webHidden/>
              </w:rPr>
            </w:r>
            <w:r>
              <w:rPr>
                <w:noProof/>
                <w:webHidden/>
              </w:rPr>
              <w:fldChar w:fldCharType="separate"/>
            </w:r>
            <w:r>
              <w:rPr>
                <w:noProof/>
                <w:webHidden/>
              </w:rPr>
              <w:t>76</w:t>
            </w:r>
            <w:r>
              <w:rPr>
                <w:noProof/>
                <w:webHidden/>
              </w:rPr>
              <w:fldChar w:fldCharType="end"/>
            </w:r>
          </w:hyperlink>
        </w:p>
        <w:p w14:paraId="6EF38CC5"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63" w:history="1">
            <w:r w:rsidRPr="00D31F2E">
              <w:rPr>
                <w:rStyle w:val="Hyperlink"/>
                <w:noProof/>
              </w:rPr>
              <w:t>12.2.</w:t>
            </w:r>
            <w:r>
              <w:rPr>
                <w:rFonts w:asciiTheme="minorHAnsi" w:eastAsiaTheme="minorEastAsia" w:hAnsiTheme="minorHAnsi" w:cstheme="minorBidi"/>
                <w:noProof/>
                <w:lang w:eastAsia="en-AU"/>
              </w:rPr>
              <w:tab/>
            </w:r>
            <w:r w:rsidRPr="00D31F2E">
              <w:rPr>
                <w:rStyle w:val="Hyperlink"/>
                <w:noProof/>
              </w:rPr>
              <w:t>Safety</w:t>
            </w:r>
            <w:r>
              <w:rPr>
                <w:noProof/>
                <w:webHidden/>
              </w:rPr>
              <w:tab/>
            </w:r>
            <w:r>
              <w:rPr>
                <w:noProof/>
                <w:webHidden/>
              </w:rPr>
              <w:fldChar w:fldCharType="begin"/>
            </w:r>
            <w:r>
              <w:rPr>
                <w:noProof/>
                <w:webHidden/>
              </w:rPr>
              <w:instrText xml:space="preserve"> PAGEREF _Toc443381763 \h </w:instrText>
            </w:r>
            <w:r>
              <w:rPr>
                <w:noProof/>
                <w:webHidden/>
              </w:rPr>
            </w:r>
            <w:r>
              <w:rPr>
                <w:noProof/>
                <w:webHidden/>
              </w:rPr>
              <w:fldChar w:fldCharType="separate"/>
            </w:r>
            <w:r>
              <w:rPr>
                <w:noProof/>
                <w:webHidden/>
              </w:rPr>
              <w:t>76</w:t>
            </w:r>
            <w:r>
              <w:rPr>
                <w:noProof/>
                <w:webHidden/>
              </w:rPr>
              <w:fldChar w:fldCharType="end"/>
            </w:r>
          </w:hyperlink>
        </w:p>
        <w:p w14:paraId="106C58A1"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64" w:history="1">
            <w:r w:rsidRPr="00D31F2E">
              <w:rPr>
                <w:rStyle w:val="Hyperlink"/>
                <w:noProof/>
              </w:rPr>
              <w:t>13.</w:t>
            </w:r>
            <w:r>
              <w:rPr>
                <w:rFonts w:asciiTheme="minorHAnsi" w:eastAsiaTheme="minorEastAsia" w:hAnsiTheme="minorHAnsi" w:cstheme="minorBidi"/>
                <w:b w:val="0"/>
                <w:noProof/>
                <w:sz w:val="22"/>
                <w:lang w:eastAsia="en-AU"/>
              </w:rPr>
              <w:tab/>
            </w:r>
            <w:r w:rsidRPr="00D31F2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_Toc443381764 \h </w:instrText>
            </w:r>
            <w:r>
              <w:rPr>
                <w:noProof/>
                <w:webHidden/>
              </w:rPr>
            </w:r>
            <w:r>
              <w:rPr>
                <w:noProof/>
                <w:webHidden/>
              </w:rPr>
              <w:fldChar w:fldCharType="separate"/>
            </w:r>
            <w:r>
              <w:rPr>
                <w:noProof/>
                <w:webHidden/>
              </w:rPr>
              <w:t>76</w:t>
            </w:r>
            <w:r>
              <w:rPr>
                <w:noProof/>
                <w:webHidden/>
              </w:rPr>
              <w:fldChar w:fldCharType="end"/>
            </w:r>
          </w:hyperlink>
        </w:p>
        <w:p w14:paraId="2790E418"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65" w:history="1">
            <w:r w:rsidRPr="00D31F2E">
              <w:rPr>
                <w:rStyle w:val="Hyperlink"/>
                <w:noProof/>
              </w:rPr>
              <w:t>13.1.</w:t>
            </w:r>
            <w:r>
              <w:rPr>
                <w:rFonts w:asciiTheme="minorHAnsi" w:eastAsiaTheme="minorEastAsia" w:hAnsiTheme="minorHAnsi" w:cstheme="minorBidi"/>
                <w:noProof/>
                <w:lang w:eastAsia="en-AU"/>
              </w:rPr>
              <w:tab/>
            </w:r>
            <w:r w:rsidRPr="00D31F2E">
              <w:rPr>
                <w:rStyle w:val="Hyperlink"/>
                <w:noProof/>
              </w:rPr>
              <w:t>Effect of hepatic impairment on PK of nintedanib</w:t>
            </w:r>
            <w:r>
              <w:rPr>
                <w:noProof/>
                <w:webHidden/>
              </w:rPr>
              <w:tab/>
            </w:r>
            <w:r>
              <w:rPr>
                <w:noProof/>
                <w:webHidden/>
              </w:rPr>
              <w:fldChar w:fldCharType="begin"/>
            </w:r>
            <w:r>
              <w:rPr>
                <w:noProof/>
                <w:webHidden/>
              </w:rPr>
              <w:instrText xml:space="preserve"> PAGEREF _Toc443381765 \h </w:instrText>
            </w:r>
            <w:r>
              <w:rPr>
                <w:noProof/>
                <w:webHidden/>
              </w:rPr>
            </w:r>
            <w:r>
              <w:rPr>
                <w:noProof/>
                <w:webHidden/>
              </w:rPr>
              <w:fldChar w:fldCharType="separate"/>
            </w:r>
            <w:r>
              <w:rPr>
                <w:noProof/>
                <w:webHidden/>
              </w:rPr>
              <w:t>76</w:t>
            </w:r>
            <w:r>
              <w:rPr>
                <w:noProof/>
                <w:webHidden/>
              </w:rPr>
              <w:fldChar w:fldCharType="end"/>
            </w:r>
          </w:hyperlink>
        </w:p>
        <w:p w14:paraId="7C8B2AC2"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66" w:history="1">
            <w:r w:rsidRPr="00D31F2E">
              <w:rPr>
                <w:rStyle w:val="Hyperlink"/>
                <w:noProof/>
              </w:rPr>
              <w:t>13.2.</w:t>
            </w:r>
            <w:r>
              <w:rPr>
                <w:rFonts w:asciiTheme="minorHAnsi" w:eastAsiaTheme="minorEastAsia" w:hAnsiTheme="minorHAnsi" w:cstheme="minorBidi"/>
                <w:noProof/>
                <w:lang w:eastAsia="en-AU"/>
              </w:rPr>
              <w:tab/>
            </w:r>
            <w:r w:rsidRPr="00D31F2E">
              <w:rPr>
                <w:rStyle w:val="Hyperlink"/>
                <w:noProof/>
              </w:rPr>
              <w:t>Drug-induced liver injury</w:t>
            </w:r>
            <w:r>
              <w:rPr>
                <w:noProof/>
                <w:webHidden/>
              </w:rPr>
              <w:tab/>
            </w:r>
            <w:r>
              <w:rPr>
                <w:noProof/>
                <w:webHidden/>
              </w:rPr>
              <w:fldChar w:fldCharType="begin"/>
            </w:r>
            <w:r>
              <w:rPr>
                <w:noProof/>
                <w:webHidden/>
              </w:rPr>
              <w:instrText xml:space="preserve"> PAGEREF _Toc443381766 \h </w:instrText>
            </w:r>
            <w:r>
              <w:rPr>
                <w:noProof/>
                <w:webHidden/>
              </w:rPr>
            </w:r>
            <w:r>
              <w:rPr>
                <w:noProof/>
                <w:webHidden/>
              </w:rPr>
              <w:fldChar w:fldCharType="separate"/>
            </w:r>
            <w:r>
              <w:rPr>
                <w:noProof/>
                <w:webHidden/>
              </w:rPr>
              <w:t>77</w:t>
            </w:r>
            <w:r>
              <w:rPr>
                <w:noProof/>
                <w:webHidden/>
              </w:rPr>
              <w:fldChar w:fldCharType="end"/>
            </w:r>
          </w:hyperlink>
        </w:p>
        <w:p w14:paraId="01F43D9B"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67" w:history="1">
            <w:r w:rsidRPr="00D31F2E">
              <w:rPr>
                <w:rStyle w:val="Hyperlink"/>
                <w:noProof/>
              </w:rPr>
              <w:t>14.</w:t>
            </w:r>
            <w:r>
              <w:rPr>
                <w:rFonts w:asciiTheme="minorHAnsi" w:eastAsiaTheme="minorEastAsia" w:hAnsiTheme="minorHAnsi" w:cstheme="minorBidi"/>
                <w:b w:val="0"/>
                <w:noProof/>
                <w:sz w:val="22"/>
                <w:lang w:eastAsia="en-AU"/>
              </w:rPr>
              <w:tab/>
            </w:r>
            <w:r w:rsidRPr="00D31F2E">
              <w:rPr>
                <w:rStyle w:val="Hyperlink"/>
                <w:noProof/>
              </w:rPr>
              <w:t>Second round benefit-risk assessment</w:t>
            </w:r>
            <w:r>
              <w:rPr>
                <w:noProof/>
                <w:webHidden/>
              </w:rPr>
              <w:tab/>
            </w:r>
            <w:r>
              <w:rPr>
                <w:noProof/>
                <w:webHidden/>
              </w:rPr>
              <w:fldChar w:fldCharType="begin"/>
            </w:r>
            <w:r>
              <w:rPr>
                <w:noProof/>
                <w:webHidden/>
              </w:rPr>
              <w:instrText xml:space="preserve"> PAGEREF _Toc443381767 \h </w:instrText>
            </w:r>
            <w:r>
              <w:rPr>
                <w:noProof/>
                <w:webHidden/>
              </w:rPr>
            </w:r>
            <w:r>
              <w:rPr>
                <w:noProof/>
                <w:webHidden/>
              </w:rPr>
              <w:fldChar w:fldCharType="separate"/>
            </w:r>
            <w:r>
              <w:rPr>
                <w:noProof/>
                <w:webHidden/>
              </w:rPr>
              <w:t>77</w:t>
            </w:r>
            <w:r>
              <w:rPr>
                <w:noProof/>
                <w:webHidden/>
              </w:rPr>
              <w:fldChar w:fldCharType="end"/>
            </w:r>
          </w:hyperlink>
        </w:p>
        <w:p w14:paraId="11EC10CB"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68" w:history="1">
            <w:r w:rsidRPr="00D31F2E">
              <w:rPr>
                <w:rStyle w:val="Hyperlink"/>
                <w:noProof/>
              </w:rPr>
              <w:t>14.1.</w:t>
            </w:r>
            <w:r>
              <w:rPr>
                <w:rFonts w:asciiTheme="minorHAnsi" w:eastAsiaTheme="minorEastAsia" w:hAnsiTheme="minorHAnsi" w:cstheme="minorBidi"/>
                <w:noProof/>
                <w:lang w:eastAsia="en-AU"/>
              </w:rPr>
              <w:tab/>
            </w:r>
            <w:r w:rsidRPr="00D31F2E">
              <w:rPr>
                <w:rStyle w:val="Hyperlink"/>
                <w:noProof/>
              </w:rPr>
              <w:t>Second round assessment of benefits</w:t>
            </w:r>
            <w:r>
              <w:rPr>
                <w:noProof/>
                <w:webHidden/>
              </w:rPr>
              <w:tab/>
            </w:r>
            <w:r>
              <w:rPr>
                <w:noProof/>
                <w:webHidden/>
              </w:rPr>
              <w:fldChar w:fldCharType="begin"/>
            </w:r>
            <w:r>
              <w:rPr>
                <w:noProof/>
                <w:webHidden/>
              </w:rPr>
              <w:instrText xml:space="preserve"> PAGEREF _Toc443381768 \h </w:instrText>
            </w:r>
            <w:r>
              <w:rPr>
                <w:noProof/>
                <w:webHidden/>
              </w:rPr>
            </w:r>
            <w:r>
              <w:rPr>
                <w:noProof/>
                <w:webHidden/>
              </w:rPr>
              <w:fldChar w:fldCharType="separate"/>
            </w:r>
            <w:r>
              <w:rPr>
                <w:noProof/>
                <w:webHidden/>
              </w:rPr>
              <w:t>77</w:t>
            </w:r>
            <w:r>
              <w:rPr>
                <w:noProof/>
                <w:webHidden/>
              </w:rPr>
              <w:fldChar w:fldCharType="end"/>
            </w:r>
          </w:hyperlink>
        </w:p>
        <w:p w14:paraId="284CF90B"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69" w:history="1">
            <w:r w:rsidRPr="00D31F2E">
              <w:rPr>
                <w:rStyle w:val="Hyperlink"/>
                <w:noProof/>
              </w:rPr>
              <w:t>14.2.</w:t>
            </w:r>
            <w:r>
              <w:rPr>
                <w:rFonts w:asciiTheme="minorHAnsi" w:eastAsiaTheme="minorEastAsia" w:hAnsiTheme="minorHAnsi" w:cstheme="minorBidi"/>
                <w:noProof/>
                <w:lang w:eastAsia="en-AU"/>
              </w:rPr>
              <w:tab/>
            </w:r>
            <w:r w:rsidRPr="00D31F2E">
              <w:rPr>
                <w:rStyle w:val="Hyperlink"/>
                <w:noProof/>
              </w:rPr>
              <w:t>Second round assessment of risks</w:t>
            </w:r>
            <w:r>
              <w:rPr>
                <w:noProof/>
                <w:webHidden/>
              </w:rPr>
              <w:tab/>
            </w:r>
            <w:r>
              <w:rPr>
                <w:noProof/>
                <w:webHidden/>
              </w:rPr>
              <w:fldChar w:fldCharType="begin"/>
            </w:r>
            <w:r>
              <w:rPr>
                <w:noProof/>
                <w:webHidden/>
              </w:rPr>
              <w:instrText xml:space="preserve"> PAGEREF _Toc443381769 \h </w:instrText>
            </w:r>
            <w:r>
              <w:rPr>
                <w:noProof/>
                <w:webHidden/>
              </w:rPr>
            </w:r>
            <w:r>
              <w:rPr>
                <w:noProof/>
                <w:webHidden/>
              </w:rPr>
              <w:fldChar w:fldCharType="separate"/>
            </w:r>
            <w:r>
              <w:rPr>
                <w:noProof/>
                <w:webHidden/>
              </w:rPr>
              <w:t>77</w:t>
            </w:r>
            <w:r>
              <w:rPr>
                <w:noProof/>
                <w:webHidden/>
              </w:rPr>
              <w:fldChar w:fldCharType="end"/>
            </w:r>
          </w:hyperlink>
        </w:p>
        <w:p w14:paraId="2BFAD571" w14:textId="77777777" w:rsidR="001A507F" w:rsidRDefault="001A507F">
          <w:pPr>
            <w:pStyle w:val="TOC3"/>
            <w:tabs>
              <w:tab w:val="left" w:pos="1760"/>
            </w:tabs>
            <w:rPr>
              <w:rFonts w:asciiTheme="minorHAnsi" w:eastAsiaTheme="minorEastAsia" w:hAnsiTheme="minorHAnsi" w:cstheme="minorBidi"/>
              <w:noProof/>
              <w:lang w:eastAsia="en-AU"/>
            </w:rPr>
          </w:pPr>
          <w:hyperlink w:anchor="_Toc443381770" w:history="1">
            <w:r w:rsidRPr="00D31F2E">
              <w:rPr>
                <w:rStyle w:val="Hyperlink"/>
                <w:noProof/>
              </w:rPr>
              <w:t>14.3.</w:t>
            </w:r>
            <w:r>
              <w:rPr>
                <w:rFonts w:asciiTheme="minorHAnsi" w:eastAsiaTheme="minorEastAsia" w:hAnsiTheme="minorHAnsi" w:cstheme="minorBidi"/>
                <w:noProof/>
                <w:lang w:eastAsia="en-AU"/>
              </w:rPr>
              <w:tab/>
            </w:r>
            <w:r w:rsidRPr="00D31F2E">
              <w:rPr>
                <w:rStyle w:val="Hyperlink"/>
                <w:noProof/>
              </w:rPr>
              <w:t>Second round assessment of benefit-risk balance</w:t>
            </w:r>
            <w:r>
              <w:rPr>
                <w:noProof/>
                <w:webHidden/>
              </w:rPr>
              <w:tab/>
            </w:r>
            <w:r>
              <w:rPr>
                <w:noProof/>
                <w:webHidden/>
              </w:rPr>
              <w:fldChar w:fldCharType="begin"/>
            </w:r>
            <w:r>
              <w:rPr>
                <w:noProof/>
                <w:webHidden/>
              </w:rPr>
              <w:instrText xml:space="preserve"> PAGEREF _Toc443381770 \h </w:instrText>
            </w:r>
            <w:r>
              <w:rPr>
                <w:noProof/>
                <w:webHidden/>
              </w:rPr>
            </w:r>
            <w:r>
              <w:rPr>
                <w:noProof/>
                <w:webHidden/>
              </w:rPr>
              <w:fldChar w:fldCharType="separate"/>
            </w:r>
            <w:r>
              <w:rPr>
                <w:noProof/>
                <w:webHidden/>
              </w:rPr>
              <w:t>78</w:t>
            </w:r>
            <w:r>
              <w:rPr>
                <w:noProof/>
                <w:webHidden/>
              </w:rPr>
              <w:fldChar w:fldCharType="end"/>
            </w:r>
          </w:hyperlink>
        </w:p>
        <w:p w14:paraId="50DB1D9A"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71" w:history="1">
            <w:r w:rsidRPr="00D31F2E">
              <w:rPr>
                <w:rStyle w:val="Hyperlink"/>
                <w:noProof/>
              </w:rPr>
              <w:t>15.</w:t>
            </w:r>
            <w:r>
              <w:rPr>
                <w:rFonts w:asciiTheme="minorHAnsi" w:eastAsiaTheme="minorEastAsia" w:hAnsiTheme="minorHAnsi" w:cstheme="minorBidi"/>
                <w:b w:val="0"/>
                <w:noProof/>
                <w:sz w:val="22"/>
                <w:lang w:eastAsia="en-AU"/>
              </w:rPr>
              <w:tab/>
            </w:r>
            <w:r w:rsidRPr="00D31F2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_Toc443381771 \h </w:instrText>
            </w:r>
            <w:r>
              <w:rPr>
                <w:noProof/>
                <w:webHidden/>
              </w:rPr>
            </w:r>
            <w:r>
              <w:rPr>
                <w:noProof/>
                <w:webHidden/>
              </w:rPr>
              <w:fldChar w:fldCharType="separate"/>
            </w:r>
            <w:r>
              <w:rPr>
                <w:noProof/>
                <w:webHidden/>
              </w:rPr>
              <w:t>78</w:t>
            </w:r>
            <w:r>
              <w:rPr>
                <w:noProof/>
                <w:webHidden/>
              </w:rPr>
              <w:fldChar w:fldCharType="end"/>
            </w:r>
          </w:hyperlink>
        </w:p>
        <w:p w14:paraId="010B76B7" w14:textId="77777777" w:rsidR="001A507F" w:rsidRDefault="001A507F">
          <w:pPr>
            <w:pStyle w:val="TOC2"/>
            <w:tabs>
              <w:tab w:val="left" w:pos="1320"/>
            </w:tabs>
            <w:rPr>
              <w:rFonts w:asciiTheme="minorHAnsi" w:eastAsiaTheme="minorEastAsia" w:hAnsiTheme="minorHAnsi" w:cstheme="minorBidi"/>
              <w:b w:val="0"/>
              <w:noProof/>
              <w:sz w:val="22"/>
              <w:lang w:eastAsia="en-AU"/>
            </w:rPr>
          </w:pPr>
          <w:hyperlink w:anchor="_Toc443381772" w:history="1">
            <w:r w:rsidRPr="00D31F2E">
              <w:rPr>
                <w:rStyle w:val="Hyperlink"/>
                <w:noProof/>
              </w:rPr>
              <w:t>16.</w:t>
            </w:r>
            <w:r>
              <w:rPr>
                <w:rFonts w:asciiTheme="minorHAnsi" w:eastAsiaTheme="minorEastAsia" w:hAnsiTheme="minorHAnsi" w:cstheme="minorBidi"/>
                <w:b w:val="0"/>
                <w:noProof/>
                <w:sz w:val="22"/>
                <w:lang w:eastAsia="en-AU"/>
              </w:rPr>
              <w:tab/>
            </w:r>
            <w:r w:rsidRPr="00D31F2E">
              <w:rPr>
                <w:rStyle w:val="Hyperlink"/>
                <w:noProof/>
              </w:rPr>
              <w:t>References</w:t>
            </w:r>
            <w:r>
              <w:rPr>
                <w:noProof/>
                <w:webHidden/>
              </w:rPr>
              <w:tab/>
            </w:r>
            <w:r>
              <w:rPr>
                <w:noProof/>
                <w:webHidden/>
              </w:rPr>
              <w:fldChar w:fldCharType="begin"/>
            </w:r>
            <w:r>
              <w:rPr>
                <w:noProof/>
                <w:webHidden/>
              </w:rPr>
              <w:instrText xml:space="preserve"> PAGEREF _Toc443381772 \h </w:instrText>
            </w:r>
            <w:r>
              <w:rPr>
                <w:noProof/>
                <w:webHidden/>
              </w:rPr>
            </w:r>
            <w:r>
              <w:rPr>
                <w:noProof/>
                <w:webHidden/>
              </w:rPr>
              <w:fldChar w:fldCharType="separate"/>
            </w:r>
            <w:r>
              <w:rPr>
                <w:noProof/>
                <w:webHidden/>
              </w:rPr>
              <w:t>78</w:t>
            </w:r>
            <w:r>
              <w:rPr>
                <w:noProof/>
                <w:webHidden/>
              </w:rPr>
              <w:fldChar w:fldCharType="end"/>
            </w:r>
          </w:hyperlink>
        </w:p>
        <w:p w14:paraId="7180CA5C" w14:textId="77777777" w:rsidR="003A7F6C" w:rsidRPr="00B811C6" w:rsidRDefault="004F4AF5" w:rsidP="00B811C6">
          <w:pPr>
            <w:pStyle w:val="TOC2"/>
          </w:pPr>
          <w:r>
            <w:fldChar w:fldCharType="end"/>
          </w:r>
        </w:p>
      </w:sdtContent>
    </w:sdt>
    <w:bookmarkStart w:id="3" w:name="_Toc314842482" w:displacedByCustomXml="prev"/>
    <w:p w14:paraId="7180CA5D" w14:textId="77777777" w:rsidR="00383820" w:rsidRDefault="00383820">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7180CA5E" w14:textId="77777777" w:rsidR="00586F98" w:rsidRPr="00052387" w:rsidRDefault="00586F98" w:rsidP="00052387">
      <w:pPr>
        <w:pStyle w:val="Heading2"/>
      </w:pPr>
      <w:bookmarkStart w:id="7" w:name="_Toc443381722"/>
      <w:r w:rsidRPr="00052387">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14:paraId="7180CA61" w14:textId="77777777" w:rsidTr="00164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7180CA5F" w14:textId="77777777" w:rsidR="00586F98" w:rsidRDefault="00586F98" w:rsidP="000A63AF">
            <w:r>
              <w:t>Abbreviation</w:t>
            </w:r>
          </w:p>
        </w:tc>
        <w:tc>
          <w:tcPr>
            <w:tcW w:w="6911" w:type="dxa"/>
          </w:tcPr>
          <w:p w14:paraId="7180CA60"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164354" w14:paraId="7180CA64"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62" w14:textId="77777777" w:rsidR="00164354" w:rsidRPr="00164354" w:rsidRDefault="00164354" w:rsidP="00164354">
            <w:r w:rsidRPr="00164354">
              <w:t>AE</w:t>
            </w:r>
          </w:p>
        </w:tc>
        <w:tc>
          <w:tcPr>
            <w:tcW w:w="6911" w:type="dxa"/>
            <w:vAlign w:val="center"/>
          </w:tcPr>
          <w:p w14:paraId="7180CA63"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Adverse Event</w:t>
            </w:r>
          </w:p>
        </w:tc>
      </w:tr>
      <w:tr w:rsidR="00164354" w14:paraId="7180CA67"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65" w14:textId="77777777" w:rsidR="00164354" w:rsidRPr="00164354" w:rsidRDefault="00164354" w:rsidP="00164354">
            <w:r w:rsidRPr="00164354">
              <w:t>AEOSI</w:t>
            </w:r>
          </w:p>
        </w:tc>
        <w:tc>
          <w:tcPr>
            <w:tcW w:w="6911" w:type="dxa"/>
            <w:vAlign w:val="center"/>
          </w:tcPr>
          <w:p w14:paraId="7180CA66"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Adverse event of special interest</w:t>
            </w:r>
          </w:p>
        </w:tc>
      </w:tr>
      <w:tr w:rsidR="00164354" w14:paraId="7180CA6A"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68" w14:textId="77777777" w:rsidR="00164354" w:rsidRPr="00164354" w:rsidRDefault="00164354" w:rsidP="00164354">
            <w:r w:rsidRPr="00164354">
              <w:t>ALKP</w:t>
            </w:r>
          </w:p>
        </w:tc>
        <w:tc>
          <w:tcPr>
            <w:tcW w:w="6911" w:type="dxa"/>
            <w:vAlign w:val="center"/>
          </w:tcPr>
          <w:p w14:paraId="7180CA69"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Alkaline Phosphatase</w:t>
            </w:r>
          </w:p>
        </w:tc>
      </w:tr>
      <w:tr w:rsidR="00164354" w14:paraId="7180CA6D"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6B" w14:textId="77777777" w:rsidR="00164354" w:rsidRPr="00164354" w:rsidRDefault="00164354" w:rsidP="00164354">
            <w:r w:rsidRPr="00164354">
              <w:t>ALT</w:t>
            </w:r>
          </w:p>
        </w:tc>
        <w:tc>
          <w:tcPr>
            <w:tcW w:w="6911" w:type="dxa"/>
            <w:vAlign w:val="center"/>
          </w:tcPr>
          <w:p w14:paraId="7180CA6C"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Alanine Transaminase</w:t>
            </w:r>
          </w:p>
        </w:tc>
      </w:tr>
      <w:tr w:rsidR="00164354" w14:paraId="7180CA70"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6E" w14:textId="77777777" w:rsidR="00164354" w:rsidRPr="00164354" w:rsidRDefault="00164354" w:rsidP="00164354">
            <w:proofErr w:type="spellStart"/>
            <w:r w:rsidRPr="00164354">
              <w:t>aPTT</w:t>
            </w:r>
            <w:proofErr w:type="spellEnd"/>
          </w:p>
        </w:tc>
        <w:tc>
          <w:tcPr>
            <w:tcW w:w="6911" w:type="dxa"/>
            <w:vAlign w:val="center"/>
          </w:tcPr>
          <w:p w14:paraId="7180CA6F"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activated partial thromboplastin time</w:t>
            </w:r>
          </w:p>
        </w:tc>
      </w:tr>
      <w:tr w:rsidR="00164354" w14:paraId="7180CA73"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71" w14:textId="77777777" w:rsidR="00164354" w:rsidRPr="00164354" w:rsidRDefault="00164354" w:rsidP="00164354">
            <w:r w:rsidRPr="00164354">
              <w:t>ARTG</w:t>
            </w:r>
          </w:p>
        </w:tc>
        <w:tc>
          <w:tcPr>
            <w:tcW w:w="6911" w:type="dxa"/>
            <w:vAlign w:val="center"/>
          </w:tcPr>
          <w:p w14:paraId="7180CA72"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Australian Register of Therapeutic Goods</w:t>
            </w:r>
          </w:p>
        </w:tc>
      </w:tr>
      <w:tr w:rsidR="00164354" w14:paraId="7180CA76"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74" w14:textId="77777777" w:rsidR="00164354" w:rsidRPr="00164354" w:rsidRDefault="00164354" w:rsidP="00164354">
            <w:r w:rsidRPr="00164354">
              <w:t>AST</w:t>
            </w:r>
          </w:p>
        </w:tc>
        <w:tc>
          <w:tcPr>
            <w:tcW w:w="6911" w:type="dxa"/>
            <w:vAlign w:val="center"/>
          </w:tcPr>
          <w:p w14:paraId="7180CA75"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Aspartate Transaminase</w:t>
            </w:r>
          </w:p>
        </w:tc>
      </w:tr>
      <w:tr w:rsidR="00164354" w14:paraId="7180CA79"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77" w14:textId="77777777" w:rsidR="00164354" w:rsidRPr="00164354" w:rsidRDefault="00164354" w:rsidP="00164354">
            <w:r w:rsidRPr="00164354">
              <w:t>AUC</w:t>
            </w:r>
          </w:p>
        </w:tc>
        <w:tc>
          <w:tcPr>
            <w:tcW w:w="6911" w:type="dxa"/>
            <w:vAlign w:val="center"/>
          </w:tcPr>
          <w:p w14:paraId="7180CA78"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Area under the curve</w:t>
            </w:r>
          </w:p>
        </w:tc>
      </w:tr>
      <w:tr w:rsidR="00164354" w14:paraId="7180CA7C"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7A" w14:textId="77777777" w:rsidR="00164354" w:rsidRPr="00164354" w:rsidRDefault="00164354" w:rsidP="00164354">
            <w:r w:rsidRPr="00164354">
              <w:t>BD</w:t>
            </w:r>
          </w:p>
        </w:tc>
        <w:tc>
          <w:tcPr>
            <w:tcW w:w="6911" w:type="dxa"/>
            <w:vAlign w:val="center"/>
          </w:tcPr>
          <w:p w14:paraId="7180CA7B"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Twice daily</w:t>
            </w:r>
          </w:p>
        </w:tc>
      </w:tr>
      <w:tr w:rsidR="00164354" w14:paraId="7180CA7F"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7D" w14:textId="77777777" w:rsidR="00164354" w:rsidRPr="00164354" w:rsidRDefault="00164354" w:rsidP="00164354">
            <w:r w:rsidRPr="00164354">
              <w:t>BIL</w:t>
            </w:r>
          </w:p>
        </w:tc>
        <w:tc>
          <w:tcPr>
            <w:tcW w:w="6911" w:type="dxa"/>
            <w:vAlign w:val="center"/>
          </w:tcPr>
          <w:p w14:paraId="7180CA7E"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Bilirubin</w:t>
            </w:r>
          </w:p>
        </w:tc>
      </w:tr>
      <w:tr w:rsidR="00164354" w14:paraId="7180CA82"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80" w14:textId="77777777" w:rsidR="00164354" w:rsidRPr="00164354" w:rsidRDefault="00164354" w:rsidP="00164354">
            <w:r w:rsidRPr="00164354">
              <w:t>CASA</w:t>
            </w:r>
          </w:p>
        </w:tc>
        <w:tc>
          <w:tcPr>
            <w:tcW w:w="6911" w:type="dxa"/>
            <w:vAlign w:val="center"/>
          </w:tcPr>
          <w:p w14:paraId="7180CA81"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Cough and Sputum assessment</w:t>
            </w:r>
          </w:p>
        </w:tc>
      </w:tr>
      <w:tr w:rsidR="00164354" w14:paraId="7180CA85"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83" w14:textId="77777777" w:rsidR="00164354" w:rsidRPr="00164354" w:rsidRDefault="00164354" w:rsidP="00164354">
            <w:r>
              <w:t>CI</w:t>
            </w:r>
          </w:p>
        </w:tc>
        <w:tc>
          <w:tcPr>
            <w:tcW w:w="6911" w:type="dxa"/>
            <w:vAlign w:val="center"/>
          </w:tcPr>
          <w:p w14:paraId="7180CA84"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Confidence interval</w:t>
            </w:r>
          </w:p>
        </w:tc>
      </w:tr>
      <w:tr w:rsidR="00164354" w14:paraId="7180CA88"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86" w14:textId="77777777" w:rsidR="00164354" w:rsidRPr="00164354" w:rsidRDefault="00E05A26" w:rsidP="00164354">
            <w:proofErr w:type="spellStart"/>
            <w:r w:rsidRPr="00CD3EFE">
              <w:t>C</w:t>
            </w:r>
            <w:r w:rsidRPr="00E05A26">
              <w:rPr>
                <w:vertAlign w:val="subscript"/>
              </w:rPr>
              <w:t>max</w:t>
            </w:r>
            <w:proofErr w:type="spellEnd"/>
          </w:p>
        </w:tc>
        <w:tc>
          <w:tcPr>
            <w:tcW w:w="6911" w:type="dxa"/>
            <w:vAlign w:val="center"/>
          </w:tcPr>
          <w:p w14:paraId="7180CA87"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Maximum concentration</w:t>
            </w:r>
          </w:p>
        </w:tc>
      </w:tr>
      <w:tr w:rsidR="00164354" w14:paraId="7180CA8B"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89" w14:textId="77777777" w:rsidR="00164354" w:rsidRPr="00164354" w:rsidRDefault="00164354" w:rsidP="00164354">
            <w:r w:rsidRPr="00164354">
              <w:t>CMI</w:t>
            </w:r>
          </w:p>
        </w:tc>
        <w:tc>
          <w:tcPr>
            <w:tcW w:w="6911" w:type="dxa"/>
            <w:vAlign w:val="center"/>
          </w:tcPr>
          <w:p w14:paraId="7180CA8A"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Consumer Medicines Information</w:t>
            </w:r>
          </w:p>
        </w:tc>
      </w:tr>
      <w:tr w:rsidR="00164354" w14:paraId="7180CA8E"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8C" w14:textId="77777777" w:rsidR="00164354" w:rsidRPr="00164354" w:rsidRDefault="00164354" w:rsidP="00164354">
            <w:r w:rsidRPr="00164354">
              <w:t>CL</w:t>
            </w:r>
          </w:p>
        </w:tc>
        <w:tc>
          <w:tcPr>
            <w:tcW w:w="6911" w:type="dxa"/>
            <w:vAlign w:val="center"/>
          </w:tcPr>
          <w:p w14:paraId="7180CA8D"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Clearance</w:t>
            </w:r>
          </w:p>
        </w:tc>
      </w:tr>
      <w:tr w:rsidR="00164354" w14:paraId="7180CA91"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8F" w14:textId="77777777" w:rsidR="00164354" w:rsidRPr="00164354" w:rsidRDefault="00164354" w:rsidP="00164354">
            <w:r w:rsidRPr="00164354">
              <w:t>CR</w:t>
            </w:r>
          </w:p>
        </w:tc>
        <w:tc>
          <w:tcPr>
            <w:tcW w:w="6911" w:type="dxa"/>
            <w:vAlign w:val="center"/>
          </w:tcPr>
          <w:p w14:paraId="7180CA90"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Complete Response</w:t>
            </w:r>
          </w:p>
        </w:tc>
      </w:tr>
      <w:tr w:rsidR="00164354" w14:paraId="7180CA94"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92" w14:textId="77777777" w:rsidR="00164354" w:rsidRPr="00164354" w:rsidRDefault="00164354" w:rsidP="00164354">
            <w:proofErr w:type="spellStart"/>
            <w:r w:rsidRPr="00164354">
              <w:t>CrCl</w:t>
            </w:r>
            <w:proofErr w:type="spellEnd"/>
          </w:p>
        </w:tc>
        <w:tc>
          <w:tcPr>
            <w:tcW w:w="6911" w:type="dxa"/>
            <w:vAlign w:val="center"/>
          </w:tcPr>
          <w:p w14:paraId="7180CA93"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Creatinine clearance</w:t>
            </w:r>
          </w:p>
        </w:tc>
      </w:tr>
      <w:tr w:rsidR="00164354" w14:paraId="7180CA97"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95" w14:textId="77777777" w:rsidR="00164354" w:rsidRPr="00164354" w:rsidRDefault="00164354" w:rsidP="00164354">
            <w:r w:rsidRPr="00164354">
              <w:t>CT</w:t>
            </w:r>
          </w:p>
        </w:tc>
        <w:tc>
          <w:tcPr>
            <w:tcW w:w="6911" w:type="dxa"/>
            <w:vAlign w:val="center"/>
          </w:tcPr>
          <w:p w14:paraId="7180CA96"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X-Ray Computed Tomography</w:t>
            </w:r>
          </w:p>
        </w:tc>
      </w:tr>
      <w:tr w:rsidR="00164354" w14:paraId="7180CA9A"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98" w14:textId="77777777" w:rsidR="00164354" w:rsidRPr="00164354" w:rsidRDefault="00164354" w:rsidP="00164354">
            <w:r w:rsidRPr="00164354">
              <w:t>CTCAE</w:t>
            </w:r>
          </w:p>
        </w:tc>
        <w:tc>
          <w:tcPr>
            <w:tcW w:w="6911" w:type="dxa"/>
            <w:vAlign w:val="center"/>
          </w:tcPr>
          <w:p w14:paraId="7180CA99"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Common terminology criteria for adverse events</w:t>
            </w:r>
          </w:p>
        </w:tc>
      </w:tr>
      <w:tr w:rsidR="00164354" w14:paraId="7180CA9D"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9B" w14:textId="77777777" w:rsidR="00164354" w:rsidRPr="00164354" w:rsidRDefault="00164354" w:rsidP="00164354">
            <w:r w:rsidRPr="00164354">
              <w:t>CV</w:t>
            </w:r>
          </w:p>
        </w:tc>
        <w:tc>
          <w:tcPr>
            <w:tcW w:w="6911" w:type="dxa"/>
            <w:vAlign w:val="center"/>
          </w:tcPr>
          <w:p w14:paraId="7180CA9C"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Coefficient of variation</w:t>
            </w:r>
          </w:p>
        </w:tc>
      </w:tr>
      <w:tr w:rsidR="00164354" w14:paraId="7180CAA0"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9E" w14:textId="77777777" w:rsidR="00164354" w:rsidRPr="00164354" w:rsidRDefault="00164354" w:rsidP="00164354">
            <w:r w:rsidRPr="00164354">
              <w:t>DCE-MRI</w:t>
            </w:r>
          </w:p>
        </w:tc>
        <w:tc>
          <w:tcPr>
            <w:tcW w:w="6911" w:type="dxa"/>
            <w:vAlign w:val="center"/>
          </w:tcPr>
          <w:p w14:paraId="7180CA9F"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Dynamic contrast-enhanced magnetic resonance imaging</w:t>
            </w:r>
          </w:p>
        </w:tc>
      </w:tr>
      <w:tr w:rsidR="00164354" w14:paraId="7180CAA3"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A1" w14:textId="77777777" w:rsidR="00164354" w:rsidRPr="00164354" w:rsidRDefault="00164354" w:rsidP="00164354">
            <w:r w:rsidRPr="00164354">
              <w:t>DCR</w:t>
            </w:r>
          </w:p>
        </w:tc>
        <w:tc>
          <w:tcPr>
            <w:tcW w:w="6911" w:type="dxa"/>
            <w:vAlign w:val="center"/>
          </w:tcPr>
          <w:p w14:paraId="7180CAA2"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Disease Control Rate</w:t>
            </w:r>
          </w:p>
        </w:tc>
      </w:tr>
      <w:tr w:rsidR="00164354" w14:paraId="7180CAA6"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A4" w14:textId="77777777" w:rsidR="00164354" w:rsidRPr="00164354" w:rsidRDefault="00164354" w:rsidP="00164354">
            <w:r w:rsidRPr="00164354">
              <w:t>DILI</w:t>
            </w:r>
          </w:p>
        </w:tc>
        <w:tc>
          <w:tcPr>
            <w:tcW w:w="6911" w:type="dxa"/>
            <w:vAlign w:val="center"/>
          </w:tcPr>
          <w:p w14:paraId="7180CAA5"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Drug-induced liver injury</w:t>
            </w:r>
          </w:p>
        </w:tc>
      </w:tr>
      <w:tr w:rsidR="00164354" w14:paraId="7180CAA9"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A7" w14:textId="77777777" w:rsidR="00164354" w:rsidRPr="00164354" w:rsidRDefault="00164354" w:rsidP="00164354">
            <w:r w:rsidRPr="00164354">
              <w:t>DLT</w:t>
            </w:r>
          </w:p>
        </w:tc>
        <w:tc>
          <w:tcPr>
            <w:tcW w:w="6911" w:type="dxa"/>
            <w:vAlign w:val="center"/>
          </w:tcPr>
          <w:p w14:paraId="7180CAA8"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Dose limiting toxicity</w:t>
            </w:r>
          </w:p>
        </w:tc>
      </w:tr>
      <w:tr w:rsidR="00164354" w14:paraId="7180CAAC"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AA" w14:textId="77777777" w:rsidR="00164354" w:rsidRPr="00164354" w:rsidRDefault="00164354" w:rsidP="00164354">
            <w:proofErr w:type="spellStart"/>
            <w:r w:rsidRPr="00164354">
              <w:lastRenderedPageBreak/>
              <w:t>DoR</w:t>
            </w:r>
            <w:proofErr w:type="spellEnd"/>
          </w:p>
        </w:tc>
        <w:tc>
          <w:tcPr>
            <w:tcW w:w="6911" w:type="dxa"/>
            <w:vAlign w:val="center"/>
          </w:tcPr>
          <w:p w14:paraId="7180CAAB"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Duration of Response</w:t>
            </w:r>
          </w:p>
        </w:tc>
      </w:tr>
      <w:tr w:rsidR="00164354" w14:paraId="7180CAAF"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AD" w14:textId="77777777" w:rsidR="00164354" w:rsidRPr="00164354" w:rsidRDefault="00164354" w:rsidP="00164354">
            <w:r w:rsidRPr="00164354">
              <w:t>ECG</w:t>
            </w:r>
          </w:p>
        </w:tc>
        <w:tc>
          <w:tcPr>
            <w:tcW w:w="6911" w:type="dxa"/>
            <w:vAlign w:val="center"/>
          </w:tcPr>
          <w:p w14:paraId="7180CAAE"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Electrocardiograph</w:t>
            </w:r>
          </w:p>
        </w:tc>
      </w:tr>
      <w:tr w:rsidR="00164354" w14:paraId="7180CAB2"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B0" w14:textId="77777777" w:rsidR="00164354" w:rsidRPr="00164354" w:rsidRDefault="00164354" w:rsidP="00164354">
            <w:r w:rsidRPr="00164354">
              <w:t>ECOG</w:t>
            </w:r>
          </w:p>
        </w:tc>
        <w:tc>
          <w:tcPr>
            <w:tcW w:w="6911" w:type="dxa"/>
            <w:vAlign w:val="center"/>
          </w:tcPr>
          <w:p w14:paraId="7180CAB1"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Eastern Cooperative Oncology Group</w:t>
            </w:r>
          </w:p>
        </w:tc>
      </w:tr>
      <w:tr w:rsidR="00164354" w14:paraId="7180CAB5"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B3" w14:textId="77777777" w:rsidR="00164354" w:rsidRPr="00164354" w:rsidRDefault="00164354" w:rsidP="00164354">
            <w:proofErr w:type="spellStart"/>
            <w:r w:rsidRPr="00164354">
              <w:t>eGFR</w:t>
            </w:r>
            <w:proofErr w:type="spellEnd"/>
          </w:p>
        </w:tc>
        <w:tc>
          <w:tcPr>
            <w:tcW w:w="6911" w:type="dxa"/>
            <w:vAlign w:val="center"/>
          </w:tcPr>
          <w:p w14:paraId="7180CAB4"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Estimated glomerular filtration rate</w:t>
            </w:r>
          </w:p>
        </w:tc>
      </w:tr>
      <w:tr w:rsidR="00164354" w14:paraId="7180CAB8"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B6" w14:textId="77777777" w:rsidR="00164354" w:rsidRPr="00164354" w:rsidRDefault="00164354" w:rsidP="00164354">
            <w:r w:rsidRPr="00164354">
              <w:t>EMA</w:t>
            </w:r>
          </w:p>
        </w:tc>
        <w:tc>
          <w:tcPr>
            <w:tcW w:w="6911" w:type="dxa"/>
            <w:vAlign w:val="center"/>
          </w:tcPr>
          <w:p w14:paraId="7180CAB7"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European Medicines Agency</w:t>
            </w:r>
          </w:p>
        </w:tc>
      </w:tr>
      <w:tr w:rsidR="00164354" w14:paraId="7180CABB"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B9" w14:textId="77777777" w:rsidR="00164354" w:rsidRPr="00164354" w:rsidRDefault="00164354" w:rsidP="00164354">
            <w:r w:rsidRPr="00164354">
              <w:t>EORTC</w:t>
            </w:r>
          </w:p>
        </w:tc>
        <w:tc>
          <w:tcPr>
            <w:tcW w:w="6911" w:type="dxa"/>
            <w:vAlign w:val="center"/>
          </w:tcPr>
          <w:p w14:paraId="7180CABA"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European Organisation for Research and Treatment of Cancer</w:t>
            </w:r>
          </w:p>
        </w:tc>
      </w:tr>
      <w:tr w:rsidR="00164354" w14:paraId="7180CABE"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BC" w14:textId="77777777" w:rsidR="00164354" w:rsidRPr="00164354" w:rsidRDefault="00164354" w:rsidP="00164354">
            <w:r w:rsidRPr="00164354">
              <w:t>FAS</w:t>
            </w:r>
          </w:p>
        </w:tc>
        <w:tc>
          <w:tcPr>
            <w:tcW w:w="6911" w:type="dxa"/>
            <w:vAlign w:val="center"/>
          </w:tcPr>
          <w:p w14:paraId="7180CABD"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Full analysis set</w:t>
            </w:r>
          </w:p>
        </w:tc>
      </w:tr>
      <w:tr w:rsidR="00164354" w14:paraId="7180CAC1"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BF" w14:textId="77777777" w:rsidR="00164354" w:rsidRPr="00164354" w:rsidRDefault="00164354" w:rsidP="00164354">
            <w:r w:rsidRPr="00164354">
              <w:t>FDA</w:t>
            </w:r>
          </w:p>
        </w:tc>
        <w:tc>
          <w:tcPr>
            <w:tcW w:w="6911" w:type="dxa"/>
            <w:vAlign w:val="center"/>
          </w:tcPr>
          <w:p w14:paraId="7180CAC0"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Food and Drug Administration</w:t>
            </w:r>
          </w:p>
        </w:tc>
      </w:tr>
      <w:tr w:rsidR="00164354" w14:paraId="7180CAC4"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C2" w14:textId="77777777" w:rsidR="00164354" w:rsidRPr="00164354" w:rsidRDefault="00164354" w:rsidP="00164354">
            <w:r w:rsidRPr="00164354">
              <w:t>FVC</w:t>
            </w:r>
          </w:p>
        </w:tc>
        <w:tc>
          <w:tcPr>
            <w:tcW w:w="6911" w:type="dxa"/>
            <w:vAlign w:val="center"/>
          </w:tcPr>
          <w:p w14:paraId="7180CAC3"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Forced vital capacity</w:t>
            </w:r>
          </w:p>
        </w:tc>
      </w:tr>
      <w:tr w:rsidR="00164354" w14:paraId="7180CAC7"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C5" w14:textId="77777777" w:rsidR="00164354" w:rsidRPr="00164354" w:rsidRDefault="00164354" w:rsidP="00164354">
            <w:r w:rsidRPr="00164354">
              <w:t>GCP</w:t>
            </w:r>
          </w:p>
        </w:tc>
        <w:tc>
          <w:tcPr>
            <w:tcW w:w="6911" w:type="dxa"/>
            <w:vAlign w:val="center"/>
          </w:tcPr>
          <w:p w14:paraId="7180CAC6"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Good Clinical Practice</w:t>
            </w:r>
          </w:p>
        </w:tc>
      </w:tr>
      <w:tr w:rsidR="00164354" w14:paraId="7180CACA"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C8" w14:textId="77777777" w:rsidR="00164354" w:rsidRPr="00164354" w:rsidRDefault="00164354" w:rsidP="00164354">
            <w:r w:rsidRPr="00164354">
              <w:t>HRCT</w:t>
            </w:r>
          </w:p>
        </w:tc>
        <w:tc>
          <w:tcPr>
            <w:tcW w:w="6911" w:type="dxa"/>
            <w:vAlign w:val="center"/>
          </w:tcPr>
          <w:p w14:paraId="7180CAC9"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High Resolution CT scan</w:t>
            </w:r>
          </w:p>
        </w:tc>
      </w:tr>
      <w:tr w:rsidR="00164354" w14:paraId="7180CACD"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CB" w14:textId="77777777" w:rsidR="00164354" w:rsidRPr="00164354" w:rsidRDefault="00164354" w:rsidP="00164354">
            <w:r w:rsidRPr="00164354">
              <w:t>ICH</w:t>
            </w:r>
          </w:p>
        </w:tc>
        <w:tc>
          <w:tcPr>
            <w:tcW w:w="6911" w:type="dxa"/>
            <w:vAlign w:val="center"/>
          </w:tcPr>
          <w:p w14:paraId="7180CACC"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International Conference on Harmonisation</w:t>
            </w:r>
          </w:p>
        </w:tc>
      </w:tr>
      <w:tr w:rsidR="00164354" w14:paraId="7180CAD0"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CE" w14:textId="77777777" w:rsidR="00164354" w:rsidRPr="00164354" w:rsidRDefault="00164354" w:rsidP="00164354">
            <w:r w:rsidRPr="00164354">
              <w:t>IgG</w:t>
            </w:r>
          </w:p>
        </w:tc>
        <w:tc>
          <w:tcPr>
            <w:tcW w:w="6911" w:type="dxa"/>
            <w:vAlign w:val="center"/>
          </w:tcPr>
          <w:p w14:paraId="7180CACF"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Immunoglobulin G</w:t>
            </w:r>
          </w:p>
        </w:tc>
      </w:tr>
      <w:tr w:rsidR="00164354" w14:paraId="7180CAD3"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D1" w14:textId="77777777" w:rsidR="00164354" w:rsidRPr="00164354" w:rsidRDefault="00164354" w:rsidP="00164354">
            <w:r>
              <w:t>INR</w:t>
            </w:r>
          </w:p>
        </w:tc>
        <w:tc>
          <w:tcPr>
            <w:tcW w:w="6911" w:type="dxa"/>
            <w:vAlign w:val="center"/>
          </w:tcPr>
          <w:p w14:paraId="7180CAD2"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International normalised ratio</w:t>
            </w:r>
          </w:p>
        </w:tc>
      </w:tr>
      <w:tr w:rsidR="00164354" w14:paraId="7180CAD6"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D4" w14:textId="77777777" w:rsidR="00164354" w:rsidRPr="00164354" w:rsidRDefault="00164354" w:rsidP="00164354">
            <w:r w:rsidRPr="00164354">
              <w:t>IPF</w:t>
            </w:r>
          </w:p>
        </w:tc>
        <w:tc>
          <w:tcPr>
            <w:tcW w:w="6911" w:type="dxa"/>
            <w:vAlign w:val="center"/>
          </w:tcPr>
          <w:p w14:paraId="7180CAD5"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t>Idiopathic Pulmonary Fibrosis</w:t>
            </w:r>
          </w:p>
        </w:tc>
      </w:tr>
      <w:tr w:rsidR="00164354" w14:paraId="7180CAD9"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D7" w14:textId="77777777" w:rsidR="00164354" w:rsidRPr="00164354" w:rsidRDefault="00164354" w:rsidP="00164354">
            <w:r>
              <w:t>IV</w:t>
            </w:r>
          </w:p>
        </w:tc>
        <w:tc>
          <w:tcPr>
            <w:tcW w:w="6911" w:type="dxa"/>
            <w:vAlign w:val="center"/>
          </w:tcPr>
          <w:p w14:paraId="7180CAD8"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Intravenous</w:t>
            </w:r>
          </w:p>
        </w:tc>
      </w:tr>
      <w:tr w:rsidR="00164354" w14:paraId="7180CADC"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DA" w14:textId="77777777" w:rsidR="00164354" w:rsidRPr="00164354" w:rsidRDefault="00164354" w:rsidP="00164354">
            <w:r w:rsidRPr="00164354">
              <w:t>L</w:t>
            </w:r>
          </w:p>
        </w:tc>
        <w:tc>
          <w:tcPr>
            <w:tcW w:w="6911" w:type="dxa"/>
            <w:vAlign w:val="center"/>
          </w:tcPr>
          <w:p w14:paraId="7180CADB"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Litre(s)</w:t>
            </w:r>
          </w:p>
        </w:tc>
      </w:tr>
      <w:tr w:rsidR="00164354" w14:paraId="7180CADF"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DD" w14:textId="77777777" w:rsidR="00164354" w:rsidRPr="00164354" w:rsidRDefault="00164354" w:rsidP="00164354">
            <w:r w:rsidRPr="00164354">
              <w:t>LDH</w:t>
            </w:r>
          </w:p>
        </w:tc>
        <w:tc>
          <w:tcPr>
            <w:tcW w:w="6911" w:type="dxa"/>
            <w:vAlign w:val="center"/>
          </w:tcPr>
          <w:p w14:paraId="7180CADE"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Lactate Dehydrogenase</w:t>
            </w:r>
          </w:p>
        </w:tc>
      </w:tr>
      <w:tr w:rsidR="00164354" w14:paraId="7180CAE2"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E0" w14:textId="77777777" w:rsidR="00164354" w:rsidRPr="00164354" w:rsidRDefault="00164354" w:rsidP="00164354">
            <w:r w:rsidRPr="00164354">
              <w:t>LFTs</w:t>
            </w:r>
          </w:p>
        </w:tc>
        <w:tc>
          <w:tcPr>
            <w:tcW w:w="6911" w:type="dxa"/>
            <w:vAlign w:val="center"/>
          </w:tcPr>
          <w:p w14:paraId="7180CAE1"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Liver function tests</w:t>
            </w:r>
          </w:p>
        </w:tc>
      </w:tr>
      <w:tr w:rsidR="00164354" w14:paraId="7180CAE5"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E3" w14:textId="77777777" w:rsidR="00164354" w:rsidRPr="00164354" w:rsidRDefault="00164354" w:rsidP="00164354">
            <w:r w:rsidRPr="00164354">
              <w:t>MEDRA</w:t>
            </w:r>
          </w:p>
        </w:tc>
        <w:tc>
          <w:tcPr>
            <w:tcW w:w="6911" w:type="dxa"/>
            <w:vAlign w:val="center"/>
          </w:tcPr>
          <w:p w14:paraId="7180CAE4"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Medical dictionary for regulatory activities</w:t>
            </w:r>
          </w:p>
        </w:tc>
      </w:tr>
      <w:tr w:rsidR="00164354" w14:paraId="7180CAE8"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E6" w14:textId="77777777" w:rsidR="00164354" w:rsidRPr="00164354" w:rsidRDefault="00164354" w:rsidP="00164354">
            <w:r w:rsidRPr="00164354">
              <w:t>MRI</w:t>
            </w:r>
          </w:p>
        </w:tc>
        <w:tc>
          <w:tcPr>
            <w:tcW w:w="6911" w:type="dxa"/>
            <w:vAlign w:val="center"/>
          </w:tcPr>
          <w:p w14:paraId="7180CAE7"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Magnetic Resonance Imaging</w:t>
            </w:r>
          </w:p>
        </w:tc>
      </w:tr>
      <w:tr w:rsidR="00164354" w14:paraId="7180CAEB"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E9" w14:textId="77777777" w:rsidR="00164354" w:rsidRPr="00164354" w:rsidRDefault="00164354" w:rsidP="00164354">
            <w:r w:rsidRPr="00164354">
              <w:t>MTD</w:t>
            </w:r>
          </w:p>
        </w:tc>
        <w:tc>
          <w:tcPr>
            <w:tcW w:w="6911" w:type="dxa"/>
            <w:vAlign w:val="center"/>
          </w:tcPr>
          <w:p w14:paraId="7180CAEA"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Maximum Tolerated Dose</w:t>
            </w:r>
          </w:p>
        </w:tc>
      </w:tr>
      <w:tr w:rsidR="00164354" w14:paraId="7180CAEE"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EC" w14:textId="77777777" w:rsidR="00164354" w:rsidRPr="00164354" w:rsidRDefault="00164354" w:rsidP="00164354">
            <w:r w:rsidRPr="00164354">
              <w:t>NCI</w:t>
            </w:r>
          </w:p>
        </w:tc>
        <w:tc>
          <w:tcPr>
            <w:tcW w:w="6911" w:type="dxa"/>
            <w:vAlign w:val="center"/>
          </w:tcPr>
          <w:p w14:paraId="7180CAED"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National Cancer Institute</w:t>
            </w:r>
          </w:p>
        </w:tc>
      </w:tr>
      <w:tr w:rsidR="00164354" w14:paraId="7180CAF1"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EF" w14:textId="77777777" w:rsidR="00164354" w:rsidRPr="00164354" w:rsidRDefault="00164354" w:rsidP="00164354">
            <w:r w:rsidRPr="00164354">
              <w:t>NSCLC</w:t>
            </w:r>
          </w:p>
        </w:tc>
        <w:tc>
          <w:tcPr>
            <w:tcW w:w="6911" w:type="dxa"/>
            <w:vAlign w:val="center"/>
          </w:tcPr>
          <w:p w14:paraId="7180CAF0"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Non-Small Cell Lung Cancer</w:t>
            </w:r>
          </w:p>
        </w:tc>
      </w:tr>
      <w:tr w:rsidR="00164354" w14:paraId="7180CAF4"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F2" w14:textId="77777777" w:rsidR="00164354" w:rsidRPr="00164354" w:rsidRDefault="00164354" w:rsidP="00164354">
            <w:r w:rsidRPr="00164354">
              <w:t>OD</w:t>
            </w:r>
          </w:p>
        </w:tc>
        <w:tc>
          <w:tcPr>
            <w:tcW w:w="6911" w:type="dxa"/>
            <w:vAlign w:val="center"/>
          </w:tcPr>
          <w:p w14:paraId="7180CAF3"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Once daily</w:t>
            </w:r>
          </w:p>
        </w:tc>
      </w:tr>
      <w:tr w:rsidR="00164354" w14:paraId="7180CAF7"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F5" w14:textId="77777777" w:rsidR="00164354" w:rsidRPr="00164354" w:rsidRDefault="00164354" w:rsidP="00164354">
            <w:r w:rsidRPr="00164354">
              <w:lastRenderedPageBreak/>
              <w:t>ORR</w:t>
            </w:r>
          </w:p>
        </w:tc>
        <w:tc>
          <w:tcPr>
            <w:tcW w:w="6911" w:type="dxa"/>
            <w:vAlign w:val="center"/>
          </w:tcPr>
          <w:p w14:paraId="7180CAF6"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Overall response rate</w:t>
            </w:r>
          </w:p>
        </w:tc>
      </w:tr>
      <w:tr w:rsidR="00164354" w14:paraId="7180CAFA"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F8" w14:textId="77777777" w:rsidR="00164354" w:rsidRPr="00164354" w:rsidRDefault="00164354" w:rsidP="00164354">
            <w:r w:rsidRPr="00164354">
              <w:t>OS</w:t>
            </w:r>
          </w:p>
        </w:tc>
        <w:tc>
          <w:tcPr>
            <w:tcW w:w="6911" w:type="dxa"/>
            <w:vAlign w:val="center"/>
          </w:tcPr>
          <w:p w14:paraId="7180CAF9"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Overall Survival</w:t>
            </w:r>
          </w:p>
        </w:tc>
      </w:tr>
      <w:tr w:rsidR="00164354" w14:paraId="7180CAFD"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FB" w14:textId="77777777" w:rsidR="00164354" w:rsidRPr="00164354" w:rsidRDefault="00164354" w:rsidP="00164354">
            <w:r>
              <w:t>PD</w:t>
            </w:r>
          </w:p>
        </w:tc>
        <w:tc>
          <w:tcPr>
            <w:tcW w:w="6911" w:type="dxa"/>
            <w:vAlign w:val="center"/>
          </w:tcPr>
          <w:p w14:paraId="7180CAFC"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Pharmacodynamics</w:t>
            </w:r>
          </w:p>
        </w:tc>
      </w:tr>
      <w:tr w:rsidR="00164354" w14:paraId="7180CB00"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AFE" w14:textId="77777777" w:rsidR="00164354" w:rsidRPr="00164354" w:rsidRDefault="00164354" w:rsidP="00164354">
            <w:r w:rsidRPr="00164354">
              <w:t>PDGFR</w:t>
            </w:r>
          </w:p>
        </w:tc>
        <w:tc>
          <w:tcPr>
            <w:tcW w:w="6911" w:type="dxa"/>
            <w:vAlign w:val="center"/>
          </w:tcPr>
          <w:p w14:paraId="7180CAFF"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Platelet derived growth factor receptors</w:t>
            </w:r>
          </w:p>
        </w:tc>
      </w:tr>
      <w:tr w:rsidR="00164354" w14:paraId="7180CB03"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01" w14:textId="77777777" w:rsidR="00164354" w:rsidRPr="00164354" w:rsidRDefault="00164354" w:rsidP="00164354">
            <w:r w:rsidRPr="00164354">
              <w:t>PFS</w:t>
            </w:r>
          </w:p>
        </w:tc>
        <w:tc>
          <w:tcPr>
            <w:tcW w:w="6911" w:type="dxa"/>
            <w:vAlign w:val="center"/>
          </w:tcPr>
          <w:p w14:paraId="7180CB02"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Progression free survival</w:t>
            </w:r>
          </w:p>
        </w:tc>
      </w:tr>
      <w:tr w:rsidR="00164354" w14:paraId="7180CB06"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04" w14:textId="77777777" w:rsidR="00164354" w:rsidRPr="00164354" w:rsidRDefault="00164354" w:rsidP="00164354">
            <w:r w:rsidRPr="00164354">
              <w:t>PGI</w:t>
            </w:r>
          </w:p>
        </w:tc>
        <w:tc>
          <w:tcPr>
            <w:tcW w:w="6911" w:type="dxa"/>
            <w:vAlign w:val="center"/>
          </w:tcPr>
          <w:p w14:paraId="7180CB05"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Patient’s global impression</w:t>
            </w:r>
          </w:p>
        </w:tc>
      </w:tr>
      <w:tr w:rsidR="00164354" w14:paraId="7180CB09"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07" w14:textId="77777777" w:rsidR="00164354" w:rsidRPr="00164354" w:rsidRDefault="00164354" w:rsidP="00164354">
            <w:r w:rsidRPr="00164354">
              <w:t>P-</w:t>
            </w:r>
            <w:proofErr w:type="spellStart"/>
            <w:r w:rsidRPr="00164354">
              <w:t>gp</w:t>
            </w:r>
            <w:proofErr w:type="spellEnd"/>
          </w:p>
        </w:tc>
        <w:tc>
          <w:tcPr>
            <w:tcW w:w="6911" w:type="dxa"/>
            <w:vAlign w:val="center"/>
          </w:tcPr>
          <w:p w14:paraId="7180CB08"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P-glycoprotein</w:t>
            </w:r>
          </w:p>
        </w:tc>
      </w:tr>
      <w:tr w:rsidR="00164354" w14:paraId="7180CB0C"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0A" w14:textId="77777777" w:rsidR="00164354" w:rsidRPr="00164354" w:rsidRDefault="00164354" w:rsidP="00164354">
            <w:r w:rsidRPr="00164354">
              <w:t>PI</w:t>
            </w:r>
          </w:p>
        </w:tc>
        <w:tc>
          <w:tcPr>
            <w:tcW w:w="6911" w:type="dxa"/>
            <w:vAlign w:val="center"/>
          </w:tcPr>
          <w:p w14:paraId="7180CB0B"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Product Information</w:t>
            </w:r>
          </w:p>
        </w:tc>
      </w:tr>
      <w:tr w:rsidR="00164354" w14:paraId="7180CB0F"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0D" w14:textId="77777777" w:rsidR="00164354" w:rsidRPr="00164354" w:rsidRDefault="00164354" w:rsidP="00164354">
            <w:r w:rsidRPr="00164354">
              <w:t>PK</w:t>
            </w:r>
          </w:p>
        </w:tc>
        <w:tc>
          <w:tcPr>
            <w:tcW w:w="6911" w:type="dxa"/>
            <w:vAlign w:val="center"/>
          </w:tcPr>
          <w:p w14:paraId="7180CB0E"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Pharmacokinetics</w:t>
            </w:r>
          </w:p>
        </w:tc>
      </w:tr>
      <w:tr w:rsidR="00164354" w14:paraId="7180CB12"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10" w14:textId="77777777" w:rsidR="00164354" w:rsidRPr="00164354" w:rsidRDefault="00164354" w:rsidP="00164354">
            <w:r w:rsidRPr="00164354">
              <w:t>PR</w:t>
            </w:r>
          </w:p>
        </w:tc>
        <w:tc>
          <w:tcPr>
            <w:tcW w:w="6911" w:type="dxa"/>
            <w:vAlign w:val="center"/>
          </w:tcPr>
          <w:p w14:paraId="7180CB11"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Partial Response</w:t>
            </w:r>
          </w:p>
        </w:tc>
      </w:tr>
      <w:tr w:rsidR="00164354" w14:paraId="7180CB15"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13" w14:textId="77777777" w:rsidR="00164354" w:rsidRPr="00164354" w:rsidRDefault="00164354" w:rsidP="00164354">
            <w:r w:rsidRPr="00164354">
              <w:t>PRO</w:t>
            </w:r>
          </w:p>
        </w:tc>
        <w:tc>
          <w:tcPr>
            <w:tcW w:w="6911" w:type="dxa"/>
            <w:vAlign w:val="center"/>
          </w:tcPr>
          <w:p w14:paraId="7180CB14"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Patient reported outcomes</w:t>
            </w:r>
          </w:p>
        </w:tc>
      </w:tr>
      <w:tr w:rsidR="00164354" w14:paraId="7180CB18"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16" w14:textId="77777777" w:rsidR="00164354" w:rsidRPr="00164354" w:rsidRDefault="00164354" w:rsidP="00164354">
            <w:proofErr w:type="spellStart"/>
            <w:r w:rsidRPr="00164354">
              <w:t>QoL</w:t>
            </w:r>
            <w:proofErr w:type="spellEnd"/>
          </w:p>
        </w:tc>
        <w:tc>
          <w:tcPr>
            <w:tcW w:w="6911" w:type="dxa"/>
            <w:vAlign w:val="center"/>
          </w:tcPr>
          <w:p w14:paraId="7180CB17"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Quality of Life</w:t>
            </w:r>
          </w:p>
        </w:tc>
      </w:tr>
      <w:tr w:rsidR="00164354" w14:paraId="7180CB1B"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19" w14:textId="77777777" w:rsidR="00164354" w:rsidRPr="00164354" w:rsidRDefault="00164354" w:rsidP="00164354">
            <w:r w:rsidRPr="00164354">
              <w:t>RECIST</w:t>
            </w:r>
          </w:p>
        </w:tc>
        <w:tc>
          <w:tcPr>
            <w:tcW w:w="6911" w:type="dxa"/>
            <w:vAlign w:val="center"/>
          </w:tcPr>
          <w:p w14:paraId="7180CB1A"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Response evaluation criteria in solid tumours</w:t>
            </w:r>
          </w:p>
        </w:tc>
      </w:tr>
      <w:tr w:rsidR="00164354" w14:paraId="7180CB1E"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1C" w14:textId="77777777" w:rsidR="00164354" w:rsidRPr="00164354" w:rsidRDefault="00164354" w:rsidP="00164354">
            <w:r w:rsidRPr="00164354">
              <w:t>SAE</w:t>
            </w:r>
          </w:p>
        </w:tc>
        <w:tc>
          <w:tcPr>
            <w:tcW w:w="6911" w:type="dxa"/>
            <w:vAlign w:val="center"/>
          </w:tcPr>
          <w:p w14:paraId="7180CB1D"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Serious Adverse Event</w:t>
            </w:r>
          </w:p>
        </w:tc>
      </w:tr>
      <w:tr w:rsidR="00164354" w14:paraId="7180CB21"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1F" w14:textId="77777777" w:rsidR="00164354" w:rsidRPr="00164354" w:rsidRDefault="00164354" w:rsidP="00164354">
            <w:r w:rsidRPr="00164354">
              <w:t>SD</w:t>
            </w:r>
          </w:p>
        </w:tc>
        <w:tc>
          <w:tcPr>
            <w:tcW w:w="6911" w:type="dxa"/>
            <w:vAlign w:val="center"/>
          </w:tcPr>
          <w:p w14:paraId="7180CB20"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Stable Disease</w:t>
            </w:r>
          </w:p>
        </w:tc>
      </w:tr>
      <w:tr w:rsidR="00164354" w14:paraId="7180CB24"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22" w14:textId="77777777" w:rsidR="00164354" w:rsidRPr="00164354" w:rsidRDefault="00164354" w:rsidP="00164354">
            <w:r w:rsidRPr="00164354">
              <w:t>SGRQ</w:t>
            </w:r>
          </w:p>
        </w:tc>
        <w:tc>
          <w:tcPr>
            <w:tcW w:w="6911" w:type="dxa"/>
            <w:vAlign w:val="center"/>
          </w:tcPr>
          <w:p w14:paraId="7180CB23"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St George’s Respiratory Questionnaire</w:t>
            </w:r>
          </w:p>
        </w:tc>
      </w:tr>
      <w:tr w:rsidR="00164354" w14:paraId="7180CB27"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25" w14:textId="77777777" w:rsidR="00164354" w:rsidRPr="00164354" w:rsidRDefault="00164354" w:rsidP="00164354">
            <w:r w:rsidRPr="00164354">
              <w:t>SOBQ</w:t>
            </w:r>
          </w:p>
        </w:tc>
        <w:tc>
          <w:tcPr>
            <w:tcW w:w="6911" w:type="dxa"/>
            <w:vAlign w:val="center"/>
          </w:tcPr>
          <w:p w14:paraId="7180CB26"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Shortness of Breath Questionnaire</w:t>
            </w:r>
          </w:p>
        </w:tc>
      </w:tr>
      <w:tr w:rsidR="00164354" w14:paraId="7180CB2A"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28" w14:textId="77777777" w:rsidR="00164354" w:rsidRPr="00164354" w:rsidRDefault="00164354" w:rsidP="00164354">
            <w:r>
              <w:t>TGA</w:t>
            </w:r>
          </w:p>
        </w:tc>
        <w:tc>
          <w:tcPr>
            <w:tcW w:w="6911" w:type="dxa"/>
            <w:vAlign w:val="center"/>
          </w:tcPr>
          <w:p w14:paraId="7180CB29"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Therapeutic Goods Administration</w:t>
            </w:r>
          </w:p>
        </w:tc>
      </w:tr>
      <w:tr w:rsidR="00164354" w14:paraId="7180CB2D"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2B" w14:textId="77777777" w:rsidR="00164354" w:rsidRPr="00164354" w:rsidRDefault="00164354" w:rsidP="00164354">
            <w:proofErr w:type="spellStart"/>
            <w:r w:rsidRPr="00164354">
              <w:t>Tmax</w:t>
            </w:r>
            <w:proofErr w:type="spellEnd"/>
          </w:p>
        </w:tc>
        <w:tc>
          <w:tcPr>
            <w:tcW w:w="6911" w:type="dxa"/>
            <w:vAlign w:val="center"/>
          </w:tcPr>
          <w:p w14:paraId="7180CB2C"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Time of maximum concentration</w:t>
            </w:r>
          </w:p>
        </w:tc>
      </w:tr>
      <w:tr w:rsidR="00164354" w14:paraId="7180CB30"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2E" w14:textId="77777777" w:rsidR="00164354" w:rsidRPr="00164354" w:rsidRDefault="00164354" w:rsidP="00164354">
            <w:r w:rsidRPr="00164354">
              <w:t>TSH</w:t>
            </w:r>
          </w:p>
        </w:tc>
        <w:tc>
          <w:tcPr>
            <w:tcW w:w="6911" w:type="dxa"/>
            <w:vAlign w:val="center"/>
          </w:tcPr>
          <w:p w14:paraId="7180CB2F"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Thyroid stimulating hormone</w:t>
            </w:r>
          </w:p>
        </w:tc>
      </w:tr>
      <w:tr w:rsidR="00164354" w14:paraId="7180CB33"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31" w14:textId="77777777" w:rsidR="00164354" w:rsidRPr="00164354" w:rsidRDefault="00164354" w:rsidP="00164354">
            <w:r w:rsidRPr="00164354">
              <w:t>TTP</w:t>
            </w:r>
          </w:p>
        </w:tc>
        <w:tc>
          <w:tcPr>
            <w:tcW w:w="6911" w:type="dxa"/>
            <w:vAlign w:val="center"/>
          </w:tcPr>
          <w:p w14:paraId="7180CB32"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Time to Progression</w:t>
            </w:r>
          </w:p>
        </w:tc>
      </w:tr>
      <w:tr w:rsidR="00164354" w14:paraId="7180CB36"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34" w14:textId="77777777" w:rsidR="00164354" w:rsidRPr="00164354" w:rsidRDefault="00164354" w:rsidP="00164354">
            <w:r w:rsidRPr="00164354">
              <w:t>UDP</w:t>
            </w:r>
          </w:p>
        </w:tc>
        <w:tc>
          <w:tcPr>
            <w:tcW w:w="6911" w:type="dxa"/>
            <w:vAlign w:val="center"/>
          </w:tcPr>
          <w:p w14:paraId="7180CB35"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Uridine diphosphate glucuronosyltransferase</w:t>
            </w:r>
          </w:p>
        </w:tc>
      </w:tr>
      <w:tr w:rsidR="00164354" w14:paraId="7180CB39"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37" w14:textId="77777777" w:rsidR="00164354" w:rsidRPr="00164354" w:rsidRDefault="00164354" w:rsidP="00164354">
            <w:r w:rsidRPr="00164354">
              <w:t>VEGFR</w:t>
            </w:r>
          </w:p>
        </w:tc>
        <w:tc>
          <w:tcPr>
            <w:tcW w:w="6911" w:type="dxa"/>
            <w:vAlign w:val="center"/>
          </w:tcPr>
          <w:p w14:paraId="7180CB38"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Vascular endothelial growth factor receptor</w:t>
            </w:r>
          </w:p>
        </w:tc>
      </w:tr>
      <w:tr w:rsidR="00164354" w14:paraId="7180CB3C" w14:textId="77777777" w:rsidTr="00164354">
        <w:tc>
          <w:tcPr>
            <w:cnfStyle w:val="001000000000" w:firstRow="0" w:lastRow="0" w:firstColumn="1" w:lastColumn="0" w:oddVBand="0" w:evenVBand="0" w:oddHBand="0" w:evenHBand="0" w:firstRowFirstColumn="0" w:firstRowLastColumn="0" w:lastRowFirstColumn="0" w:lastRowLastColumn="0"/>
            <w:tcW w:w="1890" w:type="dxa"/>
            <w:vAlign w:val="center"/>
          </w:tcPr>
          <w:p w14:paraId="7180CB3A" w14:textId="77777777" w:rsidR="00164354" w:rsidRPr="00164354" w:rsidRDefault="00164354" w:rsidP="00164354">
            <w:proofErr w:type="spellStart"/>
            <w:r w:rsidRPr="00164354">
              <w:t>Vss</w:t>
            </w:r>
            <w:proofErr w:type="spellEnd"/>
          </w:p>
        </w:tc>
        <w:tc>
          <w:tcPr>
            <w:tcW w:w="6911" w:type="dxa"/>
            <w:vAlign w:val="center"/>
          </w:tcPr>
          <w:p w14:paraId="7180CB3B" w14:textId="77777777" w:rsidR="00164354" w:rsidRPr="00164354" w:rsidRDefault="00164354" w:rsidP="00164354">
            <w:pPr>
              <w:cnfStyle w:val="000000000000" w:firstRow="0" w:lastRow="0" w:firstColumn="0" w:lastColumn="0" w:oddVBand="0" w:evenVBand="0" w:oddHBand="0" w:evenHBand="0" w:firstRowFirstColumn="0" w:firstRowLastColumn="0" w:lastRowFirstColumn="0" w:lastRowLastColumn="0"/>
            </w:pPr>
            <w:r w:rsidRPr="00164354">
              <w:t>Volume of distribution at steady state</w:t>
            </w:r>
          </w:p>
        </w:tc>
      </w:tr>
    </w:tbl>
    <w:p w14:paraId="7180CB3D" w14:textId="77777777" w:rsidR="0094614A" w:rsidRPr="003E289E" w:rsidRDefault="0094614A" w:rsidP="003E289E">
      <w:pPr>
        <w:pStyle w:val="Heading2"/>
      </w:pPr>
      <w:bookmarkStart w:id="8" w:name="_Toc351718900"/>
      <w:bookmarkStart w:id="9" w:name="_Toc355338635"/>
      <w:bookmarkStart w:id="10" w:name="_Toc443381723"/>
      <w:r w:rsidRPr="003E289E">
        <w:lastRenderedPageBreak/>
        <w:t>Introduction</w:t>
      </w:r>
      <w:bookmarkEnd w:id="10"/>
    </w:p>
    <w:p w14:paraId="7180CB3E" w14:textId="77777777" w:rsidR="00164354" w:rsidRPr="00164354" w:rsidRDefault="00164354" w:rsidP="00164354">
      <w:pPr>
        <w:pStyle w:val="Heading3"/>
      </w:pPr>
      <w:bookmarkStart w:id="11" w:name="_Toc272414595"/>
      <w:bookmarkStart w:id="12" w:name="_Toc290846217"/>
      <w:bookmarkStart w:id="13" w:name="_Toc291518903"/>
      <w:bookmarkStart w:id="14" w:name="_Toc443381724"/>
      <w:r w:rsidRPr="00164354">
        <w:t>Submission type</w:t>
      </w:r>
      <w:bookmarkEnd w:id="11"/>
      <w:bookmarkEnd w:id="12"/>
      <w:bookmarkEnd w:id="13"/>
      <w:bookmarkEnd w:id="14"/>
    </w:p>
    <w:p w14:paraId="7180CB3F" w14:textId="77777777" w:rsidR="00164354" w:rsidRPr="00580E89" w:rsidRDefault="00164354" w:rsidP="00164354">
      <w:r w:rsidRPr="00164354">
        <w:t>This is a full submission to register the product as a new chemical entity.</w:t>
      </w:r>
    </w:p>
    <w:p w14:paraId="7180CB40" w14:textId="77777777" w:rsidR="00164354" w:rsidRPr="00164354" w:rsidRDefault="00164354" w:rsidP="00164354">
      <w:pPr>
        <w:pStyle w:val="Heading3"/>
      </w:pPr>
      <w:bookmarkStart w:id="15" w:name="_Toc272414596"/>
      <w:bookmarkStart w:id="16" w:name="_Toc290846218"/>
      <w:bookmarkStart w:id="17" w:name="_Toc291518904"/>
      <w:bookmarkStart w:id="18" w:name="_Toc443381725"/>
      <w:r w:rsidRPr="00164354">
        <w:t>Drug class and therapeutic indication</w:t>
      </w:r>
      <w:bookmarkEnd w:id="15"/>
      <w:bookmarkEnd w:id="16"/>
      <w:bookmarkEnd w:id="17"/>
      <w:bookmarkEnd w:id="18"/>
    </w:p>
    <w:p w14:paraId="7180CB41" w14:textId="77777777" w:rsidR="00164354" w:rsidRPr="00164354" w:rsidRDefault="00164354" w:rsidP="00164354">
      <w:proofErr w:type="spellStart"/>
      <w:r w:rsidRPr="00164354">
        <w:t>Nintedanib</w:t>
      </w:r>
      <w:proofErr w:type="spellEnd"/>
      <w:r w:rsidRPr="00164354">
        <w:t xml:space="preserve"> is a tyrosine kinase inhibitor (TKI). It blocks the kinase activity of a variety of receptors:</w:t>
      </w:r>
    </w:p>
    <w:p w14:paraId="7180CB42" w14:textId="77777777" w:rsidR="00164354" w:rsidRPr="00164354" w:rsidRDefault="00164354" w:rsidP="00164354">
      <w:pPr>
        <w:pStyle w:val="ListBullet"/>
      </w:pPr>
      <w:r w:rsidRPr="00164354">
        <w:t>The vascular endothelial growth factor receptors (VEGFR) -1, -2 and -3;</w:t>
      </w:r>
    </w:p>
    <w:p w14:paraId="7180CB43" w14:textId="77777777" w:rsidR="00164354" w:rsidRPr="00164354" w:rsidRDefault="00164354" w:rsidP="00164354">
      <w:pPr>
        <w:pStyle w:val="ListBullet"/>
      </w:pPr>
      <w:r w:rsidRPr="00164354">
        <w:t>The platelet derived growth factor receptors (PDGFR) α and β;</w:t>
      </w:r>
    </w:p>
    <w:p w14:paraId="7180CB44" w14:textId="77777777" w:rsidR="00164354" w:rsidRPr="00164354" w:rsidRDefault="00164354" w:rsidP="00164354">
      <w:pPr>
        <w:pStyle w:val="ListBullet"/>
      </w:pPr>
      <w:r w:rsidRPr="00164354">
        <w:t>The fibroblast growth factor receptors (FGFR) -1, -2 and -3;</w:t>
      </w:r>
    </w:p>
    <w:p w14:paraId="7180CB45" w14:textId="77777777" w:rsidR="00164354" w:rsidRDefault="00164354" w:rsidP="00164354">
      <w:r w:rsidRPr="00164354">
        <w:t xml:space="preserve">It also blocks the activity of Flt-3, </w:t>
      </w:r>
      <w:proofErr w:type="spellStart"/>
      <w:r w:rsidRPr="00164354">
        <w:t>Lck</w:t>
      </w:r>
      <w:proofErr w:type="spellEnd"/>
      <w:r w:rsidRPr="00164354">
        <w:t xml:space="preserve">, Lyn and </w:t>
      </w:r>
      <w:proofErr w:type="spellStart"/>
      <w:r w:rsidRPr="00164354">
        <w:t>Src</w:t>
      </w:r>
      <w:proofErr w:type="spellEnd"/>
      <w:r w:rsidRPr="00164354">
        <w:t xml:space="preserve"> kinases.</w:t>
      </w:r>
    </w:p>
    <w:p w14:paraId="7180CB46" w14:textId="77777777" w:rsidR="00164354" w:rsidRPr="00164354" w:rsidRDefault="00164354" w:rsidP="00164354">
      <w:r w:rsidRPr="00164354">
        <w:t>The submission seeks approval of the product for two indications:</w:t>
      </w:r>
    </w:p>
    <w:p w14:paraId="7180CB47" w14:textId="77777777" w:rsidR="00164354" w:rsidRPr="00383820" w:rsidRDefault="00164354" w:rsidP="00383820">
      <w:pPr>
        <w:pStyle w:val="ListBullet"/>
        <w:numPr>
          <w:ilvl w:val="0"/>
          <w:numId w:val="0"/>
        </w:numPr>
        <w:ind w:left="360"/>
        <w:rPr>
          <w:i/>
        </w:rPr>
      </w:pPr>
      <w:r w:rsidRPr="00383820">
        <w:rPr>
          <w:i/>
        </w:rPr>
        <w:t>In combination with docetaxel, for the treatment of patients with locally advanced, metastatic or recurrent non-small cell lung cancer (NSCLC) of adenocarcinoma tumour histology after first line chemotherapy; and</w:t>
      </w:r>
    </w:p>
    <w:p w14:paraId="7180CB48" w14:textId="77777777" w:rsidR="00164354" w:rsidRPr="00383820" w:rsidRDefault="00164354" w:rsidP="00383820">
      <w:pPr>
        <w:pStyle w:val="ListBullet"/>
        <w:numPr>
          <w:ilvl w:val="0"/>
          <w:numId w:val="0"/>
        </w:numPr>
        <w:ind w:left="360"/>
        <w:rPr>
          <w:i/>
        </w:rPr>
      </w:pPr>
      <w:r w:rsidRPr="00383820">
        <w:rPr>
          <w:i/>
        </w:rPr>
        <w:t>The treatment of Idiopathic Pulmonary Fibrosis (IPF) and to slow disease progression.</w:t>
      </w:r>
    </w:p>
    <w:p w14:paraId="7180CB49" w14:textId="77777777" w:rsidR="00164354" w:rsidRPr="00164354" w:rsidRDefault="00164354" w:rsidP="00164354">
      <w:pPr>
        <w:pStyle w:val="Heading3"/>
      </w:pPr>
      <w:bookmarkStart w:id="19" w:name="_Toc272414597"/>
      <w:bookmarkStart w:id="20" w:name="_Toc290846219"/>
      <w:bookmarkStart w:id="21" w:name="_Toc291518905"/>
      <w:bookmarkStart w:id="22" w:name="_Toc443381726"/>
      <w:r w:rsidRPr="00164354">
        <w:t>Dosage forms and strengths</w:t>
      </w:r>
      <w:bookmarkEnd w:id="19"/>
      <w:bookmarkEnd w:id="20"/>
      <w:bookmarkEnd w:id="21"/>
      <w:bookmarkEnd w:id="22"/>
    </w:p>
    <w:p w14:paraId="7180CB4A" w14:textId="77777777" w:rsidR="00164354" w:rsidRDefault="00164354" w:rsidP="00164354">
      <w:r w:rsidRPr="00164354">
        <w:t xml:space="preserve">The submission proposes registration of </w:t>
      </w:r>
      <w:proofErr w:type="spellStart"/>
      <w:r w:rsidRPr="00164354">
        <w:t>nintedanib</w:t>
      </w:r>
      <w:proofErr w:type="spellEnd"/>
      <w:r w:rsidRPr="00164354">
        <w:t xml:space="preserve"> in the form of </w:t>
      </w:r>
      <w:proofErr w:type="spellStart"/>
      <w:r w:rsidRPr="00164354">
        <w:t>softg</w:t>
      </w:r>
      <w:r w:rsidR="00383820">
        <w:t>el</w:t>
      </w:r>
      <w:proofErr w:type="spellEnd"/>
      <w:r w:rsidR="00383820">
        <w:t xml:space="preserve"> capsules, in two strengths; </w:t>
      </w:r>
      <w:r w:rsidRPr="00164354">
        <w:t>100 mg and 150 mg.</w:t>
      </w:r>
    </w:p>
    <w:p w14:paraId="7180CB4B" w14:textId="77777777" w:rsidR="00164354" w:rsidRPr="00164354" w:rsidRDefault="00164354" w:rsidP="00164354">
      <w:pPr>
        <w:pStyle w:val="Heading3"/>
      </w:pPr>
      <w:bookmarkStart w:id="23" w:name="_Toc272414598"/>
      <w:bookmarkStart w:id="24" w:name="_Toc290846220"/>
      <w:bookmarkStart w:id="25" w:name="_Toc291518906"/>
      <w:bookmarkStart w:id="26" w:name="_Toc443381727"/>
      <w:r w:rsidRPr="00164354">
        <w:t>Dosage and administration</w:t>
      </w:r>
      <w:bookmarkEnd w:id="23"/>
      <w:bookmarkEnd w:id="24"/>
      <w:bookmarkEnd w:id="25"/>
      <w:bookmarkEnd w:id="26"/>
    </w:p>
    <w:p w14:paraId="7180CB4C" w14:textId="77777777" w:rsidR="00164354" w:rsidRPr="00164354" w:rsidRDefault="00164354" w:rsidP="00164354">
      <w:r w:rsidRPr="00164354">
        <w:t>In NSCLC, the proposed dosage regimen is 200</w:t>
      </w:r>
      <w:r w:rsidR="00A57D2B">
        <w:t xml:space="preserve"> mg twice daily (BD), on </w:t>
      </w:r>
      <w:r w:rsidR="00917B9D">
        <w:t>Day</w:t>
      </w:r>
      <w:r w:rsidR="00A57D2B">
        <w:t xml:space="preserve">s 2 to 21 of a 21 </w:t>
      </w:r>
      <w:r w:rsidRPr="00164354">
        <w:t xml:space="preserve">day cycle. Docetaxel is to be administered on </w:t>
      </w:r>
      <w:r w:rsidR="00917B9D">
        <w:t>Day</w:t>
      </w:r>
      <w:r w:rsidRPr="00164354">
        <w:t xml:space="preserve"> 1 of </w:t>
      </w:r>
      <w:r w:rsidR="00A57D2B">
        <w:t xml:space="preserve">the 21 </w:t>
      </w:r>
      <w:r w:rsidRPr="00164354">
        <w:t xml:space="preserve">day cycle. It is proposed that </w:t>
      </w:r>
      <w:proofErr w:type="spellStart"/>
      <w:r w:rsidRPr="00164354">
        <w:t>nintedanib</w:t>
      </w:r>
      <w:proofErr w:type="spellEnd"/>
      <w:r w:rsidRPr="00164354">
        <w:t xml:space="preserve"> be continued as monotherapy if docetaxel is discontinued, and for as long as clinical benefit is observed or until unacceptable toxicity occurs.</w:t>
      </w:r>
    </w:p>
    <w:p w14:paraId="7180CB4D" w14:textId="77777777" w:rsidR="00164354" w:rsidRPr="00164354" w:rsidRDefault="00164354" w:rsidP="00164354">
      <w:r w:rsidRPr="00164354">
        <w:t>In IPF the proposed dosage regimen is 150 mg BD continuously.</w:t>
      </w:r>
    </w:p>
    <w:p w14:paraId="7180CB4E" w14:textId="77777777" w:rsidR="00586F98" w:rsidRPr="00052387" w:rsidRDefault="00586F98" w:rsidP="00052387">
      <w:pPr>
        <w:pStyle w:val="Heading2"/>
      </w:pPr>
      <w:bookmarkStart w:id="27" w:name="_Toc443381728"/>
      <w:r w:rsidRPr="00052387">
        <w:t>Clinical rationale</w:t>
      </w:r>
      <w:bookmarkEnd w:id="27"/>
    </w:p>
    <w:p w14:paraId="7180CB4F" w14:textId="77777777" w:rsidR="00164354" w:rsidRPr="00164354" w:rsidRDefault="00164354" w:rsidP="00164354">
      <w:pPr>
        <w:pStyle w:val="Heading3"/>
      </w:pPr>
      <w:bookmarkStart w:id="28" w:name="_Toc443381729"/>
      <w:r w:rsidRPr="00164354">
        <w:t>NSCLC</w:t>
      </w:r>
      <w:bookmarkEnd w:id="28"/>
    </w:p>
    <w:p w14:paraId="7180CB50" w14:textId="77777777" w:rsidR="00164354" w:rsidRPr="00164354" w:rsidRDefault="00164354" w:rsidP="00164354">
      <w:r w:rsidRPr="00164354">
        <w:t>NSCLC accounts for approximately 60</w:t>
      </w:r>
      <w:r>
        <w:t xml:space="preserve"> </w:t>
      </w:r>
      <w:r w:rsidR="00383820">
        <w:t>to</w:t>
      </w:r>
      <w:r>
        <w:t xml:space="preserve"> </w:t>
      </w:r>
      <w:r w:rsidRPr="00164354">
        <w:t>65% of lung cancers and adenocarcinoma is the most common s</w:t>
      </w:r>
      <w:r w:rsidR="00383820">
        <w:t xml:space="preserve">ubtype of NSCLC. Standard first </w:t>
      </w:r>
      <w:r w:rsidRPr="00164354">
        <w:t>line therapy for most patients wi</w:t>
      </w:r>
      <w:r w:rsidR="00383820">
        <w:t xml:space="preserve">th advanced NSCLC is a platinum </w:t>
      </w:r>
      <w:r w:rsidRPr="00164354">
        <w:t xml:space="preserve">based doublet chemotherapy regimen. Bevacizumab is also registered in Australia for use in </w:t>
      </w:r>
      <w:r w:rsidR="00383820">
        <w:t>first line</w:t>
      </w:r>
      <w:r w:rsidRPr="00164354">
        <w:t xml:space="preserve"> treatment in combination with </w:t>
      </w:r>
      <w:r w:rsidR="00383820">
        <w:t>platinum based</w:t>
      </w:r>
      <w:r w:rsidRPr="00164354">
        <w:t xml:space="preserve"> chemotherapy. Current treatments available for second line use include docetaxel, </w:t>
      </w:r>
      <w:proofErr w:type="spellStart"/>
      <w:r w:rsidRPr="00164354">
        <w:t>pemetrexed</w:t>
      </w:r>
      <w:proofErr w:type="spellEnd"/>
      <w:r w:rsidRPr="00164354">
        <w:t xml:space="preserve"> and </w:t>
      </w:r>
      <w:proofErr w:type="spellStart"/>
      <w:r w:rsidRPr="00164354">
        <w:t>erlotinib</w:t>
      </w:r>
      <w:proofErr w:type="spellEnd"/>
      <w:r w:rsidRPr="00164354">
        <w:t>.</w:t>
      </w:r>
    </w:p>
    <w:p w14:paraId="7180CB51" w14:textId="77777777" w:rsidR="00164354" w:rsidRPr="00164354" w:rsidRDefault="00164354" w:rsidP="00164354">
      <w:r w:rsidRPr="00164354">
        <w:t xml:space="preserve">For patients with activating mutations of EGFR, agents available for </w:t>
      </w:r>
      <w:r w:rsidR="00383820">
        <w:t>first line</w:t>
      </w:r>
      <w:r w:rsidRPr="00164354">
        <w:t xml:space="preserve"> therapy, or for </w:t>
      </w:r>
      <w:r w:rsidR="00383820">
        <w:t>second line</w:t>
      </w:r>
      <w:r w:rsidRPr="00164354">
        <w:t xml:space="preserve"> therapy following failure of chemotherapy, include </w:t>
      </w:r>
      <w:proofErr w:type="spellStart"/>
      <w:r w:rsidRPr="00164354">
        <w:t>gefitinib</w:t>
      </w:r>
      <w:proofErr w:type="spellEnd"/>
      <w:r w:rsidRPr="00164354">
        <w:t xml:space="preserve">, </w:t>
      </w:r>
      <w:proofErr w:type="spellStart"/>
      <w:r w:rsidRPr="00164354">
        <w:t>erlotinib</w:t>
      </w:r>
      <w:proofErr w:type="spellEnd"/>
      <w:r w:rsidRPr="00164354">
        <w:t xml:space="preserve"> and </w:t>
      </w:r>
      <w:proofErr w:type="spellStart"/>
      <w:r w:rsidRPr="00164354">
        <w:t>afatinib</w:t>
      </w:r>
      <w:proofErr w:type="spellEnd"/>
      <w:r w:rsidRPr="00164354">
        <w:t xml:space="preserve">. </w:t>
      </w:r>
      <w:proofErr w:type="spellStart"/>
      <w:r w:rsidRPr="00164354">
        <w:t>Crizotinib</w:t>
      </w:r>
      <w:proofErr w:type="spellEnd"/>
      <w:r w:rsidRPr="00164354">
        <w:t xml:space="preserve"> is regi</w:t>
      </w:r>
      <w:r w:rsidR="00383820">
        <w:t xml:space="preserve">stered for the treatment of ALK </w:t>
      </w:r>
      <w:r w:rsidRPr="00164354">
        <w:t>positive NSCLC.</w:t>
      </w:r>
    </w:p>
    <w:p w14:paraId="7180CB52" w14:textId="77777777" w:rsidR="00164354" w:rsidRPr="00164354" w:rsidRDefault="00164354" w:rsidP="00164354">
      <w:r w:rsidRPr="00164354">
        <w:t xml:space="preserve">The proposed use of </w:t>
      </w:r>
      <w:proofErr w:type="spellStart"/>
      <w:r w:rsidRPr="00164354">
        <w:t>nintedanib</w:t>
      </w:r>
      <w:proofErr w:type="spellEnd"/>
      <w:r w:rsidRPr="00164354">
        <w:t xml:space="preserve"> in N</w:t>
      </w:r>
      <w:r w:rsidR="00383820">
        <w:t xml:space="preserve">SCLC is based on its anti </w:t>
      </w:r>
      <w:proofErr w:type="spellStart"/>
      <w:r w:rsidRPr="00164354">
        <w:t>angiogenic</w:t>
      </w:r>
      <w:proofErr w:type="spellEnd"/>
      <w:r w:rsidRPr="00164354">
        <w:t xml:space="preserve"> effects mediated through inhibition of VEGF and PDGF receptors. Bevacizumab, which acts through inhibition of </w:t>
      </w:r>
      <w:r w:rsidRPr="00164354">
        <w:lastRenderedPageBreak/>
        <w:t>the VEGF pathway, has already been registered for use in NSCLC. Several other VEGFR inhibitors have been approved for use in other cancers (</w:t>
      </w:r>
      <w:r w:rsidR="00383820">
        <w:t>for example</w:t>
      </w:r>
      <w:r w:rsidRPr="00164354">
        <w:t xml:space="preserve"> </w:t>
      </w:r>
      <w:proofErr w:type="spellStart"/>
      <w:r w:rsidRPr="00164354">
        <w:t>sorafenib</w:t>
      </w:r>
      <w:proofErr w:type="spellEnd"/>
      <w:r w:rsidRPr="00164354">
        <w:t xml:space="preserve">, </w:t>
      </w:r>
      <w:proofErr w:type="spellStart"/>
      <w:r w:rsidRPr="00164354">
        <w:t>sunitinib</w:t>
      </w:r>
      <w:proofErr w:type="spellEnd"/>
      <w:r w:rsidRPr="00164354">
        <w:t xml:space="preserve">, </w:t>
      </w:r>
      <w:proofErr w:type="spellStart"/>
      <w:r w:rsidRPr="00164354">
        <w:t>pazopanib</w:t>
      </w:r>
      <w:proofErr w:type="spellEnd"/>
      <w:r w:rsidRPr="00164354">
        <w:t>).</w:t>
      </w:r>
    </w:p>
    <w:p w14:paraId="7180CB53" w14:textId="77777777" w:rsidR="00164354" w:rsidRPr="00164354" w:rsidRDefault="00164354" w:rsidP="00164354">
      <w:pPr>
        <w:pStyle w:val="Heading3"/>
      </w:pPr>
      <w:bookmarkStart w:id="29" w:name="_Toc443381730"/>
      <w:r w:rsidRPr="00164354">
        <w:t>IPF</w:t>
      </w:r>
      <w:bookmarkEnd w:id="29"/>
    </w:p>
    <w:p w14:paraId="7180CB54" w14:textId="77777777" w:rsidR="00164354" w:rsidRPr="00164354" w:rsidRDefault="00164354" w:rsidP="00164354">
      <w:r w:rsidRPr="00164354">
        <w:t xml:space="preserve">IPF is a specific form of chronic, progressive interstitial pneumonia of unknown cause. It generally occurs in older adults, is limited to the lungs and is associated with a histological/radiological appearance known as ‘usual interstitial pneumonia (UIP)’. It is a rare condition with a prevalence estimated at between 2 and 29 cases per 100,000 </w:t>
      </w:r>
      <w:proofErr w:type="gramStart"/>
      <w:r w:rsidRPr="00164354">
        <w:t>population</w:t>
      </w:r>
      <w:proofErr w:type="gramEnd"/>
      <w:r w:rsidRPr="00164354">
        <w:t>. Translated to the Australian population, this would give an approximate prevalence of between 50 and 700 subjects. IPF is a fatal condition with a median survival of 2</w:t>
      </w:r>
      <w:r>
        <w:t xml:space="preserve"> </w:t>
      </w:r>
      <w:r w:rsidR="00383820">
        <w:t>to</w:t>
      </w:r>
      <w:r>
        <w:t xml:space="preserve"> </w:t>
      </w:r>
      <w:r w:rsidRPr="00164354">
        <w:t xml:space="preserve">3 years after diagnosis. Most patients experience a slow, gradual progression with death from respiratory failure </w:t>
      </w:r>
      <w:r w:rsidR="00383820">
        <w:t>(1)</w:t>
      </w:r>
      <w:r w:rsidR="00A57D2B">
        <w:t>.</w:t>
      </w:r>
    </w:p>
    <w:p w14:paraId="7180CB55" w14:textId="77777777" w:rsidR="00164354" w:rsidRPr="00164354" w:rsidRDefault="00164354" w:rsidP="00164354">
      <w:r w:rsidRPr="00164354">
        <w:t xml:space="preserve">There are currently no drugs registered in Australia that have been proven to be of benefit in the treatment of IPF. Drugs that have been used include corticosteroids, immunosuppressive agents, colchicine, acetylcysteine, interferon gamma 1b, </w:t>
      </w:r>
      <w:proofErr w:type="spellStart"/>
      <w:r w:rsidRPr="00164354">
        <w:t>bosentan</w:t>
      </w:r>
      <w:proofErr w:type="spellEnd"/>
      <w:r w:rsidRPr="00164354">
        <w:t xml:space="preserve"> and </w:t>
      </w:r>
      <w:proofErr w:type="spellStart"/>
      <w:r w:rsidRPr="00164354">
        <w:t>etanercept</w:t>
      </w:r>
      <w:proofErr w:type="spellEnd"/>
      <w:r w:rsidRPr="00164354">
        <w:t xml:space="preserve">. The evidence to support the efficacy of any of these agents is weak </w:t>
      </w:r>
      <w:r w:rsidR="00A57D2B">
        <w:t xml:space="preserve">and current clinical guidelines </w:t>
      </w:r>
      <w:r w:rsidR="00383820">
        <w:t xml:space="preserve">(1, 2) </w:t>
      </w:r>
      <w:r w:rsidRPr="00164354">
        <w:t xml:space="preserve">do not recommend their use. A new agent, </w:t>
      </w:r>
      <w:proofErr w:type="spellStart"/>
      <w:r w:rsidRPr="00164354">
        <w:t>pirfenidone</w:t>
      </w:r>
      <w:proofErr w:type="spellEnd"/>
      <w:r w:rsidRPr="00164354">
        <w:t>, has in recent years been approved for the treatment of IPF in several foreign markets (including the USA, Europe and Canada). However, at the time of writing of this review it had not been registered in Australia.</w:t>
      </w:r>
    </w:p>
    <w:p w14:paraId="7180CB56" w14:textId="77777777" w:rsidR="00164354" w:rsidRPr="00164354" w:rsidRDefault="00164354" w:rsidP="00164354">
      <w:r w:rsidRPr="00164354">
        <w:t xml:space="preserve">According to the sponsor, preclinical data suggest a potential role of FGF and PDGF signalling in the pathogenesis of IPF. Hence, the clinical rationale is based on </w:t>
      </w:r>
      <w:proofErr w:type="spellStart"/>
      <w:r w:rsidRPr="00164354">
        <w:t>nintedanib’s</w:t>
      </w:r>
      <w:proofErr w:type="spellEnd"/>
      <w:r w:rsidRPr="00164354">
        <w:t xml:space="preserve"> ability to inhibit the receptors for these factors.</w:t>
      </w:r>
    </w:p>
    <w:p w14:paraId="7180CB57" w14:textId="77777777" w:rsidR="00586F98" w:rsidRPr="003E289E" w:rsidRDefault="00586F98" w:rsidP="00052387">
      <w:pPr>
        <w:pStyle w:val="Heading2"/>
      </w:pPr>
      <w:bookmarkStart w:id="30" w:name="_Toc443381731"/>
      <w:r w:rsidRPr="003E289E">
        <w:t>Contents of the clinical dossier</w:t>
      </w:r>
      <w:bookmarkEnd w:id="8"/>
      <w:bookmarkEnd w:id="9"/>
      <w:bookmarkEnd w:id="30"/>
    </w:p>
    <w:p w14:paraId="7180CB58" w14:textId="77777777" w:rsidR="00586F98" w:rsidRDefault="00586F98" w:rsidP="00586F98">
      <w:pPr>
        <w:pStyle w:val="Heading3"/>
      </w:pPr>
      <w:bookmarkStart w:id="31" w:name="_Toc443381732"/>
      <w:r>
        <w:t>Scope of the clinical dossier</w:t>
      </w:r>
      <w:bookmarkEnd w:id="31"/>
    </w:p>
    <w:p w14:paraId="7180CB59" w14:textId="77777777" w:rsidR="00B27C2B" w:rsidRPr="00B27C2B" w:rsidRDefault="00B27C2B" w:rsidP="00B27C2B">
      <w:r w:rsidRPr="00B27C2B">
        <w:t>The submission contained the following clinical information:</w:t>
      </w:r>
    </w:p>
    <w:p w14:paraId="7180CB5A" w14:textId="77777777" w:rsidR="00B27C2B" w:rsidRPr="00B27C2B" w:rsidRDefault="00B27C2B" w:rsidP="00B27C2B">
      <w:pPr>
        <w:pStyle w:val="ListBullet"/>
      </w:pPr>
      <w:r w:rsidRPr="00B27C2B">
        <w:t xml:space="preserve">There were two separate </w:t>
      </w:r>
      <w:r w:rsidR="00383820">
        <w:t>clinical dossiers</w:t>
      </w:r>
      <w:r w:rsidRPr="00B27C2B">
        <w:t xml:space="preserve"> – one for NSCLC and one for IPF. Together they contained the following:</w:t>
      </w:r>
    </w:p>
    <w:p w14:paraId="7180CB5B" w14:textId="77777777" w:rsidR="00B27C2B" w:rsidRPr="00383820" w:rsidRDefault="00B27C2B" w:rsidP="00383820">
      <w:pPr>
        <w:pStyle w:val="ListBullet"/>
      </w:pPr>
      <w:r w:rsidRPr="00383820">
        <w:t>15 clinical pharmacology studies, that primaril</w:t>
      </w:r>
      <w:r w:rsidR="00A57D2B">
        <w:t>y provided pharmacokinetic data.</w:t>
      </w:r>
    </w:p>
    <w:p w14:paraId="7180CB5C" w14:textId="77777777" w:rsidR="00B27C2B" w:rsidRPr="00383820" w:rsidRDefault="00B27C2B" w:rsidP="00383820">
      <w:pPr>
        <w:pStyle w:val="ListBullet"/>
      </w:pPr>
      <w:r w:rsidRPr="00383820">
        <w:t>1 study in renal cell cancer patients th</w:t>
      </w:r>
      <w:r w:rsidR="00A57D2B">
        <w:t>at provided data on QT interval.</w:t>
      </w:r>
    </w:p>
    <w:p w14:paraId="7180CB5D" w14:textId="77777777" w:rsidR="00B27C2B" w:rsidRPr="00383820" w:rsidRDefault="00B27C2B" w:rsidP="00383820">
      <w:pPr>
        <w:pStyle w:val="ListBullet"/>
      </w:pPr>
      <w:r w:rsidRPr="00383820">
        <w:t>3 population pharmacokinetic analyses. Two of these were preliminary and were supers</w:t>
      </w:r>
      <w:r w:rsidR="00A57D2B">
        <w:t>eded by the third (U13-1588-01).</w:t>
      </w:r>
    </w:p>
    <w:p w14:paraId="7180CB5E" w14:textId="77777777" w:rsidR="00B27C2B" w:rsidRPr="00383820" w:rsidRDefault="00B27C2B" w:rsidP="00383820">
      <w:pPr>
        <w:pStyle w:val="ListBullet"/>
      </w:pPr>
      <w:r w:rsidRPr="00383820">
        <w:t>1 pivotal efficacy/safety study in NSCLC (</w:t>
      </w:r>
      <w:r w:rsidR="00D4340F">
        <w:t>Study</w:t>
      </w:r>
      <w:r w:rsidRPr="00383820">
        <w:t xml:space="preserve"> 1199.0013).</w:t>
      </w:r>
    </w:p>
    <w:p w14:paraId="7180CB5F" w14:textId="77777777" w:rsidR="00B27C2B" w:rsidRPr="00383820" w:rsidRDefault="00B27C2B" w:rsidP="00383820">
      <w:pPr>
        <w:pStyle w:val="ListBullet"/>
      </w:pPr>
      <w:r w:rsidRPr="00383820">
        <w:t>2 supportive efficacy/safety studies in NSCLC (1199.0014 and 1199.0010).</w:t>
      </w:r>
    </w:p>
    <w:p w14:paraId="7180CB60" w14:textId="77777777" w:rsidR="00B27C2B" w:rsidRPr="00383820" w:rsidRDefault="00B27C2B" w:rsidP="00383820">
      <w:pPr>
        <w:pStyle w:val="ListBullet"/>
      </w:pPr>
      <w:r w:rsidRPr="00383820">
        <w:t>2 pivotal efficacy/safety studies in IPF (1199.0032 and 1199.0034).</w:t>
      </w:r>
    </w:p>
    <w:p w14:paraId="7180CB61" w14:textId="77777777" w:rsidR="00B27C2B" w:rsidRPr="00383820" w:rsidRDefault="00B27C2B" w:rsidP="00383820">
      <w:pPr>
        <w:pStyle w:val="ListBullet"/>
      </w:pPr>
      <w:r w:rsidRPr="00383820">
        <w:t>1 supportive efficacy/safety study in IPF (1199.0030).</w:t>
      </w:r>
    </w:p>
    <w:p w14:paraId="7180CB62" w14:textId="77777777" w:rsidR="00B27C2B" w:rsidRPr="00383820" w:rsidRDefault="00B27C2B" w:rsidP="00383820">
      <w:pPr>
        <w:pStyle w:val="ListBullet"/>
      </w:pPr>
      <w:r w:rsidRPr="00383820">
        <w:t>Literature references.</w:t>
      </w:r>
    </w:p>
    <w:p w14:paraId="7180CB63" w14:textId="77777777" w:rsidR="00B27C2B" w:rsidRDefault="00B27C2B" w:rsidP="00B27C2B">
      <w:r w:rsidRPr="00B27C2B">
        <w:t xml:space="preserve">There were several studies included in the submission that were not relevant to the approval being sought. These were primarily early </w:t>
      </w:r>
      <w:r w:rsidR="00094D89">
        <w:t>Phase</w:t>
      </w:r>
      <w:r w:rsidRPr="00B27C2B">
        <w:t xml:space="preserve"> </w:t>
      </w:r>
      <w:proofErr w:type="gramStart"/>
      <w:r w:rsidRPr="00B27C2B">
        <w:t xml:space="preserve">studies in which </w:t>
      </w:r>
      <w:proofErr w:type="spellStart"/>
      <w:r w:rsidRPr="00B27C2B">
        <w:t>nintedanib</w:t>
      </w:r>
      <w:proofErr w:type="spellEnd"/>
      <w:r w:rsidRPr="00B27C2B">
        <w:t xml:space="preserve"> was</w:t>
      </w:r>
      <w:proofErr w:type="gramEnd"/>
      <w:r w:rsidRPr="00B27C2B">
        <w:t xml:space="preserve"> tested in malignancies other than NSCLC and/or studies combining </w:t>
      </w:r>
      <w:proofErr w:type="spellStart"/>
      <w:r w:rsidRPr="00B27C2B">
        <w:t>nintedanib</w:t>
      </w:r>
      <w:proofErr w:type="spellEnd"/>
      <w:r w:rsidRPr="00B27C2B">
        <w:t xml:space="preserve"> with anticancer agents other than docetaxel. These studies have not been evaluated. They are listed in </w:t>
      </w:r>
      <w:r w:rsidR="00E05A26">
        <w:t>Table 1.</w:t>
      </w:r>
    </w:p>
    <w:p w14:paraId="7180CB64" w14:textId="77777777" w:rsidR="007F03EB" w:rsidRPr="007F03EB" w:rsidRDefault="007F03EB" w:rsidP="007F03EB">
      <w:pPr>
        <w:pStyle w:val="Tabletitle"/>
      </w:pPr>
      <w:bookmarkStart w:id="32" w:name="_Ref282699219"/>
      <w:bookmarkStart w:id="33" w:name="_Toc291519209"/>
      <w:proofErr w:type="gramStart"/>
      <w:r w:rsidRPr="007F03EB">
        <w:lastRenderedPageBreak/>
        <w:t xml:space="preserve">Table </w:t>
      </w:r>
      <w:bookmarkEnd w:id="32"/>
      <w:r w:rsidR="00E05A26">
        <w:t>1</w:t>
      </w:r>
      <w:r w:rsidR="00A57D2B">
        <w:t>.</w:t>
      </w:r>
      <w:proofErr w:type="gramEnd"/>
      <w:r w:rsidR="00A57D2B">
        <w:t xml:space="preserve"> </w:t>
      </w:r>
      <w:r w:rsidRPr="007F03EB">
        <w:t>Studies included in submission but not evaluated</w:t>
      </w:r>
      <w:bookmarkEnd w:id="33"/>
      <w:r w:rsidR="00A57D2B">
        <w:t>.</w:t>
      </w:r>
    </w:p>
    <w:p w14:paraId="7180CB65" w14:textId="77777777" w:rsidR="007F03EB" w:rsidRPr="00B27C2B" w:rsidRDefault="007F03EB" w:rsidP="00B27C2B">
      <w:r>
        <w:rPr>
          <w:noProof/>
          <w:lang w:eastAsia="en-AU"/>
        </w:rPr>
        <w:drawing>
          <wp:inline distT="0" distB="0" distL="0" distR="0" wp14:anchorId="7180CF94" wp14:editId="7180CF95">
            <wp:extent cx="5731510" cy="3170088"/>
            <wp:effectExtent l="0" t="0" r="2540" b="0"/>
            <wp:docPr id="3" name="Picture 3" descr="Table 1. Studies included in submission but not eval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170088"/>
                    </a:xfrm>
                    <a:prstGeom prst="rect">
                      <a:avLst/>
                    </a:prstGeom>
                  </pic:spPr>
                </pic:pic>
              </a:graphicData>
            </a:graphic>
          </wp:inline>
        </w:drawing>
      </w:r>
    </w:p>
    <w:p w14:paraId="7180CB66" w14:textId="77777777" w:rsidR="00B27C2B" w:rsidRPr="00B27C2B" w:rsidRDefault="00B27C2B" w:rsidP="007F03EB">
      <w:pPr>
        <w:pStyle w:val="ListBullet"/>
      </w:pPr>
      <w:r w:rsidRPr="00B27C2B">
        <w:t>There were two separate</w:t>
      </w:r>
      <w:r w:rsidR="00A57D2B">
        <w:t xml:space="preserve"> </w:t>
      </w:r>
      <w:r w:rsidR="007F03EB">
        <w:t>versions of the following</w:t>
      </w:r>
      <w:r w:rsidRPr="00B27C2B">
        <w:t>:</w:t>
      </w:r>
      <w:r w:rsidR="007F03EB">
        <w:t xml:space="preserve"> </w:t>
      </w:r>
      <w:r w:rsidRPr="00B27C2B">
        <w:t>Clinical Overview, Summary of Biopharmaceutics, Summary of Clinical Pharmacology, Summary of Clinical Efficacy and Summary of Clinical Safety.</w:t>
      </w:r>
    </w:p>
    <w:p w14:paraId="7180CB67" w14:textId="77777777" w:rsidR="00586F98" w:rsidRDefault="00586F98" w:rsidP="00586F98">
      <w:pPr>
        <w:pStyle w:val="Heading3"/>
      </w:pPr>
      <w:bookmarkStart w:id="34" w:name="_Toc443381733"/>
      <w:r>
        <w:t>Paediatric data</w:t>
      </w:r>
      <w:bookmarkEnd w:id="34"/>
    </w:p>
    <w:p w14:paraId="7180CB68" w14:textId="77777777" w:rsidR="00B27C2B" w:rsidRPr="00B27C2B" w:rsidRDefault="00B27C2B" w:rsidP="00B27C2B">
      <w:r w:rsidRPr="00B27C2B">
        <w:t>The submission did not include paediatric data. AS NSCLC and IPF are diseases of adults this is acceptable.</w:t>
      </w:r>
    </w:p>
    <w:p w14:paraId="7180CB69" w14:textId="77777777" w:rsidR="00586F98" w:rsidRDefault="00586F98" w:rsidP="00586F98">
      <w:pPr>
        <w:pStyle w:val="Heading3"/>
      </w:pPr>
      <w:bookmarkStart w:id="35" w:name="_Toc443381734"/>
      <w:r>
        <w:t>Good clinical practice</w:t>
      </w:r>
      <w:bookmarkEnd w:id="35"/>
    </w:p>
    <w:p w14:paraId="7180CB6A" w14:textId="77777777" w:rsidR="00B27C2B" w:rsidRPr="00B27C2B" w:rsidRDefault="00B27C2B" w:rsidP="00B27C2B">
      <w:bookmarkStart w:id="36" w:name="_Toc355338639"/>
      <w:r w:rsidRPr="00B27C2B">
        <w:t>The study reports included in the submission all contained assurances that the trials were carried out in compliance with the principles laid down in the Declaration of Helsinki, in accordance with the International Conference on Harmonisation (ICH) Harmonised Tripartite Guideline for Good Clinical Practice and in accordance with any other applicable regulatory requirements.</w:t>
      </w:r>
    </w:p>
    <w:p w14:paraId="7180CB6B" w14:textId="77777777" w:rsidR="00586F98" w:rsidRPr="00052387" w:rsidRDefault="00586F98" w:rsidP="00052387">
      <w:pPr>
        <w:pStyle w:val="Heading2"/>
      </w:pPr>
      <w:bookmarkStart w:id="37" w:name="_Toc443381735"/>
      <w:r w:rsidRPr="00052387">
        <w:t>Pharmacokinetics</w:t>
      </w:r>
      <w:bookmarkEnd w:id="36"/>
      <w:bookmarkEnd w:id="37"/>
    </w:p>
    <w:p w14:paraId="7180CB6C" w14:textId="77777777" w:rsidR="0069415F" w:rsidRPr="0069415F" w:rsidRDefault="0069415F" w:rsidP="0069415F">
      <w:pPr>
        <w:pStyle w:val="Heading3"/>
      </w:pPr>
      <w:bookmarkStart w:id="38" w:name="_Ref271017296"/>
      <w:bookmarkStart w:id="39" w:name="_Ref271018924"/>
      <w:bookmarkStart w:id="40" w:name="_Ref271018934"/>
      <w:bookmarkStart w:id="41" w:name="_Toc272414614"/>
      <w:bookmarkStart w:id="42" w:name="_Toc290846238"/>
      <w:bookmarkStart w:id="43" w:name="_Toc291518924"/>
      <w:bookmarkStart w:id="44" w:name="_Toc443381736"/>
      <w:r w:rsidRPr="0069415F">
        <w:t>Studies</w:t>
      </w:r>
      <w:bookmarkEnd w:id="38"/>
      <w:bookmarkEnd w:id="39"/>
      <w:bookmarkEnd w:id="40"/>
      <w:r w:rsidRPr="0069415F">
        <w:t xml:space="preserve"> providing pharmacokinetic data</w:t>
      </w:r>
      <w:bookmarkEnd w:id="41"/>
      <w:bookmarkEnd w:id="42"/>
      <w:bookmarkEnd w:id="43"/>
      <w:bookmarkEnd w:id="44"/>
    </w:p>
    <w:p w14:paraId="7180CB6D" w14:textId="77777777" w:rsidR="0069415F" w:rsidRDefault="0069415F" w:rsidP="0069415F">
      <w:r w:rsidRPr="0069415F">
        <w:t xml:space="preserve">Summaries of the </w:t>
      </w:r>
      <w:r w:rsidRPr="00E05A26">
        <w:t xml:space="preserve">pharmacokinetic studies </w:t>
      </w:r>
      <w:r w:rsidR="00E05A26" w:rsidRPr="00E05A26">
        <w:t>were provided</w:t>
      </w:r>
      <w:r w:rsidRPr="00E05A26">
        <w:t xml:space="preserve">. </w:t>
      </w:r>
      <w:r w:rsidR="00E05A26" w:rsidRPr="00E05A26">
        <w:t xml:space="preserve">Table 2 </w:t>
      </w:r>
      <w:r w:rsidRPr="00E05A26">
        <w:t xml:space="preserve">shows </w:t>
      </w:r>
      <w:r w:rsidRPr="0069415F">
        <w:t>the studies relating to each pharmacokinetic topic.</w:t>
      </w:r>
    </w:p>
    <w:p w14:paraId="7180CB6E" w14:textId="77777777" w:rsidR="0069415F" w:rsidRPr="0069415F" w:rsidRDefault="00E05A26" w:rsidP="00344693">
      <w:pPr>
        <w:pStyle w:val="Tabletitle"/>
      </w:pPr>
      <w:bookmarkStart w:id="45" w:name="_Ref272426277"/>
      <w:bookmarkStart w:id="46" w:name="_Toc291519186"/>
      <w:proofErr w:type="gramStart"/>
      <w:r>
        <w:t>Table</w:t>
      </w:r>
      <w:bookmarkEnd w:id="45"/>
      <w:r w:rsidR="0069415F" w:rsidRPr="0069415F">
        <w:t xml:space="preserve"> </w:t>
      </w:r>
      <w:r>
        <w:t>2.</w:t>
      </w:r>
      <w:proofErr w:type="gramEnd"/>
      <w:r w:rsidR="0069415F" w:rsidRPr="0069415F">
        <w:t xml:space="preserve"> </w:t>
      </w:r>
      <w:proofErr w:type="gramStart"/>
      <w:r w:rsidR="0069415F" w:rsidRPr="0069415F">
        <w:t>Submitted pharmacokinetic studies.</w:t>
      </w:r>
      <w:bookmarkEnd w:id="46"/>
      <w:proofErr w:type="gramEnd"/>
    </w:p>
    <w:tbl>
      <w:tblPr>
        <w:tblStyle w:val="TableTGAblue"/>
        <w:tblW w:w="7825" w:type="dxa"/>
        <w:tblLayout w:type="fixed"/>
        <w:tblLook w:val="00A0" w:firstRow="1" w:lastRow="0" w:firstColumn="1" w:lastColumn="0" w:noHBand="0" w:noVBand="0"/>
      </w:tblPr>
      <w:tblGrid>
        <w:gridCol w:w="1745"/>
        <w:gridCol w:w="3114"/>
        <w:gridCol w:w="2966"/>
      </w:tblGrid>
      <w:tr w:rsidR="007F03EB" w:rsidRPr="0069415F" w14:paraId="7180CB72" w14:textId="77777777" w:rsidTr="00647FB0">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745" w:type="dxa"/>
          </w:tcPr>
          <w:p w14:paraId="7180CB6F" w14:textId="77777777" w:rsidR="007F03EB" w:rsidRPr="0069415F" w:rsidRDefault="007F03EB" w:rsidP="00647FB0">
            <w:r w:rsidRPr="0069415F">
              <w:t>PK topic</w:t>
            </w:r>
          </w:p>
        </w:tc>
        <w:tc>
          <w:tcPr>
            <w:tcW w:w="3114" w:type="dxa"/>
          </w:tcPr>
          <w:p w14:paraId="7180CB70" w14:textId="77777777" w:rsidR="007F03EB" w:rsidRPr="0069415F" w:rsidRDefault="007F03EB" w:rsidP="00647FB0">
            <w:pPr>
              <w:cnfStyle w:val="100000000000" w:firstRow="1" w:lastRow="0" w:firstColumn="0" w:lastColumn="0" w:oddVBand="0" w:evenVBand="0" w:oddHBand="0" w:evenHBand="0" w:firstRowFirstColumn="0" w:firstRowLastColumn="0" w:lastRowFirstColumn="0" w:lastRowLastColumn="0"/>
            </w:pPr>
            <w:r w:rsidRPr="0069415F">
              <w:t>Subtopic</w:t>
            </w:r>
          </w:p>
        </w:tc>
        <w:tc>
          <w:tcPr>
            <w:tcW w:w="2966" w:type="dxa"/>
          </w:tcPr>
          <w:p w14:paraId="7180CB71" w14:textId="77777777" w:rsidR="007F03EB" w:rsidRPr="0069415F" w:rsidRDefault="007F03EB" w:rsidP="00647FB0">
            <w:pPr>
              <w:cnfStyle w:val="100000000000" w:firstRow="1" w:lastRow="0" w:firstColumn="0" w:lastColumn="0" w:oddVBand="0" w:evenVBand="0" w:oddHBand="0" w:evenHBand="0" w:firstRowFirstColumn="0" w:firstRowLastColumn="0" w:lastRowFirstColumn="0" w:lastRowLastColumn="0"/>
            </w:pPr>
            <w:r w:rsidRPr="0069415F">
              <w:t>Study ID</w:t>
            </w:r>
          </w:p>
        </w:tc>
      </w:tr>
      <w:tr w:rsidR="007F03EB" w:rsidRPr="0069415F" w14:paraId="7180CB77"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val="restart"/>
          </w:tcPr>
          <w:p w14:paraId="7180CB74" w14:textId="78233DCA" w:rsidR="007F03EB" w:rsidRPr="0069415F" w:rsidRDefault="007F03EB" w:rsidP="00647FB0">
            <w:r w:rsidRPr="0069415F">
              <w:t xml:space="preserve">PK in </w:t>
            </w:r>
            <w:r w:rsidRPr="0069415F">
              <w:lastRenderedPageBreak/>
              <w:t>healthy adults</w:t>
            </w:r>
          </w:p>
        </w:tc>
        <w:tc>
          <w:tcPr>
            <w:tcW w:w="3114" w:type="dxa"/>
          </w:tcPr>
          <w:p w14:paraId="7180CB75"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lastRenderedPageBreak/>
              <w:t>Absolute bioavailability</w:t>
            </w:r>
          </w:p>
        </w:tc>
        <w:tc>
          <w:tcPr>
            <w:tcW w:w="2966" w:type="dxa"/>
          </w:tcPr>
          <w:p w14:paraId="7180CB76"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1199.0075</w:t>
            </w:r>
          </w:p>
        </w:tc>
      </w:tr>
      <w:tr w:rsidR="007F03EB" w:rsidRPr="0069415F" w14:paraId="7180CB7B"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78" w14:textId="77777777" w:rsidR="007F03EB" w:rsidRPr="0069415F" w:rsidRDefault="007F03EB" w:rsidP="00647FB0"/>
        </w:tc>
        <w:tc>
          <w:tcPr>
            <w:tcW w:w="3114" w:type="dxa"/>
          </w:tcPr>
          <w:p w14:paraId="7180CB79"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Mass balance</w:t>
            </w:r>
          </w:p>
        </w:tc>
        <w:tc>
          <w:tcPr>
            <w:tcW w:w="2966" w:type="dxa"/>
          </w:tcPr>
          <w:p w14:paraId="7180CB7A"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1199.0020</w:t>
            </w:r>
          </w:p>
        </w:tc>
      </w:tr>
      <w:tr w:rsidR="007F03EB" w:rsidRPr="0069415F" w14:paraId="7180CB7F"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7C" w14:textId="77777777" w:rsidR="007F03EB" w:rsidRPr="0069415F" w:rsidRDefault="007F03EB" w:rsidP="00647FB0"/>
        </w:tc>
        <w:tc>
          <w:tcPr>
            <w:tcW w:w="3114" w:type="dxa"/>
          </w:tcPr>
          <w:p w14:paraId="7180CB7D"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Food effect</w:t>
            </w:r>
          </w:p>
        </w:tc>
        <w:tc>
          <w:tcPr>
            <w:tcW w:w="2966" w:type="dxa"/>
          </w:tcPr>
          <w:p w14:paraId="7180CB7E"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1199.0017</w:t>
            </w:r>
          </w:p>
        </w:tc>
      </w:tr>
      <w:tr w:rsidR="007F03EB" w:rsidRPr="0069415F" w14:paraId="7180CB83"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80" w14:textId="77777777" w:rsidR="007F03EB" w:rsidRPr="0069415F" w:rsidRDefault="007F03EB" w:rsidP="00647FB0"/>
        </w:tc>
        <w:tc>
          <w:tcPr>
            <w:tcW w:w="3114" w:type="dxa"/>
          </w:tcPr>
          <w:p w14:paraId="7180CB81"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Bioequivalence† - Single dose</w:t>
            </w:r>
          </w:p>
        </w:tc>
        <w:tc>
          <w:tcPr>
            <w:tcW w:w="2966" w:type="dxa"/>
          </w:tcPr>
          <w:p w14:paraId="7180CB82"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1199.0021</w:t>
            </w:r>
          </w:p>
        </w:tc>
      </w:tr>
      <w:tr w:rsidR="007F03EB" w:rsidRPr="0069415F" w14:paraId="7180CB87"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val="restart"/>
          </w:tcPr>
          <w:p w14:paraId="7180CB84" w14:textId="77777777" w:rsidR="007F03EB" w:rsidRPr="0069415F" w:rsidRDefault="0019437B" w:rsidP="00647FB0">
            <w:r>
              <w:t>PK in special populations</w:t>
            </w:r>
          </w:p>
        </w:tc>
        <w:tc>
          <w:tcPr>
            <w:tcW w:w="3114" w:type="dxa"/>
          </w:tcPr>
          <w:p w14:paraId="7180CB85"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Patients with advanced cancer</w:t>
            </w:r>
          </w:p>
        </w:tc>
        <w:tc>
          <w:tcPr>
            <w:tcW w:w="2966" w:type="dxa"/>
          </w:tcPr>
          <w:p w14:paraId="7180CB86"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p>
        </w:tc>
      </w:tr>
      <w:tr w:rsidR="007F03EB" w:rsidRPr="0069415F" w14:paraId="7180CB8E"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88" w14:textId="77777777" w:rsidR="007F03EB" w:rsidRPr="0069415F" w:rsidRDefault="007F03EB" w:rsidP="00647FB0"/>
        </w:tc>
        <w:tc>
          <w:tcPr>
            <w:tcW w:w="3114" w:type="dxa"/>
          </w:tcPr>
          <w:p w14:paraId="7180CB89" w14:textId="56491995" w:rsidR="007F03EB" w:rsidRPr="0069415F" w:rsidRDefault="0019437B" w:rsidP="00647FB0">
            <w:pPr>
              <w:cnfStyle w:val="000000000000" w:firstRow="0" w:lastRow="0" w:firstColumn="0" w:lastColumn="0" w:oddVBand="0" w:evenVBand="0" w:oddHBand="0" w:evenHBand="0" w:firstRowFirstColumn="0" w:firstRowLastColumn="0" w:lastRowFirstColumn="0" w:lastRowLastColumn="0"/>
            </w:pPr>
            <w:r>
              <w:t>Single and Multi-dose</w:t>
            </w:r>
          </w:p>
        </w:tc>
        <w:tc>
          <w:tcPr>
            <w:tcW w:w="2966" w:type="dxa"/>
          </w:tcPr>
          <w:p w14:paraId="7180CB8A"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1199.0001</w:t>
            </w:r>
          </w:p>
          <w:p w14:paraId="7180CB8B"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1199.0002</w:t>
            </w:r>
          </w:p>
          <w:p w14:paraId="7180CB8C"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1199.0003</w:t>
            </w:r>
          </w:p>
          <w:p w14:paraId="7180CB8D"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1199.0019 (Japanese)</w:t>
            </w:r>
          </w:p>
        </w:tc>
      </w:tr>
      <w:tr w:rsidR="007F03EB" w:rsidRPr="0069415F" w14:paraId="7180CB92"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8F" w14:textId="77777777" w:rsidR="007F03EB" w:rsidRPr="0069415F" w:rsidRDefault="007F03EB" w:rsidP="00647FB0"/>
        </w:tc>
        <w:tc>
          <w:tcPr>
            <w:tcW w:w="3114" w:type="dxa"/>
          </w:tcPr>
          <w:p w14:paraId="7180CB90"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Patients with NSCLC</w:t>
            </w:r>
          </w:p>
        </w:tc>
        <w:tc>
          <w:tcPr>
            <w:tcW w:w="2966" w:type="dxa"/>
          </w:tcPr>
          <w:p w14:paraId="7180CB91"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1199.0010</w:t>
            </w:r>
          </w:p>
        </w:tc>
      </w:tr>
      <w:tr w:rsidR="007F03EB" w:rsidRPr="0069415F" w14:paraId="7180CB96"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93" w14:textId="77777777" w:rsidR="007F03EB" w:rsidRPr="0069415F" w:rsidRDefault="007F03EB" w:rsidP="00647FB0"/>
        </w:tc>
        <w:tc>
          <w:tcPr>
            <w:tcW w:w="3114" w:type="dxa"/>
          </w:tcPr>
          <w:p w14:paraId="7180CB94"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Patients with prostate cancer</w:t>
            </w:r>
          </w:p>
        </w:tc>
        <w:tc>
          <w:tcPr>
            <w:tcW w:w="2966" w:type="dxa"/>
          </w:tcPr>
          <w:p w14:paraId="7180CB95"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1199.0011</w:t>
            </w:r>
          </w:p>
        </w:tc>
      </w:tr>
      <w:tr w:rsidR="007F03EB" w:rsidRPr="0069415F" w14:paraId="7180CB9A"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97" w14:textId="77777777" w:rsidR="007F03EB" w:rsidRPr="0069415F" w:rsidRDefault="007F03EB" w:rsidP="00647FB0"/>
        </w:tc>
        <w:tc>
          <w:tcPr>
            <w:tcW w:w="3114" w:type="dxa"/>
          </w:tcPr>
          <w:p w14:paraId="7180CB98"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 xml:space="preserve">Patients with IPF </w:t>
            </w:r>
          </w:p>
        </w:tc>
        <w:tc>
          <w:tcPr>
            <w:tcW w:w="2966" w:type="dxa"/>
          </w:tcPr>
          <w:p w14:paraId="7180CB99"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1199.0030</w:t>
            </w:r>
          </w:p>
        </w:tc>
      </w:tr>
      <w:tr w:rsidR="007F03EB" w:rsidRPr="0069415F" w14:paraId="7180CB9E"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val="restart"/>
          </w:tcPr>
          <w:p w14:paraId="7180CB9B" w14:textId="77777777" w:rsidR="007F03EB" w:rsidRPr="0069415F" w:rsidRDefault="007F03EB" w:rsidP="00647FB0">
            <w:r w:rsidRPr="0069415F">
              <w:t>PK interactions</w:t>
            </w:r>
          </w:p>
        </w:tc>
        <w:tc>
          <w:tcPr>
            <w:tcW w:w="3114" w:type="dxa"/>
          </w:tcPr>
          <w:p w14:paraId="7180CB9C"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with ketoconazole</w:t>
            </w:r>
          </w:p>
        </w:tc>
        <w:tc>
          <w:tcPr>
            <w:tcW w:w="2966" w:type="dxa"/>
          </w:tcPr>
          <w:p w14:paraId="7180CB9D"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1199.0161</w:t>
            </w:r>
          </w:p>
        </w:tc>
      </w:tr>
      <w:tr w:rsidR="007F03EB" w:rsidRPr="0069415F" w14:paraId="7180CBA2"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9F" w14:textId="77777777" w:rsidR="007F03EB" w:rsidRPr="0069415F" w:rsidRDefault="007F03EB" w:rsidP="00647FB0"/>
        </w:tc>
        <w:tc>
          <w:tcPr>
            <w:tcW w:w="3114" w:type="dxa"/>
          </w:tcPr>
          <w:p w14:paraId="7180CBA0"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with rifampicin</w:t>
            </w:r>
          </w:p>
        </w:tc>
        <w:tc>
          <w:tcPr>
            <w:tcW w:w="2966" w:type="dxa"/>
          </w:tcPr>
          <w:p w14:paraId="7180CBA1"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1199.0162</w:t>
            </w:r>
          </w:p>
        </w:tc>
      </w:tr>
      <w:tr w:rsidR="007F03EB" w:rsidRPr="0069415F" w14:paraId="7180CBA6"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A3" w14:textId="77777777" w:rsidR="007F03EB" w:rsidRPr="0069415F" w:rsidRDefault="007F03EB" w:rsidP="00647FB0"/>
        </w:tc>
        <w:tc>
          <w:tcPr>
            <w:tcW w:w="3114" w:type="dxa"/>
          </w:tcPr>
          <w:p w14:paraId="7180CBA4"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with docetaxel</w:t>
            </w:r>
          </w:p>
        </w:tc>
        <w:tc>
          <w:tcPr>
            <w:tcW w:w="2966" w:type="dxa"/>
          </w:tcPr>
          <w:p w14:paraId="7180CBA5"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1199.0004</w:t>
            </w:r>
          </w:p>
        </w:tc>
      </w:tr>
      <w:tr w:rsidR="007F03EB" w:rsidRPr="0069415F" w14:paraId="7180CBAA"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val="restart"/>
          </w:tcPr>
          <w:p w14:paraId="7180CBA7" w14:textId="77777777" w:rsidR="007F03EB" w:rsidRPr="0069415F" w:rsidRDefault="007F03EB" w:rsidP="00647FB0">
            <w:r w:rsidRPr="0069415F">
              <w:t>Population PK analyses</w:t>
            </w:r>
          </w:p>
        </w:tc>
        <w:tc>
          <w:tcPr>
            <w:tcW w:w="3114" w:type="dxa"/>
          </w:tcPr>
          <w:p w14:paraId="7180CBA8"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Patients with advanced cancer</w:t>
            </w:r>
          </w:p>
        </w:tc>
        <w:tc>
          <w:tcPr>
            <w:tcW w:w="2966" w:type="dxa"/>
          </w:tcPr>
          <w:p w14:paraId="7180CBA9"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Report U11-1279-01</w:t>
            </w:r>
          </w:p>
        </w:tc>
      </w:tr>
      <w:tr w:rsidR="007F03EB" w:rsidRPr="0069415F" w14:paraId="7180CBAE"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AB" w14:textId="77777777" w:rsidR="007F03EB" w:rsidRPr="0069415F" w:rsidRDefault="007F03EB" w:rsidP="00647FB0"/>
        </w:tc>
        <w:tc>
          <w:tcPr>
            <w:tcW w:w="3114" w:type="dxa"/>
          </w:tcPr>
          <w:p w14:paraId="7180CBAC"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Patients with NSCLC</w:t>
            </w:r>
          </w:p>
        </w:tc>
        <w:tc>
          <w:tcPr>
            <w:tcW w:w="2966" w:type="dxa"/>
          </w:tcPr>
          <w:p w14:paraId="7180CBAD"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Report U11-1259-01</w:t>
            </w:r>
          </w:p>
        </w:tc>
      </w:tr>
      <w:tr w:rsidR="007F03EB" w:rsidRPr="0069415F" w14:paraId="7180CBB2" w14:textId="77777777" w:rsidTr="00647FB0">
        <w:trPr>
          <w:trHeight w:val="140"/>
        </w:trPr>
        <w:tc>
          <w:tcPr>
            <w:cnfStyle w:val="001000000000" w:firstRow="0" w:lastRow="0" w:firstColumn="1" w:lastColumn="0" w:oddVBand="0" w:evenVBand="0" w:oddHBand="0" w:evenHBand="0" w:firstRowFirstColumn="0" w:firstRowLastColumn="0" w:lastRowFirstColumn="0" w:lastRowLastColumn="0"/>
            <w:tcW w:w="1745" w:type="dxa"/>
            <w:vMerge/>
          </w:tcPr>
          <w:p w14:paraId="7180CBAF" w14:textId="77777777" w:rsidR="007F03EB" w:rsidRPr="0069415F" w:rsidRDefault="007F03EB" w:rsidP="00647FB0"/>
        </w:tc>
        <w:tc>
          <w:tcPr>
            <w:tcW w:w="3114" w:type="dxa"/>
          </w:tcPr>
          <w:p w14:paraId="7180CBB0"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Patients with NSCLC or IPF</w:t>
            </w:r>
          </w:p>
        </w:tc>
        <w:tc>
          <w:tcPr>
            <w:tcW w:w="2966" w:type="dxa"/>
          </w:tcPr>
          <w:p w14:paraId="7180CBB1" w14:textId="77777777" w:rsidR="007F03EB" w:rsidRPr="0069415F" w:rsidRDefault="007F03EB" w:rsidP="00647FB0">
            <w:pPr>
              <w:cnfStyle w:val="000000000000" w:firstRow="0" w:lastRow="0" w:firstColumn="0" w:lastColumn="0" w:oddVBand="0" w:evenVBand="0" w:oddHBand="0" w:evenHBand="0" w:firstRowFirstColumn="0" w:firstRowLastColumn="0" w:lastRowFirstColumn="0" w:lastRowLastColumn="0"/>
            </w:pPr>
            <w:r w:rsidRPr="0069415F">
              <w:t>Report U13-1588-01</w:t>
            </w:r>
          </w:p>
        </w:tc>
      </w:tr>
    </w:tbl>
    <w:p w14:paraId="7180CBB3" w14:textId="77777777" w:rsidR="0069415F" w:rsidRPr="0069415F" w:rsidRDefault="0069415F" w:rsidP="00053EB0">
      <w:pPr>
        <w:pStyle w:val="TableDescription"/>
      </w:pPr>
      <w:r w:rsidRPr="0069415F">
        <w:t>* Indicate</w:t>
      </w:r>
      <w:r w:rsidR="007F03EB">
        <w:t xml:space="preserve">s the primary aim of the study. </w:t>
      </w:r>
      <w:r w:rsidRPr="0069415F">
        <w:t>† Bioequivalence of different formulations.</w:t>
      </w:r>
    </w:p>
    <w:p w14:paraId="7180CBB4" w14:textId="77777777" w:rsidR="0069415F" w:rsidRDefault="0069415F" w:rsidP="0069415F">
      <w:r w:rsidRPr="0069415F">
        <w:t>None of the pharmacokinetic studies had deficiencies that excluded their results from consideration.</w:t>
      </w:r>
    </w:p>
    <w:p w14:paraId="7180CBB5" w14:textId="77777777" w:rsidR="0069415F" w:rsidRPr="0069415F" w:rsidRDefault="0069415F" w:rsidP="0069415F">
      <w:pPr>
        <w:pStyle w:val="Heading3"/>
      </w:pPr>
      <w:bookmarkStart w:id="47" w:name="_Ref269118175"/>
      <w:bookmarkStart w:id="48" w:name="_Toc272414616"/>
      <w:bookmarkStart w:id="49" w:name="_Toc290846239"/>
      <w:bookmarkStart w:id="50" w:name="_Toc291518925"/>
      <w:bookmarkStart w:id="51" w:name="_Toc443381737"/>
      <w:r w:rsidRPr="0069415F">
        <w:t>Summary of pharmacokinetics</w:t>
      </w:r>
      <w:bookmarkEnd w:id="47"/>
      <w:bookmarkEnd w:id="48"/>
      <w:bookmarkEnd w:id="49"/>
      <w:bookmarkEnd w:id="50"/>
      <w:bookmarkEnd w:id="51"/>
    </w:p>
    <w:p w14:paraId="7180CBB6" w14:textId="77777777" w:rsidR="0069415F" w:rsidRDefault="0069415F" w:rsidP="0069415F">
      <w:r w:rsidRPr="0069415F">
        <w:t>The information in the following summary is derived from conventional pharmacokinetic studies unless otherwise stated.</w:t>
      </w:r>
    </w:p>
    <w:p w14:paraId="7180CBB7" w14:textId="77777777" w:rsidR="0069415F" w:rsidRPr="0069415F" w:rsidRDefault="0069415F" w:rsidP="0069415F">
      <w:pPr>
        <w:pStyle w:val="Heading4"/>
      </w:pPr>
      <w:bookmarkStart w:id="52" w:name="_Ref271189106"/>
      <w:bookmarkStart w:id="53" w:name="_Ref271189143"/>
      <w:bookmarkStart w:id="54" w:name="_Toc272414618"/>
      <w:bookmarkStart w:id="55" w:name="_Toc290846241"/>
      <w:bookmarkStart w:id="56" w:name="_Toc291518927"/>
      <w:r w:rsidRPr="0069415F">
        <w:lastRenderedPageBreak/>
        <w:t>Pharmacokinetics in healthy subjects</w:t>
      </w:r>
      <w:bookmarkEnd w:id="52"/>
      <w:bookmarkEnd w:id="53"/>
      <w:bookmarkEnd w:id="54"/>
      <w:bookmarkEnd w:id="55"/>
      <w:bookmarkEnd w:id="56"/>
    </w:p>
    <w:p w14:paraId="7180CBB8" w14:textId="77777777" w:rsidR="0069415F" w:rsidRPr="0069415F" w:rsidRDefault="0069415F" w:rsidP="0069415F">
      <w:pPr>
        <w:pStyle w:val="Heading5"/>
      </w:pPr>
      <w:bookmarkStart w:id="57" w:name="_Toc272414619"/>
      <w:bookmarkStart w:id="58" w:name="_Toc290846242"/>
      <w:bookmarkStart w:id="59" w:name="_Toc291518928"/>
      <w:r w:rsidRPr="0069415F">
        <w:t>Absorption</w:t>
      </w:r>
      <w:bookmarkEnd w:id="57"/>
      <w:bookmarkEnd w:id="58"/>
      <w:bookmarkEnd w:id="59"/>
    </w:p>
    <w:p w14:paraId="7180CBB9" w14:textId="77777777" w:rsidR="0069415F" w:rsidRPr="0069415F" w:rsidRDefault="0069415F" w:rsidP="0069415F">
      <w:pPr>
        <w:pStyle w:val="Heading6"/>
      </w:pPr>
      <w:r w:rsidRPr="0069415F">
        <w:t>Sites and mechanisms of absorption</w:t>
      </w:r>
    </w:p>
    <w:p w14:paraId="7180CBBA" w14:textId="77777777" w:rsidR="0069415F" w:rsidRPr="00E675C1" w:rsidRDefault="0069415F" w:rsidP="0069415F">
      <w:r w:rsidRPr="0069415F">
        <w:t xml:space="preserve">In vitro data indicated that </w:t>
      </w:r>
      <w:proofErr w:type="spellStart"/>
      <w:r w:rsidRPr="0069415F">
        <w:t>nintedanib</w:t>
      </w:r>
      <w:proofErr w:type="spellEnd"/>
      <w:r w:rsidRPr="0069415F">
        <w:t xml:space="preserve"> is a substrate for P-glycoprotein (P-</w:t>
      </w:r>
      <w:proofErr w:type="spellStart"/>
      <w:r w:rsidRPr="0069415F">
        <w:t>gp</w:t>
      </w:r>
      <w:proofErr w:type="spellEnd"/>
      <w:r w:rsidRPr="0069415F">
        <w:t>) and this was supported by the results of interaction studies (see below). There were no clinical data on sites of absorption.</w:t>
      </w:r>
    </w:p>
    <w:p w14:paraId="7180CBBB" w14:textId="77777777" w:rsidR="0069415F" w:rsidRPr="0069415F" w:rsidRDefault="0069415F" w:rsidP="0069415F">
      <w:pPr>
        <w:pStyle w:val="Heading5"/>
      </w:pPr>
      <w:bookmarkStart w:id="60" w:name="_Toc241374287"/>
      <w:bookmarkStart w:id="61" w:name="_Toc272414620"/>
      <w:bookmarkStart w:id="62" w:name="_Toc290846243"/>
      <w:bookmarkStart w:id="63" w:name="_Toc291518929"/>
      <w:r w:rsidRPr="0069415F">
        <w:t>Bioavailability</w:t>
      </w:r>
      <w:bookmarkEnd w:id="60"/>
      <w:bookmarkEnd w:id="61"/>
      <w:bookmarkEnd w:id="62"/>
      <w:bookmarkEnd w:id="63"/>
    </w:p>
    <w:p w14:paraId="7180CBBC" w14:textId="77777777" w:rsidR="0069415F" w:rsidRPr="0069415F" w:rsidRDefault="0069415F" w:rsidP="0069415F">
      <w:pPr>
        <w:pStyle w:val="Heading6"/>
      </w:pPr>
      <w:r w:rsidRPr="0069415F">
        <w:t>Absolute bioavailability</w:t>
      </w:r>
    </w:p>
    <w:p w14:paraId="7180CBBD" w14:textId="77777777" w:rsidR="0069415F" w:rsidRPr="00E675C1" w:rsidRDefault="0069415F" w:rsidP="0069415F">
      <w:r w:rsidRPr="0069415F">
        <w:t>Absolute bioava</w:t>
      </w:r>
      <w:r w:rsidR="0019437B">
        <w:t xml:space="preserve">ilability of </w:t>
      </w:r>
      <w:proofErr w:type="spellStart"/>
      <w:r w:rsidR="0019437B">
        <w:t>nintedanib</w:t>
      </w:r>
      <w:proofErr w:type="spellEnd"/>
      <w:r w:rsidR="0019437B">
        <w:t xml:space="preserve"> is low;</w:t>
      </w:r>
      <w:r w:rsidR="00E05A26">
        <w:t xml:space="preserve"> 4.69%.</w:t>
      </w:r>
    </w:p>
    <w:p w14:paraId="7180CBBE" w14:textId="77777777" w:rsidR="0069415F" w:rsidRPr="0069415F" w:rsidRDefault="0069415F" w:rsidP="0069415F">
      <w:pPr>
        <w:pStyle w:val="Heading6"/>
      </w:pPr>
      <w:r w:rsidRPr="0069415F">
        <w:t>Bioavailability relative to an oral solution or micronized suspension</w:t>
      </w:r>
    </w:p>
    <w:p w14:paraId="7180CBBF" w14:textId="1399980A" w:rsidR="0069415F" w:rsidRPr="00E675C1" w:rsidRDefault="00C44D27" w:rsidP="0069415F">
      <w:r>
        <w:t>[</w:t>
      </w:r>
      <w:proofErr w:type="gramStart"/>
      <w:r>
        <w:t>information</w:t>
      </w:r>
      <w:proofErr w:type="gramEnd"/>
      <w:r>
        <w:t xml:space="preserve"> redacted]</w:t>
      </w:r>
    </w:p>
    <w:p w14:paraId="7180CBC0" w14:textId="77777777" w:rsidR="0069415F" w:rsidRPr="00CD3EFE" w:rsidRDefault="0069415F" w:rsidP="00CD3EFE">
      <w:pPr>
        <w:pStyle w:val="Heading6"/>
      </w:pPr>
      <w:r w:rsidRPr="00CD3EFE">
        <w:t>Bioequivalence of clinical trial and market formulations</w:t>
      </w:r>
    </w:p>
    <w:p w14:paraId="7180CBC1" w14:textId="77777777" w:rsidR="0069415F" w:rsidRDefault="0069415F" w:rsidP="00CD3EFE">
      <w:r w:rsidRPr="00CD3EFE">
        <w:t xml:space="preserve">The formulation of the liquid suspension (which is enclosed in a soft </w:t>
      </w:r>
      <w:proofErr w:type="spellStart"/>
      <w:r w:rsidRPr="00CD3EFE">
        <w:t>gelatin</w:t>
      </w:r>
      <w:proofErr w:type="spellEnd"/>
      <w:r w:rsidRPr="00CD3EFE">
        <w:t xml:space="preserve"> capsule) has remained unchanged during the clinical development program. Therefore clinical bioequivalence studies comparing the clinical trial and market formulations have not been conducted.</w:t>
      </w:r>
    </w:p>
    <w:p w14:paraId="7180CBC2" w14:textId="77777777" w:rsidR="0069415F" w:rsidRPr="00CD3EFE" w:rsidRDefault="0069415F" w:rsidP="00CD3EFE">
      <w:pPr>
        <w:pStyle w:val="Heading6"/>
      </w:pPr>
      <w:r w:rsidRPr="00CD3EFE">
        <w:t>Influence of food</w:t>
      </w:r>
    </w:p>
    <w:p w14:paraId="7180CBC3" w14:textId="77777777" w:rsidR="0069415F" w:rsidRDefault="0069415F" w:rsidP="00CD3EFE">
      <w:r w:rsidRPr="00CD3EFE">
        <w:t>Co-administr</w:t>
      </w:r>
      <w:r w:rsidR="00E05A26">
        <w:t xml:space="preserve">ation of </w:t>
      </w:r>
      <w:proofErr w:type="spellStart"/>
      <w:r w:rsidR="00E05A26">
        <w:t>nintedanib</w:t>
      </w:r>
      <w:proofErr w:type="spellEnd"/>
      <w:r w:rsidR="00E05A26">
        <w:t xml:space="preserve"> with a high fat, high </w:t>
      </w:r>
      <w:r w:rsidRPr="00CD3EFE">
        <w:t xml:space="preserve">caloric meal resulted in an increase in AUC of approximately 20% and an increase in </w:t>
      </w:r>
      <w:proofErr w:type="spellStart"/>
      <w:r w:rsidR="00E05A26" w:rsidRPr="00CD3EFE">
        <w:t>C</w:t>
      </w:r>
      <w:r w:rsidR="00E05A26" w:rsidRPr="00E05A26">
        <w:rPr>
          <w:vertAlign w:val="subscript"/>
        </w:rPr>
        <w:t>max</w:t>
      </w:r>
      <w:proofErr w:type="spellEnd"/>
      <w:r w:rsidRPr="00CD3EFE">
        <w:t xml:space="preserve"> of approximately 15%</w:t>
      </w:r>
      <w:r w:rsidR="00A57D2B">
        <w:t xml:space="preserve"> (Table 3</w:t>
      </w:r>
      <w:r w:rsidRPr="007D35A6">
        <w:t>).</w:t>
      </w:r>
      <w:r w:rsidRPr="00CD3EFE">
        <w:t xml:space="preserve"> In the pivotal studies subjects were instructed to take </w:t>
      </w:r>
      <w:proofErr w:type="spellStart"/>
      <w:r w:rsidRPr="00CD3EFE">
        <w:t>nintedanib</w:t>
      </w:r>
      <w:proofErr w:type="spellEnd"/>
      <w:r w:rsidRPr="00CD3EFE">
        <w:t xml:space="preserve"> together with food.</w:t>
      </w:r>
    </w:p>
    <w:p w14:paraId="7180CBC4" w14:textId="77777777" w:rsidR="00E05A26" w:rsidRDefault="00E05A26" w:rsidP="00E05A26">
      <w:pPr>
        <w:pStyle w:val="Tabletitle"/>
      </w:pPr>
      <w:proofErr w:type="gramStart"/>
      <w:r>
        <w:t xml:space="preserve">Table </w:t>
      </w:r>
      <w:r w:rsidR="007D35A6">
        <w:t>3</w:t>
      </w:r>
      <w:r>
        <w:t>.</w:t>
      </w:r>
      <w:proofErr w:type="gramEnd"/>
      <w:r>
        <w:t xml:space="preserve"> Geometric mean(and </w:t>
      </w:r>
      <w:proofErr w:type="spellStart"/>
      <w:r>
        <w:t>gCV</w:t>
      </w:r>
      <w:proofErr w:type="spellEnd"/>
      <w:r>
        <w:t>%) pharmacokinetic parameters of BIBF 1120 BS after single administration of 150 mg BIBF 1120 capsule under fasted and fed conditions to healthy male volunteers.</w:t>
      </w:r>
    </w:p>
    <w:p w14:paraId="7180CBC5" w14:textId="77777777" w:rsidR="00E05A26" w:rsidRPr="00E05A26" w:rsidRDefault="00E05A26" w:rsidP="00E05A26">
      <w:r>
        <w:rPr>
          <w:noProof/>
          <w:lang w:eastAsia="en-AU"/>
        </w:rPr>
        <w:drawing>
          <wp:inline distT="0" distB="0" distL="0" distR="0" wp14:anchorId="7180CF96" wp14:editId="7180CF97">
            <wp:extent cx="4007457" cy="2882870"/>
            <wp:effectExtent l="0" t="0" r="0" b="0"/>
            <wp:docPr id="4" name="Picture 4" descr="Table 3. Geometric mean(and gCV%) pharmacokinetic parameters of BIBF 1120 BS after single administration of 150 mg BIBF 1120 capsule under fasted and fed conditions to healthy male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06702" cy="2882327"/>
                    </a:xfrm>
                    <a:prstGeom prst="rect">
                      <a:avLst/>
                    </a:prstGeom>
                  </pic:spPr>
                </pic:pic>
              </a:graphicData>
            </a:graphic>
          </wp:inline>
        </w:drawing>
      </w:r>
    </w:p>
    <w:p w14:paraId="7180CBC6" w14:textId="77777777" w:rsidR="0069415F" w:rsidRPr="00CD3EFE" w:rsidRDefault="0069415F" w:rsidP="00CD3EFE">
      <w:pPr>
        <w:pStyle w:val="Heading6"/>
      </w:pPr>
      <w:r w:rsidRPr="00CD3EFE">
        <w:t>Dose proportionality</w:t>
      </w:r>
    </w:p>
    <w:p w14:paraId="7180CBC7" w14:textId="77777777" w:rsidR="0069415F" w:rsidRDefault="0069415F" w:rsidP="00CD3EFE">
      <w:r w:rsidRPr="00CD3EFE">
        <w:t xml:space="preserve">Following IV administration, </w:t>
      </w:r>
      <w:proofErr w:type="spellStart"/>
      <w:r w:rsidR="00E05A26" w:rsidRPr="00CD3EFE">
        <w:t>C</w:t>
      </w:r>
      <w:r w:rsidR="00E05A26" w:rsidRPr="00E05A26">
        <w:rPr>
          <w:vertAlign w:val="subscript"/>
        </w:rPr>
        <w:t>max</w:t>
      </w:r>
      <w:proofErr w:type="spellEnd"/>
      <w:r w:rsidRPr="00CD3EFE">
        <w:t xml:space="preserve"> and </w:t>
      </w:r>
      <w:r w:rsidR="00E05A26" w:rsidRPr="00CD3EFE">
        <w:t>AUC</w:t>
      </w:r>
      <w:r w:rsidR="00E05A26" w:rsidRPr="00E05A26">
        <w:rPr>
          <w:vertAlign w:val="subscript"/>
        </w:rPr>
        <w:t>0-∞</w:t>
      </w:r>
      <w:r w:rsidRPr="00CD3EFE">
        <w:t xml:space="preserve"> inc</w:t>
      </w:r>
      <w:r w:rsidR="00E05A26">
        <w:t>reased in an approximately dose proportional manner.</w:t>
      </w:r>
    </w:p>
    <w:p w14:paraId="7180CBC8" w14:textId="77777777" w:rsidR="00E05A26" w:rsidRDefault="00E05A26" w:rsidP="00E05A26">
      <w:pPr>
        <w:pStyle w:val="Tabletitle"/>
      </w:pPr>
      <w:proofErr w:type="gramStart"/>
      <w:r>
        <w:lastRenderedPageBreak/>
        <w:t xml:space="preserve">Table </w:t>
      </w:r>
      <w:r w:rsidR="007D35A6">
        <w:t>4</w:t>
      </w:r>
      <w:r>
        <w:t>.</w:t>
      </w:r>
      <w:proofErr w:type="gramEnd"/>
      <w:r>
        <w:t xml:space="preserve"> Summary of geometric mean (</w:t>
      </w:r>
      <w:proofErr w:type="spellStart"/>
      <w:r>
        <w:t>gCV</w:t>
      </w:r>
      <w:proofErr w:type="spellEnd"/>
      <w:r>
        <w:t xml:space="preserve">) pharmacokinetic parameters of BIBF 1120 after intravenous infusion (4 hours) of BIBF 1120 1 mg, 3 mg or 6 mg and after a single oral administration of BIBF 1120 100 mg capsule (N, geometric mean, </w:t>
      </w:r>
      <w:proofErr w:type="spellStart"/>
      <w:proofErr w:type="gramStart"/>
      <w:r>
        <w:t>gCV</w:t>
      </w:r>
      <w:proofErr w:type="spellEnd"/>
      <w:r>
        <w:t>%</w:t>
      </w:r>
      <w:proofErr w:type="gramEnd"/>
      <w:r>
        <w:t>)</w:t>
      </w:r>
      <w:r w:rsidR="00A57D2B">
        <w:t>.</w:t>
      </w:r>
    </w:p>
    <w:p w14:paraId="7180CBC9" w14:textId="77777777" w:rsidR="00E05A26" w:rsidRPr="00E05A26" w:rsidRDefault="00E05A26" w:rsidP="00E05A26">
      <w:r>
        <w:rPr>
          <w:noProof/>
          <w:lang w:eastAsia="en-AU"/>
        </w:rPr>
        <w:drawing>
          <wp:inline distT="0" distB="0" distL="0" distR="0" wp14:anchorId="7180CF98" wp14:editId="7180CF99">
            <wp:extent cx="5731510" cy="5157747"/>
            <wp:effectExtent l="0" t="0" r="2540" b="5080"/>
            <wp:docPr id="5" name="Picture 5" descr="Table 4. Summary of geometric mean (gCV) pharmacokinetic parameters of BIBF 1120 after intravenous infusion (4 hours) of BIBF 1120 1 mg, 3 mg or 6 mg and after a single oral administration of BIBF 1120 100 mg capsule (N, geometric mean, g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5157747"/>
                    </a:xfrm>
                    <a:prstGeom prst="rect">
                      <a:avLst/>
                    </a:prstGeom>
                  </pic:spPr>
                </pic:pic>
              </a:graphicData>
            </a:graphic>
          </wp:inline>
        </w:drawing>
      </w:r>
    </w:p>
    <w:p w14:paraId="7180CBCA" w14:textId="77777777" w:rsidR="0069415F" w:rsidRPr="00CD3EFE" w:rsidRDefault="0069415F" w:rsidP="00CD3EFE">
      <w:pPr>
        <w:pStyle w:val="Heading5"/>
      </w:pPr>
      <w:bookmarkStart w:id="64" w:name="_Toc241374288"/>
      <w:bookmarkStart w:id="65" w:name="_Toc272414621"/>
      <w:bookmarkStart w:id="66" w:name="_Toc290846244"/>
      <w:bookmarkStart w:id="67" w:name="_Toc291518930"/>
      <w:r w:rsidRPr="00CD3EFE">
        <w:t>Distribution</w:t>
      </w:r>
      <w:bookmarkEnd w:id="64"/>
      <w:bookmarkEnd w:id="65"/>
      <w:bookmarkEnd w:id="66"/>
      <w:bookmarkEnd w:id="67"/>
    </w:p>
    <w:p w14:paraId="7180CBCB" w14:textId="77777777" w:rsidR="0069415F" w:rsidRPr="00CD3EFE" w:rsidRDefault="0069415F" w:rsidP="00CD3EFE">
      <w:pPr>
        <w:pStyle w:val="Heading6"/>
      </w:pPr>
      <w:r w:rsidRPr="00CD3EFE">
        <w:t>Volume of distribution</w:t>
      </w:r>
    </w:p>
    <w:p w14:paraId="7180CBCC" w14:textId="77777777" w:rsidR="0069415F" w:rsidRDefault="0069415F" w:rsidP="00CD3EFE">
      <w:r w:rsidRPr="00CD3EFE">
        <w:t xml:space="preserve">Following IV administration of 6 mg of </w:t>
      </w:r>
      <w:proofErr w:type="spellStart"/>
      <w:r w:rsidRPr="00CD3EFE">
        <w:t>nintedanib</w:t>
      </w:r>
      <w:proofErr w:type="spellEnd"/>
      <w:r w:rsidRPr="00CD3EFE">
        <w:t>, volume of distribution was estimated to be 1,050 litres, indicatin</w:t>
      </w:r>
      <w:r w:rsidR="00E05A26">
        <w:t xml:space="preserve">g extensive tissue distribution (see Table </w:t>
      </w:r>
      <w:r w:rsidR="007D35A6">
        <w:t>4</w:t>
      </w:r>
      <w:r w:rsidR="00E05A26">
        <w:t xml:space="preserve"> above).</w:t>
      </w:r>
    </w:p>
    <w:p w14:paraId="7180CBCD" w14:textId="77777777" w:rsidR="0069415F" w:rsidRPr="00CD3EFE" w:rsidRDefault="0069415F" w:rsidP="00CD3EFE">
      <w:pPr>
        <w:pStyle w:val="Heading6"/>
      </w:pPr>
      <w:r w:rsidRPr="00CD3EFE">
        <w:t>Plasma protein binding</w:t>
      </w:r>
    </w:p>
    <w:p w14:paraId="7180CBCE" w14:textId="77777777" w:rsidR="0069415F" w:rsidRDefault="0058270D" w:rsidP="00CD3EFE">
      <w:r>
        <w:t xml:space="preserve">An in </w:t>
      </w:r>
      <w:r w:rsidR="0069415F" w:rsidRPr="00CD3EFE">
        <w:t xml:space="preserve">vitro study (U03-1150) was reported to show that plasma protein binding of </w:t>
      </w:r>
      <w:proofErr w:type="spellStart"/>
      <w:r w:rsidR="0069415F" w:rsidRPr="00CD3EFE">
        <w:t>nintedanib</w:t>
      </w:r>
      <w:proofErr w:type="spellEnd"/>
      <w:r w:rsidR="0069415F" w:rsidRPr="00CD3EFE">
        <w:t xml:space="preserve"> was 97.8%, and that albumin was the major binding protein. Binding was independent of plasma concentration over the range 50 to 2000 ng/</w:t>
      </w:r>
      <w:proofErr w:type="spellStart"/>
      <w:r w:rsidR="0069415F" w:rsidRPr="00CD3EFE">
        <w:t>mL.</w:t>
      </w:r>
      <w:proofErr w:type="spellEnd"/>
    </w:p>
    <w:p w14:paraId="7180CBCF" w14:textId="77777777" w:rsidR="0069415F" w:rsidRPr="00CD3EFE" w:rsidRDefault="0069415F" w:rsidP="00CD3EFE">
      <w:pPr>
        <w:pStyle w:val="Heading6"/>
      </w:pPr>
      <w:r w:rsidRPr="00CD3EFE">
        <w:t>Erythrocyte distribution</w:t>
      </w:r>
    </w:p>
    <w:p w14:paraId="7180CBD0" w14:textId="77777777" w:rsidR="0069415F" w:rsidRPr="00CD3EFE" w:rsidRDefault="0058270D" w:rsidP="00CD3EFE">
      <w:r>
        <w:t xml:space="preserve">An in </w:t>
      </w:r>
      <w:r w:rsidR="0069415F" w:rsidRPr="00CD3EFE">
        <w:t xml:space="preserve">vitro study (U03-1150) was reported to show that </w:t>
      </w:r>
      <w:proofErr w:type="spellStart"/>
      <w:r w:rsidR="0069415F" w:rsidRPr="00CD3EFE">
        <w:t>nintedanib</w:t>
      </w:r>
      <w:proofErr w:type="spellEnd"/>
      <w:r w:rsidR="0069415F" w:rsidRPr="00CD3EFE">
        <w:t xml:space="preserve"> is distributed preferentially in plasma with a b</w:t>
      </w:r>
      <w:r w:rsidR="00CD3EFE" w:rsidRPr="00CD3EFE">
        <w:t>lood to plasma ration of 0.869.</w:t>
      </w:r>
    </w:p>
    <w:p w14:paraId="7180CBD1" w14:textId="77777777" w:rsidR="0069415F" w:rsidRPr="00CD3EFE" w:rsidRDefault="0069415F" w:rsidP="00CD3EFE">
      <w:pPr>
        <w:pStyle w:val="Heading5"/>
      </w:pPr>
      <w:bookmarkStart w:id="68" w:name="_Toc272414622"/>
      <w:bookmarkStart w:id="69" w:name="_Toc290846245"/>
      <w:bookmarkStart w:id="70" w:name="_Toc291518931"/>
      <w:r w:rsidRPr="00CD3EFE">
        <w:lastRenderedPageBreak/>
        <w:t>Metabolism</w:t>
      </w:r>
      <w:bookmarkEnd w:id="68"/>
      <w:bookmarkEnd w:id="69"/>
      <w:bookmarkEnd w:id="70"/>
    </w:p>
    <w:p w14:paraId="7180CBD2" w14:textId="77777777" w:rsidR="0069415F" w:rsidRPr="00CD3EFE" w:rsidRDefault="0069415F" w:rsidP="00CD3EFE">
      <w:pPr>
        <w:pStyle w:val="Heading6"/>
      </w:pPr>
      <w:r w:rsidRPr="00CD3EFE">
        <w:t>Sites of metabolism and mechanisms / enzyme systems involved</w:t>
      </w:r>
    </w:p>
    <w:p w14:paraId="7180CBD3" w14:textId="77777777" w:rsidR="0069415F" w:rsidRDefault="0069415F" w:rsidP="00CD3EFE">
      <w:r w:rsidRPr="00CD3EFE">
        <w:t xml:space="preserve">In vitro studies were reported to have shown that the major metabolic reaction was rapid hydrolytic cleavage by </w:t>
      </w:r>
      <w:proofErr w:type="spellStart"/>
      <w:r w:rsidRPr="00CD3EFE">
        <w:t>esterases</w:t>
      </w:r>
      <w:proofErr w:type="spellEnd"/>
      <w:r w:rsidRPr="00CD3EFE">
        <w:t xml:space="preserve"> resulting in the metabolite BIBF 1202. BIBF 1202 was subsequently </w:t>
      </w:r>
      <w:proofErr w:type="spellStart"/>
      <w:r w:rsidRPr="00CD3EFE">
        <w:t>glucuronidated</w:t>
      </w:r>
      <w:proofErr w:type="spellEnd"/>
      <w:r w:rsidRPr="00CD3EFE">
        <w:t xml:space="preserve"> by UGT enzymes, namely UGT 1A1, UGT 1A7, UGT 1A8, and UGT 1A10 to BIBF 1202 glucuronide.</w:t>
      </w:r>
    </w:p>
    <w:p w14:paraId="7180CBD4" w14:textId="77777777" w:rsidR="0069415F" w:rsidRPr="00CD3EFE" w:rsidRDefault="0069415F" w:rsidP="00CD3EFE">
      <w:pPr>
        <w:pStyle w:val="Heading6"/>
      </w:pPr>
      <w:r w:rsidRPr="00CD3EFE">
        <w:t>Non-renal clearance</w:t>
      </w:r>
    </w:p>
    <w:p w14:paraId="7180CBD5" w14:textId="77777777" w:rsidR="0069415F" w:rsidRDefault="0069415F" w:rsidP="00CD3EFE">
      <w:r w:rsidRPr="00CD3EFE">
        <w:t xml:space="preserve">After IV administration of 6 mg of </w:t>
      </w:r>
      <w:proofErr w:type="spellStart"/>
      <w:r w:rsidRPr="00CD3EFE">
        <w:t>nintedanib</w:t>
      </w:r>
      <w:proofErr w:type="spellEnd"/>
      <w:r w:rsidRPr="00CD3EFE">
        <w:t xml:space="preserve"> only 1.39% of the administered dose was excreted as unchanged </w:t>
      </w:r>
      <w:proofErr w:type="spellStart"/>
      <w:r w:rsidRPr="00CD3EFE">
        <w:t>nintedanib</w:t>
      </w:r>
      <w:proofErr w:type="spellEnd"/>
      <w:r w:rsidRPr="00CD3EFE">
        <w:t xml:space="preserve"> in the urine over 48 hours, indicating that non-renal mechanisms are responsible for the clearance of </w:t>
      </w:r>
      <w:proofErr w:type="spellStart"/>
      <w:r w:rsidRPr="00CD3EFE">
        <w:t>nintedanib</w:t>
      </w:r>
      <w:proofErr w:type="spellEnd"/>
      <w:r w:rsidRPr="00CD3EFE">
        <w:t>.</w:t>
      </w:r>
    </w:p>
    <w:p w14:paraId="7180CBD6" w14:textId="77777777" w:rsidR="0069415F" w:rsidRPr="00CD3EFE" w:rsidRDefault="0069415F" w:rsidP="00CD3EFE">
      <w:pPr>
        <w:pStyle w:val="Heading6"/>
      </w:pPr>
      <w:r w:rsidRPr="00CD3EFE">
        <w:t>Metabolites identified in humans</w:t>
      </w:r>
    </w:p>
    <w:p w14:paraId="7180CBD7" w14:textId="77777777" w:rsidR="0069415F" w:rsidRPr="00251D5D" w:rsidRDefault="0069415F" w:rsidP="0069415F">
      <w:r w:rsidRPr="00CD3EFE">
        <w:t xml:space="preserve">As indicated above, the two main metabolites of </w:t>
      </w:r>
      <w:proofErr w:type="spellStart"/>
      <w:r w:rsidRPr="00CD3EFE">
        <w:t>nintedanib</w:t>
      </w:r>
      <w:proofErr w:type="spellEnd"/>
      <w:r w:rsidRPr="00CD3EFE">
        <w:t xml:space="preserve"> are BIBF </w:t>
      </w:r>
      <w:r w:rsidR="00CD3EFE">
        <w:t>1202 and BIBF 1202 glucuronide.</w:t>
      </w:r>
    </w:p>
    <w:p w14:paraId="7180CBD8" w14:textId="77777777" w:rsidR="0069415F" w:rsidRPr="00CD3EFE" w:rsidRDefault="0069415F" w:rsidP="00CD3EFE">
      <w:pPr>
        <w:pStyle w:val="Heading7"/>
      </w:pPr>
      <w:r w:rsidRPr="00CD3EFE">
        <w:t>Active metabolites</w:t>
      </w:r>
    </w:p>
    <w:p w14:paraId="7180CBD9" w14:textId="77777777" w:rsidR="0069415F" w:rsidRDefault="0069415F" w:rsidP="0069415F">
      <w:r w:rsidRPr="00CD3EFE">
        <w:t xml:space="preserve">According to the </w:t>
      </w:r>
      <w:r w:rsidR="00E05A26">
        <w:t xml:space="preserve">sponsor’s </w:t>
      </w:r>
      <w:r w:rsidRPr="00CD3EFE">
        <w:t xml:space="preserve">Summary of Clinical Pharmacology, BIBF 1202 shows activity at some of the target receptors of </w:t>
      </w:r>
      <w:proofErr w:type="spellStart"/>
      <w:r w:rsidRPr="00CD3EFE">
        <w:t>nintedanib</w:t>
      </w:r>
      <w:proofErr w:type="spellEnd"/>
      <w:r w:rsidRPr="00CD3EFE">
        <w:t xml:space="preserve">. However, it was not expected to contribute to the clinical effects of </w:t>
      </w:r>
      <w:proofErr w:type="spellStart"/>
      <w:r w:rsidRPr="00CD3EFE">
        <w:t>nintedanib</w:t>
      </w:r>
      <w:proofErr w:type="spellEnd"/>
      <w:r w:rsidRPr="00CD3EFE">
        <w:t xml:space="preserve"> in vivo due to the low permeability across biological membranes.</w:t>
      </w:r>
    </w:p>
    <w:p w14:paraId="7180CBDA" w14:textId="77777777" w:rsidR="0069415F" w:rsidRPr="00CD3EFE" w:rsidRDefault="0069415F" w:rsidP="00CD3EFE">
      <w:pPr>
        <w:pStyle w:val="Heading7"/>
      </w:pPr>
      <w:r w:rsidRPr="00CD3EFE">
        <w:t>Other metabolites</w:t>
      </w:r>
    </w:p>
    <w:p w14:paraId="7180CBDB" w14:textId="77777777" w:rsidR="0069415F" w:rsidRDefault="0069415F" w:rsidP="00CD3EFE">
      <w:r w:rsidRPr="00CD3EFE">
        <w:t xml:space="preserve">According to the </w:t>
      </w:r>
      <w:r w:rsidR="00E05A26" w:rsidRPr="00E05A26">
        <w:t xml:space="preserve">sponsor’s </w:t>
      </w:r>
      <w:r w:rsidRPr="00CD3EFE">
        <w:t xml:space="preserve">Summary of Clinical Pharmacology, BIBF 1202 glucuronide did not show in vitro activity at target receptors of </w:t>
      </w:r>
      <w:proofErr w:type="spellStart"/>
      <w:r w:rsidRPr="00CD3EFE">
        <w:t>nintedanib</w:t>
      </w:r>
      <w:proofErr w:type="spellEnd"/>
      <w:r w:rsidRPr="00CD3EFE">
        <w:t>.</w:t>
      </w:r>
    </w:p>
    <w:p w14:paraId="7180CBDC" w14:textId="77777777" w:rsidR="0069415F" w:rsidRPr="00CD3EFE" w:rsidRDefault="0069415F" w:rsidP="00CD3EFE">
      <w:pPr>
        <w:pStyle w:val="Heading6"/>
      </w:pPr>
      <w:r w:rsidRPr="00CD3EFE">
        <w:t>Pharmacokinetics of metabolites</w:t>
      </w:r>
    </w:p>
    <w:p w14:paraId="7180CBDD" w14:textId="77777777" w:rsidR="0069415F" w:rsidRDefault="0069415F" w:rsidP="00CD3EFE">
      <w:r w:rsidRPr="00CD3EFE">
        <w:t xml:space="preserve">In plasma, concentrations of the metabolite BIBF 1202 were comparable to those of </w:t>
      </w:r>
      <w:proofErr w:type="spellStart"/>
      <w:r w:rsidRPr="00CD3EFE">
        <w:t>nintedanib</w:t>
      </w:r>
      <w:proofErr w:type="spellEnd"/>
      <w:r w:rsidRPr="00CD3EFE">
        <w:t xml:space="preserve">. Systemic exposure to BIBF 1202 glucuronide was significantly greater (see </w:t>
      </w:r>
      <w:r w:rsidR="0016781D">
        <w:t xml:space="preserve">Figure 1 </w:t>
      </w:r>
      <w:r w:rsidRPr="00CD3EFE">
        <w:t xml:space="preserve">as an example). Half-life values for BIBF 1202 ranged from 4.55 to 5.08 hours. Values for BIBF 1202 glucuronide ranged from 30.3 to 34.8 </w:t>
      </w:r>
      <w:r w:rsidRPr="0016781D">
        <w:t>hours.</w:t>
      </w:r>
    </w:p>
    <w:p w14:paraId="7180CBDE" w14:textId="77777777" w:rsidR="007D35A6" w:rsidRPr="0016781D" w:rsidRDefault="0016781D" w:rsidP="0016781D">
      <w:pPr>
        <w:pStyle w:val="FigureTitle"/>
      </w:pPr>
      <w:proofErr w:type="gramStart"/>
      <w:r>
        <w:lastRenderedPageBreak/>
        <w:t>Figure 1</w:t>
      </w:r>
      <w:r w:rsidR="007D35A6">
        <w:t>.</w:t>
      </w:r>
      <w:proofErr w:type="gramEnd"/>
      <w:r w:rsidR="007D35A6">
        <w:t xml:space="preserve"> </w:t>
      </w:r>
      <w:r w:rsidRPr="0016781D">
        <w:t>Geometric mean plasma concentration-time profiles of</w:t>
      </w:r>
      <w:r>
        <w:t xml:space="preserve"> </w:t>
      </w:r>
      <w:r w:rsidRPr="0016781D">
        <w:t xml:space="preserve">BIBF 1120 BS, BIBF 1202 ZW </w:t>
      </w:r>
      <w:r>
        <w:t xml:space="preserve">and BIBF 1202-glucuronide after </w:t>
      </w:r>
      <w:r w:rsidRPr="0016781D">
        <w:t>single oral administration of 150 mg BIBF 1120 as capsule (fast)</w:t>
      </w:r>
      <w:r w:rsidR="0058270D">
        <w:t>.</w:t>
      </w:r>
    </w:p>
    <w:p w14:paraId="7180CBDF" w14:textId="77777777" w:rsidR="0016781D" w:rsidRDefault="0016781D" w:rsidP="00053EB0">
      <w:r>
        <w:rPr>
          <w:noProof/>
          <w:lang w:eastAsia="en-AU"/>
        </w:rPr>
        <w:drawing>
          <wp:inline distT="0" distB="0" distL="0" distR="0" wp14:anchorId="7180CF9A" wp14:editId="7180CF9B">
            <wp:extent cx="5501859" cy="3321101"/>
            <wp:effectExtent l="0" t="0" r="3810" b="0"/>
            <wp:docPr id="6" name="Picture 6" descr="Figure 1. Geometric mean plasma concentration-time profiles of BIBF 1120 BS, BIBF 1202 ZW and BIBF 1202-glucuronide after single oral administration of 150 mg BIBF 1120 as capsule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1280" cy="3320752"/>
                    </a:xfrm>
                    <a:prstGeom prst="rect">
                      <a:avLst/>
                    </a:prstGeom>
                  </pic:spPr>
                </pic:pic>
              </a:graphicData>
            </a:graphic>
          </wp:inline>
        </w:drawing>
      </w:r>
    </w:p>
    <w:p w14:paraId="7180CBE0" w14:textId="77777777" w:rsidR="0069415F" w:rsidRPr="00CD3EFE" w:rsidRDefault="0069415F" w:rsidP="00CD3EFE">
      <w:pPr>
        <w:pStyle w:val="Heading6"/>
      </w:pPr>
      <w:r w:rsidRPr="00CD3EFE">
        <w:t>Total clearance and half-life</w:t>
      </w:r>
    </w:p>
    <w:p w14:paraId="7180CBE1" w14:textId="77777777" w:rsidR="0069415F" w:rsidRDefault="0069415F" w:rsidP="00CD3EFE">
      <w:r w:rsidRPr="00CD3EFE">
        <w:t xml:space="preserve">After IV administration of 6 mg of </w:t>
      </w:r>
      <w:proofErr w:type="spellStart"/>
      <w:r w:rsidRPr="00CD3EFE">
        <w:t>nintedanib</w:t>
      </w:r>
      <w:proofErr w:type="spellEnd"/>
      <w:r w:rsidRPr="00CD3EFE">
        <w:t xml:space="preserve"> total clearance was 1</w:t>
      </w:r>
      <w:r w:rsidR="0016781D">
        <w:t>,</w:t>
      </w:r>
      <w:r w:rsidRPr="00CD3EFE">
        <w:t xml:space="preserve">390 mL/min and half-life was 17.9 </w:t>
      </w:r>
      <w:r w:rsidRPr="007D35A6">
        <w:t>hours (</w:t>
      </w:r>
      <w:r w:rsidR="007D35A6">
        <w:t>Table 4</w:t>
      </w:r>
      <w:r w:rsidRPr="00CD3EFE">
        <w:t>). After oral administration in healthy volunteers, half-life ranged from 11.7 to 23.4 hours.</w:t>
      </w:r>
    </w:p>
    <w:p w14:paraId="7180CBE2" w14:textId="77777777" w:rsidR="0069415F" w:rsidRPr="00CD3EFE" w:rsidRDefault="0069415F" w:rsidP="00CD3EFE">
      <w:pPr>
        <w:pStyle w:val="Heading5"/>
      </w:pPr>
      <w:bookmarkStart w:id="71" w:name="_Toc241374289"/>
      <w:bookmarkStart w:id="72" w:name="_Toc272414623"/>
      <w:bookmarkStart w:id="73" w:name="_Toc290846246"/>
      <w:bookmarkStart w:id="74" w:name="_Toc291518932"/>
      <w:r w:rsidRPr="00CD3EFE">
        <w:t>E</w:t>
      </w:r>
      <w:bookmarkEnd w:id="71"/>
      <w:r w:rsidRPr="00CD3EFE">
        <w:t>xcretion</w:t>
      </w:r>
      <w:bookmarkEnd w:id="72"/>
      <w:bookmarkEnd w:id="73"/>
      <w:bookmarkEnd w:id="74"/>
    </w:p>
    <w:p w14:paraId="7180CBE3" w14:textId="77777777" w:rsidR="0069415F" w:rsidRPr="00CD3EFE" w:rsidRDefault="0069415F" w:rsidP="00CD3EFE">
      <w:pPr>
        <w:pStyle w:val="Heading6"/>
      </w:pPr>
      <w:r w:rsidRPr="00CD3EFE">
        <w:t>Routes and mechanisms of excretion</w:t>
      </w:r>
    </w:p>
    <w:p w14:paraId="7180CBE4" w14:textId="77777777" w:rsidR="0069415F" w:rsidRDefault="0069415F" w:rsidP="00CD3EFE">
      <w:r w:rsidRPr="00CD3EFE">
        <w:t xml:space="preserve">In a mass balance study using radiolabelled </w:t>
      </w:r>
      <w:proofErr w:type="spellStart"/>
      <w:r w:rsidRPr="00CD3EFE">
        <w:t>nintedanib</w:t>
      </w:r>
      <w:proofErr w:type="spellEnd"/>
      <w:r w:rsidRPr="00CD3EFE">
        <w:t>, only 0.649% of the orally administered radioactivity was excreted in urine (up to 72 hours). A total of 93.4% of the orally administered radioactivity was excret</w:t>
      </w:r>
      <w:r w:rsidR="00CD3EFE">
        <w:t>ed in faeces (up to 120 hours).</w:t>
      </w:r>
    </w:p>
    <w:p w14:paraId="7180CBE5" w14:textId="77777777" w:rsidR="0069415F" w:rsidRPr="00CD3EFE" w:rsidRDefault="0069415F" w:rsidP="00CD3EFE">
      <w:pPr>
        <w:pStyle w:val="Heading6"/>
      </w:pPr>
      <w:r w:rsidRPr="00CD3EFE">
        <w:t>Renal clearance</w:t>
      </w:r>
    </w:p>
    <w:p w14:paraId="7180CBE6" w14:textId="77777777" w:rsidR="0069415F" w:rsidRDefault="0069415F" w:rsidP="00CD3EFE">
      <w:r w:rsidRPr="00CD3EFE">
        <w:t xml:space="preserve">Following IV administration of 6 mg, only 1.39% of the administered dose was excreted as unchanged </w:t>
      </w:r>
      <w:proofErr w:type="spellStart"/>
      <w:r w:rsidRPr="00CD3EFE">
        <w:t>nintedanib</w:t>
      </w:r>
      <w:proofErr w:type="spellEnd"/>
      <w:r w:rsidRPr="00CD3EFE">
        <w:t xml:space="preserve"> in the urine over 48 hours, indicating that renal mechanisms are not important for the clearance of </w:t>
      </w:r>
      <w:proofErr w:type="spellStart"/>
      <w:r w:rsidRPr="007D35A6">
        <w:t>nintedanib</w:t>
      </w:r>
      <w:proofErr w:type="spellEnd"/>
      <w:r w:rsidRPr="007D35A6">
        <w:t xml:space="preserve"> (</w:t>
      </w:r>
      <w:r w:rsidR="007D35A6" w:rsidRPr="007D35A6">
        <w:t>Table 4</w:t>
      </w:r>
      <w:r w:rsidRPr="007D35A6">
        <w:t>).</w:t>
      </w:r>
    </w:p>
    <w:p w14:paraId="7180CBE7" w14:textId="77777777" w:rsidR="0069415F" w:rsidRPr="00CD3EFE" w:rsidRDefault="0069415F" w:rsidP="00CD3EFE">
      <w:pPr>
        <w:pStyle w:val="Heading4"/>
      </w:pPr>
      <w:bookmarkStart w:id="75" w:name="_Toc241374292"/>
      <w:bookmarkStart w:id="76" w:name="_Ref271189131"/>
      <w:bookmarkStart w:id="77" w:name="_Ref271189136"/>
      <w:bookmarkStart w:id="78" w:name="_Toc272414625"/>
      <w:bookmarkStart w:id="79" w:name="_Toc290846248"/>
      <w:bookmarkStart w:id="80" w:name="_Toc291518933"/>
      <w:r w:rsidRPr="00CD3EFE">
        <w:t>Pharmacokinetics in the target population</w:t>
      </w:r>
      <w:bookmarkEnd w:id="75"/>
      <w:bookmarkEnd w:id="76"/>
      <w:bookmarkEnd w:id="77"/>
      <w:bookmarkEnd w:id="78"/>
      <w:bookmarkEnd w:id="79"/>
      <w:bookmarkEnd w:id="80"/>
    </w:p>
    <w:p w14:paraId="7180CBE8" w14:textId="77777777" w:rsidR="0069415F" w:rsidRPr="00727894" w:rsidRDefault="0069415F" w:rsidP="0069415F">
      <w:r w:rsidRPr="00CD3EFE">
        <w:t>The main population PK analysis indicated that there were no differences in PK between the NSCLC and IPF populations.</w:t>
      </w:r>
    </w:p>
    <w:p w14:paraId="7180CBE9" w14:textId="77777777" w:rsidR="0069415F" w:rsidRPr="00CD3EFE" w:rsidRDefault="0069415F" w:rsidP="00CD3EFE">
      <w:pPr>
        <w:pStyle w:val="Heading5"/>
      </w:pPr>
      <w:bookmarkStart w:id="81" w:name="_Toc291518934"/>
      <w:bookmarkStart w:id="82" w:name="_Toc241374293"/>
      <w:r w:rsidRPr="00CD3EFE">
        <w:t>Absorption</w:t>
      </w:r>
      <w:bookmarkEnd w:id="81"/>
    </w:p>
    <w:p w14:paraId="7180CBEA" w14:textId="77777777" w:rsidR="0069415F" w:rsidRDefault="0069415F" w:rsidP="00CD3EFE">
      <w:r w:rsidRPr="00CD3EFE">
        <w:t xml:space="preserve">In studies of patients with advanced cancer, maximum plasma concentrations of </w:t>
      </w:r>
      <w:proofErr w:type="spellStart"/>
      <w:r w:rsidRPr="00CD3EFE">
        <w:t>nintedanib</w:t>
      </w:r>
      <w:proofErr w:type="spellEnd"/>
      <w:r w:rsidRPr="00CD3EFE">
        <w:t xml:space="preserve"> generally occurred within 2 to 4 </w:t>
      </w:r>
      <w:r w:rsidR="00CD3EFE">
        <w:t>hours following administration.</w:t>
      </w:r>
    </w:p>
    <w:p w14:paraId="7180CBEB" w14:textId="77777777" w:rsidR="0069415F" w:rsidRPr="00CD3EFE" w:rsidRDefault="0069415F" w:rsidP="00CD3EFE">
      <w:pPr>
        <w:pStyle w:val="Heading6"/>
      </w:pPr>
      <w:r w:rsidRPr="00CD3EFE">
        <w:t>Dose proportionality</w:t>
      </w:r>
    </w:p>
    <w:p w14:paraId="7180CBEC" w14:textId="77777777" w:rsidR="0069415F" w:rsidRDefault="0069415F" w:rsidP="00CD3EFE">
      <w:r w:rsidRPr="00CD3EFE">
        <w:t>In studies in advanced cancer patients, dose proportionality was not consistently demonstrated. However, in a population PK anal</w:t>
      </w:r>
      <w:r w:rsidR="0016781D">
        <w:t xml:space="preserve">ysis of NSCLC and IPF </w:t>
      </w:r>
      <w:r w:rsidR="0016781D" w:rsidRPr="0016781D">
        <w:t xml:space="preserve">subjects </w:t>
      </w:r>
      <w:r w:rsidRPr="0016781D">
        <w:t>no</w:t>
      </w:r>
      <w:r w:rsidRPr="00CD3EFE">
        <w:t xml:space="preserve"> significant deviation from linear kinetics could be detected.</w:t>
      </w:r>
    </w:p>
    <w:p w14:paraId="7180CBED" w14:textId="77777777" w:rsidR="0069415F" w:rsidRPr="00CD3EFE" w:rsidRDefault="0069415F" w:rsidP="00CD3EFE">
      <w:pPr>
        <w:pStyle w:val="Heading6"/>
      </w:pPr>
      <w:r w:rsidRPr="00CD3EFE">
        <w:lastRenderedPageBreak/>
        <w:t>Bioavailability during multiple-dosing</w:t>
      </w:r>
    </w:p>
    <w:p w14:paraId="7180CBEE" w14:textId="77777777" w:rsidR="0069415F" w:rsidRPr="00CD3EFE" w:rsidRDefault="0069415F" w:rsidP="00CD3EFE">
      <w:r w:rsidRPr="00CD3EFE">
        <w:t xml:space="preserve">In studies in advanced cancer patients, multiple dosing with </w:t>
      </w:r>
      <w:proofErr w:type="spellStart"/>
      <w:r w:rsidRPr="00CD3EFE">
        <w:t>nintedanib</w:t>
      </w:r>
      <w:proofErr w:type="spellEnd"/>
      <w:r w:rsidRPr="00CD3EFE">
        <w:t xml:space="preserve"> resulted in modest accumulation, with accumulation ratios for AUC generally being less than 2.0. Based on trough concentrations, steady state was reached by 7 days of dosing.</w:t>
      </w:r>
    </w:p>
    <w:p w14:paraId="7180CBEF" w14:textId="77777777" w:rsidR="0069415F" w:rsidRPr="00CD3EFE" w:rsidRDefault="0069415F" w:rsidP="00CD3EFE">
      <w:pPr>
        <w:pStyle w:val="Heading5"/>
      </w:pPr>
      <w:bookmarkStart w:id="83" w:name="_Toc291518935"/>
      <w:r w:rsidRPr="00CD3EFE">
        <w:t>Metabolism</w:t>
      </w:r>
      <w:bookmarkEnd w:id="83"/>
    </w:p>
    <w:p w14:paraId="7180CBF0" w14:textId="77777777" w:rsidR="0069415F" w:rsidRPr="00CD3EFE" w:rsidRDefault="0069415F" w:rsidP="00CD3EFE">
      <w:pPr>
        <w:pStyle w:val="Heading6"/>
      </w:pPr>
      <w:r w:rsidRPr="00CD3EFE">
        <w:t>Consequences of genetic polymorphism</w:t>
      </w:r>
    </w:p>
    <w:p w14:paraId="7180CBF1" w14:textId="77777777" w:rsidR="0069415F" w:rsidRDefault="0069415F" w:rsidP="00CD3EFE">
      <w:r w:rsidRPr="00CD3EFE">
        <w:t>In an analysis of three studies that collected data on polymorphism of UGT1A1, subjects who were homozygous for a mutation known as UGT1A1</w:t>
      </w:r>
      <w:r w:rsidR="0058270D">
        <w:t>*</w:t>
      </w:r>
      <w:r w:rsidRPr="00CD3EFE">
        <w:t xml:space="preserve">28 had a modest increase in exposure to </w:t>
      </w:r>
      <w:proofErr w:type="spellStart"/>
      <w:r w:rsidRPr="00CD3EFE">
        <w:t>nintedanib</w:t>
      </w:r>
      <w:proofErr w:type="spellEnd"/>
      <w:r w:rsidR="00BB07E8">
        <w:t xml:space="preserve"> (Table 5)</w:t>
      </w:r>
      <w:r w:rsidRPr="00CD3EFE">
        <w:t xml:space="preserve">. However, in a population PK analysis UGT1A1 polymorphism was not a covariate that significantly affected the PK of </w:t>
      </w:r>
      <w:proofErr w:type="spellStart"/>
      <w:r w:rsidRPr="00CD3EFE">
        <w:t>nintedanib</w:t>
      </w:r>
      <w:proofErr w:type="spellEnd"/>
      <w:r w:rsidRPr="00CD3EFE">
        <w:t>.</w:t>
      </w:r>
    </w:p>
    <w:p w14:paraId="7180CBF2" w14:textId="77777777" w:rsidR="00BB07E8" w:rsidRDefault="00BB07E8" w:rsidP="00BB07E8">
      <w:pPr>
        <w:pStyle w:val="Tabletitle"/>
      </w:pPr>
      <w:proofErr w:type="gramStart"/>
      <w:r>
        <w:t>Table 5.</w:t>
      </w:r>
      <w:proofErr w:type="gramEnd"/>
      <w:r>
        <w:t xml:space="preserve"> </w:t>
      </w:r>
      <w:proofErr w:type="gramStart"/>
      <w:r>
        <w:t>Study 1199.0006.</w:t>
      </w:r>
      <w:proofErr w:type="gramEnd"/>
      <w:r>
        <w:t xml:space="preserve"> </w:t>
      </w:r>
      <w:proofErr w:type="gramStart"/>
      <w:r>
        <w:t xml:space="preserve">AUC and </w:t>
      </w:r>
      <w:proofErr w:type="spellStart"/>
      <w:r>
        <w:t>C</w:t>
      </w:r>
      <w:r w:rsidRPr="00BB07E8">
        <w:rPr>
          <w:vertAlign w:val="subscript"/>
        </w:rPr>
        <w:t>max</w:t>
      </w:r>
      <w:proofErr w:type="spellEnd"/>
      <w:r>
        <w:t xml:space="preserve"> for the glucuronide metabolite in UGT1A1 genotypes.</w:t>
      </w:r>
      <w:proofErr w:type="gramEnd"/>
    </w:p>
    <w:p w14:paraId="7180CBF3" w14:textId="6C95A770" w:rsidR="00BB07E8" w:rsidRPr="00BB07E8" w:rsidRDefault="00190081" w:rsidP="00BB07E8">
      <w:r w:rsidRPr="00190081">
        <w:rPr>
          <w:b/>
        </w:rPr>
        <w:t>Evaluator’s comment</w:t>
      </w:r>
      <w:r>
        <w:rPr>
          <w:noProof/>
          <w:lang w:eastAsia="en-AU"/>
        </w:rPr>
        <w:t xml:space="preserve"> </w:t>
      </w:r>
      <w:r w:rsidR="00BB07E8">
        <w:rPr>
          <w:noProof/>
          <w:lang w:eastAsia="en-AU"/>
        </w:rPr>
        <w:drawing>
          <wp:inline distT="0" distB="0" distL="0" distR="0" wp14:anchorId="7180CF9C" wp14:editId="7180CF9D">
            <wp:extent cx="5731510" cy="2301789"/>
            <wp:effectExtent l="0" t="0" r="2540" b="3810"/>
            <wp:docPr id="7" name="Picture 7" descr="Table 5. Study 1199.0006. AUC and Cmax for the glucuronide metabolite in UGT1A1 gen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301789"/>
                    </a:xfrm>
                    <a:prstGeom prst="rect">
                      <a:avLst/>
                    </a:prstGeom>
                  </pic:spPr>
                </pic:pic>
              </a:graphicData>
            </a:graphic>
          </wp:inline>
        </w:drawing>
      </w:r>
    </w:p>
    <w:p w14:paraId="7180CBF4" w14:textId="77777777" w:rsidR="0069415F" w:rsidRPr="00CD3EFE" w:rsidRDefault="0069415F" w:rsidP="00CD3EFE">
      <w:pPr>
        <w:pStyle w:val="Heading5"/>
      </w:pPr>
      <w:bookmarkStart w:id="84" w:name="_Toc241374291"/>
      <w:bookmarkStart w:id="85" w:name="_Toc272414624"/>
      <w:bookmarkStart w:id="86" w:name="_Toc290846247"/>
      <w:bookmarkStart w:id="87" w:name="_Toc291518936"/>
      <w:r w:rsidRPr="00CD3EFE">
        <w:t>Intra- and inter-individual variability</w:t>
      </w:r>
      <w:bookmarkEnd w:id="84"/>
      <w:r w:rsidRPr="00CD3EFE">
        <w:t xml:space="preserve"> of pharmacokinetics</w:t>
      </w:r>
      <w:bookmarkEnd w:id="85"/>
      <w:bookmarkEnd w:id="86"/>
      <w:bookmarkEnd w:id="87"/>
    </w:p>
    <w:p w14:paraId="7180CBF5" w14:textId="77777777" w:rsidR="0069415F" w:rsidRDefault="0069415F" w:rsidP="0069415F">
      <w:r w:rsidRPr="00CD3EFE">
        <w:t>The sponsor assessed inter</w:t>
      </w:r>
      <w:r w:rsidR="00BB07E8">
        <w:t xml:space="preserve"> </w:t>
      </w:r>
      <w:r w:rsidRPr="00CD3EFE">
        <w:t xml:space="preserve">individual variability in the PK of </w:t>
      </w:r>
      <w:proofErr w:type="spellStart"/>
      <w:r w:rsidRPr="00CD3EFE">
        <w:t>nintedanib</w:t>
      </w:r>
      <w:proofErr w:type="spellEnd"/>
      <w:r w:rsidRPr="00CD3EFE">
        <w:t xml:space="preserve"> as be</w:t>
      </w:r>
      <w:r w:rsidR="005B3434">
        <w:t xml:space="preserve">ing moderate to high, and intra </w:t>
      </w:r>
      <w:r w:rsidRPr="00CD3EFE">
        <w:t>individual variability as being low to moderate.</w:t>
      </w:r>
    </w:p>
    <w:p w14:paraId="7180CBF6" w14:textId="77777777" w:rsidR="0069415F" w:rsidRPr="00CD3EFE" w:rsidRDefault="0069415F" w:rsidP="00CD3EFE">
      <w:pPr>
        <w:pStyle w:val="Heading4"/>
      </w:pPr>
      <w:bookmarkStart w:id="88" w:name="_Toc272414626"/>
      <w:bookmarkStart w:id="89" w:name="_Toc290846249"/>
      <w:bookmarkStart w:id="90" w:name="_Toc291518937"/>
      <w:r w:rsidRPr="00CD3EFE">
        <w:t>Pharmacokinetics in other special populations</w:t>
      </w:r>
      <w:bookmarkEnd w:id="82"/>
      <w:bookmarkEnd w:id="88"/>
      <w:bookmarkEnd w:id="89"/>
      <w:bookmarkEnd w:id="90"/>
    </w:p>
    <w:p w14:paraId="7180CBF7" w14:textId="77777777" w:rsidR="0069415F" w:rsidRPr="00CD3EFE" w:rsidRDefault="0069415F" w:rsidP="00CD3EFE">
      <w:pPr>
        <w:pStyle w:val="Heading5"/>
      </w:pPr>
      <w:bookmarkStart w:id="91" w:name="_Toc272414627"/>
      <w:bookmarkStart w:id="92" w:name="_Toc290846250"/>
      <w:bookmarkStart w:id="93" w:name="_Toc291518938"/>
      <w:r w:rsidRPr="00CD3EFE">
        <w:t>Pharmacokinetics in subjects with impaired hepatic function</w:t>
      </w:r>
      <w:bookmarkEnd w:id="91"/>
      <w:bookmarkEnd w:id="92"/>
      <w:bookmarkEnd w:id="93"/>
    </w:p>
    <w:p w14:paraId="7180CBF8" w14:textId="77777777" w:rsidR="0069415F" w:rsidRPr="00CD3EFE" w:rsidRDefault="0069415F" w:rsidP="00CD3EFE">
      <w:r w:rsidRPr="00CD3EFE">
        <w:t xml:space="preserve">The submission did not include any specific studies examining the effect of hepatic impairment on the PK of </w:t>
      </w:r>
      <w:proofErr w:type="spellStart"/>
      <w:r w:rsidRPr="00CD3EFE">
        <w:t>nintedanib</w:t>
      </w:r>
      <w:proofErr w:type="spellEnd"/>
      <w:r w:rsidRPr="00CD3EFE">
        <w:t>. There are three ongoing studies examining this issue (1199.</w:t>
      </w:r>
      <w:r w:rsidR="00CD3EFE">
        <w:t>0037, 1199.0039 and 1199.0120).</w:t>
      </w:r>
    </w:p>
    <w:p w14:paraId="7180CBF9" w14:textId="77777777" w:rsidR="0069415F" w:rsidRPr="00CD3EFE" w:rsidRDefault="0069415F" w:rsidP="00CD3EFE">
      <w:r w:rsidRPr="00CD3EFE">
        <w:t>In t</w:t>
      </w:r>
      <w:r w:rsidR="005B3434">
        <w:t>he main population PK analysis</w:t>
      </w:r>
      <w:r w:rsidRPr="00CD3EFE">
        <w:t xml:space="preserve">, some included subjects had mild </w:t>
      </w:r>
      <w:r w:rsidR="00CD3EFE">
        <w:t>or moderate hepatic impairment.</w:t>
      </w:r>
    </w:p>
    <w:p w14:paraId="7180CBFA" w14:textId="77777777" w:rsidR="0069415F" w:rsidRPr="00CD3EFE" w:rsidRDefault="0069415F" w:rsidP="00CD3EFE">
      <w:pPr>
        <w:pStyle w:val="ListBullet"/>
      </w:pPr>
      <w:r w:rsidRPr="00CD3EFE">
        <w:t xml:space="preserve">Mild impairment was defined as AST and ALT &gt; ULN but </w:t>
      </w:r>
      <w:r w:rsidR="005B3434">
        <w:t>&lt; 10x ULN; with BIL &gt; ULN but &lt; </w:t>
      </w:r>
      <w:r w:rsidR="0058270D">
        <w:t>1.5x ULN.</w:t>
      </w:r>
    </w:p>
    <w:p w14:paraId="7180CBFB" w14:textId="77777777" w:rsidR="0069415F" w:rsidRPr="00CD3EFE" w:rsidRDefault="0069415F" w:rsidP="00CD3EFE">
      <w:pPr>
        <w:pStyle w:val="ListBullet"/>
      </w:pPr>
      <w:r w:rsidRPr="00CD3EFE">
        <w:t xml:space="preserve">Moderate impairment was defined as: AST and ALT &gt; ULN but &lt; 10x ULN; </w:t>
      </w:r>
      <w:r w:rsidR="005B3434">
        <w:t>with BIL &gt; 1.5x </w:t>
      </w:r>
      <w:r w:rsidRPr="00CD3EFE">
        <w:t>ULN but &lt; 3x ULN.</w:t>
      </w:r>
    </w:p>
    <w:p w14:paraId="7180CBFC" w14:textId="77777777" w:rsidR="0069415F" w:rsidRPr="00CD3EFE" w:rsidRDefault="0069415F" w:rsidP="00CD3EFE">
      <w:r w:rsidRPr="00CD3EFE">
        <w:t>Only 1 subject (0.1%) had moderate impairment. 9.7% of subjects had mild impairment. A non-significant trend was observed for higher bioavailability and lower CL/F in subjects with mild or moderate hepatic impairment.</w:t>
      </w:r>
    </w:p>
    <w:p w14:paraId="0B54DB15" w14:textId="03C4BC1C" w:rsidR="00344693" w:rsidRDefault="00344693" w:rsidP="00190081">
      <w:r w:rsidRPr="00344693">
        <w:t>:</w:t>
      </w:r>
      <w:r>
        <w:t xml:space="preserve"> </w:t>
      </w:r>
    </w:p>
    <w:p w14:paraId="7180CBFD" w14:textId="516579A3" w:rsidR="0069415F" w:rsidRPr="00CD3EFE" w:rsidRDefault="0069415F" w:rsidP="00053EB0">
      <w:r w:rsidRPr="00CD3EFE">
        <w:lastRenderedPageBreak/>
        <w:t xml:space="preserve">The draft PI states that treatment with </w:t>
      </w:r>
      <w:proofErr w:type="spellStart"/>
      <w:r w:rsidRPr="00CD3EFE">
        <w:t>nintedanib</w:t>
      </w:r>
      <w:proofErr w:type="spellEnd"/>
      <w:r w:rsidRPr="00CD3EFE">
        <w:t xml:space="preserve"> is not recommended in patients with moderate or severe hepatic impairment. Based on the available information this is an appropriate recommendation. The sponsor should be asked to provide an update on the ongoing studies examining the effect of hepatic impairment.</w:t>
      </w:r>
    </w:p>
    <w:p w14:paraId="7180CBFE" w14:textId="77777777" w:rsidR="0069415F" w:rsidRPr="00CD3EFE" w:rsidRDefault="0069415F" w:rsidP="00CD3EFE">
      <w:pPr>
        <w:pStyle w:val="Heading5"/>
      </w:pPr>
      <w:bookmarkStart w:id="94" w:name="_Toc272414628"/>
      <w:bookmarkStart w:id="95" w:name="_Toc290846251"/>
      <w:bookmarkStart w:id="96" w:name="_Toc291518939"/>
      <w:r w:rsidRPr="00CD3EFE">
        <w:t>Pharmacokinetics in subjects with impaired renal function</w:t>
      </w:r>
      <w:bookmarkEnd w:id="94"/>
      <w:bookmarkEnd w:id="95"/>
      <w:bookmarkEnd w:id="96"/>
    </w:p>
    <w:p w14:paraId="7180CBFF" w14:textId="77777777" w:rsidR="0069415F" w:rsidRPr="00CD3EFE" w:rsidRDefault="0069415F" w:rsidP="00CD3EFE">
      <w:r w:rsidRPr="00CD3EFE">
        <w:t xml:space="preserve">Renal clearance was found to be a minor route of elimination. Therefore, no specific studies were conducted to examine the effect of renal impairment on the PK of </w:t>
      </w:r>
      <w:proofErr w:type="spellStart"/>
      <w:r w:rsidRPr="00CD3EFE">
        <w:t>nintedanib</w:t>
      </w:r>
      <w:proofErr w:type="spellEnd"/>
      <w:r w:rsidRPr="00CD3EFE">
        <w:t>.</w:t>
      </w:r>
    </w:p>
    <w:p w14:paraId="7180CC00" w14:textId="77777777" w:rsidR="0069415F" w:rsidRPr="00CD3EFE" w:rsidRDefault="0069415F" w:rsidP="00CD3EFE">
      <w:r w:rsidRPr="00CD3EFE">
        <w:t xml:space="preserve">In the main population PK analysis, 44.7% of the observations were from subjects with mild renal impairment (creatinine clearance ≥ 60 to 90 </w:t>
      </w:r>
      <w:proofErr w:type="spellStart"/>
      <w:r w:rsidRPr="00CD3EFE">
        <w:t>mLs</w:t>
      </w:r>
      <w:proofErr w:type="spellEnd"/>
      <w:r w:rsidRPr="00CD3EFE">
        <w:t>/min by the Cockcroft-Gault equation), 14.0% from subjects with moderate renal impairment (</w:t>
      </w:r>
      <w:proofErr w:type="spellStart"/>
      <w:r w:rsidRPr="00CD3EFE">
        <w:t>CrCl</w:t>
      </w:r>
      <w:proofErr w:type="spellEnd"/>
      <w:r w:rsidRPr="00CD3EFE">
        <w:t xml:space="preserve"> ≥ 30 to 60 </w:t>
      </w:r>
      <w:proofErr w:type="spellStart"/>
      <w:r w:rsidRPr="00CD3EFE">
        <w:t>mLs</w:t>
      </w:r>
      <w:proofErr w:type="spellEnd"/>
      <w:r w:rsidRPr="00CD3EFE">
        <w:t>/min) and only 0.5% were from subjects with severe impairment (</w:t>
      </w:r>
      <w:proofErr w:type="spellStart"/>
      <w:r w:rsidRPr="00CD3EFE">
        <w:t>CrCl</w:t>
      </w:r>
      <w:proofErr w:type="spellEnd"/>
      <w:r w:rsidRPr="00CD3EFE">
        <w:t xml:space="preserve"> ≥ 15 to 30 </w:t>
      </w:r>
      <w:proofErr w:type="spellStart"/>
      <w:r w:rsidRPr="00CD3EFE">
        <w:t>mLs</w:t>
      </w:r>
      <w:proofErr w:type="spellEnd"/>
      <w:r w:rsidRPr="00CD3EFE">
        <w:t xml:space="preserve">/min). Creatinine clearance as a covariate had no effect on </w:t>
      </w:r>
      <w:r w:rsidR="00CD3EFE">
        <w:t xml:space="preserve">the PK of </w:t>
      </w:r>
      <w:proofErr w:type="spellStart"/>
      <w:r w:rsidR="00CD3EFE">
        <w:t>nintedanib</w:t>
      </w:r>
      <w:proofErr w:type="spellEnd"/>
      <w:r w:rsidR="00CD3EFE">
        <w:t>.</w:t>
      </w:r>
    </w:p>
    <w:p w14:paraId="290BE84B" w14:textId="166DBF06" w:rsidR="000B5BA0" w:rsidRDefault="00CD3EFE" w:rsidP="00190081">
      <w:r w:rsidRPr="00190081">
        <w:rPr>
          <w:b/>
        </w:rPr>
        <w:t xml:space="preserve">Evaluator’s </w:t>
      </w:r>
      <w:r w:rsidR="00053EB0" w:rsidRPr="00190081">
        <w:rPr>
          <w:b/>
        </w:rPr>
        <w:t>c</w:t>
      </w:r>
      <w:r w:rsidRPr="00190081">
        <w:rPr>
          <w:b/>
        </w:rPr>
        <w:t>omment</w:t>
      </w:r>
      <w:r w:rsidRPr="00CD3EFE">
        <w:t xml:space="preserve">: </w:t>
      </w:r>
    </w:p>
    <w:p w14:paraId="7180CC01" w14:textId="48DB4263" w:rsidR="0069415F" w:rsidRPr="000B5BA0" w:rsidRDefault="0069415F" w:rsidP="00344693">
      <w:r w:rsidRPr="000B5BA0">
        <w:t xml:space="preserve">The draft PI does not specifically recommend against use of </w:t>
      </w:r>
      <w:proofErr w:type="spellStart"/>
      <w:r w:rsidRPr="000B5BA0">
        <w:t>nintedanib</w:t>
      </w:r>
      <w:proofErr w:type="spellEnd"/>
      <w:r w:rsidRPr="000B5BA0">
        <w:t xml:space="preserve"> in subjects with severe renal impairment, even though there were very few observations from such patients. Although subjects with severe renal impairment can have disturbances of drug metabolism, this approach is considered acceptable.</w:t>
      </w:r>
    </w:p>
    <w:p w14:paraId="7180CC02" w14:textId="77777777" w:rsidR="0069415F" w:rsidRPr="00CD3EFE" w:rsidRDefault="0069415F" w:rsidP="00CD3EFE">
      <w:pPr>
        <w:pStyle w:val="Heading5"/>
      </w:pPr>
      <w:bookmarkStart w:id="97" w:name="_Toc272414629"/>
      <w:bookmarkStart w:id="98" w:name="_Toc290846252"/>
      <w:bookmarkStart w:id="99" w:name="_Toc291518940"/>
      <w:r w:rsidRPr="00CD3EFE">
        <w:t>Pharmacokinetics according to age</w:t>
      </w:r>
      <w:bookmarkEnd w:id="97"/>
      <w:bookmarkEnd w:id="98"/>
      <w:bookmarkEnd w:id="99"/>
    </w:p>
    <w:p w14:paraId="7180CC03" w14:textId="77777777" w:rsidR="0069415F" w:rsidRDefault="0069415F" w:rsidP="00CD3EFE">
      <w:r w:rsidRPr="00CD3EFE">
        <w:t>In the main population PK analysis (</w:t>
      </w:r>
      <w:r w:rsidR="005B3434">
        <w:t>Figure 2)</w:t>
      </w:r>
      <w:r w:rsidRPr="00CD3EFE">
        <w:t xml:space="preserve">, age was found to significantly affect the PK of </w:t>
      </w:r>
      <w:proofErr w:type="spellStart"/>
      <w:r w:rsidRPr="00CD3EFE">
        <w:t>nintedanib</w:t>
      </w:r>
      <w:proofErr w:type="spellEnd"/>
      <w:r w:rsidRPr="00CD3EFE">
        <w:t>, with increasing age associated with increasing systemic exposure. However, the effects were modest and unlikely to be clinically significant.</w:t>
      </w:r>
    </w:p>
    <w:p w14:paraId="7180CC04" w14:textId="77777777" w:rsidR="005B3434" w:rsidRDefault="005B3434" w:rsidP="005B3434">
      <w:pPr>
        <w:pStyle w:val="FigureTitle"/>
      </w:pPr>
      <w:proofErr w:type="gramStart"/>
      <w:r>
        <w:t>Figure 2.</w:t>
      </w:r>
      <w:proofErr w:type="gramEnd"/>
      <w:r w:rsidR="0058270D">
        <w:t xml:space="preserve"> </w:t>
      </w:r>
      <w:proofErr w:type="gramStart"/>
      <w:r>
        <w:t xml:space="preserve">Effect of age on the PK of </w:t>
      </w:r>
      <w:proofErr w:type="spellStart"/>
      <w:r>
        <w:t>nintedanib</w:t>
      </w:r>
      <w:proofErr w:type="spellEnd"/>
      <w:r>
        <w:t>.</w:t>
      </w:r>
      <w:proofErr w:type="gramEnd"/>
      <w:r>
        <w:t xml:space="preserve"> Report U13-158801.</w:t>
      </w:r>
    </w:p>
    <w:p w14:paraId="7180CC05" w14:textId="77777777" w:rsidR="005B3434" w:rsidRPr="00CD3EFE" w:rsidRDefault="005B3434" w:rsidP="00CD3EFE">
      <w:r>
        <w:rPr>
          <w:noProof/>
          <w:lang w:eastAsia="en-AU"/>
        </w:rPr>
        <w:drawing>
          <wp:inline distT="0" distB="0" distL="0" distR="0" wp14:anchorId="7180CF9E" wp14:editId="7180CF9F">
            <wp:extent cx="4784141" cy="3842871"/>
            <wp:effectExtent l="0" t="0" r="0" b="5715"/>
            <wp:docPr id="8" name="Picture 8" descr="Figure 2. Effect of age on the PK of nintedanib. Report U13-15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contrast="-40000"/>
                              </a14:imgEffect>
                            </a14:imgLayer>
                          </a14:imgProps>
                        </a:ext>
                      </a:extLst>
                    </a:blip>
                    <a:stretch>
                      <a:fillRect/>
                    </a:stretch>
                  </pic:blipFill>
                  <pic:spPr>
                    <a:xfrm>
                      <a:off x="0" y="0"/>
                      <a:ext cx="4786830" cy="3845031"/>
                    </a:xfrm>
                    <a:prstGeom prst="rect">
                      <a:avLst/>
                    </a:prstGeom>
                  </pic:spPr>
                </pic:pic>
              </a:graphicData>
            </a:graphic>
          </wp:inline>
        </w:drawing>
      </w:r>
    </w:p>
    <w:p w14:paraId="7180CC06" w14:textId="77777777" w:rsidR="0069415F" w:rsidRPr="00CD3EFE" w:rsidRDefault="0069415F" w:rsidP="00CD3EFE">
      <w:pPr>
        <w:pStyle w:val="Heading5"/>
      </w:pPr>
      <w:bookmarkStart w:id="100" w:name="_Toc272414630"/>
      <w:bookmarkStart w:id="101" w:name="_Toc290846253"/>
      <w:bookmarkStart w:id="102" w:name="_Toc291518941"/>
      <w:r w:rsidRPr="00CD3EFE">
        <w:t xml:space="preserve">Pharmacokinetics related to </w:t>
      </w:r>
      <w:bookmarkEnd w:id="100"/>
      <w:bookmarkEnd w:id="101"/>
      <w:r w:rsidRPr="00CD3EFE">
        <w:t>ethnicity</w:t>
      </w:r>
      <w:bookmarkEnd w:id="102"/>
    </w:p>
    <w:p w14:paraId="7180CC07" w14:textId="77777777" w:rsidR="0069415F" w:rsidRDefault="0069415F" w:rsidP="0069415F">
      <w:r w:rsidRPr="00CD3EFE">
        <w:t>In the main population PK analysis (</w:t>
      </w:r>
      <w:r w:rsidR="00094D89">
        <w:t>Figure 3)</w:t>
      </w:r>
      <w:r w:rsidRPr="00CD3EFE">
        <w:t>, Chinese, Taiwanese and Indian subjects had a 33% increase in systemic exposure.</w:t>
      </w:r>
    </w:p>
    <w:p w14:paraId="7180CC08" w14:textId="77777777" w:rsidR="00094D89" w:rsidRDefault="00094D89" w:rsidP="00094D89">
      <w:pPr>
        <w:pStyle w:val="FigureTitle"/>
      </w:pPr>
      <w:proofErr w:type="gramStart"/>
      <w:r>
        <w:lastRenderedPageBreak/>
        <w:t>Figure 3.</w:t>
      </w:r>
      <w:proofErr w:type="gramEnd"/>
      <w:r>
        <w:t xml:space="preserve"> </w:t>
      </w:r>
      <w:proofErr w:type="gramStart"/>
      <w:r w:rsidR="005B3434" w:rsidRPr="00094D89">
        <w:t xml:space="preserve">Effect of </w:t>
      </w:r>
      <w:r>
        <w:t>ethnicity</w:t>
      </w:r>
      <w:r w:rsidR="005B3434" w:rsidRPr="00094D89">
        <w:t xml:space="preserve"> on the PK of </w:t>
      </w:r>
      <w:proofErr w:type="spellStart"/>
      <w:r w:rsidR="005B3434" w:rsidRPr="00094D89">
        <w:t>nintedanib</w:t>
      </w:r>
      <w:proofErr w:type="spellEnd"/>
      <w:r w:rsidR="005B3434" w:rsidRPr="00094D89">
        <w:t>.</w:t>
      </w:r>
      <w:proofErr w:type="gramEnd"/>
      <w:r w:rsidR="005B3434" w:rsidRPr="00094D89">
        <w:t xml:space="preserve"> Report U13-158801</w:t>
      </w:r>
      <w:r w:rsidR="0058270D">
        <w:t>.</w:t>
      </w:r>
    </w:p>
    <w:p w14:paraId="7180CC09" w14:textId="77777777" w:rsidR="00094D89" w:rsidRPr="00094D89" w:rsidRDefault="00094D89" w:rsidP="00094D89">
      <w:r>
        <w:rPr>
          <w:noProof/>
          <w:lang w:eastAsia="en-AU"/>
        </w:rPr>
        <w:drawing>
          <wp:inline distT="0" distB="0" distL="0" distR="0" wp14:anchorId="7180CFA0" wp14:editId="7180CFA1">
            <wp:extent cx="5731510" cy="3036598"/>
            <wp:effectExtent l="0" t="0" r="2540" b="0"/>
            <wp:docPr id="9" name="Picture 9" descr="Figure 3. Effect of ethnicity on the PK of nintedanib. Report U13-15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Lst>
                    </a:blip>
                    <a:stretch>
                      <a:fillRect/>
                    </a:stretch>
                  </pic:blipFill>
                  <pic:spPr>
                    <a:xfrm>
                      <a:off x="0" y="0"/>
                      <a:ext cx="5731510" cy="3036598"/>
                    </a:xfrm>
                    <a:prstGeom prst="rect">
                      <a:avLst/>
                    </a:prstGeom>
                  </pic:spPr>
                </pic:pic>
              </a:graphicData>
            </a:graphic>
          </wp:inline>
        </w:drawing>
      </w:r>
    </w:p>
    <w:p w14:paraId="1E4EC707" w14:textId="178D241C" w:rsidR="00344693" w:rsidRDefault="00CD3EFE" w:rsidP="00190081">
      <w:r w:rsidRPr="00190081">
        <w:rPr>
          <w:b/>
        </w:rPr>
        <w:t xml:space="preserve">Evaluator’s </w:t>
      </w:r>
      <w:r w:rsidR="00053EB0" w:rsidRPr="00190081">
        <w:rPr>
          <w:b/>
        </w:rPr>
        <w:t>c</w:t>
      </w:r>
      <w:r w:rsidRPr="00190081">
        <w:rPr>
          <w:b/>
        </w:rPr>
        <w:t>omment</w:t>
      </w:r>
      <w:r w:rsidRPr="00CD3EFE">
        <w:t xml:space="preserve">: </w:t>
      </w:r>
    </w:p>
    <w:p w14:paraId="7180CC0A" w14:textId="4F361CB4" w:rsidR="0069415F" w:rsidRPr="00CD3EFE" w:rsidRDefault="0069415F" w:rsidP="00344693">
      <w:r w:rsidRPr="00CD3EFE">
        <w:t>Although the effects of age and ethnicity were not considered clinically significant in themselves, the sponsor has included a precautionary statement in the draft PI to the effect that a subject with a combination of these factors may be</w:t>
      </w:r>
      <w:r w:rsidR="00CD3EFE" w:rsidRPr="00CD3EFE">
        <w:t xml:space="preserve"> at increased risk of toxicity.</w:t>
      </w:r>
    </w:p>
    <w:p w14:paraId="7180CC0B" w14:textId="77777777" w:rsidR="0069415F" w:rsidRPr="00CD3EFE" w:rsidRDefault="0069415F" w:rsidP="00CD3EFE">
      <w:pPr>
        <w:pStyle w:val="Heading4"/>
      </w:pPr>
      <w:bookmarkStart w:id="103" w:name="_Toc241374294"/>
      <w:bookmarkStart w:id="104" w:name="_Toc272414632"/>
      <w:bookmarkStart w:id="105" w:name="_Toc290846255"/>
      <w:bookmarkStart w:id="106" w:name="_Toc291518942"/>
      <w:r w:rsidRPr="00CD3EFE">
        <w:t>Pharmacokinetic interactions</w:t>
      </w:r>
      <w:bookmarkEnd w:id="103"/>
      <w:bookmarkEnd w:id="104"/>
      <w:bookmarkEnd w:id="105"/>
      <w:bookmarkEnd w:id="106"/>
    </w:p>
    <w:p w14:paraId="7180CC0C" w14:textId="77777777" w:rsidR="0069415F" w:rsidRPr="00CD3EFE" w:rsidRDefault="0069415F" w:rsidP="00CD3EFE">
      <w:pPr>
        <w:pStyle w:val="Heading5"/>
      </w:pPr>
      <w:bookmarkStart w:id="107" w:name="_Toc272414633"/>
      <w:bookmarkStart w:id="108" w:name="_Toc290846256"/>
      <w:bookmarkStart w:id="109" w:name="_Toc291518943"/>
      <w:r w:rsidRPr="00CD3EFE">
        <w:t>Pharmacokinetic interactions demonstrated in human studies</w:t>
      </w:r>
      <w:bookmarkEnd w:id="107"/>
      <w:bookmarkEnd w:id="108"/>
      <w:bookmarkEnd w:id="109"/>
    </w:p>
    <w:p w14:paraId="7180CC0D" w14:textId="77777777" w:rsidR="0069415F" w:rsidRDefault="0069415F" w:rsidP="00CD3EFE">
      <w:r w:rsidRPr="00CD3EFE">
        <w:t xml:space="preserve">In vitro studies indicated that </w:t>
      </w:r>
      <w:proofErr w:type="spellStart"/>
      <w:r w:rsidRPr="00CD3EFE">
        <w:t>nintedanib</w:t>
      </w:r>
      <w:proofErr w:type="spellEnd"/>
      <w:r w:rsidRPr="00CD3EFE">
        <w:t xml:space="preserve"> is a substrate for P-glycoprotein (P-</w:t>
      </w:r>
      <w:proofErr w:type="spellStart"/>
      <w:r w:rsidRPr="00CD3EFE">
        <w:t>gp</w:t>
      </w:r>
      <w:proofErr w:type="spellEnd"/>
      <w:r w:rsidRPr="00CD3EFE">
        <w:t>). In human studies, co-administration with the P-</w:t>
      </w:r>
      <w:proofErr w:type="spellStart"/>
      <w:r w:rsidRPr="00CD3EFE">
        <w:t>gp</w:t>
      </w:r>
      <w:proofErr w:type="spellEnd"/>
      <w:r w:rsidRPr="00CD3EFE">
        <w:t xml:space="preserve"> inducer rifampicin resulted in a 50% decrease in the bioavailability of </w:t>
      </w:r>
      <w:proofErr w:type="spellStart"/>
      <w:r w:rsidRPr="00CD3EFE">
        <w:t>nintedanib</w:t>
      </w:r>
      <w:proofErr w:type="spellEnd"/>
      <w:r w:rsidRPr="00CD3EFE">
        <w:t>. Co-administration with the P-</w:t>
      </w:r>
      <w:proofErr w:type="spellStart"/>
      <w:r w:rsidRPr="00CD3EFE">
        <w:t>gp</w:t>
      </w:r>
      <w:proofErr w:type="spellEnd"/>
      <w:r w:rsidRPr="00CD3EFE">
        <w:t xml:space="preserve"> inhibitor ketoconazole resulted in a 60</w:t>
      </w:r>
      <w:r w:rsidR="00CD3EFE">
        <w:t xml:space="preserve"> </w:t>
      </w:r>
      <w:r w:rsidR="00094D89">
        <w:t xml:space="preserve">to </w:t>
      </w:r>
      <w:r w:rsidRPr="00CD3EFE">
        <w:t>70% increase in the</w:t>
      </w:r>
      <w:r w:rsidR="00094D89">
        <w:t xml:space="preserve"> bioavailability of </w:t>
      </w:r>
      <w:proofErr w:type="spellStart"/>
      <w:r w:rsidR="00094D89">
        <w:t>nintedanib</w:t>
      </w:r>
      <w:proofErr w:type="spellEnd"/>
      <w:r w:rsidRPr="00CD3EFE">
        <w:t>.</w:t>
      </w:r>
    </w:p>
    <w:p w14:paraId="7180CC0E" w14:textId="77777777" w:rsidR="0069415F" w:rsidRPr="00CD3EFE" w:rsidRDefault="0069415F" w:rsidP="00CD3EFE">
      <w:r w:rsidRPr="00CD3EFE">
        <w:t xml:space="preserve">In a study in patients with prostate cancer, </w:t>
      </w:r>
      <w:proofErr w:type="spellStart"/>
      <w:r w:rsidRPr="00CD3EFE">
        <w:t>nintedanib</w:t>
      </w:r>
      <w:proofErr w:type="spellEnd"/>
      <w:r w:rsidRPr="00CD3EFE">
        <w:t xml:space="preserve"> administration did not affect the PK of docetaxe</w:t>
      </w:r>
      <w:r w:rsidR="00094D89">
        <w:t>l, a substrate for CYP3A4, 5, 7.</w:t>
      </w:r>
    </w:p>
    <w:p w14:paraId="7180CC0F" w14:textId="77777777" w:rsidR="0069415F" w:rsidRPr="00CD3EFE" w:rsidRDefault="0069415F" w:rsidP="00CD3EFE">
      <w:r w:rsidRPr="00CD3EFE">
        <w:t>In a PK study</w:t>
      </w:r>
      <w:r w:rsidR="00094D89">
        <w:t xml:space="preserve"> in Japanese subjects with IPF</w:t>
      </w:r>
      <w:r w:rsidRPr="00CD3EFE">
        <w:t xml:space="preserve">, co-administration of </w:t>
      </w:r>
      <w:proofErr w:type="spellStart"/>
      <w:r w:rsidRPr="00CD3EFE">
        <w:t>pirfenidone</w:t>
      </w:r>
      <w:proofErr w:type="spellEnd"/>
      <w:r w:rsidRPr="00CD3EFE">
        <w:t xml:space="preserve"> was associated with reduced </w:t>
      </w:r>
      <w:proofErr w:type="spellStart"/>
      <w:r w:rsidRPr="00CD3EFE">
        <w:t>nintedanib</w:t>
      </w:r>
      <w:proofErr w:type="spellEnd"/>
      <w:r w:rsidRPr="00CD3EFE">
        <w:t xml:space="preserve"> levels. </w:t>
      </w:r>
      <w:proofErr w:type="spellStart"/>
      <w:r w:rsidRPr="00CD3EFE">
        <w:t>Nintedanib</w:t>
      </w:r>
      <w:proofErr w:type="spellEnd"/>
      <w:r w:rsidRPr="00CD3EFE">
        <w:t xml:space="preserve"> did not appear t</w:t>
      </w:r>
      <w:r w:rsidR="00CD3EFE">
        <w:t xml:space="preserve">o affect the PK of </w:t>
      </w:r>
      <w:proofErr w:type="spellStart"/>
      <w:r w:rsidR="00CD3EFE">
        <w:t>pirfenidone</w:t>
      </w:r>
      <w:proofErr w:type="spellEnd"/>
      <w:r w:rsidR="00CD3EFE">
        <w:t>.</w:t>
      </w:r>
    </w:p>
    <w:p w14:paraId="69F7F1F7" w14:textId="029A653A" w:rsidR="00344693" w:rsidRDefault="00CD3EFE" w:rsidP="00190081">
      <w:r w:rsidRPr="00190081">
        <w:rPr>
          <w:b/>
        </w:rPr>
        <w:t xml:space="preserve">Evaluator’s </w:t>
      </w:r>
      <w:r w:rsidR="00053EB0" w:rsidRPr="00190081">
        <w:rPr>
          <w:b/>
        </w:rPr>
        <w:t>c</w:t>
      </w:r>
      <w:r w:rsidRPr="00190081">
        <w:rPr>
          <w:b/>
        </w:rPr>
        <w:t>omment</w:t>
      </w:r>
      <w:r w:rsidRPr="00CD3EFE">
        <w:t xml:space="preserve">: </w:t>
      </w:r>
    </w:p>
    <w:p w14:paraId="7180CC10" w14:textId="680A82FE" w:rsidR="0069415F" w:rsidRPr="00CD3EFE" w:rsidRDefault="0058270D" w:rsidP="00344693">
      <w:proofErr w:type="spellStart"/>
      <w:r>
        <w:t>Nintedanib</w:t>
      </w:r>
      <w:proofErr w:type="spellEnd"/>
      <w:r>
        <w:t xml:space="preserve"> solubility is pH </w:t>
      </w:r>
      <w:r w:rsidR="0069415F" w:rsidRPr="00CD3EFE">
        <w:t xml:space="preserve">dependant, with decreasing solubility with increasing </w:t>
      </w:r>
      <w:proofErr w:type="spellStart"/>
      <w:r w:rsidR="0069415F" w:rsidRPr="00CD3EFE">
        <w:t>pH.</w:t>
      </w:r>
      <w:proofErr w:type="spellEnd"/>
      <w:r w:rsidR="0069415F" w:rsidRPr="00CD3EFE">
        <w:t xml:space="preserve"> It is therefore possible that bioavailability may be reduced if co-adm</w:t>
      </w:r>
      <w:r>
        <w:t xml:space="preserve">inistered with antacids, proton </w:t>
      </w:r>
      <w:r w:rsidR="0069415F" w:rsidRPr="00CD3EFE">
        <w:t xml:space="preserve">pump inhibitors </w:t>
      </w:r>
      <w:r w:rsidR="00094D89">
        <w:t>etcetera</w:t>
      </w:r>
      <w:r w:rsidR="0069415F" w:rsidRPr="00CD3EFE">
        <w:t>. The sponsor provided a meta-analysis of early pha</w:t>
      </w:r>
      <w:r w:rsidR="00094D89">
        <w:t>se studies in oncology subjects</w:t>
      </w:r>
      <w:r w:rsidR="0069415F" w:rsidRPr="00CD3EFE">
        <w:t xml:space="preserve"> that attempted to address this issue. However, the results were conflicting and a potential interaction has therefore not been excluded. It may be prudent to include a statement in the PI to the effect that use of such drugs should be avoided.</w:t>
      </w:r>
    </w:p>
    <w:p w14:paraId="7180CC11" w14:textId="77777777" w:rsidR="0069415F" w:rsidRPr="00CD3EFE" w:rsidRDefault="0069415F" w:rsidP="00CD3EFE">
      <w:pPr>
        <w:pStyle w:val="Heading5"/>
      </w:pPr>
      <w:bookmarkStart w:id="110" w:name="_Toc272414634"/>
      <w:bookmarkStart w:id="111" w:name="_Toc290846257"/>
      <w:bookmarkStart w:id="112" w:name="_Toc291518944"/>
      <w:r w:rsidRPr="00CD3EFE">
        <w:t>Clinical implications of in vitro findings</w:t>
      </w:r>
      <w:bookmarkEnd w:id="110"/>
      <w:bookmarkEnd w:id="111"/>
      <w:bookmarkEnd w:id="112"/>
    </w:p>
    <w:p w14:paraId="7180CC12" w14:textId="77777777" w:rsidR="0069415F" w:rsidRPr="00CD3EFE" w:rsidRDefault="0069415F" w:rsidP="00CD3EFE">
      <w:r w:rsidRPr="00CD3EFE">
        <w:t>Preclinical studies were reported to demonstrate the following:</w:t>
      </w:r>
    </w:p>
    <w:p w14:paraId="7180CC13" w14:textId="77777777" w:rsidR="0069415F" w:rsidRPr="00CD3EFE" w:rsidRDefault="0069415F" w:rsidP="00053EB0">
      <w:pPr>
        <w:pStyle w:val="ListBullet"/>
      </w:pPr>
      <w:proofErr w:type="spellStart"/>
      <w:r w:rsidRPr="00CD3EFE">
        <w:t>Nintedanib</w:t>
      </w:r>
      <w:proofErr w:type="spellEnd"/>
      <w:r w:rsidRPr="00CD3EFE">
        <w:t xml:space="preserve"> did not inhibit the following CYP450 enzymes in human liver </w:t>
      </w:r>
      <w:proofErr w:type="spellStart"/>
      <w:r w:rsidRPr="00CD3EFE">
        <w:t>microsomes</w:t>
      </w:r>
      <w:proofErr w:type="spellEnd"/>
      <w:r w:rsidRPr="00CD3EFE">
        <w:t>: 1A1, 1A2, 2A6, 2B6, 2C8, 2C9, 2C19, 2D6, 2E1</w:t>
      </w:r>
      <w:r w:rsidR="0058270D">
        <w:t>, 3A4 o4 4A11 (Report U03-1386).</w:t>
      </w:r>
    </w:p>
    <w:p w14:paraId="7180CC14" w14:textId="77777777" w:rsidR="0069415F" w:rsidRPr="00CD3EFE" w:rsidRDefault="0069415F" w:rsidP="00CD3EFE">
      <w:pPr>
        <w:pStyle w:val="ListBullet"/>
      </w:pPr>
      <w:r w:rsidRPr="00CD3EFE">
        <w:t xml:space="preserve">BIBF 1202 did not inhibit the following CYP450 enzymes in human liver </w:t>
      </w:r>
      <w:proofErr w:type="spellStart"/>
      <w:r w:rsidRPr="00CD3EFE">
        <w:t>microsomes</w:t>
      </w:r>
      <w:proofErr w:type="spellEnd"/>
      <w:r w:rsidRPr="00CD3EFE">
        <w:t>: 1A1, 1A2, 2A6, 2B6, 2C8, 2C9, 2C19, 2D6, 2E1, 3</w:t>
      </w:r>
      <w:r w:rsidR="0058270D">
        <w:t>A4 o4 4A11 (Report U08-1256-02).</w:t>
      </w:r>
    </w:p>
    <w:p w14:paraId="7180CC15" w14:textId="77777777" w:rsidR="0069415F" w:rsidRPr="00CD3EFE" w:rsidRDefault="0069415F" w:rsidP="00CD3EFE">
      <w:pPr>
        <w:pStyle w:val="ListBullet"/>
      </w:pPr>
      <w:r w:rsidRPr="00CD3EFE">
        <w:lastRenderedPageBreak/>
        <w:t xml:space="preserve">BIBF 1202 glucuronide did not inhibit the following CYP450 enzymes in human liver </w:t>
      </w:r>
      <w:proofErr w:type="spellStart"/>
      <w:r w:rsidRPr="00CD3EFE">
        <w:t>microsomes</w:t>
      </w:r>
      <w:proofErr w:type="spellEnd"/>
      <w:r w:rsidRPr="00CD3EFE">
        <w:t>: 1A1, 1A2, 2A6, 2B6, 2C8, 2C9, 2C19, 2D6, 2E1, 3</w:t>
      </w:r>
      <w:r w:rsidR="0058270D">
        <w:t>A4 o4 4A11 (Report U09-1164-02).</w:t>
      </w:r>
    </w:p>
    <w:p w14:paraId="7180CC16" w14:textId="77777777" w:rsidR="0069415F" w:rsidRPr="00CD3EFE" w:rsidRDefault="0069415F" w:rsidP="00CD3EFE">
      <w:pPr>
        <w:pStyle w:val="ListBullet"/>
      </w:pPr>
      <w:proofErr w:type="spellStart"/>
      <w:r w:rsidRPr="00CD3EFE">
        <w:t>Nintedanib</w:t>
      </w:r>
      <w:proofErr w:type="spellEnd"/>
      <w:r w:rsidRPr="00CD3EFE">
        <w:t xml:space="preserve"> did not induce the following CYP450 enzymes in primary human hepatocytes: CYP1A2, 2B6, 2C8, 2C9, 2C</w:t>
      </w:r>
      <w:r w:rsidR="0058270D">
        <w:t>19 and 3A4 (Report U09-1731-01).</w:t>
      </w:r>
    </w:p>
    <w:p w14:paraId="7180CC17" w14:textId="77777777" w:rsidR="0069415F" w:rsidRPr="00CD3EFE" w:rsidRDefault="0069415F" w:rsidP="00CD3EFE">
      <w:pPr>
        <w:pStyle w:val="ListBullet"/>
      </w:pPr>
      <w:proofErr w:type="spellStart"/>
      <w:r w:rsidRPr="00CD3EFE">
        <w:t>Nintedanib</w:t>
      </w:r>
      <w:proofErr w:type="spellEnd"/>
      <w:r w:rsidRPr="00CD3EFE">
        <w:t xml:space="preserve">, at clinically relevant concentrations, did not inhibit </w:t>
      </w:r>
      <w:proofErr w:type="spellStart"/>
      <w:r w:rsidRPr="00CD3EFE">
        <w:t>glucuronidation</w:t>
      </w:r>
      <w:proofErr w:type="spellEnd"/>
      <w:r w:rsidRPr="00CD3EFE">
        <w:t xml:space="preserve"> by UGT1A1 in human liver </w:t>
      </w:r>
      <w:proofErr w:type="spellStart"/>
      <w:r w:rsidRPr="00CD3EFE">
        <w:t>microsomes</w:t>
      </w:r>
      <w:proofErr w:type="spellEnd"/>
      <w:r w:rsidRPr="00CD3EFE">
        <w:t xml:space="preserve"> (Repor</w:t>
      </w:r>
      <w:r w:rsidR="0058270D">
        <w:t>t U06-1744).</w:t>
      </w:r>
    </w:p>
    <w:p w14:paraId="7180CC18" w14:textId="77777777" w:rsidR="0069415F" w:rsidRPr="00CD3EFE" w:rsidRDefault="0069415F" w:rsidP="00CD3EFE">
      <w:pPr>
        <w:pStyle w:val="ListBullet"/>
      </w:pPr>
      <w:r w:rsidRPr="00CD3EFE">
        <w:t xml:space="preserve">UGT1A1 was responsible for the </w:t>
      </w:r>
      <w:proofErr w:type="spellStart"/>
      <w:r w:rsidRPr="00CD3EFE">
        <w:t>glucuronidation</w:t>
      </w:r>
      <w:proofErr w:type="spellEnd"/>
      <w:r w:rsidRPr="00CD3EFE">
        <w:t xml:space="preserve"> of BIBF 1202 to BIBF 1202 glucuronide in human liver </w:t>
      </w:r>
      <w:proofErr w:type="spellStart"/>
      <w:r w:rsidR="0058270D">
        <w:t>microsomes</w:t>
      </w:r>
      <w:proofErr w:type="spellEnd"/>
      <w:r w:rsidR="0058270D">
        <w:t xml:space="preserve"> (Report U06-1667-03).</w:t>
      </w:r>
    </w:p>
    <w:p w14:paraId="7180CC19" w14:textId="77777777" w:rsidR="0069415F" w:rsidRPr="00CD3EFE" w:rsidRDefault="0069415F" w:rsidP="00CD3EFE">
      <w:pPr>
        <w:pStyle w:val="ListBullet"/>
      </w:pPr>
      <w:r w:rsidRPr="00CD3EFE">
        <w:t xml:space="preserve">In human liver </w:t>
      </w:r>
      <w:proofErr w:type="spellStart"/>
      <w:r w:rsidRPr="00CD3EFE">
        <w:t>microsomes</w:t>
      </w:r>
      <w:proofErr w:type="spellEnd"/>
      <w:r w:rsidRPr="00CD3EFE">
        <w:t xml:space="preserve">, the major metabolic reaction was cleavage of </w:t>
      </w:r>
      <w:proofErr w:type="spellStart"/>
      <w:r w:rsidRPr="00CD3EFE">
        <w:t>nintedanib</w:t>
      </w:r>
      <w:proofErr w:type="spellEnd"/>
      <w:r w:rsidRPr="00CD3EFE">
        <w:t xml:space="preserve"> by </w:t>
      </w:r>
      <w:proofErr w:type="spellStart"/>
      <w:r w:rsidRPr="00CD3EFE">
        <w:t>esterases</w:t>
      </w:r>
      <w:proofErr w:type="spellEnd"/>
      <w:r w:rsidRPr="00CD3EFE">
        <w:t xml:space="preserve"> to form BIBF 1202. CYP450 dependant metabolism played a minor role and the major CYP450 enzyme involved was 3A4 (Report U</w:t>
      </w:r>
      <w:r w:rsidR="0058270D">
        <w:t>03-1355-01).</w:t>
      </w:r>
    </w:p>
    <w:p w14:paraId="7180CC1A" w14:textId="77777777" w:rsidR="0069415F" w:rsidRDefault="0069415F" w:rsidP="00CD3EFE">
      <w:pPr>
        <w:pStyle w:val="ListBullet"/>
      </w:pPr>
      <w:proofErr w:type="spellStart"/>
      <w:r w:rsidRPr="00CD3EFE">
        <w:t>Nintedanib</w:t>
      </w:r>
      <w:proofErr w:type="spellEnd"/>
      <w:r w:rsidRPr="00CD3EFE">
        <w:t xml:space="preserve"> did not inhibit OATP1B1, OATP1B3, OATP2B1, OCT-1, OCT2, P-</w:t>
      </w:r>
      <w:proofErr w:type="spellStart"/>
      <w:r w:rsidRPr="00CD3EFE">
        <w:t>gp</w:t>
      </w:r>
      <w:proofErr w:type="spellEnd"/>
      <w:r w:rsidRPr="00CD3EFE">
        <w:t xml:space="preserve"> or BRCP mediated transport at clinically relevant conce</w:t>
      </w:r>
      <w:r w:rsidR="00CD3EFE">
        <w:t>ntrations</w:t>
      </w:r>
      <w:r w:rsidR="0058270D">
        <w:t xml:space="preserve"> (Report U05-3076-02).</w:t>
      </w:r>
    </w:p>
    <w:p w14:paraId="7180CC1B" w14:textId="77777777" w:rsidR="0069415F" w:rsidRPr="00CD3EFE" w:rsidRDefault="0069415F" w:rsidP="00CD3EFE">
      <w:r w:rsidRPr="00CD3EFE">
        <w:t xml:space="preserve">These findings would suggest that </w:t>
      </w:r>
      <w:proofErr w:type="spellStart"/>
      <w:r w:rsidRPr="00CD3EFE">
        <w:t>nintedanib</w:t>
      </w:r>
      <w:proofErr w:type="spellEnd"/>
      <w:r w:rsidRPr="00CD3EFE">
        <w:t xml:space="preserve"> and its metabolites have a low potential to be associated with clinically significant interactions.</w:t>
      </w:r>
    </w:p>
    <w:p w14:paraId="7180CC1C" w14:textId="77777777" w:rsidR="0069415F" w:rsidRPr="00CD3EFE" w:rsidRDefault="0069415F" w:rsidP="00CD3EFE">
      <w:pPr>
        <w:pStyle w:val="Heading3"/>
      </w:pPr>
      <w:bookmarkStart w:id="113" w:name="_Toc241374296"/>
      <w:bookmarkStart w:id="114" w:name="_Ref269982040"/>
      <w:bookmarkStart w:id="115" w:name="_Ref271018704"/>
      <w:bookmarkStart w:id="116" w:name="_Ref271018755"/>
      <w:bookmarkStart w:id="117" w:name="_Toc272414635"/>
      <w:bookmarkStart w:id="118" w:name="_Toc290846258"/>
      <w:bookmarkStart w:id="119" w:name="_Toc291518945"/>
      <w:bookmarkStart w:id="120" w:name="_Toc443381738"/>
      <w:r w:rsidRPr="00CD3EFE">
        <w:t>Evaluator’s overall conclusions on pharmacokinetics</w:t>
      </w:r>
      <w:bookmarkEnd w:id="113"/>
      <w:bookmarkEnd w:id="114"/>
      <w:bookmarkEnd w:id="115"/>
      <w:bookmarkEnd w:id="116"/>
      <w:bookmarkEnd w:id="117"/>
      <w:bookmarkEnd w:id="118"/>
      <w:bookmarkEnd w:id="119"/>
      <w:bookmarkEnd w:id="120"/>
    </w:p>
    <w:p w14:paraId="7180CC1D" w14:textId="77777777" w:rsidR="0069415F" w:rsidRPr="0069415F" w:rsidRDefault="0069415F" w:rsidP="0069415F">
      <w:r w:rsidRPr="00CD3EFE">
        <w:t>Overall, the PK data in the submission are considered adequate to support registration. Further information on the effect of hepatic impairment would be desirable. An interaction with drugs that elevate gastric pH has not been excluded and a PI statement along these lines should be considered.</w:t>
      </w:r>
    </w:p>
    <w:p w14:paraId="7180CC1E" w14:textId="77777777" w:rsidR="00586F98" w:rsidRPr="00052387" w:rsidRDefault="00586F98" w:rsidP="00052387">
      <w:pPr>
        <w:pStyle w:val="Heading2"/>
      </w:pPr>
      <w:bookmarkStart w:id="121" w:name="_Toc443381739"/>
      <w:r w:rsidRPr="00052387">
        <w:t>Pharmacodynamics</w:t>
      </w:r>
      <w:bookmarkEnd w:id="121"/>
    </w:p>
    <w:p w14:paraId="7180CC1F" w14:textId="77777777" w:rsidR="00681C97" w:rsidRPr="00681C97" w:rsidRDefault="00681C97" w:rsidP="00681C97">
      <w:pPr>
        <w:pStyle w:val="Heading3"/>
      </w:pPr>
      <w:bookmarkStart w:id="122" w:name="_Toc272414637"/>
      <w:bookmarkStart w:id="123" w:name="_Toc290846260"/>
      <w:bookmarkStart w:id="124" w:name="_Toc291518947"/>
      <w:bookmarkStart w:id="125" w:name="_Toc443381740"/>
      <w:r w:rsidRPr="00681C97">
        <w:t xml:space="preserve">Studies providing </w:t>
      </w:r>
      <w:proofErr w:type="spellStart"/>
      <w:r w:rsidRPr="00681C97">
        <w:t>pharmacodynamic</w:t>
      </w:r>
      <w:proofErr w:type="spellEnd"/>
      <w:r w:rsidRPr="00681C97">
        <w:t xml:space="preserve"> data</w:t>
      </w:r>
      <w:bookmarkEnd w:id="122"/>
      <w:bookmarkEnd w:id="123"/>
      <w:bookmarkEnd w:id="124"/>
      <w:bookmarkEnd w:id="125"/>
    </w:p>
    <w:p w14:paraId="7180CC20" w14:textId="77777777" w:rsidR="00681C97" w:rsidRDefault="00681C97" w:rsidP="00681C97">
      <w:r w:rsidRPr="00681C97">
        <w:t>There were no dedicated clinical studies on pharmacodynamics (PD) submitted. Various studies examined PD endpoints and these are listed in</w:t>
      </w:r>
      <w:r w:rsidR="00094D89">
        <w:t xml:space="preserve"> Table 6</w:t>
      </w:r>
      <w:r>
        <w:t>.</w:t>
      </w:r>
    </w:p>
    <w:p w14:paraId="7180CC21" w14:textId="77777777" w:rsidR="00681C97" w:rsidRPr="00681C97" w:rsidRDefault="00681C97" w:rsidP="00681C97">
      <w:pPr>
        <w:pStyle w:val="Tabletitle"/>
      </w:pPr>
      <w:bookmarkStart w:id="126" w:name="_Ref269985397"/>
      <w:bookmarkStart w:id="127" w:name="_Toc291519187"/>
      <w:proofErr w:type="gramStart"/>
      <w:r w:rsidRPr="00681C97">
        <w:t xml:space="preserve">Table </w:t>
      </w:r>
      <w:bookmarkEnd w:id="126"/>
      <w:r w:rsidR="00094D89">
        <w:t>6.</w:t>
      </w:r>
      <w:proofErr w:type="gramEnd"/>
      <w:r w:rsidR="00094D89">
        <w:t xml:space="preserve"> </w:t>
      </w:r>
      <w:proofErr w:type="gramStart"/>
      <w:r w:rsidRPr="00681C97">
        <w:t xml:space="preserve">Submitted </w:t>
      </w:r>
      <w:proofErr w:type="spellStart"/>
      <w:r w:rsidRPr="00681C97">
        <w:t>pharmacodynamic</w:t>
      </w:r>
      <w:proofErr w:type="spellEnd"/>
      <w:r w:rsidRPr="00681C97">
        <w:t xml:space="preserve"> studies.</w:t>
      </w:r>
      <w:bookmarkEnd w:id="127"/>
      <w:proofErr w:type="gramEnd"/>
    </w:p>
    <w:tbl>
      <w:tblPr>
        <w:tblStyle w:val="TableTGAblue"/>
        <w:tblW w:w="7934" w:type="dxa"/>
        <w:tblLayout w:type="fixed"/>
        <w:tblLook w:val="00A0" w:firstRow="1" w:lastRow="0" w:firstColumn="1" w:lastColumn="0" w:noHBand="0" w:noVBand="0"/>
      </w:tblPr>
      <w:tblGrid>
        <w:gridCol w:w="2235"/>
        <w:gridCol w:w="3260"/>
        <w:gridCol w:w="2439"/>
      </w:tblGrid>
      <w:tr w:rsidR="00094D89" w:rsidRPr="00681C97" w14:paraId="7180CC25" w14:textId="77777777" w:rsidTr="00053E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7180CC22" w14:textId="77777777" w:rsidR="00094D89" w:rsidRPr="00681C97" w:rsidRDefault="00094D89" w:rsidP="00053EB0">
            <w:r w:rsidRPr="00681C97">
              <w:t>PD Topic</w:t>
            </w:r>
          </w:p>
        </w:tc>
        <w:tc>
          <w:tcPr>
            <w:tcW w:w="3260" w:type="dxa"/>
          </w:tcPr>
          <w:p w14:paraId="7180CC23" w14:textId="77777777" w:rsidR="00094D89" w:rsidRPr="00681C97" w:rsidRDefault="00094D89" w:rsidP="00053EB0">
            <w:pPr>
              <w:cnfStyle w:val="100000000000" w:firstRow="1" w:lastRow="0" w:firstColumn="0" w:lastColumn="0" w:oddVBand="0" w:evenVBand="0" w:oddHBand="0" w:evenHBand="0" w:firstRowFirstColumn="0" w:firstRowLastColumn="0" w:lastRowFirstColumn="0" w:lastRowLastColumn="0"/>
            </w:pPr>
            <w:r w:rsidRPr="00681C97">
              <w:t>Subtopic</w:t>
            </w:r>
          </w:p>
        </w:tc>
        <w:tc>
          <w:tcPr>
            <w:tcW w:w="2439" w:type="dxa"/>
          </w:tcPr>
          <w:p w14:paraId="7180CC24" w14:textId="77777777" w:rsidR="00094D89" w:rsidRPr="00681C97" w:rsidRDefault="00094D89" w:rsidP="00053EB0">
            <w:pPr>
              <w:cnfStyle w:val="100000000000" w:firstRow="1" w:lastRow="0" w:firstColumn="0" w:lastColumn="0" w:oddVBand="0" w:evenVBand="0" w:oddHBand="0" w:evenHBand="0" w:firstRowFirstColumn="0" w:firstRowLastColumn="0" w:lastRowFirstColumn="0" w:lastRowLastColumn="0"/>
            </w:pPr>
            <w:r w:rsidRPr="00681C97">
              <w:t>Study ID</w:t>
            </w:r>
          </w:p>
        </w:tc>
      </w:tr>
      <w:tr w:rsidR="00094D89" w:rsidRPr="00681C97" w14:paraId="7180CC2A" w14:textId="77777777" w:rsidTr="00053EB0">
        <w:trPr>
          <w:trHeight w:val="479"/>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7180CC26" w14:textId="77777777" w:rsidR="00094D89" w:rsidRPr="00681C97" w:rsidRDefault="00094D89" w:rsidP="00053EB0">
            <w:r w:rsidRPr="00681C97">
              <w:t>Primary Pharmacology</w:t>
            </w:r>
          </w:p>
        </w:tc>
        <w:tc>
          <w:tcPr>
            <w:tcW w:w="3260" w:type="dxa"/>
          </w:tcPr>
          <w:p w14:paraId="7180CC27" w14:textId="77777777" w:rsidR="00094D89" w:rsidRPr="00681C97" w:rsidRDefault="00094D89" w:rsidP="00053EB0">
            <w:pPr>
              <w:cnfStyle w:val="000000000000" w:firstRow="0" w:lastRow="0" w:firstColumn="0" w:lastColumn="0" w:oddVBand="0" w:evenVBand="0" w:oddHBand="0" w:evenHBand="0" w:firstRowFirstColumn="0" w:firstRowLastColumn="0" w:lastRowFirstColumn="0" w:lastRowLastColumn="0"/>
            </w:pPr>
            <w:r w:rsidRPr="00681C97">
              <w:t>Effect on vasculature in tumours</w:t>
            </w:r>
          </w:p>
        </w:tc>
        <w:tc>
          <w:tcPr>
            <w:tcW w:w="2439" w:type="dxa"/>
          </w:tcPr>
          <w:p w14:paraId="7180CC29" w14:textId="014190C5" w:rsidR="00094D89" w:rsidRPr="00681C97" w:rsidRDefault="00094D89" w:rsidP="00053EB0">
            <w:pPr>
              <w:cnfStyle w:val="000000000000" w:firstRow="0" w:lastRow="0" w:firstColumn="0" w:lastColumn="0" w:oddVBand="0" w:evenVBand="0" w:oddHBand="0" w:evenHBand="0" w:firstRowFirstColumn="0" w:firstRowLastColumn="0" w:lastRowFirstColumn="0" w:lastRowLastColumn="0"/>
            </w:pPr>
            <w:r w:rsidRPr="00681C97">
              <w:t>1199.0001</w:t>
            </w:r>
            <w:r w:rsidR="00053EB0">
              <w:t xml:space="preserve"> </w:t>
            </w:r>
            <w:r w:rsidRPr="00681C97">
              <w:t>1199.0003</w:t>
            </w:r>
          </w:p>
        </w:tc>
      </w:tr>
      <w:tr w:rsidR="00094D89" w:rsidRPr="00681C97" w14:paraId="7180CC2E" w14:textId="77777777" w:rsidTr="00053EB0">
        <w:tc>
          <w:tcPr>
            <w:cnfStyle w:val="001000000000" w:firstRow="0" w:lastRow="0" w:firstColumn="1" w:lastColumn="0" w:oddVBand="0" w:evenVBand="0" w:oddHBand="0" w:evenHBand="0" w:firstRowFirstColumn="0" w:firstRowLastColumn="0" w:lastRowFirstColumn="0" w:lastRowLastColumn="0"/>
            <w:tcW w:w="2235" w:type="dxa"/>
            <w:vMerge/>
          </w:tcPr>
          <w:p w14:paraId="7180CC2B" w14:textId="77777777" w:rsidR="00094D89" w:rsidRPr="00681C97" w:rsidRDefault="00094D89" w:rsidP="00053EB0"/>
        </w:tc>
        <w:tc>
          <w:tcPr>
            <w:tcW w:w="3260" w:type="dxa"/>
          </w:tcPr>
          <w:p w14:paraId="7180CC2C" w14:textId="77777777" w:rsidR="00094D89" w:rsidRPr="00681C97" w:rsidRDefault="00094D89" w:rsidP="00053EB0">
            <w:pPr>
              <w:cnfStyle w:val="000000000000" w:firstRow="0" w:lastRow="0" w:firstColumn="0" w:lastColumn="0" w:oddVBand="0" w:evenVBand="0" w:oddHBand="0" w:evenHBand="0" w:firstRowFirstColumn="0" w:firstRowLastColumn="0" w:lastRowFirstColumn="0" w:lastRowLastColumn="0"/>
            </w:pPr>
            <w:r w:rsidRPr="00681C97">
              <w:t>Effects on plasma VEGF/</w:t>
            </w:r>
            <w:proofErr w:type="spellStart"/>
            <w:r w:rsidRPr="00681C97">
              <w:t>bFGF</w:t>
            </w:r>
            <w:proofErr w:type="spellEnd"/>
          </w:p>
        </w:tc>
        <w:tc>
          <w:tcPr>
            <w:tcW w:w="2439" w:type="dxa"/>
          </w:tcPr>
          <w:p w14:paraId="7180CC2D" w14:textId="77777777" w:rsidR="00094D89" w:rsidRPr="00681C97" w:rsidRDefault="00094D89" w:rsidP="00053EB0">
            <w:pPr>
              <w:cnfStyle w:val="000000000000" w:firstRow="0" w:lastRow="0" w:firstColumn="0" w:lastColumn="0" w:oddVBand="0" w:evenVBand="0" w:oddHBand="0" w:evenHBand="0" w:firstRowFirstColumn="0" w:firstRowLastColumn="0" w:lastRowFirstColumn="0" w:lastRowLastColumn="0"/>
            </w:pPr>
            <w:r w:rsidRPr="00681C97">
              <w:t>1199.0001</w:t>
            </w:r>
          </w:p>
        </w:tc>
      </w:tr>
      <w:tr w:rsidR="00711FC2" w:rsidRPr="00681C97" w14:paraId="7180CC32" w14:textId="77777777" w:rsidTr="00053EB0">
        <w:trPr>
          <w:trHeight w:val="794"/>
        </w:trPr>
        <w:tc>
          <w:tcPr>
            <w:cnfStyle w:val="001000000000" w:firstRow="0" w:lastRow="0" w:firstColumn="1" w:lastColumn="0" w:oddVBand="0" w:evenVBand="0" w:oddHBand="0" w:evenHBand="0" w:firstRowFirstColumn="0" w:firstRowLastColumn="0" w:lastRowFirstColumn="0" w:lastRowLastColumn="0"/>
            <w:tcW w:w="2235" w:type="dxa"/>
          </w:tcPr>
          <w:p w14:paraId="7180CC2F" w14:textId="77777777" w:rsidR="00711FC2" w:rsidRPr="00681C97" w:rsidRDefault="00711FC2" w:rsidP="00053EB0">
            <w:r w:rsidRPr="00681C97">
              <w:t>Secondary Pharmacology</w:t>
            </w:r>
          </w:p>
        </w:tc>
        <w:tc>
          <w:tcPr>
            <w:tcW w:w="3260" w:type="dxa"/>
          </w:tcPr>
          <w:p w14:paraId="7180CC30" w14:textId="77777777" w:rsidR="00711FC2" w:rsidRPr="00681C97" w:rsidRDefault="00711FC2" w:rsidP="00053EB0">
            <w:pPr>
              <w:cnfStyle w:val="000000000000" w:firstRow="0" w:lastRow="0" w:firstColumn="0" w:lastColumn="0" w:oddVBand="0" w:evenVBand="0" w:oddHBand="0" w:evenHBand="0" w:firstRowFirstColumn="0" w:firstRowLastColumn="0" w:lastRowFirstColumn="0" w:lastRowLastColumn="0"/>
            </w:pPr>
            <w:r w:rsidRPr="00681C97">
              <w:t>Effect on QT interval</w:t>
            </w:r>
          </w:p>
        </w:tc>
        <w:tc>
          <w:tcPr>
            <w:tcW w:w="2439" w:type="dxa"/>
          </w:tcPr>
          <w:p w14:paraId="7180CC31" w14:textId="77777777" w:rsidR="00711FC2" w:rsidRPr="00681C97" w:rsidRDefault="00711FC2" w:rsidP="00053EB0">
            <w:pPr>
              <w:cnfStyle w:val="000000000000" w:firstRow="0" w:lastRow="0" w:firstColumn="0" w:lastColumn="0" w:oddVBand="0" w:evenVBand="0" w:oddHBand="0" w:evenHBand="0" w:firstRowFirstColumn="0" w:firstRowLastColumn="0" w:lastRowFirstColumn="0" w:lastRowLastColumn="0"/>
            </w:pPr>
            <w:r w:rsidRPr="00681C97">
              <w:t>1199.0026</w:t>
            </w:r>
          </w:p>
        </w:tc>
      </w:tr>
    </w:tbl>
    <w:p w14:paraId="7180CC33" w14:textId="77777777" w:rsidR="00681C97" w:rsidRDefault="00681C97" w:rsidP="00681C97">
      <w:r w:rsidRPr="00681C97">
        <w:t>None of these studies had deficiencies that excluded their results from consideration.</w:t>
      </w:r>
    </w:p>
    <w:p w14:paraId="7180CC34" w14:textId="77777777" w:rsidR="00681C97" w:rsidRPr="00681C97" w:rsidRDefault="00681C97" w:rsidP="00681C97">
      <w:pPr>
        <w:pStyle w:val="Heading3"/>
      </w:pPr>
      <w:bookmarkStart w:id="128" w:name="_Ref269119989"/>
      <w:bookmarkStart w:id="129" w:name="_Toc272414639"/>
      <w:bookmarkStart w:id="130" w:name="_Toc290846261"/>
      <w:bookmarkStart w:id="131" w:name="_Toc291518948"/>
      <w:bookmarkStart w:id="132" w:name="_Toc443381741"/>
      <w:r w:rsidRPr="00681C97">
        <w:lastRenderedPageBreak/>
        <w:t>Summary of pharmacodynamics</w:t>
      </w:r>
      <w:bookmarkEnd w:id="128"/>
      <w:bookmarkEnd w:id="129"/>
      <w:bookmarkEnd w:id="130"/>
      <w:bookmarkEnd w:id="131"/>
      <w:bookmarkEnd w:id="132"/>
    </w:p>
    <w:p w14:paraId="7180CC35" w14:textId="77777777" w:rsidR="00681C97" w:rsidRPr="00F4109A" w:rsidRDefault="00681C97" w:rsidP="00681C97">
      <w:r w:rsidRPr="00681C97">
        <w:t xml:space="preserve">The information in the following summary is derived from conventional </w:t>
      </w:r>
      <w:proofErr w:type="spellStart"/>
      <w:r w:rsidRPr="00681C97">
        <w:t>pharmacodynamic</w:t>
      </w:r>
      <w:proofErr w:type="spellEnd"/>
      <w:r w:rsidRPr="00681C97">
        <w:t xml:space="preserve"> studies in humans unless otherwise stated.</w:t>
      </w:r>
    </w:p>
    <w:p w14:paraId="7180CC36" w14:textId="77777777" w:rsidR="00681C97" w:rsidRPr="00681C97" w:rsidRDefault="00681C97" w:rsidP="00681C97">
      <w:pPr>
        <w:pStyle w:val="Heading4"/>
      </w:pPr>
      <w:bookmarkStart w:id="133" w:name="_Toc241374300"/>
      <w:bookmarkStart w:id="134" w:name="_Toc272414641"/>
      <w:bookmarkStart w:id="135" w:name="_Toc290846263"/>
      <w:bookmarkStart w:id="136" w:name="_Toc291518949"/>
      <w:proofErr w:type="spellStart"/>
      <w:r w:rsidRPr="00681C97">
        <w:t>Pharmacodynamic</w:t>
      </w:r>
      <w:proofErr w:type="spellEnd"/>
      <w:r w:rsidRPr="00681C97">
        <w:t xml:space="preserve"> effects</w:t>
      </w:r>
      <w:bookmarkEnd w:id="133"/>
      <w:bookmarkEnd w:id="134"/>
      <w:bookmarkEnd w:id="135"/>
      <w:bookmarkEnd w:id="136"/>
    </w:p>
    <w:p w14:paraId="7180CC37" w14:textId="77777777" w:rsidR="00681C97" w:rsidRPr="00681C97" w:rsidRDefault="00681C97" w:rsidP="00681C97">
      <w:pPr>
        <w:pStyle w:val="Heading5"/>
      </w:pPr>
      <w:bookmarkStart w:id="137" w:name="_Toc272414642"/>
      <w:bookmarkStart w:id="138" w:name="_Toc290846264"/>
      <w:bookmarkStart w:id="139" w:name="_Toc291518950"/>
      <w:r w:rsidRPr="00681C97">
        <w:t xml:space="preserve">Primary </w:t>
      </w:r>
      <w:proofErr w:type="spellStart"/>
      <w:r w:rsidRPr="00681C97">
        <w:t>pharmacodynamic</w:t>
      </w:r>
      <w:proofErr w:type="spellEnd"/>
      <w:r w:rsidRPr="00681C97">
        <w:t xml:space="preserve"> effects</w:t>
      </w:r>
      <w:bookmarkEnd w:id="137"/>
      <w:bookmarkEnd w:id="138"/>
      <w:bookmarkEnd w:id="139"/>
    </w:p>
    <w:p w14:paraId="7180CC38" w14:textId="77777777" w:rsidR="00681C97" w:rsidRPr="00681C97" w:rsidRDefault="00681C97" w:rsidP="00681C97">
      <w:pPr>
        <w:pStyle w:val="Heading6"/>
      </w:pPr>
      <w:r w:rsidRPr="00681C97">
        <w:t>Vascular effects in tumours</w:t>
      </w:r>
    </w:p>
    <w:p w14:paraId="7180CC39" w14:textId="77777777" w:rsidR="00681C97" w:rsidRDefault="00681C97" w:rsidP="00681C97">
      <w:r w:rsidRPr="00681C97">
        <w:t>Tw</w:t>
      </w:r>
      <w:r w:rsidR="00711FC2">
        <w:t xml:space="preserve">o studies used dynamic contrast </w:t>
      </w:r>
      <w:r w:rsidRPr="00681C97">
        <w:t xml:space="preserve">enhanced magnetic resonance imaging (DCE-MRI) to assess changes in tumour vasculature. In both studies changes consistent with an anti-vascular effect (decreased vascular permeability and tumour blood flow) were observed after treatment with </w:t>
      </w:r>
      <w:proofErr w:type="spellStart"/>
      <w:r w:rsidRPr="00681C97">
        <w:t>nintedanib</w:t>
      </w:r>
      <w:proofErr w:type="spellEnd"/>
      <w:r w:rsidRPr="00681C97">
        <w:t>.</w:t>
      </w:r>
    </w:p>
    <w:p w14:paraId="7180CC3A" w14:textId="77777777" w:rsidR="00681C97" w:rsidRPr="00681C97" w:rsidRDefault="00681C97" w:rsidP="00681C97">
      <w:pPr>
        <w:pStyle w:val="Heading6"/>
      </w:pPr>
      <w:r w:rsidRPr="00681C97">
        <w:t>Effects on plasma VEGF/</w:t>
      </w:r>
      <w:proofErr w:type="spellStart"/>
      <w:r w:rsidRPr="00681C97">
        <w:t>bFGF</w:t>
      </w:r>
      <w:proofErr w:type="spellEnd"/>
    </w:p>
    <w:p w14:paraId="7180CC3B" w14:textId="77777777" w:rsidR="00681C97" w:rsidRDefault="00681C97" w:rsidP="00681C97">
      <w:r w:rsidRPr="00681C97">
        <w:t>Only one study examined these markers, and no effect was demonstrated.</w:t>
      </w:r>
    </w:p>
    <w:p w14:paraId="7180CC3C" w14:textId="77777777" w:rsidR="00681C97" w:rsidRPr="00681C97" w:rsidRDefault="00681C97" w:rsidP="00681C97">
      <w:pPr>
        <w:pStyle w:val="Heading5"/>
      </w:pPr>
      <w:bookmarkStart w:id="140" w:name="_Toc272414643"/>
      <w:bookmarkStart w:id="141" w:name="_Toc290846265"/>
      <w:bookmarkStart w:id="142" w:name="_Toc291518951"/>
      <w:r w:rsidRPr="00681C97">
        <w:t xml:space="preserve">Secondary </w:t>
      </w:r>
      <w:proofErr w:type="spellStart"/>
      <w:r w:rsidRPr="00681C97">
        <w:t>pharmacodynamic</w:t>
      </w:r>
      <w:proofErr w:type="spellEnd"/>
      <w:r w:rsidRPr="00681C97">
        <w:t xml:space="preserve"> effects</w:t>
      </w:r>
      <w:bookmarkEnd w:id="140"/>
      <w:bookmarkEnd w:id="141"/>
      <w:bookmarkEnd w:id="142"/>
    </w:p>
    <w:p w14:paraId="7180CC3D" w14:textId="77777777" w:rsidR="00681C97" w:rsidRDefault="00681C97" w:rsidP="00681C97">
      <w:proofErr w:type="spellStart"/>
      <w:r w:rsidRPr="00681C97">
        <w:t>Nintedanib</w:t>
      </w:r>
      <w:proofErr w:type="spellEnd"/>
      <w:r w:rsidRPr="00681C97">
        <w:t xml:space="preserve"> treatment was not associated with </w:t>
      </w:r>
      <w:r w:rsidR="00094D89">
        <w:t>QT prolongation.</w:t>
      </w:r>
    </w:p>
    <w:p w14:paraId="7180CC3E" w14:textId="77777777" w:rsidR="00681C97" w:rsidRPr="00681C97" w:rsidRDefault="00681C97" w:rsidP="00681C97">
      <w:pPr>
        <w:pStyle w:val="Heading3"/>
      </w:pPr>
      <w:bookmarkStart w:id="143" w:name="_Ref269983272"/>
      <w:bookmarkStart w:id="144" w:name="_Toc272414648"/>
      <w:bookmarkStart w:id="145" w:name="_Toc290846270"/>
      <w:bookmarkStart w:id="146" w:name="_Toc291518952"/>
      <w:bookmarkStart w:id="147" w:name="_Toc443381742"/>
      <w:r w:rsidRPr="00681C97">
        <w:t>Evaluator’s overall conclusions on pharmacodynamics</w:t>
      </w:r>
      <w:bookmarkEnd w:id="143"/>
      <w:bookmarkEnd w:id="144"/>
      <w:bookmarkEnd w:id="145"/>
      <w:bookmarkEnd w:id="146"/>
      <w:bookmarkEnd w:id="147"/>
    </w:p>
    <w:p w14:paraId="7180CC3F" w14:textId="77777777" w:rsidR="00681C97" w:rsidRPr="00681C97" w:rsidRDefault="00681C97" w:rsidP="00681C97">
      <w:r w:rsidRPr="00681C97">
        <w:t>Clinical data on PD effects were limited. The DCE-MRI data support the proposed mechanism of action.</w:t>
      </w:r>
    </w:p>
    <w:p w14:paraId="7180CC40" w14:textId="77777777" w:rsidR="00586F98" w:rsidRPr="00052387" w:rsidRDefault="00C22678" w:rsidP="00052387">
      <w:pPr>
        <w:pStyle w:val="Heading2"/>
      </w:pPr>
      <w:bookmarkStart w:id="148" w:name="_Toc443381743"/>
      <w:r w:rsidRPr="00052387">
        <w:t>Dosage selection for the pivotal studies</w:t>
      </w:r>
      <w:bookmarkEnd w:id="148"/>
    </w:p>
    <w:p w14:paraId="7180CC41" w14:textId="77777777" w:rsidR="00681C97" w:rsidRPr="00681C97" w:rsidRDefault="00681C97" w:rsidP="00681C97">
      <w:pPr>
        <w:pStyle w:val="Heading3"/>
      </w:pPr>
      <w:bookmarkStart w:id="149" w:name="_Toc291518954"/>
      <w:bookmarkStart w:id="150" w:name="_Toc443381744"/>
      <w:r w:rsidRPr="00681C97">
        <w:t>Non-small cell lung cancer (NSCLC)</w:t>
      </w:r>
      <w:bookmarkEnd w:id="149"/>
      <w:bookmarkEnd w:id="150"/>
    </w:p>
    <w:p w14:paraId="7180CC42" w14:textId="79459CD4" w:rsidR="00681C97" w:rsidRPr="00227D58" w:rsidRDefault="00681C97" w:rsidP="0057240D">
      <w:r>
        <w:t xml:space="preserve">In a </w:t>
      </w:r>
      <w:r w:rsidR="00094D89">
        <w:t>Phase</w:t>
      </w:r>
      <w:r>
        <w:t xml:space="preserve"> I</w:t>
      </w:r>
      <w:r w:rsidRPr="00681C97">
        <w:t xml:space="preserve"> study (1199.0004) the maximum tolerated dose of </w:t>
      </w:r>
      <w:proofErr w:type="spellStart"/>
      <w:r w:rsidRPr="00681C97">
        <w:t>nintedanib</w:t>
      </w:r>
      <w:proofErr w:type="spellEnd"/>
      <w:r w:rsidRPr="00681C97">
        <w:t>, when given in</w:t>
      </w:r>
      <w:r>
        <w:t xml:space="preserve"> combination with docetaxel </w:t>
      </w:r>
      <w:r w:rsidR="0057240D" w:rsidRPr="00227D58">
        <w:t xml:space="preserve">was 250 mg BD. (However, laboratory results of patients treated at the MTD, including the extension cohort, revealed that 4 additional patients experienced transaminase increases of grade 3 or 4. The recommended dose of </w:t>
      </w:r>
      <w:proofErr w:type="spellStart"/>
      <w:r w:rsidR="0057240D" w:rsidRPr="00227D58">
        <w:t>nintedanib</w:t>
      </w:r>
      <w:proofErr w:type="spellEnd"/>
      <w:r w:rsidR="0057240D" w:rsidRPr="00227D58">
        <w:t xml:space="preserve"> in combination with docetaxel and prednisone was therefore considered to be 200 mg </w:t>
      </w:r>
      <w:r w:rsidR="000F2E3D" w:rsidRPr="00227D58">
        <w:t>BD</w:t>
      </w:r>
      <w:r w:rsidR="00873D3D">
        <w:t>.</w:t>
      </w:r>
    </w:p>
    <w:p w14:paraId="7180CC43" w14:textId="198C296B" w:rsidR="00681C97" w:rsidRPr="00681C97" w:rsidRDefault="00681C97" w:rsidP="00681C97">
      <w:pPr>
        <w:pStyle w:val="Heading3"/>
      </w:pPr>
      <w:bookmarkStart w:id="151" w:name="_Toc291518955"/>
      <w:bookmarkStart w:id="152" w:name="_Toc443381745"/>
      <w:r w:rsidRPr="00681C97">
        <w:t xml:space="preserve">Idiopathic </w:t>
      </w:r>
      <w:r w:rsidR="00053EB0">
        <w:t>p</w:t>
      </w:r>
      <w:r w:rsidRPr="00681C97">
        <w:t xml:space="preserve">ulmonary </w:t>
      </w:r>
      <w:r w:rsidR="00053EB0">
        <w:t>f</w:t>
      </w:r>
      <w:r w:rsidRPr="00681C97">
        <w:t>ibrosis (IPF)</w:t>
      </w:r>
      <w:bookmarkEnd w:id="151"/>
      <w:bookmarkEnd w:id="152"/>
    </w:p>
    <w:p w14:paraId="7180CC44" w14:textId="77777777" w:rsidR="00681C97" w:rsidRDefault="00681C97" w:rsidP="00681C97">
      <w:r w:rsidRPr="00681C97">
        <w:t>In</w:t>
      </w:r>
      <w:r w:rsidR="001A1B15">
        <w:t xml:space="preserve"> a </w:t>
      </w:r>
      <w:r w:rsidR="00094D89">
        <w:t>Phase</w:t>
      </w:r>
      <w:r w:rsidR="001A1B15">
        <w:t xml:space="preserve"> </w:t>
      </w:r>
      <w:r>
        <w:t>II</w:t>
      </w:r>
      <w:r w:rsidRPr="00681C97">
        <w:t xml:space="preserve"> study (1199.0030) a dose of 150 mg BD was found to produce beneficial effects on FVC. Lower doses did not show such beneficial effects. Higher doses have not been studied.</w:t>
      </w:r>
    </w:p>
    <w:p w14:paraId="7180CC45" w14:textId="77777777" w:rsidR="00C22678" w:rsidRPr="00052387" w:rsidRDefault="00C22678" w:rsidP="00052387">
      <w:pPr>
        <w:pStyle w:val="Heading2"/>
      </w:pPr>
      <w:bookmarkStart w:id="153" w:name="_Toc443381746"/>
      <w:r w:rsidRPr="00052387">
        <w:t>Clinical efficacy</w:t>
      </w:r>
      <w:bookmarkEnd w:id="153"/>
    </w:p>
    <w:p w14:paraId="7180CC46" w14:textId="77777777" w:rsidR="001A1B15" w:rsidRPr="001A1B15" w:rsidRDefault="001A1B15" w:rsidP="001A1B15">
      <w:pPr>
        <w:pStyle w:val="Heading3"/>
      </w:pPr>
      <w:bookmarkStart w:id="154" w:name="_Toc291518957"/>
      <w:bookmarkStart w:id="155" w:name="_Toc443381747"/>
      <w:r w:rsidRPr="001A1B15">
        <w:t>Non-small cell lung cancer (NSCLC)</w:t>
      </w:r>
      <w:bookmarkEnd w:id="154"/>
      <w:bookmarkEnd w:id="155"/>
    </w:p>
    <w:p w14:paraId="7180CC47" w14:textId="77777777" w:rsidR="001A1B15" w:rsidRPr="001A1B15" w:rsidRDefault="001A1B15" w:rsidP="001A1B15">
      <w:pPr>
        <w:pStyle w:val="Heading4"/>
      </w:pPr>
      <w:bookmarkStart w:id="156" w:name="_Ref271037274"/>
      <w:bookmarkStart w:id="157" w:name="_Toc272414652"/>
      <w:bookmarkStart w:id="158" w:name="_Toc290846274"/>
      <w:bookmarkStart w:id="159" w:name="_Toc291518958"/>
      <w:r w:rsidRPr="001A1B15">
        <w:t>Pivotal efficacy stud</w:t>
      </w:r>
      <w:bookmarkEnd w:id="156"/>
      <w:bookmarkEnd w:id="157"/>
      <w:bookmarkEnd w:id="158"/>
      <w:r w:rsidRPr="001A1B15">
        <w:t>y</w:t>
      </w:r>
      <w:bookmarkEnd w:id="159"/>
    </w:p>
    <w:p w14:paraId="7180CC48" w14:textId="77777777" w:rsidR="001A1B15" w:rsidRPr="001A1B15" w:rsidRDefault="001A1B15" w:rsidP="001A1B15">
      <w:pPr>
        <w:pStyle w:val="Heading5"/>
      </w:pPr>
      <w:bookmarkStart w:id="160" w:name="_Ref243301615"/>
      <w:bookmarkStart w:id="161" w:name="_Ref271040927"/>
      <w:bookmarkStart w:id="162" w:name="_Ref271040932"/>
      <w:bookmarkStart w:id="163" w:name="_Toc272414653"/>
      <w:bookmarkStart w:id="164" w:name="_Toc290846275"/>
      <w:bookmarkStart w:id="165" w:name="_Toc291518959"/>
      <w:r w:rsidRPr="001A1B15">
        <w:t xml:space="preserve">Study </w:t>
      </w:r>
      <w:bookmarkEnd w:id="160"/>
      <w:bookmarkEnd w:id="161"/>
      <w:bookmarkEnd w:id="162"/>
      <w:bookmarkEnd w:id="163"/>
      <w:bookmarkEnd w:id="164"/>
      <w:r w:rsidRPr="001A1B15">
        <w:t>1199.0013 (‘LUME-Lung 1’)</w:t>
      </w:r>
      <w:bookmarkEnd w:id="165"/>
    </w:p>
    <w:p w14:paraId="7180CC49" w14:textId="77777777" w:rsidR="001A1B15" w:rsidRPr="001A1B15" w:rsidRDefault="001A1B15" w:rsidP="001A1B15">
      <w:pPr>
        <w:pStyle w:val="Heading6"/>
      </w:pPr>
      <w:r w:rsidRPr="001A1B15">
        <w:t>Study design, objectives, locations and dates</w:t>
      </w:r>
    </w:p>
    <w:p w14:paraId="7180CC4A" w14:textId="77777777" w:rsidR="001A1B15" w:rsidRPr="001A1B15" w:rsidRDefault="001A1B15" w:rsidP="001A1B15">
      <w:r w:rsidRPr="001A1B15">
        <w:t xml:space="preserve">This study was a randomised, double bind, </w:t>
      </w:r>
      <w:r w:rsidR="004A0845">
        <w:t>placebo controlled</w:t>
      </w:r>
      <w:r w:rsidRPr="001A1B15">
        <w:t xml:space="preserve"> </w:t>
      </w:r>
      <w:r>
        <w:t>trial with two parallel groups.</w:t>
      </w:r>
    </w:p>
    <w:p w14:paraId="7180CC4B" w14:textId="77777777" w:rsidR="001A1B15" w:rsidRPr="001A1B15" w:rsidRDefault="001A1B15" w:rsidP="001A1B15">
      <w:r w:rsidRPr="001A1B15">
        <w:t xml:space="preserve">The primary objective was to evaluate whether </w:t>
      </w:r>
      <w:proofErr w:type="spellStart"/>
      <w:r w:rsidRPr="001A1B15">
        <w:t>nintedanib</w:t>
      </w:r>
      <w:proofErr w:type="spellEnd"/>
      <w:r w:rsidRPr="001A1B15">
        <w:t xml:space="preserve"> in combination with docetaxel is more effective than placebo in combination with docetaxel in patients with stage IIIB/IV or </w:t>
      </w:r>
      <w:r w:rsidRPr="001A1B15">
        <w:lastRenderedPageBreak/>
        <w:t xml:space="preserve">recurrent NSCLC after failure of </w:t>
      </w:r>
      <w:r w:rsidR="00383820">
        <w:t>first line</w:t>
      </w:r>
      <w:r w:rsidRPr="001A1B15">
        <w:t xml:space="preserve"> chemotherapy. A secondary aim was to obtain safety information of patients treated with </w:t>
      </w:r>
      <w:proofErr w:type="spellStart"/>
      <w:r w:rsidRPr="001A1B15">
        <w:t>nintedanib</w:t>
      </w:r>
      <w:proofErr w:type="spellEnd"/>
      <w:r w:rsidRPr="001A1B15">
        <w:t xml:space="preserve"> in combination with docetaxel.</w:t>
      </w:r>
    </w:p>
    <w:p w14:paraId="7180CC4C" w14:textId="77777777" w:rsidR="001A1B15" w:rsidRPr="001A1B15" w:rsidRDefault="001A1B15" w:rsidP="001A1B15">
      <w:r w:rsidRPr="001A1B15">
        <w:t>The trial was conducted in 211 centre</w:t>
      </w:r>
      <w:r w:rsidR="004A0845">
        <w:t xml:space="preserve">s in 27 countries; </w:t>
      </w:r>
      <w:r w:rsidRPr="001A1B15">
        <w:t>162 in Europe (75.0% of randomised subjects), 42 in Asia (23.4%</w:t>
      </w:r>
      <w:r w:rsidR="004A0845">
        <w:t xml:space="preserve">) and 7 in South Africa (1.6%). </w:t>
      </w:r>
      <w:r w:rsidRPr="001A1B15">
        <w:t>The study commenced in December 2008. Two study reports were provided:</w:t>
      </w:r>
    </w:p>
    <w:p w14:paraId="7180CC4D" w14:textId="77777777" w:rsidR="001A1B15" w:rsidRPr="001A1B15" w:rsidRDefault="001A1B15" w:rsidP="001A1B15">
      <w:pPr>
        <w:pStyle w:val="ListBullet"/>
      </w:pPr>
      <w:r w:rsidRPr="001A1B15">
        <w:t xml:space="preserve">An initial report that provided results of the primary analysis of progression-free </w:t>
      </w:r>
      <w:r w:rsidR="004A0845">
        <w:t xml:space="preserve">survival. The dates of data cut </w:t>
      </w:r>
      <w:r w:rsidRPr="001A1B15">
        <w:t>off for this report were 2 November 2010 for efficacy data and 20 April 2011 for safety data. The rep</w:t>
      </w:r>
      <w:r w:rsidR="004A0845">
        <w:t>ort was dated 19 September 2012.</w:t>
      </w:r>
    </w:p>
    <w:p w14:paraId="7180CC4E" w14:textId="77777777" w:rsidR="001A1B15" w:rsidRDefault="001A1B15" w:rsidP="001A1B15">
      <w:pPr>
        <w:pStyle w:val="ListBullet"/>
      </w:pPr>
      <w:r w:rsidRPr="001A1B15">
        <w:t>A follow-up report of the final overall survival analysis. The date of data</w:t>
      </w:r>
      <w:r w:rsidR="004A0845">
        <w:t xml:space="preserve"> cut </w:t>
      </w:r>
      <w:r w:rsidRPr="001A1B15">
        <w:t>off for this report was 15 February 2013. The report was dated 26 August 2013.</w:t>
      </w:r>
    </w:p>
    <w:p w14:paraId="7180CC4F" w14:textId="77777777" w:rsidR="001A1B15" w:rsidRDefault="001A1B15" w:rsidP="001A1B15">
      <w:r w:rsidRPr="001A1B15">
        <w:t>The study has been published</w:t>
      </w:r>
      <w:r w:rsidR="00711FC2">
        <w:t xml:space="preserve"> (10</w:t>
      </w:r>
      <w:r w:rsidR="004A0845">
        <w:t>)</w:t>
      </w:r>
      <w:r w:rsidR="00711FC2">
        <w:t>.</w:t>
      </w:r>
    </w:p>
    <w:p w14:paraId="7180CC50" w14:textId="77777777" w:rsidR="001A1B15" w:rsidRPr="001A1B15" w:rsidRDefault="001A1B15" w:rsidP="001A1B15">
      <w:pPr>
        <w:pStyle w:val="Heading6"/>
      </w:pPr>
      <w:r w:rsidRPr="001A1B15">
        <w:t>Inclusion and exclusion criteria</w:t>
      </w:r>
    </w:p>
    <w:p w14:paraId="7180CC51" w14:textId="77777777" w:rsidR="001A1B15" w:rsidRDefault="001A1B15" w:rsidP="001A1B15">
      <w:r w:rsidRPr="001A1B15">
        <w:t xml:space="preserve">Inclusion criteria for the study are listed in </w:t>
      </w:r>
      <w:r w:rsidR="00B35243">
        <w:t xml:space="preserve">Table 7 </w:t>
      </w:r>
      <w:r w:rsidRPr="001A1B15">
        <w:t xml:space="preserve">and exclusion criteria in </w:t>
      </w:r>
      <w:r w:rsidR="00B35243" w:rsidRPr="00B54A34">
        <w:t>Table 8</w:t>
      </w:r>
      <w:r w:rsidRPr="00B54A34">
        <w:t>.</w:t>
      </w:r>
    </w:p>
    <w:p w14:paraId="7180CC52" w14:textId="77777777" w:rsidR="004A0845" w:rsidRDefault="00B35243" w:rsidP="00081C12">
      <w:pPr>
        <w:pStyle w:val="Tabletitle"/>
      </w:pPr>
      <w:proofErr w:type="gramStart"/>
      <w:r>
        <w:t xml:space="preserve">Table </w:t>
      </w:r>
      <w:r w:rsidR="004A0845">
        <w:t>7.</w:t>
      </w:r>
      <w:proofErr w:type="gramEnd"/>
      <w:r w:rsidR="004A0845">
        <w:t xml:space="preserve"> Inclusion criteria for </w:t>
      </w:r>
      <w:r w:rsidR="00D4340F">
        <w:t>Study</w:t>
      </w:r>
      <w:r w:rsidR="004A0845">
        <w:t xml:space="preserve"> </w:t>
      </w:r>
      <w:r w:rsidR="004A0845" w:rsidRPr="004A0845">
        <w:t>1199.0013</w:t>
      </w:r>
    </w:p>
    <w:tbl>
      <w:tblPr>
        <w:tblStyle w:val="TableGrid"/>
        <w:tblW w:w="0" w:type="auto"/>
        <w:tblLook w:val="04A0" w:firstRow="1" w:lastRow="0" w:firstColumn="1" w:lastColumn="0" w:noHBand="0" w:noVBand="1"/>
      </w:tblPr>
      <w:tblGrid>
        <w:gridCol w:w="7696"/>
      </w:tblGrid>
      <w:tr w:rsidR="00482C31" w:rsidRPr="00053EB0" w14:paraId="7180CC54" w14:textId="77777777" w:rsidTr="00053EB0">
        <w:trPr>
          <w:trHeight w:val="450"/>
        </w:trPr>
        <w:tc>
          <w:tcPr>
            <w:tcW w:w="7696" w:type="dxa"/>
          </w:tcPr>
          <w:p w14:paraId="7180CC53" w14:textId="77777777" w:rsidR="00482C31" w:rsidRPr="00053EB0" w:rsidRDefault="00482C31" w:rsidP="00053EB0">
            <w:pPr>
              <w:rPr>
                <w:sz w:val="20"/>
                <w:szCs w:val="20"/>
              </w:rPr>
            </w:pPr>
            <w:r w:rsidRPr="00053EB0">
              <w:rPr>
                <w:sz w:val="20"/>
                <w:szCs w:val="20"/>
              </w:rPr>
              <w:t>Male or female patient aged 18 years or older</w:t>
            </w:r>
          </w:p>
        </w:tc>
      </w:tr>
      <w:tr w:rsidR="00482C31" w:rsidRPr="00053EB0" w14:paraId="7180CC56" w14:textId="77777777" w:rsidTr="00053EB0">
        <w:trPr>
          <w:trHeight w:val="450"/>
        </w:trPr>
        <w:tc>
          <w:tcPr>
            <w:tcW w:w="7696" w:type="dxa"/>
          </w:tcPr>
          <w:p w14:paraId="7180CC55" w14:textId="77777777" w:rsidR="00482C31" w:rsidRPr="00053EB0" w:rsidRDefault="00482C31" w:rsidP="00053EB0">
            <w:pPr>
              <w:rPr>
                <w:sz w:val="20"/>
                <w:szCs w:val="20"/>
              </w:rPr>
            </w:pPr>
            <w:r w:rsidRPr="00053EB0">
              <w:rPr>
                <w:sz w:val="20"/>
                <w:szCs w:val="20"/>
              </w:rPr>
              <w:t xml:space="preserve">Histologically or </w:t>
            </w:r>
            <w:proofErr w:type="spellStart"/>
            <w:r w:rsidRPr="00053EB0">
              <w:rPr>
                <w:sz w:val="20"/>
                <w:szCs w:val="20"/>
              </w:rPr>
              <w:t>cytologically</w:t>
            </w:r>
            <w:proofErr w:type="spellEnd"/>
            <w:r w:rsidRPr="00053EB0">
              <w:rPr>
                <w:sz w:val="20"/>
                <w:szCs w:val="20"/>
              </w:rPr>
              <w:t xml:space="preserve"> confirmed, locally advanced and/or metastatic NSCLC of stage IIIB or IV ( according to American Joint Committee on Cancers (AJCC) or recurrent NSCLC (all </w:t>
            </w:r>
            <w:proofErr w:type="spellStart"/>
            <w:r w:rsidRPr="00053EB0">
              <w:rPr>
                <w:sz w:val="20"/>
                <w:szCs w:val="20"/>
              </w:rPr>
              <w:t>histologies</w:t>
            </w:r>
            <w:proofErr w:type="spellEnd"/>
            <w:r w:rsidRPr="00053EB0">
              <w:rPr>
                <w:sz w:val="20"/>
                <w:szCs w:val="20"/>
              </w:rPr>
              <w:t>)</w:t>
            </w:r>
          </w:p>
        </w:tc>
      </w:tr>
      <w:tr w:rsidR="00482C31" w:rsidRPr="00053EB0" w14:paraId="7180CC58" w14:textId="77777777" w:rsidTr="00053EB0">
        <w:trPr>
          <w:trHeight w:val="450"/>
        </w:trPr>
        <w:tc>
          <w:tcPr>
            <w:tcW w:w="7696" w:type="dxa"/>
          </w:tcPr>
          <w:p w14:paraId="7180CC57" w14:textId="77777777" w:rsidR="00482C31" w:rsidRPr="00053EB0" w:rsidRDefault="00482C31" w:rsidP="00053EB0">
            <w:pPr>
              <w:rPr>
                <w:sz w:val="20"/>
                <w:szCs w:val="20"/>
              </w:rPr>
            </w:pPr>
            <w:r w:rsidRPr="00053EB0">
              <w:rPr>
                <w:sz w:val="20"/>
                <w:szCs w:val="20"/>
              </w:rPr>
              <w:t>Relapse or failure of 1 first line prior chemotherapy (in the case of recurrent disease one additional prior regimen was allowed for adjuvant, neoadjuvant or neoadjuvant plus adjuvant therapy)</w:t>
            </w:r>
          </w:p>
        </w:tc>
      </w:tr>
      <w:tr w:rsidR="00482C31" w:rsidRPr="00053EB0" w14:paraId="7180CC5A" w14:textId="77777777" w:rsidTr="00053EB0">
        <w:trPr>
          <w:trHeight w:val="450"/>
        </w:trPr>
        <w:tc>
          <w:tcPr>
            <w:tcW w:w="7696" w:type="dxa"/>
          </w:tcPr>
          <w:p w14:paraId="7180CC59" w14:textId="77777777" w:rsidR="00482C31" w:rsidRPr="00053EB0" w:rsidRDefault="00482C31" w:rsidP="00053EB0">
            <w:pPr>
              <w:rPr>
                <w:sz w:val="20"/>
                <w:szCs w:val="20"/>
              </w:rPr>
            </w:pPr>
            <w:r w:rsidRPr="00053EB0">
              <w:rPr>
                <w:sz w:val="20"/>
                <w:szCs w:val="20"/>
              </w:rPr>
              <w:t xml:space="preserve">At least 1 target tumour lesion that had not been irradiated within the past 3 months and that could accurately be measured by magnetic resonance imaging (MRI) or CT in at least 1 dimension (longest diameter to be recorded) as </w:t>
            </w:r>
            <w:r w:rsidR="00081C12" w:rsidRPr="00053EB0">
              <w:rPr>
                <w:sz w:val="20"/>
                <w:szCs w:val="20"/>
              </w:rPr>
              <w:t xml:space="preserve">≥ 20 mm with conventional techniques or as </w:t>
            </w:r>
            <w:r w:rsidR="00711FC2" w:rsidRPr="00053EB0">
              <w:rPr>
                <w:sz w:val="20"/>
                <w:szCs w:val="20"/>
              </w:rPr>
              <w:t>≥</w:t>
            </w:r>
            <w:r w:rsidR="00081C12" w:rsidRPr="00053EB0">
              <w:rPr>
                <w:sz w:val="20"/>
                <w:szCs w:val="20"/>
              </w:rPr>
              <w:t xml:space="preserve"> 10 mm with spiral CT</w:t>
            </w:r>
          </w:p>
        </w:tc>
      </w:tr>
      <w:tr w:rsidR="00482C31" w:rsidRPr="00053EB0" w14:paraId="7180CC5C" w14:textId="77777777" w:rsidTr="00053EB0">
        <w:trPr>
          <w:trHeight w:val="450"/>
        </w:trPr>
        <w:tc>
          <w:tcPr>
            <w:tcW w:w="7696" w:type="dxa"/>
          </w:tcPr>
          <w:p w14:paraId="7180CC5B" w14:textId="77777777" w:rsidR="00482C31" w:rsidRPr="00053EB0" w:rsidRDefault="00081C12" w:rsidP="00053EB0">
            <w:pPr>
              <w:rPr>
                <w:sz w:val="20"/>
                <w:szCs w:val="20"/>
              </w:rPr>
            </w:pPr>
            <w:r w:rsidRPr="00053EB0">
              <w:rPr>
                <w:sz w:val="20"/>
                <w:szCs w:val="20"/>
              </w:rPr>
              <w:t>Life expectancy of at least 3 months</w:t>
            </w:r>
          </w:p>
        </w:tc>
      </w:tr>
      <w:tr w:rsidR="00482C31" w:rsidRPr="00053EB0" w14:paraId="7180CC5E" w14:textId="77777777" w:rsidTr="00053EB0">
        <w:trPr>
          <w:trHeight w:val="450"/>
        </w:trPr>
        <w:tc>
          <w:tcPr>
            <w:tcW w:w="7696" w:type="dxa"/>
          </w:tcPr>
          <w:p w14:paraId="7180CC5D" w14:textId="77777777" w:rsidR="00482C31" w:rsidRPr="00053EB0" w:rsidRDefault="00081C12" w:rsidP="00053EB0">
            <w:pPr>
              <w:rPr>
                <w:sz w:val="20"/>
                <w:szCs w:val="20"/>
              </w:rPr>
            </w:pPr>
            <w:r w:rsidRPr="00053EB0">
              <w:rPr>
                <w:sz w:val="20"/>
                <w:szCs w:val="20"/>
              </w:rPr>
              <w:t>ECOG PS of 0 or 1</w:t>
            </w:r>
          </w:p>
        </w:tc>
      </w:tr>
      <w:tr w:rsidR="00482C31" w:rsidRPr="00053EB0" w14:paraId="7180CC60" w14:textId="77777777" w:rsidTr="00053EB0">
        <w:trPr>
          <w:trHeight w:val="176"/>
        </w:trPr>
        <w:tc>
          <w:tcPr>
            <w:tcW w:w="7696" w:type="dxa"/>
          </w:tcPr>
          <w:p w14:paraId="7180CC5F" w14:textId="77777777" w:rsidR="00482C31" w:rsidRPr="00053EB0" w:rsidRDefault="00081C12" w:rsidP="00053EB0">
            <w:pPr>
              <w:rPr>
                <w:sz w:val="20"/>
                <w:szCs w:val="20"/>
              </w:rPr>
            </w:pPr>
            <w:r w:rsidRPr="00053EB0">
              <w:rPr>
                <w:sz w:val="20"/>
                <w:szCs w:val="20"/>
              </w:rPr>
              <w:t>Patient had given written informed consent which must be consistent with international conference on harmonisation – good clinical practice (ICH-GCP) and local legislation.</w:t>
            </w:r>
          </w:p>
        </w:tc>
      </w:tr>
    </w:tbl>
    <w:p w14:paraId="7180CC61" w14:textId="77777777" w:rsidR="00482C31" w:rsidRDefault="00B35243" w:rsidP="00053EB0">
      <w:pPr>
        <w:pStyle w:val="Tabletitle"/>
        <w:pageBreakBefore/>
      </w:pPr>
      <w:proofErr w:type="gramStart"/>
      <w:r>
        <w:lastRenderedPageBreak/>
        <w:t xml:space="preserve">Table </w:t>
      </w:r>
      <w:r w:rsidR="00081C12">
        <w:t>8.</w:t>
      </w:r>
      <w:proofErr w:type="gramEnd"/>
      <w:r w:rsidR="00081C12">
        <w:t xml:space="preserve"> Exclusion criteria for </w:t>
      </w:r>
      <w:r w:rsidR="00D4340F">
        <w:t>Study</w:t>
      </w:r>
      <w:r w:rsidR="00081C12">
        <w:t xml:space="preserve"> 1199.0013</w:t>
      </w:r>
    </w:p>
    <w:tbl>
      <w:tblPr>
        <w:tblStyle w:val="TableGrid"/>
        <w:tblW w:w="0" w:type="auto"/>
        <w:tblLook w:val="04A0" w:firstRow="1" w:lastRow="0" w:firstColumn="1" w:lastColumn="0" w:noHBand="0" w:noVBand="1"/>
      </w:tblPr>
      <w:tblGrid>
        <w:gridCol w:w="7655"/>
      </w:tblGrid>
      <w:tr w:rsidR="00081C12" w:rsidRPr="00053EB0" w14:paraId="7180CC63" w14:textId="77777777" w:rsidTr="00053EB0">
        <w:trPr>
          <w:trHeight w:val="121"/>
        </w:trPr>
        <w:tc>
          <w:tcPr>
            <w:tcW w:w="7655" w:type="dxa"/>
          </w:tcPr>
          <w:p w14:paraId="7180CC62" w14:textId="77777777" w:rsidR="00081C12" w:rsidRPr="00053EB0" w:rsidRDefault="00081C12" w:rsidP="00053EB0">
            <w:pPr>
              <w:rPr>
                <w:sz w:val="20"/>
                <w:szCs w:val="20"/>
              </w:rPr>
            </w:pPr>
            <w:r w:rsidRPr="00053EB0">
              <w:rPr>
                <w:sz w:val="20"/>
                <w:szCs w:val="20"/>
              </w:rPr>
              <w:t>More than 1 prior chemotherapy regimen fo</w:t>
            </w:r>
            <w:r w:rsidR="00FE4616" w:rsidRPr="00053EB0">
              <w:rPr>
                <w:sz w:val="20"/>
                <w:szCs w:val="20"/>
              </w:rPr>
              <w:t xml:space="preserve">r advanced and/or metastatic or </w:t>
            </w:r>
            <w:r w:rsidRPr="00053EB0">
              <w:rPr>
                <w:sz w:val="20"/>
                <w:szCs w:val="20"/>
              </w:rPr>
              <w:t>recurrent NSCLC</w:t>
            </w:r>
          </w:p>
        </w:tc>
      </w:tr>
      <w:tr w:rsidR="00081C12" w:rsidRPr="00053EB0" w14:paraId="7180CC65" w14:textId="77777777" w:rsidTr="00053EB0">
        <w:trPr>
          <w:trHeight w:val="121"/>
        </w:trPr>
        <w:tc>
          <w:tcPr>
            <w:tcW w:w="7655" w:type="dxa"/>
          </w:tcPr>
          <w:p w14:paraId="7180CC64" w14:textId="77777777" w:rsidR="00081C12" w:rsidRPr="00053EB0" w:rsidRDefault="00FE4616" w:rsidP="00053EB0">
            <w:pPr>
              <w:rPr>
                <w:sz w:val="20"/>
                <w:szCs w:val="20"/>
              </w:rPr>
            </w:pPr>
            <w:r w:rsidRPr="00053EB0">
              <w:rPr>
                <w:sz w:val="20"/>
                <w:szCs w:val="20"/>
              </w:rPr>
              <w:t>More than 1 chemotherapy treatment regimen (either neoadjuvant or adjuvant or neoadjuvant plus adjuvant) prior to first-line chemotherapy of advanced and/or metastatic or recurrent NSCLC</w:t>
            </w:r>
          </w:p>
        </w:tc>
      </w:tr>
      <w:tr w:rsidR="00081C12" w:rsidRPr="00053EB0" w14:paraId="7180CC67" w14:textId="77777777" w:rsidTr="00053EB0">
        <w:trPr>
          <w:trHeight w:val="121"/>
        </w:trPr>
        <w:tc>
          <w:tcPr>
            <w:tcW w:w="7655" w:type="dxa"/>
          </w:tcPr>
          <w:p w14:paraId="7180CC66" w14:textId="77777777" w:rsidR="00081C12" w:rsidRPr="00053EB0" w:rsidRDefault="00FE4616" w:rsidP="00053EB0">
            <w:pPr>
              <w:rPr>
                <w:sz w:val="20"/>
                <w:szCs w:val="20"/>
              </w:rPr>
            </w:pPr>
            <w:r w:rsidRPr="00053EB0">
              <w:rPr>
                <w:sz w:val="20"/>
                <w:szCs w:val="20"/>
              </w:rPr>
              <w:t>Previous therapy with other VEGFR inhibitors (other than bevacizumab) or docetaxel for treatment of NSCLC</w:t>
            </w:r>
          </w:p>
        </w:tc>
      </w:tr>
      <w:tr w:rsidR="00081C12" w:rsidRPr="00053EB0" w14:paraId="7180CC69" w14:textId="77777777" w:rsidTr="00053EB0">
        <w:trPr>
          <w:trHeight w:val="121"/>
        </w:trPr>
        <w:tc>
          <w:tcPr>
            <w:tcW w:w="7655" w:type="dxa"/>
          </w:tcPr>
          <w:p w14:paraId="7180CC68" w14:textId="77777777" w:rsidR="00081C12" w:rsidRPr="00053EB0" w:rsidRDefault="00FE4616" w:rsidP="00053EB0">
            <w:pPr>
              <w:rPr>
                <w:sz w:val="20"/>
                <w:szCs w:val="20"/>
              </w:rPr>
            </w:pPr>
            <w:r w:rsidRPr="00053EB0">
              <w:rPr>
                <w:sz w:val="20"/>
                <w:szCs w:val="20"/>
              </w:rPr>
              <w:t>Persistence of clinically relevant therapy-related toxicities from previous chemotherapy and/or radiotherapy</w:t>
            </w:r>
          </w:p>
        </w:tc>
      </w:tr>
      <w:tr w:rsidR="00081C12" w:rsidRPr="00053EB0" w14:paraId="7180CC6B" w14:textId="77777777" w:rsidTr="00053EB0">
        <w:trPr>
          <w:trHeight w:val="121"/>
        </w:trPr>
        <w:tc>
          <w:tcPr>
            <w:tcW w:w="7655" w:type="dxa"/>
          </w:tcPr>
          <w:p w14:paraId="7180CC6A" w14:textId="77777777" w:rsidR="00081C12" w:rsidRPr="00053EB0" w:rsidRDefault="00FE4616" w:rsidP="00053EB0">
            <w:pPr>
              <w:rPr>
                <w:sz w:val="20"/>
                <w:szCs w:val="20"/>
              </w:rPr>
            </w:pPr>
            <w:r w:rsidRPr="00053EB0">
              <w:rPr>
                <w:sz w:val="20"/>
                <w:szCs w:val="20"/>
              </w:rPr>
              <w:t>Treatment with other investigational drugs or treatment in another clinical trial within the past 4 weeks before start of therapy or concomitantly with this trial</w:t>
            </w:r>
          </w:p>
        </w:tc>
      </w:tr>
      <w:tr w:rsidR="00081C12" w:rsidRPr="00053EB0" w14:paraId="7180CC6E" w14:textId="77777777" w:rsidTr="00053EB0">
        <w:trPr>
          <w:trHeight w:val="121"/>
        </w:trPr>
        <w:tc>
          <w:tcPr>
            <w:tcW w:w="7655" w:type="dxa"/>
          </w:tcPr>
          <w:p w14:paraId="7180CC6C" w14:textId="77777777" w:rsidR="00FE4616" w:rsidRPr="00053EB0" w:rsidRDefault="00FE4616" w:rsidP="00053EB0">
            <w:pPr>
              <w:rPr>
                <w:sz w:val="20"/>
                <w:szCs w:val="20"/>
              </w:rPr>
            </w:pPr>
            <w:r w:rsidRPr="00053EB0">
              <w:rPr>
                <w:sz w:val="20"/>
                <w:szCs w:val="20"/>
              </w:rPr>
              <w:t xml:space="preserve">Chemo-, hormone-, radio- (except for brain and extremities) or immunotherapy or therapy with monoclonal antibodies or small tyrosine kinase inhibitors within the past 4 weeks prior to treatment with the trial drug </w:t>
            </w:r>
            <w:r w:rsidR="00E448CC" w:rsidRPr="00053EB0">
              <w:rPr>
                <w:sz w:val="20"/>
                <w:szCs w:val="20"/>
              </w:rPr>
              <w:t>that is</w:t>
            </w:r>
            <w:r w:rsidRPr="00053EB0">
              <w:rPr>
                <w:sz w:val="20"/>
                <w:szCs w:val="20"/>
              </w:rPr>
              <w:t xml:space="preserve"> the minimum time elapsed since the last anticancer therapy and the first administration of BIBF 1120 was to be 4 weeks.</w:t>
            </w:r>
          </w:p>
          <w:p w14:paraId="7180CC6D" w14:textId="77777777" w:rsidR="00081C12" w:rsidRPr="00053EB0" w:rsidRDefault="00FE4616" w:rsidP="00053EB0">
            <w:pPr>
              <w:rPr>
                <w:sz w:val="20"/>
                <w:szCs w:val="20"/>
              </w:rPr>
            </w:pPr>
            <w:r w:rsidRPr="00053EB0">
              <w:rPr>
                <w:sz w:val="20"/>
                <w:szCs w:val="20"/>
              </w:rPr>
              <w:t>This criterion was changed with Protocol Amendment 1 (dated 15 May 2009): the exception for radiotherapy of the brain was removed, and no radiotherapy of the brain was permitted within 4 weeks prior to the first administration of BIBF 1120.</w:t>
            </w:r>
          </w:p>
        </w:tc>
      </w:tr>
      <w:tr w:rsidR="00081C12" w:rsidRPr="00053EB0" w14:paraId="7180CC70" w14:textId="77777777" w:rsidTr="00053EB0">
        <w:trPr>
          <w:trHeight w:val="121"/>
        </w:trPr>
        <w:tc>
          <w:tcPr>
            <w:tcW w:w="7655" w:type="dxa"/>
          </w:tcPr>
          <w:p w14:paraId="7180CC6F" w14:textId="77777777" w:rsidR="00081C12" w:rsidRPr="00053EB0" w:rsidRDefault="00FE4616" w:rsidP="00053EB0">
            <w:pPr>
              <w:rPr>
                <w:sz w:val="20"/>
                <w:szCs w:val="20"/>
              </w:rPr>
            </w:pPr>
            <w:r w:rsidRPr="00053EB0">
              <w:rPr>
                <w:sz w:val="20"/>
                <w:szCs w:val="20"/>
              </w:rPr>
              <w:t>Radiotherapy (except extremities and brain) within the past 3 months prior to baseline imaging</w:t>
            </w:r>
          </w:p>
        </w:tc>
      </w:tr>
      <w:tr w:rsidR="00081C12" w:rsidRPr="00053EB0" w14:paraId="7180CC72" w14:textId="77777777" w:rsidTr="00053EB0">
        <w:trPr>
          <w:trHeight w:val="406"/>
        </w:trPr>
        <w:tc>
          <w:tcPr>
            <w:tcW w:w="7655" w:type="dxa"/>
          </w:tcPr>
          <w:p w14:paraId="7180CC71" w14:textId="77777777" w:rsidR="00081C12" w:rsidRPr="00053EB0" w:rsidRDefault="00FE4616" w:rsidP="00053EB0">
            <w:pPr>
              <w:rPr>
                <w:sz w:val="20"/>
                <w:szCs w:val="20"/>
              </w:rPr>
            </w:pPr>
            <w:r w:rsidRPr="00053EB0">
              <w:rPr>
                <w:sz w:val="20"/>
                <w:szCs w:val="20"/>
              </w:rPr>
              <w:t>Active brain metastases (</w:t>
            </w:r>
            <w:r w:rsidR="00711FC2" w:rsidRPr="00053EB0">
              <w:rPr>
                <w:sz w:val="20"/>
                <w:szCs w:val="20"/>
              </w:rPr>
              <w:t>for example,</w:t>
            </w:r>
            <w:r w:rsidRPr="00053EB0">
              <w:rPr>
                <w:sz w:val="20"/>
                <w:szCs w:val="20"/>
              </w:rPr>
              <w:t xml:space="preserve"> stable for &lt;</w:t>
            </w:r>
            <w:r w:rsidR="00711FC2" w:rsidRPr="00053EB0">
              <w:rPr>
                <w:sz w:val="20"/>
                <w:szCs w:val="20"/>
              </w:rPr>
              <w:t xml:space="preserve"> </w:t>
            </w:r>
            <w:r w:rsidRPr="00053EB0">
              <w:rPr>
                <w:sz w:val="20"/>
                <w:szCs w:val="20"/>
              </w:rPr>
              <w:t>4 weeks, no adequate previous treatment with radiotherapy, symptomatic, requiring treatment with anti-</w:t>
            </w:r>
            <w:proofErr w:type="spellStart"/>
            <w:r w:rsidRPr="00053EB0">
              <w:rPr>
                <w:sz w:val="20"/>
                <w:szCs w:val="20"/>
              </w:rPr>
              <w:t>convulsants</w:t>
            </w:r>
            <w:proofErr w:type="spellEnd"/>
            <w:r w:rsidRPr="00053EB0">
              <w:rPr>
                <w:sz w:val="20"/>
                <w:szCs w:val="20"/>
              </w:rPr>
              <w:t>; dexamethasone therapy was allowed if administered as stable dose for at least 1 month before randomisation) or leptomeningeal disease</w:t>
            </w:r>
          </w:p>
        </w:tc>
      </w:tr>
      <w:tr w:rsidR="00081C12" w:rsidRPr="00053EB0" w14:paraId="7180CC74" w14:textId="77777777" w:rsidTr="00053EB0">
        <w:trPr>
          <w:trHeight w:val="415"/>
        </w:trPr>
        <w:tc>
          <w:tcPr>
            <w:tcW w:w="7655" w:type="dxa"/>
          </w:tcPr>
          <w:p w14:paraId="7180CC73" w14:textId="77777777" w:rsidR="00081C12" w:rsidRPr="00053EB0" w:rsidRDefault="00FE4616" w:rsidP="00053EB0">
            <w:pPr>
              <w:rPr>
                <w:sz w:val="20"/>
                <w:szCs w:val="20"/>
              </w:rPr>
            </w:pPr>
            <w:r w:rsidRPr="00053EB0">
              <w:rPr>
                <w:sz w:val="20"/>
                <w:szCs w:val="20"/>
              </w:rPr>
              <w:t xml:space="preserve">Radiographic evidence of </w:t>
            </w:r>
            <w:proofErr w:type="spellStart"/>
            <w:r w:rsidRPr="00053EB0">
              <w:rPr>
                <w:sz w:val="20"/>
                <w:szCs w:val="20"/>
              </w:rPr>
              <w:t>cavitary</w:t>
            </w:r>
            <w:proofErr w:type="spellEnd"/>
            <w:r w:rsidRPr="00053EB0">
              <w:rPr>
                <w:sz w:val="20"/>
                <w:szCs w:val="20"/>
              </w:rPr>
              <w:t xml:space="preserve"> or necrotic tumours</w:t>
            </w:r>
          </w:p>
        </w:tc>
      </w:tr>
      <w:tr w:rsidR="00081C12" w:rsidRPr="00053EB0" w14:paraId="7180CC76" w14:textId="77777777" w:rsidTr="00053EB0">
        <w:trPr>
          <w:trHeight w:val="406"/>
        </w:trPr>
        <w:tc>
          <w:tcPr>
            <w:tcW w:w="7655" w:type="dxa"/>
          </w:tcPr>
          <w:p w14:paraId="7180CC75" w14:textId="77777777" w:rsidR="00081C12" w:rsidRPr="00053EB0" w:rsidRDefault="00FE4616" w:rsidP="00053EB0">
            <w:pPr>
              <w:rPr>
                <w:sz w:val="20"/>
                <w:szCs w:val="20"/>
              </w:rPr>
            </w:pPr>
            <w:r w:rsidRPr="00053EB0">
              <w:rPr>
                <w:sz w:val="20"/>
                <w:szCs w:val="20"/>
              </w:rPr>
              <w:t>Centrally located tumours with radiographic evidence (CT or MRI) of local invasion of major blood vessels</w:t>
            </w:r>
          </w:p>
        </w:tc>
      </w:tr>
      <w:tr w:rsidR="00081C12" w:rsidRPr="00053EB0" w14:paraId="7180CC78" w14:textId="77777777" w:rsidTr="00053EB0">
        <w:trPr>
          <w:trHeight w:val="406"/>
        </w:trPr>
        <w:tc>
          <w:tcPr>
            <w:tcW w:w="7655" w:type="dxa"/>
          </w:tcPr>
          <w:p w14:paraId="7180CC77" w14:textId="77777777" w:rsidR="00081C12" w:rsidRPr="00053EB0" w:rsidRDefault="00FE4616" w:rsidP="00053EB0">
            <w:pPr>
              <w:rPr>
                <w:sz w:val="20"/>
                <w:szCs w:val="20"/>
              </w:rPr>
            </w:pPr>
            <w:r w:rsidRPr="00053EB0">
              <w:rPr>
                <w:sz w:val="20"/>
                <w:szCs w:val="20"/>
              </w:rPr>
              <w:t>History of clinically significant haemoptysis within the past 3 months (more than 1 tea spoon of fresh blood per day)</w:t>
            </w:r>
          </w:p>
        </w:tc>
      </w:tr>
      <w:tr w:rsidR="00081C12" w:rsidRPr="00053EB0" w14:paraId="7180CC7A" w14:textId="77777777" w:rsidTr="00053EB0">
        <w:trPr>
          <w:trHeight w:val="406"/>
        </w:trPr>
        <w:tc>
          <w:tcPr>
            <w:tcW w:w="7655" w:type="dxa"/>
          </w:tcPr>
          <w:p w14:paraId="7180CC79" w14:textId="77777777" w:rsidR="00081C12" w:rsidRPr="00053EB0" w:rsidRDefault="00FE4616" w:rsidP="00053EB0">
            <w:pPr>
              <w:rPr>
                <w:sz w:val="20"/>
                <w:szCs w:val="20"/>
              </w:rPr>
            </w:pPr>
            <w:r w:rsidRPr="00053EB0">
              <w:rPr>
                <w:sz w:val="20"/>
                <w:szCs w:val="20"/>
              </w:rPr>
              <w:t xml:space="preserve">Therapeutic anticoagulation (except low dose heparin and/or heparin flush as needed for maintenance of an indwelling intravenous device) or antiplatelet </w:t>
            </w:r>
            <w:r w:rsidR="00711FC2" w:rsidRPr="00053EB0">
              <w:rPr>
                <w:sz w:val="20"/>
                <w:szCs w:val="20"/>
              </w:rPr>
              <w:t xml:space="preserve">therapy (except for chronic low </w:t>
            </w:r>
            <w:r w:rsidRPr="00053EB0">
              <w:rPr>
                <w:sz w:val="20"/>
                <w:szCs w:val="20"/>
              </w:rPr>
              <w:t xml:space="preserve">dose therapy with acetylsalicylic acid </w:t>
            </w:r>
            <w:r w:rsidR="00711FC2" w:rsidRPr="00053EB0">
              <w:rPr>
                <w:sz w:val="20"/>
                <w:szCs w:val="20"/>
              </w:rPr>
              <w:t xml:space="preserve">≤ </w:t>
            </w:r>
            <w:r w:rsidRPr="00053EB0">
              <w:rPr>
                <w:sz w:val="20"/>
                <w:szCs w:val="20"/>
              </w:rPr>
              <w:t>325 mg per day)</w:t>
            </w:r>
          </w:p>
        </w:tc>
      </w:tr>
      <w:tr w:rsidR="00081C12" w:rsidRPr="00053EB0" w14:paraId="7180CC7C" w14:textId="77777777" w:rsidTr="00053EB0">
        <w:trPr>
          <w:trHeight w:val="406"/>
        </w:trPr>
        <w:tc>
          <w:tcPr>
            <w:tcW w:w="7655" w:type="dxa"/>
          </w:tcPr>
          <w:p w14:paraId="7180CC7B" w14:textId="77777777" w:rsidR="00081C12" w:rsidRPr="00053EB0" w:rsidRDefault="00FE4616" w:rsidP="00053EB0">
            <w:pPr>
              <w:rPr>
                <w:sz w:val="20"/>
                <w:szCs w:val="20"/>
              </w:rPr>
            </w:pPr>
            <w:r w:rsidRPr="00053EB0">
              <w:rPr>
                <w:sz w:val="20"/>
                <w:szCs w:val="20"/>
              </w:rPr>
              <w:t>History of major thrombotic or clinically relevant major bleeding event in the past 6 months</w:t>
            </w:r>
          </w:p>
        </w:tc>
      </w:tr>
      <w:tr w:rsidR="00081C12" w:rsidRPr="00053EB0" w14:paraId="7180CC7E" w14:textId="77777777" w:rsidTr="00053EB0">
        <w:trPr>
          <w:trHeight w:val="406"/>
        </w:trPr>
        <w:tc>
          <w:tcPr>
            <w:tcW w:w="7655" w:type="dxa"/>
          </w:tcPr>
          <w:p w14:paraId="7180CC7D" w14:textId="77777777" w:rsidR="00081C12" w:rsidRPr="00053EB0" w:rsidRDefault="00FE4616" w:rsidP="00053EB0">
            <w:pPr>
              <w:rPr>
                <w:sz w:val="20"/>
                <w:szCs w:val="20"/>
              </w:rPr>
            </w:pPr>
            <w:r w:rsidRPr="00053EB0">
              <w:rPr>
                <w:sz w:val="20"/>
                <w:szCs w:val="20"/>
              </w:rPr>
              <w:t>Known inherited predisposition to bleeding or thrombosis</w:t>
            </w:r>
          </w:p>
        </w:tc>
      </w:tr>
      <w:tr w:rsidR="00081C12" w:rsidRPr="00053EB0" w14:paraId="7180CC80" w14:textId="77777777" w:rsidTr="00053EB0">
        <w:trPr>
          <w:trHeight w:val="406"/>
        </w:trPr>
        <w:tc>
          <w:tcPr>
            <w:tcW w:w="7655" w:type="dxa"/>
          </w:tcPr>
          <w:p w14:paraId="7180CC7F" w14:textId="77777777" w:rsidR="00081C12" w:rsidRPr="00053EB0" w:rsidRDefault="00FE4616" w:rsidP="00053EB0">
            <w:pPr>
              <w:rPr>
                <w:sz w:val="20"/>
                <w:szCs w:val="20"/>
              </w:rPr>
            </w:pPr>
            <w:r w:rsidRPr="00053EB0">
              <w:rPr>
                <w:sz w:val="20"/>
                <w:szCs w:val="20"/>
              </w:rPr>
              <w:t>Significant cardiovascular diseases (</w:t>
            </w:r>
            <w:r w:rsidR="00E448CC" w:rsidRPr="00053EB0">
              <w:rPr>
                <w:sz w:val="20"/>
                <w:szCs w:val="20"/>
              </w:rPr>
              <w:t>that is</w:t>
            </w:r>
            <w:r w:rsidRPr="00053EB0">
              <w:rPr>
                <w:sz w:val="20"/>
                <w:szCs w:val="20"/>
              </w:rPr>
              <w:t xml:space="preserve"> hypertension not controlled by medical therapy, unstable angina, history of myocardial infarction within the past 6 months, congestive heart failure &gt;</w:t>
            </w:r>
            <w:r w:rsidR="00711FC2" w:rsidRPr="00053EB0">
              <w:rPr>
                <w:sz w:val="20"/>
                <w:szCs w:val="20"/>
              </w:rPr>
              <w:t xml:space="preserve"> </w:t>
            </w:r>
            <w:r w:rsidRPr="00053EB0">
              <w:rPr>
                <w:sz w:val="20"/>
                <w:szCs w:val="20"/>
              </w:rPr>
              <w:t xml:space="preserve">New York Heart Association (NYHA) class II, serious cardiac </w:t>
            </w:r>
            <w:r w:rsidRPr="00053EB0">
              <w:rPr>
                <w:sz w:val="20"/>
                <w:szCs w:val="20"/>
              </w:rPr>
              <w:lastRenderedPageBreak/>
              <w:t>arrhythmia, pericardial effusion)</w:t>
            </w:r>
          </w:p>
        </w:tc>
      </w:tr>
      <w:tr w:rsidR="00081C12" w:rsidRPr="00053EB0" w14:paraId="7180CC82" w14:textId="77777777" w:rsidTr="00053EB0">
        <w:trPr>
          <w:trHeight w:val="406"/>
        </w:trPr>
        <w:tc>
          <w:tcPr>
            <w:tcW w:w="7655" w:type="dxa"/>
          </w:tcPr>
          <w:p w14:paraId="7180CC81" w14:textId="77777777" w:rsidR="00081C12" w:rsidRPr="00053EB0" w:rsidRDefault="00FE4616" w:rsidP="00053EB0">
            <w:pPr>
              <w:rPr>
                <w:sz w:val="20"/>
                <w:szCs w:val="20"/>
              </w:rPr>
            </w:pPr>
            <w:r w:rsidRPr="00053EB0">
              <w:rPr>
                <w:sz w:val="20"/>
                <w:szCs w:val="20"/>
              </w:rPr>
              <w:lastRenderedPageBreak/>
              <w:t>Serum creatinine &gt;</w:t>
            </w:r>
            <w:r w:rsidR="00711FC2" w:rsidRPr="00053EB0">
              <w:rPr>
                <w:sz w:val="20"/>
                <w:szCs w:val="20"/>
              </w:rPr>
              <w:t xml:space="preserve"> </w:t>
            </w:r>
            <w:r w:rsidRPr="00053EB0">
              <w:rPr>
                <w:sz w:val="20"/>
                <w:szCs w:val="20"/>
              </w:rPr>
              <w:t>1.5 times the upper limit of normal</w:t>
            </w:r>
          </w:p>
        </w:tc>
      </w:tr>
      <w:tr w:rsidR="00081C12" w:rsidRPr="00053EB0" w14:paraId="7180CC84" w14:textId="77777777" w:rsidTr="00053EB0">
        <w:trPr>
          <w:trHeight w:val="406"/>
        </w:trPr>
        <w:tc>
          <w:tcPr>
            <w:tcW w:w="7655" w:type="dxa"/>
          </w:tcPr>
          <w:p w14:paraId="7180CC83" w14:textId="77777777" w:rsidR="00081C12" w:rsidRPr="00053EB0" w:rsidRDefault="00FE4616" w:rsidP="00053EB0">
            <w:pPr>
              <w:rPr>
                <w:sz w:val="20"/>
                <w:szCs w:val="20"/>
              </w:rPr>
            </w:pPr>
            <w:r w:rsidRPr="00053EB0">
              <w:rPr>
                <w:sz w:val="20"/>
                <w:szCs w:val="20"/>
              </w:rPr>
              <w:t xml:space="preserve">Proteinuria CTCAE grade </w:t>
            </w:r>
            <w:r w:rsidR="00711FC2" w:rsidRPr="00053EB0">
              <w:rPr>
                <w:sz w:val="20"/>
                <w:szCs w:val="20"/>
              </w:rPr>
              <w:t xml:space="preserve">≥ </w:t>
            </w:r>
            <w:r w:rsidRPr="00053EB0">
              <w:rPr>
                <w:sz w:val="20"/>
                <w:szCs w:val="20"/>
              </w:rPr>
              <w:t>2</w:t>
            </w:r>
          </w:p>
        </w:tc>
      </w:tr>
      <w:tr w:rsidR="00081C12" w:rsidRPr="00053EB0" w14:paraId="7180CC86" w14:textId="77777777" w:rsidTr="00053EB0">
        <w:trPr>
          <w:trHeight w:val="406"/>
        </w:trPr>
        <w:tc>
          <w:tcPr>
            <w:tcW w:w="7655" w:type="dxa"/>
          </w:tcPr>
          <w:p w14:paraId="7180CC85" w14:textId="77777777" w:rsidR="00081C12" w:rsidRPr="00053EB0" w:rsidRDefault="00FE4616" w:rsidP="00053EB0">
            <w:pPr>
              <w:rPr>
                <w:sz w:val="20"/>
                <w:szCs w:val="20"/>
              </w:rPr>
            </w:pPr>
            <w:r w:rsidRPr="00053EB0">
              <w:rPr>
                <w:sz w:val="20"/>
                <w:szCs w:val="20"/>
              </w:rPr>
              <w:t>Total bilirubin &gt; upper limit of normal (ULN)</w:t>
            </w:r>
          </w:p>
        </w:tc>
      </w:tr>
      <w:tr w:rsidR="00081C12" w:rsidRPr="00053EB0" w14:paraId="7180CC88" w14:textId="77777777" w:rsidTr="00053EB0">
        <w:trPr>
          <w:trHeight w:val="415"/>
        </w:trPr>
        <w:tc>
          <w:tcPr>
            <w:tcW w:w="7655" w:type="dxa"/>
          </w:tcPr>
          <w:p w14:paraId="7180CC87" w14:textId="77777777" w:rsidR="00081C12" w:rsidRPr="00053EB0" w:rsidRDefault="00FE4616" w:rsidP="00053EB0">
            <w:pPr>
              <w:rPr>
                <w:sz w:val="20"/>
                <w:szCs w:val="20"/>
              </w:rPr>
            </w:pPr>
            <w:r w:rsidRPr="00053EB0">
              <w:rPr>
                <w:sz w:val="20"/>
                <w:szCs w:val="20"/>
              </w:rPr>
              <w:t>Alanine aminotransferase (ALT) and/or Aspartate aminotransferase (AST) &gt; 1.5 x ULN</w:t>
            </w:r>
          </w:p>
        </w:tc>
      </w:tr>
      <w:tr w:rsidR="00FE4616" w:rsidRPr="00053EB0" w14:paraId="7180CC8A" w14:textId="77777777" w:rsidTr="00053EB0">
        <w:trPr>
          <w:trHeight w:val="415"/>
        </w:trPr>
        <w:tc>
          <w:tcPr>
            <w:tcW w:w="7655" w:type="dxa"/>
          </w:tcPr>
          <w:p w14:paraId="7180CC89" w14:textId="77777777" w:rsidR="00FE4616" w:rsidRPr="00053EB0" w:rsidRDefault="00FE4616" w:rsidP="00053EB0">
            <w:pPr>
              <w:rPr>
                <w:sz w:val="20"/>
                <w:szCs w:val="20"/>
              </w:rPr>
            </w:pPr>
            <w:r w:rsidRPr="00053EB0">
              <w:rPr>
                <w:sz w:val="20"/>
                <w:szCs w:val="20"/>
              </w:rPr>
              <w:t>Prothrombin time (PT) and/or partial thromboplastin time (PTT) &gt;</w:t>
            </w:r>
            <w:r w:rsidR="00711FC2" w:rsidRPr="00053EB0">
              <w:rPr>
                <w:sz w:val="20"/>
                <w:szCs w:val="20"/>
              </w:rPr>
              <w:t xml:space="preserve"> </w:t>
            </w:r>
            <w:r w:rsidRPr="00053EB0">
              <w:rPr>
                <w:sz w:val="20"/>
                <w:szCs w:val="20"/>
              </w:rPr>
              <w:t>50% deviation</w:t>
            </w:r>
            <w:r w:rsidR="00711FC2" w:rsidRPr="00053EB0">
              <w:rPr>
                <w:sz w:val="20"/>
                <w:szCs w:val="20"/>
              </w:rPr>
              <w:t xml:space="preserve"> </w:t>
            </w:r>
            <w:r w:rsidRPr="00053EB0">
              <w:rPr>
                <w:sz w:val="20"/>
                <w:szCs w:val="20"/>
              </w:rPr>
              <w:t>from normal limits</w:t>
            </w:r>
          </w:p>
        </w:tc>
      </w:tr>
      <w:tr w:rsidR="00FE4616" w:rsidRPr="00053EB0" w14:paraId="7180CC8C" w14:textId="77777777" w:rsidTr="00053EB0">
        <w:trPr>
          <w:trHeight w:val="415"/>
        </w:trPr>
        <w:tc>
          <w:tcPr>
            <w:tcW w:w="7655" w:type="dxa"/>
          </w:tcPr>
          <w:p w14:paraId="7180CC8B" w14:textId="77777777" w:rsidR="00FE4616" w:rsidRPr="00053EB0" w:rsidRDefault="00FE4616" w:rsidP="00053EB0">
            <w:pPr>
              <w:rPr>
                <w:sz w:val="20"/>
                <w:szCs w:val="20"/>
              </w:rPr>
            </w:pPr>
            <w:r w:rsidRPr="00053EB0">
              <w:rPr>
                <w:sz w:val="20"/>
                <w:szCs w:val="20"/>
              </w:rPr>
              <w:t>Absolute neutrophil count (ANC) &lt;</w:t>
            </w:r>
            <w:r w:rsidR="00711FC2" w:rsidRPr="00053EB0">
              <w:rPr>
                <w:sz w:val="20"/>
                <w:szCs w:val="20"/>
              </w:rPr>
              <w:t xml:space="preserve"> </w:t>
            </w:r>
            <w:r w:rsidRPr="00053EB0">
              <w:rPr>
                <w:sz w:val="20"/>
                <w:szCs w:val="20"/>
              </w:rPr>
              <w:t>1500/</w:t>
            </w:r>
            <w:r w:rsidR="00711FC2" w:rsidRPr="00053EB0">
              <w:rPr>
                <w:sz w:val="20"/>
                <w:szCs w:val="20"/>
              </w:rPr>
              <w:t>µ</w:t>
            </w:r>
            <w:r w:rsidRPr="00053EB0">
              <w:rPr>
                <w:sz w:val="20"/>
                <w:szCs w:val="20"/>
              </w:rPr>
              <w:t>L</w:t>
            </w:r>
          </w:p>
        </w:tc>
      </w:tr>
      <w:tr w:rsidR="00FE4616" w:rsidRPr="00053EB0" w14:paraId="7180CC8E" w14:textId="77777777" w:rsidTr="00053EB0">
        <w:trPr>
          <w:trHeight w:val="415"/>
        </w:trPr>
        <w:tc>
          <w:tcPr>
            <w:tcW w:w="7655" w:type="dxa"/>
          </w:tcPr>
          <w:p w14:paraId="7180CC8D" w14:textId="77777777" w:rsidR="00FE4616" w:rsidRPr="00053EB0" w:rsidRDefault="00FE4616" w:rsidP="00053EB0">
            <w:pPr>
              <w:rPr>
                <w:sz w:val="20"/>
                <w:szCs w:val="20"/>
              </w:rPr>
            </w:pPr>
            <w:r w:rsidRPr="00053EB0">
              <w:rPr>
                <w:sz w:val="20"/>
                <w:szCs w:val="20"/>
              </w:rPr>
              <w:t>Platelets &lt;</w:t>
            </w:r>
            <w:r w:rsidR="00711FC2" w:rsidRPr="00053EB0">
              <w:rPr>
                <w:sz w:val="20"/>
                <w:szCs w:val="20"/>
              </w:rPr>
              <w:t xml:space="preserve"> </w:t>
            </w:r>
            <w:r w:rsidRPr="00053EB0">
              <w:rPr>
                <w:sz w:val="20"/>
                <w:szCs w:val="20"/>
              </w:rPr>
              <w:t>100 000/</w:t>
            </w:r>
            <w:r w:rsidR="00711FC2" w:rsidRPr="00053EB0">
              <w:rPr>
                <w:sz w:val="20"/>
                <w:szCs w:val="20"/>
              </w:rPr>
              <w:t>µ</w:t>
            </w:r>
            <w:r w:rsidRPr="00053EB0">
              <w:rPr>
                <w:sz w:val="20"/>
                <w:szCs w:val="20"/>
              </w:rPr>
              <w:t>L</w:t>
            </w:r>
          </w:p>
        </w:tc>
      </w:tr>
      <w:tr w:rsidR="00FE4616" w:rsidRPr="00053EB0" w14:paraId="7180CC90" w14:textId="77777777" w:rsidTr="00053EB0">
        <w:trPr>
          <w:trHeight w:val="415"/>
        </w:trPr>
        <w:tc>
          <w:tcPr>
            <w:tcW w:w="7655" w:type="dxa"/>
          </w:tcPr>
          <w:p w14:paraId="7180CC8F" w14:textId="77777777" w:rsidR="00FE4616" w:rsidRPr="00053EB0" w:rsidRDefault="00FE4616" w:rsidP="00053EB0">
            <w:pPr>
              <w:rPr>
                <w:sz w:val="20"/>
                <w:szCs w:val="20"/>
              </w:rPr>
            </w:pPr>
            <w:r w:rsidRPr="00053EB0">
              <w:rPr>
                <w:sz w:val="20"/>
                <w:szCs w:val="20"/>
              </w:rPr>
              <w:t>Haemoglobin &lt;</w:t>
            </w:r>
            <w:r w:rsidR="00711FC2" w:rsidRPr="00053EB0">
              <w:rPr>
                <w:sz w:val="20"/>
                <w:szCs w:val="20"/>
              </w:rPr>
              <w:t xml:space="preserve"> </w:t>
            </w:r>
            <w:r w:rsidRPr="00053EB0">
              <w:rPr>
                <w:sz w:val="20"/>
                <w:szCs w:val="20"/>
              </w:rPr>
              <w:t>9.0 g/</w:t>
            </w:r>
            <w:proofErr w:type="spellStart"/>
            <w:r w:rsidRPr="00053EB0">
              <w:rPr>
                <w:sz w:val="20"/>
                <w:szCs w:val="20"/>
              </w:rPr>
              <w:t>dL</w:t>
            </w:r>
            <w:proofErr w:type="spellEnd"/>
          </w:p>
        </w:tc>
      </w:tr>
      <w:tr w:rsidR="00FE4616" w:rsidRPr="00053EB0" w14:paraId="7180CC92" w14:textId="77777777" w:rsidTr="00053EB0">
        <w:trPr>
          <w:trHeight w:val="415"/>
        </w:trPr>
        <w:tc>
          <w:tcPr>
            <w:tcW w:w="7655" w:type="dxa"/>
          </w:tcPr>
          <w:p w14:paraId="7180CC91" w14:textId="77777777" w:rsidR="00FE4616" w:rsidRPr="00053EB0" w:rsidRDefault="00FE4616" w:rsidP="00053EB0">
            <w:pPr>
              <w:rPr>
                <w:sz w:val="20"/>
                <w:szCs w:val="20"/>
              </w:rPr>
            </w:pPr>
            <w:r w:rsidRPr="00053EB0">
              <w:rPr>
                <w:sz w:val="20"/>
                <w:szCs w:val="20"/>
              </w:rPr>
              <w:t>Significant weight loss (</w:t>
            </w:r>
            <w:r w:rsidR="007A330A" w:rsidRPr="00053EB0">
              <w:rPr>
                <w:sz w:val="20"/>
                <w:szCs w:val="20"/>
              </w:rPr>
              <w:t>&gt; 1</w:t>
            </w:r>
            <w:r w:rsidRPr="00053EB0">
              <w:rPr>
                <w:sz w:val="20"/>
                <w:szCs w:val="20"/>
              </w:rPr>
              <w:t>0%) within the past 6 weeks prior to treatment in the present trial</w:t>
            </w:r>
          </w:p>
        </w:tc>
      </w:tr>
      <w:tr w:rsidR="00FE4616" w:rsidRPr="00053EB0" w14:paraId="7180CC94" w14:textId="77777777" w:rsidTr="00053EB0">
        <w:trPr>
          <w:trHeight w:val="415"/>
        </w:trPr>
        <w:tc>
          <w:tcPr>
            <w:tcW w:w="7655" w:type="dxa"/>
          </w:tcPr>
          <w:p w14:paraId="7180CC93" w14:textId="77777777" w:rsidR="00FE4616" w:rsidRPr="00053EB0" w:rsidRDefault="00FE4616" w:rsidP="00053EB0">
            <w:pPr>
              <w:rPr>
                <w:sz w:val="20"/>
                <w:szCs w:val="20"/>
              </w:rPr>
            </w:pPr>
            <w:r w:rsidRPr="00053EB0">
              <w:rPr>
                <w:sz w:val="20"/>
                <w:szCs w:val="20"/>
              </w:rPr>
              <w:t>Current peripheral neuropathy ≥ CTCAE grade 2 except due to trauma</w:t>
            </w:r>
          </w:p>
        </w:tc>
      </w:tr>
      <w:tr w:rsidR="00FE4616" w:rsidRPr="00053EB0" w14:paraId="7180CC96" w14:textId="77777777" w:rsidTr="00053EB0">
        <w:trPr>
          <w:trHeight w:val="415"/>
        </w:trPr>
        <w:tc>
          <w:tcPr>
            <w:tcW w:w="7655" w:type="dxa"/>
          </w:tcPr>
          <w:p w14:paraId="7180CC95" w14:textId="77777777" w:rsidR="00FE4616" w:rsidRPr="00053EB0" w:rsidRDefault="00FE4616" w:rsidP="00053EB0">
            <w:pPr>
              <w:rPr>
                <w:sz w:val="20"/>
                <w:szCs w:val="20"/>
              </w:rPr>
            </w:pPr>
            <w:r w:rsidRPr="00053EB0">
              <w:rPr>
                <w:sz w:val="20"/>
                <w:szCs w:val="20"/>
              </w:rPr>
              <w:t>Pre-existing ascites and/or clinically significant pleural effusion</w:t>
            </w:r>
          </w:p>
        </w:tc>
      </w:tr>
      <w:tr w:rsidR="00FE4616" w:rsidRPr="00053EB0" w14:paraId="7180CC98" w14:textId="77777777" w:rsidTr="00053EB0">
        <w:trPr>
          <w:trHeight w:val="415"/>
        </w:trPr>
        <w:tc>
          <w:tcPr>
            <w:tcW w:w="7655" w:type="dxa"/>
          </w:tcPr>
          <w:p w14:paraId="7180CC97" w14:textId="77777777" w:rsidR="00FE4616" w:rsidRPr="00053EB0" w:rsidRDefault="00FE4616" w:rsidP="00053EB0">
            <w:pPr>
              <w:rPr>
                <w:sz w:val="20"/>
                <w:szCs w:val="20"/>
              </w:rPr>
            </w:pPr>
            <w:r w:rsidRPr="00053EB0">
              <w:rPr>
                <w:sz w:val="20"/>
                <w:szCs w:val="20"/>
              </w:rPr>
              <w:t>Major injuries and/or surgery within the past 10 days prior to randomisation with incomplete wound healing</w:t>
            </w:r>
          </w:p>
        </w:tc>
      </w:tr>
      <w:tr w:rsidR="00FE4616" w:rsidRPr="00053EB0" w14:paraId="7180CC9A" w14:textId="77777777" w:rsidTr="00053EB0">
        <w:trPr>
          <w:trHeight w:val="415"/>
        </w:trPr>
        <w:tc>
          <w:tcPr>
            <w:tcW w:w="7655" w:type="dxa"/>
          </w:tcPr>
          <w:p w14:paraId="7180CC99" w14:textId="77777777" w:rsidR="00FE4616" w:rsidRPr="00053EB0" w:rsidRDefault="00FE4616" w:rsidP="00053EB0">
            <w:pPr>
              <w:rPr>
                <w:sz w:val="20"/>
                <w:szCs w:val="20"/>
              </w:rPr>
            </w:pPr>
            <w:r w:rsidRPr="00053EB0">
              <w:rPr>
                <w:sz w:val="20"/>
                <w:szCs w:val="20"/>
              </w:rPr>
              <w:t>Serious infections requiring systemic antibiotic (</w:t>
            </w:r>
            <w:r w:rsidR="00711FC2" w:rsidRPr="00053EB0">
              <w:rPr>
                <w:sz w:val="20"/>
                <w:szCs w:val="20"/>
              </w:rPr>
              <w:t>for example,</w:t>
            </w:r>
            <w:r w:rsidRPr="00053EB0">
              <w:rPr>
                <w:sz w:val="20"/>
                <w:szCs w:val="20"/>
              </w:rPr>
              <w:t xml:space="preserve"> antiviral, antimicrobial, antifungal) therapy</w:t>
            </w:r>
          </w:p>
        </w:tc>
      </w:tr>
      <w:tr w:rsidR="00FE4616" w:rsidRPr="00053EB0" w14:paraId="7180CC9C" w14:textId="77777777" w:rsidTr="00053EB0">
        <w:trPr>
          <w:trHeight w:val="415"/>
        </w:trPr>
        <w:tc>
          <w:tcPr>
            <w:tcW w:w="7655" w:type="dxa"/>
          </w:tcPr>
          <w:p w14:paraId="7180CC9B" w14:textId="77777777" w:rsidR="00FE4616" w:rsidRPr="00053EB0" w:rsidRDefault="00FE4616" w:rsidP="00053EB0">
            <w:pPr>
              <w:rPr>
                <w:sz w:val="20"/>
                <w:szCs w:val="20"/>
              </w:rPr>
            </w:pPr>
            <w:r w:rsidRPr="00053EB0">
              <w:rPr>
                <w:sz w:val="20"/>
                <w:szCs w:val="20"/>
              </w:rPr>
              <w:t>Decompensated diabetes mellitus or other contraindication to high dose corticosteroid therapy</w:t>
            </w:r>
          </w:p>
        </w:tc>
      </w:tr>
      <w:tr w:rsidR="00FE4616" w:rsidRPr="00053EB0" w14:paraId="7180CC9E" w14:textId="77777777" w:rsidTr="00053EB0">
        <w:trPr>
          <w:trHeight w:val="415"/>
        </w:trPr>
        <w:tc>
          <w:tcPr>
            <w:tcW w:w="7655" w:type="dxa"/>
          </w:tcPr>
          <w:p w14:paraId="7180CC9D" w14:textId="77777777" w:rsidR="00FE4616" w:rsidRPr="00053EB0" w:rsidRDefault="00FE4616" w:rsidP="00053EB0">
            <w:pPr>
              <w:rPr>
                <w:sz w:val="20"/>
                <w:szCs w:val="20"/>
              </w:rPr>
            </w:pPr>
            <w:r w:rsidRPr="00053EB0">
              <w:rPr>
                <w:sz w:val="20"/>
                <w:szCs w:val="20"/>
              </w:rPr>
              <w:t>Gastrointestinal disorders or abnormalities that could interfere with absorption of the trial drug</w:t>
            </w:r>
          </w:p>
        </w:tc>
      </w:tr>
      <w:tr w:rsidR="00FE4616" w:rsidRPr="00053EB0" w14:paraId="7180CCA0" w14:textId="77777777" w:rsidTr="00053EB0">
        <w:trPr>
          <w:trHeight w:val="415"/>
        </w:trPr>
        <w:tc>
          <w:tcPr>
            <w:tcW w:w="7655" w:type="dxa"/>
          </w:tcPr>
          <w:p w14:paraId="7180CC9F" w14:textId="77777777" w:rsidR="00FE4616" w:rsidRPr="00053EB0" w:rsidRDefault="00FE4616" w:rsidP="00053EB0">
            <w:pPr>
              <w:rPr>
                <w:sz w:val="20"/>
                <w:szCs w:val="20"/>
              </w:rPr>
            </w:pPr>
            <w:r w:rsidRPr="00053EB0">
              <w:rPr>
                <w:sz w:val="20"/>
                <w:szCs w:val="20"/>
              </w:rPr>
              <w:t>Active or chronic hepatitis C and/or B infection</w:t>
            </w:r>
          </w:p>
        </w:tc>
      </w:tr>
      <w:tr w:rsidR="00FE4616" w:rsidRPr="00053EB0" w14:paraId="7180CCA2" w14:textId="77777777" w:rsidTr="00053EB0">
        <w:trPr>
          <w:trHeight w:val="415"/>
        </w:trPr>
        <w:tc>
          <w:tcPr>
            <w:tcW w:w="7655" w:type="dxa"/>
          </w:tcPr>
          <w:p w14:paraId="7180CCA1" w14:textId="77777777" w:rsidR="00FE4616" w:rsidRPr="00053EB0" w:rsidRDefault="00FE4616" w:rsidP="00053EB0">
            <w:pPr>
              <w:rPr>
                <w:sz w:val="20"/>
                <w:szCs w:val="20"/>
              </w:rPr>
            </w:pPr>
            <w:r w:rsidRPr="00053EB0">
              <w:rPr>
                <w:sz w:val="20"/>
                <w:szCs w:val="20"/>
              </w:rPr>
              <w:t>Serious illness or concomitant non-oncological disease such as neurologic-, psychiatric-, infectious disease or active ulcers (gastrointestinal tract, skin) or laboratory abnormality that might have increased the risk associated with trial participation or trial drug administration and in the judgment of the investigator might have made the patient inappropriate for entry into the trial</w:t>
            </w:r>
          </w:p>
        </w:tc>
      </w:tr>
      <w:tr w:rsidR="00FE4616" w:rsidRPr="00053EB0" w14:paraId="7180CCA4" w14:textId="77777777" w:rsidTr="00053EB0">
        <w:trPr>
          <w:trHeight w:val="415"/>
        </w:trPr>
        <w:tc>
          <w:tcPr>
            <w:tcW w:w="7655" w:type="dxa"/>
          </w:tcPr>
          <w:p w14:paraId="7180CCA3" w14:textId="77777777" w:rsidR="00FE4616" w:rsidRPr="00053EB0" w:rsidRDefault="00FE4616" w:rsidP="00053EB0">
            <w:pPr>
              <w:rPr>
                <w:sz w:val="20"/>
                <w:szCs w:val="20"/>
              </w:rPr>
            </w:pPr>
            <w:r w:rsidRPr="00053EB0">
              <w:rPr>
                <w:sz w:val="20"/>
                <w:szCs w:val="20"/>
              </w:rPr>
              <w:t xml:space="preserve">Patients who were sexually active and unwilling to use a medically acceptable method of contraception (e.g. such as implants, </w:t>
            </w:r>
            <w:proofErr w:type="spellStart"/>
            <w:r w:rsidRPr="00053EB0">
              <w:rPr>
                <w:sz w:val="20"/>
                <w:szCs w:val="20"/>
              </w:rPr>
              <w:t>injectables</w:t>
            </w:r>
            <w:proofErr w:type="spellEnd"/>
            <w:r w:rsidRPr="00053EB0">
              <w:rPr>
                <w:sz w:val="20"/>
                <w:szCs w:val="20"/>
              </w:rPr>
              <w:t>, combined oral contraceptives, some intrauterine devices or vasectomised partner for participating females, condoms for participating males) during the trial and for at least 12 months after end of active therapy</w:t>
            </w:r>
          </w:p>
        </w:tc>
      </w:tr>
      <w:tr w:rsidR="00FE4616" w:rsidRPr="00053EB0" w14:paraId="7180CCA6" w14:textId="77777777" w:rsidTr="00053EB0">
        <w:trPr>
          <w:trHeight w:val="415"/>
        </w:trPr>
        <w:tc>
          <w:tcPr>
            <w:tcW w:w="7655" w:type="dxa"/>
          </w:tcPr>
          <w:p w14:paraId="7180CCA5" w14:textId="77777777" w:rsidR="00FE4616" w:rsidRPr="00053EB0" w:rsidRDefault="00FE4616" w:rsidP="00053EB0">
            <w:pPr>
              <w:rPr>
                <w:sz w:val="20"/>
                <w:szCs w:val="20"/>
              </w:rPr>
            </w:pPr>
            <w:r w:rsidRPr="00053EB0">
              <w:rPr>
                <w:sz w:val="20"/>
                <w:szCs w:val="20"/>
              </w:rPr>
              <w:t>Pregnancy or breast feeding</w:t>
            </w:r>
          </w:p>
        </w:tc>
      </w:tr>
      <w:tr w:rsidR="00FE4616" w:rsidRPr="00053EB0" w14:paraId="7180CCA8" w14:textId="77777777" w:rsidTr="00053EB0">
        <w:trPr>
          <w:trHeight w:val="415"/>
        </w:trPr>
        <w:tc>
          <w:tcPr>
            <w:tcW w:w="7655" w:type="dxa"/>
          </w:tcPr>
          <w:p w14:paraId="7180CCA7" w14:textId="77777777" w:rsidR="00FE4616" w:rsidRPr="00053EB0" w:rsidRDefault="00FE4616" w:rsidP="00053EB0">
            <w:pPr>
              <w:rPr>
                <w:sz w:val="20"/>
                <w:szCs w:val="20"/>
              </w:rPr>
            </w:pPr>
            <w:r w:rsidRPr="00053EB0">
              <w:rPr>
                <w:sz w:val="20"/>
                <w:szCs w:val="20"/>
              </w:rPr>
              <w:t>Psychological, familial, sociological, or geographical factors potentially hampering compliance with the trial protocol and follow-up schedule</w:t>
            </w:r>
          </w:p>
        </w:tc>
      </w:tr>
      <w:tr w:rsidR="00FE4616" w:rsidRPr="00053EB0" w14:paraId="7180CCAA" w14:textId="77777777" w:rsidTr="00053EB0">
        <w:trPr>
          <w:trHeight w:val="415"/>
        </w:trPr>
        <w:tc>
          <w:tcPr>
            <w:tcW w:w="7655" w:type="dxa"/>
          </w:tcPr>
          <w:p w14:paraId="7180CCA9" w14:textId="77777777" w:rsidR="00FE4616" w:rsidRPr="00053EB0" w:rsidRDefault="00FE4616" w:rsidP="00053EB0">
            <w:pPr>
              <w:rPr>
                <w:sz w:val="20"/>
                <w:szCs w:val="20"/>
              </w:rPr>
            </w:pPr>
            <w:r w:rsidRPr="00053EB0">
              <w:rPr>
                <w:sz w:val="20"/>
                <w:szCs w:val="20"/>
              </w:rPr>
              <w:lastRenderedPageBreak/>
              <w:t>Patients unable to comply with the protocol</w:t>
            </w:r>
          </w:p>
        </w:tc>
      </w:tr>
      <w:tr w:rsidR="00FE4616" w:rsidRPr="00053EB0" w14:paraId="7180CCAC" w14:textId="77777777" w:rsidTr="00053EB0">
        <w:trPr>
          <w:trHeight w:val="415"/>
        </w:trPr>
        <w:tc>
          <w:tcPr>
            <w:tcW w:w="7655" w:type="dxa"/>
          </w:tcPr>
          <w:p w14:paraId="7180CCAB" w14:textId="77777777" w:rsidR="00FE4616" w:rsidRPr="00053EB0" w:rsidRDefault="00FE4616" w:rsidP="00053EB0">
            <w:pPr>
              <w:rPr>
                <w:sz w:val="20"/>
                <w:szCs w:val="20"/>
              </w:rPr>
            </w:pPr>
            <w:r w:rsidRPr="00053EB0">
              <w:rPr>
                <w:sz w:val="20"/>
                <w:szCs w:val="20"/>
              </w:rPr>
              <w:t>Active alcohol or drug abuse</w:t>
            </w:r>
          </w:p>
        </w:tc>
      </w:tr>
      <w:tr w:rsidR="00FE4616" w:rsidRPr="00053EB0" w14:paraId="7180CCAE" w14:textId="77777777" w:rsidTr="00053EB0">
        <w:trPr>
          <w:trHeight w:val="415"/>
        </w:trPr>
        <w:tc>
          <w:tcPr>
            <w:tcW w:w="7655" w:type="dxa"/>
          </w:tcPr>
          <w:p w14:paraId="7180CCAD" w14:textId="77777777" w:rsidR="00FE4616" w:rsidRPr="00053EB0" w:rsidRDefault="00FE4616" w:rsidP="00053EB0">
            <w:pPr>
              <w:rPr>
                <w:sz w:val="20"/>
                <w:szCs w:val="20"/>
              </w:rPr>
            </w:pPr>
            <w:r w:rsidRPr="00053EB0">
              <w:rPr>
                <w:sz w:val="20"/>
                <w:szCs w:val="20"/>
              </w:rPr>
              <w:t xml:space="preserve">Other malignancy within the past 3 years other </w:t>
            </w:r>
            <w:r w:rsidR="00326952" w:rsidRPr="00053EB0">
              <w:rPr>
                <w:sz w:val="20"/>
                <w:szCs w:val="20"/>
              </w:rPr>
              <w:t xml:space="preserve">than basal cell skin cancer, or </w:t>
            </w:r>
            <w:r w:rsidRPr="00053EB0">
              <w:rPr>
                <w:sz w:val="20"/>
                <w:szCs w:val="20"/>
              </w:rPr>
              <w:t>carcinoma in situ of the cervix</w:t>
            </w:r>
          </w:p>
        </w:tc>
      </w:tr>
      <w:tr w:rsidR="00FE4616" w:rsidRPr="00053EB0" w14:paraId="7180CCB0" w14:textId="77777777" w:rsidTr="00053EB0">
        <w:trPr>
          <w:trHeight w:val="415"/>
        </w:trPr>
        <w:tc>
          <w:tcPr>
            <w:tcW w:w="7655" w:type="dxa"/>
          </w:tcPr>
          <w:p w14:paraId="7180CCAF" w14:textId="77777777" w:rsidR="00FE4616" w:rsidRPr="00053EB0" w:rsidRDefault="00326952" w:rsidP="00053EB0">
            <w:pPr>
              <w:rPr>
                <w:sz w:val="20"/>
                <w:szCs w:val="20"/>
              </w:rPr>
            </w:pPr>
            <w:r w:rsidRPr="00053EB0">
              <w:rPr>
                <w:sz w:val="20"/>
                <w:szCs w:val="20"/>
              </w:rPr>
              <w:t>Any contraindications for therapy with docetaxel</w:t>
            </w:r>
          </w:p>
        </w:tc>
      </w:tr>
      <w:tr w:rsidR="00FE4616" w:rsidRPr="00053EB0" w14:paraId="7180CCB2" w14:textId="77777777" w:rsidTr="00053EB0">
        <w:trPr>
          <w:trHeight w:val="415"/>
        </w:trPr>
        <w:tc>
          <w:tcPr>
            <w:tcW w:w="7655" w:type="dxa"/>
          </w:tcPr>
          <w:p w14:paraId="7180CCB1" w14:textId="77777777" w:rsidR="00FE4616" w:rsidRPr="00053EB0" w:rsidRDefault="00326952" w:rsidP="00053EB0">
            <w:pPr>
              <w:rPr>
                <w:sz w:val="20"/>
                <w:szCs w:val="20"/>
              </w:rPr>
            </w:pPr>
            <w:r w:rsidRPr="00053EB0">
              <w:rPr>
                <w:sz w:val="20"/>
                <w:szCs w:val="20"/>
              </w:rPr>
              <w:t xml:space="preserve">History of severe hypersensitivity reactions to docetaxel or other drugs formulated with </w:t>
            </w:r>
            <w:proofErr w:type="spellStart"/>
            <w:r w:rsidRPr="00053EB0">
              <w:rPr>
                <w:sz w:val="20"/>
                <w:szCs w:val="20"/>
              </w:rPr>
              <w:t>polysorbate</w:t>
            </w:r>
            <w:proofErr w:type="spellEnd"/>
            <w:r w:rsidRPr="00053EB0">
              <w:rPr>
                <w:sz w:val="20"/>
                <w:szCs w:val="20"/>
              </w:rPr>
              <w:t xml:space="preserve"> 80 (Tween 80)</w:t>
            </w:r>
          </w:p>
        </w:tc>
      </w:tr>
      <w:tr w:rsidR="00FE4616" w:rsidRPr="00053EB0" w14:paraId="7180CCB4" w14:textId="77777777" w:rsidTr="00053EB0">
        <w:trPr>
          <w:trHeight w:val="415"/>
        </w:trPr>
        <w:tc>
          <w:tcPr>
            <w:tcW w:w="7655" w:type="dxa"/>
          </w:tcPr>
          <w:p w14:paraId="7180CCB3" w14:textId="77777777" w:rsidR="00FE4616" w:rsidRPr="00053EB0" w:rsidRDefault="00326952" w:rsidP="00053EB0">
            <w:pPr>
              <w:rPr>
                <w:sz w:val="20"/>
                <w:szCs w:val="20"/>
              </w:rPr>
            </w:pPr>
            <w:r w:rsidRPr="00053EB0">
              <w:rPr>
                <w:sz w:val="20"/>
                <w:szCs w:val="20"/>
              </w:rPr>
              <w:t>Hypersensitivity to BIBF 1120 and/or the excipients of the trial drugs</w:t>
            </w:r>
          </w:p>
        </w:tc>
      </w:tr>
      <w:tr w:rsidR="00326952" w:rsidRPr="00053EB0" w14:paraId="7180CCB6" w14:textId="77777777" w:rsidTr="00053EB0">
        <w:trPr>
          <w:trHeight w:val="415"/>
        </w:trPr>
        <w:tc>
          <w:tcPr>
            <w:tcW w:w="7655" w:type="dxa"/>
          </w:tcPr>
          <w:p w14:paraId="7180CCB5" w14:textId="77777777" w:rsidR="00326952" w:rsidRPr="00053EB0" w:rsidRDefault="00326952" w:rsidP="00053EB0">
            <w:pPr>
              <w:rPr>
                <w:sz w:val="20"/>
                <w:szCs w:val="20"/>
              </w:rPr>
            </w:pPr>
            <w:r w:rsidRPr="00053EB0">
              <w:rPr>
                <w:sz w:val="20"/>
                <w:szCs w:val="20"/>
              </w:rPr>
              <w:t>Hypersensitivity to contrast media</w:t>
            </w:r>
          </w:p>
        </w:tc>
      </w:tr>
    </w:tbl>
    <w:p w14:paraId="76504A8C" w14:textId="74F273E5" w:rsidR="00344693" w:rsidRDefault="001A1B15" w:rsidP="001A1B15">
      <w:pPr>
        <w:pStyle w:val="Comment"/>
      </w:pPr>
      <w:r w:rsidRPr="004A0845">
        <w:rPr>
          <w:b/>
        </w:rPr>
        <w:t xml:space="preserve">Evaluators </w:t>
      </w:r>
      <w:r w:rsidR="00053EB0">
        <w:rPr>
          <w:b/>
        </w:rPr>
        <w:t>c</w:t>
      </w:r>
      <w:r w:rsidRPr="004A0845">
        <w:rPr>
          <w:b/>
        </w:rPr>
        <w:t>omment</w:t>
      </w:r>
      <w:r w:rsidRPr="001A1B15">
        <w:t xml:space="preserve">: </w:t>
      </w:r>
    </w:p>
    <w:p w14:paraId="7180CCB7" w14:textId="0148DBDE" w:rsidR="001A1B15" w:rsidRPr="001A1B15" w:rsidRDefault="001A1B15" w:rsidP="00344693">
      <w:r w:rsidRPr="001A1B15">
        <w:t>Enrolment was restricted to subjects with stage IIIB or stage IV disease. Stage IIIB includes disease with lymph node involvement in the contralateral hilum or mediastinum, lymph node involvement of supraclavicular nodes or a tumour that has invaded the mediastinum, heart, great vessels, trachea, recurrent laryngeal nerve, oesophagus, vertebral body or carina or a separate tumour nodule(s) in a different ipsilateral lobe. Stage IV disease includes tumour nodule(s) in a contralateral lobe, tumour with pleural nodules, malignant pleural (or pericardial) effusion or distant metastases in extra-thoracic organs (</w:t>
      </w:r>
      <w:r w:rsidR="00711FC2">
        <w:t>11)</w:t>
      </w:r>
      <w:r w:rsidRPr="001A1B15">
        <w:t>.</w:t>
      </w:r>
    </w:p>
    <w:p w14:paraId="7180CCB8" w14:textId="77777777" w:rsidR="001A1B15" w:rsidRPr="004B259C" w:rsidRDefault="001A1B15" w:rsidP="00344693">
      <w:r w:rsidRPr="001A1B15">
        <w:t>It is notable that subjects with bilirubin levels above the upper limit of normal (ULN) were excluded, as were subjects with AST or ALT &gt; 1.5 x</w:t>
      </w:r>
      <w:r w:rsidR="004A0845">
        <w:t xml:space="preserve"> </w:t>
      </w:r>
      <w:r w:rsidRPr="001A1B15">
        <w:t xml:space="preserve">ULN. Several of the other exclusion criteria relate to known safety issues with other anti-angiogenic agents (bleeding, thrombosis, </w:t>
      </w:r>
      <w:proofErr w:type="gramStart"/>
      <w:r w:rsidRPr="001A1B15">
        <w:t>hypertension</w:t>
      </w:r>
      <w:proofErr w:type="gramEnd"/>
      <w:r w:rsidRPr="001A1B15">
        <w:t>).</w:t>
      </w:r>
    </w:p>
    <w:p w14:paraId="7180CCB9" w14:textId="77777777" w:rsidR="001A1B15" w:rsidRPr="001A1B15" w:rsidRDefault="001A1B15" w:rsidP="001A1B15">
      <w:pPr>
        <w:pStyle w:val="Heading6"/>
      </w:pPr>
      <w:r w:rsidRPr="001A1B15">
        <w:t>Study treatments</w:t>
      </w:r>
    </w:p>
    <w:p w14:paraId="7180CCBA" w14:textId="77777777" w:rsidR="001A1B15" w:rsidRPr="001A1B15" w:rsidRDefault="001A1B15" w:rsidP="001A1B15">
      <w:r w:rsidRPr="001A1B15">
        <w:t>Subjects were</w:t>
      </w:r>
      <w:r w:rsidR="004A0845">
        <w:t xml:space="preserve"> randomised (1:1) to receive 21 </w:t>
      </w:r>
      <w:r w:rsidRPr="001A1B15">
        <w:t>day cycles of either:</w:t>
      </w:r>
    </w:p>
    <w:p w14:paraId="7180CCBB" w14:textId="77777777" w:rsidR="001A1B15" w:rsidRPr="001A1B15" w:rsidRDefault="001A1B15" w:rsidP="001A1B15">
      <w:pPr>
        <w:pStyle w:val="ListBullet"/>
      </w:pPr>
      <w:r w:rsidRPr="001A1B15">
        <w:t>Docetaxel 75 mg/</w:t>
      </w:r>
      <w:r w:rsidR="0057240D" w:rsidRPr="001A1B15">
        <w:t>m</w:t>
      </w:r>
      <w:r w:rsidR="0057240D" w:rsidRPr="0057240D">
        <w:rPr>
          <w:vertAlign w:val="superscript"/>
        </w:rPr>
        <w:t>2</w:t>
      </w:r>
      <w:r w:rsidRPr="001A1B15">
        <w:t xml:space="preserve"> IV on </w:t>
      </w:r>
      <w:r w:rsidR="00917B9D">
        <w:t>Day</w:t>
      </w:r>
      <w:r w:rsidRPr="001A1B15">
        <w:t xml:space="preserve"> 1, combined with </w:t>
      </w:r>
      <w:proofErr w:type="spellStart"/>
      <w:r w:rsidRPr="001A1B15">
        <w:t>nintedanib</w:t>
      </w:r>
      <w:proofErr w:type="spellEnd"/>
      <w:r w:rsidRPr="001A1B15">
        <w:t xml:space="preserve"> 200 mg BD on </w:t>
      </w:r>
      <w:r w:rsidR="00917B9D">
        <w:t>Day</w:t>
      </w:r>
      <w:r w:rsidRPr="001A1B15">
        <w:t>s 2</w:t>
      </w:r>
      <w:r>
        <w:t xml:space="preserve"> </w:t>
      </w:r>
      <w:r w:rsidR="004A0845">
        <w:t>to</w:t>
      </w:r>
      <w:r>
        <w:t xml:space="preserve"> </w:t>
      </w:r>
      <w:r w:rsidR="004A0845">
        <w:t>21</w:t>
      </w:r>
    </w:p>
    <w:p w14:paraId="7180CCBC" w14:textId="77777777" w:rsidR="001A1B15" w:rsidRDefault="001A1B15" w:rsidP="001A1B15">
      <w:pPr>
        <w:pStyle w:val="ListBullet"/>
      </w:pPr>
      <w:r w:rsidRPr="001A1B15">
        <w:t>Docetaxel 75 mg/</w:t>
      </w:r>
      <w:r w:rsidR="0057240D" w:rsidRPr="001A1B15">
        <w:t>m</w:t>
      </w:r>
      <w:r w:rsidR="0057240D" w:rsidRPr="0057240D">
        <w:rPr>
          <w:vertAlign w:val="superscript"/>
        </w:rPr>
        <w:t>2</w:t>
      </w:r>
      <w:r w:rsidRPr="001A1B15">
        <w:t xml:space="preserve"> IV on </w:t>
      </w:r>
      <w:r w:rsidR="00917B9D">
        <w:t>Day</w:t>
      </w:r>
      <w:r w:rsidRPr="001A1B15">
        <w:t xml:space="preserve"> </w:t>
      </w:r>
      <w:proofErr w:type="gramStart"/>
      <w:r w:rsidRPr="001A1B15">
        <w:t>1,</w:t>
      </w:r>
      <w:proofErr w:type="gramEnd"/>
      <w:r w:rsidRPr="001A1B15">
        <w:t xml:space="preserve"> combined with placebo BD on </w:t>
      </w:r>
      <w:r w:rsidR="00917B9D">
        <w:t>Day</w:t>
      </w:r>
      <w:r w:rsidRPr="001A1B15">
        <w:t>s 2</w:t>
      </w:r>
      <w:r>
        <w:t xml:space="preserve"> </w:t>
      </w:r>
      <w:r w:rsidR="004A0845">
        <w:t>to</w:t>
      </w:r>
      <w:r>
        <w:t xml:space="preserve"> </w:t>
      </w:r>
      <w:r w:rsidRPr="001A1B15">
        <w:t>21.</w:t>
      </w:r>
    </w:p>
    <w:p w14:paraId="7180CCBD" w14:textId="77777777" w:rsidR="001A1B15" w:rsidRPr="001A1B15" w:rsidRDefault="001A1B15" w:rsidP="001A1B15">
      <w:proofErr w:type="spellStart"/>
      <w:r w:rsidRPr="001A1B15">
        <w:t>Nintedanib</w:t>
      </w:r>
      <w:proofErr w:type="spellEnd"/>
      <w:r w:rsidRPr="001A1B15">
        <w:t xml:space="preserve"> was administered as 100 mg soft gel capsules (or 150 mg soft gel capsules in the event of dose reduction). The drug was</w:t>
      </w:r>
      <w:r w:rsidR="004A0845">
        <w:t xml:space="preserve"> to be administered after food.</w:t>
      </w:r>
    </w:p>
    <w:p w14:paraId="7180CCBE" w14:textId="77777777" w:rsidR="001A1B15" w:rsidRPr="001A1B15" w:rsidRDefault="001A1B15" w:rsidP="001A1B15">
      <w:r w:rsidRPr="001A1B15">
        <w:t>Do</w:t>
      </w:r>
      <w:r w:rsidR="004A0845">
        <w:t xml:space="preserve">cetaxel was administered as a 1 </w:t>
      </w:r>
      <w:r w:rsidRPr="001A1B15">
        <w:t>hour infusion. Docetaxel injection concentrate was obtained from Aventis Pharma in the UK. Subjects</w:t>
      </w:r>
      <w:r w:rsidR="004A0845">
        <w:t xml:space="preserve"> received a 3 </w:t>
      </w:r>
      <w:r w:rsidRPr="001A1B15">
        <w:t>day course of oral corticosteroids for each docetaxel administration, commencing 1 day prior to the infusion. Prior to each infusion subjects had to meet the following re-treatment criteria: absolute neutrophil count &gt; 1500/</w:t>
      </w:r>
      <w:r w:rsidR="00711FC2">
        <w:t>µL, platelets &gt; 100,000/µ</w:t>
      </w:r>
      <w:r w:rsidRPr="001A1B15">
        <w:t xml:space="preserve">L, bilirubin &lt; ULN, AST and ALT ≤ 1.5x ULN, ALKP </w:t>
      </w:r>
      <w:r w:rsidR="00711FC2">
        <w:t>≤</w:t>
      </w:r>
      <w:r w:rsidRPr="001A1B15">
        <w:t xml:space="preserve"> 2.5x ULN, no prior hypersensitivity reactions to docetaxel and peripheral neuropathy ≤ grade 2.</w:t>
      </w:r>
    </w:p>
    <w:p w14:paraId="7180CCBF" w14:textId="77777777" w:rsidR="001A1B15" w:rsidRPr="001A1B15" w:rsidRDefault="001A1B15" w:rsidP="001A1B15">
      <w:r w:rsidRPr="001A1B15">
        <w:t xml:space="preserve">Treatment was continued until disease progression, provided that treatment was tolerated, withdrawal criteria had not been met and neither the patient nor the investigator had requested discontinuation. If subjects had to discontinue treatment with docetaxel (due to reasons other than disease progression) they were permitted to continue therapy with </w:t>
      </w:r>
      <w:proofErr w:type="spellStart"/>
      <w:r w:rsidRPr="001A1B15">
        <w:t>nintedanib</w:t>
      </w:r>
      <w:proofErr w:type="spellEnd"/>
      <w:r w:rsidRPr="001A1B15">
        <w:t xml:space="preserve">/placebo as monotherapy, provided they had received at least four cycles of combination treatment. Subjects who had to discontinue treatment with </w:t>
      </w:r>
      <w:proofErr w:type="spellStart"/>
      <w:r w:rsidRPr="001A1B15">
        <w:t>nintedanib</w:t>
      </w:r>
      <w:proofErr w:type="spellEnd"/>
      <w:r w:rsidRPr="001A1B15">
        <w:t>/placebo could continue to receive treatment with docetaxel monotherapy. Th</w:t>
      </w:r>
      <w:r w:rsidR="00B35243">
        <w:t xml:space="preserve">ere was no facility for placebo </w:t>
      </w:r>
      <w:r w:rsidRPr="001A1B15">
        <w:t xml:space="preserve">treated subjects to crossover to the </w:t>
      </w:r>
      <w:proofErr w:type="spellStart"/>
      <w:r w:rsidRPr="001A1B15">
        <w:t>nintedanib</w:t>
      </w:r>
      <w:proofErr w:type="spellEnd"/>
      <w:r w:rsidRPr="001A1B15">
        <w:t xml:space="preserve"> arm after disease progression.</w:t>
      </w:r>
    </w:p>
    <w:p w14:paraId="7180CCC0" w14:textId="77777777" w:rsidR="001A1B15" w:rsidRDefault="001A1B15" w:rsidP="001A1B15">
      <w:r w:rsidRPr="001A1B15">
        <w:lastRenderedPageBreak/>
        <w:t xml:space="preserve">Dose reductions for toxicity while on combination therapy are summarised </w:t>
      </w:r>
      <w:r w:rsidRPr="00B54A34">
        <w:t>in</w:t>
      </w:r>
      <w:r w:rsidR="00B54A34" w:rsidRPr="00B54A34">
        <w:t xml:space="preserve"> Table 9</w:t>
      </w:r>
      <w:r w:rsidRPr="00B54A34">
        <w:t>. Similar</w:t>
      </w:r>
      <w:r w:rsidRPr="001A1B15">
        <w:t xml:space="preserve"> criteria were used for </w:t>
      </w:r>
      <w:proofErr w:type="spellStart"/>
      <w:r w:rsidRPr="001A1B15">
        <w:t>nintedanib</w:t>
      </w:r>
      <w:proofErr w:type="spellEnd"/>
      <w:r w:rsidRPr="001A1B15">
        <w:t xml:space="preserve"> dose reductions in patients continuing on </w:t>
      </w:r>
      <w:proofErr w:type="spellStart"/>
      <w:r w:rsidRPr="001A1B15">
        <w:t>nintedanib</w:t>
      </w:r>
      <w:proofErr w:type="spellEnd"/>
      <w:r w:rsidRPr="001A1B15">
        <w:t xml:space="preserve"> monotherapy. Two dose reductions were permitted for </w:t>
      </w:r>
      <w:proofErr w:type="spellStart"/>
      <w:r w:rsidRPr="001A1B15">
        <w:t>nintedanib</w:t>
      </w:r>
      <w:proofErr w:type="spellEnd"/>
      <w:r w:rsidRPr="001A1B15">
        <w:t xml:space="preserve"> (to 150 mg BD and then to 100 mg BD). One dose reduction was permitted for docetaxel (to 60 mg/</w:t>
      </w:r>
      <w:r w:rsidR="0057240D" w:rsidRPr="001A1B15">
        <w:t>m</w:t>
      </w:r>
      <w:r w:rsidR="0057240D" w:rsidRPr="0057240D">
        <w:rPr>
          <w:vertAlign w:val="superscript"/>
        </w:rPr>
        <w:t>2</w:t>
      </w:r>
      <w:r>
        <w:t>).</w:t>
      </w:r>
    </w:p>
    <w:p w14:paraId="7180CCC1" w14:textId="77777777" w:rsidR="00B35243" w:rsidRDefault="00B35243" w:rsidP="00B35243">
      <w:pPr>
        <w:pStyle w:val="Tabletitle"/>
      </w:pPr>
      <w:proofErr w:type="gramStart"/>
      <w:r>
        <w:t>Tabl</w:t>
      </w:r>
      <w:r w:rsidR="00B54A34">
        <w:t xml:space="preserve">e </w:t>
      </w:r>
      <w:r>
        <w:t>9</w:t>
      </w:r>
      <w:r w:rsidR="00B54A34">
        <w:t>.</w:t>
      </w:r>
      <w:proofErr w:type="gramEnd"/>
      <w:r>
        <w:t xml:space="preserve"> Study 1199.0013 Dose reductions for toxicity</w:t>
      </w:r>
      <w:r w:rsidR="0057240D">
        <w:t>.</w:t>
      </w:r>
    </w:p>
    <w:p w14:paraId="7180CCC2" w14:textId="77777777" w:rsidR="00B35243" w:rsidRPr="00B35243" w:rsidRDefault="00B35243" w:rsidP="00B35243">
      <w:r>
        <w:rPr>
          <w:noProof/>
          <w:lang w:eastAsia="en-AU"/>
        </w:rPr>
        <w:drawing>
          <wp:inline distT="0" distB="0" distL="0" distR="0" wp14:anchorId="7180CFA2" wp14:editId="56B38011">
            <wp:extent cx="4950842" cy="6266164"/>
            <wp:effectExtent l="0" t="0" r="2540" b="1905"/>
            <wp:docPr id="10" name="Picture 10" descr="Table 9. Study 1199.0013 Dose reductions for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51351" cy="6266808"/>
                    </a:xfrm>
                    <a:prstGeom prst="rect">
                      <a:avLst/>
                    </a:prstGeom>
                  </pic:spPr>
                </pic:pic>
              </a:graphicData>
            </a:graphic>
          </wp:inline>
        </w:drawing>
      </w:r>
    </w:p>
    <w:p w14:paraId="7180CCC3" w14:textId="77777777" w:rsidR="001A1B15" w:rsidRDefault="001A1B15" w:rsidP="001A1B15">
      <w:r w:rsidRPr="001A1B15">
        <w:t>The only prohibited treatments were other chemotherapy, immunotherapy, hormone therapy or radiotherapy. Palliative radiotherapy was permitted for the treatment of bone lesions in the extremities.</w:t>
      </w:r>
    </w:p>
    <w:p w14:paraId="632782A0" w14:textId="207E81E4" w:rsidR="00344693" w:rsidRDefault="001A1B15" w:rsidP="00190081">
      <w:r w:rsidRPr="00190081">
        <w:rPr>
          <w:b/>
        </w:rPr>
        <w:t xml:space="preserve">Evaluator’s </w:t>
      </w:r>
      <w:r w:rsidR="00053EB0" w:rsidRPr="00190081">
        <w:rPr>
          <w:b/>
        </w:rPr>
        <w:t>c</w:t>
      </w:r>
      <w:r w:rsidRPr="00190081">
        <w:rPr>
          <w:b/>
        </w:rPr>
        <w:t>omment</w:t>
      </w:r>
      <w:r w:rsidRPr="001A1B15">
        <w:t xml:space="preserve">: </w:t>
      </w:r>
    </w:p>
    <w:p w14:paraId="7180CCC4" w14:textId="7DCB300E" w:rsidR="001A1B15" w:rsidRPr="004B259C" w:rsidRDefault="001A1B15" w:rsidP="00344693">
      <w:r w:rsidRPr="001A1B15">
        <w:t xml:space="preserve">Docetaxel monotherapy is registered in Australia for the treatment of patients with locally advanced or metastatic non-small cell lung cancer, including those who have failed </w:t>
      </w:r>
      <w:r w:rsidR="00383820">
        <w:t xml:space="preserve">platinum </w:t>
      </w:r>
      <w:r w:rsidR="00383820">
        <w:lastRenderedPageBreak/>
        <w:t>based</w:t>
      </w:r>
      <w:r w:rsidRPr="001A1B15">
        <w:t xml:space="preserve"> chemotherapy. The approved dosage regimen is 75</w:t>
      </w:r>
      <w:r w:rsidR="00B35243">
        <w:t xml:space="preserve"> to</w:t>
      </w:r>
      <w:r>
        <w:t xml:space="preserve"> </w:t>
      </w:r>
      <w:r w:rsidRPr="001A1B15">
        <w:t>100 mg/</w:t>
      </w:r>
      <w:r w:rsidR="0057240D" w:rsidRPr="001A1B15">
        <w:t>m</w:t>
      </w:r>
      <w:r w:rsidR="0057240D" w:rsidRPr="0057240D">
        <w:rPr>
          <w:vertAlign w:val="superscript"/>
        </w:rPr>
        <w:t>2</w:t>
      </w:r>
      <w:r w:rsidRPr="001A1B15">
        <w:t xml:space="preserve"> every 3 weeks. The choice of comparator is therefore acceptable.</w:t>
      </w:r>
    </w:p>
    <w:p w14:paraId="7180CCC5" w14:textId="77777777" w:rsidR="001A1B15" w:rsidRPr="001A1B15" w:rsidRDefault="001A1B15" w:rsidP="001A1B15">
      <w:pPr>
        <w:pStyle w:val="Heading6"/>
      </w:pPr>
      <w:r w:rsidRPr="001A1B15">
        <w:t>Efficacy variables and outcomes</w:t>
      </w:r>
    </w:p>
    <w:p w14:paraId="7180CCC6" w14:textId="77777777" w:rsidR="001A1B15" w:rsidRDefault="001A1B15" w:rsidP="00B35243">
      <w:pPr>
        <w:pStyle w:val="Heading7"/>
        <w:rPr>
          <w:sz w:val="20"/>
          <w:szCs w:val="20"/>
        </w:rPr>
      </w:pPr>
      <w:r w:rsidRPr="00B35243">
        <w:rPr>
          <w:sz w:val="20"/>
          <w:szCs w:val="20"/>
        </w:rPr>
        <w:t>T</w:t>
      </w:r>
      <w:r w:rsidR="00711FC2">
        <w:rPr>
          <w:sz w:val="20"/>
          <w:szCs w:val="20"/>
        </w:rPr>
        <w:t>he main efficacy variables</w:t>
      </w:r>
    </w:p>
    <w:p w14:paraId="7180CCC7" w14:textId="77777777" w:rsidR="00711FC2" w:rsidRPr="00711FC2" w:rsidRDefault="00711FC2" w:rsidP="00711FC2">
      <w:r w:rsidRPr="00711FC2">
        <w:t>The main efficacy variables were</w:t>
      </w:r>
      <w:r>
        <w:t>:</w:t>
      </w:r>
    </w:p>
    <w:p w14:paraId="7180CCC8" w14:textId="77777777" w:rsidR="001A1B15" w:rsidRPr="001A1B15" w:rsidRDefault="00711FC2" w:rsidP="001A1B15">
      <w:pPr>
        <w:pStyle w:val="ListBullet"/>
      </w:pPr>
      <w:r>
        <w:t>Change in tumour size</w:t>
      </w:r>
    </w:p>
    <w:p w14:paraId="7180CCC9" w14:textId="77777777" w:rsidR="001A1B15" w:rsidRPr="001A1B15" w:rsidRDefault="00711FC2" w:rsidP="001A1B15">
      <w:pPr>
        <w:pStyle w:val="ListBullet"/>
      </w:pPr>
      <w:r>
        <w:t>Survival</w:t>
      </w:r>
    </w:p>
    <w:p w14:paraId="7180CCCA" w14:textId="77777777" w:rsidR="001A1B15" w:rsidRPr="001A1B15" w:rsidRDefault="001A1B15" w:rsidP="001A1B15">
      <w:pPr>
        <w:pStyle w:val="ListBullet"/>
      </w:pPr>
      <w:r w:rsidRPr="001A1B15">
        <w:t>Quality of life (</w:t>
      </w:r>
      <w:proofErr w:type="spellStart"/>
      <w:r w:rsidRPr="001A1B15">
        <w:t>QoL</w:t>
      </w:r>
      <w:proofErr w:type="spellEnd"/>
      <w:r w:rsidRPr="001A1B15">
        <w:t>) measures.</w:t>
      </w:r>
    </w:p>
    <w:p w14:paraId="7180CCCB" w14:textId="77777777" w:rsidR="001A1B15" w:rsidRDefault="001A1B15" w:rsidP="001A1B15">
      <w:r w:rsidRPr="001A1B15">
        <w:t>The primary e</w:t>
      </w:r>
      <w:r w:rsidR="0057240D">
        <w:t xml:space="preserve">fficacy outcome was progression </w:t>
      </w:r>
      <w:r w:rsidRPr="001A1B15">
        <w:t>free survival (PFS), as assessed by a blinded central review panel. PFS was defined as the duration of time from date of randomisation to date of progression or death (whichever occurs earlier).</w:t>
      </w:r>
    </w:p>
    <w:p w14:paraId="7180CCCC" w14:textId="77777777" w:rsidR="001A1B15" w:rsidRDefault="001A1B15" w:rsidP="001A1B15">
      <w:pPr>
        <w:pStyle w:val="Heading7"/>
        <w:rPr>
          <w:sz w:val="20"/>
          <w:szCs w:val="20"/>
        </w:rPr>
      </w:pPr>
      <w:r w:rsidRPr="00B35243">
        <w:rPr>
          <w:sz w:val="20"/>
          <w:szCs w:val="20"/>
        </w:rPr>
        <w:t>O</w:t>
      </w:r>
      <w:r w:rsidR="00711FC2">
        <w:rPr>
          <w:sz w:val="20"/>
          <w:szCs w:val="20"/>
        </w:rPr>
        <w:t>ther efficacy outcomes</w:t>
      </w:r>
    </w:p>
    <w:p w14:paraId="7180CCCD" w14:textId="77777777" w:rsidR="00711FC2" w:rsidRPr="00711FC2" w:rsidRDefault="00711FC2" w:rsidP="00711FC2">
      <w:r w:rsidRPr="00B35243">
        <w:t>O</w:t>
      </w:r>
      <w:r>
        <w:t>ther efficacy outcomes included:</w:t>
      </w:r>
    </w:p>
    <w:p w14:paraId="7180CCCE" w14:textId="77777777" w:rsidR="001A1B15" w:rsidRPr="001A1B15" w:rsidRDefault="001A1B15" w:rsidP="001A1B15">
      <w:pPr>
        <w:pStyle w:val="ListBullet"/>
      </w:pPr>
      <w:r w:rsidRPr="001A1B15">
        <w:t>Overall survival (OS), defined as the duration of time from date of randomisation to time of death (irrespective of cause).</w:t>
      </w:r>
    </w:p>
    <w:p w14:paraId="7180CCCF" w14:textId="77777777" w:rsidR="001A1B15" w:rsidRPr="001A1B15" w:rsidRDefault="0057240D" w:rsidP="001A1B15">
      <w:pPr>
        <w:pStyle w:val="ListBullet"/>
      </w:pPr>
      <w:r>
        <w:t xml:space="preserve">Objective tumour response; </w:t>
      </w:r>
      <w:r w:rsidR="00E448CC">
        <w:t>that is</w:t>
      </w:r>
      <w:r w:rsidR="001A1B15" w:rsidRPr="001A1B15">
        <w:t xml:space="preserve"> the proportion of subjects who achieved a partial response (PR) or complete response (CR). Responses had to be confirmed by imaging at least fou</w:t>
      </w:r>
      <w:r w:rsidR="001A1B15">
        <w:t>r weeks after first documented.</w:t>
      </w:r>
    </w:p>
    <w:p w14:paraId="7180CCD0" w14:textId="77777777" w:rsidR="001A1B15" w:rsidRPr="001A1B15" w:rsidRDefault="001A1B15" w:rsidP="001A1B15">
      <w:pPr>
        <w:pStyle w:val="ListBullet"/>
      </w:pPr>
      <w:r w:rsidRPr="001A1B15">
        <w:t>Time to objective response, defined as the time from randomization to the dat</w:t>
      </w:r>
      <w:r>
        <w:t>e of first documented CR or PR.</w:t>
      </w:r>
    </w:p>
    <w:p w14:paraId="7180CCD1" w14:textId="77777777" w:rsidR="001A1B15" w:rsidRPr="001A1B15" w:rsidRDefault="001A1B15" w:rsidP="001A1B15">
      <w:pPr>
        <w:pStyle w:val="ListBullet"/>
      </w:pPr>
      <w:r w:rsidRPr="001A1B15">
        <w:t>Duration of objective response, defined as the time from first documented CR or PR to the time of progression or death.</w:t>
      </w:r>
    </w:p>
    <w:p w14:paraId="7180CCD2" w14:textId="77777777" w:rsidR="001A1B15" w:rsidRPr="001A1B15" w:rsidRDefault="00E448CC" w:rsidP="001A1B15">
      <w:pPr>
        <w:pStyle w:val="ListBullet"/>
      </w:pPr>
      <w:r>
        <w:t>Disease control rate (DCR);</w:t>
      </w:r>
      <w:r w:rsidR="001A1B15" w:rsidRPr="001A1B15">
        <w:t xml:space="preserve"> </w:t>
      </w:r>
      <w:r>
        <w:t>that is</w:t>
      </w:r>
      <w:r w:rsidR="001A1B15" w:rsidRPr="001A1B15">
        <w:t xml:space="preserve"> the proportion of patients who achieved PR, CR or stable disease (SD). A best response of SD could only be assigned if it occurred at least six weeks after randomisation. SD did not require a confirmatory scan.</w:t>
      </w:r>
    </w:p>
    <w:p w14:paraId="7180CCD3" w14:textId="77777777" w:rsidR="001A1B15" w:rsidRPr="001A1B15" w:rsidRDefault="001A1B15" w:rsidP="001A1B15">
      <w:pPr>
        <w:pStyle w:val="ListBullet"/>
      </w:pPr>
      <w:r w:rsidRPr="001A1B15">
        <w:t>Duration of disease control, defined as the duration from date of randomization until progression or death (whichever occurs earlier), among patients with disease control.</w:t>
      </w:r>
    </w:p>
    <w:p w14:paraId="7180CCD4" w14:textId="77777777" w:rsidR="001A1B15" w:rsidRPr="001A1B15" w:rsidRDefault="001A1B15" w:rsidP="001A1B15">
      <w:pPr>
        <w:pStyle w:val="ListBullet"/>
      </w:pPr>
      <w:r w:rsidRPr="001A1B15">
        <w:t>Tumour shrinkage. The two treatment groups were to be compared in terms of the maximum decrease in the sum of the longest diameters of all target lesions.</w:t>
      </w:r>
    </w:p>
    <w:p w14:paraId="7180CCD5" w14:textId="77777777" w:rsidR="001A1B15" w:rsidRPr="001A1B15" w:rsidRDefault="001A1B15" w:rsidP="001A1B15">
      <w:pPr>
        <w:pStyle w:val="ListBullet"/>
      </w:pPr>
      <w:r w:rsidRPr="001A1B15">
        <w:t>Clinical improvement, defined as time to deterioration in body weight (</w:t>
      </w:r>
      <w:r w:rsidR="00E448CC">
        <w:t>that is</w:t>
      </w:r>
      <w:r w:rsidR="0057240D">
        <w:t xml:space="preserve"> a loss of &gt; </w:t>
      </w:r>
      <w:r w:rsidRPr="001A1B15">
        <w:t>10%) and time to deterioration in ECOG performance status (any increase in ECOG PS category).</w:t>
      </w:r>
    </w:p>
    <w:p w14:paraId="7180CCD6" w14:textId="77777777" w:rsidR="001A1B15" w:rsidRPr="001A1B15" w:rsidRDefault="001A1B15" w:rsidP="001A1B15">
      <w:pPr>
        <w:pStyle w:val="ListBullet"/>
      </w:pPr>
      <w:proofErr w:type="spellStart"/>
      <w:r w:rsidRPr="001A1B15">
        <w:t>QoL</w:t>
      </w:r>
      <w:proofErr w:type="spellEnd"/>
      <w:r w:rsidRPr="001A1B15">
        <w:t xml:space="preserve"> as measure</w:t>
      </w:r>
      <w:r>
        <w:t>d by the following instruments:</w:t>
      </w:r>
    </w:p>
    <w:p w14:paraId="7180CCD7" w14:textId="77777777" w:rsidR="001A1B15" w:rsidRPr="001A1B15" w:rsidRDefault="001A1B15" w:rsidP="001A1B15">
      <w:pPr>
        <w:pStyle w:val="ListBullet2"/>
      </w:pPr>
      <w:r w:rsidRPr="001A1B15">
        <w:t>The EQ-5D health status self-assessment questionnaire</w:t>
      </w:r>
      <w:r>
        <w:t>.</w:t>
      </w:r>
    </w:p>
    <w:p w14:paraId="7180CCD8" w14:textId="77777777" w:rsidR="001A1B15" w:rsidRPr="001A1B15" w:rsidRDefault="001A1B15" w:rsidP="001A1B15">
      <w:pPr>
        <w:pStyle w:val="ListBullet2"/>
      </w:pPr>
      <w:r w:rsidRPr="001A1B15">
        <w:t>The EORTC QLQ-C30 questionnaire and its lung cancer module EORTC QLQ-LC13.</w:t>
      </w:r>
    </w:p>
    <w:p w14:paraId="7180CCD9" w14:textId="77777777" w:rsidR="001A1B15" w:rsidRDefault="001A1B15" w:rsidP="001A1B15">
      <w:pPr>
        <w:pStyle w:val="ListBullet2"/>
        <w:numPr>
          <w:ilvl w:val="0"/>
          <w:numId w:val="0"/>
        </w:numPr>
        <w:ind w:left="360"/>
      </w:pPr>
      <w:r w:rsidRPr="001A1B15">
        <w:t>Details of these instruments are summarised in</w:t>
      </w:r>
      <w:r w:rsidR="00B54A34">
        <w:t xml:space="preserve"> </w:t>
      </w:r>
      <w:r w:rsidR="00B54A34" w:rsidRPr="00B54A34">
        <w:t>Table 10</w:t>
      </w:r>
      <w:r w:rsidRPr="00B54A34">
        <w:t>. The study</w:t>
      </w:r>
      <w:r w:rsidRPr="001A1B15">
        <w:t xml:space="preserve"> reports did not present any results for the ED-5Q. The only results presented for the EORTC QLQ-C30 and QLQ-LC13 were analyses of time to deterioration in cough, dyspnoea and pain.</w:t>
      </w:r>
    </w:p>
    <w:p w14:paraId="7180CCDA" w14:textId="77777777" w:rsidR="00B54A34" w:rsidRDefault="00B54A34" w:rsidP="00B54A34">
      <w:pPr>
        <w:pStyle w:val="Tabletitle"/>
      </w:pPr>
      <w:proofErr w:type="gramStart"/>
      <w:r>
        <w:lastRenderedPageBreak/>
        <w:t>Table 1</w:t>
      </w:r>
      <w:r w:rsidRPr="00B54A34">
        <w:t>0</w:t>
      </w:r>
      <w:r>
        <w:t>.</w:t>
      </w:r>
      <w:proofErr w:type="gramEnd"/>
      <w:r w:rsidRPr="00B54A34">
        <w:t xml:space="preserve"> </w:t>
      </w:r>
      <w:proofErr w:type="gramStart"/>
      <w:r w:rsidR="00711FC2">
        <w:t>Study 1199.0013;</w:t>
      </w:r>
      <w:r>
        <w:t xml:space="preserve"> Quality of life instruments</w:t>
      </w:r>
      <w:r w:rsidR="00711FC2">
        <w:t>.</w:t>
      </w:r>
      <w:proofErr w:type="gramEnd"/>
    </w:p>
    <w:tbl>
      <w:tblPr>
        <w:tblStyle w:val="TableGrid"/>
        <w:tblW w:w="0" w:type="auto"/>
        <w:tblLook w:val="04A0" w:firstRow="1" w:lastRow="0" w:firstColumn="1" w:lastColumn="0" w:noHBand="0" w:noVBand="1"/>
      </w:tblPr>
      <w:tblGrid>
        <w:gridCol w:w="2518"/>
        <w:gridCol w:w="6724"/>
      </w:tblGrid>
      <w:tr w:rsidR="00B54A34" w14:paraId="7180CCDD" w14:textId="77777777" w:rsidTr="00A11596">
        <w:trPr>
          <w:cantSplit/>
          <w:tblHeader/>
        </w:trPr>
        <w:tc>
          <w:tcPr>
            <w:tcW w:w="2518" w:type="dxa"/>
          </w:tcPr>
          <w:p w14:paraId="7180CCDB" w14:textId="77777777" w:rsidR="00B54A34" w:rsidRPr="000508C6" w:rsidRDefault="00B54A34" w:rsidP="00190081">
            <w:pPr>
              <w:rPr>
                <w:lang w:val="it-IT"/>
              </w:rPr>
            </w:pPr>
            <w:r w:rsidRPr="000508C6">
              <w:rPr>
                <w:lang w:val="it-IT"/>
              </w:rPr>
              <w:t>EuroQoL Five-Dimension (EQ-5D)</w:t>
            </w:r>
          </w:p>
        </w:tc>
        <w:tc>
          <w:tcPr>
            <w:tcW w:w="6724" w:type="dxa"/>
          </w:tcPr>
          <w:p w14:paraId="7180CCDC" w14:textId="77777777" w:rsidR="00B54A34" w:rsidRDefault="00B54A34" w:rsidP="00190081">
            <w:r>
              <w:t xml:space="preserve">This is a generic measure of </w:t>
            </w:r>
            <w:proofErr w:type="spellStart"/>
            <w:r>
              <w:t>QoL</w:t>
            </w:r>
            <w:proofErr w:type="spellEnd"/>
            <w:r>
              <w:t>. It consists of a questionnaire (index) and a visual analogue scale (VAS). The questionnaire has five ‘dimensions’ (mobility, self-care, usual activities, pain/discomfort and anxiety/depression). For each dimension, answers range from 1 to 3, depending on whether the subject perceives no problems (=</w:t>
            </w:r>
            <w:r w:rsidR="00711FC2">
              <w:t xml:space="preserve"> </w:t>
            </w:r>
            <w:r>
              <w:t>1), some problems (=</w:t>
            </w:r>
            <w:r w:rsidR="00711FC2">
              <w:t xml:space="preserve"> </w:t>
            </w:r>
            <w:r>
              <w:t>2), or significant problems (=</w:t>
            </w:r>
            <w:r w:rsidR="00711FC2">
              <w:t xml:space="preserve"> </w:t>
            </w:r>
            <w:r>
              <w:t>3) in that aspect of their health. The VAS asks the subject to rate his or her current health state from 0 (‘worst imaginable health state’) to 100 (‘best imaginable health state’).</w:t>
            </w:r>
          </w:p>
        </w:tc>
      </w:tr>
      <w:tr w:rsidR="00B54A34" w14:paraId="7180CCE2" w14:textId="77777777" w:rsidTr="00A11596">
        <w:trPr>
          <w:cantSplit/>
          <w:tblHeader/>
        </w:trPr>
        <w:tc>
          <w:tcPr>
            <w:tcW w:w="2518" w:type="dxa"/>
          </w:tcPr>
          <w:p w14:paraId="7180CCDE" w14:textId="77777777" w:rsidR="00B54A34" w:rsidRPr="00B54A34" w:rsidRDefault="00B54A34" w:rsidP="00190081">
            <w:pPr>
              <w:rPr>
                <w:szCs w:val="24"/>
              </w:rPr>
            </w:pPr>
            <w:r w:rsidRPr="00B54A34">
              <w:t>European Organisation for Research and Treatment of Cancer Quality of Life Questionnaire Core 30 (EORTC QLQ-C30)</w:t>
            </w:r>
          </w:p>
        </w:tc>
        <w:tc>
          <w:tcPr>
            <w:tcW w:w="6724" w:type="dxa"/>
          </w:tcPr>
          <w:p w14:paraId="7180CCDF" w14:textId="77777777" w:rsidR="00B54A34" w:rsidRDefault="00B54A34" w:rsidP="00190081">
            <w:r>
              <w:t>The EORTC QLQ-C30 is a cancer-specific 30-item questionnaire. It incorp</w:t>
            </w:r>
            <w:r w:rsidR="00711FC2">
              <w:t xml:space="preserve">orates five functional domains </w:t>
            </w:r>
            <w:r>
              <w:t xml:space="preserve">- physical functioning (5 items), role functioning (2 items), emotional functioning (4 items), cognitive functioning (2 items) and social functioning (2 items). </w:t>
            </w:r>
            <w:r w:rsidRPr="00835EDE">
              <w:t>It also includes questions on a variety of symptoms - pain (2 items), fatigue (3 items), nausea and</w:t>
            </w:r>
            <w:r>
              <w:t xml:space="preserve"> vomiting (2 items) and single items on insomnia, loss of appetite, constipation, diarrhoea, dyspnoea and financial difficulties. Each of these 28 items is scored on a scale of 1 (‘not at all’) to 4 (‘very much’). Two additional items ask about global health status and overall quality of life (GHS/</w:t>
            </w:r>
            <w:proofErr w:type="spellStart"/>
            <w:r>
              <w:t>QoL</w:t>
            </w:r>
            <w:proofErr w:type="spellEnd"/>
            <w:r>
              <w:t xml:space="preserve">) </w:t>
            </w:r>
            <w:r w:rsidR="00711FC2">
              <w:t xml:space="preserve">and these are scored on a seven </w:t>
            </w:r>
            <w:r>
              <w:t>point scale from 1 (‘very poor’) to 7 (‘excellent’). Subjects are asked to assess functioning and sym</w:t>
            </w:r>
            <w:r w:rsidR="00711FC2">
              <w:t>ptoms over the preceding week.</w:t>
            </w:r>
          </w:p>
          <w:p w14:paraId="7180CCE0" w14:textId="77777777" w:rsidR="00B54A34" w:rsidRDefault="00B54A34" w:rsidP="00190081">
            <w:r>
              <w:t>Raw scores are transformed to obtain a score between 0 and 100 points. For the functional domains, a high score means a better level of functioning, whereas for the symptom scores a higher score means worse symptoms. For the GHS/</w:t>
            </w:r>
            <w:proofErr w:type="spellStart"/>
            <w:r>
              <w:t>QoL</w:t>
            </w:r>
            <w:proofErr w:type="spellEnd"/>
            <w:r>
              <w:t xml:space="preserve"> domain, higher scores mean better GHS/</w:t>
            </w:r>
            <w:proofErr w:type="spellStart"/>
            <w:r>
              <w:t>QoL</w:t>
            </w:r>
            <w:proofErr w:type="spellEnd"/>
            <w:r>
              <w:t xml:space="preserve">. </w:t>
            </w:r>
            <w:r w:rsidRPr="00D84C43">
              <w:t>Minimally important differences (MIDs) have been categor</w:t>
            </w:r>
            <w:r w:rsidR="00937772">
              <w:t>ise</w:t>
            </w:r>
            <w:r w:rsidRPr="00D84C43">
              <w:t>d as ‘small’ if</w:t>
            </w:r>
            <w:r w:rsidR="00711FC2">
              <w:t xml:space="preserve"> the mean change in scores is 5 to 10 points, ‘moderate’ if 10 to </w:t>
            </w:r>
            <w:r w:rsidRPr="00D84C43">
              <w:t>20 po</w:t>
            </w:r>
            <w:r>
              <w:t xml:space="preserve">ints, and ‘large’ if </w:t>
            </w:r>
            <w:r w:rsidR="007A330A">
              <w:t>&gt; 2</w:t>
            </w:r>
            <w:r>
              <w:t xml:space="preserve">0 </w:t>
            </w:r>
            <w:r w:rsidRPr="000F3584">
              <w:t xml:space="preserve">points </w:t>
            </w:r>
            <w:r w:rsidRPr="000F3584">
              <w:rPr>
                <w:vertAlign w:val="superscript"/>
              </w:rPr>
              <w:t>(</w:t>
            </w:r>
            <w:r>
              <w:rPr>
                <w:vertAlign w:val="superscript"/>
              </w:rPr>
              <w:t>1</w:t>
            </w:r>
            <w:r w:rsidRPr="000F3584">
              <w:rPr>
                <w:vertAlign w:val="superscript"/>
              </w:rPr>
              <w:t>)</w:t>
            </w:r>
            <w:r w:rsidRPr="000F3584">
              <w:t>.</w:t>
            </w:r>
            <w:r w:rsidR="00711FC2">
              <w:t xml:space="preserve"> </w:t>
            </w:r>
          </w:p>
          <w:p w14:paraId="7180CCE1" w14:textId="77777777" w:rsidR="00B54A34" w:rsidRDefault="00B54A34" w:rsidP="00190081">
            <w:r w:rsidRPr="000508C6">
              <w:rPr>
                <w:lang w:val="fr-FR"/>
              </w:rPr>
              <w:t xml:space="preserve">The EORTC QLQ-LC13 module comprises 13 questions. </w:t>
            </w:r>
            <w:r>
              <w:t>It incorporates one 3-item scale to assess dyspnoea, and a series of single items assessing pain, coughing, sore mouth, dysphagia, peripheral neuropathy, alopecia, and haemoptysis. Each of the 13 items is scored on a scale of 1 (‘not at all’) to 4 (‘very much’).</w:t>
            </w:r>
          </w:p>
        </w:tc>
      </w:tr>
    </w:tbl>
    <w:p w14:paraId="7180CCE3" w14:textId="77777777" w:rsidR="00B54A34" w:rsidRPr="00B54A34" w:rsidRDefault="00B54A34" w:rsidP="00BE50C8">
      <w:pPr>
        <w:pStyle w:val="TableDescription"/>
      </w:pPr>
      <w:r w:rsidRPr="00655E2B">
        <w:t xml:space="preserve">(1) </w:t>
      </w:r>
      <w:proofErr w:type="spellStart"/>
      <w:r w:rsidRPr="00655E2B">
        <w:t>Osoba</w:t>
      </w:r>
      <w:proofErr w:type="spellEnd"/>
      <w:r w:rsidRPr="00655E2B">
        <w:t xml:space="preserve"> D, Rodrigues G, Myles J et al. Interpreting the significance of changes in health-related quality-of-life scores.</w:t>
      </w:r>
      <w:r w:rsidRPr="00655E2B">
        <w:rPr>
          <w:i/>
        </w:rPr>
        <w:t xml:space="preserve"> J </w:t>
      </w:r>
      <w:proofErr w:type="spellStart"/>
      <w:r w:rsidRPr="00655E2B">
        <w:rPr>
          <w:i/>
        </w:rPr>
        <w:t>Clin</w:t>
      </w:r>
      <w:proofErr w:type="spellEnd"/>
      <w:r w:rsidRPr="00655E2B">
        <w:rPr>
          <w:i/>
        </w:rPr>
        <w:t xml:space="preserve"> </w:t>
      </w:r>
      <w:proofErr w:type="spellStart"/>
      <w:r w:rsidRPr="00655E2B">
        <w:rPr>
          <w:i/>
        </w:rPr>
        <w:t>Oncol</w:t>
      </w:r>
      <w:proofErr w:type="spellEnd"/>
      <w:r w:rsidRPr="00655E2B">
        <w:t>; 1998; 16: 139-144.</w:t>
      </w:r>
    </w:p>
    <w:p w14:paraId="7180CCE4" w14:textId="77777777" w:rsidR="001A1B15" w:rsidRPr="001A1B15" w:rsidRDefault="001A1B15" w:rsidP="001A1B15">
      <w:r w:rsidRPr="001A1B15">
        <w:t xml:space="preserve">For all efficacy measures, PR, CR, SD and progressive disease (PD) were defined according to a modified version of the Response Evaluation Criteria </w:t>
      </w:r>
      <w:proofErr w:type="gramStart"/>
      <w:r w:rsidRPr="001A1B15">
        <w:t>In</w:t>
      </w:r>
      <w:proofErr w:type="gramEnd"/>
      <w:r w:rsidRPr="001A1B15">
        <w:t xml:space="preserve"> Soli</w:t>
      </w:r>
      <w:r w:rsidR="00711FC2">
        <w:t>d Tumours (RECIST) version 1.0 (12)</w:t>
      </w:r>
      <w:r w:rsidRPr="001A1B15">
        <w:t>. A central, blinded review panel undertook assessment of response and disease progression. Two independent specialist radiologists reviewed all scans and a third radiologist acted as an adjudicator if required. An oncologist then assessed all available patient data. Investigator-assessed results for several of the above</w:t>
      </w:r>
      <w:r w:rsidR="00B54A34">
        <w:t xml:space="preserve"> endpoints were also presented.</w:t>
      </w:r>
    </w:p>
    <w:p w14:paraId="7180CCE5" w14:textId="77777777" w:rsidR="001A1B15" w:rsidRDefault="001A1B15" w:rsidP="001A1B15">
      <w:r w:rsidRPr="001A1B15">
        <w:t xml:space="preserve">Baseline scans (CT or MRI) were to be obtained within 4 weeks of commencement of study treatment. Between 1 and 10 target lesions were identified for follow up. Scans were to be repeated every 6 weeks after the first administration of docetaxel. The same scan method used initially (CT or MRI) was used for follow up. Measurement of bodyweight, ECOG performance status and </w:t>
      </w:r>
      <w:proofErr w:type="spellStart"/>
      <w:r w:rsidRPr="001A1B15">
        <w:t>QoL</w:t>
      </w:r>
      <w:proofErr w:type="spellEnd"/>
      <w:r w:rsidRPr="001A1B15">
        <w:t xml:space="preserve"> was performed every 3 weeks (on </w:t>
      </w:r>
      <w:r w:rsidR="00917B9D">
        <w:t>Day</w:t>
      </w:r>
      <w:r w:rsidRPr="001A1B15">
        <w:t xml:space="preserve"> 1 of each cycle). Subjects who discontinued treatment were followed up every 6</w:t>
      </w:r>
      <w:r>
        <w:t xml:space="preserve"> </w:t>
      </w:r>
      <w:r w:rsidR="00B1362B">
        <w:t>to</w:t>
      </w:r>
      <w:r>
        <w:t xml:space="preserve"> </w:t>
      </w:r>
      <w:r w:rsidRPr="001A1B15">
        <w:t>8 weeks for overall survival.</w:t>
      </w:r>
    </w:p>
    <w:p w14:paraId="76FF7F05" w14:textId="36BF0DA9" w:rsidR="00344693" w:rsidRPr="00A11596" w:rsidRDefault="001A1B15" w:rsidP="00190081">
      <w:pPr>
        <w:pageBreakBefore/>
      </w:pPr>
      <w:r w:rsidRPr="00190081">
        <w:rPr>
          <w:b/>
        </w:rPr>
        <w:lastRenderedPageBreak/>
        <w:t xml:space="preserve">Evaluator’s </w:t>
      </w:r>
      <w:r w:rsidR="00190081" w:rsidRPr="00190081">
        <w:rPr>
          <w:b/>
        </w:rPr>
        <w:t>c</w:t>
      </w:r>
      <w:r w:rsidRPr="00190081">
        <w:rPr>
          <w:b/>
        </w:rPr>
        <w:t>omment</w:t>
      </w:r>
      <w:r w:rsidRPr="00A11596">
        <w:t xml:space="preserve">: </w:t>
      </w:r>
    </w:p>
    <w:p w14:paraId="7180CCE6" w14:textId="5A0E7341" w:rsidR="001A1B15" w:rsidRPr="004B259C" w:rsidRDefault="001A1B15" w:rsidP="00190081">
      <w:r w:rsidRPr="00A11596">
        <w:t>The measures of efficacy were standard for oncology studies. According to the EMA guidelines adopted by the TGA</w:t>
      </w:r>
      <w:r w:rsidR="00711FC2" w:rsidRPr="00A11596">
        <w:t xml:space="preserve"> (3,</w:t>
      </w:r>
      <w:r w:rsidR="00A11596" w:rsidRPr="00A11596">
        <w:t xml:space="preserve"> </w:t>
      </w:r>
      <w:r w:rsidR="00711FC2" w:rsidRPr="00A11596">
        <w:t>5)</w:t>
      </w:r>
      <w:r w:rsidRPr="00A11596">
        <w:t xml:space="preserve">, PFS is an acceptable primary endpoint for </w:t>
      </w:r>
      <w:r w:rsidR="00094D89" w:rsidRPr="00A11596">
        <w:t>Phase</w:t>
      </w:r>
      <w:r w:rsidRPr="00A11596">
        <w:t xml:space="preserve"> III studies in NSCLC.</w:t>
      </w:r>
    </w:p>
    <w:p w14:paraId="7180CCE7" w14:textId="77777777" w:rsidR="001A1B15" w:rsidRPr="001A1B15" w:rsidRDefault="001A1B15" w:rsidP="001A1B15">
      <w:pPr>
        <w:pStyle w:val="Heading6"/>
      </w:pPr>
      <w:r w:rsidRPr="001A1B15">
        <w:t>Randomisation and blinding methods</w:t>
      </w:r>
    </w:p>
    <w:p w14:paraId="7180CCE8" w14:textId="77777777" w:rsidR="001A1B15" w:rsidRPr="001A1B15" w:rsidRDefault="001A1B15" w:rsidP="001A1B15">
      <w:r w:rsidRPr="001A1B15">
        <w:t xml:space="preserve">Subjects were randomised 1:1 to treatment via a third party interactive voice (phone) or web-based response system. Randomisation was performed in blocks of four. All persons directly involved in the conduct and analysis of the trial had no access to the treatment allocation prior to </w:t>
      </w:r>
      <w:proofErr w:type="spellStart"/>
      <w:r w:rsidRPr="001A1B15">
        <w:t>unblinding</w:t>
      </w:r>
      <w:proofErr w:type="spellEnd"/>
      <w:r w:rsidRPr="001A1B15">
        <w:t xml:space="preserve"> for the primary analysis. Randomisation was stratified according to the following baseline factors: ECOG performance score (0 </w:t>
      </w:r>
      <w:r w:rsidR="00B54A34">
        <w:t>versus</w:t>
      </w:r>
      <w:r w:rsidRPr="001A1B15">
        <w:t xml:space="preserve"> 1), squamous </w:t>
      </w:r>
      <w:r w:rsidR="00B54A34">
        <w:t xml:space="preserve">versus non </w:t>
      </w:r>
      <w:r w:rsidRPr="001A1B15">
        <w:t>squamous histology, presence or absence of brain metastases and previous bevacizumab therapy (yes or no).</w:t>
      </w:r>
    </w:p>
    <w:p w14:paraId="7180CCE9" w14:textId="77777777" w:rsidR="001A1B15" w:rsidRDefault="001A1B15" w:rsidP="001A1B15">
      <w:r w:rsidRPr="001A1B15">
        <w:t xml:space="preserve">Blinding was achieved through the use of placebo soft gel capsules that were matched to the </w:t>
      </w:r>
      <w:proofErr w:type="spellStart"/>
      <w:r w:rsidRPr="001A1B15">
        <w:t>nintedanib</w:t>
      </w:r>
      <w:proofErr w:type="spellEnd"/>
      <w:r w:rsidRPr="001A1B15">
        <w:t xml:space="preserve"> capsules.</w:t>
      </w:r>
    </w:p>
    <w:p w14:paraId="7180CCEA" w14:textId="77777777" w:rsidR="001A1B15" w:rsidRPr="001A1B15" w:rsidRDefault="001A1B15" w:rsidP="001A1B15">
      <w:pPr>
        <w:pStyle w:val="Heading6"/>
      </w:pPr>
      <w:r w:rsidRPr="001A1B15">
        <w:t>Analysis populations</w:t>
      </w:r>
    </w:p>
    <w:p w14:paraId="7180CCEB" w14:textId="77777777" w:rsidR="001A1B15" w:rsidRPr="001A1B15" w:rsidRDefault="001A1B15" w:rsidP="001A1B15">
      <w:r w:rsidRPr="001A1B15">
        <w:t>Four analysis populations were defined:</w:t>
      </w:r>
    </w:p>
    <w:p w14:paraId="7180CCEC" w14:textId="77777777" w:rsidR="001A1B15" w:rsidRPr="001A1B15" w:rsidRDefault="001A1B15" w:rsidP="00190081">
      <w:pPr>
        <w:pStyle w:val="ListBullet"/>
      </w:pPr>
      <w:r w:rsidRPr="001A1B15">
        <w:t>The screened set (SS) included all patients who had given their informed consent.</w:t>
      </w:r>
    </w:p>
    <w:p w14:paraId="7180CCED" w14:textId="77777777" w:rsidR="001A1B15" w:rsidRPr="001A1B15" w:rsidRDefault="001A1B15" w:rsidP="001A1B15">
      <w:pPr>
        <w:pStyle w:val="ListBullet"/>
      </w:pPr>
      <w:r w:rsidRPr="001A1B15">
        <w:t>The randomised set (RS) included all randomised patients, whether patients had received study treatment or not. Patients were allocated to the treatment groups as randomised, regardless of the actual medication taken. Efficacy analyses were based on the RS.</w:t>
      </w:r>
    </w:p>
    <w:p w14:paraId="7180CCEE" w14:textId="77777777" w:rsidR="001A1B15" w:rsidRPr="001A1B15" w:rsidRDefault="001A1B15" w:rsidP="001A1B15">
      <w:pPr>
        <w:pStyle w:val="ListBullet"/>
      </w:pPr>
      <w:r w:rsidRPr="001A1B15">
        <w:t>The treated set (TS) included all randomised patients who were documented to have taken at least 1 dose of study medication (</w:t>
      </w:r>
      <w:r w:rsidR="00E448CC">
        <w:t>that is</w:t>
      </w:r>
      <w:r w:rsidRPr="001A1B15">
        <w:t xml:space="preserve"> docetaxel or </w:t>
      </w:r>
      <w:proofErr w:type="spellStart"/>
      <w:r w:rsidRPr="001A1B15">
        <w:t>nintedanib</w:t>
      </w:r>
      <w:proofErr w:type="spellEnd"/>
      <w:r w:rsidRPr="001A1B15">
        <w:t>/placebo). Patients were allocated to the treatment groups according to the treatment actually received. The TS was used for safety analyses.</w:t>
      </w:r>
    </w:p>
    <w:p w14:paraId="7180CCEF" w14:textId="77777777" w:rsidR="001A1B15" w:rsidRPr="001A1B15" w:rsidDel="0081373E" w:rsidRDefault="001A1B15" w:rsidP="001A1B15">
      <w:pPr>
        <w:pStyle w:val="ListBullet"/>
      </w:pPr>
      <w:r w:rsidRPr="001A1B15">
        <w:t>The safety set (SFS) included all patients who were documented to have received at least 1 dose of investigational treatment (</w:t>
      </w:r>
      <w:r w:rsidR="00E448CC">
        <w:t>that is</w:t>
      </w:r>
      <w:r w:rsidRPr="001A1B15">
        <w:t xml:space="preserve"> </w:t>
      </w:r>
      <w:proofErr w:type="spellStart"/>
      <w:r w:rsidRPr="001A1B15">
        <w:t>nintedanib</w:t>
      </w:r>
      <w:proofErr w:type="spellEnd"/>
      <w:r w:rsidRPr="001A1B15">
        <w:t xml:space="preserve"> or placebo).</w:t>
      </w:r>
    </w:p>
    <w:p w14:paraId="7180CCF0" w14:textId="77777777" w:rsidR="001A1B15" w:rsidRPr="001A1B15" w:rsidDel="0081373E" w:rsidRDefault="001A1B15" w:rsidP="001A1B15">
      <w:pPr>
        <w:pStyle w:val="Heading6"/>
      </w:pPr>
      <w:r w:rsidRPr="001A1B15" w:rsidDel="0081373E">
        <w:t>Sample size</w:t>
      </w:r>
    </w:p>
    <w:p w14:paraId="7180CCF1" w14:textId="77777777" w:rsidR="001A1B15" w:rsidRPr="001A1B15" w:rsidRDefault="001A1B15" w:rsidP="001A1B15">
      <w:r w:rsidRPr="001A1B15">
        <w:t xml:space="preserve">It was assumed that median PFS for docetaxel was 4 months and that combination with </w:t>
      </w:r>
      <w:proofErr w:type="spellStart"/>
      <w:r w:rsidRPr="001A1B15">
        <w:t>nintedanib</w:t>
      </w:r>
      <w:proofErr w:type="spellEnd"/>
      <w:r w:rsidRPr="001A1B15">
        <w:t xml:space="preserve"> would increase this by 28</w:t>
      </w:r>
      <w:r w:rsidR="00B1362B">
        <w:t>%</w:t>
      </w:r>
      <w:r>
        <w:t xml:space="preserve"> </w:t>
      </w:r>
      <w:r w:rsidR="00B54A34">
        <w:t>to</w:t>
      </w:r>
      <w:r>
        <w:t xml:space="preserve"> </w:t>
      </w:r>
      <w:r w:rsidRPr="001A1B15">
        <w:t>32%. The trial was planned to achieve a statistical power of 90% for PFS and 80% for OS, and the null hypothesis (no difference between treatments) would be rejected if statistical si</w:t>
      </w:r>
      <w:r w:rsidR="00B54A34">
        <w:t xml:space="preserve">gnificance was reached at the 2 </w:t>
      </w:r>
      <w:r w:rsidRPr="001A1B15">
        <w:t xml:space="preserve">sided 0.05 </w:t>
      </w:r>
      <w:proofErr w:type="gramStart"/>
      <w:r w:rsidRPr="001A1B15">
        <w:t>level</w:t>
      </w:r>
      <w:proofErr w:type="gramEnd"/>
      <w:r w:rsidRPr="001A1B15">
        <w:t>. It was calculated that a total of 713 PFS events would be required to achieve 90% power for PFS. Assuming a median overall survival of 9 months for docetaxel monotherapy and an 18% increase in median survival with combination treatment, it was calculated that 1</w:t>
      </w:r>
      <w:r w:rsidR="00B54A34">
        <w:t>,</w:t>
      </w:r>
      <w:r w:rsidRPr="001A1B15">
        <w:t>151 deaths would be required to achieve a statistical power of 80% for OS. This number of deaths was expected to occur within 48 months if 1</w:t>
      </w:r>
      <w:r w:rsidR="00B54A34">
        <w:t>,</w:t>
      </w:r>
      <w:r w:rsidRPr="001A1B15">
        <w:t>300 patients were recruited at a rate of 45</w:t>
      </w:r>
      <w:r>
        <w:t xml:space="preserve"> </w:t>
      </w:r>
      <w:r w:rsidR="00B54A34">
        <w:t>to</w:t>
      </w:r>
      <w:r>
        <w:t xml:space="preserve"> </w:t>
      </w:r>
      <w:r w:rsidRPr="001A1B15">
        <w:t>60 per month. The planned sample siz</w:t>
      </w:r>
      <w:r>
        <w:t>e was therefore set at 1</w:t>
      </w:r>
      <w:r w:rsidR="00B54A34">
        <w:t>,</w:t>
      </w:r>
      <w:r>
        <w:t>300.</w:t>
      </w:r>
    </w:p>
    <w:p w14:paraId="7180CCF2" w14:textId="77777777" w:rsidR="001A1B15" w:rsidRPr="001A1B15" w:rsidRDefault="001A1B15" w:rsidP="001A1B15">
      <w:pPr>
        <w:pStyle w:val="Heading6"/>
      </w:pPr>
      <w:r w:rsidRPr="001A1B15">
        <w:t>Statistical methods</w:t>
      </w:r>
    </w:p>
    <w:p w14:paraId="7180CCF3" w14:textId="77777777" w:rsidR="001A1B15" w:rsidRPr="001A1B15" w:rsidRDefault="001A1B15" w:rsidP="001A1B15">
      <w:r w:rsidRPr="001A1B15">
        <w:t>For the primary en</w:t>
      </w:r>
      <w:r w:rsidR="00B54A34">
        <w:t xml:space="preserve">dpoint of PFS, a stratified log </w:t>
      </w:r>
      <w:r w:rsidRPr="001A1B15">
        <w:t xml:space="preserve">rank test was used to test for the difference between </w:t>
      </w:r>
      <w:proofErr w:type="spellStart"/>
      <w:r w:rsidRPr="001A1B15">
        <w:t>nintedanib</w:t>
      </w:r>
      <w:proofErr w:type="spellEnd"/>
      <w:r w:rsidRPr="001A1B15">
        <w:t xml:space="preserve"> and placebo. Kaplan-Meier analyses were presented. A Cox proportional hazards model was used as a sensitivity analysis. Subgroup analyses were performed using the same statistical </w:t>
      </w:r>
      <w:r>
        <w:t>method as the primary analysis.</w:t>
      </w:r>
    </w:p>
    <w:p w14:paraId="7180CCF4" w14:textId="77777777" w:rsidR="001A1B15" w:rsidRPr="001A1B15" w:rsidRDefault="001A1B15" w:rsidP="001A1B15">
      <w:r w:rsidRPr="001A1B15">
        <w:t>OS was to be analysed using the same methods used for PFS. The analyses conducted for OS were amended during the trial. This is discussed further below.</w:t>
      </w:r>
    </w:p>
    <w:p w14:paraId="7180CCF5" w14:textId="77777777" w:rsidR="001A1B15" w:rsidRPr="004B259C" w:rsidRDefault="001A1B15" w:rsidP="001A1B15">
      <w:r w:rsidRPr="001A1B15">
        <w:t xml:space="preserve">For objective response rate and DCR, logistic regression was used to compare rates between the two treatments. Duration of response/DCR and time to objective response were analysed using Kaplan-Meier estimates. Change in tumour size was analysed using analysis of variance </w:t>
      </w:r>
      <w:r w:rsidRPr="001A1B15">
        <w:lastRenderedPageBreak/>
        <w:t xml:space="preserve">(ANOVA). Time to deterioration of body weight and ECOG status were analysed using the same </w:t>
      </w:r>
      <w:r>
        <w:t xml:space="preserve">method as for PFS. For </w:t>
      </w:r>
      <w:proofErr w:type="spellStart"/>
      <w:r>
        <w:t>QoL</w:t>
      </w:r>
      <w:proofErr w:type="spellEnd"/>
      <w:r>
        <w:t xml:space="preserve"> measures, the time to deterioration in cough, dyspnoea and pain were analysed using the same method as for PFS.</w:t>
      </w:r>
    </w:p>
    <w:p w14:paraId="7180CCF6" w14:textId="77777777" w:rsidR="001A1B15" w:rsidRPr="001A1B15" w:rsidRDefault="001A1B15" w:rsidP="001A1B15">
      <w:pPr>
        <w:pStyle w:val="Heading6"/>
      </w:pPr>
      <w:r w:rsidRPr="001A1B15">
        <w:t>Participant flow</w:t>
      </w:r>
    </w:p>
    <w:p w14:paraId="7180CCF7" w14:textId="77777777" w:rsidR="001A1B15" w:rsidRDefault="001A1B15" w:rsidP="001A1B15">
      <w:r w:rsidRPr="001A1B15">
        <w:t>A total of 1</w:t>
      </w:r>
      <w:r w:rsidR="00B54A34">
        <w:t>,</w:t>
      </w:r>
      <w:r w:rsidRPr="001A1B15">
        <w:t>773 subjects were screened and 1</w:t>
      </w:r>
      <w:r w:rsidR="00B54A34">
        <w:t>,</w:t>
      </w:r>
      <w:r w:rsidRPr="001A1B15">
        <w:t xml:space="preserve">314 subjects were randomised (655 to </w:t>
      </w:r>
      <w:proofErr w:type="spellStart"/>
      <w:r w:rsidRPr="001A1B15">
        <w:t>nintedanib</w:t>
      </w:r>
      <w:proofErr w:type="spellEnd"/>
      <w:r w:rsidRPr="001A1B15">
        <w:t xml:space="preserve"> and 659 to placebo). The most common reason for non-randomisation was that the subjects did not meet the inclusion or exclusion criteria (n</w:t>
      </w:r>
      <w:r>
        <w:t xml:space="preserve"> </w:t>
      </w:r>
      <w:r w:rsidRPr="001A1B15">
        <w:t>=</w:t>
      </w:r>
      <w:r>
        <w:t xml:space="preserve"> </w:t>
      </w:r>
      <w:r w:rsidRPr="001A1B15">
        <w:t>362). P</w:t>
      </w:r>
      <w:r w:rsidR="00B54A34">
        <w:t>articipant flow is summarised in Figure 4</w:t>
      </w:r>
      <w:r w:rsidRPr="001A1B15">
        <w:t xml:space="preserve">, analysis sets in </w:t>
      </w:r>
      <w:r w:rsidR="00335107">
        <w:t xml:space="preserve">Table 11 </w:t>
      </w:r>
      <w:r w:rsidRPr="001A1B15">
        <w:t>and patient disposition in</w:t>
      </w:r>
      <w:r w:rsidR="00335107">
        <w:t xml:space="preserve"> Table 12</w:t>
      </w:r>
      <w:r w:rsidRPr="001A1B15">
        <w:t>. At the time of data cut-off (15 February 2013), only 11 subjects were still receiving study treatment.</w:t>
      </w:r>
    </w:p>
    <w:p w14:paraId="5A7BE196" w14:textId="77777777" w:rsidR="00190081" w:rsidRDefault="00B54A34" w:rsidP="00873D3D">
      <w:pPr>
        <w:pStyle w:val="FigureTitle"/>
      </w:pPr>
      <w:proofErr w:type="gramStart"/>
      <w:r>
        <w:t>Figure 4</w:t>
      </w:r>
      <w:r w:rsidR="00711FC2">
        <w:t>.</w:t>
      </w:r>
      <w:proofErr w:type="gramEnd"/>
      <w:r>
        <w:t xml:space="preserve"> Study 1199.0013: Participant flow</w:t>
      </w:r>
      <w:r w:rsidR="00711FC2">
        <w:t>.</w:t>
      </w:r>
    </w:p>
    <w:p w14:paraId="7180CCF9" w14:textId="5D8A257C" w:rsidR="00B54A34" w:rsidRDefault="00B54A34" w:rsidP="00190081">
      <w:r>
        <w:rPr>
          <w:noProof/>
          <w:lang w:eastAsia="en-AU"/>
        </w:rPr>
        <w:drawing>
          <wp:inline distT="0" distB="0" distL="0" distR="0" wp14:anchorId="7180CFA4" wp14:editId="7E36D228">
            <wp:extent cx="3582098" cy="3999798"/>
            <wp:effectExtent l="0" t="0" r="0" b="1270"/>
            <wp:docPr id="11" name="Picture 11" descr="Figure 4. Study 1199.0013: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585758" cy="4003884"/>
                    </a:xfrm>
                    <a:prstGeom prst="rect">
                      <a:avLst/>
                    </a:prstGeom>
                  </pic:spPr>
                </pic:pic>
              </a:graphicData>
            </a:graphic>
          </wp:inline>
        </w:drawing>
      </w:r>
    </w:p>
    <w:p w14:paraId="7180CCFA" w14:textId="77777777" w:rsidR="00335107" w:rsidRDefault="00335107" w:rsidP="00335107">
      <w:pPr>
        <w:pStyle w:val="Tabletitle"/>
      </w:pPr>
      <w:proofErr w:type="gramStart"/>
      <w:r>
        <w:t>Table 11.</w:t>
      </w:r>
      <w:proofErr w:type="gramEnd"/>
      <w:r>
        <w:t xml:space="preserve"> Study 1199.0013 – Analysis sets.</w:t>
      </w:r>
    </w:p>
    <w:p w14:paraId="7180CCFB" w14:textId="77777777" w:rsidR="00335107" w:rsidRDefault="00335107" w:rsidP="00335107">
      <w:r>
        <w:rPr>
          <w:noProof/>
          <w:lang w:eastAsia="en-AU"/>
        </w:rPr>
        <w:drawing>
          <wp:inline distT="0" distB="0" distL="0" distR="0" wp14:anchorId="7180CFA6" wp14:editId="48EA71D4">
            <wp:extent cx="3522964" cy="828560"/>
            <wp:effectExtent l="0" t="0" r="1905" b="0"/>
            <wp:docPr id="12" name="Picture 12" descr="Table 11. Study 1199.0013 –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30717" cy="830383"/>
                    </a:xfrm>
                    <a:prstGeom prst="rect">
                      <a:avLst/>
                    </a:prstGeom>
                  </pic:spPr>
                </pic:pic>
              </a:graphicData>
            </a:graphic>
          </wp:inline>
        </w:drawing>
      </w:r>
    </w:p>
    <w:p w14:paraId="17CCF8C4" w14:textId="77777777" w:rsidR="00190081" w:rsidRDefault="00335107" w:rsidP="00873D3D">
      <w:pPr>
        <w:pStyle w:val="Tabletitle"/>
      </w:pPr>
      <w:proofErr w:type="gramStart"/>
      <w:r>
        <w:lastRenderedPageBreak/>
        <w:t>Table 12</w:t>
      </w:r>
      <w:r w:rsidR="00711FC2">
        <w:t>.</w:t>
      </w:r>
      <w:proofErr w:type="gramEnd"/>
      <w:r>
        <w:t xml:space="preserve"> </w:t>
      </w:r>
      <w:proofErr w:type="gramStart"/>
      <w:r>
        <w:t>Study 1199.0013</w:t>
      </w:r>
      <w:r w:rsidR="00711FC2">
        <w:t>.</w:t>
      </w:r>
      <w:proofErr w:type="gramEnd"/>
      <w:r>
        <w:t xml:space="preserve"> </w:t>
      </w:r>
      <w:proofErr w:type="gramStart"/>
      <w:r>
        <w:t>Patient disposition.</w:t>
      </w:r>
      <w:proofErr w:type="gramEnd"/>
    </w:p>
    <w:p w14:paraId="7180CCFD" w14:textId="2D702E34" w:rsidR="00335107" w:rsidRPr="00335107" w:rsidRDefault="00335107" w:rsidP="00190081">
      <w:r>
        <w:rPr>
          <w:noProof/>
          <w:lang w:eastAsia="en-AU"/>
        </w:rPr>
        <w:drawing>
          <wp:inline distT="0" distB="0" distL="0" distR="0" wp14:anchorId="7180CFA8" wp14:editId="3FC7F7D9">
            <wp:extent cx="3646380" cy="2497340"/>
            <wp:effectExtent l="0" t="0" r="0" b="0"/>
            <wp:docPr id="13" name="Picture 13" descr="Table 12. Study 1199.0013.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46380" cy="2497340"/>
                    </a:xfrm>
                    <a:prstGeom prst="rect">
                      <a:avLst/>
                    </a:prstGeom>
                  </pic:spPr>
                </pic:pic>
              </a:graphicData>
            </a:graphic>
          </wp:inline>
        </w:drawing>
      </w:r>
    </w:p>
    <w:p w14:paraId="7180CCFE" w14:textId="77777777" w:rsidR="001A1B15" w:rsidRPr="001A1B15" w:rsidRDefault="001A1B15" w:rsidP="001A1B15">
      <w:pPr>
        <w:pStyle w:val="Heading6"/>
      </w:pPr>
      <w:r w:rsidRPr="001A1B15">
        <w:t>Major protocol violations/deviations</w:t>
      </w:r>
    </w:p>
    <w:p w14:paraId="7180CCFF" w14:textId="77777777" w:rsidR="001A1B15" w:rsidRPr="001A1B15" w:rsidRDefault="001A1B15" w:rsidP="001A1B15">
      <w:r w:rsidRPr="001A1B15">
        <w:t xml:space="preserve">Important protocol violations were defined as those that could potentially impact on the efficacy assessments or </w:t>
      </w:r>
      <w:r w:rsidR="00B1362B">
        <w:t>the patients’ rights or safety.</w:t>
      </w:r>
    </w:p>
    <w:p w14:paraId="2896AE24" w14:textId="4F27F65A" w:rsidR="00344693" w:rsidRPr="00344693" w:rsidRDefault="001A1B15" w:rsidP="00190081">
      <w:r w:rsidRPr="00190081">
        <w:rPr>
          <w:b/>
        </w:rPr>
        <w:t xml:space="preserve">Evaluator’s </w:t>
      </w:r>
      <w:r w:rsidR="00190081" w:rsidRPr="00190081">
        <w:rPr>
          <w:b/>
        </w:rPr>
        <w:t>c</w:t>
      </w:r>
      <w:r w:rsidRPr="00190081">
        <w:rPr>
          <w:b/>
        </w:rPr>
        <w:t>omment</w:t>
      </w:r>
      <w:r w:rsidRPr="00344693">
        <w:t xml:space="preserve">: </w:t>
      </w:r>
    </w:p>
    <w:p w14:paraId="7180CD00" w14:textId="37A35273" w:rsidR="001A1B15" w:rsidRPr="001A1B15" w:rsidRDefault="001A1B15" w:rsidP="00344693">
      <w:r w:rsidRPr="00344693">
        <w:t>Important protocol violations were uncommon and were balanced between the two treatment arms. It is unlikely that they would have affected the outcomes of the study.</w:t>
      </w:r>
    </w:p>
    <w:p w14:paraId="7180CD01" w14:textId="77777777" w:rsidR="001A1B15" w:rsidRPr="001A1B15" w:rsidRDefault="001A1B15" w:rsidP="001A1B15">
      <w:pPr>
        <w:pStyle w:val="Heading6"/>
      </w:pPr>
      <w:r w:rsidRPr="001A1B15">
        <w:t>Baseline data</w:t>
      </w:r>
    </w:p>
    <w:p w14:paraId="7180CD02" w14:textId="77777777" w:rsidR="001A1B15" w:rsidRPr="001A1B15" w:rsidRDefault="001A1B15" w:rsidP="001A1B15">
      <w:r w:rsidRPr="001A1B15">
        <w:t xml:space="preserve">Baseline demographics </w:t>
      </w:r>
      <w:r w:rsidR="00711FC2">
        <w:t>were</w:t>
      </w:r>
      <w:r w:rsidRPr="001A1B15">
        <w:t xml:space="preserve"> summarised</w:t>
      </w:r>
      <w:r w:rsidR="00711FC2">
        <w:t>. Some</w:t>
      </w:r>
      <w:r w:rsidRPr="001A1B15">
        <w:t xml:space="preserve"> 31.5% of the population were aged ≥ 65 years and approximately 75% were current or ex- smokers. The two groups were well balanced with respect to demographic characteristics.</w:t>
      </w:r>
    </w:p>
    <w:p w14:paraId="7180CD03" w14:textId="77777777" w:rsidR="001A1B15" w:rsidRDefault="001A1B15" w:rsidP="001A1B15">
      <w:r w:rsidRPr="001A1B15">
        <w:t xml:space="preserve">Stratification factors at baseline are summarised in </w:t>
      </w:r>
      <w:r w:rsidR="00335107">
        <w:t>Table 13</w:t>
      </w:r>
      <w:r w:rsidRPr="001A1B15">
        <w:t xml:space="preserve"> and other disease characteristics in</w:t>
      </w:r>
      <w:r w:rsidR="00B1362B">
        <w:t xml:space="preserve"> Table 14</w:t>
      </w:r>
      <w:r w:rsidRPr="001A1B15">
        <w:t>. The two groups were well balanced with respect to these characteristics. The two groups were also well balanced with respect to prior 1st-line chemotherapy and other prior therapies.</w:t>
      </w:r>
    </w:p>
    <w:p w14:paraId="7180CD04" w14:textId="77777777" w:rsidR="00335107" w:rsidRDefault="00335107" w:rsidP="00335107">
      <w:pPr>
        <w:pStyle w:val="Tabletitle"/>
      </w:pPr>
      <w:proofErr w:type="gramStart"/>
      <w:r>
        <w:lastRenderedPageBreak/>
        <w:t>Table 13.</w:t>
      </w:r>
      <w:proofErr w:type="gramEnd"/>
      <w:r>
        <w:t xml:space="preserve"> </w:t>
      </w:r>
      <w:r w:rsidRPr="00335107">
        <w:t>Study 1199.0013 - Stratification factors at baseline</w:t>
      </w:r>
      <w:r>
        <w:t>.</w:t>
      </w:r>
    </w:p>
    <w:p w14:paraId="7180CD05" w14:textId="77777777" w:rsidR="00335107" w:rsidRDefault="00335107" w:rsidP="00335107">
      <w:r>
        <w:rPr>
          <w:noProof/>
          <w:lang w:eastAsia="en-AU"/>
        </w:rPr>
        <w:drawing>
          <wp:inline distT="0" distB="0" distL="0" distR="0" wp14:anchorId="7180CFAA" wp14:editId="4DDBD61D">
            <wp:extent cx="4492437" cy="3046130"/>
            <wp:effectExtent l="0" t="0" r="3810" b="1905"/>
            <wp:docPr id="14" name="Picture 14" descr="Table 13. Study 1199.0013 - Stratification factor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95837" cy="3048435"/>
                    </a:xfrm>
                    <a:prstGeom prst="rect">
                      <a:avLst/>
                    </a:prstGeom>
                  </pic:spPr>
                </pic:pic>
              </a:graphicData>
            </a:graphic>
          </wp:inline>
        </w:drawing>
      </w:r>
    </w:p>
    <w:p w14:paraId="7180CD06" w14:textId="77777777" w:rsidR="00335107" w:rsidRDefault="00711FC2" w:rsidP="00335107">
      <w:pPr>
        <w:pStyle w:val="Tabletitle"/>
      </w:pPr>
      <w:proofErr w:type="gramStart"/>
      <w:r>
        <w:lastRenderedPageBreak/>
        <w:t>Table 14.</w:t>
      </w:r>
      <w:proofErr w:type="gramEnd"/>
      <w:r w:rsidR="00335107">
        <w:t xml:space="preserve"> Study 1199.0013 – Disease characteristics at baseline</w:t>
      </w:r>
      <w:r>
        <w:t>.</w:t>
      </w:r>
    </w:p>
    <w:p w14:paraId="7180CD07" w14:textId="77777777" w:rsidR="00335107" w:rsidRPr="00335107" w:rsidRDefault="00335107" w:rsidP="00335107">
      <w:r>
        <w:rPr>
          <w:noProof/>
          <w:lang w:eastAsia="en-AU"/>
        </w:rPr>
        <w:drawing>
          <wp:inline distT="0" distB="0" distL="0" distR="0" wp14:anchorId="7180CFAC" wp14:editId="07B6FD27">
            <wp:extent cx="4472327" cy="6726169"/>
            <wp:effectExtent l="0" t="0" r="4445" b="0"/>
            <wp:docPr id="15" name="Picture 15" descr="Table 14. Study 1199.0013 – Disease characteristic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77397" cy="6733793"/>
                    </a:xfrm>
                    <a:prstGeom prst="rect">
                      <a:avLst/>
                    </a:prstGeom>
                  </pic:spPr>
                </pic:pic>
              </a:graphicData>
            </a:graphic>
          </wp:inline>
        </w:drawing>
      </w:r>
    </w:p>
    <w:p w14:paraId="7180CD08" w14:textId="77777777" w:rsidR="001A1B15" w:rsidRPr="001A1B15" w:rsidRDefault="001A1B15" w:rsidP="001A1B15">
      <w:pPr>
        <w:pStyle w:val="Heading6"/>
      </w:pPr>
      <w:r w:rsidRPr="001A1B15">
        <w:t>Results for the primary efficacy outcome</w:t>
      </w:r>
    </w:p>
    <w:p w14:paraId="7180CD09" w14:textId="77777777" w:rsidR="001A1B15" w:rsidRDefault="001A1B15" w:rsidP="005A6456">
      <w:r w:rsidRPr="005A6456">
        <w:t xml:space="preserve">The primary analysis for PFS was scheduled to occur after 713 PFS events. </w:t>
      </w:r>
      <w:r w:rsidR="00793B9F">
        <w:t xml:space="preserve">Some </w:t>
      </w:r>
      <w:r w:rsidRPr="005A6456">
        <w:t>714 PFS events had occurred by 2 November 2010 and this was chosen as the date of data cut-off. At this stage only 1</w:t>
      </w:r>
      <w:r w:rsidR="00793B9F">
        <w:t>,</w:t>
      </w:r>
      <w:r w:rsidRPr="005A6456">
        <w:t xml:space="preserve">134 subjects had been randomised (565 to </w:t>
      </w:r>
      <w:proofErr w:type="spellStart"/>
      <w:r w:rsidRPr="005A6456">
        <w:t>nintedanib</w:t>
      </w:r>
      <w:proofErr w:type="spellEnd"/>
      <w:r w:rsidRPr="005A6456">
        <w:t xml:space="preserve"> and 569 to placebo). Of these, 375 placebo subjects had experienced a PFS event (346 with disease progression and 29 died) compared to 339 </w:t>
      </w:r>
      <w:proofErr w:type="spellStart"/>
      <w:r w:rsidRPr="005A6456">
        <w:t>nintedanib</w:t>
      </w:r>
      <w:proofErr w:type="spellEnd"/>
      <w:r w:rsidRPr="005A6456">
        <w:t xml:space="preserve"> patients (291 with disease progression and 48 died). Results for the primary PFS analysis are shown in </w:t>
      </w:r>
      <w:r w:rsidR="00793B9F">
        <w:t xml:space="preserve">Table 15. </w:t>
      </w:r>
      <w:proofErr w:type="spellStart"/>
      <w:r w:rsidRPr="005A6456">
        <w:t>Nintedanib</w:t>
      </w:r>
      <w:proofErr w:type="spellEnd"/>
      <w:r w:rsidRPr="005A6456">
        <w:t xml:space="preserve"> treatment was associated with a statistically significant reduction in the risk of progression or death (hazard ratio [HR]: 0.79; 95%CI: 0.68 – 0.92; p=0.0019). Median PFS was prolonged from 2.7 months to 3.4 months.</w:t>
      </w:r>
    </w:p>
    <w:p w14:paraId="7180CD0A" w14:textId="77777777" w:rsidR="00793B9F" w:rsidRDefault="00793B9F" w:rsidP="00793B9F">
      <w:pPr>
        <w:pStyle w:val="Tabletitle"/>
      </w:pPr>
      <w:proofErr w:type="gramStart"/>
      <w:r>
        <w:lastRenderedPageBreak/>
        <w:t>Table 15.</w:t>
      </w:r>
      <w:proofErr w:type="gramEnd"/>
      <w:r>
        <w:t xml:space="preserve"> </w:t>
      </w:r>
      <w:proofErr w:type="gramStart"/>
      <w:r>
        <w:t>Study 1199.0013.</w:t>
      </w:r>
      <w:proofErr w:type="gramEnd"/>
      <w:r>
        <w:t xml:space="preserve"> </w:t>
      </w:r>
      <w:proofErr w:type="gramStart"/>
      <w:r>
        <w:t>Primary analysis of PFS (Primary endpoint).</w:t>
      </w:r>
      <w:proofErr w:type="gramEnd"/>
    </w:p>
    <w:p w14:paraId="7180CD0B" w14:textId="77777777" w:rsidR="00793B9F" w:rsidRDefault="00793B9F" w:rsidP="00793B9F">
      <w:r>
        <w:rPr>
          <w:noProof/>
          <w:lang w:eastAsia="en-AU"/>
        </w:rPr>
        <w:drawing>
          <wp:inline distT="0" distB="0" distL="0" distR="0" wp14:anchorId="7180CFAE" wp14:editId="0D3DCD15">
            <wp:extent cx="4330778" cy="1924790"/>
            <wp:effectExtent l="0" t="0" r="0" b="0"/>
            <wp:docPr id="16" name="Picture 16" descr="Table 15. Study 1199.0013. Primary analysis of PFS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36806" cy="1927469"/>
                    </a:xfrm>
                    <a:prstGeom prst="rect">
                      <a:avLst/>
                    </a:prstGeom>
                  </pic:spPr>
                </pic:pic>
              </a:graphicData>
            </a:graphic>
          </wp:inline>
        </w:drawing>
      </w:r>
    </w:p>
    <w:p w14:paraId="7180CD0C" w14:textId="77777777" w:rsidR="001A1B15" w:rsidRPr="005A6456" w:rsidRDefault="001A1B15" w:rsidP="005A6456">
      <w:r w:rsidRPr="005A6456">
        <w:t xml:space="preserve">A sensitivity analysis was conducted with a Cox proportional hazards model, fitted with the four stratification factors as covariates. This also demonstrated a statistically significant benefit for </w:t>
      </w:r>
      <w:proofErr w:type="spellStart"/>
      <w:r w:rsidRPr="005A6456">
        <w:t>nintedanib</w:t>
      </w:r>
      <w:proofErr w:type="spellEnd"/>
      <w:r w:rsidRPr="005A6456">
        <w:t xml:space="preserve"> treatment (HR: 0.77; 95%CI: 0.67 – 0.89; p</w:t>
      </w:r>
      <w:r w:rsidR="005A6456">
        <w:t xml:space="preserve"> </w:t>
      </w:r>
      <w:r w:rsidRPr="005A6456">
        <w:t>=</w:t>
      </w:r>
      <w:r w:rsidR="005A6456">
        <w:t xml:space="preserve"> </w:t>
      </w:r>
      <w:r w:rsidRPr="005A6456">
        <w:t>0.0005). Subgroup analyses showed a consistent benefit</w:t>
      </w:r>
      <w:r w:rsidR="005A6456">
        <w:t xml:space="preserve"> across all subgroups examined.</w:t>
      </w:r>
    </w:p>
    <w:p w14:paraId="7180CD0D" w14:textId="77777777" w:rsidR="001A1B15" w:rsidRDefault="00BE66E7" w:rsidP="001A1B15">
      <w:r>
        <w:t xml:space="preserve">A follow </w:t>
      </w:r>
      <w:r w:rsidR="001A1B15" w:rsidRPr="005A6456">
        <w:t>up analysis for PFS was conducted at the time of the final OS analysis (date of data cut-off 15 February 2013). At this stage all 1</w:t>
      </w:r>
      <w:r w:rsidR="00A462F4">
        <w:t>,</w:t>
      </w:r>
      <w:r w:rsidR="001A1B15" w:rsidRPr="005A6456">
        <w:t xml:space="preserve">314 subjects had been randomised. Of these 538 placebo subjects had experienced a PFS event (497 with disease progression and 41 died) compared to 519 </w:t>
      </w:r>
      <w:proofErr w:type="spellStart"/>
      <w:r w:rsidR="001A1B15" w:rsidRPr="005A6456">
        <w:t>nintedanib</w:t>
      </w:r>
      <w:proofErr w:type="spellEnd"/>
      <w:r w:rsidR="001A1B15" w:rsidRPr="005A6456">
        <w:t xml:space="preserve"> patients (455 with disease progression and 64 died). Results for the primary PFS analysis are shown in</w:t>
      </w:r>
      <w:r w:rsidR="00A462F4">
        <w:t xml:space="preserve"> Figure 5</w:t>
      </w:r>
      <w:r w:rsidR="001A1B15" w:rsidRPr="005A6456">
        <w:t>. Results were comparable to those obtained with the primary analysis (HR: 0.85; 95%CI: 0.75 – 0.96; p</w:t>
      </w:r>
      <w:r w:rsidR="005A6456">
        <w:t xml:space="preserve"> </w:t>
      </w:r>
      <w:r w:rsidR="001A1B15" w:rsidRPr="005A6456">
        <w:t>=</w:t>
      </w:r>
      <w:r w:rsidR="005A6456">
        <w:t xml:space="preserve"> </w:t>
      </w:r>
      <w:r w:rsidR="001A1B15" w:rsidRPr="005A6456">
        <w:t>0.0070). Median PFS was prolonged</w:t>
      </w:r>
      <w:r w:rsidR="005A6456">
        <w:t xml:space="preserve"> from 2.7 months to 3.5 months.</w:t>
      </w:r>
    </w:p>
    <w:p w14:paraId="7180CD0E" w14:textId="77777777" w:rsidR="00A462F4" w:rsidRDefault="00A462F4" w:rsidP="00A462F4">
      <w:pPr>
        <w:pStyle w:val="FigureTitle"/>
      </w:pPr>
      <w:proofErr w:type="gramStart"/>
      <w:r>
        <w:t>Figure 5.</w:t>
      </w:r>
      <w:proofErr w:type="gramEnd"/>
      <w:r>
        <w:t xml:space="preserve"> </w:t>
      </w:r>
      <w:r w:rsidRPr="00A462F4">
        <w:t>Study 1199.0013 – Follow-up analysis of PFS</w:t>
      </w:r>
      <w:r>
        <w:t>.</w:t>
      </w:r>
    </w:p>
    <w:p w14:paraId="7180CD0F" w14:textId="77777777" w:rsidR="00A462F4" w:rsidRPr="004B259C" w:rsidRDefault="00A462F4" w:rsidP="001A1B15">
      <w:r>
        <w:rPr>
          <w:noProof/>
          <w:lang w:eastAsia="en-AU"/>
        </w:rPr>
        <w:drawing>
          <wp:inline distT="0" distB="0" distL="0" distR="0" wp14:anchorId="7180CFB0" wp14:editId="2DF50C28">
            <wp:extent cx="4788482" cy="3085399"/>
            <wp:effectExtent l="0" t="0" r="0" b="1270"/>
            <wp:docPr id="18" name="Picture 18" descr="Figure 5. Study 1199.0013 – Follow-up analysis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791153" cy="3087120"/>
                    </a:xfrm>
                    <a:prstGeom prst="rect">
                      <a:avLst/>
                    </a:prstGeom>
                  </pic:spPr>
                </pic:pic>
              </a:graphicData>
            </a:graphic>
          </wp:inline>
        </w:drawing>
      </w:r>
    </w:p>
    <w:p w14:paraId="7180CD10" w14:textId="77777777" w:rsidR="001A1B15" w:rsidRPr="005A6456" w:rsidRDefault="001A1B15" w:rsidP="005A6456">
      <w:pPr>
        <w:pStyle w:val="Heading6"/>
      </w:pPr>
      <w:r w:rsidRPr="005A6456">
        <w:t>Results for other efficacy outcomes</w:t>
      </w:r>
    </w:p>
    <w:p w14:paraId="7180CD11" w14:textId="77777777" w:rsidR="001A1B15" w:rsidRPr="005A6456" w:rsidRDefault="001A1B15" w:rsidP="001A1B15">
      <w:r w:rsidRPr="005A6456">
        <w:t>For the secondary endpoints, results are presented from the final study report (date of data cut-off 15 February 2013).</w:t>
      </w:r>
    </w:p>
    <w:p w14:paraId="7180CD12" w14:textId="77777777" w:rsidR="001A1B15" w:rsidRPr="00711FC2" w:rsidRDefault="001A1B15" w:rsidP="005A6456">
      <w:pPr>
        <w:pStyle w:val="Heading7"/>
        <w:rPr>
          <w:sz w:val="20"/>
          <w:szCs w:val="20"/>
        </w:rPr>
      </w:pPr>
      <w:r w:rsidRPr="00711FC2">
        <w:rPr>
          <w:sz w:val="20"/>
          <w:szCs w:val="20"/>
        </w:rPr>
        <w:lastRenderedPageBreak/>
        <w:t>Overall survival</w:t>
      </w:r>
    </w:p>
    <w:p w14:paraId="7180CD13" w14:textId="77777777" w:rsidR="001A1B15" w:rsidRPr="005A6456" w:rsidRDefault="001A1B15" w:rsidP="005A6456">
      <w:r w:rsidRPr="005A6456">
        <w:t xml:space="preserve">Study 1199.0013 was conducted together with another study (1199.0014), which compared </w:t>
      </w:r>
      <w:proofErr w:type="spellStart"/>
      <w:r w:rsidRPr="005A6456">
        <w:t>pemetrexed</w:t>
      </w:r>
      <w:proofErr w:type="spellEnd"/>
      <w:r w:rsidRPr="005A6456">
        <w:t>/</w:t>
      </w:r>
      <w:proofErr w:type="spellStart"/>
      <w:r w:rsidRPr="005A6456">
        <w:t>nintedanib</w:t>
      </w:r>
      <w:proofErr w:type="spellEnd"/>
      <w:r w:rsidRPr="005A6456">
        <w:t xml:space="preserve"> with </w:t>
      </w:r>
      <w:proofErr w:type="spellStart"/>
      <w:r w:rsidRPr="005A6456">
        <w:t>pemetrexed</w:t>
      </w:r>
      <w:proofErr w:type="spellEnd"/>
      <w:r w:rsidRPr="005A6456">
        <w:t xml:space="preserve">/placebo in subjects with advanced/metastatic NSCLC after failure of 1st line chemotherapy. This study failed an interim analysis for futility, and was terminated because the primary efficacy objective was unlikely to be met. The sponsor performed exploratory analyses of both 1199.0013 and 199.0014 in an attempt to identify a subgroup of patients who would benefit from </w:t>
      </w:r>
      <w:proofErr w:type="spellStart"/>
      <w:r w:rsidRPr="005A6456">
        <w:t>nintedanib</w:t>
      </w:r>
      <w:proofErr w:type="spellEnd"/>
      <w:r w:rsidRPr="005A6456">
        <w:t xml:space="preserve"> treatment. These analyses suggested that, in subjects with non-squamous histology, who had a short period of time between start 1st line chemotherapy and enrolment into the </w:t>
      </w:r>
      <w:proofErr w:type="spellStart"/>
      <w:r w:rsidRPr="005A6456">
        <w:t>nintedanib</w:t>
      </w:r>
      <w:proofErr w:type="spellEnd"/>
      <w:r w:rsidRPr="005A6456">
        <w:t xml:space="preserve"> study, </w:t>
      </w:r>
      <w:proofErr w:type="spellStart"/>
      <w:r w:rsidRPr="005A6456">
        <w:t>nintedanib</w:t>
      </w:r>
      <w:proofErr w:type="spellEnd"/>
      <w:r w:rsidRPr="005A6456">
        <w:t xml:space="preserve"> produced a significant benefit compared to placebo. Furthermore, this effect was largely driven by subjects</w:t>
      </w:r>
      <w:r w:rsidR="005A6456">
        <w:t xml:space="preserve"> with adenocarcinoma histology.</w:t>
      </w:r>
    </w:p>
    <w:p w14:paraId="7180CD14" w14:textId="77777777" w:rsidR="001A1B15" w:rsidRPr="005A6456" w:rsidRDefault="001A1B15" w:rsidP="005A6456">
      <w:r w:rsidRPr="005A6456">
        <w:t>T</w:t>
      </w:r>
      <w:r w:rsidR="00A462F4">
        <w:t xml:space="preserve">o confirm this finding, a fixed </w:t>
      </w:r>
      <w:r w:rsidRPr="005A6456">
        <w:t>sequence testing procedure was introduced for the analysis of OS in 1199.0013. Provided t</w:t>
      </w:r>
      <w:r w:rsidR="00A462F4">
        <w:t xml:space="preserve">hat both the primary and follow </w:t>
      </w:r>
      <w:r w:rsidRPr="005A6456">
        <w:t xml:space="preserve">up analyses of PFS demonstrated a statistically significant benefit for </w:t>
      </w:r>
      <w:proofErr w:type="spellStart"/>
      <w:r w:rsidRPr="005A6456">
        <w:t>nintedanib</w:t>
      </w:r>
      <w:proofErr w:type="spellEnd"/>
      <w:r w:rsidRPr="005A6456">
        <w:t xml:space="preserve"> over placebo, OS would be tested in the following sequence:</w:t>
      </w:r>
    </w:p>
    <w:p w14:paraId="7180CD15" w14:textId="77777777" w:rsidR="001A1B15" w:rsidRPr="00344693" w:rsidRDefault="001A1B15" w:rsidP="00190081">
      <w:pPr>
        <w:pStyle w:val="Numberbullet2"/>
      </w:pPr>
      <w:r w:rsidRPr="00344693">
        <w:t>In subjects with adenocarcinoma histology, with &lt; 9 months since the</w:t>
      </w:r>
      <w:r w:rsidR="00711FC2" w:rsidRPr="00344693">
        <w:t xml:space="preserve"> start of 1st line chemotherapy</w:t>
      </w:r>
    </w:p>
    <w:p w14:paraId="7180CD16" w14:textId="77777777" w:rsidR="001A1B15" w:rsidRPr="00344693" w:rsidRDefault="001A1B15" w:rsidP="00344693">
      <w:pPr>
        <w:pStyle w:val="Numberbullet2"/>
      </w:pPr>
      <w:r w:rsidRPr="00344693">
        <w:t>In subject</w:t>
      </w:r>
      <w:r w:rsidR="00711FC2" w:rsidRPr="00344693">
        <w:t>s with adenocarcinoma histology</w:t>
      </w:r>
    </w:p>
    <w:p w14:paraId="7180CD17" w14:textId="77777777" w:rsidR="001A1B15" w:rsidRPr="00344693" w:rsidRDefault="001A1B15" w:rsidP="00344693">
      <w:pPr>
        <w:pStyle w:val="Numberbullet2"/>
      </w:pPr>
      <w:r w:rsidRPr="00344693">
        <w:t>In all subjects.</w:t>
      </w:r>
    </w:p>
    <w:p w14:paraId="7180CD18" w14:textId="77777777" w:rsidR="001A1B15" w:rsidRPr="005A6456" w:rsidRDefault="001A1B15" w:rsidP="005A6456">
      <w:r w:rsidRPr="005A6456">
        <w:t xml:space="preserve">Each of the 3 hypotheses could only be tested at the pre-specified alpha level if the previous null hypothesis in the testing sequence had been rejected. The amendment to the statistical analysis plan was implemented prior to </w:t>
      </w:r>
      <w:r w:rsidR="005A6456" w:rsidRPr="005A6456">
        <w:t>locking of the database for OS.</w:t>
      </w:r>
    </w:p>
    <w:p w14:paraId="7180CD19" w14:textId="77777777" w:rsidR="001A1B15" w:rsidRPr="005A6456" w:rsidRDefault="001A1B15" w:rsidP="005A6456">
      <w:r w:rsidRPr="005A6456">
        <w:t>Results for OS were:</w:t>
      </w:r>
    </w:p>
    <w:p w14:paraId="7180CD1A" w14:textId="77777777" w:rsidR="001A1B15" w:rsidRPr="005A6456" w:rsidRDefault="001A1B15" w:rsidP="00711FC2">
      <w:pPr>
        <w:pStyle w:val="ListBullet"/>
      </w:pPr>
      <w:r w:rsidRPr="005A6456">
        <w:t xml:space="preserve">In subjects with adenocarcinoma histology and &lt; 9 months since the start of 1st line chemotherapy, </w:t>
      </w:r>
      <w:proofErr w:type="spellStart"/>
      <w:r w:rsidRPr="005A6456">
        <w:t>nintedanib</w:t>
      </w:r>
      <w:proofErr w:type="spellEnd"/>
      <w:r w:rsidRPr="005A6456">
        <w:t xml:space="preserve"> treatment was associated with a statistically significant reduction in the risk of death (HR: 0.75; 95%CI: 0.60 – 0.92; p = 0.0073). Median survival was in</w:t>
      </w:r>
      <w:r w:rsidR="00711FC2">
        <w:t>creased from 7.9 to 10.9 months.</w:t>
      </w:r>
    </w:p>
    <w:p w14:paraId="7180CD1B" w14:textId="77777777" w:rsidR="001A1B15" w:rsidRPr="001E5B40" w:rsidRDefault="001A1B15" w:rsidP="00711FC2">
      <w:pPr>
        <w:pStyle w:val="ListBullet"/>
      </w:pPr>
      <w:r w:rsidRPr="005A6456">
        <w:t xml:space="preserve">In subjects with adenocarcinoma histology, </w:t>
      </w:r>
      <w:proofErr w:type="spellStart"/>
      <w:r w:rsidRPr="005A6456">
        <w:t>nintedanib</w:t>
      </w:r>
      <w:proofErr w:type="spellEnd"/>
      <w:r w:rsidRPr="005A6456">
        <w:t xml:space="preserve"> treatment was associated with a statistically significant reduction in the risk of death (HR: 0.81; 95%CI: 0.69 – 0.99; p = 0.0359). Median survival was increased from 10.3 to 12.6 months </w:t>
      </w:r>
      <w:r w:rsidRPr="001E5B40">
        <w:t>(</w:t>
      </w:r>
      <w:r w:rsidR="001E5B40" w:rsidRPr="001E5B40">
        <w:t>Table 16 and Figure 6</w:t>
      </w:r>
      <w:r w:rsidR="00711FC2">
        <w:t>).</w:t>
      </w:r>
    </w:p>
    <w:p w14:paraId="7180CD1C" w14:textId="77777777" w:rsidR="001A1B15" w:rsidRDefault="001A1B15" w:rsidP="00711FC2">
      <w:pPr>
        <w:pStyle w:val="ListBullet"/>
      </w:pPr>
      <w:r w:rsidRPr="005A6456">
        <w:t xml:space="preserve">In all subjects, </w:t>
      </w:r>
      <w:proofErr w:type="spellStart"/>
      <w:r w:rsidRPr="005A6456">
        <w:t>nintedanib</w:t>
      </w:r>
      <w:proofErr w:type="spellEnd"/>
      <w:r w:rsidRPr="005A6456">
        <w:t xml:space="preserve"> treatment was not associated with a statistically significant reduction in the risk of death (HR: 0.94; 95%CI 0.83 – 1.05; p = 0.2720</w:t>
      </w:r>
      <w:r w:rsidR="005A6456">
        <w:t>).</w:t>
      </w:r>
    </w:p>
    <w:p w14:paraId="7180CD1D" w14:textId="77777777" w:rsidR="001A1B15" w:rsidRDefault="001A1B15" w:rsidP="001A1B15">
      <w:r w:rsidRPr="00EB36C4">
        <w:t>The use of anticancer therapies after participation in the trial was compar</w:t>
      </w:r>
      <w:r w:rsidR="005A6456">
        <w:t>able in the two treatment arms.</w:t>
      </w:r>
    </w:p>
    <w:p w14:paraId="7180CD1E" w14:textId="77777777" w:rsidR="00A462F4" w:rsidRDefault="00A462F4" w:rsidP="001E5B40">
      <w:pPr>
        <w:pStyle w:val="Tabletitle"/>
      </w:pPr>
      <w:proofErr w:type="gramStart"/>
      <w:r>
        <w:lastRenderedPageBreak/>
        <w:t xml:space="preserve">Table </w:t>
      </w:r>
      <w:r w:rsidR="00B418B2">
        <w:t>16.</w:t>
      </w:r>
      <w:proofErr w:type="gramEnd"/>
      <w:r>
        <w:t xml:space="preserve"> </w:t>
      </w:r>
      <w:proofErr w:type="gramStart"/>
      <w:r w:rsidR="001E5B40">
        <w:t>Study 1199.001;</w:t>
      </w:r>
      <w:r w:rsidR="001E5B40" w:rsidRPr="001E5B40">
        <w:t xml:space="preserve"> Overall survival (adenocarcinoma patients)</w:t>
      </w:r>
      <w:r w:rsidR="001E5B40">
        <w:t>.</w:t>
      </w:r>
      <w:proofErr w:type="gramEnd"/>
    </w:p>
    <w:p w14:paraId="7180CD1F" w14:textId="77777777" w:rsidR="001E5B40" w:rsidRPr="001E5B40" w:rsidRDefault="001E5B40" w:rsidP="001E5B40">
      <w:r>
        <w:rPr>
          <w:noProof/>
          <w:lang w:eastAsia="en-AU"/>
        </w:rPr>
        <w:drawing>
          <wp:inline distT="0" distB="0" distL="0" distR="0" wp14:anchorId="7180CFB2" wp14:editId="1502C3C8">
            <wp:extent cx="4298583" cy="2294415"/>
            <wp:effectExtent l="0" t="0" r="6985" b="0"/>
            <wp:docPr id="20" name="Picture 20" descr="Table 16. Study 1199.001; Overall survival (adenocarcino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97292" cy="2293726"/>
                    </a:xfrm>
                    <a:prstGeom prst="rect">
                      <a:avLst/>
                    </a:prstGeom>
                  </pic:spPr>
                </pic:pic>
              </a:graphicData>
            </a:graphic>
          </wp:inline>
        </w:drawing>
      </w:r>
    </w:p>
    <w:p w14:paraId="7180CD20" w14:textId="77777777" w:rsidR="00A462F4" w:rsidRDefault="001E5B40" w:rsidP="001E5B40">
      <w:pPr>
        <w:pStyle w:val="FigureTitle"/>
      </w:pPr>
      <w:proofErr w:type="gramStart"/>
      <w:r>
        <w:t>Figure 6.</w:t>
      </w:r>
      <w:proofErr w:type="gramEnd"/>
      <w:r>
        <w:t xml:space="preserve"> Study 1199.0013:</w:t>
      </w:r>
      <w:r w:rsidR="00A462F4" w:rsidRPr="00A462F4">
        <w:t xml:space="preserve"> Overall survival (adenocarcinoma patients)</w:t>
      </w:r>
      <w:r>
        <w:t>.</w:t>
      </w:r>
    </w:p>
    <w:p w14:paraId="7180CD21" w14:textId="77777777" w:rsidR="001E5B40" w:rsidRPr="001E5B40" w:rsidRDefault="001E5B40" w:rsidP="001E5B40">
      <w:r>
        <w:rPr>
          <w:noProof/>
          <w:lang w:eastAsia="en-AU"/>
        </w:rPr>
        <w:drawing>
          <wp:inline distT="0" distB="0" distL="0" distR="0" wp14:anchorId="7180CFB4" wp14:editId="49ACE7C5">
            <wp:extent cx="4707665" cy="3029301"/>
            <wp:effectExtent l="0" t="0" r="0" b="0"/>
            <wp:docPr id="19" name="Picture 19" descr="Figure 6. Study 1199.0013: Overall survival (adenocarcino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4706250" cy="3028391"/>
                    </a:xfrm>
                    <a:prstGeom prst="rect">
                      <a:avLst/>
                    </a:prstGeom>
                  </pic:spPr>
                </pic:pic>
              </a:graphicData>
            </a:graphic>
          </wp:inline>
        </w:drawing>
      </w:r>
    </w:p>
    <w:p w14:paraId="3F30852B" w14:textId="489588B1" w:rsidR="00344693" w:rsidRPr="00344693" w:rsidRDefault="005A6456" w:rsidP="00190081">
      <w:r w:rsidRPr="00190081">
        <w:rPr>
          <w:b/>
        </w:rPr>
        <w:t xml:space="preserve">Evaluator’s </w:t>
      </w:r>
      <w:r w:rsidR="00190081" w:rsidRPr="00190081">
        <w:rPr>
          <w:b/>
        </w:rPr>
        <w:t>c</w:t>
      </w:r>
      <w:r w:rsidRPr="00190081">
        <w:rPr>
          <w:b/>
        </w:rPr>
        <w:t>omment</w:t>
      </w:r>
      <w:r w:rsidRPr="00344693">
        <w:t>:</w:t>
      </w:r>
    </w:p>
    <w:p w14:paraId="7180CD22" w14:textId="43718FA6" w:rsidR="001A1B15" w:rsidRDefault="001A1B15" w:rsidP="00344693">
      <w:r w:rsidRPr="00344693">
        <w:t xml:space="preserve">The indication proposed by the sponsor restricts use of </w:t>
      </w:r>
      <w:proofErr w:type="spellStart"/>
      <w:r w:rsidRPr="00344693">
        <w:t>nintedanib</w:t>
      </w:r>
      <w:proofErr w:type="spellEnd"/>
      <w:r w:rsidRPr="00344693">
        <w:t xml:space="preserve"> to subjects with adenocarcinoma histology.</w:t>
      </w:r>
    </w:p>
    <w:p w14:paraId="7180CD23" w14:textId="77777777" w:rsidR="001A1B15" w:rsidRDefault="001A1B15" w:rsidP="005A6456">
      <w:r w:rsidRPr="005A6456">
        <w:t>Subgroup analyses were presented for the three populations. Results for the adenocarcinoma population are shown in</w:t>
      </w:r>
      <w:r w:rsidR="00C529B5">
        <w:t xml:space="preserve"> Figure 7</w:t>
      </w:r>
      <w:r w:rsidRPr="005A6456">
        <w:t xml:space="preserve">. A beneficial effect of </w:t>
      </w:r>
      <w:proofErr w:type="spellStart"/>
      <w:r w:rsidRPr="005A6456">
        <w:t>nintedanib</w:t>
      </w:r>
      <w:proofErr w:type="spellEnd"/>
      <w:r w:rsidRPr="005A6456">
        <w:t xml:space="preserve"> was observed in most subgroups, as hazard ratios were &lt;</w:t>
      </w:r>
      <w:r w:rsidR="005A6456">
        <w:t xml:space="preserve"> </w:t>
      </w:r>
      <w:r w:rsidRPr="005A6456">
        <w:t>1.</w:t>
      </w:r>
    </w:p>
    <w:p w14:paraId="7180CD24" w14:textId="77777777" w:rsidR="00C529B5" w:rsidRDefault="00C529B5" w:rsidP="00C529B5">
      <w:pPr>
        <w:pStyle w:val="FigureTitle"/>
      </w:pPr>
      <w:proofErr w:type="gramStart"/>
      <w:r>
        <w:lastRenderedPageBreak/>
        <w:t>Figure 7.</w:t>
      </w:r>
      <w:proofErr w:type="gramEnd"/>
      <w:r>
        <w:t xml:space="preserve"> </w:t>
      </w:r>
      <w:r w:rsidRPr="00C529B5">
        <w:t>Study 1199.0013 – Subgroup analyses (adenocarcinoma population)</w:t>
      </w:r>
      <w:r>
        <w:t>.</w:t>
      </w:r>
    </w:p>
    <w:p w14:paraId="7180CD25" w14:textId="77777777" w:rsidR="00C529B5" w:rsidRPr="005A6456" w:rsidRDefault="00C529B5" w:rsidP="005A6456">
      <w:r>
        <w:rPr>
          <w:noProof/>
          <w:lang w:eastAsia="en-AU"/>
        </w:rPr>
        <w:drawing>
          <wp:inline distT="0" distB="0" distL="0" distR="0" wp14:anchorId="7180CFB6" wp14:editId="76A0A2A7">
            <wp:extent cx="5731510" cy="4904238"/>
            <wp:effectExtent l="0" t="0" r="2540" b="0"/>
            <wp:docPr id="21" name="Picture 21" descr="Figure 7. Study 1199.0013 – Subgroup analyses (adenocarcinom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731510" cy="4904238"/>
                    </a:xfrm>
                    <a:prstGeom prst="rect">
                      <a:avLst/>
                    </a:prstGeom>
                  </pic:spPr>
                </pic:pic>
              </a:graphicData>
            </a:graphic>
          </wp:inline>
        </w:drawing>
      </w:r>
    </w:p>
    <w:p w14:paraId="7180CD26" w14:textId="77777777" w:rsidR="001A1B15" w:rsidRPr="00711FC2" w:rsidRDefault="001A1B15" w:rsidP="005A6456">
      <w:pPr>
        <w:pStyle w:val="Heading7"/>
        <w:rPr>
          <w:sz w:val="20"/>
          <w:szCs w:val="20"/>
        </w:rPr>
      </w:pPr>
      <w:r w:rsidRPr="00711FC2">
        <w:rPr>
          <w:sz w:val="20"/>
          <w:szCs w:val="20"/>
        </w:rPr>
        <w:t>Investigator-assessed PFS</w:t>
      </w:r>
    </w:p>
    <w:p w14:paraId="7180CD27" w14:textId="77777777" w:rsidR="001A1B15" w:rsidRDefault="001A1B15" w:rsidP="001A1B15">
      <w:r w:rsidRPr="005A6456">
        <w:t>Assessment of PFS by the investigators gave comparable results to those obtained by central assessment (HR: 0.82; 95%CI: 0.73 – 0.93; p</w:t>
      </w:r>
      <w:r w:rsidR="005A6456">
        <w:t xml:space="preserve"> </w:t>
      </w:r>
      <w:r w:rsidRPr="005A6456">
        <w:t>=</w:t>
      </w:r>
      <w:r w:rsidR="005A6456">
        <w:t xml:space="preserve"> </w:t>
      </w:r>
      <w:r w:rsidRPr="005A6456">
        <w:t>0.0012). Median PFS was prolonged from 3.0 months to 4.2 months.</w:t>
      </w:r>
    </w:p>
    <w:p w14:paraId="7180CD28" w14:textId="77777777" w:rsidR="001A1B15" w:rsidRPr="00711FC2" w:rsidRDefault="001A1B15" w:rsidP="005A6456">
      <w:pPr>
        <w:pStyle w:val="Heading7"/>
        <w:rPr>
          <w:sz w:val="20"/>
          <w:szCs w:val="20"/>
        </w:rPr>
      </w:pPr>
      <w:r w:rsidRPr="00711FC2">
        <w:rPr>
          <w:sz w:val="20"/>
          <w:szCs w:val="20"/>
        </w:rPr>
        <w:t>Tumour response</w:t>
      </w:r>
    </w:p>
    <w:p w14:paraId="7180CD29" w14:textId="77777777" w:rsidR="001A1B15" w:rsidRDefault="001A1B15" w:rsidP="001A1B15">
      <w:r w:rsidRPr="005A6456">
        <w:t>There was no significant difference in objective response rate between treatments, eithe</w:t>
      </w:r>
      <w:r w:rsidR="00C529B5">
        <w:t>r in the whole study population</w:t>
      </w:r>
      <w:r w:rsidRPr="005A6456">
        <w:t xml:space="preserve"> or the adenocarcinoma population. Duration of response and time to response were comparable in the two treatment arms.</w:t>
      </w:r>
    </w:p>
    <w:p w14:paraId="7180CD2A" w14:textId="77777777" w:rsidR="001A1B15" w:rsidRPr="00711FC2" w:rsidRDefault="001A1B15" w:rsidP="005A6456">
      <w:pPr>
        <w:pStyle w:val="Heading7"/>
        <w:rPr>
          <w:sz w:val="20"/>
          <w:szCs w:val="20"/>
        </w:rPr>
      </w:pPr>
      <w:r w:rsidRPr="00711FC2">
        <w:rPr>
          <w:sz w:val="20"/>
          <w:szCs w:val="20"/>
        </w:rPr>
        <w:t>Disease cont</w:t>
      </w:r>
      <w:r w:rsidR="005A6456" w:rsidRPr="00711FC2">
        <w:rPr>
          <w:sz w:val="20"/>
          <w:szCs w:val="20"/>
        </w:rPr>
        <w:t>rol</w:t>
      </w:r>
    </w:p>
    <w:p w14:paraId="7180CD2B" w14:textId="77777777" w:rsidR="001A1B15" w:rsidRDefault="001A1B15" w:rsidP="005A6456">
      <w:r w:rsidRPr="005A6456">
        <w:t xml:space="preserve">Disease control rate was superior with </w:t>
      </w:r>
      <w:proofErr w:type="spellStart"/>
      <w:r w:rsidRPr="005A6456">
        <w:t>nintedanib</w:t>
      </w:r>
      <w:proofErr w:type="spellEnd"/>
      <w:r w:rsidRPr="005A6456">
        <w:t xml:space="preserve">, both in the whole study </w:t>
      </w:r>
      <w:r w:rsidRPr="00B418B2">
        <w:t>population (</w:t>
      </w:r>
      <w:r w:rsidR="00B418B2" w:rsidRPr="00B418B2">
        <w:t>Table 17</w:t>
      </w:r>
      <w:r w:rsidRPr="00B418B2">
        <w:t>) or the adenocarcinoma population</w:t>
      </w:r>
      <w:r w:rsidR="00B418B2" w:rsidRPr="00B418B2">
        <w:t xml:space="preserve"> (Table 18</w:t>
      </w:r>
      <w:r w:rsidRPr="00B418B2">
        <w:t>). Duration</w:t>
      </w:r>
      <w:r w:rsidRPr="005A6456">
        <w:t xml:space="preserve"> of disease control was comparable in the two tre</w:t>
      </w:r>
      <w:r w:rsidR="005A6456" w:rsidRPr="005A6456">
        <w:t>atment arms.</w:t>
      </w:r>
    </w:p>
    <w:p w14:paraId="7180CD2C" w14:textId="77777777" w:rsidR="00C529B5" w:rsidRDefault="00B418B2" w:rsidP="00B418B2">
      <w:pPr>
        <w:pStyle w:val="Tabletitle"/>
      </w:pPr>
      <w:proofErr w:type="gramStart"/>
      <w:r>
        <w:lastRenderedPageBreak/>
        <w:t>Table 17</w:t>
      </w:r>
      <w:r w:rsidR="00C529B5">
        <w:t>.</w:t>
      </w:r>
      <w:proofErr w:type="gramEnd"/>
      <w:r w:rsidR="00C529B5">
        <w:t xml:space="preserve"> </w:t>
      </w:r>
      <w:r w:rsidRPr="00B418B2">
        <w:t>Study 1199.0013 - Disease control (All patients)</w:t>
      </w:r>
      <w:r>
        <w:t>.</w:t>
      </w:r>
    </w:p>
    <w:p w14:paraId="7180CD2D" w14:textId="77777777" w:rsidR="00B418B2" w:rsidRDefault="00B418B2" w:rsidP="005A6456">
      <w:r>
        <w:rPr>
          <w:noProof/>
          <w:lang w:eastAsia="en-AU"/>
        </w:rPr>
        <w:drawing>
          <wp:inline distT="0" distB="0" distL="0" distR="0" wp14:anchorId="7180CFB8" wp14:editId="4496F4F2">
            <wp:extent cx="4600049" cy="1471426"/>
            <wp:effectExtent l="0" t="0" r="0" b="0"/>
            <wp:docPr id="22" name="Picture 22" descr="Table 17. Study 1199.0013 - Disease control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00092" cy="1471440"/>
                    </a:xfrm>
                    <a:prstGeom prst="rect">
                      <a:avLst/>
                    </a:prstGeom>
                  </pic:spPr>
                </pic:pic>
              </a:graphicData>
            </a:graphic>
          </wp:inline>
        </w:drawing>
      </w:r>
    </w:p>
    <w:p w14:paraId="7180CD2E" w14:textId="77777777" w:rsidR="00B418B2" w:rsidRDefault="00B418B2" w:rsidP="00B418B2">
      <w:pPr>
        <w:pStyle w:val="Tabletitle"/>
      </w:pPr>
      <w:proofErr w:type="gramStart"/>
      <w:r>
        <w:t>Table 18.</w:t>
      </w:r>
      <w:proofErr w:type="gramEnd"/>
      <w:r>
        <w:t xml:space="preserve"> </w:t>
      </w:r>
      <w:r w:rsidRPr="00B418B2">
        <w:t>Study 1199.0013 - Disease control (Adenocarcinoma patients)</w:t>
      </w:r>
      <w:r>
        <w:t>.</w:t>
      </w:r>
    </w:p>
    <w:p w14:paraId="7180CD2F" w14:textId="77777777" w:rsidR="00B418B2" w:rsidRPr="00B418B2" w:rsidRDefault="00B418B2" w:rsidP="00B418B2">
      <w:r>
        <w:rPr>
          <w:noProof/>
          <w:lang w:eastAsia="en-AU"/>
        </w:rPr>
        <w:drawing>
          <wp:inline distT="0" distB="0" distL="0" distR="0" wp14:anchorId="7180CFBA" wp14:editId="1905A378">
            <wp:extent cx="4572000" cy="1453662"/>
            <wp:effectExtent l="0" t="0" r="0" b="0"/>
            <wp:docPr id="23" name="Picture 23" descr="Table 18. Study 1199.0013 - Disease control (Adenocarcino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6261" cy="1455017"/>
                    </a:xfrm>
                    <a:prstGeom prst="rect">
                      <a:avLst/>
                    </a:prstGeom>
                  </pic:spPr>
                </pic:pic>
              </a:graphicData>
            </a:graphic>
          </wp:inline>
        </w:drawing>
      </w:r>
    </w:p>
    <w:p w14:paraId="7180CD30" w14:textId="77777777" w:rsidR="001A1B15" w:rsidRPr="00711FC2" w:rsidRDefault="001A1B15" w:rsidP="005A6456">
      <w:pPr>
        <w:pStyle w:val="Heading7"/>
        <w:rPr>
          <w:sz w:val="20"/>
          <w:szCs w:val="20"/>
        </w:rPr>
      </w:pPr>
      <w:r w:rsidRPr="00711FC2">
        <w:rPr>
          <w:sz w:val="20"/>
          <w:szCs w:val="20"/>
        </w:rPr>
        <w:t>Change in tumour size</w:t>
      </w:r>
    </w:p>
    <w:p w14:paraId="7180CD31" w14:textId="77777777" w:rsidR="001A1B15" w:rsidRDefault="001A1B15" w:rsidP="005A6456">
      <w:r w:rsidRPr="005A6456">
        <w:t xml:space="preserve">Reduction in tumour size was significantly greater with </w:t>
      </w:r>
      <w:proofErr w:type="spellStart"/>
      <w:r w:rsidRPr="005A6456">
        <w:t>nintedanib</w:t>
      </w:r>
      <w:proofErr w:type="spellEnd"/>
      <w:r w:rsidRPr="005A6456">
        <w:t xml:space="preserve">, both in the whole study </w:t>
      </w:r>
      <w:r w:rsidRPr="00B418B2">
        <w:t>population (</w:t>
      </w:r>
      <w:r w:rsidR="00B418B2" w:rsidRPr="00B418B2">
        <w:t>Table 19</w:t>
      </w:r>
      <w:r w:rsidRPr="00B418B2">
        <w:t>) or the adenocarcinoma population (</w:t>
      </w:r>
      <w:r w:rsidR="00B418B2" w:rsidRPr="00B418B2">
        <w:t>Table 20</w:t>
      </w:r>
      <w:r w:rsidR="005A6456" w:rsidRPr="00B418B2">
        <w:t>).</w:t>
      </w:r>
    </w:p>
    <w:p w14:paraId="7180CD32" w14:textId="77777777" w:rsidR="00B418B2" w:rsidRDefault="00B418B2" w:rsidP="00B418B2">
      <w:pPr>
        <w:pStyle w:val="Tabletitle"/>
      </w:pPr>
      <w:bookmarkStart w:id="166" w:name="_Ref281578068"/>
      <w:bookmarkStart w:id="167" w:name="_Toc291519232"/>
      <w:proofErr w:type="gramStart"/>
      <w:r>
        <w:t>Table</w:t>
      </w:r>
      <w:bookmarkEnd w:id="166"/>
      <w:r w:rsidR="00E7625C">
        <w:t xml:space="preserve"> 19.</w:t>
      </w:r>
      <w:proofErr w:type="gramEnd"/>
      <w:r w:rsidR="00E7625C">
        <w:t xml:space="preserve"> </w:t>
      </w:r>
      <w:r>
        <w:t>Study 1199.0013 – Change in tumour size (All patients)</w:t>
      </w:r>
      <w:bookmarkEnd w:id="167"/>
      <w:r w:rsidR="00E7625C">
        <w:t>.</w:t>
      </w:r>
    </w:p>
    <w:p w14:paraId="7180CD33" w14:textId="77777777" w:rsidR="00B418B2" w:rsidRDefault="00B418B2" w:rsidP="00B418B2">
      <w:r>
        <w:rPr>
          <w:noProof/>
          <w:lang w:eastAsia="en-AU"/>
        </w:rPr>
        <w:drawing>
          <wp:inline distT="0" distB="0" distL="0" distR="0" wp14:anchorId="7180CFBC" wp14:editId="54894B46">
            <wp:extent cx="4403706" cy="2034832"/>
            <wp:effectExtent l="0" t="0" r="0" b="3810"/>
            <wp:docPr id="24" name="Picture 24" descr="Table 19. Study 1199.0013 – Change in tumour size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07719" cy="2036686"/>
                    </a:xfrm>
                    <a:prstGeom prst="rect">
                      <a:avLst/>
                    </a:prstGeom>
                  </pic:spPr>
                </pic:pic>
              </a:graphicData>
            </a:graphic>
          </wp:inline>
        </w:drawing>
      </w:r>
    </w:p>
    <w:p w14:paraId="7180CD34" w14:textId="77777777" w:rsidR="00B418B2" w:rsidRDefault="00B418B2" w:rsidP="00B418B2">
      <w:pPr>
        <w:pStyle w:val="Tabletitle"/>
      </w:pPr>
      <w:proofErr w:type="gramStart"/>
      <w:r>
        <w:lastRenderedPageBreak/>
        <w:t>Table 20.</w:t>
      </w:r>
      <w:proofErr w:type="gramEnd"/>
      <w:r w:rsidRPr="00B418B2">
        <w:rPr>
          <w:rFonts w:eastAsia="Times New Roman"/>
          <w:kern w:val="16"/>
          <w:szCs w:val="24"/>
          <w:lang w:eastAsia="en-AU"/>
        </w:rPr>
        <w:t xml:space="preserve"> </w:t>
      </w:r>
      <w:r w:rsidRPr="00B418B2">
        <w:t>Study 1199.0013 – Change in tumour size (Adenocarcinoma patients)</w:t>
      </w:r>
      <w:r w:rsidR="00711FC2">
        <w:t>.</w:t>
      </w:r>
    </w:p>
    <w:p w14:paraId="7180CD35" w14:textId="77777777" w:rsidR="00B418B2" w:rsidRPr="00B418B2" w:rsidRDefault="00B418B2" w:rsidP="00B418B2">
      <w:r>
        <w:rPr>
          <w:noProof/>
          <w:lang w:eastAsia="en-AU"/>
        </w:rPr>
        <w:drawing>
          <wp:inline distT="0" distB="0" distL="0" distR="0" wp14:anchorId="7180CFBE" wp14:editId="352489C1">
            <wp:extent cx="4044677" cy="1942396"/>
            <wp:effectExtent l="0" t="0" r="0" b="1270"/>
            <wp:docPr id="25" name="Picture 25" descr="Table 20. Study 1199.0013 – Change in tumour size (Adenocarcino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55351" cy="1947522"/>
                    </a:xfrm>
                    <a:prstGeom prst="rect">
                      <a:avLst/>
                    </a:prstGeom>
                  </pic:spPr>
                </pic:pic>
              </a:graphicData>
            </a:graphic>
          </wp:inline>
        </w:drawing>
      </w:r>
    </w:p>
    <w:p w14:paraId="7180CD36" w14:textId="77777777" w:rsidR="001A1B15" w:rsidRPr="00711FC2" w:rsidRDefault="001A1B15" w:rsidP="005A6456">
      <w:pPr>
        <w:pStyle w:val="Heading7"/>
        <w:rPr>
          <w:sz w:val="20"/>
          <w:szCs w:val="20"/>
        </w:rPr>
      </w:pPr>
      <w:r w:rsidRPr="00711FC2">
        <w:rPr>
          <w:sz w:val="20"/>
          <w:szCs w:val="20"/>
        </w:rPr>
        <w:t>Clinical improvement</w:t>
      </w:r>
    </w:p>
    <w:p w14:paraId="7180CD37" w14:textId="77777777" w:rsidR="001A1B15" w:rsidRDefault="001A1B15" w:rsidP="001A1B15">
      <w:r w:rsidRPr="005A6456">
        <w:t>Among all patients, there were no significant differences detected in the time to deterioration of bodyweight and/or ECOG performance status.</w:t>
      </w:r>
    </w:p>
    <w:p w14:paraId="7180CD38" w14:textId="77777777" w:rsidR="001A1B15" w:rsidRPr="005A6456" w:rsidRDefault="001A1B15" w:rsidP="005A6456">
      <w:pPr>
        <w:pStyle w:val="Heading7"/>
      </w:pPr>
      <w:proofErr w:type="spellStart"/>
      <w:r w:rsidRPr="005A6456">
        <w:t>QoL</w:t>
      </w:r>
      <w:proofErr w:type="spellEnd"/>
    </w:p>
    <w:p w14:paraId="7180CD39" w14:textId="77777777" w:rsidR="001A1B15" w:rsidRDefault="001A1B15" w:rsidP="001A1B15">
      <w:r w:rsidRPr="005A6456">
        <w:t xml:space="preserve">The completion rate for </w:t>
      </w:r>
      <w:proofErr w:type="spellStart"/>
      <w:r w:rsidRPr="005A6456">
        <w:t>QoL</w:t>
      </w:r>
      <w:proofErr w:type="spellEnd"/>
      <w:r w:rsidRPr="005A6456">
        <w:t xml:space="preserve"> questionnaires was &gt;</w:t>
      </w:r>
      <w:r w:rsidR="00711FC2">
        <w:t xml:space="preserve"> </w:t>
      </w:r>
      <w:r w:rsidRPr="005A6456">
        <w:t xml:space="preserve">80% in both treatment arms. In the overall population, there were no differences between treatment arms in the time to deterioration of cough, dyspnoea or pain. Time to deterioration of diarrhoea was significantly shorter with </w:t>
      </w:r>
      <w:proofErr w:type="spellStart"/>
      <w:r w:rsidRPr="005A6456">
        <w:t>nintedanib</w:t>
      </w:r>
      <w:proofErr w:type="spellEnd"/>
      <w:r w:rsidRPr="005A6456">
        <w:t>. Global health status was comparable in the two treatment arms. Similar observations were found for the adenocarcinoma population.</w:t>
      </w:r>
    </w:p>
    <w:p w14:paraId="7180CD3A" w14:textId="77777777" w:rsidR="005A6456" w:rsidRPr="005A6456" w:rsidRDefault="005A6456" w:rsidP="005A6456">
      <w:pPr>
        <w:pStyle w:val="Heading4"/>
      </w:pPr>
      <w:bookmarkStart w:id="168" w:name="_Ref271037188"/>
      <w:bookmarkStart w:id="169" w:name="_Ref271037210"/>
      <w:bookmarkStart w:id="170" w:name="_Toc272414655"/>
      <w:bookmarkStart w:id="171" w:name="_Toc290846277"/>
      <w:bookmarkStart w:id="172" w:name="_Toc291518960"/>
      <w:bookmarkStart w:id="173" w:name="_Toc241374311"/>
      <w:bookmarkStart w:id="174" w:name="_Ref243294291"/>
      <w:r w:rsidRPr="005A6456">
        <w:t>Other efficacy studies</w:t>
      </w:r>
      <w:bookmarkEnd w:id="168"/>
      <w:bookmarkEnd w:id="169"/>
      <w:bookmarkEnd w:id="170"/>
      <w:bookmarkEnd w:id="171"/>
      <w:bookmarkEnd w:id="172"/>
    </w:p>
    <w:p w14:paraId="7180CD3B" w14:textId="77777777" w:rsidR="005A6456" w:rsidRPr="00A65DA4" w:rsidRDefault="005A6456" w:rsidP="00A65DA4">
      <w:pPr>
        <w:pStyle w:val="Heading5"/>
      </w:pPr>
      <w:bookmarkStart w:id="175" w:name="_Toc290846278"/>
      <w:bookmarkStart w:id="176" w:name="_Toc291518961"/>
      <w:bookmarkEnd w:id="173"/>
      <w:bookmarkEnd w:id="174"/>
      <w:r w:rsidRPr="00A65DA4">
        <w:t xml:space="preserve">Study </w:t>
      </w:r>
      <w:bookmarkEnd w:id="175"/>
      <w:r w:rsidRPr="00A65DA4">
        <w:t>1199.0014 (‘LUME-Lung 2’)</w:t>
      </w:r>
      <w:bookmarkEnd w:id="176"/>
    </w:p>
    <w:p w14:paraId="7180CD3C" w14:textId="77777777" w:rsidR="005A6456" w:rsidRPr="00A65DA4" w:rsidRDefault="005A6456" w:rsidP="00A65DA4">
      <w:r w:rsidRPr="00A65DA4">
        <w:t>This study was anot</w:t>
      </w:r>
      <w:r w:rsidR="00A65DA4">
        <w:t xml:space="preserve">her </w:t>
      </w:r>
      <w:r w:rsidR="00094D89">
        <w:t>Phase</w:t>
      </w:r>
      <w:r w:rsidR="00A65DA4">
        <w:t xml:space="preserve"> III</w:t>
      </w:r>
      <w:r w:rsidRPr="00A65DA4">
        <w:t xml:space="preserve">, randomised, double blind, </w:t>
      </w:r>
      <w:r w:rsidR="004A0845">
        <w:t>placebo controlled</w:t>
      </w:r>
      <w:r w:rsidRPr="00A65DA4">
        <w:t xml:space="preserve"> trial with two parallel groups. It enrolled subjects with stage IIIB or</w:t>
      </w:r>
      <w:r w:rsidR="00E7625C">
        <w:t xml:space="preserve"> IV or recurrent NSCLC with </w:t>
      </w:r>
      <w:proofErr w:type="spellStart"/>
      <w:r w:rsidR="00E7625C">
        <w:t xml:space="preserve">non </w:t>
      </w:r>
      <w:r w:rsidRPr="00A65DA4">
        <w:t>squamous</w:t>
      </w:r>
      <w:proofErr w:type="spellEnd"/>
      <w:r w:rsidRPr="00A65DA4">
        <w:t xml:space="preserve"> </w:t>
      </w:r>
      <w:proofErr w:type="spellStart"/>
      <w:r w:rsidRPr="00A65DA4">
        <w:t>hi</w:t>
      </w:r>
      <w:r w:rsidR="00E7625C">
        <w:t>stologies</w:t>
      </w:r>
      <w:proofErr w:type="spellEnd"/>
      <w:r w:rsidR="00E7625C">
        <w:t>, after failure of 1</w:t>
      </w:r>
      <w:r w:rsidR="00E7625C" w:rsidRPr="00E7625C">
        <w:rPr>
          <w:vertAlign w:val="superscript"/>
        </w:rPr>
        <w:t>st</w:t>
      </w:r>
      <w:r w:rsidR="00E7625C">
        <w:t xml:space="preserve"> </w:t>
      </w:r>
      <w:r w:rsidRPr="00A65DA4">
        <w:t xml:space="preserve">line chemotherapy. Subjects were randomised to receive </w:t>
      </w:r>
      <w:proofErr w:type="spellStart"/>
      <w:r w:rsidRPr="00A65DA4">
        <w:t>pemetrexed</w:t>
      </w:r>
      <w:proofErr w:type="spellEnd"/>
      <w:r w:rsidRPr="00A65DA4">
        <w:t xml:space="preserve"> in combination with </w:t>
      </w:r>
      <w:proofErr w:type="spellStart"/>
      <w:r w:rsidRPr="00A65DA4">
        <w:t>nintedanib</w:t>
      </w:r>
      <w:proofErr w:type="spellEnd"/>
      <w:r w:rsidRPr="00A65DA4">
        <w:t xml:space="preserve"> (200 mg BD) or </w:t>
      </w:r>
      <w:proofErr w:type="spellStart"/>
      <w:r w:rsidRPr="00A65DA4">
        <w:t>pemetrexed</w:t>
      </w:r>
      <w:proofErr w:type="spellEnd"/>
      <w:r w:rsidRPr="00A65DA4">
        <w:t xml:space="preserve"> in combination with placebo. The primary endpoint was PFS assessed by a central blinded panel, with OS as a secondary endpoint. It was planned to enrol 1</w:t>
      </w:r>
      <w:r w:rsidR="00E7625C">
        <w:t>,</w:t>
      </w:r>
      <w:r w:rsidRPr="00A65DA4">
        <w:t>300 subjects (650 in each arm).</w:t>
      </w:r>
    </w:p>
    <w:p w14:paraId="7180CD3D" w14:textId="77777777" w:rsidR="005A6456" w:rsidRPr="00A65DA4" w:rsidRDefault="005A6456" w:rsidP="00A65DA4">
      <w:r w:rsidRPr="00A65DA4">
        <w:t>The study commenced in December 2008. The primary analysis of PFS was planned to oc</w:t>
      </w:r>
      <w:r w:rsidR="00E7625C">
        <w:t>cur after 713 PFS events. A pre-</w:t>
      </w:r>
      <w:r w:rsidR="00E7625C" w:rsidRPr="00A65DA4">
        <w:t>planned</w:t>
      </w:r>
      <w:r w:rsidRPr="00A65DA4">
        <w:t xml:space="preserve"> futility</w:t>
      </w:r>
      <w:r w:rsidR="00E7625C">
        <w:t xml:space="preserve"> analysis based on investigator </w:t>
      </w:r>
      <w:r w:rsidRPr="00A65DA4">
        <w:t xml:space="preserve">assessed PFS was conducted after 341 PFS events. This futility analysis suggested that the study was unlikely to meet its efficacy objective and the data monitoring committee recommended that the trial be stopped. Therefore the sponsor stopped recruitment in June 2011. By this stage, 713 patients had been randomised (353 to </w:t>
      </w:r>
      <w:proofErr w:type="spellStart"/>
      <w:r w:rsidRPr="00A65DA4">
        <w:t>nintedanib</w:t>
      </w:r>
      <w:proofErr w:type="spellEnd"/>
      <w:r w:rsidRPr="00A65DA4">
        <w:t xml:space="preserve"> and 360 to placebo). These patients could continue with treatment although all placebo use was ceased and subjects were not permitted to switch treatments. The subjects were followed for efficacy and safety and were analysed with a date of data cut-off of 9 July 2012.</w:t>
      </w:r>
    </w:p>
    <w:p w14:paraId="7180CD3E" w14:textId="77777777" w:rsidR="005A6456" w:rsidRPr="00A65DA4" w:rsidRDefault="005A6456" w:rsidP="00A65DA4">
      <w:r w:rsidRPr="00A65DA4">
        <w:t xml:space="preserve">94.3% of subjects who were randomised and treated had adenocarcinoma histology. By the time of data cut-off 239 subjects in the </w:t>
      </w:r>
      <w:proofErr w:type="spellStart"/>
      <w:r w:rsidRPr="00A65DA4">
        <w:t>nintedanib</w:t>
      </w:r>
      <w:proofErr w:type="spellEnd"/>
      <w:r w:rsidRPr="00A65DA4">
        <w:t xml:space="preserve"> arm and 259 subjects in the placebo arm had experienced a PFS event.</w:t>
      </w:r>
    </w:p>
    <w:p w14:paraId="7180CD3F" w14:textId="77777777" w:rsidR="005A6456" w:rsidRDefault="005A6456" w:rsidP="00A65DA4">
      <w:r w:rsidRPr="00A65DA4">
        <w:t xml:space="preserve">Results for PFS (as assessed centrally) </w:t>
      </w:r>
      <w:r w:rsidR="00E7625C">
        <w:t>were provided</w:t>
      </w:r>
      <w:r w:rsidRPr="00A65DA4">
        <w:t xml:space="preserve">. </w:t>
      </w:r>
      <w:proofErr w:type="spellStart"/>
      <w:r w:rsidRPr="00A65DA4">
        <w:t>Nintedanib</w:t>
      </w:r>
      <w:proofErr w:type="spellEnd"/>
      <w:r w:rsidRPr="00A65DA4">
        <w:t xml:space="preserve"> treatment was associated with a statistically significant reduction in the risk of a PFS event (HR: 0.83; 95%CI: </w:t>
      </w:r>
      <w:r>
        <w:t>0.70 – 0.99; p = 0.0435). Median PFS was increased from 3.6 to 4.4 months. Results for OS</w:t>
      </w:r>
      <w:r w:rsidR="00E7625C">
        <w:t xml:space="preserve"> were provided</w:t>
      </w:r>
      <w:r>
        <w:t>. There was no significant difference between treatments.</w:t>
      </w:r>
    </w:p>
    <w:p w14:paraId="7180CD40" w14:textId="77777777" w:rsidR="005A6456" w:rsidRDefault="005A6456" w:rsidP="00A65DA4">
      <w:r w:rsidRPr="00A65DA4">
        <w:t>A follow-up analysis with a date for data cut-off of 13 February 2013 showed similar results although the difference in PFS was no longer statistically significant.</w:t>
      </w:r>
    </w:p>
    <w:p w14:paraId="0B8CC839" w14:textId="343FE8D2" w:rsidR="00344693" w:rsidRPr="00344693" w:rsidRDefault="00A65DA4" w:rsidP="00344693">
      <w:pPr>
        <w:rPr>
          <w:b/>
        </w:rPr>
      </w:pPr>
      <w:r w:rsidRPr="00344693">
        <w:rPr>
          <w:b/>
        </w:rPr>
        <w:lastRenderedPageBreak/>
        <w:t xml:space="preserve">Evaluator’s </w:t>
      </w:r>
      <w:r w:rsidR="00190081">
        <w:rPr>
          <w:b/>
        </w:rPr>
        <w:t>c</w:t>
      </w:r>
      <w:r w:rsidRPr="00344693">
        <w:rPr>
          <w:b/>
        </w:rPr>
        <w:t xml:space="preserve">omment: </w:t>
      </w:r>
    </w:p>
    <w:p w14:paraId="7180CD41" w14:textId="32E9E73C" w:rsidR="005A6456" w:rsidRDefault="005A6456" w:rsidP="00344693">
      <w:r w:rsidRPr="00344693">
        <w:t xml:space="preserve">The sponsor is not seeking approval for </w:t>
      </w:r>
      <w:proofErr w:type="spellStart"/>
      <w:r w:rsidRPr="00344693">
        <w:t>nintedanib</w:t>
      </w:r>
      <w:proofErr w:type="spellEnd"/>
      <w:r w:rsidRPr="00344693">
        <w:t xml:space="preserve"> use in combination with </w:t>
      </w:r>
      <w:proofErr w:type="spellStart"/>
      <w:r w:rsidRPr="00344693">
        <w:t>pemetrexed</w:t>
      </w:r>
      <w:proofErr w:type="spellEnd"/>
      <w:r w:rsidRPr="00344693">
        <w:t>. Despite recruitment having been stopped following the futility analysis, a statistically significant benefit in terms of PFS was still demonstrated. However, the benefit was small (prolongation of median PFS by 0.8 months). Due to the stopping of recruitment, the study would probably have had insufficient power to demonstrate an effect on overall survival.</w:t>
      </w:r>
    </w:p>
    <w:p w14:paraId="7180CD42" w14:textId="77777777" w:rsidR="005A6456" w:rsidRPr="00A65DA4" w:rsidRDefault="005A6456" w:rsidP="00A65DA4">
      <w:pPr>
        <w:pStyle w:val="Heading5"/>
      </w:pPr>
      <w:bookmarkStart w:id="177" w:name="_Toc290846279"/>
      <w:bookmarkStart w:id="178" w:name="_Toc291518962"/>
      <w:r w:rsidRPr="00A65DA4">
        <w:t xml:space="preserve">Study </w:t>
      </w:r>
      <w:bookmarkEnd w:id="177"/>
      <w:r w:rsidRPr="00A65DA4">
        <w:t>1199.0010</w:t>
      </w:r>
      <w:bookmarkEnd w:id="178"/>
    </w:p>
    <w:p w14:paraId="7180CD43" w14:textId="77777777" w:rsidR="005A6456" w:rsidRPr="00A65DA4" w:rsidRDefault="00A65DA4" w:rsidP="00A65DA4">
      <w:r>
        <w:t xml:space="preserve">This was a </w:t>
      </w:r>
      <w:r w:rsidR="00094D89">
        <w:t>Phase</w:t>
      </w:r>
      <w:r>
        <w:t xml:space="preserve"> II</w:t>
      </w:r>
      <w:r w:rsidR="005A6456" w:rsidRPr="00A65DA4">
        <w:t xml:space="preserve">, randomised, double blind trial comparing two dose levels of </w:t>
      </w:r>
      <w:proofErr w:type="spellStart"/>
      <w:r w:rsidR="005A6456" w:rsidRPr="00A65DA4">
        <w:t>nintedanib</w:t>
      </w:r>
      <w:proofErr w:type="spellEnd"/>
      <w:r w:rsidR="005A6456" w:rsidRPr="00A65DA4">
        <w:t xml:space="preserve"> (150 mg BD </w:t>
      </w:r>
      <w:r w:rsidR="00B54A34">
        <w:t>versus</w:t>
      </w:r>
      <w:r w:rsidR="005A6456" w:rsidRPr="00A65DA4">
        <w:t xml:space="preserve"> 250 mg BD) in subjects with previously treated stage IIIB or IV NSCLC. The PK data from this study </w:t>
      </w:r>
      <w:r w:rsidR="00E7625C">
        <w:t>were provided</w:t>
      </w:r>
      <w:r w:rsidR="005A6456" w:rsidRPr="00A65DA4">
        <w:t xml:space="preserve">. In this study </w:t>
      </w:r>
      <w:proofErr w:type="spellStart"/>
      <w:r w:rsidR="005A6456" w:rsidRPr="00A65DA4">
        <w:t>nintedanib</w:t>
      </w:r>
      <w:proofErr w:type="spellEnd"/>
      <w:r w:rsidR="005A6456" w:rsidRPr="00A65DA4">
        <w:t xml:space="preserve"> was used as monotherapy. The primary endpoint was PFS.</w:t>
      </w:r>
    </w:p>
    <w:p w14:paraId="7180CD44" w14:textId="77777777" w:rsidR="005A6456" w:rsidRPr="00A65DA4" w:rsidRDefault="005A6456" w:rsidP="00A65DA4">
      <w:r w:rsidRPr="00A65DA4">
        <w:t>73 subj</w:t>
      </w:r>
      <w:r w:rsidR="00E7625C">
        <w:t>ects were enrolled and treated;</w:t>
      </w:r>
      <w:r w:rsidRPr="00A65DA4">
        <w:t xml:space="preserve"> 36 in the 250 mg arm and 37 in the 150 mg arm. Results for PFS</w:t>
      </w:r>
      <w:r w:rsidR="00E7625C">
        <w:t xml:space="preserve"> were provided</w:t>
      </w:r>
      <w:r w:rsidRPr="00E7625C">
        <w:t>. There</w:t>
      </w:r>
      <w:r w:rsidRPr="00A65DA4">
        <w:t xml:space="preserve"> were no significant differences between the two treatments.</w:t>
      </w:r>
    </w:p>
    <w:p w14:paraId="7180CD45" w14:textId="77777777" w:rsidR="00A65DA4" w:rsidRPr="00A65DA4" w:rsidRDefault="00A65DA4" w:rsidP="00A65DA4">
      <w:pPr>
        <w:pStyle w:val="Heading4"/>
      </w:pPr>
      <w:bookmarkStart w:id="179" w:name="_Toc241374312"/>
      <w:bookmarkStart w:id="180" w:name="_Toc272414656"/>
      <w:bookmarkStart w:id="181" w:name="_Toc290846281"/>
      <w:bookmarkStart w:id="182" w:name="_Toc291518963"/>
      <w:r w:rsidRPr="00A65DA4">
        <w:t>Analyses performed across trials (pooled analyses and meta-analyses)</w:t>
      </w:r>
      <w:bookmarkEnd w:id="179"/>
      <w:bookmarkEnd w:id="180"/>
      <w:bookmarkEnd w:id="181"/>
      <w:bookmarkEnd w:id="182"/>
    </w:p>
    <w:p w14:paraId="7180CD46" w14:textId="77777777" w:rsidR="00A65DA4" w:rsidRPr="00A65DA4" w:rsidRDefault="00A65DA4" w:rsidP="00A65DA4">
      <w:r w:rsidRPr="00A65DA4">
        <w:t>Not applicable.</w:t>
      </w:r>
    </w:p>
    <w:p w14:paraId="7180CD47" w14:textId="77777777" w:rsidR="00A65DA4" w:rsidRPr="00A65DA4" w:rsidRDefault="00A65DA4" w:rsidP="00A65DA4">
      <w:pPr>
        <w:pStyle w:val="Heading4"/>
      </w:pPr>
      <w:bookmarkStart w:id="183" w:name="_Ref271126605"/>
      <w:bookmarkStart w:id="184" w:name="_Toc272414657"/>
      <w:bookmarkStart w:id="185" w:name="_Toc290846282"/>
      <w:bookmarkStart w:id="186" w:name="_Toc291518964"/>
      <w:r w:rsidRPr="00A65DA4">
        <w:t xml:space="preserve">Evaluator’s conclusions on clinical efficacy for </w:t>
      </w:r>
      <w:bookmarkEnd w:id="183"/>
      <w:bookmarkEnd w:id="184"/>
      <w:bookmarkEnd w:id="185"/>
      <w:r w:rsidRPr="00A65DA4">
        <w:t>NSCLC</w:t>
      </w:r>
      <w:bookmarkEnd w:id="186"/>
    </w:p>
    <w:p w14:paraId="7180CD48" w14:textId="77777777" w:rsidR="00A65DA4" w:rsidRPr="00A65DA4" w:rsidRDefault="00A65DA4" w:rsidP="00A65DA4">
      <w:r w:rsidRPr="00A65DA4">
        <w:t xml:space="preserve">The pivotal study was well designed and conducted. It complied with the requirements of the EMA guidelines adopted by the TGA. The trial demonstrated that </w:t>
      </w:r>
      <w:proofErr w:type="spellStart"/>
      <w:r w:rsidRPr="00A65DA4">
        <w:t>nintedanib</w:t>
      </w:r>
      <w:proofErr w:type="spellEnd"/>
      <w:r w:rsidRPr="00A65DA4">
        <w:t xml:space="preserve"> has activity in the treatment of NSCLC as evidenced by statistically significant effects on such endpoints as disease control rate and tumour size.</w:t>
      </w:r>
    </w:p>
    <w:p w14:paraId="7180CD49" w14:textId="77777777" w:rsidR="00A65DA4" w:rsidRPr="00A65DA4" w:rsidRDefault="00A65DA4" w:rsidP="00A65DA4">
      <w:r w:rsidRPr="00A65DA4">
        <w:t>The primary endpoint was PFS. Although a statistically significant result was obtained, the effect was of dubious clinical significance, as median PFS was only increased by 0.7 months (approximately 3 weeks). There was also no survival benefit in the overall popula</w:t>
      </w:r>
      <w:r>
        <w:t>tion.</w:t>
      </w:r>
    </w:p>
    <w:p w14:paraId="7180CD4A" w14:textId="4D675C38" w:rsidR="00A65DA4" w:rsidRPr="00A65DA4" w:rsidRDefault="00A65DA4" w:rsidP="00A65DA4">
      <w:r w:rsidRPr="00A65DA4">
        <w:t xml:space="preserve">The application rests on the finding of an increase in overall survival (a secondary endpoint) in the subgroup of patients with adenocarcinoma. The analysis for survival in the adenocarcinoma subpopulation was defined prospectively, but after the results of the initial PFS analysis </w:t>
      </w:r>
      <w:r w:rsidR="00792271" w:rsidRPr="00A65DA4">
        <w:t>w</w:t>
      </w:r>
      <w:r w:rsidR="00792271">
        <w:t>as</w:t>
      </w:r>
      <w:r w:rsidR="00792271" w:rsidRPr="00A65DA4">
        <w:t xml:space="preserve"> </w:t>
      </w:r>
      <w:r w:rsidRPr="00A65DA4">
        <w:t>known.</w:t>
      </w:r>
    </w:p>
    <w:p w14:paraId="7180CD4B" w14:textId="77777777" w:rsidR="00A65DA4" w:rsidRPr="00A65DA4" w:rsidRDefault="00A65DA4" w:rsidP="00A65DA4">
      <w:r w:rsidRPr="00A65DA4">
        <w:t>For a group with a median survival of only 10.3 months, an increase of 2.3 months would be important. The increase in survival is therefore considered to be clinically significant.</w:t>
      </w:r>
    </w:p>
    <w:p w14:paraId="7180CD4C" w14:textId="1149AA30" w:rsidR="00A65DA4" w:rsidRPr="00A65DA4" w:rsidRDefault="00A65DA4" w:rsidP="00A65DA4">
      <w:r w:rsidRPr="00A65DA4">
        <w:t xml:space="preserve">The application for the NSCLC indication is based on a single pivotal study. The TGA has adopted an EMA guideline </w:t>
      </w:r>
      <w:r w:rsidR="00711FC2">
        <w:t>(6)</w:t>
      </w:r>
      <w:r w:rsidRPr="00A65DA4">
        <w:t xml:space="preserve"> that addresses the situation where regulatory approval is being sought on the basis of a single pivotal study. This guideline states that the results of </w:t>
      </w:r>
      <w:r w:rsidR="00792271">
        <w:t>such a</w:t>
      </w:r>
      <w:r w:rsidR="00792271" w:rsidRPr="00A65DA4">
        <w:t xml:space="preserve"> </w:t>
      </w:r>
      <w:r w:rsidRPr="00A65DA4">
        <w:t xml:space="preserve">study need to be ‘exceptionally compelling’ and it sets out a number of ‘prerequisites’ for the study. One of the prerequisites is that </w:t>
      </w:r>
      <w:r w:rsidR="00E7625C">
        <w:t>‘</w:t>
      </w:r>
      <w:r w:rsidRPr="00E7625C">
        <w:rPr>
          <w:i/>
        </w:rPr>
        <w:t>Statistical significance considerably stronger than p</w:t>
      </w:r>
      <w:r w:rsidR="00E7625C" w:rsidRPr="00E7625C">
        <w:rPr>
          <w:i/>
        </w:rPr>
        <w:t xml:space="preserve"> </w:t>
      </w:r>
      <w:r w:rsidRPr="00E7625C">
        <w:rPr>
          <w:i/>
        </w:rPr>
        <w:t>&lt;</w:t>
      </w:r>
      <w:r w:rsidR="00E7625C" w:rsidRPr="00E7625C">
        <w:rPr>
          <w:i/>
        </w:rPr>
        <w:t xml:space="preserve"> </w:t>
      </w:r>
      <w:r w:rsidR="00711FC2">
        <w:rPr>
          <w:i/>
        </w:rPr>
        <w:t>0.05 is usually required</w:t>
      </w:r>
      <w:r w:rsidRPr="00E7625C">
        <w:rPr>
          <w:i/>
        </w:rPr>
        <w:t>.</w:t>
      </w:r>
      <w:r w:rsidR="00E7625C">
        <w:t>’</w:t>
      </w:r>
      <w:r w:rsidRPr="00A65DA4">
        <w:t xml:space="preserve"> The p-value obtained in the OS analysis in the adenocarcinoma population was 0.0359.</w:t>
      </w:r>
    </w:p>
    <w:p w14:paraId="7180CD4D" w14:textId="77777777" w:rsidR="00A65DA4" w:rsidRPr="00A65DA4" w:rsidRDefault="00A65DA4" w:rsidP="00A65DA4">
      <w:r w:rsidRPr="00A65DA4">
        <w:t>On balance, given the magnitude of the survival benefit, it is considered that the evidence for efficacy is adequate to support registration.</w:t>
      </w:r>
    </w:p>
    <w:p w14:paraId="7180CD4E" w14:textId="77777777" w:rsidR="005A6456" w:rsidRDefault="00A65DA4" w:rsidP="001A1B15">
      <w:r w:rsidRPr="00A65DA4">
        <w:t xml:space="preserve">The study did not collect data on NSCLC tumour biomarkers such as EGFR mutation status or ALK positivity. The place of </w:t>
      </w:r>
      <w:proofErr w:type="spellStart"/>
      <w:r w:rsidRPr="00A65DA4">
        <w:t>nintedanib</w:t>
      </w:r>
      <w:proofErr w:type="spellEnd"/>
      <w:r w:rsidRPr="00A65DA4">
        <w:t xml:space="preserve"> in the therapy in the treatment of tumours with these characteristics is therefore unknown.</w:t>
      </w:r>
    </w:p>
    <w:p w14:paraId="7180CD4F" w14:textId="77777777" w:rsidR="00A65DA4" w:rsidRPr="00A65DA4" w:rsidRDefault="00A65DA4" w:rsidP="00A65DA4">
      <w:pPr>
        <w:pStyle w:val="Heading3"/>
      </w:pPr>
      <w:bookmarkStart w:id="187" w:name="_Toc291518965"/>
      <w:bookmarkStart w:id="188" w:name="_Toc443381748"/>
      <w:r w:rsidRPr="00A65DA4">
        <w:t>Idiopathic pulmonary fibrosis (IPF)</w:t>
      </w:r>
      <w:bookmarkEnd w:id="187"/>
      <w:bookmarkEnd w:id="188"/>
    </w:p>
    <w:p w14:paraId="7180CD50" w14:textId="77777777" w:rsidR="00A65DA4" w:rsidRPr="008C67CE" w:rsidRDefault="00A65DA4" w:rsidP="00A65DA4">
      <w:r w:rsidRPr="00A65DA4">
        <w:t xml:space="preserve">The main evidence for efficacy comes from two </w:t>
      </w:r>
      <w:r w:rsidR="00094D89">
        <w:t>Phase</w:t>
      </w:r>
      <w:r w:rsidR="00E7625C">
        <w:t xml:space="preserve"> </w:t>
      </w:r>
      <w:r w:rsidRPr="00A65DA4">
        <w:t xml:space="preserve">III, randomised, double blind and </w:t>
      </w:r>
      <w:r w:rsidR="004A0845">
        <w:t>placebo controlled</w:t>
      </w:r>
      <w:r w:rsidRPr="00A65DA4">
        <w:t xml:space="preserve"> studies (1199.0032 and 1199.0034). These two studies had essentially an identical </w:t>
      </w:r>
      <w:r w:rsidRPr="00A65DA4">
        <w:lastRenderedPageBreak/>
        <w:t xml:space="preserve">design and will therefore be reviewed together. Supportive evidence was provided by one </w:t>
      </w:r>
      <w:r w:rsidR="00094D89">
        <w:t>Phase</w:t>
      </w:r>
      <w:r w:rsidR="00711FC2">
        <w:t xml:space="preserve"> II dose </w:t>
      </w:r>
      <w:r w:rsidRPr="00A65DA4">
        <w:t>ranging study (1199.0030).</w:t>
      </w:r>
    </w:p>
    <w:p w14:paraId="7180CD51" w14:textId="77777777" w:rsidR="00A65DA4" w:rsidRPr="00A65DA4" w:rsidRDefault="00A65DA4" w:rsidP="00A65DA4">
      <w:pPr>
        <w:pStyle w:val="Heading4"/>
      </w:pPr>
      <w:bookmarkStart w:id="189" w:name="_Toc291518966"/>
      <w:r w:rsidRPr="00A65DA4">
        <w:t>Pivotal efficacy studies</w:t>
      </w:r>
      <w:bookmarkEnd w:id="189"/>
    </w:p>
    <w:p w14:paraId="7180CD52" w14:textId="77777777" w:rsidR="00A65DA4" w:rsidRPr="00A65DA4" w:rsidRDefault="00A65DA4" w:rsidP="00A65DA4">
      <w:pPr>
        <w:pStyle w:val="Heading4"/>
      </w:pPr>
      <w:bookmarkStart w:id="190" w:name="_Toc291518967"/>
      <w:r w:rsidRPr="00A65DA4">
        <w:t>Studies 1199.0</w:t>
      </w:r>
      <w:r w:rsidR="00E879B5">
        <w:t>032 (‘INPULSIS 1’) and 1199.0034</w:t>
      </w:r>
      <w:r w:rsidRPr="00A65DA4">
        <w:t xml:space="preserve"> (‘INPULSIS 2’)</w:t>
      </w:r>
      <w:bookmarkEnd w:id="190"/>
    </w:p>
    <w:p w14:paraId="7180CD53" w14:textId="77777777" w:rsidR="00A65DA4" w:rsidRPr="00A65DA4" w:rsidRDefault="00A65DA4" w:rsidP="00A65DA4">
      <w:pPr>
        <w:pStyle w:val="Heading6"/>
      </w:pPr>
      <w:r w:rsidRPr="00A65DA4">
        <w:t>Study design, objectives, locations and dates</w:t>
      </w:r>
    </w:p>
    <w:p w14:paraId="7180CD54" w14:textId="77777777" w:rsidR="00A65DA4" w:rsidRDefault="00A65DA4" w:rsidP="00A65DA4">
      <w:r w:rsidRPr="00A65DA4">
        <w:t xml:space="preserve">Each study was a randomised, double blind, </w:t>
      </w:r>
      <w:r w:rsidR="004A0845">
        <w:t>placebo controlled</w:t>
      </w:r>
      <w:r w:rsidRPr="00A65DA4">
        <w:t xml:space="preserve"> trial with two parallel groups. They i</w:t>
      </w:r>
      <w:r w:rsidR="00E7625C">
        <w:t xml:space="preserve">ncluded a screening phase, a 52 week treatment phase and a 28 </w:t>
      </w:r>
      <w:r w:rsidRPr="00A65DA4">
        <w:t xml:space="preserve">day follow-up phase. A study schema is shown in </w:t>
      </w:r>
      <w:r w:rsidR="00A6733A">
        <w:t>Figure 8.</w:t>
      </w:r>
    </w:p>
    <w:p w14:paraId="7180CD55" w14:textId="77777777" w:rsidR="00E7625C" w:rsidRDefault="00E7625C" w:rsidP="00E7625C">
      <w:pPr>
        <w:pStyle w:val="FigureTitle"/>
      </w:pPr>
      <w:proofErr w:type="gramStart"/>
      <w:r w:rsidRPr="00E7625C">
        <w:t>Figure 8.</w:t>
      </w:r>
      <w:proofErr w:type="gramEnd"/>
      <w:r w:rsidRPr="00E7625C">
        <w:t xml:space="preserve"> </w:t>
      </w:r>
      <w:proofErr w:type="gramStart"/>
      <w:r w:rsidRPr="00E7625C">
        <w:t>Studies 1199.0032 and 1199.0034 – Study schema</w:t>
      </w:r>
      <w:r>
        <w:t>.</w:t>
      </w:r>
      <w:proofErr w:type="gramEnd"/>
    </w:p>
    <w:p w14:paraId="7180CD56" w14:textId="77777777" w:rsidR="00E7625C" w:rsidRPr="00E7625C" w:rsidRDefault="00A6733A" w:rsidP="00E7625C">
      <w:r>
        <w:rPr>
          <w:noProof/>
          <w:lang w:eastAsia="en-AU"/>
        </w:rPr>
        <w:drawing>
          <wp:inline distT="0" distB="0" distL="0" distR="0" wp14:anchorId="7180CFC0" wp14:editId="36E8F868">
            <wp:extent cx="4352934" cy="2597344"/>
            <wp:effectExtent l="0" t="0" r="0" b="0"/>
            <wp:docPr id="17" name="Picture 17" descr="Figure 8. Studies 1199.0032 and 1199.0034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51464" cy="2596467"/>
                    </a:xfrm>
                    <a:prstGeom prst="rect">
                      <a:avLst/>
                    </a:prstGeom>
                  </pic:spPr>
                </pic:pic>
              </a:graphicData>
            </a:graphic>
          </wp:inline>
        </w:drawing>
      </w:r>
    </w:p>
    <w:p w14:paraId="7180CD57" w14:textId="77777777" w:rsidR="00A65DA4" w:rsidRPr="00A65DA4" w:rsidRDefault="00A65DA4" w:rsidP="00A65DA4">
      <w:r w:rsidRPr="00A65DA4">
        <w:t>The overall objective was to investigate the efficacy and benefi</w:t>
      </w:r>
      <w:r w:rsidR="00A6733A">
        <w:t xml:space="preserve">t/risk ratio for </w:t>
      </w:r>
      <w:proofErr w:type="spellStart"/>
      <w:r w:rsidR="00A6733A">
        <w:t>nintedanib</w:t>
      </w:r>
      <w:proofErr w:type="spellEnd"/>
      <w:r w:rsidR="00A6733A">
        <w:t xml:space="preserve"> 150 </w:t>
      </w:r>
      <w:r w:rsidRPr="00A65DA4">
        <w:t>mg BD compared with placebo in the treatment of IPF. The primary objective was to assess the reduction in lung function decline, as measured by a change in the annual rate of decline in forced vital capacity (FVC).</w:t>
      </w:r>
    </w:p>
    <w:p w14:paraId="7180CD58" w14:textId="77777777" w:rsidR="00A65DA4" w:rsidRPr="004B259C" w:rsidRDefault="00A65DA4" w:rsidP="00A65DA4">
      <w:r w:rsidRPr="00A65DA4">
        <w:t>Study 1199.0032 was conducted in 98 centres in 13 countries. Study 1199.0034 was conducted in 107 centres in 17 countries. Both studies were conducted between May 2011 and October 2013. T</w:t>
      </w:r>
      <w:r w:rsidR="00711FC2">
        <w:t>he studies have been published (13)</w:t>
      </w:r>
      <w:r w:rsidRPr="00A65DA4">
        <w:t>.</w:t>
      </w:r>
    </w:p>
    <w:p w14:paraId="7180CD59" w14:textId="77777777" w:rsidR="00A65DA4" w:rsidRPr="00A65DA4" w:rsidRDefault="00A65DA4" w:rsidP="00A65DA4">
      <w:pPr>
        <w:pStyle w:val="Heading6"/>
      </w:pPr>
      <w:r w:rsidRPr="00A65DA4">
        <w:t>Inclusion and exclusion criteria</w:t>
      </w:r>
    </w:p>
    <w:p w14:paraId="7180CD5A" w14:textId="77777777" w:rsidR="00A65DA4" w:rsidRDefault="00A65DA4" w:rsidP="00A65DA4">
      <w:r w:rsidRPr="00A65DA4">
        <w:t xml:space="preserve">Inclusion criteria are listed in </w:t>
      </w:r>
      <w:r w:rsidR="00093BEF">
        <w:t xml:space="preserve">Table 21 </w:t>
      </w:r>
      <w:r w:rsidRPr="00A65DA4">
        <w:t xml:space="preserve">and exclusion criteria in </w:t>
      </w:r>
      <w:r w:rsidR="00093BEF">
        <w:t>Table 22.</w:t>
      </w:r>
    </w:p>
    <w:p w14:paraId="7180CD5B" w14:textId="77777777" w:rsidR="00D149C5" w:rsidRDefault="00A6733A" w:rsidP="005E21B7">
      <w:pPr>
        <w:pStyle w:val="Tabletitle"/>
      </w:pPr>
      <w:proofErr w:type="gramStart"/>
      <w:r>
        <w:t xml:space="preserve">Table </w:t>
      </w:r>
      <w:r w:rsidR="00093BEF">
        <w:t>21</w:t>
      </w:r>
      <w:r>
        <w:t>.</w:t>
      </w:r>
      <w:proofErr w:type="gramEnd"/>
      <w:r>
        <w:t xml:space="preserve"> </w:t>
      </w:r>
      <w:proofErr w:type="gramStart"/>
      <w:r w:rsidRPr="00A6733A">
        <w:t>Studies 1199.0032 and 1199.0034 – Inclusion criteria</w:t>
      </w:r>
      <w:r w:rsidR="005E21B7">
        <w:t>.</w:t>
      </w:r>
      <w:proofErr w:type="gramEnd"/>
    </w:p>
    <w:tbl>
      <w:tblPr>
        <w:tblStyle w:val="TableTGAblue"/>
        <w:tblW w:w="0" w:type="auto"/>
        <w:tblLook w:val="04A0" w:firstRow="1" w:lastRow="0" w:firstColumn="1" w:lastColumn="0" w:noHBand="0" w:noVBand="1"/>
      </w:tblPr>
      <w:tblGrid>
        <w:gridCol w:w="9242"/>
      </w:tblGrid>
      <w:tr w:rsidR="00D149C5" w14:paraId="7180CD5D" w14:textId="77777777" w:rsidTr="00BE5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tcPr>
          <w:p w14:paraId="7180CD5C" w14:textId="77777777" w:rsidR="00D149C5" w:rsidRDefault="00F71511" w:rsidP="00BE50C8">
            <w:r>
              <w:t>Patients were eligible for the trial if they met the following criteria</w:t>
            </w:r>
          </w:p>
        </w:tc>
      </w:tr>
      <w:tr w:rsidR="00D149C5" w14:paraId="7180CD5F"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5E" w14:textId="77777777" w:rsidR="00D149C5" w:rsidRDefault="00F71511" w:rsidP="00BE50C8">
            <w:r>
              <w:t>Written informed consent consistent with ICH GCP and local laws signed prior to entry into the trial (and prior to any trial procedure, including shipment of HRCT/biopsy to reviewer)</w:t>
            </w:r>
          </w:p>
        </w:tc>
      </w:tr>
      <w:tr w:rsidR="00D149C5" w14:paraId="7180CD61"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60" w14:textId="77777777" w:rsidR="00D149C5" w:rsidRDefault="00F71511" w:rsidP="00BE50C8">
            <w:r>
              <w:t>Patient aged ≥ 40 years at Visit 1</w:t>
            </w:r>
          </w:p>
        </w:tc>
      </w:tr>
      <w:tr w:rsidR="00D149C5" w14:paraId="7180CD63"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62" w14:textId="77777777" w:rsidR="00D149C5" w:rsidRDefault="00F71511" w:rsidP="00BE50C8">
            <w:r>
              <w:t>IPF diagnosed, based upon most recent American Thoracic Society (ATS)/European Respiratory Society (ERS)/Japanese Respiratory Society (JRS)/Latin American Thoracic society (ALAT) guidelines, within 5 years of Visit 2</w:t>
            </w:r>
          </w:p>
        </w:tc>
      </w:tr>
      <w:tr w:rsidR="00D149C5" w14:paraId="7180CD65"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64" w14:textId="77777777" w:rsidR="00D149C5" w:rsidRDefault="00F71511" w:rsidP="00BE50C8">
            <w:r>
              <w:lastRenderedPageBreak/>
              <w:t>Chest HRCT performed within 12 months of Visit 1</w:t>
            </w:r>
          </w:p>
        </w:tc>
      </w:tr>
      <w:tr w:rsidR="00D149C5" w14:paraId="7180CD67"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66" w14:textId="77777777" w:rsidR="00D149C5" w:rsidRDefault="00F71511" w:rsidP="00BE50C8">
            <w:r>
              <w:t>Combination of HRCT pattern, and if available surgical lung biopsy pattern, as assessed by central reviewers, consistent with diagnosis of IPF</w:t>
            </w:r>
          </w:p>
        </w:tc>
      </w:tr>
      <w:tr w:rsidR="00D149C5" w14:paraId="7180CD69"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68" w14:textId="77777777" w:rsidR="00D149C5" w:rsidRDefault="00F71511" w:rsidP="00BE50C8">
            <w:r>
              <w:t>DL</w:t>
            </w:r>
            <w:r w:rsidR="0091318A" w:rsidRPr="0091318A">
              <w:rPr>
                <w:vertAlign w:val="subscript"/>
              </w:rPr>
              <w:t>CO</w:t>
            </w:r>
            <w:r>
              <w:t xml:space="preserve"> (corrected for haemoglobin [</w:t>
            </w:r>
            <w:proofErr w:type="spellStart"/>
            <w:r>
              <w:t>Hb</w:t>
            </w:r>
            <w:proofErr w:type="spellEnd"/>
            <w:r>
              <w:t>] [Visit 1]): 30% to 79% predicted of normal at Visit 2</w:t>
            </w:r>
          </w:p>
        </w:tc>
      </w:tr>
      <w:tr w:rsidR="00D149C5" w14:paraId="7180CD6B" w14:textId="77777777" w:rsidTr="00D149C5">
        <w:tc>
          <w:tcPr>
            <w:cnfStyle w:val="001000000000" w:firstRow="0" w:lastRow="0" w:firstColumn="1" w:lastColumn="0" w:oddVBand="0" w:evenVBand="0" w:oddHBand="0" w:evenHBand="0" w:firstRowFirstColumn="0" w:firstRowLastColumn="0" w:lastRowFirstColumn="0" w:lastRowLastColumn="0"/>
            <w:tcW w:w="9242" w:type="dxa"/>
          </w:tcPr>
          <w:p w14:paraId="7180CD6A" w14:textId="77777777" w:rsidR="00D149C5" w:rsidRDefault="0091318A" w:rsidP="00BE50C8">
            <w:r>
              <w:t>FVC ≥ 50% predicted of normal at Visit 2</w:t>
            </w:r>
          </w:p>
        </w:tc>
      </w:tr>
    </w:tbl>
    <w:p w14:paraId="7180CD6C" w14:textId="77777777" w:rsidR="00A6733A" w:rsidRDefault="0091318A" w:rsidP="0091318A">
      <w:pPr>
        <w:pStyle w:val="Tabletext"/>
      </w:pPr>
      <w:r>
        <w:t xml:space="preserve">HRCT = High resolution CT scan; </w:t>
      </w:r>
      <w:r w:rsidRPr="0091318A">
        <w:t>DL</w:t>
      </w:r>
      <w:r w:rsidRPr="0091318A">
        <w:rPr>
          <w:vertAlign w:val="subscript"/>
        </w:rPr>
        <w:t>CO</w:t>
      </w:r>
      <w:r>
        <w:rPr>
          <w:vertAlign w:val="subscript"/>
        </w:rPr>
        <w:t xml:space="preserve"> </w:t>
      </w:r>
      <w:r>
        <w:t>= carbon monoxide diffusion capacity; FVC = Forced Vital Capacity</w:t>
      </w:r>
    </w:p>
    <w:p w14:paraId="7180CD6D" w14:textId="77777777" w:rsidR="00022E09" w:rsidRDefault="00022E09" w:rsidP="00022E09">
      <w:pPr>
        <w:pStyle w:val="Tabletitle"/>
      </w:pPr>
      <w:proofErr w:type="gramStart"/>
      <w:r>
        <w:t xml:space="preserve">Table </w:t>
      </w:r>
      <w:r w:rsidR="00093BEF">
        <w:t>22</w:t>
      </w:r>
      <w:r>
        <w:t>.</w:t>
      </w:r>
      <w:proofErr w:type="gramEnd"/>
      <w:r>
        <w:t xml:space="preserve"> </w:t>
      </w:r>
      <w:proofErr w:type="gramStart"/>
      <w:r w:rsidRPr="00022E09">
        <w:t>Studies 1199.0032 and 1199.0034 – Exclusion criteria</w:t>
      </w:r>
      <w:r w:rsidR="00711FC2">
        <w:t>.</w:t>
      </w:r>
      <w:proofErr w:type="gramEnd"/>
    </w:p>
    <w:tbl>
      <w:tblPr>
        <w:tblStyle w:val="TableTGAblue"/>
        <w:tblW w:w="0" w:type="auto"/>
        <w:tblLook w:val="04A0" w:firstRow="1" w:lastRow="0" w:firstColumn="1" w:lastColumn="0" w:noHBand="0" w:noVBand="1"/>
      </w:tblPr>
      <w:tblGrid>
        <w:gridCol w:w="9242"/>
      </w:tblGrid>
      <w:tr w:rsidR="0091318A" w14:paraId="7180CD6F" w14:textId="77777777" w:rsidTr="004235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tcPr>
          <w:p w14:paraId="7180CD6E" w14:textId="77777777" w:rsidR="0091318A" w:rsidRDefault="0091318A" w:rsidP="000322F0">
            <w:r>
              <w:t>Exclusion criteria</w:t>
            </w:r>
          </w:p>
        </w:tc>
      </w:tr>
      <w:tr w:rsidR="0091318A" w14:paraId="7180CD73"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70" w14:textId="77777777" w:rsidR="0091318A" w:rsidRDefault="0091318A" w:rsidP="000322F0">
            <w:r>
              <w:t>Laboratory Parameters (Visit 1)</w:t>
            </w:r>
          </w:p>
          <w:p w14:paraId="7180CD71" w14:textId="77777777" w:rsidR="0091318A" w:rsidRPr="0091318A" w:rsidRDefault="0091318A" w:rsidP="000322F0">
            <w:r w:rsidRPr="0091318A">
              <w:t>AST and ALT &gt; 1.5 x upper limit of normal (ULN)</w:t>
            </w:r>
          </w:p>
          <w:p w14:paraId="7180CD72" w14:textId="77777777" w:rsidR="0091318A" w:rsidRDefault="0091318A" w:rsidP="000322F0">
            <w:r w:rsidRPr="0091318A">
              <w:t>Bilirubin &gt; 1.5 x ULN</w:t>
            </w:r>
          </w:p>
        </w:tc>
      </w:tr>
      <w:tr w:rsidR="0091318A" w14:paraId="7180CD77"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74" w14:textId="77777777" w:rsidR="0091318A" w:rsidRDefault="0091318A" w:rsidP="000322F0">
            <w:r>
              <w:t>Lung function (Visit 2)</w:t>
            </w:r>
          </w:p>
          <w:p w14:paraId="7180CD75" w14:textId="77777777" w:rsidR="0091318A" w:rsidRPr="00ED2D5A" w:rsidRDefault="0091318A" w:rsidP="000322F0">
            <w:r w:rsidRPr="00ED2D5A">
              <w:t>Airway obstruction (pre-bronchodilator forced expiratory volume in 1 second [FEV1]/FVC &lt; 0.7)</w:t>
            </w:r>
          </w:p>
          <w:p w14:paraId="7180CD76" w14:textId="77777777" w:rsidR="0091318A" w:rsidRDefault="0091318A" w:rsidP="000322F0">
            <w:r w:rsidRPr="00ED2D5A">
              <w:t>In the opinion of the Investigator, the patient was likely to have lung transplantation during the trial (however, being on the transplantation list was acceptable for participation)</w:t>
            </w:r>
          </w:p>
        </w:tc>
      </w:tr>
      <w:tr w:rsidR="0091318A" w14:paraId="7180CD88"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78" w14:textId="77777777" w:rsidR="0091318A" w:rsidRDefault="00ED2D5A" w:rsidP="000322F0">
            <w:r>
              <w:t>Other diseases</w:t>
            </w:r>
          </w:p>
          <w:p w14:paraId="7180CD79" w14:textId="77777777" w:rsidR="00ED2D5A" w:rsidRPr="00ED2D5A" w:rsidRDefault="00ED2D5A" w:rsidP="000322F0">
            <w:r w:rsidRPr="00ED2D5A">
              <w:t>Cardiac disease</w:t>
            </w:r>
          </w:p>
          <w:p w14:paraId="7180CD7A" w14:textId="77777777" w:rsidR="00ED2D5A" w:rsidRPr="00ED2D5A" w:rsidRDefault="00ED2D5A" w:rsidP="000322F0">
            <w:r w:rsidRPr="00ED2D5A">
              <w:t>Myocardial infarction within 6 months of Visit 2</w:t>
            </w:r>
          </w:p>
          <w:p w14:paraId="7180CD7B" w14:textId="77777777" w:rsidR="00ED2D5A" w:rsidRPr="00ED2D5A" w:rsidRDefault="00ED2D5A" w:rsidP="000322F0">
            <w:r w:rsidRPr="00ED2D5A">
              <w:t>Unstable angina within 1 month of Visit 2</w:t>
            </w:r>
          </w:p>
          <w:p w14:paraId="7180CD7C" w14:textId="77777777" w:rsidR="00ED2D5A" w:rsidRPr="00ED2D5A" w:rsidRDefault="00ED2D5A" w:rsidP="000322F0">
            <w:r w:rsidRPr="00ED2D5A">
              <w:t>Bleeding risk</w:t>
            </w:r>
          </w:p>
          <w:p w14:paraId="7180CD7D" w14:textId="77777777" w:rsidR="00ED2D5A" w:rsidRPr="00ED2D5A" w:rsidRDefault="00ED2D5A" w:rsidP="000322F0">
            <w:r w:rsidRPr="00ED2D5A">
              <w:t>Known genetic predisposition to bleeding</w:t>
            </w:r>
          </w:p>
          <w:p w14:paraId="7180CD7E" w14:textId="77777777" w:rsidR="00ED2D5A" w:rsidRPr="00ED2D5A" w:rsidRDefault="00ED2D5A" w:rsidP="000322F0">
            <w:r w:rsidRPr="00ED2D5A">
              <w:t xml:space="preserve">Patients who required fibrinolysis, full-dose therapeutic anticoagulation (e.g. vitamin K antagonists, dabigatran, heparin, </w:t>
            </w:r>
            <w:proofErr w:type="spellStart"/>
            <w:r w:rsidRPr="00ED2D5A">
              <w:t>hirudin</w:t>
            </w:r>
            <w:proofErr w:type="spellEnd"/>
            <w:r w:rsidRPr="00ED2D5A">
              <w:t xml:space="preserve"> </w:t>
            </w:r>
            <w:proofErr w:type="spellStart"/>
            <w:r w:rsidRPr="00ED2D5A">
              <w:t>etc</w:t>
            </w:r>
            <w:proofErr w:type="spellEnd"/>
            <w:r w:rsidRPr="00ED2D5A">
              <w:t>), or high dose antiplatelet therapy. Prophylactic low dose heparin or heparin flush as needed for maintenance of an indwelling IV device (</w:t>
            </w:r>
            <w:proofErr w:type="spellStart"/>
            <w:r w:rsidRPr="00ED2D5A">
              <w:t>eg</w:t>
            </w:r>
            <w:proofErr w:type="spellEnd"/>
            <w:r w:rsidRPr="00ED2D5A">
              <w:t xml:space="preserve"> enoxaparin 4000 IU subcutaneous [</w:t>
            </w:r>
            <w:proofErr w:type="spellStart"/>
            <w:r w:rsidRPr="00ED2D5A">
              <w:t>sc</w:t>
            </w:r>
            <w:proofErr w:type="spellEnd"/>
            <w:r w:rsidRPr="00ED2D5A">
              <w:t xml:space="preserve">] per day)., as well as use of antiplatelet therapy (e.g. acetyl salicylic acid up to 325 mg/d or </w:t>
            </w:r>
            <w:proofErr w:type="spellStart"/>
            <w:r w:rsidRPr="00ED2D5A">
              <w:t>clopidogrel</w:t>
            </w:r>
            <w:proofErr w:type="spellEnd"/>
            <w:r w:rsidRPr="00ED2D5A">
              <w:t xml:space="preserve"> at 75 mg/d, or equivalent doses of other antiplatelet therapy ) was not excluded</w:t>
            </w:r>
          </w:p>
          <w:p w14:paraId="7180CD7F" w14:textId="77777777" w:rsidR="00ED2D5A" w:rsidRPr="00ED2D5A" w:rsidRDefault="00ED2D5A" w:rsidP="000322F0">
            <w:r w:rsidRPr="00ED2D5A">
              <w:t>History of haemorrhagic central nervous system (CNS) event within 12 months of Visit 2</w:t>
            </w:r>
          </w:p>
          <w:p w14:paraId="7180CD80" w14:textId="77777777" w:rsidR="00ED2D5A" w:rsidRPr="00ED2D5A" w:rsidRDefault="00ED2D5A" w:rsidP="000322F0">
            <w:r w:rsidRPr="00ED2D5A">
              <w:t>Any of the following within 3 months of Visit 2</w:t>
            </w:r>
          </w:p>
          <w:p w14:paraId="7180CD81" w14:textId="77777777" w:rsidR="00ED2D5A" w:rsidRPr="007731A3" w:rsidRDefault="00ED2D5A" w:rsidP="000322F0">
            <w:r w:rsidRPr="007731A3">
              <w:t>Haemoptysis or haematuria</w:t>
            </w:r>
          </w:p>
          <w:p w14:paraId="7180CD82" w14:textId="77777777" w:rsidR="00ED2D5A" w:rsidRPr="007731A3" w:rsidRDefault="00ED2D5A" w:rsidP="000322F0">
            <w:r w:rsidRPr="007731A3">
              <w:t xml:space="preserve">Active </w:t>
            </w:r>
            <w:r w:rsidR="007731A3" w:rsidRPr="007731A3">
              <w:t>gastrointestinal</w:t>
            </w:r>
            <w:r w:rsidRPr="007731A3">
              <w:t xml:space="preserve"> bleeding or ulcers</w:t>
            </w:r>
          </w:p>
          <w:p w14:paraId="7180CD83" w14:textId="77777777" w:rsidR="00ED2D5A" w:rsidRPr="007731A3" w:rsidRDefault="00ED2D5A" w:rsidP="000322F0">
            <w:r w:rsidRPr="007731A3">
              <w:t>Major injury or surgery</w:t>
            </w:r>
          </w:p>
          <w:p w14:paraId="7180CD84" w14:textId="77777777" w:rsidR="00ED2D5A" w:rsidRPr="007731A3" w:rsidRDefault="00ED2D5A" w:rsidP="000322F0">
            <w:r w:rsidRPr="007731A3">
              <w:t xml:space="preserve">Coagulation parameters. International normalised ratio (INR) &gt; 2, prolongation of </w:t>
            </w:r>
            <w:r w:rsidRPr="007731A3">
              <w:lastRenderedPageBreak/>
              <w:t xml:space="preserve">prothrombin time and partial (plasma) thromboplastin time (sec) (PTT) by &gt; 50% of </w:t>
            </w:r>
            <w:r w:rsidR="007731A3" w:rsidRPr="007731A3">
              <w:t>institutional</w:t>
            </w:r>
            <w:r w:rsidRPr="007731A3">
              <w:t xml:space="preserve"> ULN at Visit 1</w:t>
            </w:r>
          </w:p>
          <w:p w14:paraId="7180CD85" w14:textId="77777777" w:rsidR="007731A3" w:rsidRPr="007731A3" w:rsidRDefault="007731A3" w:rsidP="000322F0">
            <w:r w:rsidRPr="007731A3">
              <w:t>Thrombotic risk</w:t>
            </w:r>
          </w:p>
          <w:p w14:paraId="7180CD86" w14:textId="77777777" w:rsidR="007731A3" w:rsidRPr="007731A3" w:rsidRDefault="007731A3" w:rsidP="000322F0">
            <w:r w:rsidRPr="007731A3">
              <w:t>Known inherited predisposition to thrombosis</w:t>
            </w:r>
          </w:p>
          <w:p w14:paraId="7180CD87" w14:textId="77777777" w:rsidR="007731A3" w:rsidRDefault="007731A3" w:rsidP="000322F0">
            <w:r w:rsidRPr="007731A3">
              <w:t>History of thrombotic event (including stroke and transient ischemic attacks) within 12 months of Visit 2</w:t>
            </w:r>
          </w:p>
        </w:tc>
      </w:tr>
      <w:tr w:rsidR="0091318A" w14:paraId="7180CD8A"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89" w14:textId="77777777" w:rsidR="0091318A" w:rsidRPr="00BE6BB1" w:rsidRDefault="007731A3" w:rsidP="000322F0">
            <w:r w:rsidRPr="00BE6BB1">
              <w:lastRenderedPageBreak/>
              <w:t>Known hypersensitivity to the trial medication or its components</w:t>
            </w:r>
          </w:p>
        </w:tc>
      </w:tr>
      <w:tr w:rsidR="0091318A" w14:paraId="7180CD8C"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8B" w14:textId="77777777" w:rsidR="0091318A" w:rsidRPr="00BE6BB1" w:rsidRDefault="007731A3" w:rsidP="000322F0">
            <w:r w:rsidRPr="00BE6BB1">
              <w:t>Other disease that may have interfered with testing procedures or in the judgement of the Investigator may have interfered with trial participation or may have put the patient at risk when participating in the trial</w:t>
            </w:r>
          </w:p>
        </w:tc>
      </w:tr>
      <w:tr w:rsidR="0091318A" w14:paraId="7180CD8E"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8D" w14:textId="77777777" w:rsidR="0091318A" w:rsidRPr="00BE6BB1" w:rsidRDefault="007731A3" w:rsidP="000322F0">
            <w:r w:rsidRPr="00BE6BB1">
              <w:t>Life expectancy for disease other than IPF &lt; 2.5 years (Investigator assessment)</w:t>
            </w:r>
          </w:p>
        </w:tc>
      </w:tr>
      <w:tr w:rsidR="0091318A" w14:paraId="7180CD99" w14:textId="77777777" w:rsidTr="0091318A">
        <w:tc>
          <w:tcPr>
            <w:cnfStyle w:val="001000000000" w:firstRow="0" w:lastRow="0" w:firstColumn="1" w:lastColumn="0" w:oddVBand="0" w:evenVBand="0" w:oddHBand="0" w:evenHBand="0" w:firstRowFirstColumn="0" w:firstRowLastColumn="0" w:lastRowFirstColumn="0" w:lastRowLastColumn="0"/>
            <w:tcW w:w="9242" w:type="dxa"/>
          </w:tcPr>
          <w:p w14:paraId="7180CD8F" w14:textId="77777777" w:rsidR="00BE6BB1" w:rsidRDefault="00BE6BB1" w:rsidP="000322F0">
            <w:r>
              <w:t>General exclusion criteria</w:t>
            </w:r>
          </w:p>
          <w:p w14:paraId="7180CD90" w14:textId="77777777" w:rsidR="00BE6BB1" w:rsidRPr="00423544" w:rsidRDefault="00BE6BB1" w:rsidP="000322F0">
            <w:r w:rsidRPr="00423544">
              <w:t xml:space="preserve">Previous treatment with </w:t>
            </w:r>
            <w:proofErr w:type="spellStart"/>
            <w:r w:rsidRPr="00423544">
              <w:t>nintedanib</w:t>
            </w:r>
            <w:proofErr w:type="spellEnd"/>
            <w:r w:rsidRPr="00423544">
              <w:t xml:space="preserve"> (except short term treatment for up to 4 weeks)</w:t>
            </w:r>
          </w:p>
          <w:p w14:paraId="7180CD91" w14:textId="77777777" w:rsidR="00BE6BB1" w:rsidRPr="00423544" w:rsidRDefault="00BE6BB1" w:rsidP="000322F0">
            <w:r w:rsidRPr="00423544">
              <w:t>Other investigational therapy (participation in a research trial) received within 8 weeks of Visit 1</w:t>
            </w:r>
          </w:p>
          <w:p w14:paraId="7180CD92" w14:textId="77777777" w:rsidR="00BE6BB1" w:rsidRPr="00423544" w:rsidRDefault="00BE6BB1" w:rsidP="000322F0">
            <w:r w:rsidRPr="00423544">
              <w:t>N-acetylcysteine (NAC), prednisolone &gt; 15 mg/day ore equivalent received within 2 weeks of Visit 1</w:t>
            </w:r>
          </w:p>
          <w:p w14:paraId="7180CD93" w14:textId="77777777" w:rsidR="00BE6BB1" w:rsidRPr="00423544" w:rsidRDefault="00BE6BB1" w:rsidP="000322F0">
            <w:proofErr w:type="spellStart"/>
            <w:r w:rsidRPr="00423544">
              <w:t>Pirfenidone</w:t>
            </w:r>
            <w:proofErr w:type="spellEnd"/>
            <w:r w:rsidRPr="00423544">
              <w:t>, azathioprine, cyclophosphamide, cyclosporine A received within 8 weeks of Visit 1</w:t>
            </w:r>
          </w:p>
          <w:p w14:paraId="7180CD94" w14:textId="77777777" w:rsidR="00BE6BB1" w:rsidRPr="00423544" w:rsidRDefault="00BE6BB1" w:rsidP="000322F0">
            <w:r w:rsidRPr="00423544">
              <w:t xml:space="preserve">Major surgical procedures planned to occur during the trial </w:t>
            </w:r>
          </w:p>
          <w:p w14:paraId="7180CD95" w14:textId="77777777" w:rsidR="00BE6BB1" w:rsidRPr="00423544" w:rsidRDefault="00BE6BB1" w:rsidP="000322F0">
            <w:r w:rsidRPr="00423544">
              <w:t>Pregnant women or women who are breast feeding or of child bearing potential and not using tow effective methods of birth control (one barrier and one highly effective non-barrier) for at least 1 month prior to enrolment (and 3 months after treatment end). Female patients were considered to be of childbearing potential unless surgically sterilised by hysterectomy or bilateral tubal ligation, or had been postmenopausal for at least 2 years. Highly effective methods of birth control included established use of oral, injected or implanted hormonal</w:t>
            </w:r>
            <w:r w:rsidR="00423544" w:rsidRPr="00423544">
              <w:t xml:space="preserve"> methods of contraception, placement of an intrauterine device (IUD) or intrauterine system (IUS). A barrier method of contraception included condom or occlusive cap with spermicidal (foam, gel, film, cream, suppository) or male sterilisation (with appropriate post vasectomy documentation of the absence of sperm in the ejaculate)</w:t>
            </w:r>
          </w:p>
          <w:p w14:paraId="7180CD96" w14:textId="77777777" w:rsidR="00423544" w:rsidRPr="00423544" w:rsidRDefault="00423544" w:rsidP="000322F0">
            <w:r w:rsidRPr="00423544">
              <w:t>Sexually active males who would not commit to using condoms during the course of the trial (except if their partner was not of child bearing potential) and for 3 months after the end of treatment</w:t>
            </w:r>
          </w:p>
          <w:p w14:paraId="7180CD97" w14:textId="77777777" w:rsidR="00423544" w:rsidRPr="00423544" w:rsidRDefault="00423544" w:rsidP="000322F0">
            <w:r w:rsidRPr="00423544">
              <w:t>Active alcohol or drug abuse</w:t>
            </w:r>
          </w:p>
          <w:p w14:paraId="7180CD98" w14:textId="09C9F7C4" w:rsidR="00423544" w:rsidRDefault="00423544" w:rsidP="00873D3D">
            <w:r w:rsidRPr="00423544">
              <w:t xml:space="preserve">Patients who were not able to understand and follow trial procedures including completion of </w:t>
            </w:r>
            <w:r w:rsidR="00873D3D" w:rsidRPr="00423544">
              <w:t>self</w:t>
            </w:r>
            <w:r w:rsidR="00873D3D">
              <w:t>-</w:t>
            </w:r>
            <w:r w:rsidRPr="00423544">
              <w:t>administered questionnaires without help. This criterion was included as part of global amendment 1.0.</w:t>
            </w:r>
          </w:p>
        </w:tc>
      </w:tr>
    </w:tbl>
    <w:p w14:paraId="5258A8EF" w14:textId="5B6ACE8C" w:rsidR="00344693" w:rsidRPr="00344693" w:rsidRDefault="00A65DA4" w:rsidP="00190081">
      <w:r w:rsidRPr="00190081">
        <w:rPr>
          <w:b/>
        </w:rPr>
        <w:t xml:space="preserve">Evaluator’s </w:t>
      </w:r>
      <w:r w:rsidR="00190081" w:rsidRPr="00190081">
        <w:rPr>
          <w:b/>
        </w:rPr>
        <w:t>c</w:t>
      </w:r>
      <w:r w:rsidRPr="00190081">
        <w:rPr>
          <w:b/>
        </w:rPr>
        <w:t>omment</w:t>
      </w:r>
      <w:r w:rsidRPr="00344693">
        <w:t xml:space="preserve">: </w:t>
      </w:r>
    </w:p>
    <w:p w14:paraId="7180CD9A" w14:textId="2E55C53F" w:rsidR="00A65DA4" w:rsidRPr="00A65DA4" w:rsidRDefault="00A65DA4" w:rsidP="00344693">
      <w:r w:rsidRPr="00344693">
        <w:t>Diagnosis of IPF had to conform to the criteria set out in a widely accepted international consensus guideline on the d</w:t>
      </w:r>
      <w:r w:rsidR="00711FC2" w:rsidRPr="00344693">
        <w:t>iagnosis and management of IPF (1)</w:t>
      </w:r>
      <w:r w:rsidRPr="00344693">
        <w:t xml:space="preserve">. Diagnosis was confirmed by </w:t>
      </w:r>
      <w:r w:rsidRPr="00344693">
        <w:lastRenderedPageBreak/>
        <w:t>central reading of chest high resolution CT scan (HRCT) and surgical lung biopsy (if available). The study did not include subjects with more advance disease (</w:t>
      </w:r>
      <w:r w:rsidR="00383820" w:rsidRPr="00344693">
        <w:t>for example</w:t>
      </w:r>
      <w:r w:rsidRPr="00344693">
        <w:t xml:space="preserve"> FVC &lt; </w:t>
      </w:r>
      <w:proofErr w:type="gramStart"/>
      <w:r w:rsidRPr="00344693">
        <w:t>40</w:t>
      </w:r>
      <w:proofErr w:type="gramEnd"/>
      <w:r w:rsidR="00C44D27" w:rsidRPr="00344693">
        <w:rPr>
          <w:rStyle w:val="FootnoteReference"/>
        </w:rPr>
        <w:footnoteReference w:id="1"/>
      </w:r>
      <w:r w:rsidRPr="00344693">
        <w:t>%).</w:t>
      </w:r>
    </w:p>
    <w:p w14:paraId="7180CD9B" w14:textId="77777777" w:rsidR="00A65DA4" w:rsidRPr="00A65DA4" w:rsidRDefault="00A65DA4" w:rsidP="00A65DA4">
      <w:pPr>
        <w:pStyle w:val="Heading6"/>
      </w:pPr>
      <w:r w:rsidRPr="00A65DA4">
        <w:t>Study treatments</w:t>
      </w:r>
    </w:p>
    <w:p w14:paraId="7180CD9C" w14:textId="77777777" w:rsidR="00A65DA4" w:rsidRPr="00A65DA4" w:rsidRDefault="00A65DA4" w:rsidP="00A65DA4">
      <w:r w:rsidRPr="00A65DA4">
        <w:t>Subjects were randomised (3:2) to receive either:</w:t>
      </w:r>
    </w:p>
    <w:p w14:paraId="7180CD9D" w14:textId="77777777" w:rsidR="00A65DA4" w:rsidRPr="00A65DA4" w:rsidRDefault="00A65DA4" w:rsidP="00A65DA4">
      <w:pPr>
        <w:pStyle w:val="ListBullet"/>
      </w:pPr>
      <w:proofErr w:type="spellStart"/>
      <w:r w:rsidRPr="00A65DA4">
        <w:t>Nintedanib</w:t>
      </w:r>
      <w:proofErr w:type="spellEnd"/>
      <w:r w:rsidRPr="00A65DA4">
        <w:t xml:space="preserve"> 150 mg BD for 52 weeks; or</w:t>
      </w:r>
    </w:p>
    <w:p w14:paraId="7180CD9E" w14:textId="77777777" w:rsidR="00A65DA4" w:rsidRPr="00A65DA4" w:rsidRDefault="00A65DA4" w:rsidP="00A65DA4">
      <w:pPr>
        <w:pStyle w:val="ListBullet"/>
      </w:pPr>
      <w:r w:rsidRPr="00A65DA4">
        <w:t>Placebo for 52 weeks.</w:t>
      </w:r>
    </w:p>
    <w:p w14:paraId="7180CD9F" w14:textId="77777777" w:rsidR="00A65DA4" w:rsidRPr="00A65DA4" w:rsidRDefault="00A65DA4" w:rsidP="00A65DA4">
      <w:proofErr w:type="spellStart"/>
      <w:r w:rsidRPr="00A65DA4">
        <w:t>Nintedanib</w:t>
      </w:r>
      <w:proofErr w:type="spellEnd"/>
      <w:r w:rsidRPr="00A65DA4">
        <w:t xml:space="preserve"> was administered as 150 mg soft gel capsules (or 100 mg soft gel capsules in the event of dose reduction). The drug was to be administered after food intake</w:t>
      </w:r>
      <w:r>
        <w:t>.</w:t>
      </w:r>
    </w:p>
    <w:p w14:paraId="7180CDA0" w14:textId="77777777" w:rsidR="00A65DA4" w:rsidRPr="00A65DA4" w:rsidRDefault="00A65DA4" w:rsidP="00A65DA4">
      <w:r w:rsidRPr="00A65DA4">
        <w:t xml:space="preserve">Dose interruptions or reductions for toxicity were permitted. A </w:t>
      </w:r>
      <w:r w:rsidR="000909B3">
        <w:t>single dose reduction (to 100 </w:t>
      </w:r>
      <w:r w:rsidRPr="00A65DA4">
        <w:t>mg BD) was allowed. If the reduced dose was not tolerated, the drug was to be permanently discontinued. If the reduced dose was well tolerated, re-escalation to 150 mg BD was permitted provided it occurred wi</w:t>
      </w:r>
      <w:r>
        <w:t>thin 4 weeks.</w:t>
      </w:r>
    </w:p>
    <w:p w14:paraId="7180CDA1" w14:textId="77777777" w:rsidR="00A65DA4" w:rsidRPr="00A65DA4" w:rsidRDefault="00A65DA4" w:rsidP="00A65DA4">
      <w:r w:rsidRPr="00A65DA4">
        <w:t xml:space="preserve">The use of </w:t>
      </w:r>
      <w:proofErr w:type="spellStart"/>
      <w:r w:rsidRPr="00A65DA4">
        <w:t>pirfenidone</w:t>
      </w:r>
      <w:proofErr w:type="spellEnd"/>
      <w:r w:rsidRPr="00A65DA4">
        <w:t xml:space="preserve"> or any other experimental therapy for IPF was for</w:t>
      </w:r>
      <w:r w:rsidR="000F2E3D">
        <w:t>bid</w:t>
      </w:r>
      <w:r w:rsidRPr="00A65DA4">
        <w:t>den during the trial. If patie</w:t>
      </w:r>
      <w:r w:rsidR="000909B3">
        <w:t xml:space="preserve">nts required fibrinolysis, full </w:t>
      </w:r>
      <w:r w:rsidRPr="00A65DA4">
        <w:t>dos</w:t>
      </w:r>
      <w:r w:rsidR="000909B3">
        <w:t xml:space="preserve">e anticoagulant therapy or high </w:t>
      </w:r>
      <w:r w:rsidRPr="00A65DA4">
        <w:t xml:space="preserve">dose antiplatelet therapy during the trial, </w:t>
      </w:r>
      <w:proofErr w:type="spellStart"/>
      <w:r w:rsidRPr="00A65DA4">
        <w:t>nintedanib</w:t>
      </w:r>
      <w:proofErr w:type="spellEnd"/>
      <w:r w:rsidRPr="00A65DA4">
        <w:t xml:space="preserve">/placebo was to be stopped </w:t>
      </w:r>
      <w:r>
        <w:t>for 4 weeks prior to their use.</w:t>
      </w:r>
    </w:p>
    <w:p w14:paraId="7180CDA2" w14:textId="77777777" w:rsidR="00A65DA4" w:rsidRPr="004B259C" w:rsidRDefault="00A65DA4" w:rsidP="00A65DA4">
      <w:r w:rsidRPr="00A65DA4">
        <w:t xml:space="preserve">Azathioprine, cyclophosphamide, </w:t>
      </w:r>
      <w:proofErr w:type="spellStart"/>
      <w:r w:rsidRPr="00A65DA4">
        <w:t>cyclosporin</w:t>
      </w:r>
      <w:proofErr w:type="spellEnd"/>
      <w:r w:rsidRPr="00A65DA4">
        <w:t>, N-acetylcysteine and prednisone or other corticosteroids (at a dose of &gt; 15 mg/day or equivalent) were n</w:t>
      </w:r>
      <w:r w:rsidR="000909B3">
        <w:t>ot permitted during the first 6 </w:t>
      </w:r>
      <w:r w:rsidR="00711FC2">
        <w:t>months of treatment. However</w:t>
      </w:r>
      <w:r w:rsidRPr="00A65DA4">
        <w:t xml:space="preserve"> these medications could be initiated at any time for the treatment of acute exacerbations, and after 6 months, in the event of disease progression (a ≥</w:t>
      </w:r>
      <w:r w:rsidR="000909B3">
        <w:t> 10</w:t>
      </w:r>
      <w:r w:rsidRPr="00A65DA4">
        <w:t>% decrease in the absolute value of % predicted FVC or a ≥</w:t>
      </w:r>
      <w:r>
        <w:t xml:space="preserve"> </w:t>
      </w:r>
      <w:r w:rsidRPr="00A65DA4">
        <w:t>15% decrease in % predicted DLCO).</w:t>
      </w:r>
    </w:p>
    <w:p w14:paraId="7180CDA3" w14:textId="77777777" w:rsidR="00A65DA4" w:rsidRPr="00A65DA4" w:rsidRDefault="00A65DA4" w:rsidP="00A65DA4">
      <w:pPr>
        <w:pStyle w:val="Heading6"/>
      </w:pPr>
      <w:r w:rsidRPr="00A65DA4">
        <w:t>Efficacy variables and outcomes</w:t>
      </w:r>
    </w:p>
    <w:p w14:paraId="7180CDA4" w14:textId="77777777" w:rsidR="00A65DA4" w:rsidRPr="00A65DA4" w:rsidRDefault="00A65DA4" w:rsidP="00A65DA4">
      <w:r w:rsidRPr="00A65DA4">
        <w:t>The main efficacy variables were:</w:t>
      </w:r>
    </w:p>
    <w:p w14:paraId="7180CDA5" w14:textId="77777777" w:rsidR="00A65DA4" w:rsidRPr="00A65DA4" w:rsidRDefault="000909B3" w:rsidP="00A65DA4">
      <w:pPr>
        <w:pStyle w:val="ListBullet"/>
      </w:pPr>
      <w:r>
        <w:t>Forced vital capacity (FVC)</w:t>
      </w:r>
    </w:p>
    <w:p w14:paraId="7180CDA6" w14:textId="77777777" w:rsidR="00A65DA4" w:rsidRPr="00A65DA4" w:rsidRDefault="00A65DA4" w:rsidP="00A65DA4">
      <w:pPr>
        <w:pStyle w:val="ListBullet"/>
      </w:pPr>
      <w:r w:rsidRPr="00A65DA4">
        <w:t>P</w:t>
      </w:r>
      <w:r w:rsidR="000909B3">
        <w:t>atient reported outcomes (PROs)/quality of life (</w:t>
      </w:r>
      <w:proofErr w:type="spellStart"/>
      <w:r w:rsidR="000909B3">
        <w:t>QoL</w:t>
      </w:r>
      <w:proofErr w:type="spellEnd"/>
      <w:r w:rsidR="000909B3">
        <w:t>) measures</w:t>
      </w:r>
    </w:p>
    <w:p w14:paraId="7180CDA7" w14:textId="77777777" w:rsidR="00A65DA4" w:rsidRPr="00A65DA4" w:rsidRDefault="00A65DA4" w:rsidP="00A65DA4">
      <w:pPr>
        <w:pStyle w:val="ListBullet"/>
      </w:pPr>
      <w:r w:rsidRPr="00A65DA4">
        <w:t>The occurrenc</w:t>
      </w:r>
      <w:r w:rsidR="000909B3">
        <w:t>e of acute exacerbations of IPF</w:t>
      </w:r>
    </w:p>
    <w:p w14:paraId="7180CDA8" w14:textId="77777777" w:rsidR="00A65DA4" w:rsidRDefault="00A65DA4" w:rsidP="00A65DA4">
      <w:pPr>
        <w:pStyle w:val="ListBullet"/>
      </w:pPr>
      <w:r w:rsidRPr="00A65DA4">
        <w:t>Survival.</w:t>
      </w:r>
    </w:p>
    <w:p w14:paraId="7180CDA9" w14:textId="77777777" w:rsidR="00A65DA4" w:rsidRPr="00A65DA4" w:rsidRDefault="00A65DA4" w:rsidP="00A65DA4">
      <w:r w:rsidRPr="00A65DA4">
        <w:t>An acute exacerbation was defined as an episode of otherwise unexplained clinical features including all of the following:</w:t>
      </w:r>
    </w:p>
    <w:p w14:paraId="7180CDAA" w14:textId="77777777" w:rsidR="00A65DA4" w:rsidRPr="00A65DA4" w:rsidRDefault="00A65DA4" w:rsidP="00A65DA4">
      <w:pPr>
        <w:pStyle w:val="ListBullet"/>
      </w:pPr>
      <w:r w:rsidRPr="00A65DA4">
        <w:t>Unexplained worsening or develop</w:t>
      </w:r>
      <w:r w:rsidR="000909B3">
        <w:t>ment of dyspnoea within 30 days</w:t>
      </w:r>
    </w:p>
    <w:p w14:paraId="7180CDAB" w14:textId="77777777" w:rsidR="00A65DA4" w:rsidRPr="00A65DA4" w:rsidRDefault="00A65DA4" w:rsidP="00A65DA4">
      <w:pPr>
        <w:pStyle w:val="ListBullet"/>
      </w:pPr>
      <w:r w:rsidRPr="00A65DA4">
        <w:t xml:space="preserve">New diffuse pulmonary infiltrates on chest X-ray, and/or new HRCT parenchymal abnormalities with no pneumothorax or pleural effusion </w:t>
      </w:r>
      <w:r w:rsidR="000909B3">
        <w:t xml:space="preserve">(new ground </w:t>
      </w:r>
      <w:r w:rsidRPr="00A65DA4">
        <w:t xml:space="preserve">glass </w:t>
      </w:r>
      <w:r w:rsidR="000909B3">
        <w:t>opacities) since the last visit</w:t>
      </w:r>
    </w:p>
    <w:p w14:paraId="7180CDAC" w14:textId="77777777" w:rsidR="00A65DA4" w:rsidRPr="00A65DA4" w:rsidRDefault="00A65DA4" w:rsidP="00A65DA4">
      <w:pPr>
        <w:pStyle w:val="ListBullet"/>
      </w:pPr>
      <w:r w:rsidRPr="00A65DA4">
        <w:t>Exclusion of infection as per routine clinical pract</w:t>
      </w:r>
      <w:r w:rsidR="008E6377">
        <w:t>ice and microbiological studies</w:t>
      </w:r>
    </w:p>
    <w:p w14:paraId="7180CDAD" w14:textId="77777777" w:rsidR="00A65DA4" w:rsidRPr="004B259C" w:rsidRDefault="00A65DA4" w:rsidP="00A65DA4">
      <w:pPr>
        <w:pStyle w:val="ListBullet"/>
      </w:pPr>
      <w:r w:rsidRPr="00A65DA4">
        <w:t>Exclusion of alternative causes as per routine clinical practice, including the following: left heart failure, pulmonary embolism and identifiable cause of acute lung injury.</w:t>
      </w:r>
    </w:p>
    <w:p w14:paraId="7180CDAE" w14:textId="77777777" w:rsidR="00A65DA4" w:rsidRPr="00A65DA4" w:rsidRDefault="00A65DA4" w:rsidP="00A65DA4">
      <w:r w:rsidRPr="00A65DA4">
        <w:t xml:space="preserve">The primary efficacy outcome was the annual rate of decline </w:t>
      </w:r>
      <w:r w:rsidR="008E6377">
        <w:t>in FVC (expressed in mL over 52 </w:t>
      </w:r>
      <w:r w:rsidRPr="00A65DA4">
        <w:t>weeks).</w:t>
      </w:r>
    </w:p>
    <w:p w14:paraId="7180CDAF" w14:textId="77777777" w:rsidR="00A65DA4" w:rsidRPr="00A65DA4" w:rsidRDefault="00A65DA4" w:rsidP="00A65DA4">
      <w:r w:rsidRPr="00A65DA4">
        <w:t>The key secondary efficacy outcomes were:</w:t>
      </w:r>
    </w:p>
    <w:p w14:paraId="7180CDB0" w14:textId="77777777" w:rsidR="00A65DA4" w:rsidRPr="00A65DA4" w:rsidRDefault="00A65DA4" w:rsidP="00A65DA4">
      <w:pPr>
        <w:pStyle w:val="ListBullet"/>
      </w:pPr>
      <w:r w:rsidRPr="00A65DA4">
        <w:lastRenderedPageBreak/>
        <w:t>Change from baseline in the Saint George’s Respiratory Questionnaire (SGRQ) total score at 52 weeks (expressed in point</w:t>
      </w:r>
      <w:r w:rsidR="00D4340F">
        <w:t>s)</w:t>
      </w:r>
    </w:p>
    <w:p w14:paraId="7180CDB1" w14:textId="77777777" w:rsidR="00A65DA4" w:rsidRDefault="00A65DA4" w:rsidP="00A65DA4">
      <w:pPr>
        <w:pStyle w:val="ListBullet"/>
      </w:pPr>
      <w:r w:rsidRPr="00A65DA4">
        <w:t>Time to first acute IPF exacerbation (as assessed by the investigator) over 52 weeks.</w:t>
      </w:r>
    </w:p>
    <w:p w14:paraId="7180CDB2" w14:textId="77777777" w:rsidR="00A65DA4" w:rsidRDefault="00A65DA4" w:rsidP="00A65DA4">
      <w:r w:rsidRPr="00A65DA4">
        <w:t xml:space="preserve">A large number of other secondary outcomes were analysed. These are listed </w:t>
      </w:r>
      <w:r w:rsidRPr="00093BEF">
        <w:t xml:space="preserve">in </w:t>
      </w:r>
      <w:r w:rsidR="00093BEF" w:rsidRPr="00093BEF">
        <w:t>Table 23</w:t>
      </w:r>
      <w:r w:rsidRPr="00093BEF">
        <w:t>. There</w:t>
      </w:r>
      <w:r w:rsidRPr="00A65DA4">
        <w:t xml:space="preserve"> were five PRO/</w:t>
      </w:r>
      <w:proofErr w:type="spellStart"/>
      <w:r w:rsidRPr="00A65DA4">
        <w:t>QoL</w:t>
      </w:r>
      <w:proofErr w:type="spellEnd"/>
      <w:r w:rsidRPr="00A65DA4">
        <w:t xml:space="preserve"> instruments used in the studies. These are summarised in </w:t>
      </w:r>
      <w:r w:rsidR="000F2E3D">
        <w:t xml:space="preserve">Table 24. </w:t>
      </w:r>
      <w:r w:rsidRPr="00A65DA4">
        <w:t>The PRO/</w:t>
      </w:r>
      <w:proofErr w:type="spellStart"/>
      <w:r w:rsidRPr="00A65DA4">
        <w:t>QoL</w:t>
      </w:r>
      <w:proofErr w:type="spellEnd"/>
      <w:r w:rsidRPr="00A65DA4">
        <w:t xml:space="preserve"> instruments were to be completed in the following order: SGRQ, SOBQ, CASA-Q, PGI-C, </w:t>
      </w:r>
      <w:proofErr w:type="gramStart"/>
      <w:r w:rsidRPr="00A65DA4">
        <w:t>EQ-5D</w:t>
      </w:r>
      <w:proofErr w:type="gramEnd"/>
      <w:r w:rsidRPr="00A65DA4">
        <w:t>.</w:t>
      </w:r>
    </w:p>
    <w:p w14:paraId="7180CDB3" w14:textId="77777777" w:rsidR="008E6377" w:rsidRDefault="00093BEF" w:rsidP="00093BEF">
      <w:pPr>
        <w:pStyle w:val="Tabletitle"/>
      </w:pPr>
      <w:proofErr w:type="gramStart"/>
      <w:r>
        <w:t>Table 23</w:t>
      </w:r>
      <w:r w:rsidR="008E6377">
        <w:t>.</w:t>
      </w:r>
      <w:proofErr w:type="gramEnd"/>
      <w:r w:rsidR="008E6377">
        <w:t xml:space="preserve"> </w:t>
      </w:r>
      <w:proofErr w:type="gramStart"/>
      <w:r w:rsidR="008E6377" w:rsidRPr="008E6377">
        <w:t>Studies 1199.0032 and 1199.0034 – Other secondary outcomes</w:t>
      </w:r>
      <w:r w:rsidR="008E6377">
        <w:t>.</w:t>
      </w:r>
      <w:proofErr w:type="gramEnd"/>
    </w:p>
    <w:tbl>
      <w:tblPr>
        <w:tblStyle w:val="TableTGAblue"/>
        <w:tblW w:w="0" w:type="auto"/>
        <w:tblLook w:val="04A0" w:firstRow="1" w:lastRow="0" w:firstColumn="1" w:lastColumn="0" w:noHBand="0" w:noVBand="1"/>
      </w:tblPr>
      <w:tblGrid>
        <w:gridCol w:w="9242"/>
      </w:tblGrid>
      <w:tr w:rsidR="000322F0" w14:paraId="7180CDB5" w14:textId="77777777" w:rsidTr="00032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180CDB4" w14:textId="77777777" w:rsidR="000322F0" w:rsidRDefault="004A1DE6" w:rsidP="000322F0">
            <w:r>
              <w:t>Other secondary outcomes</w:t>
            </w:r>
          </w:p>
        </w:tc>
      </w:tr>
      <w:tr w:rsidR="000322F0" w14:paraId="7180CDBC" w14:textId="77777777" w:rsidTr="000322F0">
        <w:tc>
          <w:tcPr>
            <w:cnfStyle w:val="001000000000" w:firstRow="0" w:lastRow="0" w:firstColumn="1" w:lastColumn="0" w:oddVBand="0" w:evenVBand="0" w:oddHBand="0" w:evenHBand="0" w:firstRowFirstColumn="0" w:firstRowLastColumn="0" w:lastRowFirstColumn="0" w:lastRowLastColumn="0"/>
            <w:tcW w:w="9242" w:type="dxa"/>
          </w:tcPr>
          <w:p w14:paraId="7180CDB6" w14:textId="77777777" w:rsidR="000322F0" w:rsidRDefault="004A1DE6" w:rsidP="000322F0">
            <w:r>
              <w:t>Further analysis on FVC</w:t>
            </w:r>
          </w:p>
          <w:p w14:paraId="7180CDB7" w14:textId="77777777" w:rsidR="004A1DE6" w:rsidRDefault="004A1DE6" w:rsidP="004A1DE6">
            <w:pPr>
              <w:pStyle w:val="ListBullet"/>
            </w:pPr>
            <w:r>
              <w:t>Absolute and relative change from baseline in FVC (mL) and FVC% predicted over 52 weeks</w:t>
            </w:r>
          </w:p>
          <w:p w14:paraId="7180CDB8" w14:textId="77777777" w:rsidR="004A1DE6" w:rsidRDefault="004A1DE6" w:rsidP="004A1DE6">
            <w:pPr>
              <w:pStyle w:val="ListBullet"/>
            </w:pPr>
            <w:r>
              <w:t>Absolute categorical change of FVC% predicted over 52 weeks: decrease by &gt; 5%, increase by &gt; 5%, and change within ≤ 5%</w:t>
            </w:r>
          </w:p>
          <w:p w14:paraId="7180CDB9" w14:textId="77777777" w:rsidR="004A1DE6" w:rsidRDefault="004A1DE6" w:rsidP="004A1DE6">
            <w:pPr>
              <w:pStyle w:val="ListBullet"/>
            </w:pPr>
            <w:r w:rsidRPr="004A1DE6">
              <w:t xml:space="preserve">Absolute categorical change of FVC% predicted over 52 weeks: decrease by &gt; </w:t>
            </w:r>
            <w:r>
              <w:t>10</w:t>
            </w:r>
            <w:r w:rsidRPr="004A1DE6">
              <w:t xml:space="preserve">%, increase by &gt; </w:t>
            </w:r>
            <w:r>
              <w:t>10</w:t>
            </w:r>
            <w:r w:rsidRPr="004A1DE6">
              <w:t xml:space="preserve">%, and change within ≤ </w:t>
            </w:r>
            <w:r>
              <w:t>10</w:t>
            </w:r>
            <w:r w:rsidRPr="004A1DE6">
              <w:t>%</w:t>
            </w:r>
          </w:p>
          <w:p w14:paraId="7180CDBA" w14:textId="77777777" w:rsidR="004A1DE6" w:rsidRDefault="004A1DE6" w:rsidP="004A1DE6">
            <w:pPr>
              <w:pStyle w:val="ListBullet"/>
            </w:pPr>
            <w:r>
              <w:t>Proportion of FVC responders using 5% threshold at 52 weeks, defined as patients with absolute decline in FVC% predicted no greater than 5% and with an FVC evaluation at 52 weeks</w:t>
            </w:r>
          </w:p>
          <w:p w14:paraId="7180CDBB" w14:textId="77777777" w:rsidR="004A1DE6" w:rsidRPr="004A1DE6" w:rsidRDefault="004A1DE6" w:rsidP="004A1DE6">
            <w:pPr>
              <w:pStyle w:val="ListBullet"/>
            </w:pPr>
            <w:r>
              <w:t>FVC responders using 10% threshold at 52 weeks, defined as patients with absolute decline in FVC% predicted no greater than 10% and with an FVC evaluation at 52 weeks</w:t>
            </w:r>
          </w:p>
        </w:tc>
      </w:tr>
      <w:tr w:rsidR="000322F0" w14:paraId="7180CDC5" w14:textId="77777777" w:rsidTr="000322F0">
        <w:tc>
          <w:tcPr>
            <w:cnfStyle w:val="001000000000" w:firstRow="0" w:lastRow="0" w:firstColumn="1" w:lastColumn="0" w:oddVBand="0" w:evenVBand="0" w:oddHBand="0" w:evenHBand="0" w:firstRowFirstColumn="0" w:firstRowLastColumn="0" w:lastRowFirstColumn="0" w:lastRowLastColumn="0"/>
            <w:tcW w:w="9242" w:type="dxa"/>
          </w:tcPr>
          <w:p w14:paraId="7180CDBD" w14:textId="77777777" w:rsidR="000322F0" w:rsidRDefault="004A1DE6" w:rsidP="000322F0">
            <w:r>
              <w:t>Patient reported outcomes (PRO’s)</w:t>
            </w:r>
          </w:p>
          <w:p w14:paraId="7180CDBE" w14:textId="77777777" w:rsidR="004A1DE6" w:rsidRDefault="004A1DE6" w:rsidP="008441BC">
            <w:pPr>
              <w:pStyle w:val="ListBullet"/>
            </w:pPr>
            <w:r>
              <w:t>Proportion of SGRQ responders at 52 weeks (defined as absolute change from baseline at 52 weeks, in SGRQ total score ≤</w:t>
            </w:r>
            <w:r w:rsidR="008441BC">
              <w:t xml:space="preserve"> - 4 points</w:t>
            </w:r>
          </w:p>
          <w:p w14:paraId="7180CDBF" w14:textId="77777777" w:rsidR="008441BC" w:rsidRDefault="008441BC" w:rsidP="008441BC">
            <w:pPr>
              <w:pStyle w:val="ListBullet"/>
            </w:pPr>
            <w:r>
              <w:t>Change from baseline in SGRQ domains at 52 weeks (points)</w:t>
            </w:r>
          </w:p>
          <w:p w14:paraId="7180CDC0" w14:textId="77777777" w:rsidR="008441BC" w:rsidRDefault="008441BC" w:rsidP="008441BC">
            <w:pPr>
              <w:pStyle w:val="ListBullet"/>
            </w:pPr>
            <w:r>
              <w:t>Change from baseline in IPF specific version of SGRQ (SGRQ-I)[r10-5500] total score (exploratory calculation from SGRQ data) at 52 weeks (points)</w:t>
            </w:r>
          </w:p>
          <w:p w14:paraId="7180CDC1" w14:textId="77777777" w:rsidR="008441BC" w:rsidRDefault="008441BC" w:rsidP="008441BC">
            <w:pPr>
              <w:pStyle w:val="ListBullet"/>
            </w:pPr>
            <w:r>
              <w:t>Change from baseline in Shortness of Breath Questionnaire (SOBQ) at 52 weeks</w:t>
            </w:r>
          </w:p>
          <w:p w14:paraId="7180CDC2" w14:textId="77777777" w:rsidR="008441BC" w:rsidRDefault="008441BC" w:rsidP="008441BC">
            <w:pPr>
              <w:pStyle w:val="ListBullet"/>
            </w:pPr>
            <w:r>
              <w:t>Change from baseline in cough impact and cough symptom of the Cough and Sputum Assessment Questionnaire (CASA-Q(CD)) score at 52 weeks</w:t>
            </w:r>
          </w:p>
          <w:p w14:paraId="7180CDC3" w14:textId="77777777" w:rsidR="008441BC" w:rsidRDefault="008441BC" w:rsidP="008441BC">
            <w:pPr>
              <w:pStyle w:val="ListBullet"/>
            </w:pPr>
            <w:r>
              <w:t>Proportion of Patient’s Global Impression of Change (PGI-C) responders at 52 weeks (defines as ‘Very much better’/’Much better’/’A little better’/’No change’</w:t>
            </w:r>
          </w:p>
          <w:p w14:paraId="7180CDC4" w14:textId="77777777" w:rsidR="008441BC" w:rsidRDefault="008441BC" w:rsidP="008441BC">
            <w:pPr>
              <w:pStyle w:val="ListBullet"/>
            </w:pPr>
            <w:r>
              <w:t xml:space="preserve">Change from baseline in </w:t>
            </w:r>
            <w:proofErr w:type="spellStart"/>
            <w:r>
              <w:t>E</w:t>
            </w:r>
            <w:r w:rsidR="00B829C8">
              <w:t>u</w:t>
            </w:r>
            <w:r>
              <w:t>roQol</w:t>
            </w:r>
            <w:proofErr w:type="spellEnd"/>
            <w:r>
              <w:t xml:space="preserve"> 5 Dimensional Quality of Life Questionnaire (EQ-5D) health state up to 52 weeks</w:t>
            </w:r>
          </w:p>
        </w:tc>
      </w:tr>
      <w:tr w:rsidR="000322F0" w14:paraId="7180CDC8" w14:textId="77777777" w:rsidTr="000322F0">
        <w:tc>
          <w:tcPr>
            <w:cnfStyle w:val="001000000000" w:firstRow="0" w:lastRow="0" w:firstColumn="1" w:lastColumn="0" w:oddVBand="0" w:evenVBand="0" w:oddHBand="0" w:evenHBand="0" w:firstRowFirstColumn="0" w:firstRowLastColumn="0" w:lastRowFirstColumn="0" w:lastRowLastColumn="0"/>
            <w:tcW w:w="9242" w:type="dxa"/>
          </w:tcPr>
          <w:p w14:paraId="7180CDC6" w14:textId="77777777" w:rsidR="000322F0" w:rsidRDefault="008441BC" w:rsidP="000322F0">
            <w:r>
              <w:t>Acute exacerbations</w:t>
            </w:r>
          </w:p>
          <w:p w14:paraId="7180CDC7" w14:textId="77777777" w:rsidR="008441BC" w:rsidRDefault="008441BC" w:rsidP="00B829C8">
            <w:pPr>
              <w:pStyle w:val="ListBullet"/>
            </w:pPr>
            <w:r>
              <w:t>Risk of acute IPF exacerbation over 52 weeks</w:t>
            </w:r>
          </w:p>
        </w:tc>
      </w:tr>
      <w:tr w:rsidR="008441BC" w14:paraId="7180CDCF" w14:textId="77777777" w:rsidTr="000322F0">
        <w:tc>
          <w:tcPr>
            <w:cnfStyle w:val="001000000000" w:firstRow="0" w:lastRow="0" w:firstColumn="1" w:lastColumn="0" w:oddVBand="0" w:evenVBand="0" w:oddHBand="0" w:evenHBand="0" w:firstRowFirstColumn="0" w:firstRowLastColumn="0" w:lastRowFirstColumn="0" w:lastRowLastColumn="0"/>
            <w:tcW w:w="9242" w:type="dxa"/>
          </w:tcPr>
          <w:p w14:paraId="7180CDC9" w14:textId="77777777" w:rsidR="008441BC" w:rsidRDefault="008441BC" w:rsidP="000322F0">
            <w:r>
              <w:t>Survival analysis</w:t>
            </w:r>
          </w:p>
          <w:p w14:paraId="7180CDCA" w14:textId="77777777" w:rsidR="008441BC" w:rsidRDefault="008441BC" w:rsidP="008441BC">
            <w:pPr>
              <w:pStyle w:val="ListBullet"/>
            </w:pPr>
            <w:r>
              <w:t>Time to death over 52 weeks</w:t>
            </w:r>
          </w:p>
          <w:p w14:paraId="7180CDCB" w14:textId="77777777" w:rsidR="008441BC" w:rsidRDefault="008441BC" w:rsidP="008441BC">
            <w:pPr>
              <w:pStyle w:val="ListBullet"/>
            </w:pPr>
            <w:r>
              <w:lastRenderedPageBreak/>
              <w:t xml:space="preserve">Time to death due to </w:t>
            </w:r>
            <w:r w:rsidR="00B829C8">
              <w:t>respiratory</w:t>
            </w:r>
            <w:r>
              <w:t xml:space="preserve"> cause over 52 weeks (</w:t>
            </w:r>
            <w:r w:rsidR="00B829C8">
              <w:t>adjudicated</w:t>
            </w:r>
            <w:r>
              <w:t>)</w:t>
            </w:r>
          </w:p>
          <w:p w14:paraId="7180CDCC" w14:textId="77777777" w:rsidR="008441BC" w:rsidRDefault="008441BC" w:rsidP="008441BC">
            <w:pPr>
              <w:pStyle w:val="ListBullet"/>
            </w:pPr>
            <w:r>
              <w:t>Time to on-treatment death</w:t>
            </w:r>
          </w:p>
          <w:p w14:paraId="7180CDCD" w14:textId="77777777" w:rsidR="008441BC" w:rsidRDefault="008441BC" w:rsidP="008441BC">
            <w:pPr>
              <w:pStyle w:val="ListBullet"/>
            </w:pPr>
            <w:r>
              <w:t>Time to death or lung transplant over 52 weeks</w:t>
            </w:r>
          </w:p>
          <w:p w14:paraId="7180CDCE" w14:textId="77777777" w:rsidR="008441BC" w:rsidRDefault="008441BC" w:rsidP="008441BC">
            <w:pPr>
              <w:pStyle w:val="ListBullet2"/>
            </w:pPr>
            <w:r>
              <w:t xml:space="preserve">Time to death or lung transplant or qualifying for lung transplant over 52 weeks. As defined in the CTP, a patient was considered qualifying for transplant if he or she fulfilled the following criteria: FVC &lt; 45% predicted </w:t>
            </w:r>
            <w:r w:rsidR="00B829C8">
              <w:t>or DL</w:t>
            </w:r>
            <w:r w:rsidR="00B829C8" w:rsidRPr="00B829C8">
              <w:rPr>
                <w:vertAlign w:val="subscript"/>
              </w:rPr>
              <w:t>CO</w:t>
            </w:r>
            <w:r w:rsidR="00B829C8">
              <w:t xml:space="preserve"> &lt; 30% predicted or SpO</w:t>
            </w:r>
            <w:r w:rsidR="00B829C8" w:rsidRPr="00B829C8">
              <w:rPr>
                <w:vertAlign w:val="subscript"/>
              </w:rPr>
              <w:t>2</w:t>
            </w:r>
            <w:r w:rsidR="00B829C8">
              <w:t xml:space="preserve"> &lt; 88% at rest, at sea level (to be adapted for other heights)</w:t>
            </w:r>
          </w:p>
        </w:tc>
      </w:tr>
      <w:tr w:rsidR="008441BC" w14:paraId="7180CDD1" w14:textId="77777777" w:rsidTr="000322F0">
        <w:tc>
          <w:tcPr>
            <w:cnfStyle w:val="001000000000" w:firstRow="0" w:lastRow="0" w:firstColumn="1" w:lastColumn="0" w:oddVBand="0" w:evenVBand="0" w:oddHBand="0" w:evenHBand="0" w:firstRowFirstColumn="0" w:firstRowLastColumn="0" w:lastRowFirstColumn="0" w:lastRowLastColumn="0"/>
            <w:tcW w:w="9242" w:type="dxa"/>
          </w:tcPr>
          <w:p w14:paraId="7180CDD0" w14:textId="77777777" w:rsidR="008441BC" w:rsidRPr="00B829C8" w:rsidRDefault="00B829C8" w:rsidP="000322F0">
            <w:r>
              <w:lastRenderedPageBreak/>
              <w:t xml:space="preserve">Change from baseline in </w:t>
            </w:r>
            <w:r w:rsidRPr="00B829C8">
              <w:t>SpO</w:t>
            </w:r>
            <w:r w:rsidRPr="00B829C8">
              <w:rPr>
                <w:vertAlign w:val="subscript"/>
              </w:rPr>
              <w:t>2</w:t>
            </w:r>
            <w:r>
              <w:t xml:space="preserve"> (oxygen saturation, expressed in percent) at rest up over 52 weeks</w:t>
            </w:r>
          </w:p>
        </w:tc>
      </w:tr>
      <w:tr w:rsidR="000322F0" w14:paraId="7180CDD3" w14:textId="77777777" w:rsidTr="000322F0">
        <w:tc>
          <w:tcPr>
            <w:cnfStyle w:val="001000000000" w:firstRow="0" w:lastRow="0" w:firstColumn="1" w:lastColumn="0" w:oddVBand="0" w:evenVBand="0" w:oddHBand="0" w:evenHBand="0" w:firstRowFirstColumn="0" w:firstRowLastColumn="0" w:lastRowFirstColumn="0" w:lastRowLastColumn="0"/>
            <w:tcW w:w="9242" w:type="dxa"/>
          </w:tcPr>
          <w:p w14:paraId="7180CDD2" w14:textId="77777777" w:rsidR="000322F0" w:rsidRDefault="00B829C8" w:rsidP="000322F0">
            <w:r>
              <w:t xml:space="preserve">Change from baseline in </w:t>
            </w:r>
            <w:r w:rsidRPr="00B829C8">
              <w:t>DL</w:t>
            </w:r>
            <w:r w:rsidRPr="00B829C8">
              <w:rPr>
                <w:vertAlign w:val="subscript"/>
              </w:rPr>
              <w:t>CO</w:t>
            </w:r>
            <w:r w:rsidRPr="00B829C8">
              <w:t xml:space="preserve"> </w:t>
            </w:r>
            <w:r>
              <w:t>at rest over 52 weeks</w:t>
            </w:r>
          </w:p>
        </w:tc>
      </w:tr>
    </w:tbl>
    <w:p w14:paraId="7180CDD4" w14:textId="77777777" w:rsidR="00093BEF" w:rsidRPr="00093BEF" w:rsidRDefault="00093BEF" w:rsidP="00093BEF"/>
    <w:p w14:paraId="7180CDD5" w14:textId="77777777" w:rsidR="008E6377" w:rsidRDefault="00093BEF" w:rsidP="00093BEF">
      <w:pPr>
        <w:pStyle w:val="Tabletitle"/>
        <w:rPr>
          <w:noProof/>
          <w:lang w:eastAsia="en-AU"/>
        </w:rPr>
      </w:pPr>
      <w:r>
        <w:rPr>
          <w:noProof/>
          <w:lang w:eastAsia="en-AU"/>
        </w:rPr>
        <w:t xml:space="preserve">Table 24. </w:t>
      </w:r>
      <w:r w:rsidRPr="00093BEF">
        <w:rPr>
          <w:noProof/>
          <w:lang w:eastAsia="en-AU"/>
        </w:rPr>
        <w:t>Studies 1199.0032 and 1199.0034 – PRO/QoL instruments</w:t>
      </w:r>
      <w:r>
        <w:rPr>
          <w:noProof/>
          <w:lang w:eastAsia="en-AU"/>
        </w:rPr>
        <w:t>.</w:t>
      </w:r>
    </w:p>
    <w:tbl>
      <w:tblPr>
        <w:tblStyle w:val="TableTGAblue"/>
        <w:tblW w:w="0" w:type="auto"/>
        <w:tblLook w:val="04A0" w:firstRow="1" w:lastRow="0" w:firstColumn="1" w:lastColumn="0" w:noHBand="0" w:noVBand="1"/>
      </w:tblPr>
      <w:tblGrid>
        <w:gridCol w:w="9242"/>
      </w:tblGrid>
      <w:tr w:rsidR="00093BEF" w14:paraId="7180CDD7" w14:textId="77777777" w:rsidTr="003446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242" w:type="dxa"/>
          </w:tcPr>
          <w:p w14:paraId="7180CDD6" w14:textId="77777777" w:rsidR="00093BEF" w:rsidRDefault="00093BEF" w:rsidP="000322F0">
            <w:r w:rsidRPr="00093BEF">
              <w:t>PRO/</w:t>
            </w:r>
            <w:proofErr w:type="spellStart"/>
            <w:r w:rsidRPr="00093BEF">
              <w:t>QoL</w:t>
            </w:r>
            <w:proofErr w:type="spellEnd"/>
            <w:r w:rsidRPr="00093BEF">
              <w:t xml:space="preserve"> instruments</w:t>
            </w:r>
          </w:p>
        </w:tc>
      </w:tr>
      <w:tr w:rsidR="00093BEF" w14:paraId="7180CDDF" w14:textId="77777777" w:rsidTr="00093BEF">
        <w:tc>
          <w:tcPr>
            <w:cnfStyle w:val="001000000000" w:firstRow="0" w:lastRow="0" w:firstColumn="1" w:lastColumn="0" w:oddVBand="0" w:evenVBand="0" w:oddHBand="0" w:evenHBand="0" w:firstRowFirstColumn="0" w:firstRowLastColumn="0" w:lastRowFirstColumn="0" w:lastRowLastColumn="0"/>
            <w:tcW w:w="9242" w:type="dxa"/>
          </w:tcPr>
          <w:p w14:paraId="7180CDD8" w14:textId="77777777" w:rsidR="00093BEF" w:rsidRDefault="00093BEF" w:rsidP="000322F0">
            <w:r w:rsidRPr="00093BEF">
              <w:t>St. George's Respiratory Questionnaire (SGRQ)</w:t>
            </w:r>
          </w:p>
          <w:p w14:paraId="7180CDD9" w14:textId="4A128F28" w:rsidR="00093BEF" w:rsidRPr="00093BEF" w:rsidRDefault="00093BEF" w:rsidP="000322F0">
            <w:r w:rsidRPr="00093BEF">
              <w:t>The SGRQ is a 50-item question</w:t>
            </w:r>
            <w:r>
              <w:t>naire split into three domains:</w:t>
            </w:r>
          </w:p>
          <w:p w14:paraId="7180CDDA" w14:textId="77777777" w:rsidR="00093BEF" w:rsidRPr="00093BEF" w:rsidRDefault="00093BEF" w:rsidP="000322F0">
            <w:r w:rsidRPr="00093BEF">
              <w:t>Symptoms (assessing the frequency and se</w:t>
            </w:r>
            <w:r>
              <w:t>verity of respiratory symptoms)</w:t>
            </w:r>
          </w:p>
          <w:p w14:paraId="7180CDDB" w14:textId="77777777" w:rsidR="00093BEF" w:rsidRPr="00093BEF" w:rsidRDefault="00093BEF" w:rsidP="000322F0">
            <w:r w:rsidRPr="00093BEF">
              <w:t>Activity (assessing the effects of breathlessness on mobil</w:t>
            </w:r>
            <w:r>
              <w:t>ity and physical activity), and</w:t>
            </w:r>
          </w:p>
          <w:p w14:paraId="7180CDDC" w14:textId="77777777" w:rsidR="00093BEF" w:rsidRPr="00093BEF" w:rsidRDefault="00093BEF" w:rsidP="000322F0">
            <w:r w:rsidRPr="00093BEF">
              <w:t>Impact (assessing the psychosocial impact of the disease)</w:t>
            </w:r>
            <w:r>
              <w:t>.</w:t>
            </w:r>
          </w:p>
          <w:p w14:paraId="7180CDDD" w14:textId="77777777" w:rsidR="00093BEF" w:rsidRPr="00093BEF" w:rsidRDefault="00093BEF" w:rsidP="000322F0">
            <w:r w:rsidRPr="00093BEF">
              <w:t xml:space="preserve">Scores are weighted such that every domain score and the total score range from 0 to 100 points, with higher scores indicating a poorer </w:t>
            </w:r>
            <w:proofErr w:type="spellStart"/>
            <w:r w:rsidRPr="00093BEF">
              <w:t>QoL</w:t>
            </w:r>
            <w:proofErr w:type="spellEnd"/>
            <w:r w:rsidRPr="00093BEF">
              <w:t>. The minimum important clinical difference is considered to be 4 points. The SGRQ was originally developed for use in patients with chronic obstructive pulmonary disease (COPD) and asthma.</w:t>
            </w:r>
          </w:p>
          <w:p w14:paraId="7180CDDE" w14:textId="77777777" w:rsidR="00093BEF" w:rsidRPr="00093BEF" w:rsidRDefault="00093BEF" w:rsidP="000322F0">
            <w:r w:rsidRPr="00093BEF">
              <w:t>The pivotal studies also analysed an IPF-specific version of the SGRQ (the SGRQ-I). This instrument had the same 3 domains as the SGRQ but contained only 34 of the items. Analysis of the SGRQ-I was based on responses given to the SGRQ and did not require the administration of a separate questionnaire.</w:t>
            </w:r>
          </w:p>
        </w:tc>
      </w:tr>
      <w:tr w:rsidR="00093BEF" w14:paraId="7180CDE5" w14:textId="77777777" w:rsidTr="00093BEF">
        <w:tc>
          <w:tcPr>
            <w:cnfStyle w:val="001000000000" w:firstRow="0" w:lastRow="0" w:firstColumn="1" w:lastColumn="0" w:oddVBand="0" w:evenVBand="0" w:oddHBand="0" w:evenHBand="0" w:firstRowFirstColumn="0" w:firstRowLastColumn="0" w:lastRowFirstColumn="0" w:lastRowLastColumn="0"/>
            <w:tcW w:w="9242" w:type="dxa"/>
          </w:tcPr>
          <w:p w14:paraId="7180CDE0" w14:textId="77777777" w:rsidR="00093BEF" w:rsidRDefault="00093BEF" w:rsidP="000322F0">
            <w:r w:rsidRPr="00093BEF">
              <w:t>Shortness Of Breath Questionnaire (SOBQ)</w:t>
            </w:r>
          </w:p>
          <w:p w14:paraId="7180CDE1" w14:textId="77777777" w:rsidR="00093BEF" w:rsidRDefault="00CC53BB" w:rsidP="000322F0">
            <w:r>
              <w:t xml:space="preserve">The SOBQ is a 24 </w:t>
            </w:r>
            <w:r w:rsidR="00093BEF">
              <w:t>item dyspnoea questionnaire that asks respondents to rate themselves from 0 (</w:t>
            </w:r>
            <w:r>
              <w:t>‘Not at all’) to 5 (‘</w:t>
            </w:r>
            <w:r w:rsidR="00093BEF">
              <w:t>Maximally or unable to do because of</w:t>
            </w:r>
            <w:r>
              <w:t xml:space="preserve"> breathlessness’) in two areas:</w:t>
            </w:r>
          </w:p>
          <w:p w14:paraId="7180CDE2" w14:textId="77777777" w:rsidR="00093BEF" w:rsidRDefault="00093BEF" w:rsidP="000322F0">
            <w:r>
              <w:t>How short of breath they are while performing various activities (21 items)</w:t>
            </w:r>
            <w:r w:rsidR="00D4340F">
              <w:t>; and</w:t>
            </w:r>
          </w:p>
          <w:p w14:paraId="7180CDE3" w14:textId="77777777" w:rsidR="00093BEF" w:rsidRDefault="00093BEF" w:rsidP="000322F0">
            <w:r>
              <w:t>How much shortness of breath, fear of hur</w:t>
            </w:r>
            <w:r w:rsidR="00CC53BB">
              <w:t>ting themselves by overexerting</w:t>
            </w:r>
            <w:r>
              <w:t xml:space="preserve"> and fear of shortness of breath limit them </w:t>
            </w:r>
            <w:r w:rsidR="00CC53BB">
              <w:t>in their daily lives (3 items).</w:t>
            </w:r>
          </w:p>
          <w:p w14:paraId="7180CDE4" w14:textId="77777777" w:rsidR="00093BEF" w:rsidRPr="00CC53BB" w:rsidRDefault="00093BEF" w:rsidP="000322F0">
            <w:r>
              <w:t>Scores range from 0 to 120, with higher scores indicating greater dyspnoea. The minimum important clinical difference is considered to be 5 points.</w:t>
            </w:r>
          </w:p>
        </w:tc>
      </w:tr>
      <w:tr w:rsidR="00093BEF" w14:paraId="7180CDE8" w14:textId="77777777" w:rsidTr="00093BEF">
        <w:tc>
          <w:tcPr>
            <w:cnfStyle w:val="001000000000" w:firstRow="0" w:lastRow="0" w:firstColumn="1" w:lastColumn="0" w:oddVBand="0" w:evenVBand="0" w:oddHBand="0" w:evenHBand="0" w:firstRowFirstColumn="0" w:firstRowLastColumn="0" w:lastRowFirstColumn="0" w:lastRowLastColumn="0"/>
            <w:tcW w:w="9242" w:type="dxa"/>
          </w:tcPr>
          <w:p w14:paraId="7180CDE6" w14:textId="77777777" w:rsidR="00093BEF" w:rsidRDefault="00CC53BB" w:rsidP="000322F0">
            <w:r w:rsidRPr="00CC53BB">
              <w:t>Cough And Sputum Assessment Questionnaire (CASA-Q</w:t>
            </w:r>
            <w:r>
              <w:t>)</w:t>
            </w:r>
          </w:p>
          <w:p w14:paraId="7180CDE7" w14:textId="77777777" w:rsidR="00CC53BB" w:rsidRPr="00CC53BB" w:rsidRDefault="00CC53BB" w:rsidP="000322F0">
            <w:r>
              <w:t xml:space="preserve">The CASA-Q is a 20-item questionnaire that assesses the symptoms of cough and sputum across 4 domains: cough symptoms, sputum symptoms, cough impact and sputum impact. The four domains are scored from 0 to 100, with lower scores indicating higher symptom or </w:t>
            </w:r>
            <w:r>
              <w:lastRenderedPageBreak/>
              <w:t>impact levels. A minimally important clinical difference was not stated in the study documentation. In the pivotal studies only the cough domains were analysed with a questionnaire consisting of 11 items.</w:t>
            </w:r>
          </w:p>
        </w:tc>
      </w:tr>
      <w:tr w:rsidR="00093BEF" w14:paraId="7180CDEB" w14:textId="77777777" w:rsidTr="00093BEF">
        <w:tc>
          <w:tcPr>
            <w:cnfStyle w:val="001000000000" w:firstRow="0" w:lastRow="0" w:firstColumn="1" w:lastColumn="0" w:oddVBand="0" w:evenVBand="0" w:oddHBand="0" w:evenHBand="0" w:firstRowFirstColumn="0" w:firstRowLastColumn="0" w:lastRowFirstColumn="0" w:lastRowLastColumn="0"/>
            <w:tcW w:w="9242" w:type="dxa"/>
          </w:tcPr>
          <w:p w14:paraId="7180CDE9" w14:textId="77777777" w:rsidR="00CC53BB" w:rsidRPr="00CC53BB" w:rsidRDefault="00CC53BB" w:rsidP="000322F0">
            <w:r w:rsidRPr="00CC53BB">
              <w:lastRenderedPageBreak/>
              <w:t>Patient’s Global Impression of Change (PGI-C)</w:t>
            </w:r>
          </w:p>
          <w:p w14:paraId="7180CDEA" w14:textId="77777777" w:rsidR="00093BEF" w:rsidRDefault="00CC53BB" w:rsidP="000322F0">
            <w:r w:rsidRPr="00CC53BB">
              <w:t xml:space="preserve">Subjects were asked to: </w:t>
            </w:r>
            <w:r>
              <w:t>‘</w:t>
            </w:r>
            <w:r w:rsidRPr="00CC53BB">
              <w:rPr>
                <w:i/>
              </w:rPr>
              <w:t>Check the one number that best describes how your respiratory condition is now, compared with how it was before you began taking medication in this study’</w:t>
            </w:r>
            <w:r w:rsidRPr="00CC53BB">
              <w:t>. Possible responses ranged from 1 (very much better) to 7 (very much worse).</w:t>
            </w:r>
          </w:p>
        </w:tc>
      </w:tr>
      <w:tr w:rsidR="00093BEF" w14:paraId="7180CDEF" w14:textId="77777777" w:rsidTr="00093BEF">
        <w:tc>
          <w:tcPr>
            <w:cnfStyle w:val="001000000000" w:firstRow="0" w:lastRow="0" w:firstColumn="1" w:lastColumn="0" w:oddVBand="0" w:evenVBand="0" w:oddHBand="0" w:evenHBand="0" w:firstRowFirstColumn="0" w:firstRowLastColumn="0" w:lastRowFirstColumn="0" w:lastRowLastColumn="0"/>
            <w:tcW w:w="9242" w:type="dxa"/>
          </w:tcPr>
          <w:p w14:paraId="7180CDEC" w14:textId="77777777" w:rsidR="00093BEF" w:rsidRDefault="00CC53BB" w:rsidP="000322F0">
            <w:proofErr w:type="spellStart"/>
            <w:r w:rsidRPr="00CC53BB">
              <w:t>EuroQoL</w:t>
            </w:r>
            <w:proofErr w:type="spellEnd"/>
            <w:r w:rsidRPr="00CC53BB">
              <w:t xml:space="preserve"> 5-Dimension Quality of Life Questionnaire (EQ-5D)</w:t>
            </w:r>
          </w:p>
          <w:p w14:paraId="7180CDED" w14:textId="77777777" w:rsidR="00CC53BB" w:rsidRPr="006F2A85" w:rsidRDefault="00CC53BB" w:rsidP="000322F0">
            <w:r w:rsidRPr="006F2A85">
              <w:t xml:space="preserve">The EQ-5D is a generic measure of </w:t>
            </w:r>
            <w:proofErr w:type="spellStart"/>
            <w:r w:rsidRPr="006F2A85">
              <w:t>QoL</w:t>
            </w:r>
            <w:proofErr w:type="spellEnd"/>
            <w:r w:rsidRPr="006F2A85">
              <w:t>. It consists of a questionnaire (index) and a visual analogue scale (VAS). The questionnaire has five ‘dimensions’ (mobility, self-care, usual activities, pain/discomfort and anxiety/depression). For each dimension, the subject can choose one of three responses (</w:t>
            </w:r>
            <w:r w:rsidR="00D4340F">
              <w:t>for example,</w:t>
            </w:r>
            <w:r w:rsidRPr="006F2A85">
              <w:t xml:space="preserve"> no problems, some problems, severe problems). The VAS asks the subject to rate his or her current health state from 0 (‘worst imaginable health state’) to 100 (</w:t>
            </w:r>
            <w:r>
              <w:t>‘best imaginable health state’).</w:t>
            </w:r>
          </w:p>
          <w:p w14:paraId="7180CDEE" w14:textId="77777777" w:rsidR="00CC53BB" w:rsidRPr="00CC53BB" w:rsidRDefault="00CC53BB" w:rsidP="000322F0"/>
        </w:tc>
      </w:tr>
    </w:tbl>
    <w:p w14:paraId="7180CDF0" w14:textId="77777777" w:rsidR="00A65DA4" w:rsidRPr="004B259C" w:rsidRDefault="00A65DA4" w:rsidP="00A65DA4">
      <w:r w:rsidRPr="00A65DA4">
        <w:t xml:space="preserve">A flowchart showing the timing of investigations </w:t>
      </w:r>
      <w:r w:rsidR="00CC53BB">
        <w:t>was provided</w:t>
      </w:r>
      <w:r w:rsidRPr="00A65DA4">
        <w:t>. Standard spirometry devices were supplied to all study centres and spirometry performance was monitored centrally. Testing was conducted in triplicate with the best result selected.</w:t>
      </w:r>
    </w:p>
    <w:p w14:paraId="7180CDF1" w14:textId="77777777" w:rsidR="00A65DA4" w:rsidRPr="00A65DA4" w:rsidRDefault="00A65DA4" w:rsidP="00A65DA4">
      <w:pPr>
        <w:pStyle w:val="Heading6"/>
      </w:pPr>
      <w:r w:rsidRPr="00A65DA4">
        <w:t>Randomisation and blinding methods</w:t>
      </w:r>
    </w:p>
    <w:p w14:paraId="7180CDF2" w14:textId="77777777" w:rsidR="00A65DA4" w:rsidRPr="00A65DA4" w:rsidRDefault="00A65DA4" w:rsidP="00A65DA4">
      <w:r w:rsidRPr="00A65DA4">
        <w:t xml:space="preserve">Subjects were randomised (3:2) to </w:t>
      </w:r>
      <w:proofErr w:type="spellStart"/>
      <w:r w:rsidRPr="00A65DA4">
        <w:t>nintedanib</w:t>
      </w:r>
      <w:proofErr w:type="spellEnd"/>
      <w:r w:rsidRPr="00A65DA4">
        <w:t xml:space="preserve"> or placebo via an i</w:t>
      </w:r>
      <w:r w:rsidR="000F2E3D">
        <w:t xml:space="preserve">nteractive voice (phone) or web </w:t>
      </w:r>
      <w:r w:rsidRPr="00A65DA4">
        <w:t>based response system. Randomisation was performed in blocks o</w:t>
      </w:r>
      <w:r w:rsidR="000F2E3D">
        <w:t xml:space="preserve">f five and was not stratified. </w:t>
      </w:r>
      <w:r w:rsidRPr="00A65DA4">
        <w:t xml:space="preserve">Blinding was achieved through the use of placebo soft gel capsules that were matched to the </w:t>
      </w:r>
      <w:proofErr w:type="spellStart"/>
      <w:r w:rsidRPr="00A65DA4">
        <w:t>nintedanib</w:t>
      </w:r>
      <w:proofErr w:type="spellEnd"/>
      <w:r w:rsidRPr="00A65DA4">
        <w:t xml:space="preserve"> capsules.</w:t>
      </w:r>
    </w:p>
    <w:p w14:paraId="7180CDF3" w14:textId="77777777" w:rsidR="00A65DA4" w:rsidRPr="00A65DA4" w:rsidRDefault="00A65DA4" w:rsidP="00A65DA4">
      <w:pPr>
        <w:pStyle w:val="Heading6"/>
      </w:pPr>
      <w:r w:rsidRPr="00A65DA4">
        <w:t>Analysis populations</w:t>
      </w:r>
    </w:p>
    <w:p w14:paraId="7180CDF4" w14:textId="77777777" w:rsidR="00A65DA4" w:rsidRPr="00A65DA4" w:rsidRDefault="00A65DA4" w:rsidP="00A65DA4">
      <w:r w:rsidRPr="00A65DA4">
        <w:t>The treated set (TS) included all randomised patients who were dispensed study medication and were documented to have taken at least 1 dose of investigational treatment. The TS w</w:t>
      </w:r>
      <w:r w:rsidR="000F2E3D">
        <w:t>as used for all analyses of T</w:t>
      </w:r>
      <w:r w:rsidRPr="00A65DA4">
        <w:t>rials 1199.32 and 1199.34, and their pooled data. Patients were analysed based on the treatment to which they were randomised.</w:t>
      </w:r>
    </w:p>
    <w:p w14:paraId="7180CDF5" w14:textId="77777777" w:rsidR="00A65DA4" w:rsidRPr="00A65DA4" w:rsidDel="0081373E" w:rsidRDefault="00A65DA4" w:rsidP="00A65DA4">
      <w:r w:rsidRPr="00A65DA4">
        <w:t>The randomised set (RS) consists of those patients who were random</w:t>
      </w:r>
      <w:r w:rsidR="00937772">
        <w:t>ise</w:t>
      </w:r>
      <w:r w:rsidRPr="00A65DA4">
        <w:t>d to a treatment group.</w:t>
      </w:r>
    </w:p>
    <w:p w14:paraId="7180CDF6" w14:textId="77777777" w:rsidR="00A65DA4" w:rsidRPr="00A65DA4" w:rsidDel="0081373E" w:rsidRDefault="00A65DA4" w:rsidP="00A65DA4">
      <w:pPr>
        <w:pStyle w:val="Heading6"/>
      </w:pPr>
      <w:r w:rsidRPr="00A65DA4" w:rsidDel="0081373E">
        <w:t>Sample size</w:t>
      </w:r>
    </w:p>
    <w:p w14:paraId="7180CDF7" w14:textId="77777777" w:rsidR="00A65DA4" w:rsidRPr="004B259C" w:rsidRDefault="00A65DA4" w:rsidP="00A65DA4">
      <w:r w:rsidRPr="00A65DA4">
        <w:t xml:space="preserve">The expected difference in FVC over 52 weeks between the </w:t>
      </w:r>
      <w:proofErr w:type="spellStart"/>
      <w:r w:rsidRPr="00A65DA4">
        <w:t>nintedanib</w:t>
      </w:r>
      <w:proofErr w:type="spellEnd"/>
      <w:r w:rsidRPr="00A65DA4">
        <w:t xml:space="preserve"> and placebo groups was 100 </w:t>
      </w:r>
      <w:proofErr w:type="spellStart"/>
      <w:r w:rsidRPr="00A65DA4">
        <w:t>mL.</w:t>
      </w:r>
      <w:proofErr w:type="spellEnd"/>
      <w:r w:rsidRPr="00A65DA4">
        <w:t xml:space="preserve"> Based on </w:t>
      </w:r>
      <w:r w:rsidR="00094D89">
        <w:t>Phase</w:t>
      </w:r>
      <w:r w:rsidRPr="00A65DA4">
        <w:t xml:space="preserve"> II data, the expected standard deviation for FVC was 300 </w:t>
      </w:r>
      <w:proofErr w:type="spellStart"/>
      <w:r w:rsidRPr="00A65DA4">
        <w:t>mL.</w:t>
      </w:r>
      <w:proofErr w:type="spellEnd"/>
      <w:r w:rsidRPr="00A65DA4">
        <w:t xml:space="preserve"> It was assumed that 2% of subjects would not be evaluable. Using these assumptions, it was calculated that 485 subjects (194 placebo and 291 </w:t>
      </w:r>
      <w:proofErr w:type="spellStart"/>
      <w:r w:rsidRPr="00A65DA4">
        <w:t>nintedanib</w:t>
      </w:r>
      <w:proofErr w:type="spellEnd"/>
      <w:r w:rsidRPr="00A65DA4">
        <w:t xml:space="preserve">) would be required to demonstrate a difference of 100 mL in </w:t>
      </w:r>
      <w:r w:rsidR="000F2E3D">
        <w:t xml:space="preserve">FVC, with 90% power using a two group t-test with a 0.025 one </w:t>
      </w:r>
      <w:r w:rsidRPr="00A65DA4">
        <w:t>sided significance level.</w:t>
      </w:r>
    </w:p>
    <w:p w14:paraId="7180CDF8" w14:textId="77777777" w:rsidR="00A65DA4" w:rsidRPr="00A65DA4" w:rsidRDefault="00A65DA4" w:rsidP="00A65DA4">
      <w:pPr>
        <w:pStyle w:val="Heading6"/>
      </w:pPr>
      <w:r w:rsidRPr="00A65DA4">
        <w:t>Statistical methods</w:t>
      </w:r>
    </w:p>
    <w:p w14:paraId="7180CDF9" w14:textId="77777777" w:rsidR="00A65DA4" w:rsidRPr="00A65DA4" w:rsidRDefault="00A65DA4" w:rsidP="00A65DA4">
      <w:r w:rsidRPr="00A65DA4">
        <w:t>The primary endpoint (annual rate of decline in FVC) was analysed using a random coefficient regression model. Decrease in FVC was assumed to be linear within each patient over 52 weeks. Gender, baseline age, and baseline height, which are predictors of FVC, were also included in the model as covariates. Various sensitivity analyses were performed.</w:t>
      </w:r>
    </w:p>
    <w:p w14:paraId="7180CDFA" w14:textId="77777777" w:rsidR="00A65DA4" w:rsidRPr="00A65DA4" w:rsidRDefault="00A65DA4" w:rsidP="00A65DA4">
      <w:r w:rsidRPr="00A65DA4">
        <w:lastRenderedPageBreak/>
        <w:t>The change from baseline in SGRQ total score over 52 weeks was analysed using a mixed model for repeated measures (MMRM). The model included treatment and visit as fixed effects, baseline SGRQ total scor</w:t>
      </w:r>
      <w:r w:rsidR="000F2E3D">
        <w:t xml:space="preserve">e as a covariate, and treatment by </w:t>
      </w:r>
      <w:r w:rsidRPr="00A65DA4">
        <w:t>visi</w:t>
      </w:r>
      <w:r w:rsidR="000F2E3D">
        <w:t xml:space="preserve">t and baseline SGRQ total score by </w:t>
      </w:r>
      <w:r w:rsidRPr="00A65DA4">
        <w:t>visit as interaction terms.</w:t>
      </w:r>
    </w:p>
    <w:p w14:paraId="7180CDFB" w14:textId="77777777" w:rsidR="00A65DA4" w:rsidRPr="00A65DA4" w:rsidRDefault="00A65DA4" w:rsidP="00A65DA4">
      <w:r w:rsidRPr="00A65DA4">
        <w:t>For time to first acute IPF exa</w:t>
      </w:r>
      <w:r w:rsidR="000F2E3D">
        <w:t xml:space="preserve">cerbation, an estimate with a 2 </w:t>
      </w:r>
      <w:r w:rsidRPr="00A65DA4">
        <w:t xml:space="preserve">sided 95% CI for the hazard ratio of </w:t>
      </w:r>
      <w:proofErr w:type="spellStart"/>
      <w:r w:rsidRPr="00A65DA4">
        <w:t>nintedanib</w:t>
      </w:r>
      <w:proofErr w:type="spellEnd"/>
      <w:r w:rsidRPr="00A65DA4">
        <w:t xml:space="preserve"> 150 mg </w:t>
      </w:r>
      <w:r w:rsidR="000F2E3D">
        <w:t>BD</w:t>
      </w:r>
      <w:r w:rsidRPr="00A65DA4">
        <w:t xml:space="preserve"> over placebo was obtained using the Cox’s proportional hazards model, adjusted for gender, baseline height and baseline age. T</w:t>
      </w:r>
      <w:r w:rsidR="000F2E3D">
        <w:t xml:space="preserve">he 2-sided p-value from the log </w:t>
      </w:r>
      <w:r w:rsidRPr="00A65DA4">
        <w:t>rank test was also provided. Kaplan-Meier estimates were derived to calculate the probability of an acute IPF exacerbation over time.</w:t>
      </w:r>
    </w:p>
    <w:p w14:paraId="7180CDFC" w14:textId="77777777" w:rsidR="00A65DA4" w:rsidRPr="00A65DA4" w:rsidRDefault="00A65DA4" w:rsidP="00A65DA4">
      <w:pPr>
        <w:pStyle w:val="Heading6"/>
      </w:pPr>
      <w:r w:rsidRPr="00A65DA4">
        <w:t>Participant flow</w:t>
      </w:r>
    </w:p>
    <w:p w14:paraId="7180CDFD" w14:textId="77777777" w:rsidR="00A65DA4" w:rsidRDefault="00A65DA4" w:rsidP="00A65DA4">
      <w:r w:rsidRPr="00A65DA4">
        <w:t>Across the two trials, 1,066 subjects were rando</w:t>
      </w:r>
      <w:r w:rsidR="000F2E3D">
        <w:t xml:space="preserve">mised, and 1,061 were treated; </w:t>
      </w:r>
      <w:r w:rsidRPr="00A65DA4">
        <w:t xml:space="preserve">638 with </w:t>
      </w:r>
      <w:proofErr w:type="spellStart"/>
      <w:r w:rsidRPr="00A65DA4">
        <w:t>nintedanib</w:t>
      </w:r>
      <w:proofErr w:type="spellEnd"/>
      <w:r w:rsidRPr="00A65DA4">
        <w:t xml:space="preserve"> and 423 with placebo. Approximately 84% of subjects completed the study. Patient disposition is summarised in</w:t>
      </w:r>
      <w:r w:rsidR="000F2E3D">
        <w:t xml:space="preserve"> </w:t>
      </w:r>
      <w:r w:rsidR="000F2E3D" w:rsidRPr="000F2E3D">
        <w:t>Table 25</w:t>
      </w:r>
      <w:r w:rsidRPr="000F2E3D">
        <w:t>.</w:t>
      </w:r>
    </w:p>
    <w:p w14:paraId="7180CDFE" w14:textId="77777777" w:rsidR="000F2E3D" w:rsidRDefault="000F2E3D" w:rsidP="000F2E3D">
      <w:pPr>
        <w:pStyle w:val="Tabletitle"/>
      </w:pPr>
      <w:proofErr w:type="gramStart"/>
      <w:r>
        <w:t>Table 25.</w:t>
      </w:r>
      <w:proofErr w:type="gramEnd"/>
      <w:r>
        <w:t xml:space="preserve"> </w:t>
      </w:r>
      <w:proofErr w:type="gramStart"/>
      <w:r w:rsidRPr="000F2E3D">
        <w:t>Studies 1199.0032 and 1199.0034 – Patient disposition</w:t>
      </w:r>
      <w:r>
        <w:t>.</w:t>
      </w:r>
      <w:proofErr w:type="gramEnd"/>
    </w:p>
    <w:p w14:paraId="7180CDFF" w14:textId="77777777" w:rsidR="000F2E3D" w:rsidRPr="000F2E3D" w:rsidRDefault="000F2E3D" w:rsidP="000F2E3D">
      <w:r>
        <w:rPr>
          <w:noProof/>
          <w:lang w:eastAsia="en-AU"/>
        </w:rPr>
        <w:drawing>
          <wp:inline distT="0" distB="0" distL="0" distR="0" wp14:anchorId="7180CFC2" wp14:editId="74FD6DDD">
            <wp:extent cx="4233000" cy="4740295"/>
            <wp:effectExtent l="0" t="0" r="0" b="3175"/>
            <wp:docPr id="32" name="Picture 32" descr="Table 25. Studies 1199.0032 and 1199.0034 –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4234174" cy="4741609"/>
                    </a:xfrm>
                    <a:prstGeom prst="rect">
                      <a:avLst/>
                    </a:prstGeom>
                  </pic:spPr>
                </pic:pic>
              </a:graphicData>
            </a:graphic>
          </wp:inline>
        </w:drawing>
      </w:r>
    </w:p>
    <w:p w14:paraId="7180CE00" w14:textId="77777777" w:rsidR="00A65DA4" w:rsidRPr="00A65DA4" w:rsidRDefault="00A65DA4" w:rsidP="00A65DA4">
      <w:pPr>
        <w:pStyle w:val="Heading6"/>
      </w:pPr>
      <w:r w:rsidRPr="00A65DA4">
        <w:t>Major protocol violations/deviations</w:t>
      </w:r>
    </w:p>
    <w:p w14:paraId="7180CE01" w14:textId="77777777" w:rsidR="00A65DA4" w:rsidRPr="00A65DA4" w:rsidRDefault="00A65DA4" w:rsidP="00A65DA4">
      <w:r w:rsidRPr="00A65DA4">
        <w:t xml:space="preserve">Important protocol violations for the pooled studies </w:t>
      </w:r>
      <w:r w:rsidR="00317FDE">
        <w:t xml:space="preserve">were </w:t>
      </w:r>
      <w:r w:rsidR="00317FDE" w:rsidRPr="00317FDE">
        <w:t>provided</w:t>
      </w:r>
      <w:r w:rsidRPr="00317FDE">
        <w:t>. The</w:t>
      </w:r>
      <w:r w:rsidRPr="00A65DA4">
        <w:t xml:space="preserve"> number and type of violations were comparable across treatment arms.</w:t>
      </w:r>
    </w:p>
    <w:p w14:paraId="7180CE02" w14:textId="77777777" w:rsidR="00A65DA4" w:rsidRPr="00A65DA4" w:rsidRDefault="00A65DA4" w:rsidP="00A65DA4">
      <w:pPr>
        <w:pStyle w:val="Heading6"/>
      </w:pPr>
      <w:r w:rsidRPr="00A65DA4">
        <w:t>Baseline data</w:t>
      </w:r>
    </w:p>
    <w:p w14:paraId="7180CE03" w14:textId="77777777" w:rsidR="00A65DA4" w:rsidRDefault="00A65DA4" w:rsidP="00A65DA4">
      <w:r w:rsidRPr="00A65DA4">
        <w:t xml:space="preserve">Baseline demographic data are summarised in </w:t>
      </w:r>
      <w:r w:rsidR="00062321">
        <w:t xml:space="preserve">Table 26, </w:t>
      </w:r>
      <w:r w:rsidRPr="00A65DA4">
        <w:t xml:space="preserve">baseline disease characteristics in </w:t>
      </w:r>
      <w:r w:rsidR="00062321">
        <w:t>Table 27</w:t>
      </w:r>
      <w:r w:rsidRPr="00A65DA4">
        <w:t xml:space="preserve"> and baseline values for FVC and SGRQ</w:t>
      </w:r>
      <w:r w:rsidR="00E62607">
        <w:t xml:space="preserve"> were </w:t>
      </w:r>
      <w:r w:rsidR="00E62607" w:rsidRPr="00E62607">
        <w:t>provided</w:t>
      </w:r>
      <w:r w:rsidRPr="00E62607">
        <w:t>. Concomitant</w:t>
      </w:r>
      <w:r w:rsidRPr="00A65DA4">
        <w:t xml:space="preserve"> medical conditions </w:t>
      </w:r>
      <w:r w:rsidRPr="00A65DA4">
        <w:lastRenderedPageBreak/>
        <w:t xml:space="preserve">at baseline and use of concomitant medications at baseline were comparable between arms. In the pooled population 8.9% of subjects in the </w:t>
      </w:r>
      <w:proofErr w:type="spellStart"/>
      <w:r w:rsidRPr="00A65DA4">
        <w:t>nintedanib</w:t>
      </w:r>
      <w:proofErr w:type="spellEnd"/>
      <w:r w:rsidRPr="00A65DA4">
        <w:t xml:space="preserve"> arm and 8.3% of subjects in the placebo arm were using oxygen at baseline. Systemic corticosteroid use was also comparable (21.3% </w:t>
      </w:r>
      <w:r w:rsidR="00B54A34">
        <w:t>versus</w:t>
      </w:r>
      <w:r w:rsidRPr="00A65DA4">
        <w:t xml:space="preserve"> 21.0%).</w:t>
      </w:r>
    </w:p>
    <w:p w14:paraId="5551F5EA" w14:textId="4F514165" w:rsidR="00344693" w:rsidRPr="00344693" w:rsidRDefault="00A65DA4" w:rsidP="00190081">
      <w:r w:rsidRPr="00190081">
        <w:rPr>
          <w:b/>
        </w:rPr>
        <w:t xml:space="preserve">Evaluator’s </w:t>
      </w:r>
      <w:r w:rsidR="00190081" w:rsidRPr="00190081">
        <w:rPr>
          <w:b/>
        </w:rPr>
        <w:t>c</w:t>
      </w:r>
      <w:r w:rsidRPr="00190081">
        <w:rPr>
          <w:b/>
        </w:rPr>
        <w:t>omment</w:t>
      </w:r>
      <w:r w:rsidRPr="00344693">
        <w:rPr>
          <w:b/>
        </w:rPr>
        <w:t>:</w:t>
      </w:r>
      <w:r w:rsidRPr="00344693">
        <w:t xml:space="preserve"> </w:t>
      </w:r>
    </w:p>
    <w:p w14:paraId="7180CE04" w14:textId="44540193" w:rsidR="00A65DA4" w:rsidRDefault="00A65DA4" w:rsidP="00344693">
      <w:r w:rsidRPr="00344693">
        <w:t>There were no significant imbalances between treatment arms with respect to baseline characteristics. The male to female ratio was high (4:1) in both trials. Consistent with the known clinical features of IPF, mean age in the pooled population was 66.8 years, and the majority of patients were current or ex-smokers.</w:t>
      </w:r>
    </w:p>
    <w:p w14:paraId="7180CE05" w14:textId="77777777" w:rsidR="00062321" w:rsidRDefault="00062321" w:rsidP="00062321">
      <w:pPr>
        <w:pStyle w:val="Tabletitle"/>
      </w:pPr>
      <w:proofErr w:type="gramStart"/>
      <w:r>
        <w:t>Table 26.</w:t>
      </w:r>
      <w:proofErr w:type="gramEnd"/>
      <w:r w:rsidRPr="00062321">
        <w:t xml:space="preserve"> </w:t>
      </w:r>
      <w:proofErr w:type="gramStart"/>
      <w:r w:rsidRPr="00062321">
        <w:t>Studies 1199.0032 and 1199.0034 – Baseline demographic characteristics</w:t>
      </w:r>
      <w:r>
        <w:t>.</w:t>
      </w:r>
      <w:proofErr w:type="gramEnd"/>
    </w:p>
    <w:p w14:paraId="7180CE06" w14:textId="77777777" w:rsidR="00062321" w:rsidRDefault="00062321" w:rsidP="00062321">
      <w:r>
        <w:rPr>
          <w:noProof/>
          <w:lang w:eastAsia="en-AU"/>
        </w:rPr>
        <w:drawing>
          <wp:inline distT="0" distB="0" distL="0" distR="0" wp14:anchorId="7180CFC4" wp14:editId="093E81F3">
            <wp:extent cx="4678957" cy="4611269"/>
            <wp:effectExtent l="0" t="0" r="7620" b="0"/>
            <wp:docPr id="33" name="Picture 33" descr="Table 26. Studies 1199.0032 and 1199.0034 – Baseline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4680801" cy="4613086"/>
                    </a:xfrm>
                    <a:prstGeom prst="rect">
                      <a:avLst/>
                    </a:prstGeom>
                  </pic:spPr>
                </pic:pic>
              </a:graphicData>
            </a:graphic>
          </wp:inline>
        </w:drawing>
      </w:r>
    </w:p>
    <w:p w14:paraId="7180CE07" w14:textId="77777777" w:rsidR="00062321" w:rsidRDefault="00062321" w:rsidP="00062321">
      <w:pPr>
        <w:pStyle w:val="Tabletitle"/>
      </w:pPr>
      <w:proofErr w:type="gramStart"/>
      <w:r>
        <w:lastRenderedPageBreak/>
        <w:t>Table 27.</w:t>
      </w:r>
      <w:proofErr w:type="gramEnd"/>
      <w:r>
        <w:t xml:space="preserve"> </w:t>
      </w:r>
      <w:proofErr w:type="gramStart"/>
      <w:r w:rsidRPr="00062321">
        <w:t>Studies 1199.0032 and 1199.0034 – Baseline disease characteristics</w:t>
      </w:r>
      <w:r w:rsidR="00D4340F">
        <w:t>.</w:t>
      </w:r>
      <w:proofErr w:type="gramEnd"/>
    </w:p>
    <w:p w14:paraId="7180CE08" w14:textId="77777777" w:rsidR="00062321" w:rsidRPr="00062321" w:rsidRDefault="00062321" w:rsidP="00062321">
      <w:r>
        <w:rPr>
          <w:noProof/>
          <w:lang w:eastAsia="en-AU"/>
        </w:rPr>
        <w:drawing>
          <wp:inline distT="0" distB="0" distL="0" distR="0" wp14:anchorId="7180CFC6" wp14:editId="202279A2">
            <wp:extent cx="4589070" cy="5688353"/>
            <wp:effectExtent l="0" t="0" r="2540" b="7620"/>
            <wp:docPr id="34" name="Picture 34" descr="Table 27. Studies 1199.0032 and 1199.0034 –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4589605" cy="5689016"/>
                    </a:xfrm>
                    <a:prstGeom prst="rect">
                      <a:avLst/>
                    </a:prstGeom>
                  </pic:spPr>
                </pic:pic>
              </a:graphicData>
            </a:graphic>
          </wp:inline>
        </w:drawing>
      </w:r>
    </w:p>
    <w:p w14:paraId="7180CE09" w14:textId="77777777" w:rsidR="00A65DA4" w:rsidRPr="00A65DA4" w:rsidRDefault="00A65DA4" w:rsidP="00A65DA4">
      <w:pPr>
        <w:pStyle w:val="Heading6"/>
      </w:pPr>
      <w:r w:rsidRPr="00A65DA4">
        <w:t>Results for the primary efficacy outcome</w:t>
      </w:r>
    </w:p>
    <w:p w14:paraId="7180CE0A" w14:textId="77777777" w:rsidR="00A65DA4" w:rsidRPr="00A65DA4" w:rsidRDefault="00A65DA4" w:rsidP="00A65DA4">
      <w:r w:rsidRPr="00A65DA4">
        <w:t xml:space="preserve">Results for the rate of decline in FVC are summarised in </w:t>
      </w:r>
      <w:r w:rsidR="00E62607">
        <w:t xml:space="preserve">Table 28 </w:t>
      </w:r>
      <w:r w:rsidRPr="00A65DA4">
        <w:t xml:space="preserve">and </w:t>
      </w:r>
      <w:r w:rsidR="00E62607">
        <w:t xml:space="preserve">Figure 9. </w:t>
      </w:r>
      <w:r w:rsidRPr="00A65DA4">
        <w:t xml:space="preserve">In both studies and in the pooled analysis, </w:t>
      </w:r>
      <w:proofErr w:type="spellStart"/>
      <w:r w:rsidRPr="00A65DA4">
        <w:t>nintedanib</w:t>
      </w:r>
      <w:proofErr w:type="spellEnd"/>
      <w:r w:rsidRPr="00A65DA4">
        <w:t xml:space="preserve"> treatment was associated with a significantly lower annual rate of decline in FVC.</w:t>
      </w:r>
    </w:p>
    <w:p w14:paraId="7180CE0B" w14:textId="77777777" w:rsidR="00A65DA4" w:rsidRPr="00A65DA4" w:rsidRDefault="00A65DA4" w:rsidP="00A65DA4">
      <w:pPr>
        <w:pStyle w:val="ListBullet"/>
      </w:pPr>
      <w:r w:rsidRPr="00A65DA4">
        <w:t xml:space="preserve">In 1199.32 the adjusted rate of change was -239.91 </w:t>
      </w:r>
      <w:proofErr w:type="spellStart"/>
      <w:r w:rsidRPr="00A65DA4">
        <w:t>mL</w:t>
      </w:r>
      <w:r w:rsidR="00D4340F">
        <w:t>s</w:t>
      </w:r>
      <w:proofErr w:type="spellEnd"/>
      <w:r w:rsidR="00D4340F">
        <w:t xml:space="preserve">/year with placebo and </w:t>
      </w:r>
      <w:r w:rsidR="00E62607">
        <w:t>114.65 </w:t>
      </w:r>
      <w:proofErr w:type="spellStart"/>
      <w:r w:rsidRPr="00A65DA4">
        <w:t>mLs</w:t>
      </w:r>
      <w:proofErr w:type="spellEnd"/>
      <w:r w:rsidRPr="00A65DA4">
        <w:t xml:space="preserve">/year with </w:t>
      </w:r>
      <w:proofErr w:type="spellStart"/>
      <w:r w:rsidRPr="00A65DA4">
        <w:t>nintedanib</w:t>
      </w:r>
      <w:proofErr w:type="spellEnd"/>
      <w:r w:rsidRPr="00A65DA4">
        <w:t xml:space="preserve"> (differen</w:t>
      </w:r>
      <w:r w:rsidR="00E62607">
        <w:t xml:space="preserve">ce 125.26 </w:t>
      </w:r>
      <w:proofErr w:type="spellStart"/>
      <w:r w:rsidR="00E62607">
        <w:t>mLs</w:t>
      </w:r>
      <w:proofErr w:type="spellEnd"/>
      <w:r w:rsidR="00E62607">
        <w:t>/year; p &lt; 0.0001)</w:t>
      </w:r>
    </w:p>
    <w:p w14:paraId="7180CE0C" w14:textId="77777777" w:rsidR="00A65DA4" w:rsidRPr="00A65DA4" w:rsidRDefault="00A65DA4" w:rsidP="00A65DA4">
      <w:pPr>
        <w:pStyle w:val="ListBullet"/>
      </w:pPr>
      <w:r w:rsidRPr="00A65DA4">
        <w:t xml:space="preserve">In 1199.34 the adjusted rate of change was -207.32 </w:t>
      </w:r>
      <w:proofErr w:type="spellStart"/>
      <w:r w:rsidRPr="00A65DA4">
        <w:t>mLs</w:t>
      </w:r>
      <w:proofErr w:type="spellEnd"/>
      <w:r w:rsidRPr="00A65DA4">
        <w:t>/</w:t>
      </w:r>
      <w:r w:rsidR="00D4340F">
        <w:t xml:space="preserve">year with placebo and </w:t>
      </w:r>
      <w:r w:rsidR="00E62607">
        <w:t>113.59 </w:t>
      </w:r>
      <w:proofErr w:type="spellStart"/>
      <w:r w:rsidRPr="00A65DA4">
        <w:t>mLs</w:t>
      </w:r>
      <w:proofErr w:type="spellEnd"/>
      <w:r w:rsidRPr="00A65DA4">
        <w:t xml:space="preserve">/year with </w:t>
      </w:r>
      <w:proofErr w:type="spellStart"/>
      <w:r w:rsidRPr="00A65DA4">
        <w:t>nintedanib</w:t>
      </w:r>
      <w:proofErr w:type="spellEnd"/>
      <w:r w:rsidRPr="00A65DA4">
        <w:t xml:space="preserve"> (difference 93.73 </w:t>
      </w:r>
      <w:proofErr w:type="spellStart"/>
      <w:r w:rsidRPr="00A65DA4">
        <w:t>mLs</w:t>
      </w:r>
      <w:proofErr w:type="spellEnd"/>
      <w:r w:rsidRPr="00A65DA4">
        <w:t>/year; p = 0.0002).</w:t>
      </w:r>
    </w:p>
    <w:p w14:paraId="7180CE0D" w14:textId="77777777" w:rsidR="00A65DA4" w:rsidRDefault="00A65DA4" w:rsidP="00A65DA4">
      <w:r w:rsidRPr="00A65DA4">
        <w:t>Various sensitivity analyses were conducted. The results were consistent with the primary analysis for both studies.</w:t>
      </w:r>
    </w:p>
    <w:p w14:paraId="7180CE0E" w14:textId="77777777" w:rsidR="00E62607" w:rsidRDefault="00E62607" w:rsidP="00E62607">
      <w:pPr>
        <w:pStyle w:val="Tabletitle"/>
      </w:pPr>
      <w:proofErr w:type="gramStart"/>
      <w:r>
        <w:lastRenderedPageBreak/>
        <w:t>Table 28.</w:t>
      </w:r>
      <w:proofErr w:type="gramEnd"/>
      <w:r>
        <w:t xml:space="preserve"> </w:t>
      </w:r>
      <w:r w:rsidRPr="00E62607">
        <w:t>Studies 1199.0032 and 1199.0034 – Decline in FVC (Primary endpoint)</w:t>
      </w:r>
      <w:r>
        <w:t>. Rate of decline in FVC (mL/</w:t>
      </w:r>
      <w:proofErr w:type="spellStart"/>
      <w:r>
        <w:t>yr</w:t>
      </w:r>
      <w:proofErr w:type="spellEnd"/>
      <w:r>
        <w:t>) over 52 weeks, treated set.</w:t>
      </w:r>
    </w:p>
    <w:p w14:paraId="7180CE0F" w14:textId="77777777" w:rsidR="00E62607" w:rsidRDefault="00E62607" w:rsidP="00E62607">
      <w:r>
        <w:rPr>
          <w:noProof/>
          <w:lang w:eastAsia="en-AU"/>
        </w:rPr>
        <w:drawing>
          <wp:inline distT="0" distB="0" distL="0" distR="0" wp14:anchorId="7180CFC8" wp14:editId="14A7759C">
            <wp:extent cx="4550849" cy="5862258"/>
            <wp:effectExtent l="0" t="0" r="2540" b="5715"/>
            <wp:docPr id="35" name="Picture 35" descr="Table 28. Studies 1199.0032 and 1199.0034 – Decline in FVC (Primary endpoint). Rate of decline in FVC (mL/yr) over 52 weeks,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4551221" cy="5862737"/>
                    </a:xfrm>
                    <a:prstGeom prst="rect">
                      <a:avLst/>
                    </a:prstGeom>
                  </pic:spPr>
                </pic:pic>
              </a:graphicData>
            </a:graphic>
          </wp:inline>
        </w:drawing>
      </w:r>
    </w:p>
    <w:p w14:paraId="7180CE10" w14:textId="77777777" w:rsidR="00E62607" w:rsidRDefault="00E62607" w:rsidP="00E62607">
      <w:pPr>
        <w:pStyle w:val="FigureTitle"/>
      </w:pPr>
      <w:proofErr w:type="gramStart"/>
      <w:r>
        <w:lastRenderedPageBreak/>
        <w:t>Figure 9.</w:t>
      </w:r>
      <w:proofErr w:type="gramEnd"/>
      <w:r>
        <w:t xml:space="preserve"> </w:t>
      </w:r>
      <w:r w:rsidRPr="00E62607">
        <w:t>Studies 1199.0032 and 1199.0034 – Decline in FVC (pooled data)</w:t>
      </w:r>
      <w:r>
        <w:t>.</w:t>
      </w:r>
    </w:p>
    <w:p w14:paraId="7180CE11" w14:textId="77777777" w:rsidR="00E62607" w:rsidRPr="00E62607" w:rsidRDefault="00E62607" w:rsidP="00E62607">
      <w:r>
        <w:rPr>
          <w:noProof/>
          <w:lang w:eastAsia="en-AU"/>
        </w:rPr>
        <w:drawing>
          <wp:inline distT="0" distB="0" distL="0" distR="0" wp14:anchorId="7180CFCA" wp14:editId="533C8FC5">
            <wp:extent cx="4641790" cy="3141497"/>
            <wp:effectExtent l="0" t="0" r="6985" b="1905"/>
            <wp:docPr id="36" name="Picture 36" descr="Figure 9. Studies 1199.0032 and 1199.0034 – Decline in FVC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4645474" cy="3143990"/>
                    </a:xfrm>
                    <a:prstGeom prst="rect">
                      <a:avLst/>
                    </a:prstGeom>
                  </pic:spPr>
                </pic:pic>
              </a:graphicData>
            </a:graphic>
          </wp:inline>
        </w:drawing>
      </w:r>
    </w:p>
    <w:p w14:paraId="7180CE12" w14:textId="77777777" w:rsidR="00A65DA4" w:rsidRPr="00A65DA4" w:rsidRDefault="00A65DA4" w:rsidP="00A65DA4">
      <w:pPr>
        <w:pStyle w:val="Heading6"/>
      </w:pPr>
      <w:r w:rsidRPr="00A65DA4">
        <w:t>Results for key secondary efficacy outcomes</w:t>
      </w:r>
    </w:p>
    <w:p w14:paraId="7180CE13" w14:textId="77777777" w:rsidR="00A65DA4" w:rsidRPr="00E62607" w:rsidRDefault="00A65DA4" w:rsidP="00A65DA4">
      <w:pPr>
        <w:pStyle w:val="Heading7"/>
        <w:rPr>
          <w:sz w:val="20"/>
          <w:szCs w:val="20"/>
        </w:rPr>
      </w:pPr>
      <w:r w:rsidRPr="00E62607">
        <w:rPr>
          <w:sz w:val="20"/>
          <w:szCs w:val="20"/>
        </w:rPr>
        <w:t>Change from baseline in SGRQ total score at 52 weeks</w:t>
      </w:r>
    </w:p>
    <w:p w14:paraId="7180CE14" w14:textId="77777777" w:rsidR="00A65DA4" w:rsidRPr="00A65DA4" w:rsidRDefault="00A65DA4" w:rsidP="00A65DA4">
      <w:r w:rsidRPr="00A65DA4">
        <w:t>Results for this endpoint</w:t>
      </w:r>
      <w:r w:rsidR="00E62607">
        <w:t xml:space="preserve"> were provided</w:t>
      </w:r>
      <w:r w:rsidRPr="00A65DA4">
        <w:t xml:space="preserve">. The two studies gave conflicting results, with a statistically significant benefit observed with </w:t>
      </w:r>
      <w:proofErr w:type="spellStart"/>
      <w:r w:rsidRPr="00A65DA4">
        <w:t>nintedanib</w:t>
      </w:r>
      <w:proofErr w:type="spellEnd"/>
      <w:r w:rsidRPr="00A65DA4">
        <w:t xml:space="preserve"> treatment in </w:t>
      </w:r>
      <w:r w:rsidR="00D4340F">
        <w:t>Study</w:t>
      </w:r>
      <w:r w:rsidRPr="00A65DA4">
        <w:t xml:space="preserve"> 1199.0034, and no significant difference between treatments in </w:t>
      </w:r>
      <w:r w:rsidR="00D4340F">
        <w:t>Study</w:t>
      </w:r>
      <w:r w:rsidRPr="00A65DA4">
        <w:t xml:space="preserve"> 1199.0032. When the data were pooled no significant difference between treatments was observed.</w:t>
      </w:r>
    </w:p>
    <w:p w14:paraId="65CD4FFF" w14:textId="61D84168" w:rsidR="00344693" w:rsidRPr="00344693" w:rsidRDefault="00A65DA4" w:rsidP="00190081">
      <w:r w:rsidRPr="00190081">
        <w:rPr>
          <w:b/>
        </w:rPr>
        <w:t xml:space="preserve">Evaluator’s </w:t>
      </w:r>
      <w:r w:rsidR="00190081" w:rsidRPr="00190081">
        <w:rPr>
          <w:b/>
        </w:rPr>
        <w:t>c</w:t>
      </w:r>
      <w:r w:rsidRPr="00190081">
        <w:rPr>
          <w:b/>
        </w:rPr>
        <w:t>omment</w:t>
      </w:r>
      <w:r w:rsidRPr="00344693">
        <w:t xml:space="preserve">: </w:t>
      </w:r>
    </w:p>
    <w:p w14:paraId="7180CE15" w14:textId="1082E38C" w:rsidR="00A65DA4" w:rsidRPr="00A65DA4" w:rsidRDefault="00A65DA4" w:rsidP="00344693">
      <w:r w:rsidRPr="00344693">
        <w:t xml:space="preserve">In </w:t>
      </w:r>
      <w:r w:rsidR="00D4340F" w:rsidRPr="00344693">
        <w:t>Study</w:t>
      </w:r>
      <w:r w:rsidRPr="00344693">
        <w:t xml:space="preserve"> 1199.0034 the SGRQ total score increased in both groups, indicating deterioration in </w:t>
      </w:r>
      <w:proofErr w:type="spellStart"/>
      <w:r w:rsidRPr="00344693">
        <w:t>QoL</w:t>
      </w:r>
      <w:proofErr w:type="spellEnd"/>
      <w:r w:rsidRPr="00344693">
        <w:t xml:space="preserve">. The increase was less marked in the </w:t>
      </w:r>
      <w:proofErr w:type="spellStart"/>
      <w:r w:rsidRPr="00344693">
        <w:t>nintedanib</w:t>
      </w:r>
      <w:proofErr w:type="spellEnd"/>
      <w:r w:rsidRPr="00344693">
        <w:t xml:space="preserve"> group (mean change 2.16 </w:t>
      </w:r>
      <w:r w:rsidR="00B54A34" w:rsidRPr="00344693">
        <w:t>versus</w:t>
      </w:r>
      <w:r w:rsidRPr="00344693">
        <w:t xml:space="preserve"> 5.34 points) and the difference was statistically significant. However the adjusted mean difference was only 2.69 points. The minimum clinically important difference on the SGRQ is 4 points. Hence the effect of </w:t>
      </w:r>
      <w:proofErr w:type="spellStart"/>
      <w:r w:rsidRPr="00344693">
        <w:t>nintedanib</w:t>
      </w:r>
      <w:proofErr w:type="spellEnd"/>
      <w:r w:rsidRPr="00344693">
        <w:t xml:space="preserve"> on SGRQ total score is unlikely to be clinically significant.</w:t>
      </w:r>
    </w:p>
    <w:p w14:paraId="7180CE16" w14:textId="77777777" w:rsidR="00A65DA4" w:rsidRPr="00E62607" w:rsidRDefault="00A65DA4" w:rsidP="00A65DA4">
      <w:pPr>
        <w:pStyle w:val="Heading7"/>
        <w:rPr>
          <w:sz w:val="20"/>
          <w:szCs w:val="20"/>
        </w:rPr>
      </w:pPr>
      <w:r w:rsidRPr="00E62607">
        <w:rPr>
          <w:sz w:val="20"/>
          <w:szCs w:val="20"/>
        </w:rPr>
        <w:t>Time to first acute IPF exacerbation</w:t>
      </w:r>
    </w:p>
    <w:p w14:paraId="7180CE17" w14:textId="77777777" w:rsidR="00A65DA4" w:rsidRPr="00A65DA4" w:rsidRDefault="00844016" w:rsidP="00A65DA4">
      <w:r>
        <w:t xml:space="preserve">The results for investigator </w:t>
      </w:r>
      <w:r w:rsidR="00A65DA4" w:rsidRPr="00A65DA4">
        <w:t xml:space="preserve">diagnosed IPF exacerbations were again discordant across the two trials, with </w:t>
      </w:r>
      <w:r w:rsidR="00D4340F">
        <w:t>Study</w:t>
      </w:r>
      <w:r w:rsidR="00A65DA4" w:rsidRPr="00A65DA4">
        <w:t xml:space="preserve"> 1199.0034 demonstrating a significant benefit with </w:t>
      </w:r>
      <w:proofErr w:type="spellStart"/>
      <w:r w:rsidR="00A65DA4" w:rsidRPr="00A65DA4">
        <w:t>nintedanib</w:t>
      </w:r>
      <w:proofErr w:type="spellEnd"/>
      <w:r w:rsidR="00A65DA4" w:rsidRPr="00A65DA4">
        <w:t xml:space="preserve">, and </w:t>
      </w:r>
      <w:r w:rsidR="00D4340F">
        <w:t>Study</w:t>
      </w:r>
      <w:r w:rsidR="00A65DA4" w:rsidRPr="00A65DA4">
        <w:t xml:space="preserve"> 1199.0032 showing no significant difference. When results of the two studies were pooled there was a lower incidence of exacerbations with </w:t>
      </w:r>
      <w:proofErr w:type="spellStart"/>
      <w:r w:rsidR="00A65DA4" w:rsidRPr="00A65DA4">
        <w:t>nintedanib</w:t>
      </w:r>
      <w:proofErr w:type="spellEnd"/>
      <w:r w:rsidR="00A65DA4" w:rsidRPr="00A65DA4">
        <w:t xml:space="preserve"> (4.9% </w:t>
      </w:r>
      <w:r w:rsidR="00B54A34">
        <w:t>versus</w:t>
      </w:r>
      <w:r w:rsidR="00A65DA4" w:rsidRPr="00A65DA4">
        <w:t xml:space="preserve"> 7.6%) but the difference was not statistically significant (p</w:t>
      </w:r>
      <w:r w:rsidR="00A65DA4">
        <w:t xml:space="preserve"> </w:t>
      </w:r>
      <w:r w:rsidR="00A65DA4" w:rsidRPr="00A65DA4">
        <w:t>=</w:t>
      </w:r>
      <w:r w:rsidR="00A65DA4">
        <w:t xml:space="preserve"> </w:t>
      </w:r>
      <w:r w:rsidR="00A65DA4" w:rsidRPr="00A65DA4">
        <w:t>0.0823).</w:t>
      </w:r>
    </w:p>
    <w:p w14:paraId="7180CE18" w14:textId="77777777" w:rsidR="00A65DA4" w:rsidRPr="00A65DA4" w:rsidRDefault="00A65DA4" w:rsidP="00A65DA4">
      <w:r w:rsidRPr="00A65DA4">
        <w:t xml:space="preserve">All cases of acute IPF exacerbations were reviewed by a central adjudication committee who were blinded to treatment allocation. This committee classified cases as ‘confirmed’, ‘suspected’ or ‘not an IPF exacerbation’. A pre-specified sensitivity analysis examined time to first IPF exacerbation for cases adjudicated as confirmed or suspected in the pooled population. This analysis demonstrated a significant benefit with </w:t>
      </w:r>
      <w:proofErr w:type="spellStart"/>
      <w:r w:rsidRPr="00A65DA4">
        <w:t>nintedanib</w:t>
      </w:r>
      <w:proofErr w:type="spellEnd"/>
      <w:r w:rsidRPr="00A65DA4">
        <w:t xml:space="preserve"> treatment (hazard ratio 0.32; 95% CI: 0.16 to 0.65; p</w:t>
      </w:r>
      <w:r>
        <w:t xml:space="preserve"> </w:t>
      </w:r>
      <w:r w:rsidRPr="00A65DA4">
        <w:t>=</w:t>
      </w:r>
      <w:r>
        <w:t xml:space="preserve"> </w:t>
      </w:r>
      <w:r w:rsidRPr="00A65DA4">
        <w:t>0.0010).</w:t>
      </w:r>
    </w:p>
    <w:p w14:paraId="7180CE19" w14:textId="77777777" w:rsidR="00A65DA4" w:rsidRPr="00A65DA4" w:rsidRDefault="00A65DA4" w:rsidP="00A65DA4">
      <w:pPr>
        <w:pStyle w:val="Heading6"/>
      </w:pPr>
      <w:r w:rsidRPr="00A65DA4">
        <w:t>Results for other secondary efficacy outcomes</w:t>
      </w:r>
    </w:p>
    <w:p w14:paraId="7180CE1A" w14:textId="77777777" w:rsidR="00A65DA4" w:rsidRPr="00A65DA4" w:rsidRDefault="00A65DA4" w:rsidP="00A65DA4">
      <w:r w:rsidRPr="00A65DA4">
        <w:t>Results for the other secondary analyses are summarised below.</w:t>
      </w:r>
    </w:p>
    <w:p w14:paraId="7180CE1B" w14:textId="77777777" w:rsidR="00A65DA4" w:rsidRPr="00844016" w:rsidRDefault="00A65DA4" w:rsidP="00A65DA4">
      <w:pPr>
        <w:pStyle w:val="Heading7"/>
        <w:rPr>
          <w:sz w:val="20"/>
          <w:szCs w:val="20"/>
        </w:rPr>
      </w:pPr>
      <w:r w:rsidRPr="00844016">
        <w:rPr>
          <w:sz w:val="20"/>
          <w:szCs w:val="20"/>
        </w:rPr>
        <w:lastRenderedPageBreak/>
        <w:t>Further analyses of FVC</w:t>
      </w:r>
    </w:p>
    <w:p w14:paraId="7180CE1C" w14:textId="77777777" w:rsidR="00A65DA4" w:rsidRPr="00A65DA4" w:rsidRDefault="00A65DA4" w:rsidP="00A65DA4">
      <w:r w:rsidRPr="00A65DA4">
        <w:t>In the pooled studies:</w:t>
      </w:r>
    </w:p>
    <w:p w14:paraId="7180CE1D" w14:textId="77777777" w:rsidR="00A65DA4" w:rsidRPr="00A65DA4" w:rsidRDefault="00A65DA4" w:rsidP="00A65DA4">
      <w:pPr>
        <w:pStyle w:val="ListBullet"/>
      </w:pPr>
      <w:r w:rsidRPr="00A65DA4">
        <w:t xml:space="preserve">Absolute change from baseline in FVC was significantly less in with </w:t>
      </w:r>
      <w:proofErr w:type="spellStart"/>
      <w:r w:rsidRPr="00A65DA4">
        <w:t>nintedanib</w:t>
      </w:r>
      <w:proofErr w:type="spellEnd"/>
      <w:r w:rsidRPr="00A65DA4">
        <w:t xml:space="preserve"> treatment (adjusted means: -94.46</w:t>
      </w:r>
      <w:r w:rsidR="00844016">
        <w:t xml:space="preserve"> </w:t>
      </w:r>
      <w:proofErr w:type="spellStart"/>
      <w:r w:rsidR="00844016">
        <w:t>mLs</w:t>
      </w:r>
      <w:proofErr w:type="spellEnd"/>
      <w:r w:rsidR="00844016">
        <w:t xml:space="preserve"> </w:t>
      </w:r>
      <w:r w:rsidR="00B54A34">
        <w:t>versus</w:t>
      </w:r>
      <w:r w:rsidRPr="00A65DA4">
        <w:t xml:space="preserve"> -205.01 </w:t>
      </w:r>
      <w:proofErr w:type="spellStart"/>
      <w:r w:rsidRPr="00A65DA4">
        <w:t>mLs</w:t>
      </w:r>
      <w:proofErr w:type="spellEnd"/>
      <w:r w:rsidRPr="00A65DA4">
        <w:t xml:space="preserve">; adjusted mean difference 110.55 </w:t>
      </w:r>
      <w:proofErr w:type="spellStart"/>
      <w:r w:rsidRPr="00A65DA4">
        <w:t>mLs</w:t>
      </w:r>
      <w:proofErr w:type="spellEnd"/>
      <w:r w:rsidRPr="00A65DA4">
        <w:t>; p&lt;</w:t>
      </w:r>
      <w:r w:rsidR="00D4340F">
        <w:t> </w:t>
      </w:r>
      <w:r w:rsidRPr="00A65DA4">
        <w:t>0.0001).</w:t>
      </w:r>
    </w:p>
    <w:p w14:paraId="7180CE1E" w14:textId="77777777" w:rsidR="00A65DA4" w:rsidRPr="00A65DA4" w:rsidRDefault="00A65DA4" w:rsidP="00A65DA4">
      <w:pPr>
        <w:pStyle w:val="ListBullet"/>
      </w:pPr>
      <w:r w:rsidRPr="00A65DA4">
        <w:t xml:space="preserve">Absolute change from baseline in % predicted FVC was significantly less in with </w:t>
      </w:r>
      <w:proofErr w:type="spellStart"/>
      <w:r w:rsidRPr="00A65DA4">
        <w:t>nintedanib</w:t>
      </w:r>
      <w:proofErr w:type="spellEnd"/>
      <w:r w:rsidRPr="00A65DA4">
        <w:t xml:space="preserve"> treatment (adjusted means: -2.91% </w:t>
      </w:r>
      <w:r w:rsidR="00B54A34">
        <w:t>versus</w:t>
      </w:r>
      <w:r w:rsidRPr="00A65DA4">
        <w:t xml:space="preserve"> -6.08%; adjusted mean difference 3.17%; p&lt;</w:t>
      </w:r>
      <w:r w:rsidR="00D4340F">
        <w:t> </w:t>
      </w:r>
      <w:r w:rsidRPr="00A65DA4">
        <w:t>0.0001).</w:t>
      </w:r>
    </w:p>
    <w:p w14:paraId="7180CE1F" w14:textId="77777777" w:rsidR="00A65DA4" w:rsidRPr="00A65DA4" w:rsidRDefault="00A65DA4" w:rsidP="00A65DA4">
      <w:pPr>
        <w:pStyle w:val="ListBullet"/>
      </w:pPr>
      <w:r w:rsidRPr="00A65DA4">
        <w:t xml:space="preserve">Relative change from baseline in FVC was significantly less in with </w:t>
      </w:r>
      <w:proofErr w:type="spellStart"/>
      <w:r w:rsidRPr="00A65DA4">
        <w:t>nintedanib</w:t>
      </w:r>
      <w:proofErr w:type="spellEnd"/>
      <w:r w:rsidRPr="00A65DA4">
        <w:t xml:space="preserve"> treatment (adjusted means: -3.62% </w:t>
      </w:r>
      <w:r w:rsidR="00B54A34">
        <w:t>versus</w:t>
      </w:r>
      <w:r w:rsidRPr="00A65DA4">
        <w:t xml:space="preserve"> -7.79%; adjusted mean difference 4.17%; p&lt;</w:t>
      </w:r>
      <w:r w:rsidR="00D4340F">
        <w:t> </w:t>
      </w:r>
      <w:r w:rsidRPr="00A65DA4">
        <w:t>0.0001).</w:t>
      </w:r>
    </w:p>
    <w:p w14:paraId="7180CE20" w14:textId="77777777" w:rsidR="00A65DA4" w:rsidRPr="00A65DA4" w:rsidRDefault="00A65DA4" w:rsidP="00A65DA4">
      <w:pPr>
        <w:pStyle w:val="ListBullet"/>
      </w:pPr>
      <w:r w:rsidRPr="00A65DA4">
        <w:t xml:space="preserve">Relative change from baseline in % predicted FVC was significantly less in with </w:t>
      </w:r>
      <w:proofErr w:type="spellStart"/>
      <w:r w:rsidRPr="00A65DA4">
        <w:t>nintedanib</w:t>
      </w:r>
      <w:proofErr w:type="spellEnd"/>
      <w:r w:rsidRPr="00A65DA4">
        <w:t xml:space="preserve"> treatment (adjusted means: -3.63% </w:t>
      </w:r>
      <w:r w:rsidR="00B54A34">
        <w:t>versus</w:t>
      </w:r>
      <w:r w:rsidRPr="00A65DA4">
        <w:t xml:space="preserve"> -7.78%; adjusted mean difference 4.15%; p&lt;</w:t>
      </w:r>
      <w:r w:rsidR="00D4340F">
        <w:t> </w:t>
      </w:r>
      <w:r w:rsidRPr="00A65DA4">
        <w:t>0.0001).</w:t>
      </w:r>
    </w:p>
    <w:p w14:paraId="7180CE21" w14:textId="77777777" w:rsidR="00A65DA4" w:rsidRDefault="00A65DA4" w:rsidP="00A65DA4">
      <w:pPr>
        <w:pStyle w:val="ListBullet"/>
      </w:pPr>
      <w:r w:rsidRPr="00A65DA4">
        <w:t xml:space="preserve">Analysis of the proportion of patients who achieved an ‘FVC response’ demonstrated a significant benefit for </w:t>
      </w:r>
      <w:proofErr w:type="spellStart"/>
      <w:r w:rsidRPr="00A65DA4">
        <w:t>nintedanib</w:t>
      </w:r>
      <w:proofErr w:type="spellEnd"/>
      <w:r w:rsidRPr="00A65DA4">
        <w:t xml:space="preserve"> over </w:t>
      </w:r>
      <w:r w:rsidRPr="00844016">
        <w:t>placebo (</w:t>
      </w:r>
      <w:r w:rsidR="00844016" w:rsidRPr="00844016">
        <w:t>Table 29</w:t>
      </w:r>
      <w:r w:rsidRPr="00844016">
        <w:t>).</w:t>
      </w:r>
      <w:r w:rsidRPr="00A65DA4">
        <w:t xml:space="preserve"> A responder was a patient who did not experience a decline in % predicted FVC of 5% (or 10%) over the course of the trial. No other analyses of categorical change were presented.</w:t>
      </w:r>
    </w:p>
    <w:p w14:paraId="086039A5" w14:textId="2BBD07C1" w:rsidR="00344693" w:rsidRPr="00344693" w:rsidRDefault="00A65DA4" w:rsidP="00190081">
      <w:r w:rsidRPr="00190081">
        <w:rPr>
          <w:b/>
        </w:rPr>
        <w:t xml:space="preserve">Evaluator’s </w:t>
      </w:r>
      <w:r w:rsidR="00190081" w:rsidRPr="00190081">
        <w:rPr>
          <w:b/>
        </w:rPr>
        <w:t>c</w:t>
      </w:r>
      <w:r w:rsidRPr="00190081">
        <w:rPr>
          <w:b/>
        </w:rPr>
        <w:t>omment</w:t>
      </w:r>
      <w:r w:rsidRPr="00344693">
        <w:t xml:space="preserve">: </w:t>
      </w:r>
    </w:p>
    <w:p w14:paraId="7180CE22" w14:textId="6E9022DD" w:rsidR="00A65DA4" w:rsidRDefault="00A65DA4" w:rsidP="00344693">
      <w:r w:rsidRPr="00344693">
        <w:t>Declines in FVC of 5</w:t>
      </w:r>
      <w:r w:rsidR="00844016" w:rsidRPr="00344693">
        <w:t xml:space="preserve"> to</w:t>
      </w:r>
      <w:r w:rsidRPr="00344693">
        <w:t xml:space="preserve"> 10% may be predictive of an increased ri</w:t>
      </w:r>
      <w:r w:rsidR="00D4340F" w:rsidRPr="00344693">
        <w:t>sk of mortality in IPF subjects (1).</w:t>
      </w:r>
    </w:p>
    <w:p w14:paraId="7180CE23" w14:textId="77777777" w:rsidR="00844016" w:rsidRPr="00A74D85" w:rsidRDefault="00844016" w:rsidP="00844016">
      <w:pPr>
        <w:pStyle w:val="Tabletitle"/>
      </w:pPr>
      <w:proofErr w:type="gramStart"/>
      <w:r>
        <w:t>Table 29.</w:t>
      </w:r>
      <w:proofErr w:type="gramEnd"/>
      <w:r>
        <w:t xml:space="preserve"> </w:t>
      </w:r>
      <w:proofErr w:type="gramStart"/>
      <w:r w:rsidRPr="00C2475E">
        <w:t xml:space="preserve">Studies 1199.0032 and 1199.0034 </w:t>
      </w:r>
      <w:r>
        <w:t>– FVC responder analyses.</w:t>
      </w:r>
      <w:proofErr w:type="gramEnd"/>
    </w:p>
    <w:p w14:paraId="7180CE24" w14:textId="77777777" w:rsidR="00844016" w:rsidRPr="00844016" w:rsidRDefault="00844016" w:rsidP="00844016">
      <w:r>
        <w:rPr>
          <w:noProof/>
          <w:lang w:eastAsia="en-AU"/>
        </w:rPr>
        <w:drawing>
          <wp:inline distT="0" distB="0" distL="0" distR="0" wp14:anchorId="7180CFCC" wp14:editId="556466C9">
            <wp:extent cx="4406058" cy="2720761"/>
            <wp:effectExtent l="0" t="0" r="0" b="3810"/>
            <wp:docPr id="37" name="Picture 37" descr="Table 29. Studies 1199.0032 and 1199.0034 – FVC responder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Lst>
                    </a:blip>
                    <a:srcRect b="5642"/>
                    <a:stretch/>
                  </pic:blipFill>
                  <pic:spPr bwMode="auto">
                    <a:xfrm>
                      <a:off x="0" y="0"/>
                      <a:ext cx="4410075" cy="2723242"/>
                    </a:xfrm>
                    <a:prstGeom prst="rect">
                      <a:avLst/>
                    </a:prstGeom>
                    <a:ln>
                      <a:noFill/>
                    </a:ln>
                    <a:extLst>
                      <a:ext uri="{53640926-AAD7-44D8-BBD7-CCE9431645EC}">
                        <a14:shadowObscured xmlns:a14="http://schemas.microsoft.com/office/drawing/2010/main"/>
                      </a:ext>
                    </a:extLst>
                  </pic:spPr>
                </pic:pic>
              </a:graphicData>
            </a:graphic>
          </wp:inline>
        </w:drawing>
      </w:r>
    </w:p>
    <w:p w14:paraId="7180CE25" w14:textId="3ADB3CC5" w:rsidR="00A65DA4" w:rsidRPr="00844016" w:rsidRDefault="00A65DA4" w:rsidP="00A65DA4">
      <w:pPr>
        <w:pStyle w:val="Heading7"/>
        <w:rPr>
          <w:sz w:val="20"/>
          <w:szCs w:val="20"/>
        </w:rPr>
      </w:pPr>
      <w:r w:rsidRPr="00844016">
        <w:rPr>
          <w:sz w:val="20"/>
          <w:szCs w:val="20"/>
        </w:rPr>
        <w:t xml:space="preserve">Patient </w:t>
      </w:r>
      <w:r w:rsidR="001E39CB">
        <w:rPr>
          <w:sz w:val="20"/>
          <w:szCs w:val="20"/>
        </w:rPr>
        <w:t>r</w:t>
      </w:r>
      <w:r w:rsidRPr="00844016">
        <w:rPr>
          <w:sz w:val="20"/>
          <w:szCs w:val="20"/>
        </w:rPr>
        <w:t xml:space="preserve">eported </w:t>
      </w:r>
      <w:r w:rsidR="001E39CB">
        <w:rPr>
          <w:sz w:val="20"/>
          <w:szCs w:val="20"/>
        </w:rPr>
        <w:t>o</w:t>
      </w:r>
      <w:r w:rsidRPr="00844016">
        <w:rPr>
          <w:sz w:val="20"/>
          <w:szCs w:val="20"/>
        </w:rPr>
        <w:t>utcomes/</w:t>
      </w:r>
      <w:r w:rsidR="001E39CB">
        <w:rPr>
          <w:sz w:val="20"/>
          <w:szCs w:val="20"/>
        </w:rPr>
        <w:t>q</w:t>
      </w:r>
      <w:r w:rsidRPr="00844016">
        <w:rPr>
          <w:sz w:val="20"/>
          <w:szCs w:val="20"/>
        </w:rPr>
        <w:t xml:space="preserve">uality of </w:t>
      </w:r>
      <w:r w:rsidR="001E39CB">
        <w:rPr>
          <w:sz w:val="20"/>
          <w:szCs w:val="20"/>
        </w:rPr>
        <w:t>l</w:t>
      </w:r>
      <w:r w:rsidRPr="00844016">
        <w:rPr>
          <w:sz w:val="20"/>
          <w:szCs w:val="20"/>
        </w:rPr>
        <w:t>ife</w:t>
      </w:r>
    </w:p>
    <w:p w14:paraId="7180CE26" w14:textId="77777777" w:rsidR="00A65DA4" w:rsidRPr="00D44E76" w:rsidRDefault="00A65DA4" w:rsidP="00D44E76">
      <w:r w:rsidRPr="00D44E76">
        <w:t>Summary results for PRO/</w:t>
      </w:r>
      <w:proofErr w:type="spellStart"/>
      <w:r w:rsidRPr="00D44E76">
        <w:t>QoL</w:t>
      </w:r>
      <w:proofErr w:type="spellEnd"/>
      <w:r w:rsidRPr="00D44E76">
        <w:t xml:space="preserve"> endpoints </w:t>
      </w:r>
      <w:r w:rsidR="00844016">
        <w:t>were provided for Studies</w:t>
      </w:r>
      <w:r w:rsidRPr="00D44E76">
        <w:t xml:space="preserve"> 1199.0032 and 1199.0034. Analyses of pooled data were not presented in the submission. In brief, there were no significant differences detected in </w:t>
      </w:r>
      <w:r w:rsidR="00D4340F">
        <w:t>Study</w:t>
      </w:r>
      <w:r w:rsidRPr="00D44E76">
        <w:t xml:space="preserve"> 1199.0032. In </w:t>
      </w:r>
      <w:r w:rsidR="00D4340F">
        <w:t>Study</w:t>
      </w:r>
      <w:r w:rsidRPr="00D44E76">
        <w:t xml:space="preserve"> 1199.0034 some statistically significant differences in favour of </w:t>
      </w:r>
      <w:proofErr w:type="spellStart"/>
      <w:r w:rsidRPr="00D44E76">
        <w:t>nintedanib</w:t>
      </w:r>
      <w:proofErr w:type="spellEnd"/>
      <w:r w:rsidRPr="00D44E76">
        <w:t xml:space="preserve"> were obtained for SGRQ domains (Activities and Impacts) and SGRQ-I. However mean differences were all &lt; 4 points and therefore unlikely to be clinically significant. </w:t>
      </w:r>
      <w:proofErr w:type="spellStart"/>
      <w:r w:rsidRPr="00D44E76">
        <w:t>Nintedanib</w:t>
      </w:r>
      <w:proofErr w:type="spellEnd"/>
      <w:r w:rsidRPr="00D44E76">
        <w:t xml:space="preserve">-treated patients were more likely to have an improvement in SGRQ total score of &gt; 4 points (25.23% </w:t>
      </w:r>
      <w:r w:rsidR="00B54A34">
        <w:t>versus</w:t>
      </w:r>
      <w:r w:rsidRPr="00D44E76">
        <w:t xml:space="preserve"> 16.89%; Odds ratio 1.665; 95%CI: 1.08 – 2.57; p</w:t>
      </w:r>
      <w:r w:rsidR="00D44E76">
        <w:t xml:space="preserve"> </w:t>
      </w:r>
      <w:r w:rsidRPr="00D44E76">
        <w:t>=</w:t>
      </w:r>
      <w:r w:rsidR="00D44E76">
        <w:t xml:space="preserve"> </w:t>
      </w:r>
      <w:r w:rsidRPr="00D44E76">
        <w:t>0.0218).</w:t>
      </w:r>
    </w:p>
    <w:p w14:paraId="7180CE27" w14:textId="77777777" w:rsidR="00A65DA4" w:rsidRPr="00D44E76" w:rsidRDefault="00A65DA4" w:rsidP="00D44E76">
      <w:r w:rsidRPr="00D44E76">
        <w:lastRenderedPageBreak/>
        <w:t xml:space="preserve">In both studies </w:t>
      </w:r>
      <w:proofErr w:type="spellStart"/>
      <w:r w:rsidRPr="00D44E76">
        <w:t>nintedanib</w:t>
      </w:r>
      <w:proofErr w:type="spellEnd"/>
      <w:r w:rsidRPr="00D44E76">
        <w:t xml:space="preserve"> treatment was not associated with any beneficial effect on dyspnoea or cough.</w:t>
      </w:r>
    </w:p>
    <w:p w14:paraId="2A9673C5" w14:textId="4BA46D24" w:rsidR="00344693" w:rsidRDefault="00D44E76" w:rsidP="00190081">
      <w:r w:rsidRPr="00190081">
        <w:rPr>
          <w:b/>
        </w:rPr>
        <w:t xml:space="preserve">Evaluator’s </w:t>
      </w:r>
      <w:r w:rsidR="00190081" w:rsidRPr="00190081">
        <w:rPr>
          <w:b/>
        </w:rPr>
        <w:t>c</w:t>
      </w:r>
      <w:r w:rsidRPr="00190081">
        <w:rPr>
          <w:b/>
        </w:rPr>
        <w:t>omment</w:t>
      </w:r>
      <w:r w:rsidRPr="00D44E76">
        <w:t xml:space="preserve">: </w:t>
      </w:r>
    </w:p>
    <w:p w14:paraId="7180CE28" w14:textId="68E40D3A" w:rsidR="00A65DA4" w:rsidRDefault="00A65DA4" w:rsidP="00344693">
      <w:r w:rsidRPr="00344693">
        <w:t xml:space="preserve">Considering the results of both studies, the overall conclusion is that </w:t>
      </w:r>
      <w:proofErr w:type="spellStart"/>
      <w:r w:rsidRPr="00344693">
        <w:t>nintedanib</w:t>
      </w:r>
      <w:proofErr w:type="spellEnd"/>
      <w:r w:rsidRPr="00344693">
        <w:t xml:space="preserve"> treatment had no clinically significant effect on quality of life or respiratory symptoms.</w:t>
      </w:r>
    </w:p>
    <w:p w14:paraId="7180CE29" w14:textId="77777777" w:rsidR="00A65DA4" w:rsidRPr="00844016" w:rsidRDefault="00A65DA4" w:rsidP="00D44E76">
      <w:pPr>
        <w:pStyle w:val="Heading7"/>
        <w:rPr>
          <w:sz w:val="20"/>
          <w:szCs w:val="20"/>
        </w:rPr>
      </w:pPr>
      <w:r w:rsidRPr="00844016">
        <w:rPr>
          <w:sz w:val="20"/>
          <w:szCs w:val="20"/>
        </w:rPr>
        <w:t>Risk of an acute IPF exacerbation over 52 weeks</w:t>
      </w:r>
    </w:p>
    <w:p w14:paraId="7180CE2A" w14:textId="77777777" w:rsidR="00A65DA4" w:rsidRPr="00D44E76" w:rsidRDefault="00A65DA4" w:rsidP="00D44E76">
      <w:r w:rsidRPr="00D44E76">
        <w:t xml:space="preserve">The incidence rate of exacerbations was calculated as the number of patients with at least 1 acute IPF exacerbation divided by the total </w:t>
      </w:r>
      <w:r w:rsidR="00844016">
        <w:t>n</w:t>
      </w:r>
      <w:r w:rsidRPr="00D44E76">
        <w:t>umber of years at risk.</w:t>
      </w:r>
    </w:p>
    <w:p w14:paraId="7180CE2B" w14:textId="77777777" w:rsidR="00A65DA4" w:rsidRPr="00D44E76" w:rsidRDefault="00A65DA4" w:rsidP="00D44E76">
      <w:pPr>
        <w:pStyle w:val="ListBullet"/>
      </w:pPr>
      <w:r w:rsidRPr="00D44E76">
        <w:t xml:space="preserve">In </w:t>
      </w:r>
      <w:r w:rsidR="00D4340F">
        <w:t xml:space="preserve">Study </w:t>
      </w:r>
      <w:r w:rsidRPr="00D44E76">
        <w:t xml:space="preserve">1199.0032 there was no significant difference in risk (6.6 </w:t>
      </w:r>
      <w:r w:rsidR="00B54A34">
        <w:t>versus</w:t>
      </w:r>
      <w:r w:rsidRPr="00D44E76">
        <w:t xml:space="preserve"> 5.6 per 100 patient-years for </w:t>
      </w:r>
      <w:proofErr w:type="spellStart"/>
      <w:r w:rsidRPr="00D44E76">
        <w:t>nintedanib</w:t>
      </w:r>
      <w:proofErr w:type="spellEnd"/>
      <w:r w:rsidRPr="00D44E76">
        <w:t xml:space="preserve"> and placebo respectively; p = 0.6793; risk ratio 1.17; 95%CI: 0.56 – 2.46);</w:t>
      </w:r>
    </w:p>
    <w:p w14:paraId="7180CE2C" w14:textId="77777777" w:rsidR="00A65DA4" w:rsidRPr="00D44E76" w:rsidRDefault="00A65DA4" w:rsidP="00D44E76">
      <w:pPr>
        <w:pStyle w:val="ListBullet"/>
      </w:pPr>
      <w:r w:rsidRPr="00D44E76">
        <w:t xml:space="preserve">In </w:t>
      </w:r>
      <w:r w:rsidR="00D4340F">
        <w:t xml:space="preserve">Study </w:t>
      </w:r>
      <w:r w:rsidRPr="00D44E76">
        <w:t xml:space="preserve">1199.0034 the risk was reduced with </w:t>
      </w:r>
      <w:proofErr w:type="spellStart"/>
      <w:r w:rsidRPr="00D44E76">
        <w:t>nintedanib</w:t>
      </w:r>
      <w:proofErr w:type="spellEnd"/>
      <w:r w:rsidRPr="00D44E76">
        <w:t xml:space="preserve"> (3.9 </w:t>
      </w:r>
      <w:r w:rsidR="00B54A34">
        <w:t>versus</w:t>
      </w:r>
      <w:r w:rsidRPr="00D44E76">
        <w:t xml:space="preserve"> 10.2 per 100 patient-years; p = 0.0070; risk ratio 0.38; 95%CI: 0.19 – 0.77).</w:t>
      </w:r>
    </w:p>
    <w:p w14:paraId="7180CE2D" w14:textId="77777777" w:rsidR="00A65DA4" w:rsidRDefault="00A65DA4" w:rsidP="00D44E76">
      <w:r w:rsidRPr="00D44E76">
        <w:t>An analysis of pooled data was not presented.</w:t>
      </w:r>
    </w:p>
    <w:p w14:paraId="7180CE2E" w14:textId="77777777" w:rsidR="00A65DA4" w:rsidRPr="00844016" w:rsidRDefault="00A65DA4" w:rsidP="00D44E76">
      <w:pPr>
        <w:pStyle w:val="Heading7"/>
        <w:rPr>
          <w:sz w:val="20"/>
          <w:szCs w:val="20"/>
        </w:rPr>
      </w:pPr>
      <w:r w:rsidRPr="00844016">
        <w:rPr>
          <w:sz w:val="20"/>
          <w:szCs w:val="20"/>
        </w:rPr>
        <w:t>Survival analyses</w:t>
      </w:r>
    </w:p>
    <w:p w14:paraId="7180CE2F" w14:textId="77777777" w:rsidR="00A65DA4" w:rsidRDefault="00A65DA4" w:rsidP="00D44E76">
      <w:r w:rsidRPr="00D44E76">
        <w:t>There were no significant differences on any of the survival endpoints either in the analyses of pooled data or the individual studies. Survival data were not mature with only 6.4% of subjects having died. Subjects are not being foll</w:t>
      </w:r>
      <w:r w:rsidR="00D44E76">
        <w:t>owed up long term for survival.</w:t>
      </w:r>
    </w:p>
    <w:p w14:paraId="7180CE30" w14:textId="77777777" w:rsidR="00A65DA4" w:rsidRPr="00844016" w:rsidRDefault="00A65DA4" w:rsidP="00D44E76">
      <w:pPr>
        <w:pStyle w:val="Heading7"/>
        <w:rPr>
          <w:sz w:val="20"/>
          <w:szCs w:val="20"/>
        </w:rPr>
      </w:pPr>
      <w:r w:rsidRPr="00844016">
        <w:rPr>
          <w:sz w:val="20"/>
          <w:szCs w:val="20"/>
        </w:rPr>
        <w:t>Absolute change from baseline in SpO2 and DLCO over 52 weeks</w:t>
      </w:r>
    </w:p>
    <w:p w14:paraId="7180CE31" w14:textId="77777777" w:rsidR="00A65DA4" w:rsidRPr="00D44E76" w:rsidRDefault="00A65DA4" w:rsidP="00D44E76">
      <w:r w:rsidRPr="00C66BFF">
        <w:t>There were no significant differences between treatment groups in either study.</w:t>
      </w:r>
    </w:p>
    <w:p w14:paraId="7180CE32" w14:textId="77777777" w:rsidR="00C66BFF" w:rsidRPr="00C66BFF" w:rsidRDefault="00C66BFF" w:rsidP="00C66BFF">
      <w:pPr>
        <w:pStyle w:val="Heading4"/>
      </w:pPr>
      <w:bookmarkStart w:id="191" w:name="_Toc291518968"/>
      <w:r w:rsidRPr="00C66BFF">
        <w:t>Other efficacy studies</w:t>
      </w:r>
      <w:bookmarkEnd w:id="191"/>
    </w:p>
    <w:p w14:paraId="7180CE33" w14:textId="77777777" w:rsidR="00C66BFF" w:rsidRPr="00C66BFF" w:rsidRDefault="00C66BFF" w:rsidP="00C66BFF">
      <w:pPr>
        <w:pStyle w:val="Heading5"/>
      </w:pPr>
      <w:bookmarkStart w:id="192" w:name="_Ref282700103"/>
      <w:bookmarkStart w:id="193" w:name="_Ref282700158"/>
      <w:bookmarkStart w:id="194" w:name="_Toc291518969"/>
      <w:r w:rsidRPr="00C66BFF">
        <w:t>Study 1199.0030 (‘TOMORROW’)</w:t>
      </w:r>
      <w:bookmarkEnd w:id="192"/>
      <w:bookmarkEnd w:id="193"/>
      <w:bookmarkEnd w:id="194"/>
    </w:p>
    <w:p w14:paraId="7180CE34" w14:textId="77777777" w:rsidR="00C66BFF" w:rsidRPr="00C66BFF" w:rsidRDefault="00C66BFF" w:rsidP="00C66BFF">
      <w:r w:rsidRPr="00C66BFF">
        <w:t xml:space="preserve">Study 1199.0030 was a randomised, double blind, placebo controlled </w:t>
      </w:r>
      <w:r w:rsidR="00094D89">
        <w:t>Phase</w:t>
      </w:r>
      <w:r w:rsidRPr="00C66BFF">
        <w:t xml:space="preserve"> II trial with five treatment groups. The overall objective of the trial was to compare the efficacy and safety of 4 different dosing strategies compared with placebo. It was conducted at 92 centres in 25 countries between September 2007 and June 2010</w:t>
      </w:r>
      <w:r w:rsidR="00D4340F">
        <w:t>. The study has been published (14).</w:t>
      </w:r>
    </w:p>
    <w:p w14:paraId="7180CE35" w14:textId="77777777" w:rsidR="00C66BFF" w:rsidRPr="00C66BFF" w:rsidRDefault="00C66BFF" w:rsidP="00C66BFF">
      <w:r w:rsidRPr="00C66BFF">
        <w:t>The trial enrolled subjects with IPF diagnosed according to ATS/ERS criteria. Inclusion and exclusion criteria were very similar to those used in the pivotal studies. Subjects were random</w:t>
      </w:r>
      <w:r>
        <w:t>ised to one of five treatments:</w:t>
      </w:r>
    </w:p>
    <w:p w14:paraId="7180CE36" w14:textId="77777777" w:rsidR="00C66BFF" w:rsidRPr="00C66BFF" w:rsidRDefault="00C66BFF" w:rsidP="00C66BFF">
      <w:pPr>
        <w:pStyle w:val="ListBullet"/>
      </w:pPr>
      <w:r w:rsidRPr="00C66BFF">
        <w:t>Placeb</w:t>
      </w:r>
      <w:r w:rsidR="00923D98">
        <w:t>o;(n=85)</w:t>
      </w:r>
    </w:p>
    <w:p w14:paraId="7180CE37" w14:textId="77777777" w:rsidR="00C66BFF" w:rsidRPr="00C66BFF" w:rsidRDefault="00923D98" w:rsidP="00C66BFF">
      <w:pPr>
        <w:pStyle w:val="ListBullet"/>
      </w:pPr>
      <w:proofErr w:type="spellStart"/>
      <w:r>
        <w:t>Nintedanib</w:t>
      </w:r>
      <w:proofErr w:type="spellEnd"/>
      <w:r>
        <w:t xml:space="preserve"> 50 mg OD (n=86)</w:t>
      </w:r>
    </w:p>
    <w:p w14:paraId="7180CE38" w14:textId="77777777" w:rsidR="00C66BFF" w:rsidRPr="00C66BFF" w:rsidRDefault="00923D98" w:rsidP="00C66BFF">
      <w:pPr>
        <w:pStyle w:val="ListBullet"/>
      </w:pPr>
      <w:proofErr w:type="spellStart"/>
      <w:r>
        <w:t>Nintedanib</w:t>
      </w:r>
      <w:proofErr w:type="spellEnd"/>
      <w:r>
        <w:t xml:space="preserve"> 50 mg BD (n=86)</w:t>
      </w:r>
    </w:p>
    <w:p w14:paraId="7180CE39" w14:textId="77777777" w:rsidR="00C66BFF" w:rsidRPr="00C66BFF" w:rsidRDefault="00923D98" w:rsidP="00C66BFF">
      <w:pPr>
        <w:pStyle w:val="ListBullet"/>
      </w:pPr>
      <w:proofErr w:type="spellStart"/>
      <w:r>
        <w:t>Nintedanib</w:t>
      </w:r>
      <w:proofErr w:type="spellEnd"/>
      <w:r>
        <w:t xml:space="preserve"> 100 mg BD (n=86)</w:t>
      </w:r>
    </w:p>
    <w:p w14:paraId="7180CE3A" w14:textId="77777777" w:rsidR="00C66BFF" w:rsidRPr="00C66BFF" w:rsidRDefault="00923D98" w:rsidP="00C66BFF">
      <w:pPr>
        <w:pStyle w:val="ListBullet"/>
      </w:pPr>
      <w:proofErr w:type="spellStart"/>
      <w:r>
        <w:t>Nintedanib</w:t>
      </w:r>
      <w:proofErr w:type="spellEnd"/>
      <w:r>
        <w:t xml:space="preserve"> 150 mg OD (n=85).</w:t>
      </w:r>
    </w:p>
    <w:p w14:paraId="7180CE3B" w14:textId="77777777" w:rsidR="00C66BFF" w:rsidRDefault="00923D98" w:rsidP="00C66BFF">
      <w:r>
        <w:t xml:space="preserve">The trial used a dose </w:t>
      </w:r>
      <w:r w:rsidR="00C66BFF" w:rsidRPr="00C66BFF">
        <w:t>escalation scheme. The first cohort was random</w:t>
      </w:r>
      <w:r w:rsidR="00937772">
        <w:t>ise</w:t>
      </w:r>
      <w:r w:rsidR="00C66BFF" w:rsidRPr="00C66BFF">
        <w:t>d to placebo or the lowest (50 mg OD) dose. The second cohort was random</w:t>
      </w:r>
      <w:r w:rsidR="00937772">
        <w:t>ise</w:t>
      </w:r>
      <w:r w:rsidR="00C66BFF" w:rsidRPr="00C66BFF">
        <w:t xml:space="preserve">d to placebo or the 50 mg OD or the 50 mg BD dose, </w:t>
      </w:r>
      <w:r w:rsidR="00094D89">
        <w:t>etcetera</w:t>
      </w:r>
      <w:r w:rsidR="00C66BFF" w:rsidRPr="00C66BFF">
        <w:t>. Treatment was continued for 52 weeks.</w:t>
      </w:r>
    </w:p>
    <w:p w14:paraId="7180CE3C" w14:textId="77777777" w:rsidR="00C66BFF" w:rsidRPr="00C66BFF" w:rsidRDefault="00C66BFF" w:rsidP="00C66BFF">
      <w:r w:rsidRPr="00C66BFF">
        <w:t>The primary endpoint was annual rate of decline in FVC compared to placebo. A large number of secondary endpoints we</w:t>
      </w:r>
      <w:r>
        <w:t>r</w:t>
      </w:r>
      <w:r w:rsidRPr="00C66BFF">
        <w:t>e studied. A total of 428 subjects were randomised and treated. The five groups were well balanced with respect to baseline characteristics. Mean FVC for the whole population was 2.8 L and mean % predicted FVC was 81.3%.</w:t>
      </w:r>
    </w:p>
    <w:p w14:paraId="7180CE3D" w14:textId="77777777" w:rsidR="00C66BFF" w:rsidRDefault="00C66BFF" w:rsidP="00C66BFF">
      <w:r w:rsidRPr="00C66BFF">
        <w:lastRenderedPageBreak/>
        <w:t xml:space="preserve">Results for the primary endpoint </w:t>
      </w:r>
      <w:r w:rsidR="00A31FF8">
        <w:t>were provided</w:t>
      </w:r>
      <w:r w:rsidRPr="00C66BFF">
        <w:t>. Although the difference between placebo and the 150 mg BD group was not significant according to the primary analysis, it reached statistical significance (p</w:t>
      </w:r>
      <w:r w:rsidR="00D4340F">
        <w:t xml:space="preserve"> </w:t>
      </w:r>
      <w:r w:rsidRPr="00C66BFF">
        <w:t>=</w:t>
      </w:r>
      <w:r w:rsidR="00D4340F">
        <w:t xml:space="preserve"> </w:t>
      </w:r>
      <w:r w:rsidRPr="00C66BFF">
        <w:t xml:space="preserve">0.0136) using a testing procedure that was pre-specified in the statistical analysis plan as a sensitivity analysis. Significant benefit with </w:t>
      </w:r>
      <w:proofErr w:type="spellStart"/>
      <w:r w:rsidRPr="00C66BFF">
        <w:t>nintedanib</w:t>
      </w:r>
      <w:proofErr w:type="spellEnd"/>
      <w:r w:rsidRPr="00C66BFF">
        <w:t xml:space="preserve"> 150 mg BD compared to placebo was also observed on a number of secondary endpoints including SGRQ total score and time to first IPF exacerbation. Results for the other dose groups were generally not statistically significant.</w:t>
      </w:r>
    </w:p>
    <w:p w14:paraId="7180CE3E" w14:textId="77777777" w:rsidR="00C66BFF" w:rsidRPr="00C66BFF" w:rsidRDefault="00C66BFF" w:rsidP="00C66BFF">
      <w:pPr>
        <w:pStyle w:val="Heading4"/>
      </w:pPr>
      <w:bookmarkStart w:id="195" w:name="_Toc291518970"/>
      <w:r w:rsidRPr="00C66BFF">
        <w:t>Analyses performed across trials (pooled analyses and meta-analyses)</w:t>
      </w:r>
      <w:bookmarkEnd w:id="195"/>
    </w:p>
    <w:p w14:paraId="7180CE3F" w14:textId="77777777" w:rsidR="00C66BFF" w:rsidRDefault="00C66BFF" w:rsidP="00C66BFF">
      <w:r w:rsidRPr="00C66BFF">
        <w:t>Pooled analyses of efficacy data from the two pivotal studies have been presented above. There were no other pooled analyses in the submission.</w:t>
      </w:r>
    </w:p>
    <w:p w14:paraId="7180CE40" w14:textId="77777777" w:rsidR="00C66BFF" w:rsidRPr="00C66BFF" w:rsidRDefault="00C66BFF" w:rsidP="00C66BFF">
      <w:pPr>
        <w:pStyle w:val="Heading4"/>
      </w:pPr>
      <w:bookmarkStart w:id="196" w:name="_Toc291518971"/>
      <w:r w:rsidRPr="00C66BFF">
        <w:t>Evaluator’s conclusions on clinical efficacy for IPF</w:t>
      </w:r>
      <w:bookmarkEnd w:id="196"/>
    </w:p>
    <w:p w14:paraId="7180CE41" w14:textId="77777777" w:rsidR="00C66BFF" w:rsidRPr="00C66BFF" w:rsidRDefault="00C66BFF" w:rsidP="00C66BFF">
      <w:r w:rsidRPr="00C66BFF">
        <w:t xml:space="preserve">The two pivotal studies were well designed and well conducted. They have demonstrated that </w:t>
      </w:r>
      <w:proofErr w:type="spellStart"/>
      <w:r w:rsidRPr="00C66BFF">
        <w:t>nintedanib</w:t>
      </w:r>
      <w:proofErr w:type="spellEnd"/>
      <w:r w:rsidRPr="00C66BFF">
        <w:t xml:space="preserve"> has activity in the treatment of IPF, with effects on FVC that were highly statistically significant compared to placebo. There was also inconsistent evidence that the drug may reduce the incidence of acute exacerbations of the disease. Overall there was no convincing evidence that </w:t>
      </w:r>
      <w:proofErr w:type="spellStart"/>
      <w:r w:rsidRPr="00C66BFF">
        <w:t>nintedanib</w:t>
      </w:r>
      <w:proofErr w:type="spellEnd"/>
      <w:r w:rsidRPr="00C66BFF">
        <w:t xml:space="preserve"> resulted in favourable effects on quality of life or patient symptoms such as dyspnoea and cough.</w:t>
      </w:r>
    </w:p>
    <w:p w14:paraId="7180CE42" w14:textId="77777777" w:rsidR="00C66BFF" w:rsidRPr="00C66BFF" w:rsidRDefault="00C66BFF" w:rsidP="00C66BFF">
      <w:r w:rsidRPr="00C66BFF">
        <w:t>FVC is a surrogate endpoint for efficacy, as it does not measure effects that are of direct benefit to patients (</w:t>
      </w:r>
      <w:r w:rsidR="00383820">
        <w:t>for example</w:t>
      </w:r>
      <w:r w:rsidRPr="00C66BFF">
        <w:t xml:space="preserve"> improvement in symptoms, function or life expectancy). Appropriate endpoints for </w:t>
      </w:r>
      <w:r w:rsidR="00094D89">
        <w:t>Phase</w:t>
      </w:r>
      <w:r w:rsidR="00A31FF8">
        <w:t xml:space="preserve"> </w:t>
      </w:r>
      <w:r w:rsidRPr="00C66BFF">
        <w:t xml:space="preserve">III studies in IPF have been the subject of debate in </w:t>
      </w:r>
      <w:r w:rsidR="00D4340F">
        <w:t xml:space="preserve">the literature in recent years (15, 16) </w:t>
      </w:r>
      <w:r w:rsidRPr="00C66BFF">
        <w:t>with some authors arguing that hard endpoints such as mortality should be used and others supporting the use of surrogate endpoints such as FVC. No consensus has been reached. There are no specific regulatory guidelines on the issue. However it is noted that overseas regulators (</w:t>
      </w:r>
      <w:r w:rsidR="00383820">
        <w:t>for example</w:t>
      </w:r>
      <w:r w:rsidRPr="00C66BFF">
        <w:t xml:space="preserve"> FDA and EMA) have approved </w:t>
      </w:r>
      <w:proofErr w:type="spellStart"/>
      <w:r w:rsidRPr="00C66BFF">
        <w:t>pirfenidone</w:t>
      </w:r>
      <w:proofErr w:type="spellEnd"/>
      <w:r w:rsidRPr="00C66BFF">
        <w:t xml:space="preserve"> and </w:t>
      </w:r>
      <w:proofErr w:type="spellStart"/>
      <w:r w:rsidRPr="00C66BFF">
        <w:t>nintedanib</w:t>
      </w:r>
      <w:proofErr w:type="spellEnd"/>
      <w:r w:rsidRPr="00C66BFF">
        <w:t xml:space="preserve"> based on studies that</w:t>
      </w:r>
      <w:r>
        <w:t xml:space="preserve"> demonstrated a benefit on FVC.</w:t>
      </w:r>
    </w:p>
    <w:p w14:paraId="7180CE43" w14:textId="77777777" w:rsidR="00C66BFF" w:rsidRPr="00C66BFF" w:rsidRDefault="00C66BFF" w:rsidP="00C66BFF">
      <w:r w:rsidRPr="00C66BFF">
        <w:t xml:space="preserve">The pivotal studies in this submission demonstrated that </w:t>
      </w:r>
      <w:proofErr w:type="spellStart"/>
      <w:r w:rsidRPr="00C66BFF">
        <w:t>nintedanib</w:t>
      </w:r>
      <w:proofErr w:type="spellEnd"/>
      <w:r w:rsidRPr="00C66BFF">
        <w:t xml:space="preserve"> significantly reduces the proportion of patients experiencing a 5% or 10% decline in FVC. A decline of 5</w:t>
      </w:r>
      <w:r>
        <w:t xml:space="preserve"> </w:t>
      </w:r>
      <w:r w:rsidR="00A31FF8">
        <w:t xml:space="preserve">to </w:t>
      </w:r>
      <w:r w:rsidRPr="00C66BFF">
        <w:t xml:space="preserve">10% in FVC has been associated with an increased risk of death in the following 12 </w:t>
      </w:r>
      <w:r w:rsidR="00D4340F">
        <w:t>months (17)</w:t>
      </w:r>
      <w:r w:rsidRPr="00C66BFF">
        <w:t>.</w:t>
      </w:r>
    </w:p>
    <w:p w14:paraId="7180CE44" w14:textId="77777777" w:rsidR="00A65DA4" w:rsidRPr="001A1B15" w:rsidRDefault="00C66BFF" w:rsidP="001A1B15">
      <w:r w:rsidRPr="00C66BFF">
        <w:t xml:space="preserve">IPF is a fatal condition and currently there are no therapies registered in Australia that have been shown to be effective. Overall it is considered that the evidence for efficacy of </w:t>
      </w:r>
      <w:proofErr w:type="spellStart"/>
      <w:r w:rsidRPr="00C66BFF">
        <w:t>nintedanib</w:t>
      </w:r>
      <w:proofErr w:type="spellEnd"/>
      <w:r w:rsidRPr="00C66BFF">
        <w:t xml:space="preserve"> in the treatment of IPF is sufficient to support registration. The pivotal studies did not include patients with more severe disease. Although there is no agreed scheme for classifying disease severity of IPF, the indication should be restricted to the population studied. This could be achieved by limiting the indication to ‘mild to moderate’ IPF with explanatory text in the Clinical Trials section of the PI.</w:t>
      </w:r>
    </w:p>
    <w:p w14:paraId="7180CE45" w14:textId="77777777" w:rsidR="00C22678" w:rsidRPr="00052387" w:rsidRDefault="00C22678" w:rsidP="00052387">
      <w:pPr>
        <w:pStyle w:val="Heading2"/>
      </w:pPr>
      <w:bookmarkStart w:id="197" w:name="_Toc443381749"/>
      <w:r w:rsidRPr="00052387">
        <w:t>Clinical safety</w:t>
      </w:r>
      <w:bookmarkEnd w:id="197"/>
    </w:p>
    <w:p w14:paraId="7180CE46" w14:textId="77777777" w:rsidR="00C66BFF" w:rsidRPr="00C66BFF" w:rsidRDefault="00C66BFF" w:rsidP="00C66BFF">
      <w:pPr>
        <w:pStyle w:val="Heading3"/>
      </w:pPr>
      <w:bookmarkStart w:id="198" w:name="_Toc291518973"/>
      <w:bookmarkStart w:id="199" w:name="_Toc443381750"/>
      <w:r w:rsidRPr="00C66BFF">
        <w:t>NSCLC</w:t>
      </w:r>
      <w:bookmarkEnd w:id="198"/>
      <w:bookmarkEnd w:id="199"/>
    </w:p>
    <w:p w14:paraId="7180CE47" w14:textId="77777777" w:rsidR="00C66BFF" w:rsidRPr="00C66BFF" w:rsidRDefault="00C66BFF" w:rsidP="00C66BFF">
      <w:pPr>
        <w:pStyle w:val="Heading4"/>
      </w:pPr>
      <w:bookmarkStart w:id="200" w:name="_Toc272414659"/>
      <w:bookmarkStart w:id="201" w:name="_Toc290846284"/>
      <w:bookmarkStart w:id="202" w:name="_Toc291518974"/>
      <w:r w:rsidRPr="00C66BFF">
        <w:t>Studies providing evaluable safety data</w:t>
      </w:r>
      <w:bookmarkEnd w:id="200"/>
      <w:bookmarkEnd w:id="201"/>
      <w:bookmarkEnd w:id="202"/>
    </w:p>
    <w:p w14:paraId="7180CE48" w14:textId="77777777" w:rsidR="00C66BFF" w:rsidRPr="00C66BFF" w:rsidRDefault="00C66BFF" w:rsidP="00C66BFF">
      <w:bookmarkStart w:id="203" w:name="_Ref268776745"/>
      <w:r w:rsidRPr="00C66BFF">
        <w:t>In the Summary of Clinical Safety in Module 2 of the submission, the sponsor presented analyses of safety in various pooled populations. Four ‘safety analysis sets’ (SAFs) were defined:</w:t>
      </w:r>
    </w:p>
    <w:p w14:paraId="7180CE49" w14:textId="77777777" w:rsidR="00C66BFF" w:rsidRPr="00C66BFF" w:rsidRDefault="00C66BFF" w:rsidP="00C66BFF">
      <w:pPr>
        <w:pStyle w:val="ListBullet"/>
      </w:pPr>
      <w:r w:rsidRPr="00C66BFF">
        <w:t xml:space="preserve">SAF-1 included data from the two </w:t>
      </w:r>
      <w:r w:rsidR="00094D89">
        <w:t>Phase</w:t>
      </w:r>
      <w:r w:rsidRPr="00C66BFF">
        <w:t xml:space="preserve"> III randomised, double blind </w:t>
      </w:r>
      <w:r w:rsidR="004A0845">
        <w:t>placebo controlled</w:t>
      </w:r>
      <w:r w:rsidR="00A31FF8">
        <w:t xml:space="preserve"> trials 1199.0013 and 1199.0014</w:t>
      </w:r>
    </w:p>
    <w:p w14:paraId="7180CE4A" w14:textId="77777777" w:rsidR="00C66BFF" w:rsidRPr="00C66BFF" w:rsidRDefault="00C66BFF" w:rsidP="00C66BFF">
      <w:pPr>
        <w:pStyle w:val="ListBullet"/>
      </w:pPr>
      <w:r w:rsidRPr="00C66BFF">
        <w:t xml:space="preserve">SAF-2 included data from patients treated with </w:t>
      </w:r>
      <w:proofErr w:type="spellStart"/>
      <w:r w:rsidRPr="00C66BFF">
        <w:t>nintedanib</w:t>
      </w:r>
      <w:proofErr w:type="spellEnd"/>
      <w:r w:rsidRPr="00C66BFF">
        <w:t xml:space="preserve"> monotherapy in </w:t>
      </w:r>
      <w:r w:rsidR="00094D89">
        <w:t>Phase</w:t>
      </w:r>
      <w:r w:rsidR="00A31FF8">
        <w:t xml:space="preserve"> I/II trials</w:t>
      </w:r>
    </w:p>
    <w:p w14:paraId="7180CE4B" w14:textId="77777777" w:rsidR="00C66BFF" w:rsidRPr="00C66BFF" w:rsidRDefault="00C66BFF" w:rsidP="00C66BFF">
      <w:pPr>
        <w:pStyle w:val="ListBullet"/>
      </w:pPr>
      <w:r w:rsidRPr="00C66BFF">
        <w:t>SAF-3 included</w:t>
      </w:r>
      <w:r w:rsidR="00A31FF8">
        <w:t xml:space="preserve"> data from patients with cancer</w:t>
      </w:r>
    </w:p>
    <w:p w14:paraId="7180CE4C" w14:textId="77777777" w:rsidR="00C66BFF" w:rsidRPr="00C66BFF" w:rsidRDefault="00C66BFF" w:rsidP="00C66BFF">
      <w:pPr>
        <w:pStyle w:val="ListBullet"/>
      </w:pPr>
      <w:r w:rsidRPr="00C66BFF">
        <w:lastRenderedPageBreak/>
        <w:t>SAF-4 included data from studies in healthy volunteers.</w:t>
      </w:r>
    </w:p>
    <w:p w14:paraId="7180CE4D" w14:textId="77777777" w:rsidR="00C66BFF" w:rsidRDefault="00C66BFF" w:rsidP="00C66BFF">
      <w:r w:rsidRPr="00C66BFF">
        <w:t xml:space="preserve">The trials included in SAFs-1 to 3 were not mutually exclusive but overlapped. A summary of the studies included in these safety sets is shown </w:t>
      </w:r>
      <w:r w:rsidRPr="006961BB">
        <w:t>in</w:t>
      </w:r>
      <w:r w:rsidR="006961BB" w:rsidRPr="006961BB">
        <w:t xml:space="preserve"> Table 30</w:t>
      </w:r>
      <w:r w:rsidRPr="006961BB">
        <w:t>.</w:t>
      </w:r>
    </w:p>
    <w:p w14:paraId="7180CE4E" w14:textId="77777777" w:rsidR="006961BB" w:rsidRDefault="006961BB" w:rsidP="006961BB">
      <w:pPr>
        <w:pStyle w:val="Tabletitle"/>
      </w:pPr>
      <w:proofErr w:type="gramStart"/>
      <w:r>
        <w:t>Table 30.</w:t>
      </w:r>
      <w:proofErr w:type="gramEnd"/>
      <w:r>
        <w:t xml:space="preserve"> NSCLC studies - Safety analysis sets.</w:t>
      </w:r>
    </w:p>
    <w:p w14:paraId="15428C1E" w14:textId="77777777" w:rsidR="00972EEE" w:rsidRDefault="006961BB" w:rsidP="00C66BFF">
      <w:r>
        <w:rPr>
          <w:noProof/>
          <w:lang w:eastAsia="en-AU"/>
        </w:rPr>
        <w:drawing>
          <wp:inline distT="0" distB="0" distL="0" distR="0" wp14:anchorId="7180CFCE" wp14:editId="27F4B264">
            <wp:extent cx="5047973" cy="4426145"/>
            <wp:effectExtent l="0" t="0" r="635" b="0"/>
            <wp:docPr id="27" name="Picture 27" descr="Table 30. NSCLC studies -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47055" cy="4425340"/>
                    </a:xfrm>
                    <a:prstGeom prst="rect">
                      <a:avLst/>
                    </a:prstGeom>
                  </pic:spPr>
                </pic:pic>
              </a:graphicData>
            </a:graphic>
          </wp:inline>
        </w:drawing>
      </w:r>
    </w:p>
    <w:p w14:paraId="7180CE4F" w14:textId="35060A67" w:rsidR="00C66BFF" w:rsidRPr="00C66BFF" w:rsidRDefault="00C66BFF" w:rsidP="00C66BFF">
      <w:r w:rsidRPr="00C66BFF">
        <w:t xml:space="preserve">This review will focus on the results from the SAF-1 set. The two studies included in this analysis set were both large, randomised, double blind and </w:t>
      </w:r>
      <w:r w:rsidR="004A0845">
        <w:t>placebo controlled</w:t>
      </w:r>
      <w:r w:rsidRPr="00C66BFF">
        <w:t xml:space="preserve"> trials and are likely to give the most reliable assessment of the safety profile of </w:t>
      </w:r>
      <w:proofErr w:type="spellStart"/>
      <w:r w:rsidRPr="00C66BFF">
        <w:t>nintedanib</w:t>
      </w:r>
      <w:proofErr w:type="spellEnd"/>
      <w:r w:rsidRPr="00C66BFF">
        <w:t>. Within the SAF-1 set, the sponsor presented data for three populations:</w:t>
      </w:r>
    </w:p>
    <w:p w14:paraId="7180CE50" w14:textId="77777777" w:rsidR="00C66BFF" w:rsidRPr="00C66BFF" w:rsidRDefault="00C66BFF" w:rsidP="00C66BFF">
      <w:pPr>
        <w:pStyle w:val="ListBullet"/>
      </w:pPr>
      <w:r w:rsidRPr="00C66BFF">
        <w:t>Adeno</w:t>
      </w:r>
      <w:r w:rsidR="006961BB">
        <w:t>carcinoma patients in 1199.0013</w:t>
      </w:r>
    </w:p>
    <w:p w14:paraId="7180CE51" w14:textId="77777777" w:rsidR="00C66BFF" w:rsidRPr="00C66BFF" w:rsidRDefault="006961BB" w:rsidP="00C66BFF">
      <w:pPr>
        <w:pStyle w:val="ListBullet"/>
      </w:pPr>
      <w:r>
        <w:t>All patients in 1199.0013</w:t>
      </w:r>
    </w:p>
    <w:p w14:paraId="7180CE52" w14:textId="77777777" w:rsidR="00C66BFF" w:rsidRDefault="00C66BFF" w:rsidP="00C66BFF">
      <w:pPr>
        <w:pStyle w:val="ListBullet"/>
      </w:pPr>
      <w:r w:rsidRPr="00C66BFF">
        <w:t>Adeno</w:t>
      </w:r>
      <w:r w:rsidR="006961BB">
        <w:t>carcinoma patients in 1199.0014.</w:t>
      </w:r>
    </w:p>
    <w:p w14:paraId="7180CE53" w14:textId="77777777" w:rsidR="00C66BFF" w:rsidRPr="00C66BFF" w:rsidRDefault="00C66BFF" w:rsidP="00C66BFF">
      <w:r w:rsidRPr="00C66BFF">
        <w:t>The two studies collected the following evaluable safety data:</w:t>
      </w:r>
    </w:p>
    <w:p w14:paraId="7180CE54" w14:textId="77777777" w:rsidR="00C66BFF" w:rsidRPr="00C66BFF" w:rsidRDefault="00C66BFF" w:rsidP="00C66BFF">
      <w:pPr>
        <w:pStyle w:val="Heading5"/>
      </w:pPr>
      <w:r w:rsidRPr="00C66BFF">
        <w:t>Pivotal efficacy stud</w:t>
      </w:r>
      <w:bookmarkEnd w:id="203"/>
      <w:r w:rsidRPr="00C66BFF">
        <w:t>y (1199.0013)</w:t>
      </w:r>
    </w:p>
    <w:p w14:paraId="7180CE55" w14:textId="77777777" w:rsidR="00C66BFF" w:rsidRPr="00C66BFF" w:rsidRDefault="00C66BFF" w:rsidP="00C66BFF">
      <w:r w:rsidRPr="00C66BFF">
        <w:t>In the pivotal efficacy study, the following safety data were collected:</w:t>
      </w:r>
    </w:p>
    <w:p w14:paraId="7180CE56" w14:textId="77777777" w:rsidR="00C66BFF" w:rsidRPr="00C66BFF" w:rsidRDefault="00C66BFF" w:rsidP="00C66BFF">
      <w:pPr>
        <w:pStyle w:val="ListBullet"/>
      </w:pPr>
      <w:r w:rsidRPr="00C66BFF">
        <w:t>General adverse events (AEs) were assessed at each clinic visit. AEs were spontaneously reported by the patient. CTCAE criteria (version 3) were used to gr</w:t>
      </w:r>
      <w:r w:rsidR="006961BB">
        <w:t xml:space="preserve">ade AEs. ‘On </w:t>
      </w:r>
      <w:r w:rsidRPr="00C66BFF">
        <w:t xml:space="preserve">treatment’ AEs were defined as those that occurred between the first study drug </w:t>
      </w:r>
      <w:proofErr w:type="gramStart"/>
      <w:r w:rsidRPr="00C66BFF">
        <w:t>administration</w:t>
      </w:r>
      <w:proofErr w:type="gramEnd"/>
      <w:r w:rsidRPr="00C66BFF">
        <w:t xml:space="preserve"> until 28 days after the last administration.</w:t>
      </w:r>
    </w:p>
    <w:p w14:paraId="7180CE57" w14:textId="77777777" w:rsidR="00C66BFF" w:rsidRPr="00C66BFF" w:rsidRDefault="00C66BFF" w:rsidP="00C66BFF">
      <w:pPr>
        <w:pStyle w:val="ListBullet"/>
      </w:pPr>
      <w:r w:rsidRPr="00C66BFF">
        <w:t xml:space="preserve">The following AEs of special interest (AESI) were analysed: possible side effects of </w:t>
      </w:r>
      <w:proofErr w:type="spellStart"/>
      <w:r w:rsidRPr="00C66BFF">
        <w:t>nintedanib</w:t>
      </w:r>
      <w:proofErr w:type="spellEnd"/>
      <w:r w:rsidRPr="00C66BFF">
        <w:t xml:space="preserve"> (nausea, vomiting, abdominal pain, fatigue, dehydration and renal failure, </w:t>
      </w:r>
      <w:r w:rsidRPr="00C66BFF">
        <w:lastRenderedPageBreak/>
        <w:t>diarrhoea, liver toxicities), potential class effects of VEGF inhibitors, AEs associated with chemotherapy, AEs observed with competitor products, cardiac events, interstitial lung disease, photosensitivity and anaphylactic reactions.</w:t>
      </w:r>
    </w:p>
    <w:p w14:paraId="7180CE58" w14:textId="77777777" w:rsidR="00C66BFF" w:rsidRPr="00C66BFF" w:rsidRDefault="00C66BFF" w:rsidP="00C66BFF">
      <w:pPr>
        <w:pStyle w:val="ListBullet"/>
      </w:pPr>
      <w:r w:rsidRPr="00C66BFF">
        <w:t xml:space="preserve">General physical examination was performed on </w:t>
      </w:r>
      <w:r w:rsidR="00917B9D">
        <w:t>Day</w:t>
      </w:r>
      <w:r w:rsidRPr="00C66BFF">
        <w:t xml:space="preserve"> 1 of each cycle.</w:t>
      </w:r>
    </w:p>
    <w:p w14:paraId="7180CE59" w14:textId="77777777" w:rsidR="00C66BFF" w:rsidRPr="00C66BFF" w:rsidRDefault="00C66BFF" w:rsidP="00C66BFF">
      <w:pPr>
        <w:pStyle w:val="ListBullet"/>
      </w:pPr>
      <w:r w:rsidRPr="00C66BFF">
        <w:t>Vital signs (BP, pulse,</w:t>
      </w:r>
      <w:r w:rsidR="006961BB">
        <w:t xml:space="preserve"> temperature) were measured on D</w:t>
      </w:r>
      <w:r w:rsidRPr="00C66BFF">
        <w:t>ays</w:t>
      </w:r>
      <w:r w:rsidR="006961BB">
        <w:t xml:space="preserve"> 1, 8 and 15 of cycle 1 and on D</w:t>
      </w:r>
      <w:r w:rsidRPr="00C66BFF">
        <w:t>ays 1 and 8 of subsequent cycles.</w:t>
      </w:r>
    </w:p>
    <w:p w14:paraId="7180CE5A" w14:textId="77777777" w:rsidR="00C66BFF" w:rsidRPr="00C66BFF" w:rsidRDefault="00C66BFF" w:rsidP="00C66BFF">
      <w:pPr>
        <w:pStyle w:val="ListBullet"/>
      </w:pPr>
      <w:r w:rsidRPr="00C66BFF">
        <w:t>Laboratory tests, including th</w:t>
      </w:r>
      <w:r w:rsidR="006961BB">
        <w:t>e following, were collected on D</w:t>
      </w:r>
      <w:r w:rsidRPr="00C66BFF">
        <w:t>ays</w:t>
      </w:r>
      <w:r w:rsidR="006961BB">
        <w:t xml:space="preserve"> 1, 8 and 15 of cycle 1 and on D</w:t>
      </w:r>
      <w:r w:rsidRPr="00C66BFF">
        <w:t>a</w:t>
      </w:r>
      <w:r w:rsidR="006961BB">
        <w:t>ys 1 and 8 of subsequent cycles;</w:t>
      </w:r>
    </w:p>
    <w:p w14:paraId="7180CE5B" w14:textId="77777777" w:rsidR="00C66BFF" w:rsidRPr="00C66BFF" w:rsidRDefault="00C66BFF" w:rsidP="00C66BFF">
      <w:pPr>
        <w:pStyle w:val="ListBullet2"/>
      </w:pPr>
      <w:r w:rsidRPr="00C66BFF">
        <w:t>Haematology: haemoglobin, white blood cell (WBC) count, ANC, platelets;</w:t>
      </w:r>
    </w:p>
    <w:p w14:paraId="7180CE5C" w14:textId="77777777" w:rsidR="00C66BFF" w:rsidRPr="00C66BFF" w:rsidRDefault="00C66BFF" w:rsidP="00C66BFF">
      <w:pPr>
        <w:pStyle w:val="ListBullet2"/>
      </w:pPr>
      <w:r w:rsidRPr="00C66BFF">
        <w:t xml:space="preserve">Biochemistry: glucose, sodium, potassium, calcium, phosphorus, magnesium, creatinine, AST, ALT, ALKP, lactate dehydrogenase, bilirubin (if grade </w:t>
      </w:r>
      <w:r w:rsidR="006961BB">
        <w:t xml:space="preserve">≥ </w:t>
      </w:r>
      <w:r w:rsidRPr="00C66BFF">
        <w:t>1, direct and indirect bilirubin were also determined),</w:t>
      </w:r>
      <w:r w:rsidR="006961BB">
        <w:t xml:space="preserve"> urea, total protein, uric acid</w:t>
      </w:r>
    </w:p>
    <w:p w14:paraId="7180CE5D" w14:textId="77777777" w:rsidR="00C66BFF" w:rsidRPr="00C66BFF" w:rsidRDefault="00C66BFF" w:rsidP="00C66BFF">
      <w:pPr>
        <w:pStyle w:val="ListBullet2"/>
      </w:pPr>
      <w:r w:rsidRPr="00C66BFF">
        <w:t>Coagulation parameters: international normalised ratio (INR), activated partial thromboplasti</w:t>
      </w:r>
      <w:r w:rsidR="006961BB">
        <w:t>n time (</w:t>
      </w:r>
      <w:proofErr w:type="spellStart"/>
      <w:r w:rsidR="006961BB">
        <w:t>aPTT</w:t>
      </w:r>
      <w:proofErr w:type="spellEnd"/>
      <w:r w:rsidR="006961BB">
        <w:t>)</w:t>
      </w:r>
    </w:p>
    <w:p w14:paraId="7180CE5E" w14:textId="77777777" w:rsidR="00C66BFF" w:rsidRPr="00C66BFF" w:rsidRDefault="00C66BFF" w:rsidP="00C66BFF">
      <w:pPr>
        <w:pStyle w:val="ListBullet2"/>
      </w:pPr>
      <w:r w:rsidRPr="00C66BFF">
        <w:t xml:space="preserve">Thyroid parameters: thyroid stimulating hormone (TSH), free triiodothyronine </w:t>
      </w:r>
      <w:r w:rsidR="006961BB">
        <w:t>(fT3) and free thyroxine (fT4);</w:t>
      </w:r>
      <w:r w:rsidRPr="00C66BFF">
        <w:t xml:space="preserve"> these were</w:t>
      </w:r>
      <w:r w:rsidR="006961BB">
        <w:t xml:space="preserve"> collected on </w:t>
      </w:r>
      <w:r w:rsidR="00917B9D">
        <w:t>Day</w:t>
      </w:r>
      <w:r w:rsidR="006961BB">
        <w:t xml:space="preserve"> 1 of each odd </w:t>
      </w:r>
      <w:r w:rsidRPr="00C66BFF">
        <w:t>numbered cycle only.</w:t>
      </w:r>
    </w:p>
    <w:p w14:paraId="7180CE5F" w14:textId="77777777" w:rsidR="00C66BFF" w:rsidRPr="00C66BFF" w:rsidRDefault="00C66BFF" w:rsidP="00C66BFF">
      <w:pPr>
        <w:pStyle w:val="ListBullet"/>
      </w:pPr>
      <w:r w:rsidRPr="00C66BFF">
        <w:t>Urinalysis (pH, glucose, erythrocytes, leukocytes, prote</w:t>
      </w:r>
      <w:r w:rsidR="00917B9D">
        <w:t xml:space="preserve">in, </w:t>
      </w:r>
      <w:proofErr w:type="gramStart"/>
      <w:r w:rsidR="00917B9D">
        <w:t>nitrites</w:t>
      </w:r>
      <w:proofErr w:type="gramEnd"/>
      <w:r w:rsidR="00917B9D">
        <w:t>) was performed on D</w:t>
      </w:r>
      <w:r w:rsidRPr="00C66BFF">
        <w:t>ay 1 of each cycle.</w:t>
      </w:r>
    </w:p>
    <w:p w14:paraId="7180CE60" w14:textId="77777777" w:rsidR="00C66BFF" w:rsidRDefault="00C66BFF" w:rsidP="00C66BFF">
      <w:pPr>
        <w:pStyle w:val="ListBullet"/>
      </w:pPr>
      <w:r w:rsidRPr="00C66BFF">
        <w:t xml:space="preserve">ECGs were taken on </w:t>
      </w:r>
      <w:r w:rsidR="00917B9D">
        <w:t>Day</w:t>
      </w:r>
      <w:r w:rsidRPr="00C66BFF">
        <w:t xml:space="preserve"> 1 of each cycle.</w:t>
      </w:r>
    </w:p>
    <w:p w14:paraId="7180CE61" w14:textId="77777777" w:rsidR="00C66BFF" w:rsidRPr="00C66BFF" w:rsidRDefault="00C66BFF" w:rsidP="00C66BFF">
      <w:pPr>
        <w:pStyle w:val="Heading4"/>
      </w:pPr>
      <w:bookmarkStart w:id="204" w:name="_Toc241374318"/>
      <w:bookmarkStart w:id="205" w:name="_Ref271196630"/>
      <w:bookmarkStart w:id="206" w:name="_Toc272414662"/>
      <w:bookmarkStart w:id="207" w:name="_Toc290846300"/>
      <w:bookmarkStart w:id="208" w:name="_Toc291518975"/>
      <w:r w:rsidRPr="00C66BFF">
        <w:t>Patient exposure</w:t>
      </w:r>
      <w:bookmarkEnd w:id="204"/>
      <w:bookmarkEnd w:id="205"/>
      <w:bookmarkEnd w:id="206"/>
      <w:bookmarkEnd w:id="207"/>
      <w:bookmarkEnd w:id="208"/>
    </w:p>
    <w:p w14:paraId="7180CE62" w14:textId="77777777" w:rsidR="00C66BFF" w:rsidRDefault="00C66BFF" w:rsidP="00C66BFF">
      <w:r w:rsidRPr="00C66BFF">
        <w:t xml:space="preserve">Exposure to </w:t>
      </w:r>
      <w:proofErr w:type="spellStart"/>
      <w:r w:rsidRPr="00C66BFF">
        <w:t>nintedanib</w:t>
      </w:r>
      <w:proofErr w:type="spellEnd"/>
      <w:r w:rsidRPr="00C66BFF">
        <w:t xml:space="preserve"> and placebo is summarised in</w:t>
      </w:r>
      <w:r w:rsidR="00B9717B">
        <w:t xml:space="preserve"> Table 31</w:t>
      </w:r>
      <w:r w:rsidRPr="00C66BFF">
        <w:t>. In total, 1</w:t>
      </w:r>
      <w:r w:rsidR="006961BB">
        <w:t>,</w:t>
      </w:r>
      <w:r w:rsidRPr="00C66BFF">
        <w:t xml:space="preserve">880 cancer subjects were exposed to </w:t>
      </w:r>
      <w:proofErr w:type="spellStart"/>
      <w:r w:rsidRPr="00C66BFF">
        <w:t>nintedanib</w:t>
      </w:r>
      <w:proofErr w:type="spellEnd"/>
      <w:r w:rsidRPr="00C66BFF">
        <w:t>. Average duration of exposure was short (</w:t>
      </w:r>
      <w:r w:rsidR="00383820">
        <w:t>for example</w:t>
      </w:r>
      <w:r w:rsidR="00917B9D">
        <w:t xml:space="preserve"> median = </w:t>
      </w:r>
      <w:r w:rsidRPr="00C66BFF">
        <w:t>3.38 months in 1199.0013). A total of 146 cancer subjects had re</w:t>
      </w:r>
      <w:r w:rsidR="006961BB">
        <w:t xml:space="preserve">ceived </w:t>
      </w:r>
      <w:proofErr w:type="spellStart"/>
      <w:r w:rsidR="006961BB">
        <w:t>nintedanib</w:t>
      </w:r>
      <w:proofErr w:type="spellEnd"/>
      <w:r w:rsidR="006961BB">
        <w:t xml:space="preserve"> for periods &gt; </w:t>
      </w:r>
      <w:r w:rsidRPr="00C66BFF">
        <w:t>12 months. Dose intensity was generally &gt;</w:t>
      </w:r>
      <w:r w:rsidR="006961BB">
        <w:t xml:space="preserve"> </w:t>
      </w:r>
      <w:r w:rsidRPr="00C66BFF">
        <w:t>90%.</w:t>
      </w:r>
    </w:p>
    <w:p w14:paraId="7180CE63" w14:textId="77777777" w:rsidR="006961BB" w:rsidRDefault="00B9717B" w:rsidP="006961BB">
      <w:pPr>
        <w:pStyle w:val="Tabletitle"/>
      </w:pPr>
      <w:proofErr w:type="gramStart"/>
      <w:r>
        <w:t>Table 3</w:t>
      </w:r>
      <w:r w:rsidR="006961BB">
        <w:t>1.</w:t>
      </w:r>
      <w:proofErr w:type="gramEnd"/>
      <w:r w:rsidR="006961BB">
        <w:t xml:space="preserve"> </w:t>
      </w:r>
      <w:r w:rsidR="006961BB" w:rsidRPr="006961BB">
        <w:t>NSCLC studies – Exposure</w:t>
      </w:r>
      <w:r w:rsidR="006961BB">
        <w:t xml:space="preserve">. Duration of </w:t>
      </w:r>
      <w:proofErr w:type="spellStart"/>
      <w:r w:rsidR="006961BB">
        <w:t>ninte</w:t>
      </w:r>
      <w:r w:rsidR="00917B9D">
        <w:t>danib</w:t>
      </w:r>
      <w:proofErr w:type="spellEnd"/>
      <w:r w:rsidR="00917B9D">
        <w:t>/placebo treatment in Phase </w:t>
      </w:r>
      <w:r w:rsidR="006961BB">
        <w:t xml:space="preserve">III trials 1199.13 and 1199.14 (SAF-1) in </w:t>
      </w:r>
      <w:proofErr w:type="spellStart"/>
      <w:r w:rsidR="006961BB" w:rsidRPr="006961BB">
        <w:t>nintedanib</w:t>
      </w:r>
      <w:proofErr w:type="spellEnd"/>
      <w:r w:rsidR="006961BB">
        <w:t xml:space="preserve"> Phase I/II monotherapy trials (SAF-2) and in all patients with cancer treated with </w:t>
      </w:r>
      <w:proofErr w:type="spellStart"/>
      <w:r w:rsidR="006961BB">
        <w:t>nintedanib</w:t>
      </w:r>
      <w:proofErr w:type="spellEnd"/>
      <w:r w:rsidR="006961BB">
        <w:t>.</w:t>
      </w:r>
    </w:p>
    <w:p w14:paraId="7180CE64" w14:textId="77777777" w:rsidR="006961BB" w:rsidRDefault="00B9717B" w:rsidP="00C66BFF">
      <w:r>
        <w:rPr>
          <w:noProof/>
          <w:lang w:eastAsia="en-AU"/>
        </w:rPr>
        <w:drawing>
          <wp:inline distT="0" distB="0" distL="0" distR="0" wp14:anchorId="7180CFD0" wp14:editId="7180CFD1">
            <wp:extent cx="5731510" cy="2585303"/>
            <wp:effectExtent l="0" t="0" r="2540" b="5715"/>
            <wp:docPr id="28" name="Picture 28" descr="Table 31. NSCLC studies – Exposure. Duration of nintedanib/placebo treatment in Phase III trials 1199.13 and 1199.14 (SAF-1) in nintedanib Phase I/II monotherapy trials (SAF-2) and in all patients with cancer treated with ninted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585303"/>
                    </a:xfrm>
                    <a:prstGeom prst="rect">
                      <a:avLst/>
                    </a:prstGeom>
                  </pic:spPr>
                </pic:pic>
              </a:graphicData>
            </a:graphic>
          </wp:inline>
        </w:drawing>
      </w:r>
    </w:p>
    <w:p w14:paraId="7180CE65" w14:textId="77777777" w:rsidR="00C66BFF" w:rsidRPr="00C66BFF" w:rsidRDefault="00C66BFF" w:rsidP="00C66BFF">
      <w:pPr>
        <w:pStyle w:val="Heading4"/>
      </w:pPr>
      <w:bookmarkStart w:id="209" w:name="_Toc241374319"/>
      <w:bookmarkStart w:id="210" w:name="_Ref271044764"/>
      <w:bookmarkStart w:id="211" w:name="_Toc272414663"/>
      <w:bookmarkStart w:id="212" w:name="_Toc290846301"/>
      <w:bookmarkStart w:id="213" w:name="_Toc291518976"/>
      <w:r w:rsidRPr="00C66BFF">
        <w:lastRenderedPageBreak/>
        <w:t>Adverse events</w:t>
      </w:r>
      <w:bookmarkEnd w:id="209"/>
      <w:bookmarkEnd w:id="210"/>
      <w:bookmarkEnd w:id="211"/>
      <w:bookmarkEnd w:id="212"/>
      <w:bookmarkEnd w:id="213"/>
    </w:p>
    <w:p w14:paraId="7180CE66" w14:textId="77777777" w:rsidR="00C66BFF" w:rsidRDefault="00C66BFF" w:rsidP="00C66BFF">
      <w:r w:rsidRPr="00C66BFF">
        <w:t xml:space="preserve">The overall safety profile of </w:t>
      </w:r>
      <w:proofErr w:type="spellStart"/>
      <w:r w:rsidRPr="00C66BFF">
        <w:t>nintedanib</w:t>
      </w:r>
      <w:proofErr w:type="spellEnd"/>
      <w:r w:rsidRPr="00C66BFF">
        <w:t xml:space="preserve"> in terms of AEs, SAEs </w:t>
      </w:r>
      <w:r w:rsidR="00094D89">
        <w:t>etcetera</w:t>
      </w:r>
      <w:r w:rsidRPr="00C66BFF">
        <w:t xml:space="preserve"> is summarised </w:t>
      </w:r>
      <w:r w:rsidRPr="00B9717B">
        <w:t>in</w:t>
      </w:r>
      <w:r w:rsidR="00B9717B" w:rsidRPr="00B9717B">
        <w:t xml:space="preserve"> Table 32</w:t>
      </w:r>
      <w:r w:rsidRPr="00B9717B">
        <w:t>.</w:t>
      </w:r>
    </w:p>
    <w:p w14:paraId="7180CE67" w14:textId="77777777" w:rsidR="00B9717B" w:rsidRDefault="00B9717B" w:rsidP="00B9717B">
      <w:pPr>
        <w:pStyle w:val="Tabletitle"/>
      </w:pPr>
      <w:proofErr w:type="gramStart"/>
      <w:r>
        <w:t>Table 32.</w:t>
      </w:r>
      <w:proofErr w:type="gramEnd"/>
      <w:r>
        <w:t xml:space="preserve"> </w:t>
      </w:r>
      <w:r w:rsidRPr="00B9717B">
        <w:t>NSCLC studies – Overall safety profile</w:t>
      </w:r>
      <w:r>
        <w:t>.</w:t>
      </w:r>
    </w:p>
    <w:p w14:paraId="7180CE68" w14:textId="77777777" w:rsidR="00B9717B" w:rsidRPr="00B9717B" w:rsidRDefault="00B9717B" w:rsidP="00B9717B">
      <w:r>
        <w:rPr>
          <w:noProof/>
          <w:lang w:eastAsia="en-AU"/>
        </w:rPr>
        <w:drawing>
          <wp:inline distT="0" distB="0" distL="0" distR="0" wp14:anchorId="7180CFD2" wp14:editId="7180CFD3">
            <wp:extent cx="5731510" cy="3221525"/>
            <wp:effectExtent l="0" t="0" r="2540" b="0"/>
            <wp:docPr id="38" name="Picture 38" descr="Table 32. NSCLC studies – Overall safe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221525"/>
                    </a:xfrm>
                    <a:prstGeom prst="rect">
                      <a:avLst/>
                    </a:prstGeom>
                  </pic:spPr>
                </pic:pic>
              </a:graphicData>
            </a:graphic>
          </wp:inline>
        </w:drawing>
      </w:r>
    </w:p>
    <w:p w14:paraId="7180CE69" w14:textId="77777777" w:rsidR="00C66BFF" w:rsidRPr="00C66BFF" w:rsidRDefault="00C66BFF" w:rsidP="00C66BFF">
      <w:pPr>
        <w:pStyle w:val="Heading5"/>
      </w:pPr>
      <w:bookmarkStart w:id="214" w:name="_Ref272317284"/>
      <w:bookmarkStart w:id="215" w:name="_Ref272333565"/>
      <w:bookmarkStart w:id="216" w:name="_Toc272414664"/>
      <w:bookmarkStart w:id="217" w:name="_Toc290846302"/>
      <w:bookmarkStart w:id="218" w:name="_Toc291518977"/>
      <w:r w:rsidRPr="00C66BFF">
        <w:t>All adverse events (irrespective of relationship to study treatment)</w:t>
      </w:r>
      <w:bookmarkEnd w:id="214"/>
      <w:bookmarkEnd w:id="215"/>
      <w:bookmarkEnd w:id="216"/>
      <w:bookmarkEnd w:id="217"/>
      <w:bookmarkEnd w:id="218"/>
    </w:p>
    <w:p w14:paraId="7180CE6A" w14:textId="77777777" w:rsidR="00C66BFF" w:rsidRPr="00C66BFF" w:rsidRDefault="00C66BFF" w:rsidP="00C66BFF">
      <w:r w:rsidRPr="00C66BFF">
        <w:t xml:space="preserve">The incidence of AEs was high and comparable in </w:t>
      </w:r>
      <w:proofErr w:type="spellStart"/>
      <w:r w:rsidRPr="00C66BFF">
        <w:t>nintedanib</w:t>
      </w:r>
      <w:proofErr w:type="spellEnd"/>
      <w:r w:rsidRPr="00C66BFF">
        <w:t xml:space="preserve"> and placebo groups (</w:t>
      </w:r>
      <w:r w:rsidR="00383820">
        <w:t>for example</w:t>
      </w:r>
      <w:r w:rsidRPr="00C66BFF">
        <w:t xml:space="preserve"> 93.6% with </w:t>
      </w:r>
      <w:proofErr w:type="spellStart"/>
      <w:r w:rsidRPr="00C66BFF">
        <w:t>nintedanib</w:t>
      </w:r>
      <w:proofErr w:type="spellEnd"/>
      <w:r w:rsidRPr="00C66BFF">
        <w:t xml:space="preserve"> and 93.0% with placebo in </w:t>
      </w:r>
      <w:r w:rsidR="00D4340F">
        <w:t>Study</w:t>
      </w:r>
      <w:r w:rsidRPr="00C66BFF">
        <w:t xml:space="preserve"> 1199.0013). Common AEs (</w:t>
      </w:r>
      <w:r w:rsidR="00E448CC">
        <w:t>that is</w:t>
      </w:r>
      <w:r w:rsidRPr="00C66BFF">
        <w:t xml:space="preserve"> those with an incidence &gt; 10% in either treatment arm) are shown in </w:t>
      </w:r>
      <w:r w:rsidR="00B9717B">
        <w:t xml:space="preserve">Table 33 and Table </w:t>
      </w:r>
      <w:r w:rsidR="00B9717B" w:rsidRPr="00B9717B">
        <w:t>34</w:t>
      </w:r>
      <w:r w:rsidRPr="00B9717B">
        <w:t>.</w:t>
      </w:r>
    </w:p>
    <w:p w14:paraId="5431F780" w14:textId="132555AA" w:rsidR="00DC147E" w:rsidRPr="00DC147E" w:rsidRDefault="00C66BFF" w:rsidP="00190081">
      <w:r w:rsidRPr="00190081">
        <w:rPr>
          <w:b/>
        </w:rPr>
        <w:t xml:space="preserve">Evaluator’s </w:t>
      </w:r>
      <w:r w:rsidR="00190081" w:rsidRPr="00190081">
        <w:rPr>
          <w:b/>
        </w:rPr>
        <w:t>c</w:t>
      </w:r>
      <w:r w:rsidRPr="00190081">
        <w:rPr>
          <w:b/>
        </w:rPr>
        <w:t>omment</w:t>
      </w:r>
      <w:r w:rsidRPr="00DC147E">
        <w:t xml:space="preserve">: </w:t>
      </w:r>
    </w:p>
    <w:p w14:paraId="7180CE6B" w14:textId="1BF0D5A0" w:rsidR="00C66BFF" w:rsidRPr="00DC147E" w:rsidRDefault="00C66BFF" w:rsidP="00DC147E">
      <w:r w:rsidRPr="00DC147E">
        <w:t xml:space="preserve">The two studies gave a consistent pattern of common toxicities, with </w:t>
      </w:r>
      <w:proofErr w:type="spellStart"/>
      <w:r w:rsidRPr="00DC147E">
        <w:t>nintedanib</w:t>
      </w:r>
      <w:proofErr w:type="spellEnd"/>
      <w:r w:rsidRPr="00DC147E">
        <w:t xml:space="preserve"> treatment being associated with increased incidences of gastrointestinal effects (notably diarrhoea, but also nausea, vomiting, decreased appetite and abdominal pain) and transaminase elevations.</w:t>
      </w:r>
    </w:p>
    <w:p w14:paraId="7180CE6C" w14:textId="35A9776A" w:rsidR="00C66BFF" w:rsidRDefault="00C66BFF" w:rsidP="00DC147E">
      <w:r w:rsidRPr="00DC147E">
        <w:t xml:space="preserve">Most of these toxicities were of </w:t>
      </w:r>
      <w:r w:rsidR="00DC147E" w:rsidRPr="00DC147E">
        <w:t xml:space="preserve">Grade </w:t>
      </w:r>
      <w:r w:rsidRPr="00DC147E">
        <w:t xml:space="preserve">1 or 2 in severity. There was a modest increase in the incidence of grade ≥ 3 toxicities with </w:t>
      </w:r>
      <w:proofErr w:type="spellStart"/>
      <w:r w:rsidRPr="00DC147E">
        <w:t>nintedanib</w:t>
      </w:r>
      <w:proofErr w:type="spellEnd"/>
      <w:r w:rsidRPr="00DC147E">
        <w:t xml:space="preserve"> (</w:t>
      </w:r>
      <w:r w:rsidR="00383820" w:rsidRPr="00DC147E">
        <w:t>for example</w:t>
      </w:r>
      <w:r w:rsidRPr="00DC147E">
        <w:t xml:space="preserve"> 71.3% </w:t>
      </w:r>
      <w:r w:rsidR="00B54A34" w:rsidRPr="00DC147E">
        <w:t>versus</w:t>
      </w:r>
      <w:r w:rsidRPr="00DC147E">
        <w:t xml:space="preserve"> 64.3% in 1199.0013).</w:t>
      </w:r>
    </w:p>
    <w:p w14:paraId="7180CE6D" w14:textId="77777777" w:rsidR="00B9717B" w:rsidRDefault="00B9717B" w:rsidP="00B9717B">
      <w:pPr>
        <w:pStyle w:val="Tabletitle"/>
      </w:pPr>
      <w:proofErr w:type="gramStart"/>
      <w:r>
        <w:lastRenderedPageBreak/>
        <w:t>Table 33.</w:t>
      </w:r>
      <w:proofErr w:type="gramEnd"/>
      <w:r>
        <w:t xml:space="preserve"> </w:t>
      </w:r>
      <w:proofErr w:type="gramStart"/>
      <w:r w:rsidRPr="00B9717B">
        <w:t>Study 1199.0013 (Adenocarcinoma patients) – Common AEs</w:t>
      </w:r>
      <w:r>
        <w:t>.</w:t>
      </w:r>
      <w:proofErr w:type="gramEnd"/>
    </w:p>
    <w:p w14:paraId="7180CE6E" w14:textId="77777777" w:rsidR="00B9717B" w:rsidRPr="00B9717B" w:rsidRDefault="00B9717B" w:rsidP="00B9717B">
      <w:r>
        <w:rPr>
          <w:noProof/>
          <w:lang w:eastAsia="en-AU"/>
        </w:rPr>
        <w:drawing>
          <wp:inline distT="0" distB="0" distL="0" distR="0" wp14:anchorId="7180CFD4" wp14:editId="133F7D23">
            <wp:extent cx="4729075" cy="3328451"/>
            <wp:effectExtent l="0" t="0" r="0" b="5715"/>
            <wp:docPr id="39" name="Picture 39" descr="Table 33. Study 1199.0013 (Adenocarcinoma patients) – Commo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29255" cy="3328578"/>
                    </a:xfrm>
                    <a:prstGeom prst="rect">
                      <a:avLst/>
                    </a:prstGeom>
                  </pic:spPr>
                </pic:pic>
              </a:graphicData>
            </a:graphic>
          </wp:inline>
        </w:drawing>
      </w:r>
    </w:p>
    <w:p w14:paraId="7180CE6F" w14:textId="77777777" w:rsidR="00B9717B" w:rsidRDefault="00B9717B" w:rsidP="007E7D67">
      <w:pPr>
        <w:pStyle w:val="Tabletitle"/>
      </w:pPr>
      <w:bookmarkStart w:id="219" w:name="_Ref272333567"/>
      <w:bookmarkStart w:id="220" w:name="_Toc272414665"/>
      <w:bookmarkStart w:id="221" w:name="_Toc290846303"/>
      <w:bookmarkStart w:id="222" w:name="_Toc291518978"/>
      <w:proofErr w:type="gramStart"/>
      <w:r>
        <w:t>Table 34</w:t>
      </w:r>
      <w:r w:rsidR="007E7D67">
        <w:t>.</w:t>
      </w:r>
      <w:proofErr w:type="gramEnd"/>
      <w:r w:rsidRPr="00B9717B">
        <w:rPr>
          <w:rFonts w:eastAsia="Times New Roman"/>
          <w:kern w:val="16"/>
          <w:szCs w:val="24"/>
          <w:lang w:eastAsia="en-AU"/>
        </w:rPr>
        <w:t xml:space="preserve"> </w:t>
      </w:r>
      <w:proofErr w:type="gramStart"/>
      <w:r w:rsidRPr="00B9717B">
        <w:t>Study 1199.0014 (Adenocarcinoma patients) – Common AEs</w:t>
      </w:r>
      <w:r w:rsidR="007E7D67">
        <w:t>.</w:t>
      </w:r>
      <w:proofErr w:type="gramEnd"/>
    </w:p>
    <w:p w14:paraId="7180CE70" w14:textId="77777777" w:rsidR="00B9717B" w:rsidRPr="00B9717B" w:rsidRDefault="00B9717B" w:rsidP="00B9717B">
      <w:r>
        <w:rPr>
          <w:noProof/>
          <w:lang w:eastAsia="en-AU"/>
        </w:rPr>
        <w:drawing>
          <wp:inline distT="0" distB="0" distL="0" distR="0" wp14:anchorId="7180CFD6" wp14:editId="513FC9F4">
            <wp:extent cx="4560780" cy="3114121"/>
            <wp:effectExtent l="0" t="0" r="0" b="0"/>
            <wp:docPr id="40" name="Picture 40" descr="Table 34. Study 1199.0014 (Adenocarcinoma patients) – Commo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68650" cy="3119495"/>
                    </a:xfrm>
                    <a:prstGeom prst="rect">
                      <a:avLst/>
                    </a:prstGeom>
                  </pic:spPr>
                </pic:pic>
              </a:graphicData>
            </a:graphic>
          </wp:inline>
        </w:drawing>
      </w:r>
      <w:r>
        <w:t xml:space="preserve"> </w:t>
      </w:r>
    </w:p>
    <w:p w14:paraId="7180CE71" w14:textId="77777777" w:rsidR="00C66BFF" w:rsidRPr="00C66BFF" w:rsidRDefault="00C66BFF" w:rsidP="00C66BFF">
      <w:pPr>
        <w:pStyle w:val="Heading5"/>
      </w:pPr>
      <w:r w:rsidRPr="00C66BFF">
        <w:t>Treatmen</w:t>
      </w:r>
      <w:r w:rsidR="007E7D67">
        <w:t xml:space="preserve">t </w:t>
      </w:r>
      <w:r w:rsidRPr="00C66BFF">
        <w:t>related adverse events (adverse drug reactions)</w:t>
      </w:r>
      <w:bookmarkEnd w:id="219"/>
      <w:bookmarkEnd w:id="220"/>
      <w:bookmarkEnd w:id="221"/>
      <w:bookmarkEnd w:id="222"/>
    </w:p>
    <w:p w14:paraId="7180CE72" w14:textId="77777777" w:rsidR="00C66BFF" w:rsidRDefault="007E7D67" w:rsidP="00C66BFF">
      <w:r>
        <w:t xml:space="preserve">Drug </w:t>
      </w:r>
      <w:r w:rsidR="00C66BFF" w:rsidRPr="00C66BFF">
        <w:t xml:space="preserve">related AEs included AEs due to docetaxel, </w:t>
      </w:r>
      <w:proofErr w:type="spellStart"/>
      <w:r w:rsidR="00C66BFF" w:rsidRPr="00C66BFF">
        <w:t>nintedanib</w:t>
      </w:r>
      <w:proofErr w:type="spellEnd"/>
      <w:r w:rsidR="00C66BFF" w:rsidRPr="00C66BFF">
        <w:t xml:space="preserve"> or</w:t>
      </w:r>
      <w:r w:rsidR="00917B9D">
        <w:t xml:space="preserve"> placebo. The incidence of drug </w:t>
      </w:r>
      <w:r w:rsidR="00C66BFF" w:rsidRPr="00C66BFF">
        <w:t xml:space="preserve">related AEs was higher in the </w:t>
      </w:r>
      <w:proofErr w:type="spellStart"/>
      <w:r w:rsidR="00C66BFF" w:rsidRPr="00C66BFF">
        <w:t>nintedanib</w:t>
      </w:r>
      <w:proofErr w:type="spellEnd"/>
      <w:r w:rsidR="00C66BFF" w:rsidRPr="00C66BFF">
        <w:t xml:space="preserve"> arms than in the placebo arms (</w:t>
      </w:r>
      <w:r w:rsidR="00383820">
        <w:t>for example</w:t>
      </w:r>
      <w:r w:rsidR="00C66BFF" w:rsidRPr="00C66BFF">
        <w:t xml:space="preserve"> 76.4% with </w:t>
      </w:r>
      <w:proofErr w:type="spellStart"/>
      <w:r w:rsidR="00C66BFF" w:rsidRPr="00C66BFF">
        <w:t>nintedanib</w:t>
      </w:r>
      <w:proofErr w:type="spellEnd"/>
      <w:r w:rsidR="00C66BFF" w:rsidRPr="00C66BFF">
        <w:t xml:space="preserve"> and 68.1% with placebo i</w:t>
      </w:r>
      <w:r>
        <w:t xml:space="preserve">n </w:t>
      </w:r>
      <w:r w:rsidR="00D4340F">
        <w:t>Study</w:t>
      </w:r>
      <w:r>
        <w:t xml:space="preserve"> 1199.0013). Common drug </w:t>
      </w:r>
      <w:r w:rsidR="00C66BFF" w:rsidRPr="00C66BFF">
        <w:t>related AEs (</w:t>
      </w:r>
      <w:r w:rsidR="00E448CC">
        <w:t>that is</w:t>
      </w:r>
      <w:r w:rsidR="00C66BFF" w:rsidRPr="00C66BFF">
        <w:t xml:space="preserve"> those with an incidence ≥ 5% in either treatment arm) </w:t>
      </w:r>
      <w:r>
        <w:t xml:space="preserve">were provided and those for Study </w:t>
      </w:r>
      <w:r w:rsidRPr="007E7D67">
        <w:t>1199.0013</w:t>
      </w:r>
      <w:r>
        <w:t xml:space="preserve"> for Adenocarcinoma patients </w:t>
      </w:r>
      <w:r w:rsidR="00C66BFF" w:rsidRPr="00C66BFF">
        <w:t xml:space="preserve">are shown </w:t>
      </w:r>
      <w:r w:rsidR="00C66BFF" w:rsidRPr="007E7D67">
        <w:t xml:space="preserve">in </w:t>
      </w:r>
      <w:r w:rsidRPr="007E7D67">
        <w:t>Table 35</w:t>
      </w:r>
      <w:r w:rsidR="00C66BFF" w:rsidRPr="007E7D67">
        <w:t>.</w:t>
      </w:r>
    </w:p>
    <w:p w14:paraId="7180CE73" w14:textId="77777777" w:rsidR="007E7D67" w:rsidRDefault="007E7D67" w:rsidP="007E7D67">
      <w:pPr>
        <w:pStyle w:val="Tabletitle"/>
      </w:pPr>
      <w:bookmarkStart w:id="223" w:name="_Ref281730836"/>
      <w:bookmarkStart w:id="224" w:name="_Toc291519261"/>
      <w:r>
        <w:lastRenderedPageBreak/>
        <w:t xml:space="preserve">Table </w:t>
      </w:r>
      <w:bookmarkEnd w:id="223"/>
      <w:r>
        <w:t>35 – Study 1199.0013 (Adenocarcinoma patients) – Drug-related AEs</w:t>
      </w:r>
      <w:bookmarkEnd w:id="224"/>
      <w:r>
        <w:t>.</w:t>
      </w:r>
    </w:p>
    <w:p w14:paraId="7180CE74" w14:textId="77777777" w:rsidR="007E7D67" w:rsidRDefault="007E7D67" w:rsidP="00C66BFF">
      <w:r>
        <w:rPr>
          <w:noProof/>
          <w:lang w:eastAsia="en-AU"/>
        </w:rPr>
        <w:drawing>
          <wp:inline distT="0" distB="0" distL="0" distR="0" wp14:anchorId="7180CFD8" wp14:editId="4983BF5F">
            <wp:extent cx="4977003" cy="3607111"/>
            <wp:effectExtent l="0" t="0" r="0" b="0"/>
            <wp:docPr id="41" name="Picture 41" descr="Table 35 – Study 1199.0013 (Adenocarcinoma patients) – Drug-rela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8786" cy="3608404"/>
                    </a:xfrm>
                    <a:prstGeom prst="rect">
                      <a:avLst/>
                    </a:prstGeom>
                  </pic:spPr>
                </pic:pic>
              </a:graphicData>
            </a:graphic>
          </wp:inline>
        </w:drawing>
      </w:r>
    </w:p>
    <w:p w14:paraId="1637F472" w14:textId="347051C6" w:rsidR="000B5BA0" w:rsidRPr="00DC147E" w:rsidRDefault="00C66BFF" w:rsidP="00DC147E">
      <w:pPr>
        <w:rPr>
          <w:b/>
        </w:rPr>
      </w:pPr>
      <w:r w:rsidRPr="00DC147E">
        <w:rPr>
          <w:b/>
        </w:rPr>
        <w:t xml:space="preserve">Evaluator’s </w:t>
      </w:r>
      <w:r w:rsidR="001A507F">
        <w:rPr>
          <w:b/>
        </w:rPr>
        <w:t>c</w:t>
      </w:r>
      <w:r w:rsidRPr="00DC147E">
        <w:rPr>
          <w:b/>
        </w:rPr>
        <w:t xml:space="preserve">omment: </w:t>
      </w:r>
    </w:p>
    <w:p w14:paraId="7180CE75" w14:textId="7BA97FEB" w:rsidR="00C66BFF" w:rsidRPr="000B5BA0" w:rsidRDefault="00C66BFF" w:rsidP="00DC147E">
      <w:r w:rsidRPr="000B5BA0">
        <w:t>The pattern of toxicity was consistent with that observed when all AEs were analysed.</w:t>
      </w:r>
    </w:p>
    <w:p w14:paraId="7180CE76" w14:textId="77777777" w:rsidR="00C66BFF" w:rsidRPr="00C66BFF" w:rsidRDefault="00C66BFF" w:rsidP="00C66BFF">
      <w:pPr>
        <w:pStyle w:val="Heading5"/>
      </w:pPr>
      <w:bookmarkStart w:id="225" w:name="_Toc241374320"/>
      <w:bookmarkStart w:id="226" w:name="_Ref272333507"/>
      <w:bookmarkStart w:id="227" w:name="_Toc272414666"/>
      <w:bookmarkStart w:id="228" w:name="_Toc290846304"/>
      <w:bookmarkStart w:id="229" w:name="_Toc291518979"/>
      <w:r w:rsidRPr="00C66BFF">
        <w:t>Deaths and other serious adverse events</w:t>
      </w:r>
      <w:bookmarkEnd w:id="225"/>
      <w:bookmarkEnd w:id="226"/>
      <w:bookmarkEnd w:id="227"/>
      <w:bookmarkEnd w:id="228"/>
      <w:bookmarkEnd w:id="229"/>
    </w:p>
    <w:p w14:paraId="7180CE77" w14:textId="77777777" w:rsidR="00C66BFF" w:rsidRPr="00C66BFF" w:rsidRDefault="00C66BFF" w:rsidP="00C66BFF">
      <w:r w:rsidRPr="00C66BFF">
        <w:t>An SAE was defined as any AE which resulted</w:t>
      </w:r>
      <w:r w:rsidR="007E7D67">
        <w:t xml:space="preserve"> in death, was immediately life </w:t>
      </w:r>
      <w:r w:rsidRPr="00C66BFF">
        <w:t>threatening, resulted in persi</w:t>
      </w:r>
      <w:r w:rsidR="007E7D67">
        <w:t>stent or significant disability/</w:t>
      </w:r>
      <w:r w:rsidRPr="00C66BFF">
        <w:t>incapacity, required or prolonged patient hospitalis</w:t>
      </w:r>
      <w:r w:rsidR="007E7D67">
        <w:t>ation, was a congenital anomaly/</w:t>
      </w:r>
      <w:r w:rsidRPr="00C66BFF">
        <w:t>birth defect, or was deemed serious for any other reason representing a significant hazard.</w:t>
      </w:r>
    </w:p>
    <w:p w14:paraId="7180CE78" w14:textId="77777777" w:rsidR="00C66BFF" w:rsidRPr="00C66BFF" w:rsidRDefault="00C66BFF" w:rsidP="00C66BFF">
      <w:pPr>
        <w:pStyle w:val="Heading6"/>
      </w:pPr>
      <w:r w:rsidRPr="00C66BFF">
        <w:t>Deaths</w:t>
      </w:r>
    </w:p>
    <w:p w14:paraId="7180CE79" w14:textId="77777777" w:rsidR="00C66BFF" w:rsidRDefault="00C66BFF" w:rsidP="00C66BFF">
      <w:r w:rsidRPr="00C66BFF">
        <w:t xml:space="preserve">AEs leading to death </w:t>
      </w:r>
      <w:r w:rsidR="00182088" w:rsidRPr="00182088">
        <w:t xml:space="preserve">were provided and those for Study 1199.0013 for Adenocarcinoma patients are shown </w:t>
      </w:r>
      <w:r w:rsidR="00182088">
        <w:t>in</w:t>
      </w:r>
      <w:r w:rsidRPr="00C66BFF">
        <w:t xml:space="preserve"> </w:t>
      </w:r>
      <w:r w:rsidR="00182088">
        <w:t>Table 36</w:t>
      </w:r>
      <w:r>
        <w:t>.</w:t>
      </w:r>
    </w:p>
    <w:p w14:paraId="7180CE7A" w14:textId="77777777" w:rsidR="00182088" w:rsidRDefault="00182088" w:rsidP="00182088">
      <w:pPr>
        <w:pStyle w:val="Tabletitle"/>
      </w:pPr>
      <w:proofErr w:type="gramStart"/>
      <w:r>
        <w:lastRenderedPageBreak/>
        <w:t>Table 36.</w:t>
      </w:r>
      <w:proofErr w:type="gramEnd"/>
      <w:r>
        <w:t xml:space="preserve"> </w:t>
      </w:r>
      <w:proofErr w:type="gramStart"/>
      <w:r w:rsidRPr="00182088">
        <w:t>Study 1199.0013 (Adenocarcinoma patients) – AEs leading to death</w:t>
      </w:r>
      <w:r>
        <w:t>.</w:t>
      </w:r>
      <w:proofErr w:type="gramEnd"/>
    </w:p>
    <w:p w14:paraId="7180CE7B" w14:textId="77777777" w:rsidR="00182088" w:rsidRPr="00182088" w:rsidRDefault="00182088" w:rsidP="00182088">
      <w:r>
        <w:rPr>
          <w:noProof/>
          <w:lang w:eastAsia="en-AU"/>
        </w:rPr>
        <w:drawing>
          <wp:inline distT="0" distB="0" distL="0" distR="0" wp14:anchorId="7180CFDA" wp14:editId="2E514EC9">
            <wp:extent cx="4386876" cy="2666229"/>
            <wp:effectExtent l="0" t="0" r="0" b="1270"/>
            <wp:docPr id="42" name="Picture 42" descr="Table 36. Study 1199.0013 (Adenocarcinoma patients) – AEs leading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87220" cy="2666438"/>
                    </a:xfrm>
                    <a:prstGeom prst="rect">
                      <a:avLst/>
                    </a:prstGeom>
                  </pic:spPr>
                </pic:pic>
              </a:graphicData>
            </a:graphic>
          </wp:inline>
        </w:drawing>
      </w:r>
    </w:p>
    <w:p w14:paraId="7180CE7C" w14:textId="77777777" w:rsidR="00C66BFF" w:rsidRPr="00C66BFF" w:rsidRDefault="00C66BFF" w:rsidP="00C66BFF">
      <w:r w:rsidRPr="00C66BFF">
        <w:t xml:space="preserve">In 1199.0013, there was an increased incidence of fatal AEs with </w:t>
      </w:r>
      <w:proofErr w:type="spellStart"/>
      <w:r w:rsidRPr="00C66BFF">
        <w:t>nintedanib</w:t>
      </w:r>
      <w:proofErr w:type="spellEnd"/>
      <w:r w:rsidRPr="00C66BFF">
        <w:t xml:space="preserve"> (n=107 for </w:t>
      </w:r>
      <w:proofErr w:type="spellStart"/>
      <w:r w:rsidRPr="00C66BFF">
        <w:t>nintedanib</w:t>
      </w:r>
      <w:proofErr w:type="spellEnd"/>
      <w:r w:rsidRPr="00C66BFF">
        <w:t xml:space="preserve"> </w:t>
      </w:r>
      <w:r w:rsidR="00B54A34">
        <w:t>versus</w:t>
      </w:r>
      <w:r w:rsidRPr="00C66BFF">
        <w:t xml:space="preserve"> 77 for placebo). Most of these deaths were attributed to disease progression (n = 72 and 52 respectively). However, with the remaining deaths there remained an excess number with </w:t>
      </w:r>
      <w:proofErr w:type="spellStart"/>
      <w:r w:rsidRPr="00C66BFF">
        <w:t>nintedanib</w:t>
      </w:r>
      <w:proofErr w:type="spellEnd"/>
      <w:r w:rsidRPr="00C66BFF">
        <w:t xml:space="preserve"> (35 </w:t>
      </w:r>
      <w:r w:rsidR="00B54A34">
        <w:t>versus</w:t>
      </w:r>
      <w:r w:rsidRPr="00C66BFF">
        <w:t xml:space="preserve"> 25). Of these, the only fatal AEs that were notably increased in the </w:t>
      </w:r>
      <w:proofErr w:type="spellStart"/>
      <w:r w:rsidRPr="00C66BFF">
        <w:t>nintedanib</w:t>
      </w:r>
      <w:proofErr w:type="spellEnd"/>
      <w:r w:rsidRPr="00C66BFF">
        <w:t xml:space="preserve"> arm were sepsis/septic shock (7 </w:t>
      </w:r>
      <w:r w:rsidR="00B54A34">
        <w:t>versus</w:t>
      </w:r>
      <w:r w:rsidRPr="00C66BFF">
        <w:t xml:space="preserve"> 1 </w:t>
      </w:r>
      <w:proofErr w:type="gramStart"/>
      <w:r w:rsidRPr="00C66BFF">
        <w:t>cases</w:t>
      </w:r>
      <w:proofErr w:type="gramEnd"/>
      <w:r w:rsidRPr="00C66BFF">
        <w:t xml:space="preserve">) and respiratory failure (4 </w:t>
      </w:r>
      <w:r w:rsidR="00B54A34">
        <w:t>versus</w:t>
      </w:r>
      <w:r w:rsidRPr="00C66BFF">
        <w:t xml:space="preserve"> 0 cases). None of the respiratory failure cases were con</w:t>
      </w:r>
      <w:r w:rsidR="00917B9D">
        <w:t xml:space="preserve">sidered drug </w:t>
      </w:r>
      <w:r>
        <w:t>related.</w:t>
      </w:r>
    </w:p>
    <w:p w14:paraId="7180CE7D" w14:textId="77777777" w:rsidR="00C66BFF" w:rsidRDefault="00C66BFF" w:rsidP="00C66BFF">
      <w:r w:rsidRPr="00C66BFF">
        <w:t xml:space="preserve">The 7 cases of fatal sepsis/septic shock in the </w:t>
      </w:r>
      <w:proofErr w:type="spellStart"/>
      <w:r w:rsidRPr="00C66BFF">
        <w:t>nintedanib</w:t>
      </w:r>
      <w:proofErr w:type="spellEnd"/>
      <w:r w:rsidRPr="00C66BFF">
        <w:t xml:space="preserve"> arm were associated with </w:t>
      </w:r>
      <w:r w:rsidR="00182088" w:rsidRPr="00C66BFF">
        <w:t>neutropenia</w:t>
      </w:r>
      <w:r w:rsidRPr="00C66BFF">
        <w:t xml:space="preserve"> in 4 cases. In the other 3 cases haematology results were not available. Most of the cases were considered related to drug treatment by the investigators.</w:t>
      </w:r>
    </w:p>
    <w:p w14:paraId="7180CE7E" w14:textId="77777777" w:rsidR="00C66BFF" w:rsidRDefault="00C66BFF" w:rsidP="00C66BFF">
      <w:r w:rsidRPr="00C66BFF">
        <w:t xml:space="preserve">In </w:t>
      </w:r>
      <w:r w:rsidR="00D4340F">
        <w:t>Study</w:t>
      </w:r>
      <w:r w:rsidRPr="00C66BFF">
        <w:t xml:space="preserve"> 1199.0014 (adenocarcinoma patients), there were more fatal AEs in the placebo arm (33 </w:t>
      </w:r>
      <w:r w:rsidR="00B54A34">
        <w:t>versus</w:t>
      </w:r>
      <w:r w:rsidRPr="00C66BFF">
        <w:t xml:space="preserve"> 38)</w:t>
      </w:r>
      <w:r w:rsidR="00182088">
        <w:t xml:space="preserve"> as shown in Table 37</w:t>
      </w:r>
      <w:r w:rsidR="00917B9D">
        <w:t>. Again</w:t>
      </w:r>
      <w:r w:rsidRPr="00C66BFF">
        <w:t xml:space="preserve"> most were attributed to disease progression (18 and 26 respectively) with the number not attributed to disease progression being comparable (15</w:t>
      </w:r>
      <w:r w:rsidR="00917B9D">
        <w:t xml:space="preserve"> and 12 respectively). Of these</w:t>
      </w:r>
      <w:r w:rsidRPr="00C66BFF">
        <w:t xml:space="preserve"> there were no individual AE terms that were notably more common in the </w:t>
      </w:r>
      <w:proofErr w:type="spellStart"/>
      <w:r w:rsidRPr="00C66BFF">
        <w:t>nintedanib</w:t>
      </w:r>
      <w:proofErr w:type="spellEnd"/>
      <w:r w:rsidRPr="00C66BFF">
        <w:t xml:space="preserve"> arm.</w:t>
      </w:r>
    </w:p>
    <w:p w14:paraId="7180CE7F" w14:textId="77777777" w:rsidR="00182088" w:rsidRDefault="00182088" w:rsidP="00182088">
      <w:pPr>
        <w:pStyle w:val="Tabletitle"/>
      </w:pPr>
      <w:proofErr w:type="gramStart"/>
      <w:r>
        <w:t>Table 37.</w:t>
      </w:r>
      <w:proofErr w:type="gramEnd"/>
      <w:r>
        <w:t xml:space="preserve"> </w:t>
      </w:r>
      <w:proofErr w:type="gramStart"/>
      <w:r w:rsidRPr="00182088">
        <w:t>Study 1199.0014 (Adenocarcinoma patients) – AEs leading to death</w:t>
      </w:r>
      <w:r>
        <w:t>.</w:t>
      </w:r>
      <w:proofErr w:type="gramEnd"/>
    </w:p>
    <w:p w14:paraId="7180CE80" w14:textId="77777777" w:rsidR="00182088" w:rsidRPr="00182088" w:rsidRDefault="00182088" w:rsidP="00182088">
      <w:r>
        <w:rPr>
          <w:noProof/>
          <w:lang w:eastAsia="en-AU"/>
        </w:rPr>
        <w:drawing>
          <wp:inline distT="0" distB="0" distL="0" distR="0" wp14:anchorId="7180CFDC" wp14:editId="7BA7BE6A">
            <wp:extent cx="4476633" cy="2619548"/>
            <wp:effectExtent l="0" t="0" r="635" b="0"/>
            <wp:docPr id="43" name="Picture 43" descr="Table 37. Study 1199.0014 (Adenocarcinoma patients) – AEs leading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80642" cy="2621894"/>
                    </a:xfrm>
                    <a:prstGeom prst="rect">
                      <a:avLst/>
                    </a:prstGeom>
                  </pic:spPr>
                </pic:pic>
              </a:graphicData>
            </a:graphic>
          </wp:inline>
        </w:drawing>
      </w:r>
    </w:p>
    <w:p w14:paraId="7180CE81" w14:textId="77777777" w:rsidR="00C66BFF" w:rsidRPr="00C66BFF" w:rsidRDefault="00C66BFF" w:rsidP="00C66BFF">
      <w:pPr>
        <w:pStyle w:val="Heading6"/>
      </w:pPr>
      <w:r w:rsidRPr="00C66BFF">
        <w:lastRenderedPageBreak/>
        <w:t>Serious AEs (SAEs)</w:t>
      </w:r>
    </w:p>
    <w:p w14:paraId="7180CE82" w14:textId="77777777" w:rsidR="00C66BFF" w:rsidRPr="00C66BFF" w:rsidRDefault="00C66BFF" w:rsidP="00C66BFF">
      <w:r w:rsidRPr="00C66BFF">
        <w:t>Serious AEs (occurring with an incidence of &gt;</w:t>
      </w:r>
      <w:r w:rsidR="00917B9D">
        <w:t xml:space="preserve"> </w:t>
      </w:r>
      <w:r w:rsidRPr="00C66BFF">
        <w:t xml:space="preserve">1% in either treatment arm) </w:t>
      </w:r>
      <w:r w:rsidR="00680D1C">
        <w:t xml:space="preserve">were provided and those for Study 1199.0013 (Adenocarcinoma patients) </w:t>
      </w:r>
      <w:r w:rsidRPr="00C66BFF">
        <w:t>are summarised in</w:t>
      </w:r>
      <w:r w:rsidR="00680D1C">
        <w:t xml:space="preserve"> Table 38</w:t>
      </w:r>
      <w:r w:rsidRPr="00C66BFF">
        <w:t>.</w:t>
      </w:r>
    </w:p>
    <w:p w14:paraId="7180CE83" w14:textId="77777777" w:rsidR="00C66BFF" w:rsidRDefault="00C66BFF" w:rsidP="00C66BFF">
      <w:r w:rsidRPr="00C66BFF">
        <w:t xml:space="preserve">In both studies the overall incidence of SAEs was comparable in the two treatment arms. The incidences of individual AE terms were also comparable. Serious gastrointestinal and hepatic AEs were not prominent in the </w:t>
      </w:r>
      <w:proofErr w:type="spellStart"/>
      <w:r w:rsidRPr="00C66BFF">
        <w:t>nintedanib</w:t>
      </w:r>
      <w:proofErr w:type="spellEnd"/>
      <w:r w:rsidRPr="00C66BFF">
        <w:t xml:space="preserve"> treatment arms.</w:t>
      </w:r>
    </w:p>
    <w:p w14:paraId="7180CE84" w14:textId="77777777" w:rsidR="00680D1C" w:rsidRDefault="00680D1C" w:rsidP="00680D1C">
      <w:pPr>
        <w:pStyle w:val="Tabletitle"/>
      </w:pPr>
      <w:proofErr w:type="gramStart"/>
      <w:r>
        <w:t>Table 38.</w:t>
      </w:r>
      <w:proofErr w:type="gramEnd"/>
      <w:r>
        <w:t xml:space="preserve"> </w:t>
      </w:r>
      <w:proofErr w:type="gramStart"/>
      <w:r w:rsidRPr="00680D1C">
        <w:t>Study 1199.0013 (Adenocarcinoma patients) – Serious AEs</w:t>
      </w:r>
      <w:r>
        <w:t>.</w:t>
      </w:r>
      <w:proofErr w:type="gramEnd"/>
    </w:p>
    <w:p w14:paraId="7180CE85" w14:textId="77777777" w:rsidR="00680D1C" w:rsidRPr="00680D1C" w:rsidRDefault="00680D1C" w:rsidP="00680D1C">
      <w:r>
        <w:rPr>
          <w:noProof/>
          <w:lang w:eastAsia="en-AU"/>
        </w:rPr>
        <w:drawing>
          <wp:inline distT="0" distB="0" distL="0" distR="0" wp14:anchorId="7180CFDE" wp14:editId="7DB06D8D">
            <wp:extent cx="4628098" cy="2942315"/>
            <wp:effectExtent l="0" t="0" r="1270" b="0"/>
            <wp:docPr id="44" name="Picture 44" descr="Table 38. Study 1199.0013 (Adenocarcinoma patients) – Seriou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33415" cy="2945695"/>
                    </a:xfrm>
                    <a:prstGeom prst="rect">
                      <a:avLst/>
                    </a:prstGeom>
                  </pic:spPr>
                </pic:pic>
              </a:graphicData>
            </a:graphic>
          </wp:inline>
        </w:drawing>
      </w:r>
    </w:p>
    <w:p w14:paraId="7180CE86" w14:textId="77777777" w:rsidR="00C66BFF" w:rsidRPr="00C66BFF" w:rsidRDefault="00C66BFF" w:rsidP="00C66BFF">
      <w:pPr>
        <w:pStyle w:val="Heading5"/>
      </w:pPr>
      <w:bookmarkStart w:id="230" w:name="_Toc241374325"/>
      <w:bookmarkStart w:id="231" w:name="_Ref272333477"/>
      <w:bookmarkStart w:id="232" w:name="_Toc272414667"/>
      <w:bookmarkStart w:id="233" w:name="_Toc290846305"/>
      <w:bookmarkStart w:id="234" w:name="_Toc291518980"/>
      <w:r w:rsidRPr="00C66BFF">
        <w:t>Discontinuation due to adverse events</w:t>
      </w:r>
      <w:bookmarkEnd w:id="230"/>
      <w:bookmarkEnd w:id="231"/>
      <w:bookmarkEnd w:id="232"/>
      <w:bookmarkEnd w:id="233"/>
      <w:bookmarkEnd w:id="234"/>
    </w:p>
    <w:p w14:paraId="7180CE87" w14:textId="77777777" w:rsidR="00C66BFF" w:rsidRPr="00C66BFF" w:rsidRDefault="00C66BFF" w:rsidP="00C66BFF">
      <w:r w:rsidRPr="00C66BFF">
        <w:t>AEs leading to discontinuation of last study drug (occurring with an incidence of &gt;</w:t>
      </w:r>
      <w:r w:rsidR="00917B9D">
        <w:t xml:space="preserve"> </w:t>
      </w:r>
      <w:r w:rsidRPr="00C66BFF">
        <w:t>1% in either treatment arm</w:t>
      </w:r>
      <w:r w:rsidR="00680D1C">
        <w:t xml:space="preserve"> </w:t>
      </w:r>
      <w:proofErr w:type="gramStart"/>
      <w:r w:rsidR="00680D1C">
        <w:t>were</w:t>
      </w:r>
      <w:proofErr w:type="gramEnd"/>
      <w:r w:rsidR="00680D1C">
        <w:t xml:space="preserve"> provided. A summary for Study </w:t>
      </w:r>
      <w:r w:rsidR="00680D1C" w:rsidRPr="00680D1C">
        <w:t>1199.0013 (Adenocarcinoma patients)</w:t>
      </w:r>
      <w:r w:rsidR="00680D1C">
        <w:t xml:space="preserve"> is shown in Table 39.</w:t>
      </w:r>
    </w:p>
    <w:p w14:paraId="7180CE88" w14:textId="77777777" w:rsidR="00C66BFF" w:rsidRDefault="00C66BFF" w:rsidP="00C66BFF">
      <w:r w:rsidRPr="00C66BFF">
        <w:t xml:space="preserve">In both studies the overall incidence of AEs leading to discontinuation was comparable in the two treatment arms. Discontinuation due to ALT or AST elevation was notably more common in the </w:t>
      </w:r>
      <w:proofErr w:type="spellStart"/>
      <w:r w:rsidRPr="00C66BFF">
        <w:t>nintedanib</w:t>
      </w:r>
      <w:proofErr w:type="spellEnd"/>
      <w:r w:rsidRPr="00C66BFF">
        <w:t xml:space="preserve"> arms. In </w:t>
      </w:r>
      <w:r w:rsidR="00D4340F">
        <w:t>Study</w:t>
      </w:r>
      <w:r w:rsidRPr="00C66BFF">
        <w:t xml:space="preserve"> 1199.0013, discontinuation due to diarrhoea was more common with </w:t>
      </w:r>
      <w:proofErr w:type="spellStart"/>
      <w:r w:rsidRPr="00C66BFF">
        <w:t>nintedanib</w:t>
      </w:r>
      <w:proofErr w:type="spellEnd"/>
      <w:r w:rsidRPr="00C66BFF">
        <w:t>.</w:t>
      </w:r>
    </w:p>
    <w:p w14:paraId="7180CE89" w14:textId="77777777" w:rsidR="00680D1C" w:rsidRDefault="00680D1C" w:rsidP="00680D1C">
      <w:pPr>
        <w:pStyle w:val="Tabletitle"/>
      </w:pPr>
      <w:proofErr w:type="gramStart"/>
      <w:r>
        <w:t>Table 39.</w:t>
      </w:r>
      <w:proofErr w:type="gramEnd"/>
      <w:r>
        <w:t xml:space="preserve"> </w:t>
      </w:r>
      <w:proofErr w:type="gramStart"/>
      <w:r w:rsidRPr="00680D1C">
        <w:t>Study 1199.0013 (Adenocarcinoma patients) – AEs leading to discontinuation</w:t>
      </w:r>
      <w:r>
        <w:t>.</w:t>
      </w:r>
      <w:proofErr w:type="gramEnd"/>
    </w:p>
    <w:p w14:paraId="7180CE8A" w14:textId="77777777" w:rsidR="00680D1C" w:rsidRDefault="00680D1C" w:rsidP="00C66BFF">
      <w:r>
        <w:rPr>
          <w:noProof/>
          <w:lang w:eastAsia="en-AU"/>
        </w:rPr>
        <w:drawing>
          <wp:inline distT="0" distB="0" distL="0" distR="0" wp14:anchorId="7180CFE0" wp14:editId="62A5FAE7">
            <wp:extent cx="4813222" cy="1896117"/>
            <wp:effectExtent l="0" t="0" r="6985" b="8890"/>
            <wp:docPr id="45" name="Picture 45" descr="Table 39. Study 1199.0013 (Adenocarcinoma patients) – AEs leading to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16236" cy="1897304"/>
                    </a:xfrm>
                    <a:prstGeom prst="rect">
                      <a:avLst/>
                    </a:prstGeom>
                  </pic:spPr>
                </pic:pic>
              </a:graphicData>
            </a:graphic>
          </wp:inline>
        </w:drawing>
      </w:r>
    </w:p>
    <w:p w14:paraId="7180CE8B" w14:textId="77777777" w:rsidR="00C66BFF" w:rsidRPr="00C66BFF" w:rsidRDefault="00C66BFF" w:rsidP="00C66BFF">
      <w:pPr>
        <w:pStyle w:val="Heading5"/>
      </w:pPr>
      <w:bookmarkStart w:id="235" w:name="_Toc291518981"/>
      <w:r w:rsidRPr="00C66BFF">
        <w:lastRenderedPageBreak/>
        <w:t>Adverse events of special interest (AESI)</w:t>
      </w:r>
      <w:bookmarkEnd w:id="235"/>
    </w:p>
    <w:p w14:paraId="7180CE8C" w14:textId="77777777" w:rsidR="00C66BFF" w:rsidRDefault="00C66BFF" w:rsidP="00C66BFF">
      <w:r w:rsidRPr="00C66BFF">
        <w:t xml:space="preserve">AESI were analysed using collections of MEDRA preferred terms. Some were analysed using Standardised </w:t>
      </w:r>
      <w:proofErr w:type="spellStart"/>
      <w:r w:rsidRPr="00C66BFF">
        <w:t>MedDRA</w:t>
      </w:r>
      <w:proofErr w:type="spellEnd"/>
      <w:r w:rsidRPr="00C66BFF">
        <w:t xml:space="preserve"> Queries (SMQs) while others were based on newly created collections of terms. For example, the AESI of ‘fatigue’ was analysed based on several </w:t>
      </w:r>
      <w:proofErr w:type="spellStart"/>
      <w:r w:rsidRPr="00C66BFF">
        <w:t>MedDRA</w:t>
      </w:r>
      <w:proofErr w:type="spellEnd"/>
      <w:r w:rsidRPr="00C66BFF">
        <w:t xml:space="preserve"> terms (asthenia, decreased act</w:t>
      </w:r>
      <w:r>
        <w:t xml:space="preserve">ivity, fatigue, lethargy, </w:t>
      </w:r>
      <w:proofErr w:type="gramStart"/>
      <w:r w:rsidR="00094D89">
        <w:t>etcetera</w:t>
      </w:r>
      <w:proofErr w:type="gramEnd"/>
      <w:r>
        <w:t>.)</w:t>
      </w:r>
    </w:p>
    <w:p w14:paraId="7180CE8D" w14:textId="77777777" w:rsidR="00C66BFF" w:rsidRPr="00C66BFF" w:rsidRDefault="00C66BFF" w:rsidP="00C66BFF">
      <w:r w:rsidRPr="00C66BFF">
        <w:t xml:space="preserve">The various AESI analysed by the sponsor </w:t>
      </w:r>
      <w:r w:rsidR="00680D1C">
        <w:t>were summarised and provided</w:t>
      </w:r>
      <w:r w:rsidRPr="00C66BFF">
        <w:t>. Notable findings included the following:</w:t>
      </w:r>
    </w:p>
    <w:p w14:paraId="7180CE8E" w14:textId="77777777" w:rsidR="00C66BFF" w:rsidRPr="00C66BFF" w:rsidRDefault="00C66BFF" w:rsidP="00C66BFF">
      <w:pPr>
        <w:pStyle w:val="ListBullet"/>
      </w:pPr>
      <w:r w:rsidRPr="00C66BFF">
        <w:t xml:space="preserve">Gastrointestinal toxicity (diarrhoea, nausea/vomiting, abdominal pain) and hepatotoxicity were clearly increased with </w:t>
      </w:r>
      <w:proofErr w:type="spellStart"/>
      <w:r w:rsidRPr="00C66BFF">
        <w:t>nintedanib</w:t>
      </w:r>
      <w:proofErr w:type="spellEnd"/>
      <w:r w:rsidRPr="00C66BFF">
        <w:t xml:space="preserve">. </w:t>
      </w:r>
      <w:proofErr w:type="spellStart"/>
      <w:r w:rsidRPr="00C66BFF">
        <w:t>MedDRA</w:t>
      </w:r>
      <w:proofErr w:type="spellEnd"/>
      <w:r w:rsidRPr="00C66BFF">
        <w:t xml:space="preserve"> terms suggestive of hepatic failure were also more commonly reported with </w:t>
      </w:r>
      <w:proofErr w:type="spellStart"/>
      <w:r w:rsidRPr="00C66BFF">
        <w:t>nintedanib</w:t>
      </w:r>
      <w:proofErr w:type="spellEnd"/>
      <w:r w:rsidRPr="00C66BFF">
        <w:t>.</w:t>
      </w:r>
    </w:p>
    <w:p w14:paraId="7180CE8F" w14:textId="77777777" w:rsidR="00C66BFF" w:rsidRPr="00C66BFF" w:rsidRDefault="00C66BFF" w:rsidP="00C66BFF">
      <w:pPr>
        <w:pStyle w:val="ListBullet"/>
      </w:pPr>
      <w:r w:rsidRPr="00C66BFF">
        <w:t xml:space="preserve">There appeared to be a slight excess of hypertension and venous thromboembolic events with </w:t>
      </w:r>
      <w:proofErr w:type="spellStart"/>
      <w:r w:rsidRPr="00C66BFF">
        <w:t>nintedanib</w:t>
      </w:r>
      <w:proofErr w:type="spellEnd"/>
      <w:r w:rsidRPr="00C66BFF">
        <w:t xml:space="preserve"> compared to placebo. There was no consistent increase in bleeding events, arterial thromboembolism or perforation events.</w:t>
      </w:r>
    </w:p>
    <w:p w14:paraId="7180CE90" w14:textId="77777777" w:rsidR="00C66BFF" w:rsidRPr="00C66BFF" w:rsidRDefault="00C66BFF" w:rsidP="00C66BFF">
      <w:pPr>
        <w:pStyle w:val="ListBullet"/>
      </w:pPr>
      <w:proofErr w:type="spellStart"/>
      <w:r w:rsidRPr="00C66BFF">
        <w:t>Nintedanib</w:t>
      </w:r>
      <w:proofErr w:type="spellEnd"/>
      <w:r w:rsidRPr="00C66BFF">
        <w:t xml:space="preserve"> treatment was associated with a small but consistent increase in the incidence of grade ≥ 3 </w:t>
      </w:r>
      <w:proofErr w:type="spellStart"/>
      <w:r w:rsidRPr="00C66BFF">
        <w:t>neutropaenia</w:t>
      </w:r>
      <w:proofErr w:type="spellEnd"/>
      <w:r w:rsidRPr="00C66BFF">
        <w:t xml:space="preserve"> and febrile </w:t>
      </w:r>
      <w:proofErr w:type="spellStart"/>
      <w:r w:rsidRPr="00C66BFF">
        <w:t>neutropaenia</w:t>
      </w:r>
      <w:proofErr w:type="spellEnd"/>
      <w:r w:rsidRPr="00C66BFF">
        <w:t>, compared to placebo.</w:t>
      </w:r>
    </w:p>
    <w:p w14:paraId="7180CE91" w14:textId="77777777" w:rsidR="00C66BFF" w:rsidRDefault="00C66BFF" w:rsidP="00C66BFF">
      <w:pPr>
        <w:pStyle w:val="ListBullet"/>
      </w:pPr>
      <w:proofErr w:type="spellStart"/>
      <w:r w:rsidRPr="00C66BFF">
        <w:t>Nintedanib</w:t>
      </w:r>
      <w:proofErr w:type="spellEnd"/>
      <w:r w:rsidRPr="00C66BFF">
        <w:t xml:space="preserve"> treatment was associated with a small increase in the incidence of serious skin reactions, compared to placebo.</w:t>
      </w:r>
    </w:p>
    <w:p w14:paraId="7180CE92" w14:textId="77777777" w:rsidR="00C66BFF" w:rsidRPr="00C66BFF" w:rsidRDefault="00C66BFF" w:rsidP="00C66BFF">
      <w:pPr>
        <w:pStyle w:val="Heading4"/>
      </w:pPr>
      <w:bookmarkStart w:id="236" w:name="_Toc241374321"/>
      <w:bookmarkStart w:id="237" w:name="_Ref271044780"/>
      <w:bookmarkStart w:id="238" w:name="_Ref271196640"/>
      <w:bookmarkStart w:id="239" w:name="_Ref272333085"/>
      <w:bookmarkStart w:id="240" w:name="_Toc272414668"/>
      <w:bookmarkStart w:id="241" w:name="_Toc290846306"/>
      <w:bookmarkStart w:id="242" w:name="_Toc291518982"/>
      <w:r w:rsidRPr="00C66BFF">
        <w:t>Laboratory tests</w:t>
      </w:r>
      <w:bookmarkEnd w:id="236"/>
      <w:bookmarkEnd w:id="237"/>
      <w:bookmarkEnd w:id="238"/>
      <w:bookmarkEnd w:id="239"/>
      <w:bookmarkEnd w:id="240"/>
      <w:bookmarkEnd w:id="241"/>
      <w:bookmarkEnd w:id="242"/>
    </w:p>
    <w:p w14:paraId="7180CE93" w14:textId="77777777" w:rsidR="00C66BFF" w:rsidRPr="00C66BFF" w:rsidRDefault="00C66BFF" w:rsidP="00C66BFF">
      <w:pPr>
        <w:pStyle w:val="Heading5"/>
      </w:pPr>
      <w:bookmarkStart w:id="243" w:name="_Toc272414669"/>
      <w:bookmarkStart w:id="244" w:name="_Toc290846307"/>
      <w:bookmarkStart w:id="245" w:name="_Toc291518983"/>
      <w:r w:rsidRPr="00C66BFF">
        <w:t>Liver function</w:t>
      </w:r>
      <w:bookmarkEnd w:id="243"/>
      <w:bookmarkEnd w:id="244"/>
      <w:bookmarkEnd w:id="245"/>
    </w:p>
    <w:p w14:paraId="7180CE94" w14:textId="77777777" w:rsidR="00C66BFF" w:rsidRDefault="00C66BFF" w:rsidP="00C66BFF">
      <w:r w:rsidRPr="00C66BFF">
        <w:t xml:space="preserve">In </w:t>
      </w:r>
      <w:r w:rsidR="00D4340F">
        <w:t>Study</w:t>
      </w:r>
      <w:r w:rsidRPr="00C66BFF">
        <w:t xml:space="preserve"> 1199.0013, abnormalities of LFTs were notably more common in the </w:t>
      </w:r>
      <w:proofErr w:type="spellStart"/>
      <w:r w:rsidRPr="00C66BFF">
        <w:t>nintedanib</w:t>
      </w:r>
      <w:proofErr w:type="spellEnd"/>
      <w:r w:rsidRPr="00C66BFF">
        <w:t xml:space="preserve"> arm</w:t>
      </w:r>
      <w:r w:rsidR="004B547D">
        <w:t xml:space="preserve"> (Table 40</w:t>
      </w:r>
      <w:r w:rsidRPr="00C66BFF">
        <w:t xml:space="preserve">). Two subjects in the </w:t>
      </w:r>
      <w:proofErr w:type="spellStart"/>
      <w:r w:rsidRPr="00C66BFF">
        <w:t>nintedanib</w:t>
      </w:r>
      <w:proofErr w:type="spellEnd"/>
      <w:r w:rsidRPr="00C66BFF">
        <w:t xml:space="preserve"> arm potentially met the criteria for </w:t>
      </w:r>
      <w:proofErr w:type="spellStart"/>
      <w:r w:rsidRPr="00C66BFF">
        <w:t>Hy’s</w:t>
      </w:r>
      <w:proofErr w:type="spellEnd"/>
      <w:r w:rsidRPr="00C66BFF">
        <w:t xml:space="preserve"> Law (ALT and/or AST &gt;</w:t>
      </w:r>
      <w:r w:rsidR="007A330A">
        <w:t xml:space="preserve"> </w:t>
      </w:r>
      <w:r w:rsidRPr="00C66BFF">
        <w:t>3 x ULN with total bilirubin ≥</w:t>
      </w:r>
      <w:r w:rsidR="007A330A">
        <w:t xml:space="preserve"> </w:t>
      </w:r>
      <w:r w:rsidRPr="00C66BFF">
        <w:t xml:space="preserve">2 x ULN and ALKP &lt; 2 x ULN). One subject had a documented bile duct stone and his LFTs recovered after treatment. </w:t>
      </w:r>
      <w:proofErr w:type="spellStart"/>
      <w:r w:rsidRPr="00C66BFF">
        <w:t>Nintedanib</w:t>
      </w:r>
      <w:proofErr w:type="spellEnd"/>
      <w:r w:rsidRPr="00C66BFF">
        <w:t xml:space="preserve"> treatment was not interrupted. Another subject met the criteria for AST, ALT and bilirubin but did not have a reading for ALKP. However, ALKP was elevated &gt; 2xULN one week earlier. Hepatic metastases were suspected but not documented on scan.</w:t>
      </w:r>
    </w:p>
    <w:p w14:paraId="7180CE95" w14:textId="77777777" w:rsidR="004B547D" w:rsidRDefault="004B547D" w:rsidP="004B547D">
      <w:pPr>
        <w:pStyle w:val="Tabletitle"/>
      </w:pPr>
      <w:proofErr w:type="gramStart"/>
      <w:r>
        <w:lastRenderedPageBreak/>
        <w:t>Table 40.</w:t>
      </w:r>
      <w:proofErr w:type="gramEnd"/>
      <w:r>
        <w:t xml:space="preserve"> </w:t>
      </w:r>
      <w:proofErr w:type="gramStart"/>
      <w:r w:rsidRPr="004B547D">
        <w:t>Study 1199.0013 (All patients) – LFT abnormalities</w:t>
      </w:r>
      <w:r>
        <w:t>.</w:t>
      </w:r>
      <w:proofErr w:type="gramEnd"/>
    </w:p>
    <w:p w14:paraId="7180CE96" w14:textId="77777777" w:rsidR="004B547D" w:rsidRPr="004B547D" w:rsidRDefault="004B547D" w:rsidP="004B547D">
      <w:r>
        <w:rPr>
          <w:noProof/>
          <w:lang w:eastAsia="en-AU"/>
        </w:rPr>
        <w:drawing>
          <wp:inline distT="0" distB="0" distL="0" distR="0" wp14:anchorId="7180CFE2" wp14:editId="7EDCF5FD">
            <wp:extent cx="4334281" cy="4773953"/>
            <wp:effectExtent l="0" t="0" r="9525" b="7620"/>
            <wp:docPr id="46" name="Picture 46" descr="Table 40. Study 1199.0013 (All patients) – LFT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BEBA8EAE-BF5A-486C-A8C5-ECC9F3942E4B}">
                          <a14:imgProps xmlns:a14="http://schemas.microsoft.com/office/drawing/2010/main">
                            <a14:imgLayer r:embed="rId70">
                              <a14:imgEffect>
                                <a14:sharpenSoften amount="50000"/>
                              </a14:imgEffect>
                            </a14:imgLayer>
                          </a14:imgProps>
                        </a:ext>
                      </a:extLst>
                    </a:blip>
                    <a:srcRect b="3582"/>
                    <a:stretch/>
                  </pic:blipFill>
                  <pic:spPr bwMode="auto">
                    <a:xfrm>
                      <a:off x="0" y="0"/>
                      <a:ext cx="4335170" cy="4774932"/>
                    </a:xfrm>
                    <a:prstGeom prst="rect">
                      <a:avLst/>
                    </a:prstGeom>
                    <a:ln>
                      <a:noFill/>
                    </a:ln>
                    <a:extLst>
                      <a:ext uri="{53640926-AAD7-44D8-BBD7-CCE9431645EC}">
                        <a14:shadowObscured xmlns:a14="http://schemas.microsoft.com/office/drawing/2010/main"/>
                      </a:ext>
                    </a:extLst>
                  </pic:spPr>
                </pic:pic>
              </a:graphicData>
            </a:graphic>
          </wp:inline>
        </w:drawing>
      </w:r>
    </w:p>
    <w:p w14:paraId="7180CE97" w14:textId="77777777" w:rsidR="00C66BFF" w:rsidRDefault="00C66BFF" w:rsidP="00C66BFF">
      <w:r w:rsidRPr="00C66BFF">
        <w:t xml:space="preserve">In </w:t>
      </w:r>
      <w:r w:rsidR="00D4340F">
        <w:t>Study</w:t>
      </w:r>
      <w:r w:rsidRPr="00C66BFF">
        <w:t xml:space="preserve"> 1199.0014, LFT abnormalities were again more common with </w:t>
      </w:r>
      <w:proofErr w:type="spellStart"/>
      <w:r w:rsidRPr="00C66BFF">
        <w:t>nintedanib</w:t>
      </w:r>
      <w:proofErr w:type="spellEnd"/>
      <w:r w:rsidRPr="00C66BFF">
        <w:t xml:space="preserve">. There were 7 subjects in the </w:t>
      </w:r>
      <w:proofErr w:type="spellStart"/>
      <w:r w:rsidRPr="00C66BFF">
        <w:t>nintedanib</w:t>
      </w:r>
      <w:proofErr w:type="spellEnd"/>
      <w:r w:rsidRPr="00C66BFF">
        <w:t xml:space="preserve"> arm that potentially met the criteria for </w:t>
      </w:r>
      <w:proofErr w:type="spellStart"/>
      <w:r w:rsidRPr="00C66BFF">
        <w:t>Hy’s</w:t>
      </w:r>
      <w:proofErr w:type="spellEnd"/>
      <w:r w:rsidRPr="00C66BFF">
        <w:t xml:space="preserve"> Law. Of </w:t>
      </w:r>
      <w:r>
        <w:t>these, alternative explanations for the abnormalities could be found in 6. There was one case that could not be explained by alternative pathology.</w:t>
      </w:r>
    </w:p>
    <w:p w14:paraId="7180CE98" w14:textId="77777777" w:rsidR="00C66BFF" w:rsidRPr="00C66BFF" w:rsidRDefault="00C66BFF" w:rsidP="00C66BFF">
      <w:pPr>
        <w:pStyle w:val="Heading5"/>
      </w:pPr>
      <w:bookmarkStart w:id="246" w:name="_Toc272414670"/>
      <w:bookmarkStart w:id="247" w:name="_Toc290846308"/>
      <w:bookmarkStart w:id="248" w:name="_Toc291518984"/>
      <w:r w:rsidRPr="00C66BFF">
        <w:t>Kidney function</w:t>
      </w:r>
      <w:bookmarkEnd w:id="246"/>
      <w:bookmarkEnd w:id="247"/>
      <w:bookmarkEnd w:id="248"/>
    </w:p>
    <w:p w14:paraId="7180CE99" w14:textId="77777777" w:rsidR="00C66BFF" w:rsidRPr="00C66BFF" w:rsidRDefault="00C66BFF" w:rsidP="00C66BFF">
      <w:r w:rsidRPr="00C66BFF">
        <w:t xml:space="preserve">In </w:t>
      </w:r>
      <w:r w:rsidR="00D4340F">
        <w:t>Study</w:t>
      </w:r>
      <w:r w:rsidRPr="00C66BFF">
        <w:t xml:space="preserve"> 1199.0013, elevations of serum creatinine occurred with equal frequency in the </w:t>
      </w:r>
      <w:proofErr w:type="spellStart"/>
      <w:r w:rsidRPr="00C66BFF">
        <w:t>nintedanib</w:t>
      </w:r>
      <w:proofErr w:type="spellEnd"/>
      <w:r w:rsidRPr="00C66BFF">
        <w:t xml:space="preserve"> and placebo arms (23.2% </w:t>
      </w:r>
      <w:r w:rsidR="00B54A34">
        <w:t>versus</w:t>
      </w:r>
      <w:r w:rsidRPr="00C66BFF">
        <w:t xml:space="preserve"> 23.9%). None of these were grade 3 or 4. In </w:t>
      </w:r>
      <w:r w:rsidR="00D4340F">
        <w:t>Study</w:t>
      </w:r>
      <w:r w:rsidRPr="00C66BFF">
        <w:t xml:space="preserve"> 1199.0014, elevations of serum creatinine occurred with comparable frequency in the </w:t>
      </w:r>
      <w:proofErr w:type="spellStart"/>
      <w:r w:rsidRPr="00C66BFF">
        <w:t>nintedanib</w:t>
      </w:r>
      <w:proofErr w:type="spellEnd"/>
      <w:r w:rsidRPr="00C66BFF">
        <w:t xml:space="preserve"> and placebo arms (21.2% </w:t>
      </w:r>
      <w:r w:rsidR="00B54A34">
        <w:t>versus</w:t>
      </w:r>
      <w:r w:rsidRPr="00C66BFF">
        <w:t xml:space="preserve"> 24.3%). There were no grade 3 or 4 elevations in the </w:t>
      </w:r>
      <w:proofErr w:type="spellStart"/>
      <w:r w:rsidRPr="00C66BFF">
        <w:t>nintedanib</w:t>
      </w:r>
      <w:proofErr w:type="spellEnd"/>
      <w:r w:rsidRPr="00C66BFF">
        <w:t xml:space="preserve"> arm.</w:t>
      </w:r>
    </w:p>
    <w:p w14:paraId="7180CE9A" w14:textId="77777777" w:rsidR="00C66BFF" w:rsidRPr="00C66BFF" w:rsidRDefault="00C66BFF" w:rsidP="00C66BFF">
      <w:pPr>
        <w:pStyle w:val="Heading5"/>
      </w:pPr>
      <w:bookmarkStart w:id="249" w:name="_Toc272414671"/>
      <w:bookmarkStart w:id="250" w:name="_Toc290846309"/>
      <w:bookmarkStart w:id="251" w:name="_Toc291518985"/>
      <w:r w:rsidRPr="00C66BFF">
        <w:t>Other clinical chemistry</w:t>
      </w:r>
      <w:bookmarkEnd w:id="249"/>
      <w:bookmarkEnd w:id="250"/>
      <w:bookmarkEnd w:id="251"/>
    </w:p>
    <w:p w14:paraId="7180CE9B" w14:textId="77777777" w:rsidR="00C66BFF" w:rsidRPr="00C66BFF" w:rsidRDefault="00C66BFF" w:rsidP="00C66BFF">
      <w:r w:rsidRPr="00C66BFF">
        <w:t xml:space="preserve">Electrolyte abnormalities and hypoglycaemia occurred with comparable frequency in the </w:t>
      </w:r>
      <w:proofErr w:type="spellStart"/>
      <w:r w:rsidRPr="00C66BFF">
        <w:t>nintedanib</w:t>
      </w:r>
      <w:proofErr w:type="spellEnd"/>
      <w:r w:rsidRPr="00C66BFF">
        <w:t xml:space="preserve"> and placebo arms of both studies.</w:t>
      </w:r>
    </w:p>
    <w:p w14:paraId="7180CE9C" w14:textId="77777777" w:rsidR="00C66BFF" w:rsidRPr="00C66BFF" w:rsidRDefault="00C66BFF" w:rsidP="00C66BFF">
      <w:pPr>
        <w:pStyle w:val="Heading5"/>
      </w:pPr>
      <w:bookmarkStart w:id="252" w:name="_Toc272414672"/>
      <w:bookmarkStart w:id="253" w:name="_Toc290846310"/>
      <w:bookmarkStart w:id="254" w:name="_Ref282617763"/>
      <w:bookmarkStart w:id="255" w:name="_Toc291518986"/>
      <w:r w:rsidRPr="00C66BFF">
        <w:t>Haematology</w:t>
      </w:r>
      <w:bookmarkEnd w:id="252"/>
      <w:bookmarkEnd w:id="253"/>
      <w:bookmarkEnd w:id="254"/>
      <w:bookmarkEnd w:id="255"/>
    </w:p>
    <w:p w14:paraId="7180CE9D" w14:textId="77777777" w:rsidR="00C66BFF" w:rsidRPr="00C66BFF" w:rsidRDefault="00C66BFF" w:rsidP="00C66BFF">
      <w:r w:rsidRPr="00C66BFF">
        <w:t xml:space="preserve">In both studies decreases in neutrophils and white blood cells occurred more frequently with </w:t>
      </w:r>
      <w:proofErr w:type="spellStart"/>
      <w:r w:rsidRPr="00C66BFF">
        <w:t>nintedanib</w:t>
      </w:r>
      <w:proofErr w:type="spellEnd"/>
      <w:r w:rsidRPr="00C66BFF">
        <w:t xml:space="preserve">. In 1199.0014, decreases in platelets also occurred more frequently in the </w:t>
      </w:r>
      <w:proofErr w:type="spellStart"/>
      <w:r w:rsidRPr="00C66BFF">
        <w:t>nintedanib</w:t>
      </w:r>
      <w:proofErr w:type="spellEnd"/>
      <w:r w:rsidRPr="00C66BFF">
        <w:t xml:space="preserve"> arm.</w:t>
      </w:r>
    </w:p>
    <w:p w14:paraId="7180CE9E" w14:textId="77777777" w:rsidR="00C66BFF" w:rsidRPr="00C66BFF" w:rsidRDefault="00C66BFF" w:rsidP="00C66BFF">
      <w:pPr>
        <w:pStyle w:val="Heading5"/>
      </w:pPr>
      <w:bookmarkStart w:id="256" w:name="_Toc291518987"/>
      <w:r w:rsidRPr="00C66BFF">
        <w:lastRenderedPageBreak/>
        <w:t>Coagulation parameters</w:t>
      </w:r>
      <w:bookmarkEnd w:id="256"/>
    </w:p>
    <w:p w14:paraId="7180CE9F" w14:textId="77777777" w:rsidR="00C66BFF" w:rsidRPr="00C66BFF" w:rsidRDefault="00C66BFF" w:rsidP="00C66BFF">
      <w:r w:rsidRPr="00C66BFF">
        <w:t xml:space="preserve">Abnormalities of coagulation parameters (INR, </w:t>
      </w:r>
      <w:proofErr w:type="spellStart"/>
      <w:r w:rsidRPr="00C66BFF">
        <w:t>aPTT</w:t>
      </w:r>
      <w:proofErr w:type="spellEnd"/>
      <w:r w:rsidRPr="00C66BFF">
        <w:t>) occurred with comparable frequency in the two treatment arms in both studies.</w:t>
      </w:r>
    </w:p>
    <w:p w14:paraId="7180CEA0" w14:textId="77777777" w:rsidR="00C66BFF" w:rsidRPr="00C66BFF" w:rsidRDefault="00C66BFF" w:rsidP="00C66BFF">
      <w:pPr>
        <w:pStyle w:val="Heading5"/>
      </w:pPr>
      <w:bookmarkStart w:id="257" w:name="_Toc291518988"/>
      <w:r w:rsidRPr="00C66BFF">
        <w:t>Thyroid function testing</w:t>
      </w:r>
      <w:bookmarkEnd w:id="257"/>
    </w:p>
    <w:p w14:paraId="7180CEA1" w14:textId="77777777" w:rsidR="00C66BFF" w:rsidRPr="00C66BFF" w:rsidRDefault="00C66BFF" w:rsidP="00C66BFF">
      <w:r w:rsidRPr="00C66BFF">
        <w:t xml:space="preserve">Abnormalities on thyroid function testing (TSH, free T3, </w:t>
      </w:r>
      <w:proofErr w:type="gramStart"/>
      <w:r w:rsidRPr="00C66BFF">
        <w:t>free</w:t>
      </w:r>
      <w:proofErr w:type="gramEnd"/>
      <w:r w:rsidRPr="00C66BFF">
        <w:t xml:space="preserve"> T4) occurred with comparable frequency in the two treatment arms in both studies.</w:t>
      </w:r>
    </w:p>
    <w:p w14:paraId="7180CEA2" w14:textId="77777777" w:rsidR="00C66BFF" w:rsidRPr="00C66BFF" w:rsidRDefault="00C66BFF" w:rsidP="00C66BFF">
      <w:pPr>
        <w:pStyle w:val="Heading5"/>
      </w:pPr>
      <w:bookmarkStart w:id="258" w:name="_Toc291518989"/>
      <w:r w:rsidRPr="00C66BFF">
        <w:t>Urinalysis</w:t>
      </w:r>
      <w:bookmarkEnd w:id="258"/>
    </w:p>
    <w:p w14:paraId="7180CEA3" w14:textId="77777777" w:rsidR="00C66BFF" w:rsidRPr="00C66BFF" w:rsidRDefault="00C66BFF" w:rsidP="00C66BFF">
      <w:r w:rsidRPr="00C66BFF">
        <w:t xml:space="preserve">Abnormalities on urine dipstick testing also occurred with comparable frequency in the </w:t>
      </w:r>
      <w:proofErr w:type="spellStart"/>
      <w:r w:rsidRPr="00C66BFF">
        <w:t>nintedanib</w:t>
      </w:r>
      <w:proofErr w:type="spellEnd"/>
      <w:r w:rsidRPr="00C66BFF">
        <w:t xml:space="preserve"> and placebo arms.</w:t>
      </w:r>
    </w:p>
    <w:p w14:paraId="7180CEA4" w14:textId="77777777" w:rsidR="00C66BFF" w:rsidRPr="00C66BFF" w:rsidRDefault="00C66BFF" w:rsidP="00C66BFF">
      <w:pPr>
        <w:pStyle w:val="Heading5"/>
      </w:pPr>
      <w:bookmarkStart w:id="259" w:name="_Toc272414675"/>
      <w:bookmarkStart w:id="260" w:name="_Toc290846313"/>
      <w:bookmarkStart w:id="261" w:name="_Toc291518990"/>
      <w:r w:rsidRPr="00C66BFF">
        <w:t>Electrocardiograph</w:t>
      </w:r>
      <w:bookmarkEnd w:id="259"/>
      <w:bookmarkEnd w:id="260"/>
      <w:bookmarkEnd w:id="261"/>
    </w:p>
    <w:p w14:paraId="7180CEA5" w14:textId="77777777" w:rsidR="00C66BFF" w:rsidRPr="00C66BFF" w:rsidRDefault="00C66BFF" w:rsidP="00C66BFF">
      <w:r w:rsidRPr="00C66BFF">
        <w:t>Results of ECG testing were not reported.</w:t>
      </w:r>
    </w:p>
    <w:p w14:paraId="7180CEA6" w14:textId="77777777" w:rsidR="00C66BFF" w:rsidRPr="00C66BFF" w:rsidRDefault="00C66BFF" w:rsidP="00C66BFF">
      <w:pPr>
        <w:pStyle w:val="Heading5"/>
      </w:pPr>
      <w:bookmarkStart w:id="262" w:name="_Toc272414676"/>
      <w:bookmarkStart w:id="263" w:name="_Toc290846314"/>
      <w:bookmarkStart w:id="264" w:name="_Toc291518991"/>
      <w:r w:rsidRPr="00C66BFF">
        <w:t>Vital signs</w:t>
      </w:r>
      <w:bookmarkEnd w:id="262"/>
      <w:bookmarkEnd w:id="263"/>
      <w:bookmarkEnd w:id="264"/>
    </w:p>
    <w:p w14:paraId="7180CEA7" w14:textId="77777777" w:rsidR="00C66BFF" w:rsidRPr="00C66BFF" w:rsidRDefault="00C66BFF" w:rsidP="00C66BFF">
      <w:r w:rsidRPr="00C66BFF">
        <w:t xml:space="preserve">In both studies, mild or moderate elevations in blood pressure occurred </w:t>
      </w:r>
      <w:r w:rsidR="004B547D">
        <w:t xml:space="preserve">more frequently with </w:t>
      </w:r>
      <w:proofErr w:type="spellStart"/>
      <w:r w:rsidR="004B547D">
        <w:t>nintedanib</w:t>
      </w:r>
      <w:proofErr w:type="spellEnd"/>
      <w:r w:rsidRPr="00C66BFF">
        <w:t>. Average values for pulse rate and temperature were comparable for the two treatment groups.</w:t>
      </w:r>
    </w:p>
    <w:p w14:paraId="7180CEA8" w14:textId="77777777" w:rsidR="00C66BFF" w:rsidRPr="00C66BFF" w:rsidRDefault="00C66BFF" w:rsidP="00C66BFF">
      <w:pPr>
        <w:pStyle w:val="Heading4"/>
      </w:pPr>
      <w:bookmarkStart w:id="265" w:name="_Toc291518992"/>
      <w:r w:rsidRPr="00C66BFF">
        <w:t>Other safety datasets</w:t>
      </w:r>
      <w:bookmarkEnd w:id="265"/>
    </w:p>
    <w:p w14:paraId="7180CEA9" w14:textId="77777777" w:rsidR="00C66BFF" w:rsidRDefault="00C66BFF" w:rsidP="00C66BFF">
      <w:r w:rsidRPr="00C66BFF">
        <w:t xml:space="preserve">The pattern of toxicity observed in the SAF-2 and SAF-3 databases was consistent with that described above. No other cases meeting </w:t>
      </w:r>
      <w:proofErr w:type="spellStart"/>
      <w:r w:rsidRPr="00C66BFF">
        <w:t>Hy’s</w:t>
      </w:r>
      <w:proofErr w:type="spellEnd"/>
      <w:r w:rsidRPr="00C66BFF">
        <w:t xml:space="preserve"> law criteria for liver toxicity were identified.</w:t>
      </w:r>
    </w:p>
    <w:p w14:paraId="7180CEAA" w14:textId="77777777" w:rsidR="00C66BFF" w:rsidRPr="00C66BFF" w:rsidRDefault="00C66BFF" w:rsidP="00DC147E">
      <w:pPr>
        <w:pStyle w:val="Heading3"/>
      </w:pPr>
      <w:bookmarkStart w:id="266" w:name="_Toc291518993"/>
      <w:bookmarkStart w:id="267" w:name="_Toc443381751"/>
      <w:r w:rsidRPr="00C66BFF">
        <w:t>IPF</w:t>
      </w:r>
      <w:bookmarkEnd w:id="266"/>
      <w:bookmarkEnd w:id="267"/>
    </w:p>
    <w:p w14:paraId="7180CEAB" w14:textId="77777777" w:rsidR="00C66BFF" w:rsidRPr="00C66BFF" w:rsidRDefault="00C66BFF" w:rsidP="00C66BFF">
      <w:pPr>
        <w:pStyle w:val="Heading4"/>
      </w:pPr>
      <w:bookmarkStart w:id="268" w:name="_Toc291518994"/>
      <w:r w:rsidRPr="00C66BFF">
        <w:t>Studies providing evaluable safety data</w:t>
      </w:r>
      <w:bookmarkEnd w:id="268"/>
    </w:p>
    <w:p w14:paraId="7180CEAC" w14:textId="77777777" w:rsidR="00614D1F" w:rsidRDefault="00C66BFF" w:rsidP="00C66BFF">
      <w:r w:rsidRPr="00C66BFF">
        <w:t xml:space="preserve">Studies conducted in IPF patients are summarised in </w:t>
      </w:r>
      <w:r w:rsidR="00614D1F">
        <w:t xml:space="preserve">Figure 10 </w:t>
      </w:r>
      <w:r w:rsidRPr="00C66BFF">
        <w:t>and</w:t>
      </w:r>
      <w:r w:rsidR="00614D1F">
        <w:t xml:space="preserve"> Table 41</w:t>
      </w:r>
      <w:r w:rsidRPr="00C66BFF">
        <w:t>. Including the open extension trials, approximately 1</w:t>
      </w:r>
      <w:r w:rsidR="007A330A">
        <w:t>,</w:t>
      </w:r>
      <w:r w:rsidRPr="00C66BFF">
        <w:t xml:space="preserve">350 unique subjects received </w:t>
      </w:r>
      <w:proofErr w:type="spellStart"/>
      <w:r w:rsidRPr="00C66BFF">
        <w:t>nintedanib</w:t>
      </w:r>
      <w:proofErr w:type="spellEnd"/>
      <w:r w:rsidRPr="00C66BFF">
        <w:t xml:space="preserve"> in the submitted studies. Review of safety data in this report will focus on the two pivotal </w:t>
      </w:r>
      <w:r w:rsidR="00094D89">
        <w:t>Phase</w:t>
      </w:r>
      <w:r w:rsidRPr="00C66BFF">
        <w:t xml:space="preserve"> III studies, 1199.0032 and 1199.0034, and the </w:t>
      </w:r>
      <w:r w:rsidR="00094D89">
        <w:t>Phase</w:t>
      </w:r>
      <w:r w:rsidRPr="00C66BFF">
        <w:t xml:space="preserve"> II </w:t>
      </w:r>
      <w:r w:rsidR="00D4340F">
        <w:t>Study</w:t>
      </w:r>
      <w:r w:rsidRPr="00C66BFF">
        <w:t xml:space="preserve"> 1199.0030 (150 mg BD dose group). These three studies were double blind, </w:t>
      </w:r>
      <w:r w:rsidR="004A0845">
        <w:t>placebo controlled</w:t>
      </w:r>
      <w:r w:rsidR="00614D1F">
        <w:t xml:space="preserve"> trials of 52 weeks duration.</w:t>
      </w:r>
    </w:p>
    <w:p w14:paraId="7180CEAD" w14:textId="77777777" w:rsidR="007A330A" w:rsidRDefault="00614D1F" w:rsidP="007A330A">
      <w:pPr>
        <w:pStyle w:val="FigureTitle"/>
      </w:pPr>
      <w:proofErr w:type="gramStart"/>
      <w:r>
        <w:t>Figure 10.</w:t>
      </w:r>
      <w:proofErr w:type="gramEnd"/>
      <w:r>
        <w:t xml:space="preserve"> </w:t>
      </w:r>
      <w:proofErr w:type="gramStart"/>
      <w:r w:rsidRPr="00614D1F">
        <w:t>Studies in IPF subjects</w:t>
      </w:r>
      <w:r w:rsidR="007A330A">
        <w:t>.</w:t>
      </w:r>
      <w:proofErr w:type="gramEnd"/>
    </w:p>
    <w:p w14:paraId="7180CEAE" w14:textId="77777777" w:rsidR="00614D1F" w:rsidRDefault="00614D1F" w:rsidP="007A330A">
      <w:r w:rsidRPr="007A330A">
        <w:rPr>
          <w:noProof/>
          <w:lang w:eastAsia="en-AU"/>
        </w:rPr>
        <w:drawing>
          <wp:inline distT="0" distB="0" distL="0" distR="0" wp14:anchorId="7180CFE4" wp14:editId="7E4767B1">
            <wp:extent cx="3915652" cy="2690756"/>
            <wp:effectExtent l="0" t="0" r="8890" b="0"/>
            <wp:docPr id="47" name="Picture 47" descr="Figure 10. Studies in IP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25574" cy="2697574"/>
                    </a:xfrm>
                    <a:prstGeom prst="rect">
                      <a:avLst/>
                    </a:prstGeom>
                  </pic:spPr>
                </pic:pic>
              </a:graphicData>
            </a:graphic>
          </wp:inline>
        </w:drawing>
      </w:r>
    </w:p>
    <w:p w14:paraId="7180CEAF" w14:textId="77777777" w:rsidR="00614D1F" w:rsidRDefault="00614D1F" w:rsidP="007A330A">
      <w:pPr>
        <w:pStyle w:val="Tabletitle"/>
      </w:pPr>
      <w:proofErr w:type="gramStart"/>
      <w:r>
        <w:lastRenderedPageBreak/>
        <w:t>Table 41.</w:t>
      </w:r>
      <w:proofErr w:type="gramEnd"/>
      <w:r>
        <w:t xml:space="preserve"> </w:t>
      </w:r>
      <w:proofErr w:type="gramStart"/>
      <w:r w:rsidRPr="00614D1F">
        <w:t>Studies in IPF subjects</w:t>
      </w:r>
      <w:r>
        <w:t>.</w:t>
      </w:r>
      <w:proofErr w:type="gramEnd"/>
    </w:p>
    <w:p w14:paraId="7180CEB0" w14:textId="77777777" w:rsidR="00614D1F" w:rsidRPr="00614D1F" w:rsidRDefault="00614D1F" w:rsidP="00614D1F">
      <w:r>
        <w:rPr>
          <w:noProof/>
          <w:lang w:eastAsia="en-AU"/>
        </w:rPr>
        <w:drawing>
          <wp:inline distT="0" distB="0" distL="0" distR="0" wp14:anchorId="7180CFE6" wp14:editId="7C9F6447">
            <wp:extent cx="4793158" cy="4869320"/>
            <wp:effectExtent l="0" t="0" r="7620" b="7620"/>
            <wp:docPr id="48" name="Picture 48" descr="Table 41. Studies in IP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2435"/>
                    <a:stretch/>
                  </pic:blipFill>
                  <pic:spPr bwMode="auto">
                    <a:xfrm>
                      <a:off x="0" y="0"/>
                      <a:ext cx="4792579" cy="4868732"/>
                    </a:xfrm>
                    <a:prstGeom prst="rect">
                      <a:avLst/>
                    </a:prstGeom>
                    <a:ln>
                      <a:noFill/>
                    </a:ln>
                    <a:extLst>
                      <a:ext uri="{53640926-AAD7-44D8-BBD7-CCE9431645EC}">
                        <a14:shadowObscured xmlns:a14="http://schemas.microsoft.com/office/drawing/2010/main"/>
                      </a:ext>
                    </a:extLst>
                  </pic:spPr>
                </pic:pic>
              </a:graphicData>
            </a:graphic>
          </wp:inline>
        </w:drawing>
      </w:r>
    </w:p>
    <w:p w14:paraId="7180CEB1" w14:textId="77777777" w:rsidR="00C66BFF" w:rsidRPr="00C66BFF" w:rsidRDefault="00C66BFF" w:rsidP="00C66BFF">
      <w:r w:rsidRPr="00C66BFF">
        <w:t>The following safety data were collected during the studies:</w:t>
      </w:r>
    </w:p>
    <w:p w14:paraId="7180CEB2" w14:textId="77777777" w:rsidR="00C66BFF" w:rsidRPr="00C66BFF" w:rsidRDefault="00C66BFF" w:rsidP="00C66BFF">
      <w:pPr>
        <w:pStyle w:val="Heading5"/>
      </w:pPr>
      <w:r w:rsidRPr="00C66BFF">
        <w:t>Pivotal efficacy studies</w:t>
      </w:r>
    </w:p>
    <w:p w14:paraId="7180CEB3" w14:textId="77777777" w:rsidR="00C66BFF" w:rsidRPr="00C66BFF" w:rsidRDefault="00C66BFF" w:rsidP="00C66BFF">
      <w:r w:rsidRPr="00C66BFF">
        <w:t>In the pivotal efficacy studies, the following safety data were collected:</w:t>
      </w:r>
    </w:p>
    <w:p w14:paraId="7180CEB4" w14:textId="77777777" w:rsidR="00C66BFF" w:rsidRPr="00C66BFF" w:rsidRDefault="00C66BFF" w:rsidP="00C66BFF">
      <w:pPr>
        <w:pStyle w:val="ListBullet"/>
      </w:pPr>
      <w:r w:rsidRPr="00C66BFF">
        <w:t>General adverse events (AEs) were assessed at each clinic visit. Intensity of AEs was graded as mild, moderate or severe.</w:t>
      </w:r>
    </w:p>
    <w:p w14:paraId="7180CEB5" w14:textId="77777777" w:rsidR="00C66BFF" w:rsidRPr="00C66BFF" w:rsidRDefault="00C66BFF" w:rsidP="00C66BFF">
      <w:pPr>
        <w:pStyle w:val="ListBullet"/>
      </w:pPr>
      <w:r w:rsidRPr="00C66BFF">
        <w:t xml:space="preserve">The following were designated as AEs of special interest (AESI): abdominal pain, anaphylactic reaction, bilirubin increase, bleeding, cardiac arrhythmias, cardiac failure, cutaneous serious skin reactions, gastrointestinal (GI) perforation, hypertension, hypothyroidism, liver enzyme elevation, liver-related investigation, major adverse cardiovascular event (MACE), osteonecrosis, photosensitivity and </w:t>
      </w:r>
      <w:proofErr w:type="spellStart"/>
      <w:r w:rsidRPr="00C66BFF">
        <w:t>photodermatosis</w:t>
      </w:r>
      <w:proofErr w:type="spellEnd"/>
      <w:r w:rsidRPr="00C66BFF">
        <w:t xml:space="preserve"> conditions, pneumonic infection, rash, renal failure and thromboembolic events (including arterial thromboembolism and venous thromboembolism).</w:t>
      </w:r>
    </w:p>
    <w:p w14:paraId="7180CEB6" w14:textId="77777777" w:rsidR="00C66BFF" w:rsidRPr="00C66BFF" w:rsidRDefault="00C66BFF" w:rsidP="00C66BFF">
      <w:pPr>
        <w:pStyle w:val="ListBullet"/>
      </w:pPr>
      <w:r w:rsidRPr="00C66BFF">
        <w:t>General physical examination, including measurement of vital signs, was performed at each visit.</w:t>
      </w:r>
    </w:p>
    <w:p w14:paraId="7180CEB7" w14:textId="77777777" w:rsidR="00C66BFF" w:rsidRPr="00C66BFF" w:rsidRDefault="00C66BFF" w:rsidP="00C66BFF">
      <w:pPr>
        <w:pStyle w:val="ListBullet"/>
      </w:pPr>
      <w:r w:rsidRPr="00C66BFF">
        <w:t>Laboratory tests, including the following, were collected at each visit:</w:t>
      </w:r>
    </w:p>
    <w:p w14:paraId="7180CEB8" w14:textId="77777777" w:rsidR="00C66BFF" w:rsidRPr="00C66BFF" w:rsidRDefault="00C66BFF" w:rsidP="00C66BFF">
      <w:pPr>
        <w:pStyle w:val="ListBullet2"/>
      </w:pPr>
      <w:r w:rsidRPr="00C66BFF">
        <w:t>Haematology: red blood cell count (RBC), haemoglobin, haematocrit, mean corpuscular volume (MCV), white blood cell count (WBC) and differential, and platelets.</w:t>
      </w:r>
    </w:p>
    <w:p w14:paraId="7180CEB9" w14:textId="77777777" w:rsidR="00C66BFF" w:rsidRPr="00C66BFF" w:rsidRDefault="00C66BFF" w:rsidP="00C66BFF">
      <w:pPr>
        <w:pStyle w:val="ListBullet2"/>
      </w:pPr>
      <w:r w:rsidRPr="00C66BFF">
        <w:lastRenderedPageBreak/>
        <w:t xml:space="preserve">Biochemistry: glucose, sodium, potassium, calcium, creatinine, AST, ALT, GGT, total protein, alkaline phosphatase, lactate dehydrogenase, bilirubin (total), uric acid, </w:t>
      </w:r>
      <w:proofErr w:type="spellStart"/>
      <w:r w:rsidRPr="00C66BFF">
        <w:t>creatine</w:t>
      </w:r>
      <w:proofErr w:type="spellEnd"/>
      <w:r w:rsidRPr="00C66BFF">
        <w:t xml:space="preserve"> kinase, brain natriuretic peptide, and thyroid stimulating </w:t>
      </w:r>
      <w:r w:rsidR="007A330A">
        <w:t xml:space="preserve">hormone (TSH) (baseline and end of </w:t>
      </w:r>
      <w:r w:rsidRPr="00C66BFF">
        <w:t>treatment visit only)</w:t>
      </w:r>
    </w:p>
    <w:p w14:paraId="7180CEBA" w14:textId="77777777" w:rsidR="00C66BFF" w:rsidRPr="00C66BFF" w:rsidRDefault="00C66BFF" w:rsidP="00C66BFF">
      <w:pPr>
        <w:pStyle w:val="ListBullet2"/>
      </w:pPr>
      <w:r w:rsidRPr="00C66BFF">
        <w:t>Coagulation parameters: international normalised ratio (INR</w:t>
      </w:r>
      <w:proofErr w:type="gramStart"/>
      <w:r w:rsidRPr="00C66BFF">
        <w:t>),</w:t>
      </w:r>
      <w:proofErr w:type="gramEnd"/>
      <w:r w:rsidRPr="00C66BFF">
        <w:t xml:space="preserve"> activated par</w:t>
      </w:r>
      <w:r w:rsidR="00E85FA7">
        <w:t>tial thromboplastin time (</w:t>
      </w:r>
      <w:proofErr w:type="spellStart"/>
      <w:r w:rsidR="00E85FA7">
        <w:t>aPTT</w:t>
      </w:r>
      <w:proofErr w:type="spellEnd"/>
      <w:r w:rsidR="00E85FA7">
        <w:t>).</w:t>
      </w:r>
    </w:p>
    <w:p w14:paraId="7180CEBB" w14:textId="77777777" w:rsidR="00C66BFF" w:rsidRPr="00C66BFF" w:rsidRDefault="00C66BFF" w:rsidP="00C66BFF">
      <w:pPr>
        <w:pStyle w:val="ListBullet"/>
      </w:pPr>
      <w:r w:rsidRPr="00C66BFF">
        <w:t xml:space="preserve">Urinalysis (pH, glucose, erythrocytes, leukocytes, protein, </w:t>
      </w:r>
      <w:proofErr w:type="gramStart"/>
      <w:r w:rsidRPr="00C66BFF">
        <w:t>nitrites</w:t>
      </w:r>
      <w:proofErr w:type="gramEnd"/>
      <w:r w:rsidRPr="00C66BFF">
        <w:t>) was performed at each visit.</w:t>
      </w:r>
    </w:p>
    <w:p w14:paraId="7180CEBC" w14:textId="77777777" w:rsidR="00C66BFF" w:rsidRDefault="00C66BFF" w:rsidP="00C66BFF">
      <w:pPr>
        <w:pStyle w:val="ListBullet"/>
      </w:pPr>
      <w:r w:rsidRPr="00C66BFF">
        <w:t>ECGs were only taken regularly during the trial for subjects in Japan.</w:t>
      </w:r>
    </w:p>
    <w:p w14:paraId="7180CEBD" w14:textId="77777777" w:rsidR="00C66BFF" w:rsidRPr="00C66BFF" w:rsidRDefault="00C66BFF" w:rsidP="00C66BFF">
      <w:pPr>
        <w:pStyle w:val="Heading5"/>
      </w:pPr>
      <w:r w:rsidRPr="00C66BFF">
        <w:t>Study 1199.0030</w:t>
      </w:r>
    </w:p>
    <w:p w14:paraId="7180CEBE" w14:textId="77777777" w:rsidR="00C66BFF" w:rsidRPr="00410A87" w:rsidRDefault="00C66BFF" w:rsidP="00C66BFF">
      <w:r w:rsidRPr="00C66BFF">
        <w:t>Safety monitoring was similar to that used in the pivotal studies.</w:t>
      </w:r>
    </w:p>
    <w:p w14:paraId="7180CEBF" w14:textId="77777777" w:rsidR="00C66BFF" w:rsidRPr="00FB2635" w:rsidRDefault="00C66BFF" w:rsidP="00FB2635">
      <w:pPr>
        <w:pStyle w:val="Heading4"/>
      </w:pPr>
      <w:bookmarkStart w:id="269" w:name="_Toc291518995"/>
      <w:r w:rsidRPr="00FB2635">
        <w:t>Patient exposure</w:t>
      </w:r>
      <w:bookmarkEnd w:id="269"/>
    </w:p>
    <w:p w14:paraId="7180CEC0" w14:textId="77777777" w:rsidR="00E85FA7" w:rsidRPr="00FB2635" w:rsidRDefault="00C66BFF" w:rsidP="00FB2635">
      <w:r w:rsidRPr="00FB2635">
        <w:t xml:space="preserve">Extent of exposure in the pivotal studies </w:t>
      </w:r>
      <w:r w:rsidR="00E85FA7">
        <w:t>was provided</w:t>
      </w:r>
      <w:r w:rsidRPr="00FB2635">
        <w:t xml:space="preserve">. Average duration of </w:t>
      </w:r>
      <w:proofErr w:type="spellStart"/>
      <w:r w:rsidRPr="00FB2635">
        <w:t>nintedanib</w:t>
      </w:r>
      <w:proofErr w:type="spellEnd"/>
      <w:r w:rsidRPr="00FB2635">
        <w:t xml:space="preserve"> exposure was 10.29 months and 129 subjects receiv</w:t>
      </w:r>
      <w:r w:rsidR="00FB2635" w:rsidRPr="00FB2635">
        <w:t>ed the drug for over 12 months.</w:t>
      </w:r>
    </w:p>
    <w:p w14:paraId="7180CEC1" w14:textId="77777777" w:rsidR="00C66BFF" w:rsidRPr="00FB2635" w:rsidRDefault="00C66BFF" w:rsidP="00FB2635">
      <w:r w:rsidRPr="00FB2635">
        <w:t xml:space="preserve">Extent of exposure in </w:t>
      </w:r>
      <w:r w:rsidR="00D4340F">
        <w:t>Study</w:t>
      </w:r>
      <w:r w:rsidRPr="00FB2635">
        <w:t xml:space="preserve"> 1199.0030 </w:t>
      </w:r>
      <w:r w:rsidR="00E85FA7">
        <w:t>was provided</w:t>
      </w:r>
      <w:r w:rsidRPr="00E85FA7">
        <w:t>. Average</w:t>
      </w:r>
      <w:r w:rsidRPr="00FB2635">
        <w:t xml:space="preserve"> duration of </w:t>
      </w:r>
      <w:proofErr w:type="spellStart"/>
      <w:r w:rsidRPr="00FB2635">
        <w:t>nint</w:t>
      </w:r>
      <w:r w:rsidR="00FB2635" w:rsidRPr="00FB2635">
        <w:t>edanib</w:t>
      </w:r>
      <w:proofErr w:type="spellEnd"/>
      <w:r w:rsidR="00FB2635" w:rsidRPr="00FB2635">
        <w:t xml:space="preserve"> exposure was 9.5 months.</w:t>
      </w:r>
    </w:p>
    <w:p w14:paraId="7180CEC2" w14:textId="77777777" w:rsidR="00C66BFF" w:rsidRPr="00FB2635" w:rsidRDefault="00C66BFF" w:rsidP="00FB2635">
      <w:pPr>
        <w:pStyle w:val="Heading4"/>
      </w:pPr>
      <w:bookmarkStart w:id="270" w:name="_Toc291518996"/>
      <w:r w:rsidRPr="00FB2635">
        <w:t>Adverse events</w:t>
      </w:r>
      <w:bookmarkEnd w:id="270"/>
    </w:p>
    <w:p w14:paraId="7180CEC3" w14:textId="77777777" w:rsidR="00C66BFF" w:rsidRDefault="00C66BFF" w:rsidP="00C66BFF">
      <w:r>
        <w:t xml:space="preserve">An overall summary of adverse events for the pivotal studies is shown in </w:t>
      </w:r>
      <w:r w:rsidR="00084496">
        <w:t xml:space="preserve">Table 42 </w:t>
      </w:r>
      <w:r>
        <w:t xml:space="preserve">and for </w:t>
      </w:r>
      <w:r w:rsidR="00D4340F">
        <w:t>Study</w:t>
      </w:r>
      <w:r>
        <w:t xml:space="preserve"> 1199.0030 in </w:t>
      </w:r>
      <w:r w:rsidR="00084496">
        <w:t>Table 43.</w:t>
      </w:r>
    </w:p>
    <w:p w14:paraId="7180CEC4" w14:textId="77777777" w:rsidR="00E85FA7" w:rsidRDefault="00E85FA7" w:rsidP="00E85FA7">
      <w:pPr>
        <w:pStyle w:val="Tabletitle"/>
      </w:pPr>
      <w:proofErr w:type="gramStart"/>
      <w:r>
        <w:t xml:space="preserve">Table </w:t>
      </w:r>
      <w:r w:rsidR="00084496">
        <w:t>42</w:t>
      </w:r>
      <w:r>
        <w:t>.</w:t>
      </w:r>
      <w:proofErr w:type="gramEnd"/>
      <w:r>
        <w:t xml:space="preserve"> </w:t>
      </w:r>
      <w:proofErr w:type="gramStart"/>
      <w:r w:rsidRPr="00E85FA7">
        <w:t>Studies 1199.0032 and 1199.034 – Overall summary of AEs</w:t>
      </w:r>
      <w:r>
        <w:t>.</w:t>
      </w:r>
      <w:proofErr w:type="gramEnd"/>
    </w:p>
    <w:p w14:paraId="7180CEC5" w14:textId="77777777" w:rsidR="00E85FA7" w:rsidRDefault="00E85FA7" w:rsidP="00E85FA7">
      <w:r>
        <w:rPr>
          <w:noProof/>
          <w:lang w:eastAsia="en-AU"/>
        </w:rPr>
        <w:drawing>
          <wp:inline distT="0" distB="0" distL="0" distR="0" wp14:anchorId="7180CFE8" wp14:editId="37145607">
            <wp:extent cx="4594439" cy="2242734"/>
            <wp:effectExtent l="0" t="0" r="0" b="5715"/>
            <wp:docPr id="49" name="Picture 49" descr="Table 42. Studies 1199.0032 and 1199.034 –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91864" cy="2241477"/>
                    </a:xfrm>
                    <a:prstGeom prst="rect">
                      <a:avLst/>
                    </a:prstGeom>
                  </pic:spPr>
                </pic:pic>
              </a:graphicData>
            </a:graphic>
          </wp:inline>
        </w:drawing>
      </w:r>
    </w:p>
    <w:p w14:paraId="7180CEC6" w14:textId="77777777" w:rsidR="00084496" w:rsidRDefault="00084496" w:rsidP="00084496">
      <w:pPr>
        <w:pStyle w:val="Tabletitle"/>
      </w:pPr>
      <w:proofErr w:type="gramStart"/>
      <w:r>
        <w:lastRenderedPageBreak/>
        <w:t>Table 43.</w:t>
      </w:r>
      <w:proofErr w:type="gramEnd"/>
      <w:r>
        <w:t xml:space="preserve"> </w:t>
      </w:r>
      <w:r w:rsidRPr="00084496">
        <w:t>Study 1199.0030 - Overall summary of AEs</w:t>
      </w:r>
      <w:r>
        <w:t>.</w:t>
      </w:r>
    </w:p>
    <w:p w14:paraId="7180CEC7" w14:textId="77777777" w:rsidR="00084496" w:rsidRPr="00084496" w:rsidRDefault="00084496" w:rsidP="00084496">
      <w:r>
        <w:rPr>
          <w:noProof/>
          <w:lang w:eastAsia="en-AU"/>
        </w:rPr>
        <w:drawing>
          <wp:inline distT="0" distB="0" distL="0" distR="0" wp14:anchorId="7180CFEA" wp14:editId="0ABD5456">
            <wp:extent cx="4070971" cy="2092461"/>
            <wp:effectExtent l="0" t="0" r="6350" b="3175"/>
            <wp:docPr id="50" name="Picture 50" descr="Table 43. Study 1199.0030 -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074991" cy="2094527"/>
                    </a:xfrm>
                    <a:prstGeom prst="rect">
                      <a:avLst/>
                    </a:prstGeom>
                  </pic:spPr>
                </pic:pic>
              </a:graphicData>
            </a:graphic>
          </wp:inline>
        </w:drawing>
      </w:r>
    </w:p>
    <w:p w14:paraId="7180CEC8" w14:textId="77777777" w:rsidR="00C66BFF" w:rsidRPr="00FB2635" w:rsidRDefault="00C66BFF" w:rsidP="00FB2635">
      <w:pPr>
        <w:pStyle w:val="Heading5"/>
      </w:pPr>
      <w:bookmarkStart w:id="271" w:name="_Toc291518997"/>
      <w:r w:rsidRPr="00FB2635">
        <w:t>All adverse events (irrespective of relationship to study treatment)</w:t>
      </w:r>
      <w:bookmarkEnd w:id="271"/>
    </w:p>
    <w:p w14:paraId="7180CEC9" w14:textId="77777777" w:rsidR="00C66BFF" w:rsidRPr="00FB2635" w:rsidRDefault="00C66BFF" w:rsidP="00FB2635">
      <w:pPr>
        <w:pStyle w:val="Heading6"/>
      </w:pPr>
      <w:r w:rsidRPr="00FB2635">
        <w:t>Pivotal studies</w:t>
      </w:r>
    </w:p>
    <w:p w14:paraId="7180CECA" w14:textId="77777777" w:rsidR="00C66BFF" w:rsidRPr="00FB2635" w:rsidRDefault="00C66BFF" w:rsidP="00FB2635">
      <w:r w:rsidRPr="00FB2635">
        <w:t xml:space="preserve">In the pivotal studies </w:t>
      </w:r>
      <w:proofErr w:type="spellStart"/>
      <w:r w:rsidRPr="00FB2635">
        <w:t>nintedanib</w:t>
      </w:r>
      <w:proofErr w:type="spellEnd"/>
      <w:r w:rsidRPr="00FB2635">
        <w:t xml:space="preserve"> treatment was associated with a small increase in the overall incidence of AEs (95.5% </w:t>
      </w:r>
      <w:r w:rsidR="00B54A34">
        <w:t>versus</w:t>
      </w:r>
      <w:r w:rsidRPr="00FB2635">
        <w:t xml:space="preserve"> 89.6%). Common AEs (incidence &gt; 5%) </w:t>
      </w:r>
      <w:r w:rsidR="00084496">
        <w:t xml:space="preserve">were </w:t>
      </w:r>
      <w:r w:rsidR="00084496" w:rsidRPr="00084496">
        <w:t>provided</w:t>
      </w:r>
      <w:r w:rsidRPr="00084496">
        <w:t>.</w:t>
      </w:r>
      <w:r w:rsidRPr="00FB2635">
        <w:t xml:space="preserve"> Gastrointestinal toxicity (diarrhoea, nausea and vomiting, abdominal pain, decreased appetite) was far more common with </w:t>
      </w:r>
      <w:proofErr w:type="spellStart"/>
      <w:r w:rsidRPr="00FB2635">
        <w:t>nintedanib</w:t>
      </w:r>
      <w:proofErr w:type="spellEnd"/>
      <w:r w:rsidRPr="00FB2635">
        <w:t xml:space="preserve"> than with placebo. Abnormal investigations were also more common with </w:t>
      </w:r>
      <w:proofErr w:type="spellStart"/>
      <w:r w:rsidRPr="00FB2635">
        <w:t>nintedanib</w:t>
      </w:r>
      <w:proofErr w:type="spellEnd"/>
      <w:r w:rsidRPr="00FB2635">
        <w:t xml:space="preserve">. The most common event under this heading was decrease in weight. However LFT abnormalities reported as AEs were also more common with </w:t>
      </w:r>
      <w:proofErr w:type="spellStart"/>
      <w:r w:rsidRPr="00FB2635">
        <w:t>nintedanib</w:t>
      </w:r>
      <w:proofErr w:type="spellEnd"/>
      <w:r w:rsidRPr="00FB2635">
        <w:t>.</w:t>
      </w:r>
    </w:p>
    <w:p w14:paraId="7180CECB" w14:textId="77777777" w:rsidR="00C66BFF" w:rsidRPr="00FB2635" w:rsidRDefault="00C66BFF" w:rsidP="00FB2635">
      <w:pPr>
        <w:pStyle w:val="Heading6"/>
      </w:pPr>
      <w:r w:rsidRPr="00FB2635">
        <w:t>Study 1199.0030</w:t>
      </w:r>
    </w:p>
    <w:p w14:paraId="7180CECC" w14:textId="77777777" w:rsidR="00C66BFF" w:rsidRPr="00FB2635" w:rsidRDefault="00C66BFF" w:rsidP="00FB2635">
      <w:r w:rsidRPr="00FB2635">
        <w:t xml:space="preserve">In this study, treatment with </w:t>
      </w:r>
      <w:proofErr w:type="spellStart"/>
      <w:r w:rsidRPr="00FB2635">
        <w:t>nintedanib</w:t>
      </w:r>
      <w:proofErr w:type="spellEnd"/>
      <w:r w:rsidRPr="00FB2635">
        <w:t xml:space="preserve"> 150 mg BD also produced a small increase in the overall incidence of AEs compared with placebo (94.1% </w:t>
      </w:r>
      <w:r w:rsidR="00B54A34">
        <w:t>versus</w:t>
      </w:r>
      <w:r w:rsidRPr="00FB2635">
        <w:t xml:space="preserve"> 90.6%). Common AEs (incidence &gt; 10%)</w:t>
      </w:r>
      <w:r w:rsidR="00505769">
        <w:t xml:space="preserve"> </w:t>
      </w:r>
      <w:r w:rsidR="00084496">
        <w:t>were provided</w:t>
      </w:r>
      <w:r w:rsidRPr="00FB2635">
        <w:t>. The pattern of AEs was similar to that observed in the pivotal studies.</w:t>
      </w:r>
    </w:p>
    <w:p w14:paraId="7180CECD" w14:textId="77777777" w:rsidR="00C66BFF" w:rsidRPr="00FB2635" w:rsidRDefault="00C66BFF" w:rsidP="00FB2635">
      <w:pPr>
        <w:pStyle w:val="Heading5"/>
      </w:pPr>
      <w:bookmarkStart w:id="272" w:name="_Toc291518998"/>
      <w:r w:rsidRPr="00FB2635">
        <w:t>Treatment-related adverse events (adverse drug reactions)</w:t>
      </w:r>
      <w:bookmarkEnd w:id="272"/>
    </w:p>
    <w:p w14:paraId="7180CECE" w14:textId="77777777" w:rsidR="00C66BFF" w:rsidRPr="00FB2635" w:rsidRDefault="00C66BFF" w:rsidP="00FB2635">
      <w:pPr>
        <w:pStyle w:val="Heading6"/>
      </w:pPr>
      <w:r w:rsidRPr="00FB2635">
        <w:t>Pivotal studies</w:t>
      </w:r>
    </w:p>
    <w:p w14:paraId="7180CECF" w14:textId="77777777" w:rsidR="00C66BFF" w:rsidRDefault="00084496" w:rsidP="00C66BFF">
      <w:r>
        <w:t xml:space="preserve">Drug </w:t>
      </w:r>
      <w:r w:rsidR="00C66BFF" w:rsidRPr="00FB2635">
        <w:t xml:space="preserve">related AEs were significantly more common with </w:t>
      </w:r>
      <w:proofErr w:type="spellStart"/>
      <w:r w:rsidR="00C66BFF" w:rsidRPr="00FB2635">
        <w:t>nintedanib</w:t>
      </w:r>
      <w:proofErr w:type="spellEnd"/>
      <w:r w:rsidR="00C66BFF" w:rsidRPr="00FB2635">
        <w:t xml:space="preserve"> than with placebo (71.3% </w:t>
      </w:r>
      <w:r w:rsidR="00B54A34">
        <w:t>versus</w:t>
      </w:r>
      <w:r>
        <w:t xml:space="preserve"> 28.4%). Common drug </w:t>
      </w:r>
      <w:r w:rsidR="00C66BFF" w:rsidRPr="00FB2635">
        <w:t xml:space="preserve">related AEs (incidence &gt; 2%) are shown </w:t>
      </w:r>
      <w:r w:rsidR="00C66BFF" w:rsidRPr="00084496">
        <w:t xml:space="preserve">in </w:t>
      </w:r>
      <w:r w:rsidRPr="00084496">
        <w:t>Table 44</w:t>
      </w:r>
      <w:r w:rsidR="00C66BFF" w:rsidRPr="00084496">
        <w:t>.</w:t>
      </w:r>
      <w:r w:rsidR="00C66BFF" w:rsidRPr="00FB2635">
        <w:t xml:space="preserve"> Gastrointestinal toxicity and hepatotoxicity were again more common with </w:t>
      </w:r>
      <w:proofErr w:type="spellStart"/>
      <w:r w:rsidR="00C66BFF" w:rsidRPr="00FB2635">
        <w:t>nintedanib</w:t>
      </w:r>
      <w:proofErr w:type="spellEnd"/>
      <w:r w:rsidR="00C66BFF" w:rsidRPr="00FB2635">
        <w:t>.</w:t>
      </w:r>
    </w:p>
    <w:p w14:paraId="7180CED0" w14:textId="77777777" w:rsidR="00084496" w:rsidRDefault="00084496" w:rsidP="00084496">
      <w:pPr>
        <w:pStyle w:val="Tabletitle"/>
      </w:pPr>
      <w:proofErr w:type="gramStart"/>
      <w:r>
        <w:lastRenderedPageBreak/>
        <w:t>Table 44.</w:t>
      </w:r>
      <w:proofErr w:type="gramEnd"/>
      <w:r>
        <w:t xml:space="preserve"> </w:t>
      </w:r>
      <w:proofErr w:type="gramStart"/>
      <w:r w:rsidRPr="00084496">
        <w:t>Studies 1199.0032 and 1199.034 – Drug-related AEs (incidence &gt; 2%)</w:t>
      </w:r>
      <w:r>
        <w:t>.</w:t>
      </w:r>
      <w:proofErr w:type="gramEnd"/>
    </w:p>
    <w:p w14:paraId="7180CED1" w14:textId="77777777" w:rsidR="00084496" w:rsidRPr="00084496" w:rsidRDefault="00084496" w:rsidP="00084496">
      <w:r>
        <w:rPr>
          <w:noProof/>
          <w:lang w:eastAsia="en-AU"/>
        </w:rPr>
        <w:drawing>
          <wp:inline distT="0" distB="0" distL="0" distR="0" wp14:anchorId="7180CFEC" wp14:editId="36A410D7">
            <wp:extent cx="4666903" cy="3775406"/>
            <wp:effectExtent l="0" t="0" r="635" b="0"/>
            <wp:docPr id="51" name="Picture 51" descr="Table 44. Studies 1199.0032 and 1199.034 – Drug-related AEs (incidence &g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67556" cy="3775935"/>
                    </a:xfrm>
                    <a:prstGeom prst="rect">
                      <a:avLst/>
                    </a:prstGeom>
                  </pic:spPr>
                </pic:pic>
              </a:graphicData>
            </a:graphic>
          </wp:inline>
        </w:drawing>
      </w:r>
    </w:p>
    <w:p w14:paraId="7180CED2" w14:textId="77777777" w:rsidR="00C66BFF" w:rsidRPr="00FB2635" w:rsidRDefault="00C66BFF" w:rsidP="00FB2635">
      <w:pPr>
        <w:pStyle w:val="Heading6"/>
      </w:pPr>
      <w:r w:rsidRPr="00FB2635">
        <w:t>Study 1199.0030</w:t>
      </w:r>
    </w:p>
    <w:p w14:paraId="7180CED3" w14:textId="77777777" w:rsidR="00C66BFF" w:rsidRDefault="00084496" w:rsidP="00FB2635">
      <w:r>
        <w:t xml:space="preserve">Drug </w:t>
      </w:r>
      <w:r w:rsidR="00C66BFF" w:rsidRPr="00FB2635">
        <w:t xml:space="preserve">related AEs were again significantly more common with </w:t>
      </w:r>
      <w:proofErr w:type="spellStart"/>
      <w:r w:rsidR="00C66BFF" w:rsidRPr="00FB2635">
        <w:t>nintedanib</w:t>
      </w:r>
      <w:proofErr w:type="spellEnd"/>
      <w:r w:rsidR="00C66BFF" w:rsidRPr="00FB2635">
        <w:t xml:space="preserve"> than with placebo (64.7% </w:t>
      </w:r>
      <w:r w:rsidR="00B54A34">
        <w:t>versus</w:t>
      </w:r>
      <w:r>
        <w:t xml:space="preserve"> 29.4%). Common drug </w:t>
      </w:r>
      <w:r w:rsidR="00C66BFF" w:rsidRPr="00FB2635">
        <w:t xml:space="preserve">related AEs (incidence &gt; 5%) </w:t>
      </w:r>
      <w:r>
        <w:t>were provided</w:t>
      </w:r>
      <w:r w:rsidR="00C66BFF" w:rsidRPr="00FB2635">
        <w:t>. The pattern of toxicity was similar to that observed in the pivotal studies.</w:t>
      </w:r>
    </w:p>
    <w:p w14:paraId="7180CED4" w14:textId="77777777" w:rsidR="00C66BFF" w:rsidRPr="00FB2635" w:rsidRDefault="00C66BFF" w:rsidP="00FB2635">
      <w:pPr>
        <w:pStyle w:val="Heading5"/>
      </w:pPr>
      <w:bookmarkStart w:id="273" w:name="_Toc291518999"/>
      <w:r w:rsidRPr="00FB2635">
        <w:t>AEs leading to death</w:t>
      </w:r>
      <w:bookmarkEnd w:id="273"/>
    </w:p>
    <w:p w14:paraId="7180CED5" w14:textId="77777777" w:rsidR="00C66BFF" w:rsidRPr="00FB2635" w:rsidRDefault="00C66BFF" w:rsidP="00FB2635">
      <w:pPr>
        <w:pStyle w:val="Heading6"/>
      </w:pPr>
      <w:r w:rsidRPr="00FB2635">
        <w:t>Pivotal studies</w:t>
      </w:r>
    </w:p>
    <w:p w14:paraId="7180CED6" w14:textId="77777777" w:rsidR="00C66BFF" w:rsidRDefault="00C66BFF" w:rsidP="00C66BFF">
      <w:r w:rsidRPr="00FB2635">
        <w:t xml:space="preserve">The incidence of fatal AEs was lower in the </w:t>
      </w:r>
      <w:proofErr w:type="spellStart"/>
      <w:r w:rsidRPr="00FB2635">
        <w:t>nintedanib</w:t>
      </w:r>
      <w:proofErr w:type="spellEnd"/>
      <w:r w:rsidRPr="00FB2635">
        <w:t xml:space="preserve"> arms compared with the placebo arms (5.8% </w:t>
      </w:r>
      <w:r w:rsidR="00B54A34">
        <w:t>versus</w:t>
      </w:r>
      <w:r w:rsidRPr="00FB2635">
        <w:t xml:space="preserve"> 7.3%). None of the deaths in the </w:t>
      </w:r>
      <w:proofErr w:type="spellStart"/>
      <w:r w:rsidRPr="00FB2635">
        <w:t>ninte</w:t>
      </w:r>
      <w:r w:rsidR="00084496">
        <w:t>danib</w:t>
      </w:r>
      <w:proofErr w:type="spellEnd"/>
      <w:r w:rsidR="00084496">
        <w:t xml:space="preserve"> arms were considered drug </w:t>
      </w:r>
      <w:r w:rsidRPr="00FB2635">
        <w:t>related by the investigators. AEs with a fatal outcome that occurred in more than 1</w:t>
      </w:r>
      <w:r w:rsidR="00084496">
        <w:t xml:space="preserve"> subject were provided</w:t>
      </w:r>
      <w:r w:rsidRPr="00FB2635">
        <w:t xml:space="preserve">. There was an excess of subjects with fatal neoplasms with </w:t>
      </w:r>
      <w:proofErr w:type="spellStart"/>
      <w:r w:rsidRPr="00FB2635">
        <w:t>nintedanib</w:t>
      </w:r>
      <w:proofErr w:type="spellEnd"/>
      <w:r w:rsidRPr="00FB2635">
        <w:t xml:space="preserve"> (5 </w:t>
      </w:r>
      <w:r w:rsidR="00B54A34">
        <w:t>versus</w:t>
      </w:r>
      <w:r w:rsidRPr="00FB2635">
        <w:t xml:space="preserve"> 0). Three of these patients died from lung neoplasms.</w:t>
      </w:r>
    </w:p>
    <w:p w14:paraId="53425D5E" w14:textId="2745535D" w:rsidR="000B5BA0" w:rsidRPr="00DC147E" w:rsidRDefault="00FB2635" w:rsidP="00190081">
      <w:r w:rsidRPr="00190081">
        <w:rPr>
          <w:b/>
        </w:rPr>
        <w:t xml:space="preserve">Evaluator’s </w:t>
      </w:r>
      <w:r w:rsidR="00190081" w:rsidRPr="00190081">
        <w:rPr>
          <w:b/>
        </w:rPr>
        <w:t>c</w:t>
      </w:r>
      <w:r w:rsidRPr="00190081">
        <w:rPr>
          <w:b/>
        </w:rPr>
        <w:t>omment</w:t>
      </w:r>
      <w:r w:rsidRPr="00DC147E">
        <w:t xml:space="preserve">: </w:t>
      </w:r>
    </w:p>
    <w:p w14:paraId="7180CED7" w14:textId="2E17819C" w:rsidR="00C66BFF" w:rsidRPr="000B5BA0" w:rsidRDefault="00C66BFF" w:rsidP="00DC147E">
      <w:r w:rsidRPr="00DC147E">
        <w:t xml:space="preserve">The overall incidence of neoplasms was not higher in the </w:t>
      </w:r>
      <w:proofErr w:type="spellStart"/>
      <w:r w:rsidRPr="00DC147E">
        <w:t>nintedanib</w:t>
      </w:r>
      <w:proofErr w:type="spellEnd"/>
      <w:r w:rsidRPr="00DC147E">
        <w:t xml:space="preserve"> arms (3.6%) compared to</w:t>
      </w:r>
      <w:r w:rsidR="00DC147E">
        <w:t xml:space="preserve"> </w:t>
      </w:r>
      <w:r w:rsidRPr="00DC147E">
        <w:t xml:space="preserve">the placebo arms (4.3%). The incidence of neoplasms reported as serious AEs was also </w:t>
      </w:r>
      <w:r w:rsidR="00FB2635" w:rsidRPr="00DC147E">
        <w:t xml:space="preserve">not increased (2.8% </w:t>
      </w:r>
      <w:r w:rsidR="00B54A34" w:rsidRPr="00DC147E">
        <w:t>versus</w:t>
      </w:r>
      <w:r w:rsidR="00FB2635" w:rsidRPr="00DC147E">
        <w:t xml:space="preserve"> 3.5%).</w:t>
      </w:r>
    </w:p>
    <w:p w14:paraId="7180CED8" w14:textId="77777777" w:rsidR="00C66BFF" w:rsidRPr="00FB2635" w:rsidRDefault="00C66BFF" w:rsidP="00FB2635">
      <w:pPr>
        <w:pStyle w:val="Heading6"/>
      </w:pPr>
      <w:r w:rsidRPr="00FB2635">
        <w:t>Study 1199.0030</w:t>
      </w:r>
    </w:p>
    <w:p w14:paraId="7180CED9" w14:textId="77777777" w:rsidR="00C66BFF" w:rsidRPr="00FB2635" w:rsidRDefault="00C66BFF" w:rsidP="00FB2635">
      <w:r w:rsidRPr="00FB2635">
        <w:t xml:space="preserve">The incidence of fatal AEs was decreased in the </w:t>
      </w:r>
      <w:proofErr w:type="spellStart"/>
      <w:r w:rsidRPr="00FB2635">
        <w:t>nintedanib</w:t>
      </w:r>
      <w:proofErr w:type="spellEnd"/>
      <w:r w:rsidRPr="00FB2635">
        <w:t xml:space="preserve"> 150 </w:t>
      </w:r>
      <w:r w:rsidR="00505769">
        <w:t xml:space="preserve">mg BD arm compared to placebo; </w:t>
      </w:r>
      <w:r w:rsidRPr="00FB2635">
        <w:t>1.2% (n</w:t>
      </w:r>
      <w:r w:rsidR="00FB2635">
        <w:t xml:space="preserve"> </w:t>
      </w:r>
      <w:r w:rsidRPr="00FB2635">
        <w:t>=</w:t>
      </w:r>
      <w:r w:rsidR="00FB2635">
        <w:t xml:space="preserve"> </w:t>
      </w:r>
      <w:r w:rsidRPr="00FB2635">
        <w:t xml:space="preserve">1) </w:t>
      </w:r>
      <w:r w:rsidR="00B54A34">
        <w:t>versus</w:t>
      </w:r>
      <w:r w:rsidRPr="00FB2635">
        <w:t xml:space="preserve"> 14.1% (n</w:t>
      </w:r>
      <w:r w:rsidR="00FB2635">
        <w:t xml:space="preserve"> </w:t>
      </w:r>
      <w:r w:rsidRPr="00FB2635">
        <w:t>=</w:t>
      </w:r>
      <w:r w:rsidR="00FB2635">
        <w:t xml:space="preserve"> </w:t>
      </w:r>
      <w:r w:rsidRPr="00FB2635">
        <w:t xml:space="preserve">12). The death in the </w:t>
      </w:r>
      <w:proofErr w:type="spellStart"/>
      <w:r w:rsidRPr="00FB2635">
        <w:t>nintedanib</w:t>
      </w:r>
      <w:proofErr w:type="spellEnd"/>
      <w:r w:rsidRPr="00FB2635">
        <w:t xml:space="preserve"> 150 mg group was due to adenocarcinoma of the lung. One of the deaths in the placebo group was due to NSCLC. None of the deaths were conside</w:t>
      </w:r>
      <w:r w:rsidR="00FB2635" w:rsidRPr="00FB2635">
        <w:t>red related to study treatment.</w:t>
      </w:r>
    </w:p>
    <w:p w14:paraId="7180CEDA" w14:textId="77777777" w:rsidR="00C66BFF" w:rsidRPr="00FB2635" w:rsidRDefault="00C66BFF" w:rsidP="00FB2635">
      <w:pPr>
        <w:pStyle w:val="Heading5"/>
      </w:pPr>
      <w:bookmarkStart w:id="274" w:name="_Toc291519000"/>
      <w:r w:rsidRPr="00FB2635">
        <w:lastRenderedPageBreak/>
        <w:t>Other serious adverse events</w:t>
      </w:r>
      <w:bookmarkEnd w:id="274"/>
    </w:p>
    <w:p w14:paraId="7180CEDB" w14:textId="77777777" w:rsidR="00C66BFF" w:rsidRPr="00FB2635" w:rsidRDefault="00C66BFF" w:rsidP="00FB2635">
      <w:pPr>
        <w:pStyle w:val="Heading6"/>
      </w:pPr>
      <w:r w:rsidRPr="00FB2635">
        <w:t>Pivotal studies</w:t>
      </w:r>
    </w:p>
    <w:p w14:paraId="7180CEDC" w14:textId="77777777" w:rsidR="00C66BFF" w:rsidRDefault="00C66BFF" w:rsidP="00C66BFF">
      <w:r>
        <w:t xml:space="preserve">The incidence of serious AEs was comparable in the two treatment arms (30.4% </w:t>
      </w:r>
      <w:r w:rsidR="00B54A34">
        <w:t>versus</w:t>
      </w:r>
      <w:r>
        <w:t xml:space="preserve"> 30.0%). Serious AEs occurring in more than 1% of subjects are </w:t>
      </w:r>
      <w:r w:rsidRPr="00ED0B20">
        <w:t>listed in</w:t>
      </w:r>
      <w:r w:rsidR="00ED0B20" w:rsidRPr="00ED0B20">
        <w:t xml:space="preserve"> Table</w:t>
      </w:r>
      <w:r w:rsidR="00ED0B20">
        <w:t xml:space="preserve"> 45</w:t>
      </w:r>
      <w:r>
        <w:t xml:space="preserve">. Serious gastrointestinal and hepatobiliary disorders were more common with </w:t>
      </w:r>
      <w:proofErr w:type="spellStart"/>
      <w:r>
        <w:t>nintedanib</w:t>
      </w:r>
      <w:proofErr w:type="spellEnd"/>
      <w:r>
        <w:t>. There was also a slightly increased incidence of myocar</w:t>
      </w:r>
      <w:r w:rsidR="00140F17">
        <w:t xml:space="preserve">dial infarction (1.1% </w:t>
      </w:r>
      <w:r w:rsidR="00B54A34">
        <w:t>versus</w:t>
      </w:r>
      <w:r w:rsidR="00140F17">
        <w:t xml:space="preserve"> 0.5%)</w:t>
      </w:r>
      <w:r w:rsidR="00ED0B20">
        <w:t>.</w:t>
      </w:r>
    </w:p>
    <w:p w14:paraId="7180CEDD" w14:textId="77777777" w:rsidR="00ED0B20" w:rsidRDefault="00ED0B20" w:rsidP="00ED0B20">
      <w:pPr>
        <w:pStyle w:val="Tabletitle"/>
      </w:pPr>
      <w:proofErr w:type="gramStart"/>
      <w:r>
        <w:t>Table 45.</w:t>
      </w:r>
      <w:proofErr w:type="gramEnd"/>
      <w:r>
        <w:t xml:space="preserve"> </w:t>
      </w:r>
      <w:proofErr w:type="gramStart"/>
      <w:r w:rsidRPr="00ED0B20">
        <w:t>Studies 1199.0032 and 1199.034 – Serious AEs (incidence &gt; 1%)</w:t>
      </w:r>
      <w:r>
        <w:t>.</w:t>
      </w:r>
      <w:proofErr w:type="gramEnd"/>
    </w:p>
    <w:p w14:paraId="7180CEDE" w14:textId="77777777" w:rsidR="00ED0B20" w:rsidRPr="00ED0B20" w:rsidRDefault="00ED0B20" w:rsidP="00ED0B20">
      <w:r>
        <w:rPr>
          <w:noProof/>
          <w:lang w:eastAsia="en-AU"/>
        </w:rPr>
        <w:drawing>
          <wp:inline distT="0" distB="0" distL="0" distR="0" wp14:anchorId="7180CFEE" wp14:editId="6E723003">
            <wp:extent cx="4617272" cy="3814675"/>
            <wp:effectExtent l="0" t="0" r="0" b="0"/>
            <wp:docPr id="52" name="Picture 52" descr="Table 45. Studies 1199.0032 and 1199.034 – Serious AEs (incidence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21712" cy="3818343"/>
                    </a:xfrm>
                    <a:prstGeom prst="rect">
                      <a:avLst/>
                    </a:prstGeom>
                  </pic:spPr>
                </pic:pic>
              </a:graphicData>
            </a:graphic>
          </wp:inline>
        </w:drawing>
      </w:r>
    </w:p>
    <w:p w14:paraId="7180CEDF" w14:textId="77777777" w:rsidR="00C66BFF" w:rsidRPr="00140F17" w:rsidRDefault="00C66BFF" w:rsidP="00140F17">
      <w:pPr>
        <w:pStyle w:val="Heading6"/>
      </w:pPr>
      <w:r w:rsidRPr="00140F17">
        <w:t>Study 1199.0030</w:t>
      </w:r>
    </w:p>
    <w:p w14:paraId="7180CEE0" w14:textId="77777777" w:rsidR="00C66BFF" w:rsidRPr="00D42826" w:rsidRDefault="00C66BFF" w:rsidP="00140F17">
      <w:pPr>
        <w:autoSpaceDE w:val="0"/>
        <w:autoSpaceDN w:val="0"/>
        <w:adjustRightInd w:val="0"/>
      </w:pPr>
      <w:r>
        <w:t>S</w:t>
      </w:r>
      <w:r w:rsidRPr="00140F17">
        <w:t xml:space="preserve">erious AEs were slightly less common in the </w:t>
      </w:r>
      <w:proofErr w:type="spellStart"/>
      <w:r w:rsidRPr="00140F17">
        <w:t>nintedanib</w:t>
      </w:r>
      <w:proofErr w:type="spellEnd"/>
      <w:r w:rsidRPr="00140F17">
        <w:t xml:space="preserve"> 150 mg BD arm than in the placebo arm (27.1% </w:t>
      </w:r>
      <w:r w:rsidR="00B54A34">
        <w:t>versus</w:t>
      </w:r>
      <w:r w:rsidRPr="00140F17">
        <w:t xml:space="preserve"> 30.6%). Serious AEs occurring in more than 2% of subjects </w:t>
      </w:r>
      <w:r w:rsidR="00ED0B20">
        <w:t>were provided</w:t>
      </w:r>
      <w:r w:rsidRPr="00140F17">
        <w:t>. Serious gastrointestinal AEs (mainly diarrhoea) were</w:t>
      </w:r>
      <w:r w:rsidR="00140F17">
        <w:t xml:space="preserve"> more frequent with </w:t>
      </w:r>
      <w:proofErr w:type="spellStart"/>
      <w:r w:rsidR="00140F17">
        <w:t>nintedanib</w:t>
      </w:r>
      <w:proofErr w:type="spellEnd"/>
      <w:r w:rsidR="00140F17">
        <w:t>.</w:t>
      </w:r>
    </w:p>
    <w:p w14:paraId="7180CEE1" w14:textId="77777777" w:rsidR="00C66BFF" w:rsidRPr="00140F17" w:rsidRDefault="00C66BFF" w:rsidP="00140F17">
      <w:pPr>
        <w:pStyle w:val="Heading5"/>
      </w:pPr>
      <w:bookmarkStart w:id="275" w:name="_Toc291519001"/>
      <w:r w:rsidRPr="00140F17">
        <w:t>Discontinuation due to adverse events</w:t>
      </w:r>
      <w:bookmarkEnd w:id="275"/>
    </w:p>
    <w:p w14:paraId="7180CEE2" w14:textId="77777777" w:rsidR="00C66BFF" w:rsidRPr="00140F17" w:rsidRDefault="00C66BFF" w:rsidP="00140F17">
      <w:pPr>
        <w:pStyle w:val="Heading6"/>
      </w:pPr>
      <w:r w:rsidRPr="00140F17">
        <w:t>Pivotal studies</w:t>
      </w:r>
    </w:p>
    <w:p w14:paraId="7180CEE3" w14:textId="77777777" w:rsidR="00C66BFF" w:rsidRPr="00140F17" w:rsidRDefault="00C66BFF" w:rsidP="00140F17">
      <w:r w:rsidRPr="00140F17">
        <w:t xml:space="preserve">Discontinuation due to an AE was more common with </w:t>
      </w:r>
      <w:proofErr w:type="spellStart"/>
      <w:r w:rsidRPr="00140F17">
        <w:t>nintedanib</w:t>
      </w:r>
      <w:proofErr w:type="spellEnd"/>
      <w:r w:rsidRPr="00140F17">
        <w:t xml:space="preserve"> than with placebo (19.3% </w:t>
      </w:r>
      <w:r w:rsidR="00B54A34">
        <w:t>versus</w:t>
      </w:r>
      <w:r w:rsidRPr="00140F17">
        <w:t xml:space="preserve"> 13.0%). Gastrointestinal events (diarrhoea, nausea) were more common with </w:t>
      </w:r>
      <w:proofErr w:type="spellStart"/>
      <w:r w:rsidRPr="00140F17">
        <w:t>nintedanib</w:t>
      </w:r>
      <w:proofErr w:type="spellEnd"/>
      <w:r w:rsidRPr="00140F17">
        <w:t xml:space="preserve"> as were hepatobiliary disorders and abnormal investigations (decreased weight and abnormal LFTs).</w:t>
      </w:r>
    </w:p>
    <w:p w14:paraId="7180CEE4" w14:textId="77777777" w:rsidR="00C66BFF" w:rsidRPr="00140F17" w:rsidRDefault="00C66BFF" w:rsidP="00140F17">
      <w:pPr>
        <w:pStyle w:val="Heading6"/>
      </w:pPr>
      <w:r w:rsidRPr="00140F17">
        <w:t>Study 1199.0030</w:t>
      </w:r>
    </w:p>
    <w:p w14:paraId="7180CEE5" w14:textId="77777777" w:rsidR="00C66BFF" w:rsidRPr="00140F17" w:rsidRDefault="00C66BFF" w:rsidP="00140F17">
      <w:r w:rsidRPr="00140F17">
        <w:t xml:space="preserve">Discontinuation due to an AE was again more common with </w:t>
      </w:r>
      <w:proofErr w:type="spellStart"/>
      <w:r w:rsidRPr="00140F17">
        <w:t>nintedanib</w:t>
      </w:r>
      <w:proofErr w:type="spellEnd"/>
      <w:r w:rsidRPr="00140F17">
        <w:t xml:space="preserve"> than with placebo (30.6% </w:t>
      </w:r>
      <w:r w:rsidR="00B54A34">
        <w:t>versus</w:t>
      </w:r>
      <w:r w:rsidRPr="00140F17">
        <w:t xml:space="preserve"> 25.9</w:t>
      </w:r>
      <w:r w:rsidRPr="00ED0B20">
        <w:t>%).</w:t>
      </w:r>
      <w:r w:rsidRPr="00140F17">
        <w:t xml:space="preserve"> Gastrointestinal events (diarrhoea, nausea) were again more common with </w:t>
      </w:r>
      <w:proofErr w:type="spellStart"/>
      <w:r w:rsidRPr="00140F17">
        <w:t>nintedanib</w:t>
      </w:r>
      <w:proofErr w:type="spellEnd"/>
      <w:r w:rsidRPr="00140F17">
        <w:t xml:space="preserve"> as were abnormal investigations (decreased weight and abnor</w:t>
      </w:r>
      <w:r w:rsidR="00140F17" w:rsidRPr="00140F17">
        <w:t>mal LFTs).</w:t>
      </w:r>
    </w:p>
    <w:p w14:paraId="7180CEE6" w14:textId="77777777" w:rsidR="00C66BFF" w:rsidRPr="00140F17" w:rsidRDefault="00C66BFF" w:rsidP="00140F17">
      <w:pPr>
        <w:pStyle w:val="Heading5"/>
      </w:pPr>
      <w:bookmarkStart w:id="276" w:name="_Toc291519002"/>
      <w:r w:rsidRPr="00140F17">
        <w:lastRenderedPageBreak/>
        <w:t>Adverse events of special interest (AESI)</w:t>
      </w:r>
      <w:bookmarkEnd w:id="276"/>
    </w:p>
    <w:p w14:paraId="7180CEE7" w14:textId="77777777" w:rsidR="00C66BFF" w:rsidRPr="00140F17" w:rsidRDefault="00C66BFF" w:rsidP="00140F17">
      <w:pPr>
        <w:pStyle w:val="Heading6"/>
      </w:pPr>
      <w:r w:rsidRPr="00140F17">
        <w:t>Pivotal studies</w:t>
      </w:r>
    </w:p>
    <w:p w14:paraId="7180CEE8" w14:textId="77777777" w:rsidR="00C66BFF" w:rsidRPr="00140F17" w:rsidRDefault="00C66BFF" w:rsidP="00140F17">
      <w:r w:rsidRPr="00140F17">
        <w:t>AESI are summarised in</w:t>
      </w:r>
      <w:r w:rsidR="00DE6546">
        <w:t xml:space="preserve"> Table 46</w:t>
      </w:r>
      <w:r w:rsidRPr="00140F17">
        <w:t>. Notable findings included the following:</w:t>
      </w:r>
    </w:p>
    <w:p w14:paraId="7180CEE9" w14:textId="77777777" w:rsidR="00C66BFF" w:rsidRPr="00140F17" w:rsidRDefault="00C66BFF" w:rsidP="00140F17">
      <w:pPr>
        <w:pStyle w:val="ListBullet"/>
      </w:pPr>
      <w:r w:rsidRPr="00140F17">
        <w:t>Abdominal pain and hepatotoxicity were cle</w:t>
      </w:r>
      <w:r w:rsidR="00140F17">
        <w:t xml:space="preserve">arly increased with </w:t>
      </w:r>
      <w:proofErr w:type="spellStart"/>
      <w:r w:rsidR="00140F17">
        <w:t>nintedanib</w:t>
      </w:r>
      <w:proofErr w:type="spellEnd"/>
      <w:r w:rsidR="00140F17">
        <w:t>.</w:t>
      </w:r>
    </w:p>
    <w:p w14:paraId="7180CEEA" w14:textId="77777777" w:rsidR="00C66BFF" w:rsidRPr="00140F17" w:rsidRDefault="00C66BFF" w:rsidP="00140F17">
      <w:pPr>
        <w:pStyle w:val="ListBullet"/>
      </w:pPr>
      <w:r w:rsidRPr="00140F17">
        <w:t xml:space="preserve">There were two cases of GIT perforation with </w:t>
      </w:r>
      <w:proofErr w:type="spellStart"/>
      <w:r w:rsidRPr="00140F17">
        <w:t>nintedanib</w:t>
      </w:r>
      <w:proofErr w:type="spellEnd"/>
      <w:r w:rsidRPr="00140F17">
        <w:t xml:space="preserve"> and none with placebo. GIT perforation is a known AE for other agents that interrupt the VEGF pathway.</w:t>
      </w:r>
    </w:p>
    <w:p w14:paraId="7180CEEB" w14:textId="77777777" w:rsidR="00C66BFF" w:rsidRPr="00DE6546" w:rsidRDefault="00C66BFF" w:rsidP="00140F17">
      <w:pPr>
        <w:pStyle w:val="ListBullet"/>
      </w:pPr>
      <w:r w:rsidRPr="00140F17">
        <w:t xml:space="preserve">There was an increased incidence of arterial thromboembolic events (ATEs) and major adverse cardiac events (MACE). For both categories, the excess of events was due to an increased incidence of myocardial </w:t>
      </w:r>
      <w:r w:rsidRPr="00DE6546">
        <w:t>infarction (</w:t>
      </w:r>
      <w:r w:rsidR="00DE6546" w:rsidRPr="00DE6546">
        <w:t>Table 47</w:t>
      </w:r>
      <w:r w:rsidR="00140F17" w:rsidRPr="00DE6546">
        <w:t>).</w:t>
      </w:r>
    </w:p>
    <w:p w14:paraId="7180CEEC" w14:textId="77777777" w:rsidR="00C66BFF" w:rsidRPr="00140F17" w:rsidRDefault="00C66BFF" w:rsidP="00140F17">
      <w:pPr>
        <w:pStyle w:val="ListBullet"/>
      </w:pPr>
      <w:r w:rsidRPr="00140F17">
        <w:t xml:space="preserve">Bleeding events were more common with </w:t>
      </w:r>
      <w:proofErr w:type="spellStart"/>
      <w:r w:rsidRPr="00140F17">
        <w:t>nintedanib</w:t>
      </w:r>
      <w:proofErr w:type="spellEnd"/>
      <w:r w:rsidRPr="00140F17">
        <w:t xml:space="preserve"> (10.3% </w:t>
      </w:r>
      <w:r w:rsidR="00B54A34">
        <w:t>versus</w:t>
      </w:r>
      <w:r w:rsidRPr="00140F17">
        <w:t xml:space="preserve"> 7.8%). The most common AE terms were epistaxis and contusion. The incidence of serious bleeding events was comparable (1.3% </w:t>
      </w:r>
      <w:r w:rsidR="00B54A34">
        <w:t>versus</w:t>
      </w:r>
      <w:r w:rsidRPr="00140F17">
        <w:t xml:space="preserve"> 1.4%).</w:t>
      </w:r>
    </w:p>
    <w:p w14:paraId="7180CEED" w14:textId="77777777" w:rsidR="00C66BFF" w:rsidRDefault="00C66BFF" w:rsidP="00C66BFF">
      <w:pPr>
        <w:pStyle w:val="ListBullet"/>
      </w:pPr>
      <w:r w:rsidRPr="00140F17">
        <w:t xml:space="preserve">Hypertension was more common with </w:t>
      </w:r>
      <w:proofErr w:type="spellStart"/>
      <w:r w:rsidRPr="00140F17">
        <w:t>nintedanib</w:t>
      </w:r>
      <w:proofErr w:type="spellEnd"/>
      <w:r w:rsidRPr="00140F17">
        <w:t>.</w:t>
      </w:r>
    </w:p>
    <w:p w14:paraId="7180CEEE" w14:textId="77777777" w:rsidR="00DE6546" w:rsidRDefault="00DE6546" w:rsidP="00DE6546">
      <w:pPr>
        <w:pStyle w:val="Tabletitle"/>
      </w:pPr>
      <w:proofErr w:type="gramStart"/>
      <w:r>
        <w:t>Table 46.</w:t>
      </w:r>
      <w:proofErr w:type="gramEnd"/>
      <w:r>
        <w:t xml:space="preserve"> </w:t>
      </w:r>
      <w:proofErr w:type="gramStart"/>
      <w:r>
        <w:t>Studies 1199.0032 and 1199.034 –AEs of special interest.</w:t>
      </w:r>
      <w:proofErr w:type="gramEnd"/>
    </w:p>
    <w:p w14:paraId="7180CEEF" w14:textId="77777777" w:rsidR="00DE6546" w:rsidRDefault="00DE6546" w:rsidP="00DE6546">
      <w:r>
        <w:rPr>
          <w:noProof/>
          <w:lang w:eastAsia="en-AU"/>
        </w:rPr>
        <w:drawing>
          <wp:inline distT="0" distB="0" distL="0" distR="0" wp14:anchorId="7180CFF0" wp14:editId="279C24EF">
            <wp:extent cx="4162483" cy="2611336"/>
            <wp:effectExtent l="0" t="0" r="0" b="0"/>
            <wp:docPr id="53" name="Picture 53" descr="Table 46. Studies 1199.0032 and 1199.034 –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69422" cy="2615689"/>
                    </a:xfrm>
                    <a:prstGeom prst="rect">
                      <a:avLst/>
                    </a:prstGeom>
                  </pic:spPr>
                </pic:pic>
              </a:graphicData>
            </a:graphic>
          </wp:inline>
        </w:drawing>
      </w:r>
    </w:p>
    <w:p w14:paraId="7180CEF0" w14:textId="77777777" w:rsidR="00DE6546" w:rsidRDefault="00DE6546" w:rsidP="00DE6546">
      <w:pPr>
        <w:pStyle w:val="Tabletitle"/>
      </w:pPr>
      <w:proofErr w:type="gramStart"/>
      <w:r>
        <w:lastRenderedPageBreak/>
        <w:t>Table 47.</w:t>
      </w:r>
      <w:proofErr w:type="gramEnd"/>
      <w:r>
        <w:t xml:space="preserve"> </w:t>
      </w:r>
      <w:proofErr w:type="gramStart"/>
      <w:r w:rsidRPr="00DE6546">
        <w:t>Studies 1199.0032 and 1199.034 –ATEs and MACE</w:t>
      </w:r>
      <w:r>
        <w:t>.</w:t>
      </w:r>
      <w:proofErr w:type="gramEnd"/>
    </w:p>
    <w:p w14:paraId="7180CEF1" w14:textId="77777777" w:rsidR="00DE6546" w:rsidRPr="00DE6546" w:rsidRDefault="00DE6546" w:rsidP="00DE6546">
      <w:r>
        <w:rPr>
          <w:noProof/>
          <w:lang w:eastAsia="en-AU"/>
        </w:rPr>
        <w:drawing>
          <wp:inline distT="0" distB="0" distL="0" distR="0" wp14:anchorId="7180CFF2" wp14:editId="1A95C92F">
            <wp:extent cx="2995642" cy="2995642"/>
            <wp:effectExtent l="0" t="0" r="0" b="0"/>
            <wp:docPr id="54" name="Picture 54" descr="Table 47. Studies 1199.0032 and 1199.034 –ATEs and 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94873" cy="2994873"/>
                    </a:xfrm>
                    <a:prstGeom prst="rect">
                      <a:avLst/>
                    </a:prstGeom>
                  </pic:spPr>
                </pic:pic>
              </a:graphicData>
            </a:graphic>
          </wp:inline>
        </w:drawing>
      </w:r>
    </w:p>
    <w:p w14:paraId="7180CEF2" w14:textId="77777777" w:rsidR="00C66BFF" w:rsidRPr="00140F17" w:rsidRDefault="00C66BFF" w:rsidP="00140F17">
      <w:pPr>
        <w:pStyle w:val="Heading6"/>
      </w:pPr>
      <w:r w:rsidRPr="00140F17">
        <w:t>Study 1199.0030</w:t>
      </w:r>
    </w:p>
    <w:p w14:paraId="7180CEF3" w14:textId="77777777" w:rsidR="00C66BFF" w:rsidRPr="00140F17" w:rsidRDefault="00C66BFF" w:rsidP="00140F17">
      <w:r w:rsidRPr="00140F17">
        <w:t>There were no AESI</w:t>
      </w:r>
      <w:r w:rsidR="00140F17" w:rsidRPr="00140F17">
        <w:t xml:space="preserve"> specified for </w:t>
      </w:r>
      <w:r w:rsidR="00D4340F">
        <w:t>Study</w:t>
      </w:r>
      <w:r w:rsidR="00140F17" w:rsidRPr="00140F17">
        <w:t xml:space="preserve"> 1199.0030.</w:t>
      </w:r>
    </w:p>
    <w:p w14:paraId="7180CEF4" w14:textId="77777777" w:rsidR="00C66BFF" w:rsidRPr="00140F17" w:rsidRDefault="00C66BFF" w:rsidP="00140F17">
      <w:pPr>
        <w:pStyle w:val="Heading4"/>
      </w:pPr>
      <w:bookmarkStart w:id="277" w:name="_Toc291519003"/>
      <w:r w:rsidRPr="00140F17">
        <w:t>Laboratory tests</w:t>
      </w:r>
      <w:bookmarkEnd w:id="277"/>
    </w:p>
    <w:p w14:paraId="7180CEF5" w14:textId="77777777" w:rsidR="00C66BFF" w:rsidRPr="00140F17" w:rsidRDefault="00C66BFF" w:rsidP="00140F17">
      <w:pPr>
        <w:pStyle w:val="Heading5"/>
      </w:pPr>
      <w:bookmarkStart w:id="278" w:name="_Toc291519004"/>
      <w:r w:rsidRPr="00140F17">
        <w:t>Liver function</w:t>
      </w:r>
      <w:bookmarkEnd w:id="278"/>
    </w:p>
    <w:p w14:paraId="7180CEF6" w14:textId="77777777" w:rsidR="00C66BFF" w:rsidRPr="00140F17" w:rsidRDefault="00C66BFF" w:rsidP="00140F17">
      <w:pPr>
        <w:pStyle w:val="Heading6"/>
      </w:pPr>
      <w:r w:rsidRPr="00140F17">
        <w:t>Pivotal studies</w:t>
      </w:r>
    </w:p>
    <w:p w14:paraId="7180CEF7" w14:textId="77777777" w:rsidR="00C66BFF" w:rsidRPr="00140F17" w:rsidRDefault="00C66BFF" w:rsidP="00140F17">
      <w:r w:rsidRPr="00140F17">
        <w:t xml:space="preserve">LFT abnormalities occurred more frequently with </w:t>
      </w:r>
      <w:proofErr w:type="spellStart"/>
      <w:r w:rsidRPr="00140F17">
        <w:t>nintedanib</w:t>
      </w:r>
      <w:proofErr w:type="spellEnd"/>
      <w:r w:rsidRPr="00140F17">
        <w:t xml:space="preserve">. There were no cases in the </w:t>
      </w:r>
      <w:proofErr w:type="spellStart"/>
      <w:r w:rsidRPr="00140F17">
        <w:t>nintedanib</w:t>
      </w:r>
      <w:proofErr w:type="spellEnd"/>
      <w:r w:rsidRPr="00140F17">
        <w:t xml:space="preserve"> arm that </w:t>
      </w:r>
      <w:r w:rsidR="00140F17">
        <w:t xml:space="preserve">met the criteria for </w:t>
      </w:r>
      <w:proofErr w:type="spellStart"/>
      <w:r w:rsidR="00140F17">
        <w:t>Hy’s</w:t>
      </w:r>
      <w:proofErr w:type="spellEnd"/>
      <w:r w:rsidR="00140F17">
        <w:t xml:space="preserve"> law.</w:t>
      </w:r>
    </w:p>
    <w:p w14:paraId="7180CEF8" w14:textId="77777777" w:rsidR="00C66BFF" w:rsidRPr="00140F17" w:rsidRDefault="00C66BFF" w:rsidP="00140F17">
      <w:pPr>
        <w:pStyle w:val="Heading6"/>
      </w:pPr>
      <w:r w:rsidRPr="00140F17">
        <w:t>Study 1199.0030</w:t>
      </w:r>
    </w:p>
    <w:p w14:paraId="7180CEF9" w14:textId="77777777" w:rsidR="00C66BFF" w:rsidRPr="00140F17" w:rsidRDefault="00C66BFF" w:rsidP="00140F17">
      <w:r w:rsidRPr="00140F17">
        <w:t xml:space="preserve">Abnormal LFTs were more common with </w:t>
      </w:r>
      <w:proofErr w:type="spellStart"/>
      <w:r w:rsidRPr="00140F17">
        <w:t>nintedanib</w:t>
      </w:r>
      <w:proofErr w:type="spellEnd"/>
      <w:r w:rsidRPr="00140F17">
        <w:t xml:space="preserve"> 150 mg BD than with placebo. There were no cases in the </w:t>
      </w:r>
      <w:proofErr w:type="spellStart"/>
      <w:r w:rsidRPr="00140F17">
        <w:t>nintedanib</w:t>
      </w:r>
      <w:proofErr w:type="spellEnd"/>
      <w:r w:rsidRPr="00140F17">
        <w:t xml:space="preserve"> arm that </w:t>
      </w:r>
      <w:r w:rsidR="00140F17" w:rsidRPr="00140F17">
        <w:t xml:space="preserve">met the criteria for </w:t>
      </w:r>
      <w:proofErr w:type="spellStart"/>
      <w:r w:rsidR="00140F17" w:rsidRPr="00140F17">
        <w:t>Hy’s</w:t>
      </w:r>
      <w:proofErr w:type="spellEnd"/>
      <w:r w:rsidR="00140F17" w:rsidRPr="00140F17">
        <w:t xml:space="preserve"> law.</w:t>
      </w:r>
    </w:p>
    <w:p w14:paraId="7180CEFA" w14:textId="77777777" w:rsidR="00C66BFF" w:rsidRPr="00140F17" w:rsidRDefault="00C66BFF" w:rsidP="00140F17">
      <w:pPr>
        <w:pStyle w:val="Heading5"/>
      </w:pPr>
      <w:bookmarkStart w:id="279" w:name="_Toc291519005"/>
      <w:r w:rsidRPr="00140F17">
        <w:t>Kidney function</w:t>
      </w:r>
      <w:bookmarkEnd w:id="279"/>
    </w:p>
    <w:p w14:paraId="7180CEFB" w14:textId="77777777" w:rsidR="00C66BFF" w:rsidRPr="00140F17" w:rsidRDefault="00C66BFF" w:rsidP="00140F17">
      <w:pPr>
        <w:pStyle w:val="Heading6"/>
      </w:pPr>
      <w:r w:rsidRPr="00140F17">
        <w:t>Pivotal studies</w:t>
      </w:r>
    </w:p>
    <w:p w14:paraId="7180CEFC" w14:textId="77777777" w:rsidR="00C66BFF" w:rsidRPr="00140F17" w:rsidRDefault="00C66BFF" w:rsidP="00140F17">
      <w:r w:rsidRPr="00140F17">
        <w:t>Elevations of creatinine occurred more commonly in the placebo arm (2.2</w:t>
      </w:r>
      <w:r w:rsidRPr="00DE6546">
        <w:t xml:space="preserve">% </w:t>
      </w:r>
      <w:proofErr w:type="spellStart"/>
      <w:r w:rsidR="00DE6546">
        <w:t>nintedanib</w:t>
      </w:r>
      <w:proofErr w:type="spellEnd"/>
      <w:r w:rsidR="00DE6546">
        <w:t xml:space="preserve"> 150 mg BD </w:t>
      </w:r>
      <w:r w:rsidR="00B54A34" w:rsidRPr="00DE6546">
        <w:t>versus</w:t>
      </w:r>
      <w:r w:rsidRPr="00DE6546">
        <w:t xml:space="preserve"> 3.4%</w:t>
      </w:r>
      <w:r w:rsidR="00DE6546">
        <w:t xml:space="preserve"> placebo</w:t>
      </w:r>
      <w:r w:rsidR="00140F17" w:rsidRPr="00DE6546">
        <w:t>).</w:t>
      </w:r>
    </w:p>
    <w:p w14:paraId="7180CEFD" w14:textId="77777777" w:rsidR="00C66BFF" w:rsidRPr="00140F17" w:rsidRDefault="00C66BFF" w:rsidP="00140F17">
      <w:pPr>
        <w:pStyle w:val="Heading6"/>
      </w:pPr>
      <w:r w:rsidRPr="00140F17">
        <w:t>Study 1199.0030</w:t>
      </w:r>
    </w:p>
    <w:p w14:paraId="7180CEFE" w14:textId="77777777" w:rsidR="00C66BFF" w:rsidRDefault="00C66BFF" w:rsidP="00C66BFF">
      <w:r>
        <w:t xml:space="preserve">Elevations of creatinine occurred more commonly in the placebo arm (1.2% </w:t>
      </w:r>
      <w:proofErr w:type="spellStart"/>
      <w:r w:rsidR="00DE6546" w:rsidRPr="00DE6546">
        <w:t>nintedanib</w:t>
      </w:r>
      <w:proofErr w:type="spellEnd"/>
      <w:r w:rsidR="00DE6546" w:rsidRPr="00DE6546">
        <w:t xml:space="preserve"> 150 mg BD </w:t>
      </w:r>
      <w:r w:rsidR="00B54A34">
        <w:t>versus</w:t>
      </w:r>
      <w:r>
        <w:t xml:space="preserve"> 9.5%</w:t>
      </w:r>
      <w:r w:rsidR="00DE6546">
        <w:t xml:space="preserve"> </w:t>
      </w:r>
      <w:r w:rsidR="00DE6546" w:rsidRPr="00DE6546">
        <w:t>placebo</w:t>
      </w:r>
      <w:r w:rsidR="00140F17">
        <w:t>).</w:t>
      </w:r>
    </w:p>
    <w:p w14:paraId="7180CEFF" w14:textId="77777777" w:rsidR="00C66BFF" w:rsidRPr="00140F17" w:rsidRDefault="00C66BFF" w:rsidP="00140F17">
      <w:pPr>
        <w:pStyle w:val="Heading5"/>
      </w:pPr>
      <w:bookmarkStart w:id="280" w:name="_Toc291519006"/>
      <w:r w:rsidRPr="00140F17">
        <w:t>Other clinical chemistry</w:t>
      </w:r>
      <w:bookmarkEnd w:id="280"/>
    </w:p>
    <w:p w14:paraId="7180CF00" w14:textId="77777777" w:rsidR="00C66BFF" w:rsidRPr="00140F17" w:rsidRDefault="00C66BFF" w:rsidP="00140F17">
      <w:pPr>
        <w:pStyle w:val="Heading6"/>
      </w:pPr>
      <w:r w:rsidRPr="00140F17">
        <w:t>Pivotal studies</w:t>
      </w:r>
    </w:p>
    <w:p w14:paraId="7180CF01" w14:textId="77777777" w:rsidR="00C66BFF" w:rsidRDefault="00C66BFF" w:rsidP="00C66BFF">
      <w:r w:rsidRPr="00140F17">
        <w:t>Abnormalities of other biochemistry variables occurred with comparable frequency in the treatment arms.</w:t>
      </w:r>
    </w:p>
    <w:p w14:paraId="7180CF02" w14:textId="77777777" w:rsidR="00C66BFF" w:rsidRPr="00140F17" w:rsidRDefault="00C66BFF" w:rsidP="00140F17">
      <w:pPr>
        <w:pStyle w:val="Heading6"/>
      </w:pPr>
      <w:r w:rsidRPr="00140F17">
        <w:t>Study 1199.0030</w:t>
      </w:r>
    </w:p>
    <w:p w14:paraId="7180CF03" w14:textId="77777777" w:rsidR="00C66BFF" w:rsidRDefault="00C66BFF" w:rsidP="00C66BFF">
      <w:r w:rsidRPr="00140F17">
        <w:t xml:space="preserve">Hypocalcaemia was more common with </w:t>
      </w:r>
      <w:proofErr w:type="spellStart"/>
      <w:r w:rsidRPr="00140F17">
        <w:t>nintedanib</w:t>
      </w:r>
      <w:proofErr w:type="spellEnd"/>
      <w:r w:rsidRPr="00140F17">
        <w:t xml:space="preserve"> (23.8% </w:t>
      </w:r>
      <w:r w:rsidR="00B54A34">
        <w:t>versus</w:t>
      </w:r>
      <w:r w:rsidRPr="00140F17">
        <w:t xml:space="preserve"> 8.3%). However hypocalcaemia was considered to be clinically s</w:t>
      </w:r>
      <w:r w:rsidR="00505769">
        <w:t xml:space="preserve">ignificant in only 1 </w:t>
      </w:r>
      <w:proofErr w:type="spellStart"/>
      <w:r w:rsidR="00505769">
        <w:t>nintedanib</w:t>
      </w:r>
      <w:proofErr w:type="spellEnd"/>
      <w:r w:rsidR="00505769">
        <w:t xml:space="preserve"> </w:t>
      </w:r>
      <w:r w:rsidRPr="00140F17">
        <w:t>treated subject. Abnormalities of sodium potassium occurred with comparable frequency.</w:t>
      </w:r>
    </w:p>
    <w:p w14:paraId="7180CF04" w14:textId="77777777" w:rsidR="00C66BFF" w:rsidRPr="00140F17" w:rsidRDefault="00C66BFF" w:rsidP="00140F17">
      <w:pPr>
        <w:pStyle w:val="Heading5"/>
      </w:pPr>
      <w:bookmarkStart w:id="281" w:name="_Toc291519007"/>
      <w:r w:rsidRPr="00140F17">
        <w:lastRenderedPageBreak/>
        <w:t>Coagulation parameters</w:t>
      </w:r>
      <w:bookmarkEnd w:id="281"/>
    </w:p>
    <w:p w14:paraId="7180CF05" w14:textId="77777777" w:rsidR="00C66BFF" w:rsidRPr="00140F17" w:rsidRDefault="00C66BFF" w:rsidP="00140F17">
      <w:pPr>
        <w:pStyle w:val="Heading6"/>
      </w:pPr>
      <w:r w:rsidRPr="00140F17">
        <w:t>Pivotal studies</w:t>
      </w:r>
    </w:p>
    <w:p w14:paraId="7180CF06" w14:textId="77777777" w:rsidR="00C66BFF" w:rsidRDefault="00C66BFF" w:rsidP="00C66BFF">
      <w:r w:rsidRPr="00140F17">
        <w:t xml:space="preserve">Prolongations of INR and </w:t>
      </w:r>
      <w:proofErr w:type="spellStart"/>
      <w:r w:rsidRPr="00140F17">
        <w:t>aPTT</w:t>
      </w:r>
      <w:proofErr w:type="spellEnd"/>
      <w:r w:rsidRPr="00140F17">
        <w:t xml:space="preserve"> occurred with comparab</w:t>
      </w:r>
      <w:r w:rsidR="00DE6546">
        <w:t>le frequency in the study arms.</w:t>
      </w:r>
    </w:p>
    <w:p w14:paraId="7180CF07" w14:textId="77777777" w:rsidR="00C66BFF" w:rsidRPr="00140F17" w:rsidRDefault="00C66BFF" w:rsidP="00140F17">
      <w:pPr>
        <w:pStyle w:val="Heading6"/>
      </w:pPr>
      <w:r w:rsidRPr="00140F17">
        <w:t>Study 1199.0030</w:t>
      </w:r>
    </w:p>
    <w:p w14:paraId="7180CF08" w14:textId="77777777" w:rsidR="00C66BFF" w:rsidRDefault="00C66BFF" w:rsidP="00C66BFF">
      <w:r w:rsidRPr="00140F17">
        <w:t xml:space="preserve">Prolongations of INR and </w:t>
      </w:r>
      <w:proofErr w:type="spellStart"/>
      <w:r w:rsidRPr="00140F17">
        <w:t>aPTT</w:t>
      </w:r>
      <w:proofErr w:type="spellEnd"/>
      <w:r w:rsidRPr="00140F17">
        <w:t xml:space="preserve"> occurred more frequently in the </w:t>
      </w:r>
      <w:proofErr w:type="spellStart"/>
      <w:r w:rsidRPr="00140F17">
        <w:t>nintedanib</w:t>
      </w:r>
      <w:proofErr w:type="spellEnd"/>
      <w:r w:rsidRPr="00140F17">
        <w:t xml:space="preserve"> 150 mg BD arm compared with placebo. However, the incidence of clinically significant abnormalities was comparable in the two arms.</w:t>
      </w:r>
    </w:p>
    <w:p w14:paraId="7180CF09" w14:textId="77777777" w:rsidR="00C66BFF" w:rsidRPr="00140F17" w:rsidRDefault="00C66BFF" w:rsidP="00140F17">
      <w:pPr>
        <w:pStyle w:val="Heading5"/>
      </w:pPr>
      <w:bookmarkStart w:id="282" w:name="_Toc291519008"/>
      <w:r w:rsidRPr="00140F17">
        <w:t>Haematology</w:t>
      </w:r>
      <w:bookmarkEnd w:id="282"/>
    </w:p>
    <w:p w14:paraId="7180CF0A" w14:textId="77777777" w:rsidR="00C66BFF" w:rsidRPr="00140F17" w:rsidRDefault="00C66BFF" w:rsidP="00140F17">
      <w:pPr>
        <w:pStyle w:val="Heading6"/>
      </w:pPr>
      <w:r w:rsidRPr="00140F17">
        <w:t>Pivotal studies</w:t>
      </w:r>
    </w:p>
    <w:p w14:paraId="7180CF0B" w14:textId="77777777" w:rsidR="00C66BFF" w:rsidRPr="00140F17" w:rsidRDefault="00C66BFF" w:rsidP="00140F17">
      <w:proofErr w:type="spellStart"/>
      <w:r w:rsidRPr="00140F17">
        <w:t>Nintedanib</w:t>
      </w:r>
      <w:proofErr w:type="spellEnd"/>
      <w:r w:rsidRPr="00140F17">
        <w:t xml:space="preserve"> treatment was associated with an increased incidence of elevated red blood cell </w:t>
      </w:r>
      <w:r w:rsidR="00BC31A8">
        <w:t xml:space="preserve">mean corpuscular volume (MCV); </w:t>
      </w:r>
      <w:r w:rsidRPr="00140F17">
        <w:t>24.9%</w:t>
      </w:r>
      <w:r w:rsidR="00BC31A8">
        <w:t xml:space="preserve"> for </w:t>
      </w:r>
      <w:proofErr w:type="spellStart"/>
      <w:r w:rsidR="00BC31A8">
        <w:t>n</w:t>
      </w:r>
      <w:r w:rsidR="00BC31A8" w:rsidRPr="00BC31A8">
        <w:t>intedanib</w:t>
      </w:r>
      <w:proofErr w:type="spellEnd"/>
      <w:r w:rsidR="00BC31A8">
        <w:t xml:space="preserve"> 150 mg BD</w:t>
      </w:r>
      <w:r w:rsidRPr="00140F17">
        <w:t xml:space="preserve"> </w:t>
      </w:r>
      <w:r w:rsidR="00B54A34">
        <w:t>versus</w:t>
      </w:r>
      <w:r w:rsidR="00BC31A8">
        <w:t xml:space="preserve"> </w:t>
      </w:r>
      <w:r w:rsidRPr="00140F17">
        <w:t>9.4%</w:t>
      </w:r>
      <w:r w:rsidR="00BC31A8">
        <w:t xml:space="preserve"> for placebo</w:t>
      </w:r>
      <w:r w:rsidRPr="00140F17">
        <w:t xml:space="preserve">. There was no indication of an increased incidence of anaemia. Other haematology abnormalities occurred with comparable frequency or were more common with placebo </w:t>
      </w:r>
      <w:r w:rsidRPr="00BC31A8">
        <w:t>treatment</w:t>
      </w:r>
      <w:r w:rsidR="00140F17" w:rsidRPr="00BC31A8">
        <w:t>.</w:t>
      </w:r>
    </w:p>
    <w:p w14:paraId="7180CF0C" w14:textId="77777777" w:rsidR="00C66BFF" w:rsidRPr="00140F17" w:rsidRDefault="00C66BFF" w:rsidP="00140F17">
      <w:pPr>
        <w:pStyle w:val="Heading6"/>
      </w:pPr>
      <w:r w:rsidRPr="00140F17">
        <w:t>Study 1199.0030</w:t>
      </w:r>
    </w:p>
    <w:p w14:paraId="7180CF0D" w14:textId="77777777" w:rsidR="00C66BFF" w:rsidRPr="00140F17" w:rsidRDefault="00C66BFF" w:rsidP="00140F17">
      <w:r w:rsidRPr="00140F17">
        <w:t xml:space="preserve">Abnormal haematology values occurred with comparable frequency in the </w:t>
      </w:r>
      <w:proofErr w:type="spellStart"/>
      <w:r w:rsidRPr="00140F17">
        <w:t>ninted</w:t>
      </w:r>
      <w:r w:rsidR="00BC31A8">
        <w:t>anib</w:t>
      </w:r>
      <w:proofErr w:type="spellEnd"/>
      <w:r w:rsidR="00BC31A8">
        <w:t xml:space="preserve"> 150 mg BD and placebo arms.</w:t>
      </w:r>
    </w:p>
    <w:p w14:paraId="7180CF0E" w14:textId="77777777" w:rsidR="00C66BFF" w:rsidRPr="00140F17" w:rsidRDefault="00C66BFF" w:rsidP="00140F17">
      <w:pPr>
        <w:pStyle w:val="Heading5"/>
      </w:pPr>
      <w:bookmarkStart w:id="283" w:name="_Toc291519009"/>
      <w:r w:rsidRPr="00140F17">
        <w:t>Thyroid function tests</w:t>
      </w:r>
      <w:bookmarkEnd w:id="283"/>
    </w:p>
    <w:p w14:paraId="7180CF0F" w14:textId="77777777" w:rsidR="00C66BFF" w:rsidRPr="00140F17" w:rsidRDefault="00C66BFF" w:rsidP="00140F17">
      <w:pPr>
        <w:pStyle w:val="Heading6"/>
      </w:pPr>
      <w:r w:rsidRPr="00140F17">
        <w:t>Pivotal studies</w:t>
      </w:r>
    </w:p>
    <w:p w14:paraId="7180CF10" w14:textId="77777777" w:rsidR="00C66BFF" w:rsidRPr="00140F17" w:rsidRDefault="00C66BFF" w:rsidP="00140F17">
      <w:r w:rsidRPr="00140F17">
        <w:t>Abnormalities of TSH (both increase and decrease) occurred with comparable frequ</w:t>
      </w:r>
      <w:r w:rsidR="00140F17" w:rsidRPr="00140F17">
        <w:t>ency in the two treatment arms.</w:t>
      </w:r>
    </w:p>
    <w:p w14:paraId="7180CF11" w14:textId="77777777" w:rsidR="00C66BFF" w:rsidRPr="00140F17" w:rsidRDefault="00C66BFF" w:rsidP="00140F17">
      <w:pPr>
        <w:pStyle w:val="Heading6"/>
      </w:pPr>
      <w:r w:rsidRPr="00140F17">
        <w:t>Study 1199.0030</w:t>
      </w:r>
    </w:p>
    <w:p w14:paraId="7180CF12" w14:textId="77777777" w:rsidR="00C66BFF" w:rsidRPr="00140F17" w:rsidRDefault="00C66BFF" w:rsidP="00140F17">
      <w:r w:rsidRPr="00140F17">
        <w:t xml:space="preserve">The numbers of patients who had TSH values was too low (3 in the placebo group and 8 in the </w:t>
      </w:r>
      <w:proofErr w:type="spellStart"/>
      <w:r w:rsidRPr="00140F17">
        <w:t>nintedanib</w:t>
      </w:r>
      <w:proofErr w:type="spellEnd"/>
      <w:r w:rsidRPr="00140F17">
        <w:t xml:space="preserve"> 150 mg BD group) </w:t>
      </w:r>
      <w:r w:rsidR="00140F17" w:rsidRPr="00140F17">
        <w:t>to allow a meaningful analysis.</w:t>
      </w:r>
    </w:p>
    <w:p w14:paraId="7180CF13" w14:textId="77777777" w:rsidR="00C66BFF" w:rsidRPr="00140F17" w:rsidRDefault="00C66BFF" w:rsidP="00140F17">
      <w:pPr>
        <w:pStyle w:val="Heading5"/>
      </w:pPr>
      <w:bookmarkStart w:id="284" w:name="_Toc291519010"/>
      <w:r w:rsidRPr="00140F17">
        <w:t>Electrocardiograph</w:t>
      </w:r>
      <w:bookmarkEnd w:id="284"/>
    </w:p>
    <w:p w14:paraId="7180CF14" w14:textId="77777777" w:rsidR="00C66BFF" w:rsidRPr="00140F17" w:rsidRDefault="00C66BFF" w:rsidP="00140F17">
      <w:pPr>
        <w:pStyle w:val="Heading6"/>
      </w:pPr>
      <w:r w:rsidRPr="00140F17">
        <w:t>Pivotal studies</w:t>
      </w:r>
    </w:p>
    <w:p w14:paraId="7180CF15" w14:textId="77777777" w:rsidR="00C66BFF" w:rsidRPr="00140F17" w:rsidRDefault="00C66BFF" w:rsidP="00140F17">
      <w:r w:rsidRPr="00140F17">
        <w:t xml:space="preserve">ECGs were only collected on subjects in Japan. The sponsor </w:t>
      </w:r>
      <w:r w:rsidR="00505769">
        <w:t>stated that based on these data</w:t>
      </w:r>
      <w:r w:rsidRPr="00140F17">
        <w:t xml:space="preserve"> there was no </w:t>
      </w:r>
      <w:r w:rsidR="00BC31A8" w:rsidRPr="00140F17">
        <w:t>discernible</w:t>
      </w:r>
      <w:r w:rsidRPr="00140F17">
        <w:t xml:space="preserve"> effec</w:t>
      </w:r>
      <w:r w:rsidR="00140F17" w:rsidRPr="00140F17">
        <w:t xml:space="preserve">t of </w:t>
      </w:r>
      <w:proofErr w:type="spellStart"/>
      <w:r w:rsidR="00140F17" w:rsidRPr="00140F17">
        <w:t>nintedanib</w:t>
      </w:r>
      <w:proofErr w:type="spellEnd"/>
      <w:r w:rsidR="00140F17" w:rsidRPr="00140F17">
        <w:t xml:space="preserve"> on QT interval.</w:t>
      </w:r>
    </w:p>
    <w:p w14:paraId="7180CF16" w14:textId="77777777" w:rsidR="00C66BFF" w:rsidRPr="00140F17" w:rsidRDefault="00C66BFF" w:rsidP="00140F17">
      <w:pPr>
        <w:pStyle w:val="Heading6"/>
      </w:pPr>
      <w:r w:rsidRPr="00140F17">
        <w:t>Study 1199.0030</w:t>
      </w:r>
    </w:p>
    <w:p w14:paraId="7180CF17" w14:textId="77777777" w:rsidR="00C66BFF" w:rsidRPr="00140F17" w:rsidRDefault="00C66BFF" w:rsidP="00140F17">
      <w:r w:rsidRPr="00140F17">
        <w:t>An analysis of ECGs was not</w:t>
      </w:r>
      <w:r w:rsidR="00140F17" w:rsidRPr="00140F17">
        <w:t xml:space="preserve"> presented in the study report.</w:t>
      </w:r>
    </w:p>
    <w:p w14:paraId="7180CF18" w14:textId="77777777" w:rsidR="00C66BFF" w:rsidRPr="00140F17" w:rsidRDefault="00C66BFF" w:rsidP="00140F17">
      <w:pPr>
        <w:pStyle w:val="Heading5"/>
      </w:pPr>
      <w:bookmarkStart w:id="285" w:name="_Toc291519011"/>
      <w:r w:rsidRPr="00140F17">
        <w:t>Vital signs</w:t>
      </w:r>
      <w:bookmarkEnd w:id="285"/>
    </w:p>
    <w:p w14:paraId="7180CF19" w14:textId="77777777" w:rsidR="00C66BFF" w:rsidRPr="00140F17" w:rsidRDefault="00C66BFF" w:rsidP="00140F17">
      <w:pPr>
        <w:pStyle w:val="Heading6"/>
      </w:pPr>
      <w:r w:rsidRPr="00140F17">
        <w:t>Pivotal studies</w:t>
      </w:r>
    </w:p>
    <w:p w14:paraId="7180CF1A" w14:textId="77777777" w:rsidR="00C66BFF" w:rsidRDefault="00C66BFF" w:rsidP="00140F17">
      <w:r w:rsidRPr="00140F17">
        <w:t>Differences in mean values for blood pressure and pu</w:t>
      </w:r>
      <w:r w:rsidR="00BC31A8">
        <w:t xml:space="preserve">lse rate were not significant. </w:t>
      </w:r>
      <w:r w:rsidRPr="00140F17">
        <w:t xml:space="preserve">Marked increases in blood pressure occurred more frequently with </w:t>
      </w:r>
      <w:proofErr w:type="spellStart"/>
      <w:r w:rsidRPr="00140F17">
        <w:t>nintedanib</w:t>
      </w:r>
      <w:proofErr w:type="spellEnd"/>
      <w:r w:rsidRPr="00140F17">
        <w:t xml:space="preserve">, as did marked decreases in pulse rate </w:t>
      </w:r>
      <w:r w:rsidR="00186550">
        <w:t>(Table 48)</w:t>
      </w:r>
      <w:r w:rsidRPr="00140F17">
        <w:t xml:space="preserve">. Average weight decreased more in the </w:t>
      </w:r>
      <w:proofErr w:type="spellStart"/>
      <w:r w:rsidRPr="00140F17">
        <w:t>nintedanib</w:t>
      </w:r>
      <w:proofErr w:type="spellEnd"/>
      <w:r w:rsidRPr="00140F17">
        <w:t xml:space="preserve"> groups compared to placebo (-3.1 kg </w:t>
      </w:r>
      <w:r w:rsidR="00B54A34">
        <w:t>versus</w:t>
      </w:r>
      <w:r w:rsidRPr="00140F17">
        <w:t xml:space="preserve"> -1.4 kg).</w:t>
      </w:r>
    </w:p>
    <w:p w14:paraId="7180CF1B" w14:textId="77777777" w:rsidR="00BC31A8" w:rsidRDefault="00BC31A8" w:rsidP="00BC31A8">
      <w:pPr>
        <w:pStyle w:val="Tabletitle"/>
      </w:pPr>
      <w:proofErr w:type="gramStart"/>
      <w:r>
        <w:lastRenderedPageBreak/>
        <w:t xml:space="preserve">Table </w:t>
      </w:r>
      <w:r w:rsidR="00186550">
        <w:t>48</w:t>
      </w:r>
      <w:r>
        <w:t>.</w:t>
      </w:r>
      <w:proofErr w:type="gramEnd"/>
      <w:r>
        <w:t xml:space="preserve"> </w:t>
      </w:r>
      <w:r w:rsidRPr="00BC31A8">
        <w:t>Studies 1199.0032 and 1199.034 – Marked changes in vital signs</w:t>
      </w:r>
      <w:r>
        <w:t>.</w:t>
      </w:r>
    </w:p>
    <w:p w14:paraId="7180CF1C" w14:textId="77777777" w:rsidR="00BC31A8" w:rsidRPr="00BC31A8" w:rsidRDefault="00BC31A8" w:rsidP="00BC31A8">
      <w:r>
        <w:rPr>
          <w:noProof/>
          <w:lang w:eastAsia="en-AU"/>
        </w:rPr>
        <w:drawing>
          <wp:inline distT="0" distB="0" distL="0" distR="0" wp14:anchorId="7180CFF4" wp14:editId="0ACA3377">
            <wp:extent cx="4067117" cy="2297312"/>
            <wp:effectExtent l="0" t="0" r="0" b="8255"/>
            <wp:docPr id="55" name="Picture 55" descr="Table 48. Studies 1199.0032 and 1199.034 – Marked changes in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069782" cy="2298818"/>
                    </a:xfrm>
                    <a:prstGeom prst="rect">
                      <a:avLst/>
                    </a:prstGeom>
                  </pic:spPr>
                </pic:pic>
              </a:graphicData>
            </a:graphic>
          </wp:inline>
        </w:drawing>
      </w:r>
    </w:p>
    <w:p w14:paraId="7180CF1D" w14:textId="77777777" w:rsidR="00C66BFF" w:rsidRPr="00140F17" w:rsidRDefault="00C66BFF" w:rsidP="00140F17">
      <w:pPr>
        <w:pStyle w:val="Heading6"/>
      </w:pPr>
      <w:r w:rsidRPr="00140F17">
        <w:t>Study 1199.0030</w:t>
      </w:r>
    </w:p>
    <w:p w14:paraId="7180CF1E" w14:textId="77777777" w:rsidR="00C66BFF" w:rsidRPr="00140F17" w:rsidRDefault="00C66BFF" w:rsidP="00140F17">
      <w:r w:rsidRPr="00140F17">
        <w:t>Differences in mean values for blood pressure and pu</w:t>
      </w:r>
      <w:r w:rsidR="00505769">
        <w:t xml:space="preserve">lse rate were not significant. </w:t>
      </w:r>
      <w:r w:rsidRPr="00140F17">
        <w:t xml:space="preserve">Average weight decreased more in the </w:t>
      </w:r>
      <w:proofErr w:type="spellStart"/>
      <w:r w:rsidRPr="00140F17">
        <w:t>nintedanib</w:t>
      </w:r>
      <w:proofErr w:type="spellEnd"/>
      <w:r w:rsidRPr="00140F17">
        <w:t xml:space="preserve"> 150 mg BD group compared to</w:t>
      </w:r>
      <w:r w:rsidR="00140F17" w:rsidRPr="00140F17">
        <w:t xml:space="preserve"> placebo (-2.2 kg </w:t>
      </w:r>
      <w:r w:rsidR="00B54A34">
        <w:t>versus</w:t>
      </w:r>
      <w:r w:rsidR="00140F17" w:rsidRPr="00140F17">
        <w:t xml:space="preserve"> -0.7 kg).</w:t>
      </w:r>
    </w:p>
    <w:p w14:paraId="7180CF1F" w14:textId="77777777" w:rsidR="00C66BFF" w:rsidRPr="00140F17" w:rsidRDefault="00C66BFF" w:rsidP="00140F17">
      <w:pPr>
        <w:pStyle w:val="Heading4"/>
      </w:pPr>
      <w:bookmarkStart w:id="286" w:name="_Toc291519012"/>
      <w:r w:rsidRPr="00140F17">
        <w:t>Other safety datasets</w:t>
      </w:r>
      <w:bookmarkEnd w:id="286"/>
    </w:p>
    <w:p w14:paraId="7180CF20" w14:textId="77777777" w:rsidR="00C66BFF" w:rsidRDefault="00C66BFF" w:rsidP="00140F17">
      <w:r w:rsidRPr="00140F17">
        <w:t xml:space="preserve">The submission included data from three open extension </w:t>
      </w:r>
      <w:r w:rsidRPr="00186550">
        <w:t>trials. The</w:t>
      </w:r>
      <w:r w:rsidRPr="00140F17">
        <w:t xml:space="preserve"> studies were not </w:t>
      </w:r>
      <w:r w:rsidR="004A0845">
        <w:t>placebo controlled</w:t>
      </w:r>
      <w:r w:rsidRPr="00140F17">
        <w:t>. The pattern of toxicity observed in these studies was consis</w:t>
      </w:r>
      <w:r w:rsidR="00186550">
        <w:t>tent with that described above.</w:t>
      </w:r>
    </w:p>
    <w:p w14:paraId="7180CF21" w14:textId="77777777" w:rsidR="00C66BFF" w:rsidRPr="00140F17" w:rsidRDefault="00C66BFF" w:rsidP="00140F17">
      <w:pPr>
        <w:pStyle w:val="Heading3"/>
      </w:pPr>
      <w:bookmarkStart w:id="287" w:name="_Toc241374326"/>
      <w:bookmarkStart w:id="288" w:name="_Ref272333048"/>
      <w:bookmarkStart w:id="289" w:name="_Toc272414679"/>
      <w:bookmarkStart w:id="290" w:name="_Toc290846317"/>
      <w:bookmarkStart w:id="291" w:name="_Toc291519013"/>
      <w:bookmarkStart w:id="292" w:name="_Toc443381752"/>
      <w:r w:rsidRPr="00140F17">
        <w:t>Post-marketing experience</w:t>
      </w:r>
      <w:bookmarkEnd w:id="287"/>
      <w:bookmarkEnd w:id="288"/>
      <w:bookmarkEnd w:id="289"/>
      <w:bookmarkEnd w:id="290"/>
      <w:bookmarkEnd w:id="291"/>
      <w:bookmarkEnd w:id="292"/>
    </w:p>
    <w:p w14:paraId="7180CF22" w14:textId="77777777" w:rsidR="00C66BFF" w:rsidRPr="00140F17" w:rsidRDefault="00C66BFF" w:rsidP="00140F17">
      <w:r w:rsidRPr="00140F17">
        <w:t>No post-marketing experience data we</w:t>
      </w:r>
      <w:r w:rsidR="00140F17">
        <w:t>re included in the submission.</w:t>
      </w:r>
    </w:p>
    <w:p w14:paraId="7180CF23" w14:textId="77777777" w:rsidR="00C66BFF" w:rsidRPr="00140F17" w:rsidRDefault="00C66BFF" w:rsidP="00140F17">
      <w:pPr>
        <w:pStyle w:val="Heading3"/>
      </w:pPr>
      <w:bookmarkStart w:id="293" w:name="_Ref272333005"/>
      <w:bookmarkStart w:id="294" w:name="_Toc272414680"/>
      <w:bookmarkStart w:id="295" w:name="_Toc290846318"/>
      <w:bookmarkStart w:id="296" w:name="_Toc291519014"/>
      <w:bookmarkStart w:id="297" w:name="_Toc443381753"/>
      <w:r w:rsidRPr="00140F17">
        <w:t>Safety issues with the potential for major regulatory imp</w:t>
      </w:r>
      <w:bookmarkEnd w:id="293"/>
      <w:bookmarkEnd w:id="294"/>
      <w:r w:rsidRPr="00140F17">
        <w:t>act</w:t>
      </w:r>
      <w:bookmarkEnd w:id="295"/>
      <w:bookmarkEnd w:id="296"/>
      <w:bookmarkEnd w:id="297"/>
    </w:p>
    <w:p w14:paraId="7180CF24" w14:textId="77777777" w:rsidR="00C66BFF" w:rsidRPr="00140F17" w:rsidRDefault="00C66BFF" w:rsidP="00140F17">
      <w:pPr>
        <w:pStyle w:val="Heading4"/>
      </w:pPr>
      <w:bookmarkStart w:id="298" w:name="_Toc272414681"/>
      <w:bookmarkStart w:id="299" w:name="_Toc290846319"/>
      <w:bookmarkStart w:id="300" w:name="_Toc291519015"/>
      <w:r w:rsidRPr="00140F17">
        <w:t>Liver toxicity</w:t>
      </w:r>
      <w:bookmarkEnd w:id="298"/>
      <w:bookmarkEnd w:id="299"/>
      <w:bookmarkEnd w:id="300"/>
    </w:p>
    <w:p w14:paraId="7180CF25" w14:textId="77777777" w:rsidR="00C66BFF" w:rsidRPr="00140F17" w:rsidRDefault="00C66BFF" w:rsidP="00140F17">
      <w:r w:rsidRPr="00140F17">
        <w:t xml:space="preserve">As described above, hepatotoxicity is a common adverse event with </w:t>
      </w:r>
      <w:proofErr w:type="spellStart"/>
      <w:r w:rsidRPr="00140F17">
        <w:t>nintedanib</w:t>
      </w:r>
      <w:proofErr w:type="spellEnd"/>
      <w:r w:rsidRPr="00140F17">
        <w:t xml:space="preserve">. The hepatotoxicity observed in the NSCLC and IPF studies was reversible. There was one case in a NSCLC patient that met the criteria for </w:t>
      </w:r>
      <w:proofErr w:type="spellStart"/>
      <w:r w:rsidRPr="00140F17">
        <w:t>Hy’s</w:t>
      </w:r>
      <w:proofErr w:type="spellEnd"/>
      <w:r w:rsidRPr="00140F17">
        <w:t xml:space="preserve"> law, which is predictive of a capacity for the drug to cause severe drug-induced liver injury (DIL</w:t>
      </w:r>
      <w:r w:rsidR="00505769">
        <w:t xml:space="preserve">I). The relevant FDA guideline (18) </w:t>
      </w:r>
      <w:r w:rsidRPr="00140F17">
        <w:t>contains the following text:</w:t>
      </w:r>
    </w:p>
    <w:p w14:paraId="7180CF26" w14:textId="77777777" w:rsidR="00186550" w:rsidRDefault="00E7625C" w:rsidP="00186550">
      <w:pPr>
        <w:ind w:left="720"/>
      </w:pPr>
      <w:r>
        <w:t>‘</w:t>
      </w:r>
      <w:r w:rsidR="00C66BFF" w:rsidRPr="00186550">
        <w:rPr>
          <w:i/>
        </w:rPr>
        <w:t xml:space="preserve">Finding one </w:t>
      </w:r>
      <w:proofErr w:type="spellStart"/>
      <w:r w:rsidR="00C66BFF" w:rsidRPr="00186550">
        <w:rPr>
          <w:i/>
        </w:rPr>
        <w:t>Hy’s</w:t>
      </w:r>
      <w:proofErr w:type="spellEnd"/>
      <w:r w:rsidR="00C66BFF" w:rsidRPr="00186550">
        <w:rPr>
          <w:i/>
        </w:rPr>
        <w:t xml:space="preserve"> Law case in the clinical trial database is worrisome; finding two is considered highly predictive that the drug has the potential to cause severe DILI when</w:t>
      </w:r>
      <w:r w:rsidR="00140F17" w:rsidRPr="00186550">
        <w:rPr>
          <w:i/>
        </w:rPr>
        <w:t xml:space="preserve"> given to a larger population.</w:t>
      </w:r>
      <w:r w:rsidRPr="00186550">
        <w:rPr>
          <w:i/>
        </w:rPr>
        <w:t>’</w:t>
      </w:r>
    </w:p>
    <w:p w14:paraId="7180CF27" w14:textId="77777777" w:rsidR="00C66BFF" w:rsidRDefault="00C66BFF" w:rsidP="00186550">
      <w:pPr>
        <w:ind w:left="170"/>
      </w:pPr>
      <w:proofErr w:type="spellStart"/>
      <w:r w:rsidRPr="00140F17">
        <w:t>Nintedanib</w:t>
      </w:r>
      <w:proofErr w:type="spellEnd"/>
      <w:r w:rsidRPr="00140F17">
        <w:t xml:space="preserve"> may therefore be associated with a risk of severe DILI. Prior to a decision on registration it would be prudent to seek updated information from the sponsor on any further cases that met </w:t>
      </w:r>
      <w:proofErr w:type="spellStart"/>
      <w:r w:rsidRPr="00140F17">
        <w:t>Hy’s</w:t>
      </w:r>
      <w:proofErr w:type="spellEnd"/>
      <w:r w:rsidRPr="00140F17">
        <w:t xml:space="preserve"> law criteri</w:t>
      </w:r>
      <w:r w:rsidR="00140F17">
        <w:t>a, or cases of hepatic failure.</w:t>
      </w:r>
    </w:p>
    <w:p w14:paraId="7180CF28" w14:textId="77777777" w:rsidR="00C66BFF" w:rsidRPr="00140F17" w:rsidRDefault="00C66BFF" w:rsidP="00140F17">
      <w:pPr>
        <w:pStyle w:val="Heading4"/>
      </w:pPr>
      <w:bookmarkStart w:id="301" w:name="_Toc272414682"/>
      <w:bookmarkStart w:id="302" w:name="_Toc290846320"/>
      <w:bookmarkStart w:id="303" w:name="_Toc291519016"/>
      <w:r w:rsidRPr="00140F17">
        <w:t>Haematological toxicity</w:t>
      </w:r>
      <w:bookmarkEnd w:id="301"/>
      <w:bookmarkEnd w:id="302"/>
      <w:bookmarkEnd w:id="303"/>
    </w:p>
    <w:p w14:paraId="7180CF29" w14:textId="77777777" w:rsidR="00C66BFF" w:rsidRDefault="00C66BFF" w:rsidP="00C66BFF">
      <w:r w:rsidRPr="00140F17">
        <w:t xml:space="preserve">When co-administered with docetaxel, </w:t>
      </w:r>
      <w:proofErr w:type="spellStart"/>
      <w:r w:rsidRPr="00140F17">
        <w:t>nintedanib</w:t>
      </w:r>
      <w:proofErr w:type="spellEnd"/>
      <w:r w:rsidRPr="00140F17">
        <w:t xml:space="preserve"> caused an increase in the incidence of </w:t>
      </w:r>
      <w:r w:rsidR="00505769" w:rsidRPr="00140F17">
        <w:t>neutropenia</w:t>
      </w:r>
      <w:r w:rsidRPr="00140F17">
        <w:t xml:space="preserve"> (see section </w:t>
      </w:r>
      <w:r w:rsidRPr="00140F17">
        <w:fldChar w:fldCharType="begin"/>
      </w:r>
      <w:r w:rsidRPr="00140F17">
        <w:instrText xml:space="preserve"> REF _Ref282617763 \r \h </w:instrText>
      </w:r>
      <w:r w:rsidRPr="00140F17">
        <w:fldChar w:fldCharType="separate"/>
      </w:r>
      <w:r w:rsidR="000F6EC9">
        <w:t>9.1.4.4</w:t>
      </w:r>
      <w:r w:rsidRPr="00140F17">
        <w:fldChar w:fldCharType="end"/>
      </w:r>
      <w:r w:rsidRPr="00140F17">
        <w:t xml:space="preserve">). In the pivotal study there were 2 reports of </w:t>
      </w:r>
      <w:r w:rsidR="00505769" w:rsidRPr="00140F17">
        <w:t>pancytopenia</w:t>
      </w:r>
      <w:r w:rsidRPr="00140F17">
        <w:t xml:space="preserve"> in the </w:t>
      </w:r>
      <w:proofErr w:type="spellStart"/>
      <w:r w:rsidRPr="00140F17">
        <w:t>nintedanib</w:t>
      </w:r>
      <w:proofErr w:type="spellEnd"/>
      <w:r w:rsidRPr="00140F17">
        <w:t xml:space="preserve"> group and 1 in the placebo group. In the IPF studies the incidence of </w:t>
      </w:r>
      <w:proofErr w:type="spellStart"/>
      <w:r w:rsidRPr="00140F17">
        <w:t>cytopaenias</w:t>
      </w:r>
      <w:proofErr w:type="spellEnd"/>
      <w:r w:rsidRPr="00140F17">
        <w:t xml:space="preserve"> was not increased in the </w:t>
      </w:r>
      <w:proofErr w:type="spellStart"/>
      <w:r w:rsidRPr="00140F17">
        <w:t>nintedanib</w:t>
      </w:r>
      <w:proofErr w:type="spellEnd"/>
      <w:r w:rsidRPr="00140F17">
        <w:t xml:space="preserve"> arm and there were no reports of </w:t>
      </w:r>
      <w:r w:rsidR="00505769" w:rsidRPr="00140F17">
        <w:t>pancytopenia</w:t>
      </w:r>
      <w:r w:rsidRPr="00140F17">
        <w:t>.</w:t>
      </w:r>
    </w:p>
    <w:p w14:paraId="7180CF2A" w14:textId="77777777" w:rsidR="00C66BFF" w:rsidRPr="00140F17" w:rsidRDefault="00C66BFF" w:rsidP="00140F17">
      <w:pPr>
        <w:pStyle w:val="Heading4"/>
      </w:pPr>
      <w:bookmarkStart w:id="304" w:name="_Toc272414683"/>
      <w:bookmarkStart w:id="305" w:name="_Toc290846321"/>
      <w:bookmarkStart w:id="306" w:name="_Toc291519017"/>
      <w:r w:rsidRPr="00140F17">
        <w:lastRenderedPageBreak/>
        <w:t>Serious skin reactions</w:t>
      </w:r>
      <w:bookmarkEnd w:id="304"/>
      <w:bookmarkEnd w:id="305"/>
      <w:bookmarkEnd w:id="306"/>
    </w:p>
    <w:p w14:paraId="7180CF2B" w14:textId="77777777" w:rsidR="00C66BFF" w:rsidRDefault="00C66BFF" w:rsidP="00140F17">
      <w:r w:rsidRPr="00140F17">
        <w:t xml:space="preserve">In the NSCLC studies, </w:t>
      </w:r>
      <w:proofErr w:type="spellStart"/>
      <w:r w:rsidRPr="00140F17">
        <w:t>nintedanib</w:t>
      </w:r>
      <w:proofErr w:type="spellEnd"/>
      <w:r w:rsidRPr="00140F17">
        <w:t xml:space="preserve"> treatment was associated with a small increase in the incidence of serious skin</w:t>
      </w:r>
      <w:r w:rsidR="00767B2A">
        <w:t xml:space="preserve"> reactions, compared to placebo.</w:t>
      </w:r>
      <w:r w:rsidRPr="00140F17">
        <w:t xml:space="preserve"> There were no reports of Stevens-Johnson syndrome (SJS) or toxic epidermal necrolysis (TEN). In the IPF studies, the incidence of serious skin reactions was comparable in the two arms. There were no reports of SJS or TEN.</w:t>
      </w:r>
    </w:p>
    <w:p w14:paraId="7180CF2C" w14:textId="77777777" w:rsidR="00C66BFF" w:rsidRPr="00140F17" w:rsidRDefault="00C66BFF" w:rsidP="00140F17">
      <w:pPr>
        <w:pStyle w:val="Heading4"/>
      </w:pPr>
      <w:bookmarkStart w:id="307" w:name="_Toc272414684"/>
      <w:bookmarkStart w:id="308" w:name="_Toc290846322"/>
      <w:bookmarkStart w:id="309" w:name="_Toc291519018"/>
      <w:r w:rsidRPr="00140F17">
        <w:t>Cardiovascular safety</w:t>
      </w:r>
      <w:bookmarkEnd w:id="307"/>
      <w:bookmarkEnd w:id="308"/>
      <w:bookmarkEnd w:id="309"/>
    </w:p>
    <w:p w14:paraId="7180CF2D" w14:textId="77777777" w:rsidR="00F35E68" w:rsidRPr="00C31D1A" w:rsidRDefault="00C66BFF" w:rsidP="00C66BFF">
      <w:r w:rsidRPr="00140F17">
        <w:t xml:space="preserve">In the NSCLC studies, </w:t>
      </w:r>
      <w:proofErr w:type="spellStart"/>
      <w:r w:rsidRPr="00140F17">
        <w:t>nintedanib</w:t>
      </w:r>
      <w:proofErr w:type="spellEnd"/>
      <w:r w:rsidRPr="00140F17">
        <w:t xml:space="preserve"> treatment was associated with a slight increase in the incidence of venous thromboembolic events. There was no consistent increase in the incidence of cardiac events. In the IPF studies there was an increased incidence of myocardial infarction with </w:t>
      </w:r>
      <w:proofErr w:type="spellStart"/>
      <w:r w:rsidRPr="00140F17">
        <w:t>nintedanib</w:t>
      </w:r>
      <w:proofErr w:type="spellEnd"/>
      <w:r w:rsidRPr="00140F17">
        <w:t xml:space="preserve">. Otherwise there was no increase in cardiovascular events. In a study conducted in subjects with renal cell cancer, </w:t>
      </w:r>
      <w:proofErr w:type="spellStart"/>
      <w:r w:rsidRPr="00140F17">
        <w:t>nintedanib</w:t>
      </w:r>
      <w:proofErr w:type="spellEnd"/>
      <w:r w:rsidRPr="00140F17">
        <w:t xml:space="preserve"> did not have an effect on QT interval.</w:t>
      </w:r>
    </w:p>
    <w:p w14:paraId="7180CF2E" w14:textId="77777777" w:rsidR="00C66BFF" w:rsidRPr="00140F17" w:rsidRDefault="00C66BFF" w:rsidP="00140F17">
      <w:pPr>
        <w:pStyle w:val="Heading4"/>
      </w:pPr>
      <w:bookmarkStart w:id="310" w:name="_Toc241374323"/>
      <w:bookmarkStart w:id="311" w:name="_Toc272414685"/>
      <w:bookmarkStart w:id="312" w:name="_Toc290846323"/>
      <w:bookmarkStart w:id="313" w:name="_Toc291519019"/>
      <w:r w:rsidRPr="00140F17">
        <w:t>Unwanted immunological events</w:t>
      </w:r>
      <w:bookmarkEnd w:id="310"/>
      <w:bookmarkEnd w:id="311"/>
      <w:bookmarkEnd w:id="312"/>
      <w:bookmarkEnd w:id="313"/>
    </w:p>
    <w:p w14:paraId="7180CF2F" w14:textId="77777777" w:rsidR="00C66BFF" w:rsidRDefault="00C66BFF" w:rsidP="00140F17">
      <w:r w:rsidRPr="00140F17">
        <w:t>In the NSCLC studies there was no increase in the incidence of anaphyla</w:t>
      </w:r>
      <w:r w:rsidR="00767B2A">
        <w:t xml:space="preserve">ctic reactions with </w:t>
      </w:r>
      <w:proofErr w:type="spellStart"/>
      <w:r w:rsidR="00767B2A">
        <w:t>nintedanib</w:t>
      </w:r>
      <w:proofErr w:type="spellEnd"/>
      <w:r w:rsidR="00767B2A">
        <w:t xml:space="preserve">. </w:t>
      </w:r>
      <w:r w:rsidRPr="00140F17">
        <w:t>In the IPF studies there were no cases of serious immunological events such as anaphylaxis.</w:t>
      </w:r>
    </w:p>
    <w:p w14:paraId="7180CF30" w14:textId="77777777" w:rsidR="00C66BFF" w:rsidRPr="00140F17" w:rsidRDefault="00C66BFF" w:rsidP="00140F17">
      <w:pPr>
        <w:pStyle w:val="Heading3"/>
      </w:pPr>
      <w:bookmarkStart w:id="314" w:name="_Toc272414686"/>
      <w:bookmarkStart w:id="315" w:name="_Ref273005527"/>
      <w:bookmarkStart w:id="316" w:name="_Toc290846324"/>
      <w:bookmarkStart w:id="317" w:name="_Toc291519020"/>
      <w:bookmarkStart w:id="318" w:name="_Toc443381754"/>
      <w:r w:rsidRPr="00140F17">
        <w:t>Other safety issues</w:t>
      </w:r>
      <w:bookmarkEnd w:id="314"/>
      <w:bookmarkEnd w:id="315"/>
      <w:bookmarkEnd w:id="316"/>
      <w:bookmarkEnd w:id="317"/>
      <w:bookmarkEnd w:id="318"/>
    </w:p>
    <w:p w14:paraId="7180CF31" w14:textId="77777777" w:rsidR="00C66BFF" w:rsidRPr="00140F17" w:rsidRDefault="00C66BFF" w:rsidP="00140F17">
      <w:pPr>
        <w:pStyle w:val="Heading4"/>
      </w:pPr>
      <w:bookmarkStart w:id="319" w:name="_Toc241374322"/>
      <w:bookmarkStart w:id="320" w:name="_Ref272331212"/>
      <w:bookmarkStart w:id="321" w:name="_Toc272414687"/>
      <w:bookmarkStart w:id="322" w:name="_Toc290846325"/>
      <w:bookmarkStart w:id="323" w:name="_Toc291519021"/>
      <w:r w:rsidRPr="00140F17">
        <w:t>Safety in special populations</w:t>
      </w:r>
      <w:bookmarkEnd w:id="319"/>
      <w:bookmarkEnd w:id="320"/>
      <w:bookmarkEnd w:id="321"/>
      <w:bookmarkEnd w:id="322"/>
      <w:bookmarkEnd w:id="323"/>
    </w:p>
    <w:p w14:paraId="7180CF32" w14:textId="77777777" w:rsidR="00C66BFF" w:rsidRDefault="00C66BFF" w:rsidP="00140F17">
      <w:r w:rsidRPr="00140F17">
        <w:t xml:space="preserve">Among </w:t>
      </w:r>
      <w:proofErr w:type="spellStart"/>
      <w:r w:rsidR="00505769">
        <w:t>nintedanib</w:t>
      </w:r>
      <w:proofErr w:type="spellEnd"/>
      <w:r w:rsidR="00505769">
        <w:t xml:space="preserve"> treated</w:t>
      </w:r>
      <w:r w:rsidRPr="00140F17">
        <w:t xml:space="preserve"> subjects, females experienced higher rates of hepatotoxicity than males. Asian subjects also experienced higher rates of hepatotoxicity compared to non-Asian subjects. The incidence of SAEs increased with increasing age.</w:t>
      </w:r>
    </w:p>
    <w:p w14:paraId="7180CF33" w14:textId="77777777" w:rsidR="00C66BFF" w:rsidRPr="00140F17" w:rsidRDefault="00C66BFF" w:rsidP="00140F17">
      <w:pPr>
        <w:pStyle w:val="Heading3"/>
      </w:pPr>
      <w:bookmarkStart w:id="324" w:name="_Toc241374328"/>
      <w:bookmarkStart w:id="325" w:name="_Toc272414691"/>
      <w:bookmarkStart w:id="326" w:name="_Toc290846329"/>
      <w:bookmarkStart w:id="327" w:name="_Toc291519022"/>
      <w:bookmarkStart w:id="328" w:name="_Toc443381755"/>
      <w:r w:rsidRPr="00140F17">
        <w:t>Evaluator’s overall conclusions on clinical safety</w:t>
      </w:r>
      <w:bookmarkEnd w:id="324"/>
      <w:bookmarkEnd w:id="325"/>
      <w:bookmarkEnd w:id="326"/>
      <w:bookmarkEnd w:id="327"/>
      <w:bookmarkEnd w:id="328"/>
    </w:p>
    <w:p w14:paraId="7180CF34" w14:textId="77777777" w:rsidR="00C66BFF" w:rsidRDefault="00C66BFF" w:rsidP="00C66BFF">
      <w:pPr>
        <w:autoSpaceDE w:val="0"/>
        <w:autoSpaceDN w:val="0"/>
        <w:adjustRightInd w:val="0"/>
      </w:pPr>
      <w:r>
        <w:t xml:space="preserve">In both the NSCLC and IPF populations the most common adverse effects associated with </w:t>
      </w:r>
      <w:proofErr w:type="spellStart"/>
      <w:r>
        <w:t>nintedanib</w:t>
      </w:r>
      <w:proofErr w:type="spellEnd"/>
      <w:r>
        <w:t xml:space="preserve"> were:</w:t>
      </w:r>
    </w:p>
    <w:p w14:paraId="7180CF35" w14:textId="77777777" w:rsidR="00C66BFF" w:rsidRPr="00140F17" w:rsidRDefault="00C66BFF" w:rsidP="00140F17">
      <w:pPr>
        <w:pStyle w:val="ListBullet"/>
      </w:pPr>
      <w:r w:rsidRPr="00140F17">
        <w:t xml:space="preserve">Gastrointestinal (diarrhoea, nausea, vomiting, abdominal pain, decreased appetite, </w:t>
      </w:r>
      <w:r w:rsidR="00094D89">
        <w:t>etcetera</w:t>
      </w:r>
      <w:r w:rsidRPr="00140F17">
        <w:t xml:space="preserve">). These events were very common. However, compared to placebo there was only a small increase in </w:t>
      </w:r>
      <w:r w:rsidR="00767B2A">
        <w:t xml:space="preserve">the incidence of severe or life </w:t>
      </w:r>
      <w:r w:rsidRPr="00140F17">
        <w:t>threatening gastrointestinal events.</w:t>
      </w:r>
    </w:p>
    <w:p w14:paraId="7180CF36" w14:textId="77777777" w:rsidR="00C66BFF" w:rsidRPr="00140F17" w:rsidRDefault="00C66BFF" w:rsidP="00140F17">
      <w:pPr>
        <w:pStyle w:val="ListBullet"/>
      </w:pPr>
      <w:r w:rsidRPr="00140F17">
        <w:t>Hepatotoxicity. Abnormal LFTs were very common. The abnormalities were reversible and no</w:t>
      </w:r>
      <w:r w:rsidR="00767B2A">
        <w:t xml:space="preserve"> cases of severe drug </w:t>
      </w:r>
      <w:r w:rsidRPr="00140F17">
        <w:t>induced liver injury were observed in the submitted studies. However one patient developed LFT abnormalities that fulfilled the cri</w:t>
      </w:r>
      <w:r w:rsidR="00140F17">
        <w:t xml:space="preserve">teria for </w:t>
      </w:r>
      <w:proofErr w:type="spellStart"/>
      <w:r w:rsidR="00140F17">
        <w:t>Hy’s</w:t>
      </w:r>
      <w:proofErr w:type="spellEnd"/>
      <w:r w:rsidR="00140F17">
        <w:t xml:space="preserve"> law.</w:t>
      </w:r>
    </w:p>
    <w:p w14:paraId="7180CF37" w14:textId="77777777" w:rsidR="00C66BFF" w:rsidRPr="00140F17" w:rsidRDefault="00C66BFF" w:rsidP="00140F17">
      <w:r w:rsidRPr="00140F17">
        <w:t xml:space="preserve">Hypertension also occurred more frequently with </w:t>
      </w:r>
      <w:proofErr w:type="spellStart"/>
      <w:r w:rsidRPr="00140F17">
        <w:t>nintedanib</w:t>
      </w:r>
      <w:proofErr w:type="spellEnd"/>
      <w:r w:rsidRPr="00140F17">
        <w:t xml:space="preserve"> treatment in both populations.</w:t>
      </w:r>
    </w:p>
    <w:p w14:paraId="7180CF38" w14:textId="77777777" w:rsidR="00C66BFF" w:rsidRPr="00140F17" w:rsidRDefault="00C66BFF" w:rsidP="00140F17">
      <w:r w:rsidRPr="00140F17">
        <w:t xml:space="preserve">In the NSCLC population, where </w:t>
      </w:r>
      <w:proofErr w:type="spellStart"/>
      <w:r w:rsidRPr="00140F17">
        <w:t>nintedanib</w:t>
      </w:r>
      <w:proofErr w:type="spellEnd"/>
      <w:r w:rsidRPr="00140F17">
        <w:t xml:space="preserve"> was used in combination with chemotherapy, the following toxicities were also more common with </w:t>
      </w:r>
      <w:proofErr w:type="spellStart"/>
      <w:r w:rsidRPr="00140F17">
        <w:t>nintedanib</w:t>
      </w:r>
      <w:proofErr w:type="spellEnd"/>
      <w:r w:rsidRPr="00140F17">
        <w:t>:</w:t>
      </w:r>
    </w:p>
    <w:p w14:paraId="7180CF39" w14:textId="77777777" w:rsidR="00C66BFF" w:rsidRPr="00140F17" w:rsidRDefault="00767B2A" w:rsidP="00140F17">
      <w:pPr>
        <w:pStyle w:val="ListBullet"/>
      </w:pPr>
      <w:r>
        <w:t>Venous thromboembolic events</w:t>
      </w:r>
    </w:p>
    <w:p w14:paraId="7180CF3A" w14:textId="77777777" w:rsidR="00C66BFF" w:rsidRPr="00140F17" w:rsidRDefault="00505769" w:rsidP="00140F17">
      <w:pPr>
        <w:pStyle w:val="ListBullet"/>
      </w:pPr>
      <w:r w:rsidRPr="00140F17">
        <w:t>Neutropenia</w:t>
      </w:r>
      <w:r w:rsidR="00C66BFF" w:rsidRPr="00140F17">
        <w:t>, febril</w:t>
      </w:r>
      <w:r w:rsidR="00767B2A">
        <w:t xml:space="preserve">e </w:t>
      </w:r>
      <w:r>
        <w:t>neutropenia</w:t>
      </w:r>
      <w:r w:rsidR="00767B2A">
        <w:t xml:space="preserve"> and fatal sepsis</w:t>
      </w:r>
    </w:p>
    <w:p w14:paraId="7180CF3B" w14:textId="77777777" w:rsidR="00C66BFF" w:rsidRDefault="00140F17" w:rsidP="00140F17">
      <w:pPr>
        <w:pStyle w:val="ListBullet"/>
      </w:pPr>
      <w:r>
        <w:t>Serious skin reactions.</w:t>
      </w:r>
    </w:p>
    <w:p w14:paraId="7180CF3C" w14:textId="77777777" w:rsidR="00C66BFF" w:rsidRPr="00140F17" w:rsidRDefault="00C66BFF" w:rsidP="00140F17">
      <w:r w:rsidRPr="00140F17">
        <w:t xml:space="preserve">In the IPF population, the following toxicities were also more common with </w:t>
      </w:r>
      <w:proofErr w:type="spellStart"/>
      <w:r w:rsidRPr="00140F17">
        <w:t>nintedanib</w:t>
      </w:r>
      <w:proofErr w:type="spellEnd"/>
      <w:r w:rsidRPr="00140F17">
        <w:t>:</w:t>
      </w:r>
    </w:p>
    <w:p w14:paraId="7180CF3D" w14:textId="77777777" w:rsidR="00C66BFF" w:rsidRPr="00140F17" w:rsidRDefault="00C66BFF" w:rsidP="00140F17">
      <w:pPr>
        <w:pStyle w:val="ListBullet"/>
      </w:pPr>
      <w:r w:rsidRPr="00140F17">
        <w:t>Arterial thromboembolic events, most</w:t>
      </w:r>
      <w:r w:rsidR="00767B2A">
        <w:t xml:space="preserve"> commonly myocardial infarction</w:t>
      </w:r>
    </w:p>
    <w:p w14:paraId="7180CF3E" w14:textId="77777777" w:rsidR="00C66BFF" w:rsidRPr="00140F17" w:rsidRDefault="00767B2A" w:rsidP="00140F17">
      <w:pPr>
        <w:pStyle w:val="ListBullet"/>
      </w:pPr>
      <w:r>
        <w:t>Decreased weight</w:t>
      </w:r>
    </w:p>
    <w:p w14:paraId="7180CF3F" w14:textId="77777777" w:rsidR="00C66BFF" w:rsidRPr="00140F17" w:rsidRDefault="00767B2A" w:rsidP="00140F17">
      <w:pPr>
        <w:pStyle w:val="ListBullet"/>
      </w:pPr>
      <w:r>
        <w:t>Bleeding events</w:t>
      </w:r>
    </w:p>
    <w:p w14:paraId="7180CF40" w14:textId="77777777" w:rsidR="00C66BFF" w:rsidRDefault="00140F17" w:rsidP="00140F17">
      <w:pPr>
        <w:pStyle w:val="ListBullet"/>
      </w:pPr>
      <w:r>
        <w:t>GI perforation.</w:t>
      </w:r>
    </w:p>
    <w:p w14:paraId="7180CF41" w14:textId="77777777" w:rsidR="00C66BFF" w:rsidRPr="00140F17" w:rsidRDefault="00C66BFF" w:rsidP="00140F17">
      <w:r w:rsidRPr="00140F17">
        <w:lastRenderedPageBreak/>
        <w:t>Many of these toxicities are consistent with those previously observed for drugs which interrupt the VEGF/VEGFR pathway.</w:t>
      </w:r>
      <w:r w:rsidR="00767B2A">
        <w:t xml:space="preserve"> </w:t>
      </w:r>
    </w:p>
    <w:p w14:paraId="7180CF42" w14:textId="77777777" w:rsidR="00C66BFF" w:rsidRPr="00140F17" w:rsidRDefault="00C66BFF" w:rsidP="00140F17">
      <w:r w:rsidRPr="00140F17">
        <w:t xml:space="preserve">In the pivotal study in NSCLC, </w:t>
      </w:r>
      <w:proofErr w:type="spellStart"/>
      <w:r w:rsidRPr="00140F17">
        <w:t>nintedanib</w:t>
      </w:r>
      <w:proofErr w:type="spellEnd"/>
      <w:r w:rsidRPr="00140F17">
        <w:t xml:space="preserve"> treatment resulted in only a small increase in the proportion of patients who experienced a serious AE</w:t>
      </w:r>
      <w:r w:rsidR="004B0480">
        <w:t xml:space="preserve"> (versus placebo)</w:t>
      </w:r>
      <w:r w:rsidRPr="00140F17">
        <w:t xml:space="preserve"> (34.4% </w:t>
      </w:r>
      <w:r w:rsidR="00B54A34">
        <w:t>versus</w:t>
      </w:r>
      <w:r w:rsidRPr="00140F17">
        <w:t xml:space="preserve"> 31.5%) or a grade ≥ 3 AE (71.3% </w:t>
      </w:r>
      <w:r w:rsidR="00B54A34">
        <w:t>versus</w:t>
      </w:r>
      <w:r w:rsidRPr="00140F17">
        <w:t xml:space="preserve"> 64.3%). There was an increase in the incidence of fatal AEs in the </w:t>
      </w:r>
      <w:proofErr w:type="spellStart"/>
      <w:r w:rsidRPr="00140F17">
        <w:t>nintedanib</w:t>
      </w:r>
      <w:proofErr w:type="spellEnd"/>
      <w:r w:rsidRPr="00140F17">
        <w:t xml:space="preserve"> arm (16.4% </w:t>
      </w:r>
      <w:r w:rsidR="00B54A34">
        <w:t>versus</w:t>
      </w:r>
      <w:r w:rsidRPr="00140F17">
        <w:t xml:space="preserve"> 11.8%). However most of these were related to disease progression and of the remainder, only an increased incidence of fatal sepsis (7 </w:t>
      </w:r>
      <w:r w:rsidR="00B54A34">
        <w:t>versus</w:t>
      </w:r>
      <w:r w:rsidRPr="00140F17">
        <w:t xml:space="preserve"> 1 </w:t>
      </w:r>
      <w:proofErr w:type="gramStart"/>
      <w:r w:rsidRPr="00140F17">
        <w:t>cases</w:t>
      </w:r>
      <w:proofErr w:type="gramEnd"/>
      <w:r w:rsidRPr="00140F17">
        <w:t xml:space="preserve">) appeared related to </w:t>
      </w:r>
      <w:proofErr w:type="spellStart"/>
      <w:r w:rsidRPr="00140F17">
        <w:t>nintedanib</w:t>
      </w:r>
      <w:proofErr w:type="spellEnd"/>
      <w:r w:rsidRPr="00140F17">
        <w:t xml:space="preserve">. The overall increase in toxicity produced by the addition of </w:t>
      </w:r>
      <w:proofErr w:type="spellStart"/>
      <w:r w:rsidRPr="00140F17">
        <w:t>nintedanib</w:t>
      </w:r>
      <w:proofErr w:type="spellEnd"/>
      <w:r w:rsidRPr="00140F17">
        <w:t xml:space="preserve"> to docetaxel is considered modest. The proportion of subjects who discontinued treatment due to AEs was only slightly increased in the </w:t>
      </w:r>
      <w:proofErr w:type="spellStart"/>
      <w:r w:rsidRPr="00140F17">
        <w:t>nintedanib</w:t>
      </w:r>
      <w:proofErr w:type="spellEnd"/>
      <w:r w:rsidRPr="00140F17">
        <w:t xml:space="preserve"> arm (22.7% </w:t>
      </w:r>
      <w:r w:rsidR="00B54A34">
        <w:t>versus</w:t>
      </w:r>
      <w:r w:rsidRPr="00140F17">
        <w:t xml:space="preserve"> 21.7%). This suggests that </w:t>
      </w:r>
      <w:proofErr w:type="spellStart"/>
      <w:r w:rsidRPr="00140F17">
        <w:t>nintedanib</w:t>
      </w:r>
      <w:proofErr w:type="spellEnd"/>
      <w:r w:rsidRPr="00140F17">
        <w:t xml:space="preserve"> toxicity is manageable with dos</w:t>
      </w:r>
      <w:r w:rsidR="00140F17" w:rsidRPr="00140F17">
        <w:t>e reductions and interruptions.</w:t>
      </w:r>
    </w:p>
    <w:p w14:paraId="7180CF43" w14:textId="77777777" w:rsidR="00C66BFF" w:rsidRPr="00C66BFF" w:rsidRDefault="00C66BFF" w:rsidP="00140F17">
      <w:r w:rsidRPr="00140F17">
        <w:t xml:space="preserve">In the pivotal IPF studies, </w:t>
      </w:r>
      <w:proofErr w:type="spellStart"/>
      <w:r w:rsidRPr="00140F17">
        <w:t>nintedanib</w:t>
      </w:r>
      <w:proofErr w:type="spellEnd"/>
      <w:r w:rsidRPr="00140F17">
        <w:t xml:space="preserve"> treatment resulted in only a small increase in the overall incidence of adverse events</w:t>
      </w:r>
      <w:r w:rsidR="004B0480">
        <w:t xml:space="preserve"> (versus placebo)</w:t>
      </w:r>
      <w:r w:rsidRPr="00140F17">
        <w:t xml:space="preserve"> (95.5% </w:t>
      </w:r>
      <w:r w:rsidR="00B54A34">
        <w:t>versus</w:t>
      </w:r>
      <w:r w:rsidRPr="00140F17">
        <w:t xml:space="preserve"> 89.6%) with no increase in the incidence of serious AEs (30.4% </w:t>
      </w:r>
      <w:r w:rsidR="00B54A34">
        <w:t>versus</w:t>
      </w:r>
      <w:r w:rsidRPr="00140F17">
        <w:t xml:space="preserve"> 30.0%) and a small increase in the incidence of AEs classified as severe (27.3% </w:t>
      </w:r>
      <w:r w:rsidR="00B54A34">
        <w:t>versus</w:t>
      </w:r>
      <w:r w:rsidRPr="00140F17">
        <w:t xml:space="preserve"> 23.4%). There was no increase in the incidence of fatal AEs. The overall toxicity of the drug in IPF can therefore be considered to be modest. The proportion of subjects who had to discontinue treatment due to AES was modest</w:t>
      </w:r>
      <w:r w:rsidR="00140F17">
        <w:t xml:space="preserve">ly increased (19.3% </w:t>
      </w:r>
      <w:r w:rsidR="00B54A34">
        <w:t>versus</w:t>
      </w:r>
      <w:r w:rsidR="00140F17">
        <w:t xml:space="preserve"> 13.0%).</w:t>
      </w:r>
    </w:p>
    <w:p w14:paraId="7180CF44" w14:textId="77777777" w:rsidR="00C22678" w:rsidRPr="00052387" w:rsidRDefault="00C22678" w:rsidP="00052387">
      <w:pPr>
        <w:pStyle w:val="Heading2"/>
      </w:pPr>
      <w:bookmarkStart w:id="329" w:name="_Toc443381756"/>
      <w:r w:rsidRPr="00052387">
        <w:t>First round benefit-risk assessment</w:t>
      </w:r>
      <w:bookmarkEnd w:id="329"/>
    </w:p>
    <w:p w14:paraId="7180CF45" w14:textId="77777777" w:rsidR="00F90700" w:rsidRPr="00F90700" w:rsidRDefault="00F90700" w:rsidP="00F90700">
      <w:pPr>
        <w:pStyle w:val="Heading3"/>
      </w:pPr>
      <w:bookmarkStart w:id="330" w:name="_Toc236802592"/>
      <w:bookmarkStart w:id="331" w:name="_Toc241374331"/>
      <w:bookmarkStart w:id="332" w:name="_Ref272160836"/>
      <w:bookmarkStart w:id="333" w:name="_Toc272414693"/>
      <w:bookmarkStart w:id="334" w:name="_Toc290846331"/>
      <w:bookmarkStart w:id="335" w:name="_Toc291519024"/>
      <w:bookmarkStart w:id="336" w:name="_Toc443381757"/>
      <w:r w:rsidRPr="00F90700">
        <w:t>First round assessment of benefits</w:t>
      </w:r>
      <w:bookmarkEnd w:id="330"/>
      <w:bookmarkEnd w:id="331"/>
      <w:bookmarkEnd w:id="332"/>
      <w:bookmarkEnd w:id="333"/>
      <w:bookmarkEnd w:id="334"/>
      <w:bookmarkEnd w:id="335"/>
      <w:bookmarkEnd w:id="336"/>
    </w:p>
    <w:p w14:paraId="7180CF46" w14:textId="77777777" w:rsidR="00F90700" w:rsidRPr="00F90700" w:rsidRDefault="00F90700" w:rsidP="00F90700">
      <w:r w:rsidRPr="00F90700">
        <w:t xml:space="preserve">The benefits of </w:t>
      </w:r>
      <w:proofErr w:type="spellStart"/>
      <w:r w:rsidRPr="00F90700">
        <w:t>nintedanib</w:t>
      </w:r>
      <w:proofErr w:type="spellEnd"/>
      <w:r w:rsidRPr="00F90700">
        <w:t xml:space="preserve"> in the treatment of NSCLC with adenocarcinoma histology, in combination with docetaxel, are:</w:t>
      </w:r>
    </w:p>
    <w:p w14:paraId="7180CF47" w14:textId="77777777" w:rsidR="00F90700" w:rsidRDefault="00F90700" w:rsidP="00F90700">
      <w:pPr>
        <w:pStyle w:val="ListBullet"/>
      </w:pPr>
      <w:r w:rsidRPr="00F90700">
        <w:t>A decreased risk of death with an increase in median survival of approximately 2.3 months, when compared to docetaxel monotherapy</w:t>
      </w:r>
    </w:p>
    <w:p w14:paraId="7180CF48" w14:textId="77777777" w:rsidR="00F90700" w:rsidRPr="00F90700" w:rsidRDefault="00F90700" w:rsidP="00F90700">
      <w:r w:rsidRPr="00F90700">
        <w:t xml:space="preserve">The benefits of </w:t>
      </w:r>
      <w:proofErr w:type="spellStart"/>
      <w:r w:rsidRPr="00F90700">
        <w:t>nintedanib</w:t>
      </w:r>
      <w:proofErr w:type="spellEnd"/>
      <w:r w:rsidRPr="00F90700">
        <w:t xml:space="preserve"> in the treatment of IPF are:</w:t>
      </w:r>
    </w:p>
    <w:p w14:paraId="7180CF49" w14:textId="77777777" w:rsidR="00F90700" w:rsidRPr="00E71190" w:rsidRDefault="00F90700" w:rsidP="00F90700">
      <w:pPr>
        <w:pStyle w:val="ListBullet"/>
      </w:pPr>
      <w:r w:rsidRPr="00F90700">
        <w:t>A delay in disease progression, manifested by improved FVC compared to placebo.</w:t>
      </w:r>
    </w:p>
    <w:p w14:paraId="7180CF4A" w14:textId="77777777" w:rsidR="00F90700" w:rsidRPr="00F90700" w:rsidRDefault="00F90700" w:rsidP="00F90700">
      <w:pPr>
        <w:pStyle w:val="Heading3"/>
      </w:pPr>
      <w:bookmarkStart w:id="337" w:name="_Toc236802596"/>
      <w:bookmarkStart w:id="338" w:name="_Toc241374334"/>
      <w:bookmarkStart w:id="339" w:name="_Ref272160964"/>
      <w:bookmarkStart w:id="340" w:name="_Toc272414694"/>
      <w:bookmarkStart w:id="341" w:name="_Toc290846332"/>
      <w:bookmarkStart w:id="342" w:name="_Toc291519025"/>
      <w:bookmarkStart w:id="343" w:name="_Toc443381758"/>
      <w:r w:rsidRPr="00F90700">
        <w:t>First round assessment of risks</w:t>
      </w:r>
      <w:bookmarkEnd w:id="337"/>
      <w:bookmarkEnd w:id="338"/>
      <w:bookmarkEnd w:id="339"/>
      <w:bookmarkEnd w:id="340"/>
      <w:bookmarkEnd w:id="341"/>
      <w:bookmarkEnd w:id="342"/>
      <w:bookmarkEnd w:id="343"/>
    </w:p>
    <w:p w14:paraId="7180CF4B" w14:textId="77777777" w:rsidR="00F90700" w:rsidRPr="00F90700" w:rsidRDefault="00F90700" w:rsidP="00F90700">
      <w:r w:rsidRPr="00F90700">
        <w:t xml:space="preserve">The risks of </w:t>
      </w:r>
      <w:proofErr w:type="spellStart"/>
      <w:r w:rsidRPr="00F90700">
        <w:t>nintedanib</w:t>
      </w:r>
      <w:proofErr w:type="spellEnd"/>
      <w:r w:rsidRPr="00F90700">
        <w:t xml:space="preserve"> in the treatment of NSCLC with adenocarcinoma histology, in combination with docetaxel, are:</w:t>
      </w:r>
    </w:p>
    <w:p w14:paraId="7180CF4C" w14:textId="77777777" w:rsidR="00F90700" w:rsidRPr="00F90700" w:rsidRDefault="00B2353F" w:rsidP="00F90700">
      <w:pPr>
        <w:pStyle w:val="ListBullet"/>
      </w:pPr>
      <w:r>
        <w:t>Gastrointestinal toxicity</w:t>
      </w:r>
    </w:p>
    <w:p w14:paraId="7180CF4D" w14:textId="77777777" w:rsidR="00F90700" w:rsidRPr="00F90700" w:rsidRDefault="00B2353F" w:rsidP="00F90700">
      <w:pPr>
        <w:pStyle w:val="ListBullet"/>
      </w:pPr>
      <w:r>
        <w:t>Hepatotoxicity</w:t>
      </w:r>
    </w:p>
    <w:p w14:paraId="7180CF4E" w14:textId="77777777" w:rsidR="00F90700" w:rsidRPr="00F90700" w:rsidRDefault="00B2353F" w:rsidP="00F90700">
      <w:pPr>
        <w:pStyle w:val="ListBullet"/>
      </w:pPr>
      <w:r>
        <w:t>Hypertension</w:t>
      </w:r>
    </w:p>
    <w:p w14:paraId="7180CF4F" w14:textId="77777777" w:rsidR="00F90700" w:rsidRPr="00F90700" w:rsidRDefault="00B2353F" w:rsidP="00F90700">
      <w:pPr>
        <w:pStyle w:val="ListBullet"/>
      </w:pPr>
      <w:r>
        <w:t>Venous thromboembolic events</w:t>
      </w:r>
    </w:p>
    <w:p w14:paraId="7180CF50" w14:textId="77777777" w:rsidR="00F90700" w:rsidRPr="00F90700" w:rsidRDefault="000917C3" w:rsidP="00F90700">
      <w:pPr>
        <w:pStyle w:val="ListBullet"/>
      </w:pPr>
      <w:r w:rsidRPr="00F90700">
        <w:t>Neutropenia</w:t>
      </w:r>
      <w:r w:rsidR="00F90700" w:rsidRPr="00F90700">
        <w:t xml:space="preserve"> leading to </w:t>
      </w:r>
      <w:r w:rsidR="00B2353F">
        <w:t xml:space="preserve">febrile </w:t>
      </w:r>
      <w:r>
        <w:t>neutropenia</w:t>
      </w:r>
      <w:r w:rsidR="00B2353F">
        <w:t xml:space="preserve"> and sepsis</w:t>
      </w:r>
    </w:p>
    <w:p w14:paraId="7180CF51" w14:textId="77777777" w:rsidR="00F90700" w:rsidRDefault="00F90700" w:rsidP="00F90700">
      <w:pPr>
        <w:pStyle w:val="ListBullet"/>
      </w:pPr>
      <w:r w:rsidRPr="00F90700">
        <w:t>Serious skin reactions</w:t>
      </w:r>
      <w:r w:rsidR="00B2353F">
        <w:t>.</w:t>
      </w:r>
    </w:p>
    <w:p w14:paraId="7180CF52" w14:textId="77777777" w:rsidR="00F90700" w:rsidRPr="00F90700" w:rsidRDefault="00F90700" w:rsidP="00F90700">
      <w:r w:rsidRPr="00F90700">
        <w:t xml:space="preserve">The risks of </w:t>
      </w:r>
      <w:proofErr w:type="spellStart"/>
      <w:r w:rsidRPr="00F90700">
        <w:t>nintedanib</w:t>
      </w:r>
      <w:proofErr w:type="spellEnd"/>
      <w:r w:rsidRPr="00F90700">
        <w:t xml:space="preserve"> in the treatment of IPF are:</w:t>
      </w:r>
    </w:p>
    <w:p w14:paraId="7180CF53" w14:textId="77777777" w:rsidR="00F90700" w:rsidRPr="00F90700" w:rsidRDefault="00F90700" w:rsidP="00F90700">
      <w:pPr>
        <w:pStyle w:val="ListBullet"/>
      </w:pPr>
      <w:r w:rsidRPr="00F90700">
        <w:t>Gastroint</w:t>
      </w:r>
      <w:r w:rsidR="00B2353F">
        <w:t>estinal toxicity</w:t>
      </w:r>
    </w:p>
    <w:p w14:paraId="7180CF54" w14:textId="77777777" w:rsidR="00F90700" w:rsidRPr="00F90700" w:rsidRDefault="00B2353F" w:rsidP="00F90700">
      <w:pPr>
        <w:pStyle w:val="ListBullet"/>
      </w:pPr>
      <w:r>
        <w:t>Hepatotoxicity</w:t>
      </w:r>
    </w:p>
    <w:p w14:paraId="7180CF55" w14:textId="77777777" w:rsidR="00F90700" w:rsidRPr="00F90700" w:rsidRDefault="00B2353F" w:rsidP="00F90700">
      <w:pPr>
        <w:pStyle w:val="ListBullet"/>
      </w:pPr>
      <w:r>
        <w:t>Hypertension;</w:t>
      </w:r>
    </w:p>
    <w:p w14:paraId="7180CF56" w14:textId="77777777" w:rsidR="00F90700" w:rsidRPr="00F90700" w:rsidRDefault="00F90700" w:rsidP="00F90700">
      <w:pPr>
        <w:pStyle w:val="ListBullet"/>
      </w:pPr>
      <w:r w:rsidRPr="00F90700">
        <w:lastRenderedPageBreak/>
        <w:t>Arterial thromboembolic event</w:t>
      </w:r>
      <w:r w:rsidR="00B2353F">
        <w:t>s such as myocardial infarction</w:t>
      </w:r>
    </w:p>
    <w:p w14:paraId="7180CF57" w14:textId="77777777" w:rsidR="00F90700" w:rsidRPr="00F90700" w:rsidRDefault="00B2353F" w:rsidP="00F90700">
      <w:pPr>
        <w:pStyle w:val="ListBullet"/>
      </w:pPr>
      <w:r>
        <w:t>Decreased weight</w:t>
      </w:r>
    </w:p>
    <w:p w14:paraId="7180CF58" w14:textId="77777777" w:rsidR="00F90700" w:rsidRPr="00F90700" w:rsidRDefault="00B2353F" w:rsidP="00F90700">
      <w:pPr>
        <w:pStyle w:val="ListBullet"/>
      </w:pPr>
      <w:r>
        <w:t>Bleeding events</w:t>
      </w:r>
    </w:p>
    <w:p w14:paraId="7180CF59" w14:textId="77777777" w:rsidR="00F90700" w:rsidRDefault="00F90700" w:rsidP="00F90700">
      <w:pPr>
        <w:pStyle w:val="ListBullet"/>
      </w:pPr>
      <w:r w:rsidRPr="00F90700">
        <w:t>GI perforation.</w:t>
      </w:r>
    </w:p>
    <w:p w14:paraId="7180CF5A" w14:textId="77777777" w:rsidR="00F90700" w:rsidRPr="00F90700" w:rsidRDefault="00F90700" w:rsidP="00F90700">
      <w:pPr>
        <w:pStyle w:val="Heading3"/>
      </w:pPr>
      <w:bookmarkStart w:id="344" w:name="_Toc236802597"/>
      <w:bookmarkStart w:id="345" w:name="_Toc241374335"/>
      <w:bookmarkStart w:id="346" w:name="_Toc272414695"/>
      <w:bookmarkStart w:id="347" w:name="_Toc290846333"/>
      <w:bookmarkStart w:id="348" w:name="_Toc291519026"/>
      <w:bookmarkStart w:id="349" w:name="_Toc443381759"/>
      <w:r w:rsidRPr="00F90700">
        <w:t>First round assessment of benefit-risk balance</w:t>
      </w:r>
      <w:bookmarkEnd w:id="344"/>
      <w:bookmarkEnd w:id="345"/>
      <w:bookmarkEnd w:id="346"/>
      <w:bookmarkEnd w:id="347"/>
      <w:bookmarkEnd w:id="348"/>
      <w:bookmarkEnd w:id="349"/>
    </w:p>
    <w:p w14:paraId="7180CF5B" w14:textId="77777777" w:rsidR="00F90700" w:rsidRPr="00F90700" w:rsidRDefault="00F90700" w:rsidP="00F90700">
      <w:r w:rsidRPr="00F90700">
        <w:t xml:space="preserve">For the treatment of NSCLC with adenocarcinoma histology, in combination with docetaxel the benefits of </w:t>
      </w:r>
      <w:proofErr w:type="spellStart"/>
      <w:r w:rsidRPr="00F90700">
        <w:t>nintedanib</w:t>
      </w:r>
      <w:proofErr w:type="spellEnd"/>
      <w:r w:rsidRPr="00F90700">
        <w:t xml:space="preserve"> are clinically significant with an average prolongation of survival of approximately two months in a population of patients with an average survival of only 10 months. This benefit is considered to outweigh the modest additional toxicity </w:t>
      </w:r>
      <w:r w:rsidR="000917C3">
        <w:t>that the drug causes. Therefore</w:t>
      </w:r>
      <w:r w:rsidRPr="00F90700">
        <w:t xml:space="preserve"> the benefit-risk balance of </w:t>
      </w:r>
      <w:proofErr w:type="spellStart"/>
      <w:r w:rsidRPr="00F90700">
        <w:t>nintedanib</w:t>
      </w:r>
      <w:proofErr w:type="spellEnd"/>
      <w:r w:rsidRPr="00F90700">
        <w:t xml:space="preserve"> in this setting is considered favourable.</w:t>
      </w:r>
    </w:p>
    <w:p w14:paraId="7180CF5C" w14:textId="77777777" w:rsidR="00F90700" w:rsidRDefault="00F90700" w:rsidP="00F90700">
      <w:r w:rsidRPr="00F90700">
        <w:t xml:space="preserve">For the treatment of mild to moderate IPF, the benefits of </w:t>
      </w:r>
      <w:proofErr w:type="spellStart"/>
      <w:r w:rsidRPr="00F90700">
        <w:t>nintedanib</w:t>
      </w:r>
      <w:proofErr w:type="spellEnd"/>
      <w:r w:rsidRPr="00F90700">
        <w:t xml:space="preserve"> are clinically significant, with a del</w:t>
      </w:r>
      <w:r w:rsidR="00B2353F">
        <w:t xml:space="preserve">ay in the progression of a life </w:t>
      </w:r>
      <w:r w:rsidRPr="00F90700">
        <w:t xml:space="preserve">threatening condition, for which there are currently no effective therapies available in Australia. This benefit is considered to outweigh the modest toxicity that the drug produces. The benefit-risk balance of </w:t>
      </w:r>
      <w:proofErr w:type="spellStart"/>
      <w:r w:rsidRPr="00F90700">
        <w:t>nintedanib</w:t>
      </w:r>
      <w:proofErr w:type="spellEnd"/>
      <w:r w:rsidRPr="00F90700">
        <w:t xml:space="preserve"> in this setting is there</w:t>
      </w:r>
      <w:r>
        <w:t>fore considered favourable.</w:t>
      </w:r>
    </w:p>
    <w:p w14:paraId="7180CF5D" w14:textId="77777777" w:rsidR="00C22678" w:rsidRPr="00052387" w:rsidRDefault="00C22678" w:rsidP="00052387">
      <w:pPr>
        <w:pStyle w:val="Heading2"/>
      </w:pPr>
      <w:bookmarkStart w:id="350" w:name="_Toc443381760"/>
      <w:r w:rsidRPr="00052387">
        <w:t>First round recommendation regarding authorisation</w:t>
      </w:r>
      <w:bookmarkEnd w:id="350"/>
    </w:p>
    <w:p w14:paraId="7180CF5E" w14:textId="77777777" w:rsidR="00F90700" w:rsidRPr="00F90700" w:rsidRDefault="00F90700" w:rsidP="00F90700">
      <w:r w:rsidRPr="00F90700">
        <w:t>It is recommended that the application be approved for the following indications:</w:t>
      </w:r>
    </w:p>
    <w:p w14:paraId="7180CF5F" w14:textId="77777777" w:rsidR="00F90700" w:rsidRPr="00B2353F" w:rsidRDefault="00F90700" w:rsidP="00F90700">
      <w:pPr>
        <w:pStyle w:val="ListBullet"/>
        <w:rPr>
          <w:i/>
        </w:rPr>
      </w:pPr>
      <w:r w:rsidRPr="00B2353F">
        <w:rPr>
          <w:i/>
        </w:rPr>
        <w:t>In combination with docetaxel, for the treatment of patients with locally advanced, metastatic or recurrent non-small cell lung cancer (NSCLC) of adenocarcinoma tumour histology after first line chemotherapy; and</w:t>
      </w:r>
    </w:p>
    <w:p w14:paraId="7180CF60" w14:textId="77777777" w:rsidR="00F90700" w:rsidRPr="00B2353F" w:rsidRDefault="00F90700" w:rsidP="00F90700">
      <w:pPr>
        <w:pStyle w:val="ListBullet"/>
        <w:rPr>
          <w:i/>
        </w:rPr>
      </w:pPr>
      <w:r w:rsidRPr="00B2353F">
        <w:rPr>
          <w:i/>
        </w:rPr>
        <w:t>The treatment of mild to moderate Idiopathic Pulmonary Fibrosis (IPF).</w:t>
      </w:r>
    </w:p>
    <w:p w14:paraId="7180CF61" w14:textId="77777777" w:rsidR="00C22678" w:rsidRPr="00052387" w:rsidRDefault="00C22678" w:rsidP="00052387">
      <w:pPr>
        <w:pStyle w:val="Heading2"/>
      </w:pPr>
      <w:bookmarkStart w:id="351" w:name="_Toc443381761"/>
      <w:r w:rsidRPr="00052387">
        <w:t>Clinical questions</w:t>
      </w:r>
      <w:bookmarkEnd w:id="351"/>
    </w:p>
    <w:p w14:paraId="7180CF62" w14:textId="77777777" w:rsidR="00C22678" w:rsidRDefault="00C618F7" w:rsidP="00C618F7">
      <w:pPr>
        <w:pStyle w:val="Heading3"/>
      </w:pPr>
      <w:bookmarkStart w:id="352" w:name="_Toc443381762"/>
      <w:r>
        <w:t>Pharmacokinetics</w:t>
      </w:r>
      <w:bookmarkEnd w:id="352"/>
    </w:p>
    <w:p w14:paraId="7180CF63" w14:textId="77777777" w:rsidR="00F90700" w:rsidRPr="00F90700" w:rsidRDefault="00F90700" w:rsidP="00F90700">
      <w:r w:rsidRPr="00F90700">
        <w:t xml:space="preserve">Please provide a summary of any available data from the ongoing studies 1199.0037, 1199.0039 and 1199.0120 on the effect of hepatic impairment on the PK of </w:t>
      </w:r>
      <w:proofErr w:type="spellStart"/>
      <w:r w:rsidRPr="00F90700">
        <w:t>nintedanib</w:t>
      </w:r>
      <w:proofErr w:type="spellEnd"/>
      <w:r w:rsidRPr="00F90700">
        <w:t>.</w:t>
      </w:r>
    </w:p>
    <w:p w14:paraId="7180CF64" w14:textId="77777777" w:rsidR="00C618F7" w:rsidRDefault="00C618F7" w:rsidP="00C618F7">
      <w:pPr>
        <w:pStyle w:val="Heading3"/>
      </w:pPr>
      <w:bookmarkStart w:id="353" w:name="_Toc443381763"/>
      <w:r>
        <w:t>Safety</w:t>
      </w:r>
      <w:bookmarkEnd w:id="353"/>
    </w:p>
    <w:p w14:paraId="7180CF65" w14:textId="77777777" w:rsidR="00F90700" w:rsidRPr="00F90700" w:rsidRDefault="00F90700" w:rsidP="00F90700">
      <w:r w:rsidRPr="00F90700">
        <w:t xml:space="preserve">The submitted studies identified one case that met the criteria for </w:t>
      </w:r>
      <w:proofErr w:type="spellStart"/>
      <w:r w:rsidRPr="00F90700">
        <w:t>Hy’s</w:t>
      </w:r>
      <w:proofErr w:type="spellEnd"/>
      <w:r w:rsidRPr="00F90700">
        <w:t xml:space="preserve"> law, whi</w:t>
      </w:r>
      <w:r w:rsidR="00B2353F">
        <w:t xml:space="preserve">ch is predictive of severe drug </w:t>
      </w:r>
      <w:r w:rsidRPr="00F90700">
        <w:t>induced liver injury. Please provide details of any further cases that have been identified, as well as any new cases of hepatic failure.</w:t>
      </w:r>
    </w:p>
    <w:p w14:paraId="7180CF66" w14:textId="77777777" w:rsidR="00C618F7" w:rsidRPr="00052387" w:rsidRDefault="00C618F7" w:rsidP="00052387">
      <w:pPr>
        <w:pStyle w:val="Heading2"/>
      </w:pPr>
      <w:bookmarkStart w:id="354" w:name="_Toc443381764"/>
      <w:r w:rsidRPr="00052387">
        <w:t>Second round evaluation of clinical data submitted in response to questions</w:t>
      </w:r>
      <w:bookmarkEnd w:id="354"/>
    </w:p>
    <w:p w14:paraId="7180CF67" w14:textId="77777777" w:rsidR="00F90700" w:rsidRPr="00F90700" w:rsidRDefault="00F90700" w:rsidP="00F90700">
      <w:pPr>
        <w:pStyle w:val="Heading3"/>
      </w:pPr>
      <w:bookmarkStart w:id="355" w:name="_Toc291519036"/>
      <w:bookmarkStart w:id="356" w:name="_Toc443381765"/>
      <w:r w:rsidRPr="00F90700">
        <w:t xml:space="preserve">Effect of hepatic impairment on PK of </w:t>
      </w:r>
      <w:proofErr w:type="spellStart"/>
      <w:r w:rsidRPr="00F90700">
        <w:t>nintedanib</w:t>
      </w:r>
      <w:bookmarkEnd w:id="355"/>
      <w:bookmarkEnd w:id="356"/>
      <w:proofErr w:type="spellEnd"/>
    </w:p>
    <w:p w14:paraId="7180CF68" w14:textId="77777777" w:rsidR="00F90700" w:rsidRDefault="00F90700" w:rsidP="00F90700">
      <w:r w:rsidRPr="00F90700">
        <w:t xml:space="preserve">The sponsor indicated that PK data from the three identified studies are not yet available. The sponsor also identified another relevant study (1199.0200). This study is a single dose study in </w:t>
      </w:r>
      <w:r w:rsidRPr="00F90700">
        <w:lastRenderedPageBreak/>
        <w:t>volunteers with hepatic impairment (Child Pugh A and B) who are otherwise healthy, and matched healthy controls. A summary report of these studies is expected</w:t>
      </w:r>
      <w:r>
        <w:t xml:space="preserve"> to be available in July 2015.</w:t>
      </w:r>
    </w:p>
    <w:p w14:paraId="7180CF69" w14:textId="77777777" w:rsidR="00F90700" w:rsidRPr="00F90700" w:rsidRDefault="00F90700" w:rsidP="00F90700">
      <w:pPr>
        <w:pStyle w:val="Heading3"/>
      </w:pPr>
      <w:bookmarkStart w:id="357" w:name="_Toc291519037"/>
      <w:bookmarkStart w:id="358" w:name="_Toc443381766"/>
      <w:r w:rsidRPr="00F90700">
        <w:t>Drug-induced liver injury</w:t>
      </w:r>
      <w:bookmarkEnd w:id="357"/>
      <w:bookmarkEnd w:id="358"/>
    </w:p>
    <w:p w14:paraId="7180CF6A" w14:textId="77777777" w:rsidR="00F90700" w:rsidRPr="00F90700" w:rsidRDefault="00F90700" w:rsidP="00F90700">
      <w:pPr>
        <w:pStyle w:val="Heading4"/>
      </w:pPr>
      <w:proofErr w:type="spellStart"/>
      <w:r w:rsidRPr="00F90700">
        <w:t>Hy’s</w:t>
      </w:r>
      <w:proofErr w:type="spellEnd"/>
      <w:r w:rsidRPr="00F90700">
        <w:t xml:space="preserve"> law cases</w:t>
      </w:r>
    </w:p>
    <w:p w14:paraId="7180CF6B" w14:textId="77777777" w:rsidR="00F90700" w:rsidRPr="00F90700" w:rsidRDefault="00F90700" w:rsidP="00F90700">
      <w:pPr>
        <w:pStyle w:val="ListBullet"/>
      </w:pPr>
      <w:r w:rsidRPr="00F90700">
        <w:t>For oncology subjects, the sponsor provided updated data from the previously submitted oncology studies together with data from an interim safety analysis of an ongoing study in ovarian cancer (</w:t>
      </w:r>
      <w:r w:rsidR="00D4340F">
        <w:t>Study</w:t>
      </w:r>
      <w:r w:rsidRPr="00F90700">
        <w:t xml:space="preserve"> 1199.0015). A total of approximately 2,800 subjects had been treated in these studies. One additional case was identified (subject </w:t>
      </w:r>
      <w:r w:rsidR="00B2353F">
        <w:t>[information redacted]</w:t>
      </w:r>
      <w:r w:rsidRPr="00F90700">
        <w:t xml:space="preserve"> in </w:t>
      </w:r>
      <w:r w:rsidR="00D4340F">
        <w:t>Study</w:t>
      </w:r>
      <w:r w:rsidRPr="00F90700">
        <w:t xml:space="preserve"> 1199.0015) that fulfilled the criteria for </w:t>
      </w:r>
      <w:proofErr w:type="spellStart"/>
      <w:r w:rsidRPr="00F90700">
        <w:t>Hy’s</w:t>
      </w:r>
      <w:proofErr w:type="spellEnd"/>
      <w:r w:rsidRPr="00F90700">
        <w:t xml:space="preserve"> law, without any other identifiable cause. The total number of such cases therefore is two.</w:t>
      </w:r>
    </w:p>
    <w:p w14:paraId="7180CF6C" w14:textId="77777777" w:rsidR="00F90700" w:rsidRDefault="00F90700" w:rsidP="00F90700">
      <w:pPr>
        <w:pStyle w:val="ListBullet"/>
      </w:pPr>
      <w:r w:rsidRPr="00F90700">
        <w:t xml:space="preserve">For IPF subjects, no cases fulfilling </w:t>
      </w:r>
      <w:proofErr w:type="spellStart"/>
      <w:r w:rsidRPr="00F90700">
        <w:t>Hy’s</w:t>
      </w:r>
      <w:proofErr w:type="spellEnd"/>
      <w:r w:rsidRPr="00F90700">
        <w:t xml:space="preserve"> law criteria were identified in an updated safety analysis of ongoing IPF studies. There have therefore been no cases reported among IPF subjects.</w:t>
      </w:r>
    </w:p>
    <w:p w14:paraId="7180CF6D" w14:textId="77777777" w:rsidR="00F90700" w:rsidRPr="00F90700" w:rsidRDefault="00F90700" w:rsidP="00F90700">
      <w:pPr>
        <w:pStyle w:val="Heading4"/>
      </w:pPr>
      <w:r w:rsidRPr="00F90700">
        <w:t>Hepatic failure</w:t>
      </w:r>
    </w:p>
    <w:p w14:paraId="7180CF6E" w14:textId="77777777" w:rsidR="00F90700" w:rsidRPr="00C31D1A" w:rsidRDefault="00F90700" w:rsidP="00F90700">
      <w:r w:rsidRPr="00F90700">
        <w:t xml:space="preserve">The sponsor searched its safety databases with a standardised </w:t>
      </w:r>
      <w:proofErr w:type="spellStart"/>
      <w:r w:rsidRPr="00F90700">
        <w:t>MedDRA</w:t>
      </w:r>
      <w:proofErr w:type="spellEnd"/>
      <w:r w:rsidRPr="00F90700">
        <w:t xml:space="preserve"> query (SMQ) entitled </w:t>
      </w:r>
      <w:r w:rsidR="00E7625C">
        <w:t>‘</w:t>
      </w:r>
      <w:r w:rsidRPr="00F90700">
        <w:t>hepatic failure, fibrosis and ci</w:t>
      </w:r>
      <w:r w:rsidR="00B2353F">
        <w:t xml:space="preserve">rrhosis, and other liver damage </w:t>
      </w:r>
      <w:r w:rsidRPr="00F90700">
        <w:t>related conditions, broad</w:t>
      </w:r>
      <w:r w:rsidR="00E7625C">
        <w:t>’</w:t>
      </w:r>
      <w:r w:rsidRPr="00F90700">
        <w:t>. This SMQ includes several terms that do not necessarily indicate severe liver dysfunction (</w:t>
      </w:r>
      <w:r w:rsidR="00383820">
        <w:t>for example</w:t>
      </w:r>
      <w:r w:rsidRPr="00F90700">
        <w:t xml:space="preserve"> ‘hepatotoxicity’, ‘liver disorder’, ‘hepatocellular injury’ </w:t>
      </w:r>
      <w:r w:rsidR="00094D89">
        <w:t>etcetera</w:t>
      </w:r>
      <w:r w:rsidRPr="00F90700">
        <w:t>.). The sponsor presented a review of the cases retrieved. This demonstrated that none of the cases met stringent criteria for liver failure (increases in transaminases with hepatocellular jaundice and subsequent INR increase, hypoproteinaemia, encephalopathy, coma, death). In most cases the AEs were considered related to underlying malignancy. None were consistent with sev</w:t>
      </w:r>
      <w:r>
        <w:t xml:space="preserve">ere DILI induced by </w:t>
      </w:r>
      <w:proofErr w:type="spellStart"/>
      <w:r>
        <w:t>nintedanib</w:t>
      </w:r>
      <w:proofErr w:type="spellEnd"/>
      <w:r>
        <w:t>.</w:t>
      </w:r>
    </w:p>
    <w:p w14:paraId="7180CF6F" w14:textId="77777777" w:rsidR="00C618F7" w:rsidRPr="00052387" w:rsidRDefault="00C618F7" w:rsidP="00052387">
      <w:pPr>
        <w:pStyle w:val="Heading2"/>
      </w:pPr>
      <w:bookmarkStart w:id="359" w:name="_Toc443381767"/>
      <w:r w:rsidRPr="00052387">
        <w:t>Second round benefit-risk assessment</w:t>
      </w:r>
      <w:bookmarkEnd w:id="359"/>
    </w:p>
    <w:p w14:paraId="7180CF70" w14:textId="77777777" w:rsidR="00F90700" w:rsidRPr="00F90700" w:rsidRDefault="00F90700" w:rsidP="00F90700">
      <w:pPr>
        <w:pStyle w:val="Heading3"/>
      </w:pPr>
      <w:bookmarkStart w:id="360" w:name="_Toc272414709"/>
      <w:bookmarkStart w:id="361" w:name="_Toc290846349"/>
      <w:bookmarkStart w:id="362" w:name="_Toc264621238"/>
      <w:bookmarkStart w:id="363" w:name="_Toc291519039"/>
      <w:bookmarkStart w:id="364" w:name="_Toc443381768"/>
      <w:r w:rsidRPr="00F90700">
        <w:t>Second round assessment of benefits</w:t>
      </w:r>
      <w:bookmarkEnd w:id="360"/>
      <w:bookmarkEnd w:id="361"/>
      <w:bookmarkEnd w:id="362"/>
      <w:bookmarkEnd w:id="363"/>
      <w:bookmarkEnd w:id="364"/>
    </w:p>
    <w:p w14:paraId="7180CF71" w14:textId="77777777" w:rsidR="00F90700" w:rsidRPr="00F90700" w:rsidRDefault="00F90700" w:rsidP="00F90700">
      <w:r w:rsidRPr="00F90700">
        <w:t xml:space="preserve">No new clinical efficacy information was submitted in response to questions. Accordingly, the benefits of </w:t>
      </w:r>
      <w:proofErr w:type="spellStart"/>
      <w:r w:rsidRPr="00F90700">
        <w:t>nintedanib</w:t>
      </w:r>
      <w:proofErr w:type="spellEnd"/>
      <w:r w:rsidRPr="00F90700">
        <w:t xml:space="preserve"> are unchanged from those identified in </w:t>
      </w:r>
      <w:r w:rsidR="00B2353F">
        <w:t>the first round assessment of benefits</w:t>
      </w:r>
      <w:r w:rsidRPr="00F90700">
        <w:t>.</w:t>
      </w:r>
    </w:p>
    <w:p w14:paraId="7180CF72" w14:textId="77777777" w:rsidR="00F90700" w:rsidRPr="00F90700" w:rsidRDefault="00F90700" w:rsidP="00F90700">
      <w:pPr>
        <w:pStyle w:val="Heading3"/>
      </w:pPr>
      <w:bookmarkStart w:id="365" w:name="_Toc272414710"/>
      <w:bookmarkStart w:id="366" w:name="_Toc290846350"/>
      <w:bookmarkStart w:id="367" w:name="_Toc264621239"/>
      <w:bookmarkStart w:id="368" w:name="_Toc291519040"/>
      <w:bookmarkStart w:id="369" w:name="_Toc443381769"/>
      <w:r w:rsidRPr="00F90700">
        <w:t>Second round assessment of risks</w:t>
      </w:r>
      <w:bookmarkEnd w:id="365"/>
      <w:bookmarkEnd w:id="366"/>
      <w:bookmarkEnd w:id="367"/>
      <w:bookmarkEnd w:id="368"/>
      <w:bookmarkEnd w:id="369"/>
    </w:p>
    <w:p w14:paraId="7180CF73" w14:textId="77777777" w:rsidR="00F90700" w:rsidRPr="00F90700" w:rsidRDefault="00F90700" w:rsidP="00F90700">
      <w:r w:rsidRPr="00F90700">
        <w:t xml:space="preserve">The sponsor identified one additional patient with LFT abnormalities meeting </w:t>
      </w:r>
      <w:proofErr w:type="spellStart"/>
      <w:r w:rsidRPr="00F90700">
        <w:t>Hy’s</w:t>
      </w:r>
      <w:proofErr w:type="spellEnd"/>
      <w:r w:rsidRPr="00F90700">
        <w:t xml:space="preserve"> Law criteria, without any identifiable cause (apart from </w:t>
      </w:r>
      <w:proofErr w:type="spellStart"/>
      <w:r w:rsidRPr="00F90700">
        <w:t>nintedanib</w:t>
      </w:r>
      <w:proofErr w:type="spellEnd"/>
      <w:r w:rsidRPr="00F90700">
        <w:t xml:space="preserve">). A total of two such cases have been identified, both in subjects with advanced malignancy. It is therefore possible that </w:t>
      </w:r>
      <w:proofErr w:type="spellStart"/>
      <w:r w:rsidRPr="00F90700">
        <w:t>nintedanib</w:t>
      </w:r>
      <w:proofErr w:type="spellEnd"/>
      <w:r w:rsidRPr="00F90700">
        <w:t xml:space="preserve"> may be associated with severe DILI, although no such cases have been reported. The issue will need to b</w:t>
      </w:r>
      <w:r w:rsidR="00B2353F">
        <w:t xml:space="preserve">e monitored closely in the post </w:t>
      </w:r>
      <w:r w:rsidRPr="00F90700">
        <w:t>market setting.</w:t>
      </w:r>
    </w:p>
    <w:p w14:paraId="7180CF74" w14:textId="77777777" w:rsidR="00F90700" w:rsidRDefault="00F90700" w:rsidP="00F90700">
      <w:r w:rsidRPr="00F90700">
        <w:t xml:space="preserve">After consideration of the responses to clinical questions, the risks of </w:t>
      </w:r>
      <w:proofErr w:type="spellStart"/>
      <w:r w:rsidRPr="00F90700">
        <w:t>nintedanib</w:t>
      </w:r>
      <w:proofErr w:type="spellEnd"/>
      <w:r w:rsidRPr="00F90700">
        <w:t xml:space="preserve"> in the proposed usage are essentially unchanged from those identified in </w:t>
      </w:r>
      <w:r w:rsidR="00B2353F">
        <w:t>the first round assessment of risks.</w:t>
      </w:r>
    </w:p>
    <w:p w14:paraId="7180CF75" w14:textId="77777777" w:rsidR="00F90700" w:rsidRPr="00F90700" w:rsidRDefault="00F90700" w:rsidP="00F90700">
      <w:pPr>
        <w:pStyle w:val="Heading3"/>
      </w:pPr>
      <w:bookmarkStart w:id="370" w:name="_Toc272414711"/>
      <w:bookmarkStart w:id="371" w:name="_Toc290846351"/>
      <w:bookmarkStart w:id="372" w:name="_Toc264621240"/>
      <w:bookmarkStart w:id="373" w:name="_Toc291519041"/>
      <w:bookmarkStart w:id="374" w:name="_Toc443381770"/>
      <w:r w:rsidRPr="00F90700">
        <w:lastRenderedPageBreak/>
        <w:t>Second round assessment of benefit-risk balance</w:t>
      </w:r>
      <w:bookmarkEnd w:id="370"/>
      <w:bookmarkEnd w:id="371"/>
      <w:bookmarkEnd w:id="372"/>
      <w:bookmarkEnd w:id="373"/>
      <w:bookmarkEnd w:id="374"/>
    </w:p>
    <w:p w14:paraId="7180CF76" w14:textId="77777777" w:rsidR="00F90700" w:rsidRPr="00F90700" w:rsidRDefault="00F90700" w:rsidP="00F90700">
      <w:r w:rsidRPr="00F90700">
        <w:t xml:space="preserve">Both advanced NSCLC and IPF are serious life-threatening conditions. Even if </w:t>
      </w:r>
      <w:proofErr w:type="spellStart"/>
      <w:r w:rsidRPr="00F90700">
        <w:t>nintedanib</w:t>
      </w:r>
      <w:proofErr w:type="spellEnd"/>
      <w:r w:rsidRPr="00F90700">
        <w:t xml:space="preserve"> were to be associated with rare cases of severe DILI, the overall benefit-risk balance of the drug is still considered favourable.</w:t>
      </w:r>
    </w:p>
    <w:p w14:paraId="7180CF77" w14:textId="77777777" w:rsidR="00C618F7" w:rsidRPr="00052387" w:rsidRDefault="00C618F7" w:rsidP="001A507F">
      <w:pPr>
        <w:pStyle w:val="Heading2"/>
        <w:ind w:right="-330"/>
      </w:pPr>
      <w:bookmarkStart w:id="375" w:name="_Toc443381771"/>
      <w:r w:rsidRPr="00052387">
        <w:t>Second round recommendation regarding authorisation</w:t>
      </w:r>
      <w:bookmarkEnd w:id="375"/>
    </w:p>
    <w:p w14:paraId="7180CF78" w14:textId="77777777" w:rsidR="00F90700" w:rsidRDefault="00F90700" w:rsidP="00F90700">
      <w:r w:rsidRPr="00F90700">
        <w:t>It is recommended that the application for registration be approved. The wording of the indication is discussed further below.</w:t>
      </w:r>
    </w:p>
    <w:p w14:paraId="68F56237" w14:textId="48BECBCB" w:rsidR="00873D3D" w:rsidRPr="00052387" w:rsidRDefault="00873D3D" w:rsidP="00052387">
      <w:pPr>
        <w:pStyle w:val="Heading2"/>
      </w:pPr>
      <w:bookmarkStart w:id="376" w:name="_Toc443381772"/>
      <w:r w:rsidRPr="00052387">
        <w:t>References</w:t>
      </w:r>
      <w:bookmarkEnd w:id="376"/>
    </w:p>
    <w:p w14:paraId="22AF7A0B" w14:textId="77777777" w:rsidR="00873D3D" w:rsidRPr="00A11596" w:rsidRDefault="00873D3D" w:rsidP="000F6EC9">
      <w:pPr>
        <w:pStyle w:val="Numberbullet0"/>
        <w:numPr>
          <w:ilvl w:val="0"/>
          <w:numId w:val="55"/>
        </w:numPr>
      </w:pPr>
      <w:r w:rsidRPr="00A11596">
        <w:t xml:space="preserve">Raghu G, Collard HR, Egan JJ et al. An official ATS/ERS/JRS/ALAT statement: idiopathic pulmonary fibrosis: evidence-based guidelines for diagnosis and management. Am J </w:t>
      </w:r>
      <w:proofErr w:type="spellStart"/>
      <w:r w:rsidRPr="00A11596">
        <w:t>Respir</w:t>
      </w:r>
      <w:proofErr w:type="spellEnd"/>
      <w:r w:rsidRPr="00A11596">
        <w:t xml:space="preserve"> </w:t>
      </w:r>
      <w:proofErr w:type="spellStart"/>
      <w:r w:rsidRPr="00A11596">
        <w:t>Crit</w:t>
      </w:r>
      <w:proofErr w:type="spellEnd"/>
      <w:r w:rsidRPr="00A11596">
        <w:t xml:space="preserve"> Care Med. 2011; 183(6): 788-824.</w:t>
      </w:r>
    </w:p>
    <w:p w14:paraId="40E9B909" w14:textId="11E72E7C" w:rsidR="00873D3D" w:rsidRPr="00A11596" w:rsidRDefault="00873D3D" w:rsidP="000F6EC9">
      <w:pPr>
        <w:pStyle w:val="Numberbullet0"/>
      </w:pPr>
      <w:r w:rsidRPr="00A11596">
        <w:t xml:space="preserve">National Institute for Health and Care Excellence (NICE). The diagnosis and management of suspected idiopathic pulmonary fibrosis (clinical guideline 163). 2013; </w:t>
      </w:r>
    </w:p>
    <w:p w14:paraId="616C5B38" w14:textId="27B30427" w:rsidR="00873D3D" w:rsidRPr="00A11596" w:rsidRDefault="00873D3D" w:rsidP="000F6EC9">
      <w:pPr>
        <w:pStyle w:val="Numberbullet0"/>
      </w:pPr>
      <w:r w:rsidRPr="00A11596">
        <w:t xml:space="preserve">European Medicines Agency. Guideline on the evaluation of anticancer medicinal products in man. EMA/CHMP/205/95/Rev.4 (2012). </w:t>
      </w:r>
    </w:p>
    <w:p w14:paraId="14F46217" w14:textId="06DA6284" w:rsidR="00873D3D" w:rsidRPr="00A11596" w:rsidRDefault="00873D3D" w:rsidP="000F6EC9">
      <w:pPr>
        <w:pStyle w:val="Numberbullet0"/>
      </w:pPr>
      <w:r w:rsidRPr="00A11596">
        <w:t xml:space="preserve">European Medicines Agency. Appendix 1 to the guideline on the evaluation of anticancer medicinal products in man. Methodological consideration for using progression-free survival (PFS) or disease-free survival (DFS) in confirmatory trials. EMA/CHMP/27994/2008/Rev.1 (2012). </w:t>
      </w:r>
    </w:p>
    <w:p w14:paraId="7E63D1A9" w14:textId="040AF6F8" w:rsidR="00873D3D" w:rsidRPr="00A11596" w:rsidRDefault="00873D3D" w:rsidP="000F6EC9">
      <w:pPr>
        <w:pStyle w:val="Numberbullet0"/>
      </w:pPr>
      <w:r w:rsidRPr="00A11596">
        <w:t xml:space="preserve">European Medicines Agency. Appendix 4 to the guideline on the evaluation of anticancer medicinal products in man. Condition Specific Guidance EMA/CHMP/703715/2012 (2012). </w:t>
      </w:r>
    </w:p>
    <w:p w14:paraId="566F4145" w14:textId="332D02DB" w:rsidR="00873D3D" w:rsidRPr="00A11596" w:rsidRDefault="00873D3D" w:rsidP="000F6EC9">
      <w:pPr>
        <w:pStyle w:val="Numberbullet0"/>
      </w:pPr>
      <w:r w:rsidRPr="00A11596">
        <w:t xml:space="preserve">European Medicines Agency. Points to consider on application with 1. Meta-analyses; 2. One pivotal study. CPMP/EWP/2330/99 (2001). </w:t>
      </w:r>
    </w:p>
    <w:p w14:paraId="0527DE18" w14:textId="25707390" w:rsidR="00873D3D" w:rsidRPr="00A11596" w:rsidRDefault="00873D3D" w:rsidP="000F6EC9">
      <w:pPr>
        <w:pStyle w:val="Numberbullet0"/>
      </w:pPr>
      <w:r w:rsidRPr="00A11596">
        <w:t>European Medicines Agency. Note for Guidance on Clinical Evaluation of QT/</w:t>
      </w:r>
      <w:proofErr w:type="spellStart"/>
      <w:r w:rsidRPr="00A11596">
        <w:t>QTc</w:t>
      </w:r>
      <w:proofErr w:type="spellEnd"/>
      <w:r w:rsidRPr="00A11596">
        <w:t xml:space="preserve"> Interval Prolongation and </w:t>
      </w:r>
      <w:proofErr w:type="spellStart"/>
      <w:r w:rsidRPr="00A11596">
        <w:t>Proarrhythmic</w:t>
      </w:r>
      <w:proofErr w:type="spellEnd"/>
      <w:r w:rsidRPr="00A11596">
        <w:t xml:space="preserve"> Potential for Non-Antiarrhythmic Drugs (CHMP/ICH/2/04); 2005. </w:t>
      </w:r>
    </w:p>
    <w:p w14:paraId="657FF304" w14:textId="44C76824" w:rsidR="00873D3D" w:rsidRPr="00A11596" w:rsidRDefault="00873D3D" w:rsidP="000F6EC9">
      <w:pPr>
        <w:pStyle w:val="Numberbullet0"/>
      </w:pPr>
      <w:r w:rsidRPr="00A11596">
        <w:t xml:space="preserve">Food and Drug Administration. News Release. FDA Approves </w:t>
      </w:r>
      <w:proofErr w:type="spellStart"/>
      <w:r w:rsidRPr="00A11596">
        <w:t>Ofev</w:t>
      </w:r>
      <w:proofErr w:type="spellEnd"/>
      <w:r w:rsidRPr="00A11596">
        <w:t xml:space="preserve"> to treat idiopathic pulmonary fibrosis. October 15 2014. </w:t>
      </w:r>
    </w:p>
    <w:p w14:paraId="789AD869" w14:textId="43E19FA2" w:rsidR="00873D3D" w:rsidRPr="00A11596" w:rsidRDefault="00873D3D" w:rsidP="000F6EC9">
      <w:pPr>
        <w:pStyle w:val="Numberbullet0"/>
      </w:pPr>
      <w:r w:rsidRPr="00A11596">
        <w:t xml:space="preserve">European Medicines Agency. Summary of opinion (initial authorisation) – </w:t>
      </w:r>
      <w:proofErr w:type="spellStart"/>
      <w:r w:rsidRPr="00A11596">
        <w:t>Vargatef</w:t>
      </w:r>
      <w:proofErr w:type="spellEnd"/>
      <w:r w:rsidRPr="00A11596">
        <w:t xml:space="preserve"> (</w:t>
      </w:r>
      <w:proofErr w:type="spellStart"/>
      <w:r w:rsidRPr="00A11596">
        <w:t>nintedanib</w:t>
      </w:r>
      <w:proofErr w:type="spellEnd"/>
      <w:r w:rsidRPr="00A11596">
        <w:t xml:space="preserve">). 25 September 2014. </w:t>
      </w:r>
    </w:p>
    <w:p w14:paraId="676D2CED" w14:textId="77777777" w:rsidR="00873D3D" w:rsidRPr="00A11596" w:rsidRDefault="00873D3D" w:rsidP="000F6EC9">
      <w:pPr>
        <w:pStyle w:val="Numberbullet0"/>
      </w:pPr>
      <w:proofErr w:type="spellStart"/>
      <w:r w:rsidRPr="00A11596">
        <w:t>Reck</w:t>
      </w:r>
      <w:proofErr w:type="spellEnd"/>
      <w:r w:rsidRPr="00A11596">
        <w:t xml:space="preserve"> M, Kaiser R, </w:t>
      </w:r>
      <w:proofErr w:type="spellStart"/>
      <w:r w:rsidRPr="00A11596">
        <w:t>Mellemgaard</w:t>
      </w:r>
      <w:proofErr w:type="spellEnd"/>
      <w:r w:rsidRPr="00A11596">
        <w:t xml:space="preserve"> A et al. Docetaxel plus </w:t>
      </w:r>
      <w:proofErr w:type="spellStart"/>
      <w:r w:rsidRPr="00A11596">
        <w:t>nintedanib</w:t>
      </w:r>
      <w:proofErr w:type="spellEnd"/>
      <w:r w:rsidRPr="00A11596">
        <w:t xml:space="preserve"> versus docetaxel plus placebo in patients with previously treated non-small-cell lung cancer (LUME-Lung 1): a phase 3, double-blind, randomised controlled trial. Lancet </w:t>
      </w:r>
      <w:proofErr w:type="spellStart"/>
      <w:r w:rsidRPr="00A11596">
        <w:t>Oncol</w:t>
      </w:r>
      <w:proofErr w:type="spellEnd"/>
      <w:r w:rsidRPr="00A11596">
        <w:t xml:space="preserve"> 2014; 15: 143–55.</w:t>
      </w:r>
    </w:p>
    <w:p w14:paraId="626178CE" w14:textId="1644AEB5" w:rsidR="00873D3D" w:rsidRPr="00A11596" w:rsidRDefault="00873D3D" w:rsidP="000F6EC9">
      <w:pPr>
        <w:pStyle w:val="Numberbullet0"/>
      </w:pPr>
      <w:r w:rsidRPr="00A11596">
        <w:t xml:space="preserve">American Joint Committee on Cancer. Lung Cancer Staging. 7th edition. 2012. </w:t>
      </w:r>
    </w:p>
    <w:p w14:paraId="50646894" w14:textId="77777777" w:rsidR="00873D3D" w:rsidRPr="00A11596" w:rsidRDefault="00873D3D" w:rsidP="000F6EC9">
      <w:pPr>
        <w:pStyle w:val="Numberbullet0"/>
      </w:pPr>
      <w:proofErr w:type="spellStart"/>
      <w:r w:rsidRPr="00A11596">
        <w:t>Therasse</w:t>
      </w:r>
      <w:proofErr w:type="spellEnd"/>
      <w:r w:rsidRPr="00A11596">
        <w:t xml:space="preserve"> P, </w:t>
      </w:r>
      <w:proofErr w:type="spellStart"/>
      <w:r w:rsidRPr="00A11596">
        <w:t>Arbuck</w:t>
      </w:r>
      <w:proofErr w:type="spellEnd"/>
      <w:r w:rsidRPr="00A11596">
        <w:t xml:space="preserve"> SG, </w:t>
      </w:r>
      <w:proofErr w:type="spellStart"/>
      <w:r w:rsidRPr="00A11596">
        <w:t>Eisenhauer</w:t>
      </w:r>
      <w:proofErr w:type="spellEnd"/>
      <w:r w:rsidRPr="00A11596">
        <w:t xml:space="preserve"> EA et al. New guidelines to evaluate the response to treatment in solid </w:t>
      </w:r>
      <w:proofErr w:type="spellStart"/>
      <w:r w:rsidRPr="00A11596">
        <w:t>tumors</w:t>
      </w:r>
      <w:proofErr w:type="spellEnd"/>
      <w:r w:rsidRPr="00A11596">
        <w:t>. European Organization for Research and Treatment of Cancer, National Cancer Institute of the United States, National Cancer Institute of Canada. J Natl Cancer Inst. 2000; 92 (3): 205-16.</w:t>
      </w:r>
    </w:p>
    <w:p w14:paraId="370CC544" w14:textId="77777777" w:rsidR="00873D3D" w:rsidRPr="00A11596" w:rsidRDefault="00873D3D" w:rsidP="000F6EC9">
      <w:pPr>
        <w:pStyle w:val="Numberbullet0"/>
      </w:pPr>
      <w:proofErr w:type="spellStart"/>
      <w:r w:rsidRPr="00A11596">
        <w:t>Richeldi</w:t>
      </w:r>
      <w:proofErr w:type="spellEnd"/>
      <w:r w:rsidRPr="00A11596">
        <w:t xml:space="preserve"> L, du Bois RM, Raghu G et al. Efficacy and safety of </w:t>
      </w:r>
      <w:proofErr w:type="spellStart"/>
      <w:r w:rsidRPr="00A11596">
        <w:t>nintedanib</w:t>
      </w:r>
      <w:proofErr w:type="spellEnd"/>
      <w:r w:rsidRPr="00A11596">
        <w:t xml:space="preserve"> in idiopathic pulmonary fibrosis. N </w:t>
      </w:r>
      <w:proofErr w:type="spellStart"/>
      <w:r w:rsidRPr="00A11596">
        <w:t>Engl</w:t>
      </w:r>
      <w:proofErr w:type="spellEnd"/>
      <w:r w:rsidRPr="00A11596">
        <w:t xml:space="preserve"> J Med. 2014; 370(22): 2071-82.</w:t>
      </w:r>
    </w:p>
    <w:p w14:paraId="7FF890D3" w14:textId="77777777" w:rsidR="00873D3D" w:rsidRPr="00A11596" w:rsidRDefault="00873D3D" w:rsidP="000F6EC9">
      <w:pPr>
        <w:pStyle w:val="Numberbullet0"/>
      </w:pPr>
      <w:proofErr w:type="spellStart"/>
      <w:r w:rsidRPr="00A11596">
        <w:lastRenderedPageBreak/>
        <w:t>Richeldi</w:t>
      </w:r>
      <w:proofErr w:type="spellEnd"/>
      <w:r w:rsidRPr="00A11596">
        <w:t xml:space="preserve"> L, </w:t>
      </w:r>
      <w:proofErr w:type="spellStart"/>
      <w:r w:rsidRPr="00A11596">
        <w:t>Costabel</w:t>
      </w:r>
      <w:proofErr w:type="spellEnd"/>
      <w:r w:rsidRPr="00A11596">
        <w:t xml:space="preserve"> U, </w:t>
      </w:r>
      <w:proofErr w:type="spellStart"/>
      <w:r w:rsidRPr="00A11596">
        <w:t>Selmen</w:t>
      </w:r>
      <w:proofErr w:type="spellEnd"/>
      <w:r w:rsidRPr="00A11596">
        <w:t xml:space="preserve"> M et al. Efficacy of a Tyrosine Kinase Inhibitor in Idiopathic Pulmonary Fibrosis. N </w:t>
      </w:r>
      <w:proofErr w:type="spellStart"/>
      <w:r w:rsidRPr="00A11596">
        <w:t>Engl</w:t>
      </w:r>
      <w:proofErr w:type="spellEnd"/>
      <w:r w:rsidRPr="00A11596">
        <w:t xml:space="preserve"> J Med 2011; 365: 1079-87.</w:t>
      </w:r>
    </w:p>
    <w:p w14:paraId="7DD8E7A8" w14:textId="77777777" w:rsidR="00873D3D" w:rsidRPr="00A11596" w:rsidRDefault="00873D3D" w:rsidP="000F6EC9">
      <w:pPr>
        <w:pStyle w:val="Numberbullet0"/>
      </w:pPr>
      <w:r w:rsidRPr="00A11596">
        <w:t xml:space="preserve">Raghu G, Collard HR, </w:t>
      </w:r>
      <w:proofErr w:type="spellStart"/>
      <w:r w:rsidRPr="00A11596">
        <w:t>Anstrom</w:t>
      </w:r>
      <w:proofErr w:type="spellEnd"/>
      <w:r w:rsidRPr="00A11596">
        <w:t xml:space="preserve"> KJ et al. Idiopathic pulmonary fibrosis: clinically meaningful primary endpoints in phase 3 clinical trials. Am J </w:t>
      </w:r>
      <w:proofErr w:type="spellStart"/>
      <w:r w:rsidRPr="00A11596">
        <w:t>Respir</w:t>
      </w:r>
      <w:proofErr w:type="spellEnd"/>
      <w:r w:rsidRPr="00A11596">
        <w:t xml:space="preserve"> </w:t>
      </w:r>
      <w:proofErr w:type="spellStart"/>
      <w:r w:rsidRPr="00A11596">
        <w:t>Crit</w:t>
      </w:r>
      <w:proofErr w:type="spellEnd"/>
      <w:r w:rsidRPr="00A11596">
        <w:t xml:space="preserve"> Care Med. 2012; 185 (10): 1044-8.</w:t>
      </w:r>
    </w:p>
    <w:p w14:paraId="053C25B9" w14:textId="77777777" w:rsidR="00873D3D" w:rsidRPr="00A11596" w:rsidRDefault="00873D3D" w:rsidP="000F6EC9">
      <w:pPr>
        <w:pStyle w:val="Numberbullet0"/>
      </w:pPr>
      <w:proofErr w:type="gramStart"/>
      <w:r w:rsidRPr="00A11596">
        <w:t>du</w:t>
      </w:r>
      <w:proofErr w:type="gramEnd"/>
      <w:r w:rsidRPr="00A11596">
        <w:t xml:space="preserve"> Bois RM, Nathan SD, </w:t>
      </w:r>
      <w:proofErr w:type="spellStart"/>
      <w:r w:rsidRPr="00A11596">
        <w:t>Richeldi</w:t>
      </w:r>
      <w:proofErr w:type="spellEnd"/>
      <w:r w:rsidRPr="00A11596">
        <w:t xml:space="preserve"> L et al. Idiopathic Pulmonary Fibrosis - Lung Function Is a Clinically Meaningful Endpoint for Phase III Trials. Am J </w:t>
      </w:r>
      <w:proofErr w:type="spellStart"/>
      <w:r w:rsidRPr="00A11596">
        <w:t>Respir</w:t>
      </w:r>
      <w:proofErr w:type="spellEnd"/>
      <w:r w:rsidRPr="00A11596">
        <w:t xml:space="preserve"> </w:t>
      </w:r>
      <w:proofErr w:type="spellStart"/>
      <w:r w:rsidRPr="00A11596">
        <w:t>Crit</w:t>
      </w:r>
      <w:proofErr w:type="spellEnd"/>
      <w:r w:rsidRPr="00A11596">
        <w:t xml:space="preserve"> Care Med. 2012; 186 (8): 712–715.</w:t>
      </w:r>
    </w:p>
    <w:p w14:paraId="6F7FF043" w14:textId="77777777" w:rsidR="00873D3D" w:rsidRPr="00A11596" w:rsidRDefault="00873D3D" w:rsidP="000F6EC9">
      <w:pPr>
        <w:pStyle w:val="Numberbullet0"/>
      </w:pPr>
      <w:proofErr w:type="gramStart"/>
      <w:r w:rsidRPr="00A11596">
        <w:t>du</w:t>
      </w:r>
      <w:proofErr w:type="gramEnd"/>
      <w:r w:rsidRPr="00A11596">
        <w:t xml:space="preserve"> Bois RM, </w:t>
      </w:r>
      <w:proofErr w:type="spellStart"/>
      <w:r w:rsidRPr="00A11596">
        <w:t>Weycker</w:t>
      </w:r>
      <w:proofErr w:type="spellEnd"/>
      <w:r w:rsidRPr="00A11596">
        <w:t xml:space="preserve"> D, </w:t>
      </w:r>
      <w:proofErr w:type="spellStart"/>
      <w:r w:rsidRPr="00A11596">
        <w:t>Albera</w:t>
      </w:r>
      <w:proofErr w:type="spellEnd"/>
      <w:r w:rsidRPr="00A11596">
        <w:t xml:space="preserve"> C et al. Forced vital capacity in patients with idiopathic pulmonary fibrosis: test properties and minimal clinically important difference. Am J </w:t>
      </w:r>
      <w:proofErr w:type="spellStart"/>
      <w:r w:rsidRPr="00A11596">
        <w:t>Respir</w:t>
      </w:r>
      <w:proofErr w:type="spellEnd"/>
      <w:r w:rsidRPr="00A11596">
        <w:t xml:space="preserve"> </w:t>
      </w:r>
      <w:proofErr w:type="spellStart"/>
      <w:r w:rsidRPr="00A11596">
        <w:t>Crit</w:t>
      </w:r>
      <w:proofErr w:type="spellEnd"/>
      <w:r w:rsidRPr="00A11596">
        <w:t xml:space="preserve"> Care Med. 2011; 184 (12): 1382-9.</w:t>
      </w:r>
    </w:p>
    <w:p w14:paraId="7180CF8C" w14:textId="76ECDA37" w:rsidR="003D1E62" w:rsidRPr="001D043B" w:rsidRDefault="00873D3D" w:rsidP="000F6EC9">
      <w:pPr>
        <w:pStyle w:val="Numberbullet0"/>
        <w:sectPr w:rsidR="003D1E62" w:rsidRPr="001D043B" w:rsidSect="008D770F">
          <w:headerReference w:type="even" r:id="rId80"/>
          <w:headerReference w:type="default" r:id="rId81"/>
          <w:headerReference w:type="first" r:id="rId82"/>
          <w:footerReference w:type="first" r:id="rId83"/>
          <w:pgSz w:w="11906" w:h="16838" w:code="9"/>
          <w:pgMar w:top="1440" w:right="1440" w:bottom="1440" w:left="1440" w:header="907" w:footer="216" w:gutter="0"/>
          <w:cols w:space="708"/>
          <w:docGrid w:linePitch="360"/>
        </w:sectPr>
      </w:pPr>
      <w:r w:rsidRPr="00A11596">
        <w:t xml:space="preserve">Food and Drug Administration. Guidance for Industry - Drug-Induced Liver Injury: Premarketing Clinical Evaluation (2009). </w:t>
      </w:r>
      <w:bookmarkEnd w:id="1"/>
      <w:bookmarkEnd w:id="0"/>
      <w:bookmarkEnd w:id="3"/>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180CF8E" w14:textId="77777777" w:rsidTr="00164354">
        <w:trPr>
          <w:trHeight w:hRule="exact" w:val="564"/>
        </w:trPr>
        <w:tc>
          <w:tcPr>
            <w:tcW w:w="9175" w:type="dxa"/>
          </w:tcPr>
          <w:p w14:paraId="7180CF8D" w14:textId="77777777" w:rsidR="00B3567E" w:rsidRPr="00487162" w:rsidRDefault="00B3567E" w:rsidP="00164354">
            <w:pPr>
              <w:pStyle w:val="TGASignoff"/>
            </w:pPr>
            <w:r w:rsidRPr="00487162">
              <w:lastRenderedPageBreak/>
              <w:t>Therapeutic Goods Administration</w:t>
            </w:r>
          </w:p>
        </w:tc>
      </w:tr>
      <w:tr w:rsidR="00B3567E" w:rsidRPr="00487162" w14:paraId="7180CF92" w14:textId="77777777" w:rsidTr="00164354">
        <w:trPr>
          <w:trHeight w:val="1221"/>
        </w:trPr>
        <w:tc>
          <w:tcPr>
            <w:tcW w:w="9175" w:type="dxa"/>
            <w:tcMar>
              <w:top w:w="28" w:type="dxa"/>
            </w:tcMar>
          </w:tcPr>
          <w:p w14:paraId="7180CF8F" w14:textId="77777777" w:rsidR="00B3567E" w:rsidRPr="00487162" w:rsidRDefault="00B3567E" w:rsidP="00164354">
            <w:pPr>
              <w:pStyle w:val="Address"/>
            </w:pPr>
            <w:r w:rsidRPr="00487162">
              <w:t>PO Box 100 Woden ACT 2606 Australia</w:t>
            </w:r>
          </w:p>
          <w:p w14:paraId="7180CF90" w14:textId="77777777" w:rsidR="00B3567E" w:rsidRPr="00487162" w:rsidRDefault="00B3567E" w:rsidP="00164354">
            <w:pPr>
              <w:pStyle w:val="Address"/>
            </w:pPr>
            <w:r w:rsidRPr="00487162">
              <w:t xml:space="preserve">Email: </w:t>
            </w:r>
            <w:hyperlink r:id="rId84" w:history="1">
              <w:r w:rsidRPr="008D770F">
                <w:rPr>
                  <w:rStyle w:val="Hyperlink"/>
                </w:rPr>
                <w:t>info@tga.gov.au</w:t>
              </w:r>
            </w:hyperlink>
            <w:r w:rsidRPr="00487162">
              <w:t xml:space="preserve">  Phone: 1800 020 653  Fax: 02 6232 8605</w:t>
            </w:r>
          </w:p>
          <w:p w14:paraId="7180CF91" w14:textId="77777777" w:rsidR="00B3567E" w:rsidRPr="008D770F" w:rsidRDefault="00190081" w:rsidP="00164354">
            <w:pPr>
              <w:pStyle w:val="Address"/>
              <w:spacing w:line="260" w:lineRule="atLeast"/>
              <w:rPr>
                <w:b/>
                <w:color w:val="0000FF"/>
                <w:u w:val="single"/>
              </w:rPr>
            </w:pPr>
            <w:hyperlink r:id="rId85" w:history="1">
              <w:r w:rsidR="00E979F4" w:rsidRPr="00FE02B1">
                <w:rPr>
                  <w:rStyle w:val="Hyperlink"/>
                  <w:b/>
                </w:rPr>
                <w:t>https://www.tga.gov.au</w:t>
              </w:r>
            </w:hyperlink>
          </w:p>
        </w:tc>
      </w:tr>
    </w:tbl>
    <w:p w14:paraId="7180CF93" w14:textId="77777777" w:rsidR="00774E1D" w:rsidRPr="008A5E0B" w:rsidRDefault="00774E1D" w:rsidP="008A5E0B"/>
    <w:sectPr w:rsidR="00774E1D" w:rsidRPr="008A5E0B" w:rsidSect="00B3567E">
      <w:headerReference w:type="even" r:id="rId86"/>
      <w:headerReference w:type="default" r:id="rId87"/>
      <w:footerReference w:type="default" r:id="rId88"/>
      <w:headerReference w:type="first" r:id="rId89"/>
      <w:footerReference w:type="first" r:id="rId9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0CFF9" w14:textId="77777777" w:rsidR="00190081" w:rsidRDefault="00190081" w:rsidP="00C40A36">
      <w:pPr>
        <w:spacing w:after="0"/>
      </w:pPr>
      <w:r>
        <w:separator/>
      </w:r>
    </w:p>
  </w:endnote>
  <w:endnote w:type="continuationSeparator" w:id="0">
    <w:p w14:paraId="7180CFFA" w14:textId="77777777" w:rsidR="00190081" w:rsidRDefault="0019008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190081" w:rsidRPr="00487162" w14:paraId="7180CFFE" w14:textId="77777777" w:rsidTr="00227D58">
      <w:trPr>
        <w:trHeight w:val="269"/>
      </w:trPr>
      <w:tc>
        <w:tcPr>
          <w:tcW w:w="7513" w:type="dxa"/>
          <w:tcMar>
            <w:top w:w="142" w:type="dxa"/>
            <w:bottom w:w="0" w:type="dxa"/>
          </w:tcMar>
        </w:tcPr>
        <w:p w14:paraId="7180CFFC" w14:textId="77777777" w:rsidR="00190081" w:rsidRPr="00487162" w:rsidRDefault="00190081" w:rsidP="00B70941">
          <w:pPr>
            <w:pStyle w:val="Footer"/>
          </w:pPr>
          <w:r>
            <w:t>Submission</w:t>
          </w:r>
          <w:r w:rsidRPr="00487162">
            <w:t xml:space="preserve"> </w:t>
          </w:r>
          <w:r w:rsidRPr="00B70941">
            <w:t>PM-2014-01847-1-4</w:t>
          </w:r>
          <w:r>
            <w:t xml:space="preserve"> Extract from the Clinical Evaluation Report for </w:t>
          </w:r>
          <w:proofErr w:type="spellStart"/>
          <w:r>
            <w:t>Ofev</w:t>
          </w:r>
          <w:proofErr w:type="spellEnd"/>
          <w:r>
            <w:t>/</w:t>
          </w:r>
          <w:proofErr w:type="spellStart"/>
          <w:r>
            <w:t>Vargatef</w:t>
          </w:r>
          <w:proofErr w:type="spellEnd"/>
          <w:r>
            <w:t xml:space="preserve"> </w:t>
          </w:r>
          <w:proofErr w:type="spellStart"/>
          <w:r>
            <w:t>Nintedanib</w:t>
          </w:r>
          <w:proofErr w:type="spellEnd"/>
          <w:r>
            <w:t xml:space="preserve"> </w:t>
          </w:r>
          <w:proofErr w:type="spellStart"/>
          <w:r>
            <w:t>esilate</w:t>
          </w:r>
          <w:proofErr w:type="spellEnd"/>
          <w:r>
            <w:t xml:space="preserve"> DRAFT V1</w:t>
          </w:r>
        </w:p>
      </w:tc>
      <w:tc>
        <w:tcPr>
          <w:tcW w:w="1348" w:type="dxa"/>
          <w:tcMar>
            <w:top w:w="142" w:type="dxa"/>
            <w:bottom w:w="0" w:type="dxa"/>
          </w:tcMar>
        </w:tcPr>
        <w:p w14:paraId="7180CFFD" w14:textId="77777777" w:rsidR="00190081" w:rsidRPr="00981D66" w:rsidRDefault="0019008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A507F">
            <w:rPr>
              <w:noProof/>
            </w:rPr>
            <w:t>3</w:t>
          </w:r>
          <w:r w:rsidRPr="00981D66">
            <w:fldChar w:fldCharType="end"/>
          </w:r>
          <w:r w:rsidRPr="00981D66">
            <w:t xml:space="preserve"> of </w:t>
          </w:r>
          <w:fldSimple w:instr=" NUMPAGES  \* Arabic  \* MERGEFORMAT ">
            <w:r w:rsidR="001A507F">
              <w:rPr>
                <w:noProof/>
              </w:rPr>
              <w:t>80</w:t>
            </w:r>
          </w:fldSimple>
        </w:p>
      </w:tc>
    </w:tr>
  </w:tbl>
  <w:p w14:paraId="7180CFFF" w14:textId="77777777" w:rsidR="00190081" w:rsidRDefault="0019008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90081" w:rsidRPr="00487162" w14:paraId="7180D008" w14:textId="77777777" w:rsidTr="00E45619">
      <w:trPr>
        <w:trHeight w:val="269"/>
      </w:trPr>
      <w:tc>
        <w:tcPr>
          <w:tcW w:w="4519" w:type="dxa"/>
          <w:tcBorders>
            <w:top w:val="single" w:sz="4" w:space="0" w:color="auto"/>
          </w:tcBorders>
          <w:tcMar>
            <w:top w:w="142" w:type="dxa"/>
            <w:bottom w:w="0" w:type="dxa"/>
          </w:tcMar>
        </w:tcPr>
        <w:p w14:paraId="7180D005" w14:textId="77777777" w:rsidR="00190081" w:rsidRPr="00487162" w:rsidRDefault="00190081" w:rsidP="00FE1DEE">
          <w:pPr>
            <w:pStyle w:val="Footer"/>
          </w:pPr>
          <w:r w:rsidRPr="00487162">
            <w:t>Document title, Part #, Section # - Section title</w:t>
          </w:r>
        </w:p>
        <w:p w14:paraId="7180D006" w14:textId="77777777" w:rsidR="00190081" w:rsidRPr="00487162" w:rsidRDefault="00190081" w:rsidP="00FE1DEE">
          <w:pPr>
            <w:pStyle w:val="Footer"/>
          </w:pPr>
          <w:r w:rsidRPr="00487162">
            <w:t>V1.0 October 2010</w:t>
          </w:r>
        </w:p>
      </w:tc>
      <w:tc>
        <w:tcPr>
          <w:tcW w:w="4342" w:type="dxa"/>
          <w:tcBorders>
            <w:top w:val="single" w:sz="4" w:space="0" w:color="auto"/>
          </w:tcBorders>
          <w:tcMar>
            <w:top w:w="142" w:type="dxa"/>
            <w:bottom w:w="0" w:type="dxa"/>
          </w:tcMar>
        </w:tcPr>
        <w:p w14:paraId="7180D007" w14:textId="0B2D13F6" w:rsidR="00190081" w:rsidRPr="00487162" w:rsidRDefault="0019008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7180D009" w14:textId="77777777" w:rsidR="00190081" w:rsidRDefault="001900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C" w14:textId="77777777" w:rsidR="00190081" w:rsidRDefault="0019008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90081" w14:paraId="7180D01A" w14:textId="77777777" w:rsidTr="0010601F">
      <w:trPr>
        <w:trHeight w:val="108"/>
      </w:trPr>
      <w:tc>
        <w:tcPr>
          <w:tcW w:w="8875" w:type="dxa"/>
          <w:gridSpan w:val="2"/>
          <w:tcBorders>
            <w:bottom w:val="single" w:sz="4" w:space="0" w:color="auto"/>
          </w:tcBorders>
          <w:tcMar>
            <w:right w:w="284" w:type="dxa"/>
          </w:tcMar>
        </w:tcPr>
        <w:p w14:paraId="7180D00F" w14:textId="77777777" w:rsidR="00190081" w:rsidRDefault="00190081" w:rsidP="006E08B3">
          <w:pPr>
            <w:pStyle w:val="Heading3"/>
          </w:pPr>
          <w:r>
            <w:t>Copyright</w:t>
          </w:r>
        </w:p>
        <w:p w14:paraId="7180D010" w14:textId="77777777" w:rsidR="00190081" w:rsidRDefault="00190081" w:rsidP="006E08B3">
          <w:r>
            <w:rPr>
              <w:rFonts w:cs="Arial"/>
            </w:rPr>
            <w:t>©</w:t>
          </w:r>
          <w:r>
            <w:t xml:space="preserve"> Commonwealth of Australia [add year]</w:t>
          </w:r>
        </w:p>
        <w:p w14:paraId="7180D011" w14:textId="77777777" w:rsidR="00190081" w:rsidRDefault="00190081" w:rsidP="006E08B3"/>
        <w:p w14:paraId="7180D012" w14:textId="77777777" w:rsidR="00190081" w:rsidRDefault="0019008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180D013" w14:textId="77777777" w:rsidR="00190081" w:rsidRDefault="00190081" w:rsidP="006E08B3"/>
        <w:p w14:paraId="7180D014" w14:textId="77777777" w:rsidR="00190081" w:rsidRDefault="00190081" w:rsidP="006E08B3">
          <w:pPr>
            <w:pStyle w:val="Heading3"/>
          </w:pPr>
          <w:r>
            <w:t>Confidentiality</w:t>
          </w:r>
        </w:p>
        <w:p w14:paraId="7180D015" w14:textId="77777777" w:rsidR="00190081" w:rsidRDefault="0019008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180D016" w14:textId="77777777" w:rsidR="00190081" w:rsidRDefault="00190081" w:rsidP="006E08B3"/>
        <w:p w14:paraId="7180D017" w14:textId="77777777" w:rsidR="00190081" w:rsidRDefault="00190081" w:rsidP="006E08B3">
          <w:r>
            <w:t>For submission made by individuals, all personal details, other than your name, will be removed from your submission before it is published on the TGA’s Internet site.</w:t>
          </w:r>
        </w:p>
        <w:p w14:paraId="7180D018" w14:textId="77777777" w:rsidR="00190081" w:rsidRDefault="00190081" w:rsidP="006E08B3"/>
        <w:p w14:paraId="7180D019" w14:textId="77777777" w:rsidR="00190081" w:rsidRDefault="0019008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90081" w14:paraId="7180D01E" w14:textId="77777777" w:rsidTr="0010601F">
      <w:trPr>
        <w:trHeight w:val="417"/>
      </w:trPr>
      <w:tc>
        <w:tcPr>
          <w:tcW w:w="4519" w:type="dxa"/>
          <w:tcBorders>
            <w:top w:val="single" w:sz="4" w:space="0" w:color="auto"/>
          </w:tcBorders>
          <w:tcMar>
            <w:top w:w="142" w:type="dxa"/>
            <w:bottom w:w="0" w:type="dxa"/>
          </w:tcMar>
        </w:tcPr>
        <w:p w14:paraId="7180D01B" w14:textId="77777777" w:rsidR="00190081" w:rsidRDefault="00190081" w:rsidP="006E08B3">
          <w:r>
            <w:t>Document title, Part #, Section # - Section title</w:t>
          </w:r>
        </w:p>
        <w:p w14:paraId="7180D01C" w14:textId="77777777" w:rsidR="00190081" w:rsidRDefault="00190081" w:rsidP="006E08B3">
          <w:r>
            <w:t>V1.0 October 2010</w:t>
          </w:r>
        </w:p>
      </w:tc>
      <w:tc>
        <w:tcPr>
          <w:tcW w:w="4356" w:type="dxa"/>
          <w:tcBorders>
            <w:top w:val="single" w:sz="4" w:space="0" w:color="auto"/>
          </w:tcBorders>
          <w:tcMar>
            <w:top w:w="142" w:type="dxa"/>
            <w:bottom w:w="0" w:type="dxa"/>
          </w:tcMar>
        </w:tcPr>
        <w:p w14:paraId="7180D01D" w14:textId="74B0FD8C" w:rsidR="00190081" w:rsidRDefault="0019008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7180D01F" w14:textId="77777777" w:rsidR="00190081" w:rsidRDefault="001900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0CFF7" w14:textId="77777777" w:rsidR="00190081" w:rsidRDefault="00190081" w:rsidP="00C40A36">
      <w:pPr>
        <w:spacing w:after="0"/>
      </w:pPr>
      <w:r>
        <w:separator/>
      </w:r>
    </w:p>
  </w:footnote>
  <w:footnote w:type="continuationSeparator" w:id="0">
    <w:p w14:paraId="7180CFF8" w14:textId="77777777" w:rsidR="00190081" w:rsidRDefault="00190081" w:rsidP="00C40A36">
      <w:pPr>
        <w:spacing w:after="0"/>
      </w:pPr>
      <w:r>
        <w:continuationSeparator/>
      </w:r>
    </w:p>
  </w:footnote>
  <w:footnote w:id="1">
    <w:p w14:paraId="598B2B52" w14:textId="0CF76FC4" w:rsidR="00190081" w:rsidRDefault="00190081">
      <w:pPr>
        <w:pStyle w:val="FootnoteText"/>
      </w:pPr>
      <w:r>
        <w:rPr>
          <w:rStyle w:val="FootnoteReference"/>
        </w:rPr>
        <w:footnoteRef/>
      </w:r>
      <w:r>
        <w:t xml:space="preserve"> Erratum: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CFFB" w14:textId="77777777" w:rsidR="00190081" w:rsidRDefault="0019008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0" w14:textId="77777777" w:rsidR="00190081" w:rsidRDefault="00190081">
    <w:pPr>
      <w:rPr>
        <w:noProof/>
        <w:lang w:eastAsia="en-AU"/>
      </w:rPr>
    </w:pPr>
    <w:r w:rsidRPr="002D545C">
      <w:rPr>
        <w:noProof/>
        <w:lang w:eastAsia="en-AU"/>
      </w:rPr>
      <w:drawing>
        <wp:anchor distT="0" distB="0" distL="114300" distR="114300" simplePos="0" relativeHeight="251659264" behindDoc="1" locked="0" layoutInCell="1" allowOverlap="1" wp14:anchorId="7180D020" wp14:editId="7180D02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180D001" w14:textId="77777777" w:rsidR="00190081" w:rsidRDefault="00190081" w:rsidP="00593AD1">
    <w:pPr>
      <w:pStyle w:val="HeaderNoLine"/>
    </w:pPr>
    <w:r>
      <w:rPr>
        <w:noProof/>
        <w:lang w:eastAsia="en-AU"/>
      </w:rPr>
      <w:drawing>
        <wp:inline distT="0" distB="0" distL="0" distR="0" wp14:anchorId="7180D022" wp14:editId="7180D023">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2" w14:textId="77777777" w:rsidR="00190081" w:rsidRDefault="001900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3" w14:textId="77777777" w:rsidR="00190081" w:rsidRDefault="0019008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4" w14:textId="77777777" w:rsidR="00190081" w:rsidRDefault="0019008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A" w14:textId="77777777" w:rsidR="00190081" w:rsidRDefault="001900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B" w14:textId="77777777" w:rsidR="00190081" w:rsidRDefault="0019008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D00D" w14:textId="77777777" w:rsidR="00190081" w:rsidRDefault="00190081" w:rsidP="006E08B3">
    <w:r>
      <w:t>Therapeutic Goods Administration</w:t>
    </w:r>
  </w:p>
  <w:p w14:paraId="7180D00E" w14:textId="77777777" w:rsidR="00190081" w:rsidRDefault="0019008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85B0283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E47ABED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55569B4"/>
    <w:multiLevelType w:val="hybridMultilevel"/>
    <w:tmpl w:val="4C8C301A"/>
    <w:lvl w:ilvl="0" w:tplc="55CA77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92409DD"/>
    <w:multiLevelType w:val="hybridMultilevel"/>
    <w:tmpl w:val="402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3014E"/>
    <w:multiLevelType w:val="hybridMultilevel"/>
    <w:tmpl w:val="A2784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8FB3AFA"/>
    <w:multiLevelType w:val="hybridMultilevel"/>
    <w:tmpl w:val="78EE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E34552"/>
    <w:multiLevelType w:val="hybridMultilevel"/>
    <w:tmpl w:val="A2784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3171BF3"/>
    <w:multiLevelType w:val="hybridMultilevel"/>
    <w:tmpl w:val="CC74F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410775"/>
    <w:multiLevelType w:val="hybridMultilevel"/>
    <w:tmpl w:val="A8CAC4F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5612E84"/>
    <w:multiLevelType w:val="hybridMultilevel"/>
    <w:tmpl w:val="9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9">
    <w:nsid w:val="5A2F7E47"/>
    <w:multiLevelType w:val="hybridMultilevel"/>
    <w:tmpl w:val="6624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3A62260"/>
    <w:multiLevelType w:val="hybridMultilevel"/>
    <w:tmpl w:val="0414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A76D00"/>
    <w:multiLevelType w:val="hybridMultilevel"/>
    <w:tmpl w:val="D15C35D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4">
    <w:nsid w:val="6ADE19C6"/>
    <w:multiLevelType w:val="hybridMultilevel"/>
    <w:tmpl w:val="EE0AB0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D0B1B75"/>
    <w:multiLevelType w:val="multilevel"/>
    <w:tmpl w:val="D3FAAFB8"/>
    <w:lvl w:ilvl="0">
      <w:start w:val="1"/>
      <w:numFmt w:val="decimal"/>
      <w:pStyle w:val="Heading2"/>
      <w:lvlText w:val="%1."/>
      <w:lvlJc w:val="left"/>
      <w:pPr>
        <w:tabs>
          <w:tab w:val="num" w:pos="3686"/>
        </w:tabs>
        <w:ind w:left="3686"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6">
    <w:nsid w:val="6D2C049A"/>
    <w:multiLevelType w:val="hybridMultilevel"/>
    <w:tmpl w:val="929C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9E7C7C"/>
    <w:multiLevelType w:val="hybridMultilevel"/>
    <w:tmpl w:val="E81E7E8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nsid w:val="7EAE2E8E"/>
    <w:multiLevelType w:val="hybridMultilevel"/>
    <w:tmpl w:val="85ACB236"/>
    <w:lvl w:ilvl="0" w:tplc="FB883FBA">
      <w:start w:val="1"/>
      <w:numFmt w:val="bullet"/>
      <w:lvlText w:val=""/>
      <w:lvlJc w:val="left"/>
      <w:pPr>
        <w:ind w:left="720" w:hanging="360"/>
      </w:pPr>
      <w:rPr>
        <w:rFonts w:ascii="Cambria" w:hAnsi="Cambria"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6"/>
  </w:num>
  <w:num w:numId="27">
    <w:abstractNumId w:val="20"/>
  </w:num>
  <w:num w:numId="28">
    <w:abstractNumId w:val="23"/>
  </w:num>
  <w:num w:numId="29">
    <w:abstractNumId w:val="25"/>
  </w:num>
  <w:num w:numId="30">
    <w:abstractNumId w:val="25"/>
  </w:num>
  <w:num w:numId="31">
    <w:abstractNumId w:val="25"/>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26"/>
  </w:num>
  <w:num w:numId="35">
    <w:abstractNumId w:val="9"/>
  </w:num>
  <w:num w:numId="36">
    <w:abstractNumId w:val="11"/>
  </w:num>
  <w:num w:numId="37">
    <w:abstractNumId w:val="28"/>
  </w:num>
  <w:num w:numId="38">
    <w:abstractNumId w:val="21"/>
  </w:num>
  <w:num w:numId="39">
    <w:abstractNumId w:val="19"/>
  </w:num>
  <w:num w:numId="40">
    <w:abstractNumId w:val="14"/>
  </w:num>
  <w:num w:numId="41">
    <w:abstractNumId w:val="10"/>
  </w:num>
  <w:num w:numId="42">
    <w:abstractNumId w:val="18"/>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2"/>
  </w:num>
  <w:num w:numId="45">
    <w:abstractNumId w:val="17"/>
  </w:num>
  <w:num w:numId="46">
    <w:abstractNumId w:val="22"/>
  </w:num>
  <w:num w:numId="47">
    <w:abstractNumId w:val="27"/>
  </w:num>
  <w:num w:numId="48">
    <w:abstractNumId w:val="8"/>
  </w:num>
  <w:num w:numId="4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1">
    <w:abstractNumId w:val="6"/>
  </w:num>
  <w:num w:numId="52">
    <w:abstractNumId w:val="15"/>
  </w:num>
  <w:num w:numId="53">
    <w:abstractNumId w:val="24"/>
  </w:num>
  <w:num w:numId="5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78"/>
    <w:rsid w:val="00002031"/>
    <w:rsid w:val="00004734"/>
    <w:rsid w:val="00006B22"/>
    <w:rsid w:val="0001276A"/>
    <w:rsid w:val="00022E09"/>
    <w:rsid w:val="000246AE"/>
    <w:rsid w:val="00025C67"/>
    <w:rsid w:val="000322F0"/>
    <w:rsid w:val="00040ACB"/>
    <w:rsid w:val="000508C6"/>
    <w:rsid w:val="00052387"/>
    <w:rsid w:val="00053EB0"/>
    <w:rsid w:val="0005559E"/>
    <w:rsid w:val="00062321"/>
    <w:rsid w:val="00077775"/>
    <w:rsid w:val="00081C12"/>
    <w:rsid w:val="00084496"/>
    <w:rsid w:val="00086289"/>
    <w:rsid w:val="00090471"/>
    <w:rsid w:val="000909B3"/>
    <w:rsid w:val="000917C3"/>
    <w:rsid w:val="00093BEF"/>
    <w:rsid w:val="00094D89"/>
    <w:rsid w:val="00097B5E"/>
    <w:rsid w:val="000A3AED"/>
    <w:rsid w:val="000A63AF"/>
    <w:rsid w:val="000B3532"/>
    <w:rsid w:val="000B3A75"/>
    <w:rsid w:val="000B5BA0"/>
    <w:rsid w:val="000C690F"/>
    <w:rsid w:val="000D1295"/>
    <w:rsid w:val="000D274F"/>
    <w:rsid w:val="000D391B"/>
    <w:rsid w:val="000D3D6D"/>
    <w:rsid w:val="000D4FC7"/>
    <w:rsid w:val="000F02F9"/>
    <w:rsid w:val="000F2E3D"/>
    <w:rsid w:val="000F4869"/>
    <w:rsid w:val="000F5B42"/>
    <w:rsid w:val="000F6E6F"/>
    <w:rsid w:val="000F6EC9"/>
    <w:rsid w:val="0010193C"/>
    <w:rsid w:val="00104613"/>
    <w:rsid w:val="0010601F"/>
    <w:rsid w:val="0010788A"/>
    <w:rsid w:val="00107A31"/>
    <w:rsid w:val="00110EA5"/>
    <w:rsid w:val="00112F56"/>
    <w:rsid w:val="00116693"/>
    <w:rsid w:val="00125318"/>
    <w:rsid w:val="001305A2"/>
    <w:rsid w:val="00133238"/>
    <w:rsid w:val="00140F17"/>
    <w:rsid w:val="0014197B"/>
    <w:rsid w:val="001447CD"/>
    <w:rsid w:val="001516B1"/>
    <w:rsid w:val="00154EBB"/>
    <w:rsid w:val="00156316"/>
    <w:rsid w:val="00164354"/>
    <w:rsid w:val="00165389"/>
    <w:rsid w:val="0016781D"/>
    <w:rsid w:val="0017078F"/>
    <w:rsid w:val="0017693F"/>
    <w:rsid w:val="0018110E"/>
    <w:rsid w:val="00181684"/>
    <w:rsid w:val="00182088"/>
    <w:rsid w:val="001843C6"/>
    <w:rsid w:val="001850E0"/>
    <w:rsid w:val="00186550"/>
    <w:rsid w:val="00190081"/>
    <w:rsid w:val="0019437B"/>
    <w:rsid w:val="001A0EED"/>
    <w:rsid w:val="001A1B15"/>
    <w:rsid w:val="001A2158"/>
    <w:rsid w:val="001A507F"/>
    <w:rsid w:val="001A525F"/>
    <w:rsid w:val="001B09F9"/>
    <w:rsid w:val="001B5D98"/>
    <w:rsid w:val="001B6448"/>
    <w:rsid w:val="001C657B"/>
    <w:rsid w:val="001D16AE"/>
    <w:rsid w:val="001E07CF"/>
    <w:rsid w:val="001E39CB"/>
    <w:rsid w:val="001E59F1"/>
    <w:rsid w:val="001E5B40"/>
    <w:rsid w:val="001F497A"/>
    <w:rsid w:val="001F49EB"/>
    <w:rsid w:val="001F6CBA"/>
    <w:rsid w:val="00201D4E"/>
    <w:rsid w:val="002076C9"/>
    <w:rsid w:val="00220B8A"/>
    <w:rsid w:val="002257F3"/>
    <w:rsid w:val="00227D58"/>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17FDE"/>
    <w:rsid w:val="003239C7"/>
    <w:rsid w:val="0032583B"/>
    <w:rsid w:val="00326952"/>
    <w:rsid w:val="00327883"/>
    <w:rsid w:val="00335107"/>
    <w:rsid w:val="00335504"/>
    <w:rsid w:val="00344693"/>
    <w:rsid w:val="003521E8"/>
    <w:rsid w:val="003728F3"/>
    <w:rsid w:val="0037496E"/>
    <w:rsid w:val="0037623D"/>
    <w:rsid w:val="00383820"/>
    <w:rsid w:val="00386150"/>
    <w:rsid w:val="003874CE"/>
    <w:rsid w:val="00390900"/>
    <w:rsid w:val="00394AB0"/>
    <w:rsid w:val="00396C92"/>
    <w:rsid w:val="003A7F6C"/>
    <w:rsid w:val="003B1113"/>
    <w:rsid w:val="003B4D60"/>
    <w:rsid w:val="003B634F"/>
    <w:rsid w:val="003B7E39"/>
    <w:rsid w:val="003C58DC"/>
    <w:rsid w:val="003D0A3B"/>
    <w:rsid w:val="003D1E62"/>
    <w:rsid w:val="003E2486"/>
    <w:rsid w:val="003E289E"/>
    <w:rsid w:val="003E3208"/>
    <w:rsid w:val="003E4E4E"/>
    <w:rsid w:val="003F0B04"/>
    <w:rsid w:val="0040134E"/>
    <w:rsid w:val="00415D59"/>
    <w:rsid w:val="00423544"/>
    <w:rsid w:val="0043797D"/>
    <w:rsid w:val="00440A2D"/>
    <w:rsid w:val="004564A7"/>
    <w:rsid w:val="004617BF"/>
    <w:rsid w:val="00463658"/>
    <w:rsid w:val="004722CC"/>
    <w:rsid w:val="00482C31"/>
    <w:rsid w:val="004936E4"/>
    <w:rsid w:val="00494E60"/>
    <w:rsid w:val="00497487"/>
    <w:rsid w:val="004A0845"/>
    <w:rsid w:val="004A1DE6"/>
    <w:rsid w:val="004A7E13"/>
    <w:rsid w:val="004B0480"/>
    <w:rsid w:val="004B547D"/>
    <w:rsid w:val="004B7B76"/>
    <w:rsid w:val="004C2DCA"/>
    <w:rsid w:val="004F0F38"/>
    <w:rsid w:val="004F4AF5"/>
    <w:rsid w:val="00501921"/>
    <w:rsid w:val="00505769"/>
    <w:rsid w:val="00530354"/>
    <w:rsid w:val="0053625B"/>
    <w:rsid w:val="005434C6"/>
    <w:rsid w:val="00543B39"/>
    <w:rsid w:val="00550096"/>
    <w:rsid w:val="00557FF9"/>
    <w:rsid w:val="0057240D"/>
    <w:rsid w:val="00576378"/>
    <w:rsid w:val="00577945"/>
    <w:rsid w:val="00577E38"/>
    <w:rsid w:val="0058270D"/>
    <w:rsid w:val="00585322"/>
    <w:rsid w:val="005857C6"/>
    <w:rsid w:val="00586F98"/>
    <w:rsid w:val="00592F6E"/>
    <w:rsid w:val="00593AD1"/>
    <w:rsid w:val="005A6456"/>
    <w:rsid w:val="005A68B6"/>
    <w:rsid w:val="005B3434"/>
    <w:rsid w:val="005C5570"/>
    <w:rsid w:val="005C74DA"/>
    <w:rsid w:val="005C79A4"/>
    <w:rsid w:val="005D5442"/>
    <w:rsid w:val="005E21B7"/>
    <w:rsid w:val="005E3A78"/>
    <w:rsid w:val="00603F32"/>
    <w:rsid w:val="00614332"/>
    <w:rsid w:val="00614D1F"/>
    <w:rsid w:val="006170F0"/>
    <w:rsid w:val="00620406"/>
    <w:rsid w:val="00632398"/>
    <w:rsid w:val="00640FC3"/>
    <w:rsid w:val="00642020"/>
    <w:rsid w:val="00646206"/>
    <w:rsid w:val="00647FB0"/>
    <w:rsid w:val="0065337B"/>
    <w:rsid w:val="0065419D"/>
    <w:rsid w:val="006604D8"/>
    <w:rsid w:val="00662724"/>
    <w:rsid w:val="006649B1"/>
    <w:rsid w:val="00664A5B"/>
    <w:rsid w:val="006763D2"/>
    <w:rsid w:val="00680C08"/>
    <w:rsid w:val="00680D1C"/>
    <w:rsid w:val="00681C97"/>
    <w:rsid w:val="006931B1"/>
    <w:rsid w:val="0069415F"/>
    <w:rsid w:val="006961BB"/>
    <w:rsid w:val="006A15C0"/>
    <w:rsid w:val="006B4C50"/>
    <w:rsid w:val="006C130C"/>
    <w:rsid w:val="006C3E2A"/>
    <w:rsid w:val="006C4EF9"/>
    <w:rsid w:val="006C642F"/>
    <w:rsid w:val="006D03E5"/>
    <w:rsid w:val="006D3A09"/>
    <w:rsid w:val="006D5D3E"/>
    <w:rsid w:val="006E08B3"/>
    <w:rsid w:val="006F17AC"/>
    <w:rsid w:val="006F1D37"/>
    <w:rsid w:val="006F26D0"/>
    <w:rsid w:val="006F2796"/>
    <w:rsid w:val="006F572E"/>
    <w:rsid w:val="007046D6"/>
    <w:rsid w:val="00705DB0"/>
    <w:rsid w:val="00711FC2"/>
    <w:rsid w:val="00722B57"/>
    <w:rsid w:val="0074253D"/>
    <w:rsid w:val="0074429B"/>
    <w:rsid w:val="007513B4"/>
    <w:rsid w:val="007615BC"/>
    <w:rsid w:val="00762F05"/>
    <w:rsid w:val="007652FF"/>
    <w:rsid w:val="00767B2A"/>
    <w:rsid w:val="00770EF1"/>
    <w:rsid w:val="007731A3"/>
    <w:rsid w:val="00773EF7"/>
    <w:rsid w:val="00774E1D"/>
    <w:rsid w:val="0077675A"/>
    <w:rsid w:val="00780355"/>
    <w:rsid w:val="00785721"/>
    <w:rsid w:val="00792271"/>
    <w:rsid w:val="00793A59"/>
    <w:rsid w:val="00793B9F"/>
    <w:rsid w:val="007A330A"/>
    <w:rsid w:val="007B6E9F"/>
    <w:rsid w:val="007C1216"/>
    <w:rsid w:val="007C1AF7"/>
    <w:rsid w:val="007D35A6"/>
    <w:rsid w:val="007E6E27"/>
    <w:rsid w:val="007E7D67"/>
    <w:rsid w:val="007F03EB"/>
    <w:rsid w:val="00805D27"/>
    <w:rsid w:val="00821776"/>
    <w:rsid w:val="008321F5"/>
    <w:rsid w:val="00832369"/>
    <w:rsid w:val="00834660"/>
    <w:rsid w:val="00836BC2"/>
    <w:rsid w:val="008414A0"/>
    <w:rsid w:val="00844016"/>
    <w:rsid w:val="008441BC"/>
    <w:rsid w:val="0085641B"/>
    <w:rsid w:val="00857136"/>
    <w:rsid w:val="00873D3D"/>
    <w:rsid w:val="008832EC"/>
    <w:rsid w:val="00886D15"/>
    <w:rsid w:val="00887DD8"/>
    <w:rsid w:val="00896018"/>
    <w:rsid w:val="008960DD"/>
    <w:rsid w:val="0089635C"/>
    <w:rsid w:val="008976FA"/>
    <w:rsid w:val="008A2B9D"/>
    <w:rsid w:val="008A5E0B"/>
    <w:rsid w:val="008A6D59"/>
    <w:rsid w:val="008B4B03"/>
    <w:rsid w:val="008B596F"/>
    <w:rsid w:val="008B5A3E"/>
    <w:rsid w:val="008C159F"/>
    <w:rsid w:val="008C1623"/>
    <w:rsid w:val="008C1850"/>
    <w:rsid w:val="008C51A9"/>
    <w:rsid w:val="008D770F"/>
    <w:rsid w:val="008E6377"/>
    <w:rsid w:val="008E7846"/>
    <w:rsid w:val="008F1CCC"/>
    <w:rsid w:val="008F2967"/>
    <w:rsid w:val="008F6943"/>
    <w:rsid w:val="008F69AF"/>
    <w:rsid w:val="00902A21"/>
    <w:rsid w:val="0091318A"/>
    <w:rsid w:val="00917B9D"/>
    <w:rsid w:val="00920330"/>
    <w:rsid w:val="009219D7"/>
    <w:rsid w:val="00922D53"/>
    <w:rsid w:val="00923B70"/>
    <w:rsid w:val="00923D98"/>
    <w:rsid w:val="00924482"/>
    <w:rsid w:val="00930237"/>
    <w:rsid w:val="00937772"/>
    <w:rsid w:val="009438E8"/>
    <w:rsid w:val="0094614A"/>
    <w:rsid w:val="00946EA5"/>
    <w:rsid w:val="0095160F"/>
    <w:rsid w:val="00963C08"/>
    <w:rsid w:val="00972EEE"/>
    <w:rsid w:val="00981D66"/>
    <w:rsid w:val="0098585A"/>
    <w:rsid w:val="0098669D"/>
    <w:rsid w:val="00994C95"/>
    <w:rsid w:val="009A4CED"/>
    <w:rsid w:val="009A690D"/>
    <w:rsid w:val="009B1D12"/>
    <w:rsid w:val="009B416B"/>
    <w:rsid w:val="009C4BD5"/>
    <w:rsid w:val="009D7B77"/>
    <w:rsid w:val="009E0BB0"/>
    <w:rsid w:val="009E3FBB"/>
    <w:rsid w:val="009F46F8"/>
    <w:rsid w:val="00A102E4"/>
    <w:rsid w:val="00A11596"/>
    <w:rsid w:val="00A12C42"/>
    <w:rsid w:val="00A14DF7"/>
    <w:rsid w:val="00A235D9"/>
    <w:rsid w:val="00A31FF8"/>
    <w:rsid w:val="00A3246D"/>
    <w:rsid w:val="00A36FA7"/>
    <w:rsid w:val="00A462F4"/>
    <w:rsid w:val="00A475B7"/>
    <w:rsid w:val="00A47AF7"/>
    <w:rsid w:val="00A47C3E"/>
    <w:rsid w:val="00A50226"/>
    <w:rsid w:val="00A57D2B"/>
    <w:rsid w:val="00A60BAD"/>
    <w:rsid w:val="00A65DA4"/>
    <w:rsid w:val="00A6733A"/>
    <w:rsid w:val="00A964D1"/>
    <w:rsid w:val="00AA0ED0"/>
    <w:rsid w:val="00AA3499"/>
    <w:rsid w:val="00AC2B40"/>
    <w:rsid w:val="00AC2BB2"/>
    <w:rsid w:val="00AC2C3C"/>
    <w:rsid w:val="00AC512D"/>
    <w:rsid w:val="00AD4166"/>
    <w:rsid w:val="00AE01C2"/>
    <w:rsid w:val="00AE65EB"/>
    <w:rsid w:val="00AE67A7"/>
    <w:rsid w:val="00AF1D94"/>
    <w:rsid w:val="00AF60C5"/>
    <w:rsid w:val="00B009C6"/>
    <w:rsid w:val="00B01548"/>
    <w:rsid w:val="00B02208"/>
    <w:rsid w:val="00B1362B"/>
    <w:rsid w:val="00B1425E"/>
    <w:rsid w:val="00B21D29"/>
    <w:rsid w:val="00B2353F"/>
    <w:rsid w:val="00B25034"/>
    <w:rsid w:val="00B275F4"/>
    <w:rsid w:val="00B27C2B"/>
    <w:rsid w:val="00B33588"/>
    <w:rsid w:val="00B33863"/>
    <w:rsid w:val="00B35243"/>
    <w:rsid w:val="00B3567E"/>
    <w:rsid w:val="00B37D17"/>
    <w:rsid w:val="00B4175E"/>
    <w:rsid w:val="00B418B2"/>
    <w:rsid w:val="00B452CE"/>
    <w:rsid w:val="00B47EA6"/>
    <w:rsid w:val="00B54A34"/>
    <w:rsid w:val="00B54C25"/>
    <w:rsid w:val="00B70941"/>
    <w:rsid w:val="00B769F3"/>
    <w:rsid w:val="00B76B91"/>
    <w:rsid w:val="00B77EB1"/>
    <w:rsid w:val="00B811C6"/>
    <w:rsid w:val="00B829C8"/>
    <w:rsid w:val="00B85A87"/>
    <w:rsid w:val="00B92E08"/>
    <w:rsid w:val="00B937A4"/>
    <w:rsid w:val="00B96EBE"/>
    <w:rsid w:val="00B9717B"/>
    <w:rsid w:val="00BB0493"/>
    <w:rsid w:val="00BB07E8"/>
    <w:rsid w:val="00BB4327"/>
    <w:rsid w:val="00BC31A8"/>
    <w:rsid w:val="00BC622A"/>
    <w:rsid w:val="00BD45E3"/>
    <w:rsid w:val="00BE0A78"/>
    <w:rsid w:val="00BE32A6"/>
    <w:rsid w:val="00BE50C8"/>
    <w:rsid w:val="00BE6252"/>
    <w:rsid w:val="00BE66E7"/>
    <w:rsid w:val="00BE6BB1"/>
    <w:rsid w:val="00BE79F0"/>
    <w:rsid w:val="00BF046D"/>
    <w:rsid w:val="00BF1190"/>
    <w:rsid w:val="00BF5D04"/>
    <w:rsid w:val="00C1164D"/>
    <w:rsid w:val="00C137CE"/>
    <w:rsid w:val="00C16861"/>
    <w:rsid w:val="00C22678"/>
    <w:rsid w:val="00C404A6"/>
    <w:rsid w:val="00C40A36"/>
    <w:rsid w:val="00C44419"/>
    <w:rsid w:val="00C44D27"/>
    <w:rsid w:val="00C45E7B"/>
    <w:rsid w:val="00C4625F"/>
    <w:rsid w:val="00C471B1"/>
    <w:rsid w:val="00C529B5"/>
    <w:rsid w:val="00C618F7"/>
    <w:rsid w:val="00C6316B"/>
    <w:rsid w:val="00C634A9"/>
    <w:rsid w:val="00C64586"/>
    <w:rsid w:val="00C66BFF"/>
    <w:rsid w:val="00C70D53"/>
    <w:rsid w:val="00C73D0B"/>
    <w:rsid w:val="00C772FF"/>
    <w:rsid w:val="00C801AF"/>
    <w:rsid w:val="00C80256"/>
    <w:rsid w:val="00C811C0"/>
    <w:rsid w:val="00C81805"/>
    <w:rsid w:val="00C8268B"/>
    <w:rsid w:val="00CB6BC0"/>
    <w:rsid w:val="00CC1B7C"/>
    <w:rsid w:val="00CC53BB"/>
    <w:rsid w:val="00CC727F"/>
    <w:rsid w:val="00CD3EFE"/>
    <w:rsid w:val="00CF15C3"/>
    <w:rsid w:val="00CF2B6F"/>
    <w:rsid w:val="00CF58B6"/>
    <w:rsid w:val="00D017ED"/>
    <w:rsid w:val="00D040D3"/>
    <w:rsid w:val="00D04C65"/>
    <w:rsid w:val="00D149C5"/>
    <w:rsid w:val="00D224FE"/>
    <w:rsid w:val="00D4340F"/>
    <w:rsid w:val="00D44E76"/>
    <w:rsid w:val="00D53A31"/>
    <w:rsid w:val="00D6493E"/>
    <w:rsid w:val="00D7301E"/>
    <w:rsid w:val="00D73241"/>
    <w:rsid w:val="00D83AE1"/>
    <w:rsid w:val="00D855D4"/>
    <w:rsid w:val="00D87961"/>
    <w:rsid w:val="00D93466"/>
    <w:rsid w:val="00D939A5"/>
    <w:rsid w:val="00DA1124"/>
    <w:rsid w:val="00DB75B7"/>
    <w:rsid w:val="00DC147E"/>
    <w:rsid w:val="00DC6E02"/>
    <w:rsid w:val="00DE02AE"/>
    <w:rsid w:val="00DE6546"/>
    <w:rsid w:val="00DF1D7F"/>
    <w:rsid w:val="00DF4BE4"/>
    <w:rsid w:val="00E02FB4"/>
    <w:rsid w:val="00E05A26"/>
    <w:rsid w:val="00E07F15"/>
    <w:rsid w:val="00E20571"/>
    <w:rsid w:val="00E235F7"/>
    <w:rsid w:val="00E23659"/>
    <w:rsid w:val="00E239D4"/>
    <w:rsid w:val="00E26130"/>
    <w:rsid w:val="00E2741C"/>
    <w:rsid w:val="00E40B22"/>
    <w:rsid w:val="00E448CC"/>
    <w:rsid w:val="00E45619"/>
    <w:rsid w:val="00E4588F"/>
    <w:rsid w:val="00E46DA3"/>
    <w:rsid w:val="00E51BB1"/>
    <w:rsid w:val="00E624A5"/>
    <w:rsid w:val="00E62607"/>
    <w:rsid w:val="00E7344E"/>
    <w:rsid w:val="00E7625C"/>
    <w:rsid w:val="00E85FA7"/>
    <w:rsid w:val="00E879B5"/>
    <w:rsid w:val="00E936E3"/>
    <w:rsid w:val="00E979F4"/>
    <w:rsid w:val="00EB0798"/>
    <w:rsid w:val="00EB40AD"/>
    <w:rsid w:val="00EB586E"/>
    <w:rsid w:val="00EB5FC8"/>
    <w:rsid w:val="00ED0B20"/>
    <w:rsid w:val="00ED2D5A"/>
    <w:rsid w:val="00ED3CAD"/>
    <w:rsid w:val="00ED5A41"/>
    <w:rsid w:val="00EE1DE8"/>
    <w:rsid w:val="00F033EC"/>
    <w:rsid w:val="00F04F68"/>
    <w:rsid w:val="00F12670"/>
    <w:rsid w:val="00F14B27"/>
    <w:rsid w:val="00F20E90"/>
    <w:rsid w:val="00F3148D"/>
    <w:rsid w:val="00F325C5"/>
    <w:rsid w:val="00F32FE0"/>
    <w:rsid w:val="00F35298"/>
    <w:rsid w:val="00F35E68"/>
    <w:rsid w:val="00F47333"/>
    <w:rsid w:val="00F47E37"/>
    <w:rsid w:val="00F53C07"/>
    <w:rsid w:val="00F54B65"/>
    <w:rsid w:val="00F640B6"/>
    <w:rsid w:val="00F71511"/>
    <w:rsid w:val="00F80E40"/>
    <w:rsid w:val="00F848D9"/>
    <w:rsid w:val="00F90700"/>
    <w:rsid w:val="00FA5B82"/>
    <w:rsid w:val="00FA639E"/>
    <w:rsid w:val="00FB2635"/>
    <w:rsid w:val="00FC25E4"/>
    <w:rsid w:val="00FC2D23"/>
    <w:rsid w:val="00FC4EF7"/>
    <w:rsid w:val="00FE1DEE"/>
    <w:rsid w:val="00FE4616"/>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180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052387"/>
    <w:pPr>
      <w:keepNext/>
      <w:keepLines/>
      <w:numPr>
        <w:numId w:val="31"/>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66BF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052387"/>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53EB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DC147E"/>
    <w:pPr>
      <w:numPr>
        <w:numId w:val="24"/>
      </w:numPr>
    </w:pPr>
  </w:style>
  <w:style w:type="paragraph" w:customStyle="1" w:styleId="Numberbullet2">
    <w:name w:val="Number bullet 2"/>
    <w:basedOn w:val="ListBullet2"/>
    <w:qFormat/>
    <w:rsid w:val="004C2DCA"/>
    <w:pPr>
      <w:numPr>
        <w:numId w:val="24"/>
      </w:numPr>
      <w:ind w:hanging="360"/>
    </w:pPr>
  </w:style>
  <w:style w:type="paragraph" w:customStyle="1" w:styleId="Numberbullet3">
    <w:name w:val="Number bullet 3"/>
    <w:basedOn w:val="ListBullet3"/>
    <w:qFormat/>
    <w:rsid w:val="004C2DCA"/>
    <w:pPr>
      <w:numPr>
        <w:numId w:val="24"/>
      </w:numPr>
      <w:ind w:hanging="180"/>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164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semiHidden/>
    <w:rsid w:val="00164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164354"/>
    <w:rPr>
      <w:rFonts w:ascii="Cambria" w:eastAsia="Times New Roman" w:hAnsi="Cambria" w:cs="Times New Roman"/>
      <w:kern w:val="16"/>
      <w:sz w:val="20"/>
      <w:szCs w:val="20"/>
      <w:lang w:eastAsia="en-AU"/>
    </w:rPr>
  </w:style>
  <w:style w:type="character" w:styleId="EndnoteReference">
    <w:name w:val="endnote reference"/>
    <w:semiHidden/>
    <w:rsid w:val="00164354"/>
    <w:rPr>
      <w:dstrike w:val="0"/>
      <w:vertAlign w:val="baseline"/>
    </w:rPr>
  </w:style>
  <w:style w:type="paragraph" w:customStyle="1" w:styleId="Bullet1">
    <w:name w:val="Bullet 1"/>
    <w:basedOn w:val="Normal"/>
    <w:rsid w:val="00B27C2B"/>
    <w:pPr>
      <w:numPr>
        <w:numId w:val="35"/>
      </w:numPr>
      <w:spacing w:after="0" w:line="240" w:lineRule="auto"/>
    </w:pPr>
    <w:rPr>
      <w:rFonts w:eastAsia="Times New Roman"/>
      <w:kern w:val="24"/>
      <w:szCs w:val="24"/>
      <w:lang w:eastAsia="en-AU"/>
    </w:rPr>
  </w:style>
  <w:style w:type="paragraph" w:customStyle="1" w:styleId="Bullet2">
    <w:name w:val="Bullet 2"/>
    <w:basedOn w:val="Bullet1"/>
    <w:rsid w:val="00B27C2B"/>
    <w:pPr>
      <w:numPr>
        <w:numId w:val="36"/>
      </w:numPr>
    </w:pPr>
  </w:style>
  <w:style w:type="paragraph" w:customStyle="1" w:styleId="Comment1">
    <w:name w:val="Comment 1"/>
    <w:basedOn w:val="Normal"/>
    <w:next w:val="Normal"/>
    <w:qFormat/>
    <w:rsid w:val="0069415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1A1B1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C66BFF"/>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semiHidden/>
    <w:unhideWhenUsed/>
    <w:rsid w:val="00C44D2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44D2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44D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052387"/>
    <w:pPr>
      <w:keepNext/>
      <w:keepLines/>
      <w:numPr>
        <w:numId w:val="31"/>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66BF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052387"/>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53EB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DC147E"/>
    <w:pPr>
      <w:numPr>
        <w:numId w:val="24"/>
      </w:numPr>
    </w:pPr>
  </w:style>
  <w:style w:type="paragraph" w:customStyle="1" w:styleId="Numberbullet2">
    <w:name w:val="Number bullet 2"/>
    <w:basedOn w:val="ListBullet2"/>
    <w:qFormat/>
    <w:rsid w:val="004C2DCA"/>
    <w:pPr>
      <w:numPr>
        <w:numId w:val="24"/>
      </w:numPr>
      <w:ind w:hanging="360"/>
    </w:pPr>
  </w:style>
  <w:style w:type="paragraph" w:customStyle="1" w:styleId="Numberbullet3">
    <w:name w:val="Number bullet 3"/>
    <w:basedOn w:val="ListBullet3"/>
    <w:qFormat/>
    <w:rsid w:val="004C2DCA"/>
    <w:pPr>
      <w:numPr>
        <w:numId w:val="24"/>
      </w:numPr>
      <w:ind w:hanging="180"/>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164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semiHidden/>
    <w:rsid w:val="00164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164354"/>
    <w:rPr>
      <w:rFonts w:ascii="Cambria" w:eastAsia="Times New Roman" w:hAnsi="Cambria" w:cs="Times New Roman"/>
      <w:kern w:val="16"/>
      <w:sz w:val="20"/>
      <w:szCs w:val="20"/>
      <w:lang w:eastAsia="en-AU"/>
    </w:rPr>
  </w:style>
  <w:style w:type="character" w:styleId="EndnoteReference">
    <w:name w:val="endnote reference"/>
    <w:semiHidden/>
    <w:rsid w:val="00164354"/>
    <w:rPr>
      <w:dstrike w:val="0"/>
      <w:vertAlign w:val="baseline"/>
    </w:rPr>
  </w:style>
  <w:style w:type="paragraph" w:customStyle="1" w:styleId="Bullet1">
    <w:name w:val="Bullet 1"/>
    <w:basedOn w:val="Normal"/>
    <w:rsid w:val="00B27C2B"/>
    <w:pPr>
      <w:numPr>
        <w:numId w:val="35"/>
      </w:numPr>
      <w:spacing w:after="0" w:line="240" w:lineRule="auto"/>
    </w:pPr>
    <w:rPr>
      <w:rFonts w:eastAsia="Times New Roman"/>
      <w:kern w:val="24"/>
      <w:szCs w:val="24"/>
      <w:lang w:eastAsia="en-AU"/>
    </w:rPr>
  </w:style>
  <w:style w:type="paragraph" w:customStyle="1" w:styleId="Bullet2">
    <w:name w:val="Bullet 2"/>
    <w:basedOn w:val="Bullet1"/>
    <w:rsid w:val="00B27C2B"/>
    <w:pPr>
      <w:numPr>
        <w:numId w:val="36"/>
      </w:numPr>
    </w:pPr>
  </w:style>
  <w:style w:type="paragraph" w:customStyle="1" w:styleId="Comment1">
    <w:name w:val="Comment 1"/>
    <w:basedOn w:val="Normal"/>
    <w:next w:val="Normal"/>
    <w:qFormat/>
    <w:rsid w:val="0069415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1A1B1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C66BFF"/>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semiHidden/>
    <w:unhideWhenUsed/>
    <w:rsid w:val="00C44D2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44D2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C44D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5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3.png"/><Relationship Id="rId26" Type="http://schemas.microsoft.com/office/2007/relationships/hdphoto" Target="media/hdphoto2.wdp"/><Relationship Id="rId39" Type="http://schemas.microsoft.com/office/2007/relationships/hdphoto" Target="media/hdphoto5.wdp"/><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6.png"/><Relationship Id="rId50" Type="http://schemas.microsoft.com/office/2007/relationships/hdphoto" Target="media/hdphoto8.wdp"/><Relationship Id="rId55" Type="http://schemas.openxmlformats.org/officeDocument/2006/relationships/image" Target="media/image30.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8.png"/><Relationship Id="rId84" Type="http://schemas.openxmlformats.org/officeDocument/2006/relationships/hyperlink" Target="mailto:info@tga.gov.au" TargetMode="External"/><Relationship Id="rId89" Type="http://schemas.openxmlformats.org/officeDocument/2006/relationships/header" Target="header8.xml"/><Relationship Id="rId7" Type="http://schemas.microsoft.com/office/2007/relationships/stylesWithEffects" Target="stylesWithEffects.xml"/><Relationship Id="rId71" Type="http://schemas.openxmlformats.org/officeDocument/2006/relationships/image" Target="media/image43.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microsoft.com/office/2007/relationships/hdphoto" Target="media/hdphoto3.wdp"/><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microsoft.com/office/2007/relationships/hdphoto" Target="media/hdphoto12.wdp"/><Relationship Id="rId66" Type="http://schemas.openxmlformats.org/officeDocument/2006/relationships/image" Target="media/image39.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header" Target="header5.xml"/><Relationship Id="rId90"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microsoft.com/office/2007/relationships/hdphoto" Target="media/hdphoto7.wdp"/><Relationship Id="rId56" Type="http://schemas.microsoft.com/office/2007/relationships/hdphoto" Target="media/hdphoto11.wdp"/><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header" Target="header3.xml"/><Relationship Id="rId85" Type="http://schemas.openxmlformats.org/officeDocument/2006/relationships/hyperlink" Target="https://www.tga.gov.au" TargetMode="External"/><Relationship Id="rId3" Type="http://schemas.openxmlformats.org/officeDocument/2006/relationships/customXml" Target="../customXml/item3.xml"/><Relationship Id="rId12" Type="http://schemas.openxmlformats.org/officeDocument/2006/relationships/hyperlink" Target="https://www.tga.gov.au"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5.png"/><Relationship Id="rId41" Type="http://schemas.microsoft.com/office/2007/relationships/hdphoto" Target="media/hdphoto6.wdp"/><Relationship Id="rId54" Type="http://schemas.microsoft.com/office/2007/relationships/hdphoto" Target="media/hdphoto10.wdp"/><Relationship Id="rId62" Type="http://schemas.openxmlformats.org/officeDocument/2006/relationships/image" Target="media/image35.png"/><Relationship Id="rId70" Type="http://schemas.microsoft.com/office/2007/relationships/hdphoto" Target="media/hdphoto13.wdp"/><Relationship Id="rId75" Type="http://schemas.openxmlformats.org/officeDocument/2006/relationships/image" Target="media/image47.png"/><Relationship Id="rId83" Type="http://schemas.openxmlformats.org/officeDocument/2006/relationships/footer" Target="footer2.xm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1.png"/><Relationship Id="rId36" Type="http://schemas.microsoft.com/office/2007/relationships/hdphoto" Target="media/hdphoto4.wdp"/><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3.png"/><Relationship Id="rId52" Type="http://schemas.microsoft.com/office/2007/relationships/hdphoto" Target="media/hdphoto9.wdp"/><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header" Target="header4.xml"/><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244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30878C1167894D848140AAE71E63D1" ma:contentTypeVersion="0" ma:contentTypeDescription="Create a new document." ma:contentTypeScope="" ma:versionID="249c48a7c3f88c731e1ae212b5f44df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96384-3C23-4D19-9D5B-32DA951B5961}">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8AD605A-0367-48F4-B884-814659F3E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D32E100-9848-4757-8F71-9F23AD231F76}">
  <ds:schemaRefs>
    <ds:schemaRef ds:uri="http://schemas.microsoft.com/sharepoint/v3/contenttype/forms"/>
  </ds:schemaRefs>
</ds:datastoreItem>
</file>

<file path=customXml/itemProps4.xml><?xml version="1.0" encoding="utf-8"?>
<ds:datastoreItem xmlns:ds="http://schemas.openxmlformats.org/officeDocument/2006/customXml" ds:itemID="{7114E76C-1DFE-459F-887B-8DF94D9B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91</TotalTime>
  <Pages>80</Pages>
  <Words>20682</Words>
  <Characters>114168</Characters>
  <Application>Microsoft Office Word</Application>
  <DocSecurity>0</DocSecurity>
  <Lines>3085</Lines>
  <Paragraphs>1532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AusPAR Attachment 2: Extract from the Clinical Evaluation Report for Nintedanib esilate</vt:lpstr>
      <vt:lpstr>Extract from the Clinical Evaluation Report for [...]</vt:lpstr>
    </vt:vector>
  </TitlesOfParts>
  <Company/>
  <LinksUpToDate>false</LinksUpToDate>
  <CharactersWithSpaces>133318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Nintedanib esilate</dc:title>
  <dc:subject>prescription medicines</dc:subject>
  <dc:creator>Therapeutic Goods Administration</dc:creator>
  <cp:keywords>AusPARs</cp:keywords>
  <cp:lastModifiedBy>Lack, Janet</cp:lastModifiedBy>
  <cp:revision>5</cp:revision>
  <cp:lastPrinted>2015-11-26T22:45:00Z</cp:lastPrinted>
  <dcterms:created xsi:type="dcterms:W3CDTF">2016-02-11T05:17:00Z</dcterms:created>
  <dcterms:modified xsi:type="dcterms:W3CDTF">2016-02-15T23:27:00Z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oFAAohepTGvwTLjx3A68EhxJPZf1Cq/RCCX5xteXn8A62Aa6ilVqkffYTvSBZ6wRlB69uRIi5W7qf1WD
6N+QMSIWfQ6o9XRlceO7OpmLfh3xUGmbVjmo0KtkmJhLAoytX8PuCzC8gBecL/aT8gC05JofxdRF
iftMtDVVSZToqUwneRJNYnOU5lKbCgD68ogfHC+TESadltWjcI0TWRp/2KhAzxUV3ZrXR4NLO7+b
jSapCSgWbIBFLIILi</vt:lpwstr>
  </property>
  <property fmtid="{D5CDD505-2E9C-101B-9397-08002B2CF9AE}" pid="3" name="MAIL_MSG_ID2">
    <vt:lpwstr>mdNuCFD/oplxRRsGf35veRFmNjU0GLmknT0iTVsMSbaAQKFKtdDNj87neeO
Y9aoIGP5aJrXDd09aDLAhJK9yE+MCpXT1vAY3PgwbxSyxq1x</vt:lpwstr>
  </property>
  <property fmtid="{D5CDD505-2E9C-101B-9397-08002B2CF9AE}" pid="4" name="RESPONSE_SENDER_NAME">
    <vt:lpwstr>ABAAJXrvhtoYpC6cBZ/+3ZjzM0uEPAyKPyeXvZP2MqWtysZCn5JJUwHdlUmpfnZx0IWg</vt:lpwstr>
  </property>
  <property fmtid="{D5CDD505-2E9C-101B-9397-08002B2CF9AE}" pid="5" name="EMAIL_OWNER_ADDRESS">
    <vt:lpwstr>MBAAug5tyHKiyJ/fGq5tOwS7a23P0WbL2j3nSRb0cj2/dMoNeIJVqmL8jzj9EBukvoxp2Afx6BxdMtU=</vt:lpwstr>
  </property>
  <property fmtid="{D5CDD505-2E9C-101B-9397-08002B2CF9AE}" pid="6" name="ContentTypeId">
    <vt:lpwstr>0x0101009630878C1167894D848140AAE71E63D1</vt:lpwstr>
  </property>
</Properties>
</file>