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B6" w:rsidRPr="0042370A" w:rsidRDefault="007501C4" w:rsidP="00BC2379">
      <w:pPr>
        <w:pStyle w:val="BrandNamePI"/>
      </w:pPr>
      <w:bookmarkStart w:id="0" w:name="_GoBack"/>
      <w:bookmarkEnd w:id="0"/>
      <w:r>
        <w:t>VARGATEF</w:t>
      </w:r>
      <w:r w:rsidR="00014579" w:rsidRPr="0042370A">
        <w:rPr>
          <w:vertAlign w:val="superscript"/>
        </w:rPr>
        <w:sym w:font="Symbol" w:char="F0D2"/>
      </w:r>
    </w:p>
    <w:p w:rsidR="00EF440F" w:rsidRDefault="00E42379" w:rsidP="001A7050">
      <w:pPr>
        <w:pStyle w:val="ActiveIngredientPI"/>
      </w:pPr>
      <w:proofErr w:type="gramStart"/>
      <w:r>
        <w:t>s</w:t>
      </w:r>
      <w:r w:rsidR="00EF440F">
        <w:t>o</w:t>
      </w:r>
      <w:r>
        <w:t>ft</w:t>
      </w:r>
      <w:proofErr w:type="gramEnd"/>
      <w:r>
        <w:t xml:space="preserve"> capsules</w:t>
      </w:r>
    </w:p>
    <w:p w:rsidR="00014579" w:rsidRPr="0042370A" w:rsidRDefault="00FF207C" w:rsidP="001A7050">
      <w:pPr>
        <w:pStyle w:val="ActiveIngredientPI"/>
      </w:pPr>
      <w:proofErr w:type="spellStart"/>
      <w:proofErr w:type="gramStart"/>
      <w:r>
        <w:t>nintedanib</w:t>
      </w:r>
      <w:proofErr w:type="spellEnd"/>
      <w:proofErr w:type="gramEnd"/>
      <w:r>
        <w:t xml:space="preserve"> </w:t>
      </w:r>
      <w:r w:rsidR="00014579" w:rsidRPr="00D21E2F">
        <w:t>(</w:t>
      </w:r>
      <w:r>
        <w:t xml:space="preserve">as </w:t>
      </w:r>
      <w:proofErr w:type="spellStart"/>
      <w:r w:rsidR="00392B62">
        <w:t>nintedanib</w:t>
      </w:r>
      <w:proofErr w:type="spellEnd"/>
      <w:r w:rsidR="00392B62">
        <w:t xml:space="preserve"> </w:t>
      </w:r>
      <w:proofErr w:type="spellStart"/>
      <w:r w:rsidR="00392B62">
        <w:t>esilate</w:t>
      </w:r>
      <w:proofErr w:type="spellEnd"/>
      <w:r w:rsidR="0072391C" w:rsidRPr="00D21E2F">
        <w:t>)</w:t>
      </w:r>
    </w:p>
    <w:p w:rsidR="00014579" w:rsidRPr="0042370A" w:rsidRDefault="00014579" w:rsidP="001A7050">
      <w:pPr>
        <w:pStyle w:val="PIHeading1"/>
      </w:pPr>
      <w:r w:rsidRPr="0042370A">
        <w:t xml:space="preserve">NAME OF THE </w:t>
      </w:r>
      <w:r w:rsidR="00E456E3" w:rsidRPr="0042370A">
        <w:t>medicine</w:t>
      </w:r>
    </w:p>
    <w:p w:rsidR="007B16E1" w:rsidRPr="00360554" w:rsidRDefault="007B16E1" w:rsidP="001A7050">
      <w:pPr>
        <w:pStyle w:val="TextPI"/>
        <w:rPr>
          <w:rFonts w:cs="Arial"/>
          <w:color w:val="000000" w:themeColor="text1"/>
        </w:rPr>
      </w:pPr>
      <w:r w:rsidRPr="00FF207C">
        <w:rPr>
          <w:rFonts w:cs="Arial"/>
          <w:i/>
          <w:iCs/>
          <w:color w:val="000000" w:themeColor="text1"/>
        </w:rPr>
        <w:t>Active Ingredient:</w:t>
      </w:r>
      <w:r w:rsidRPr="00360554">
        <w:rPr>
          <w:rFonts w:cs="Arial"/>
          <w:color w:val="000000" w:themeColor="text1"/>
        </w:rPr>
        <w:tab/>
      </w:r>
      <w:proofErr w:type="spellStart"/>
      <w:r w:rsidR="00392B62" w:rsidRPr="00360554">
        <w:rPr>
          <w:rFonts w:cs="Arial"/>
          <w:color w:val="000000" w:themeColor="text1"/>
        </w:rPr>
        <w:t>nintedanib</w:t>
      </w:r>
      <w:proofErr w:type="spellEnd"/>
      <w:r w:rsidR="0072391C" w:rsidRPr="00360554">
        <w:rPr>
          <w:rFonts w:cs="Arial"/>
          <w:color w:val="000000" w:themeColor="text1"/>
        </w:rPr>
        <w:t xml:space="preserve"> </w:t>
      </w:r>
      <w:proofErr w:type="spellStart"/>
      <w:r w:rsidR="00392B62" w:rsidRPr="00360554">
        <w:rPr>
          <w:rFonts w:cs="Arial"/>
          <w:color w:val="000000" w:themeColor="text1"/>
        </w:rPr>
        <w:t>esilate</w:t>
      </w:r>
      <w:proofErr w:type="spellEnd"/>
    </w:p>
    <w:p w:rsidR="00BE7CA5" w:rsidRPr="00BE7CA5" w:rsidRDefault="00287F58" w:rsidP="00BE7CA5">
      <w:pPr>
        <w:pStyle w:val="Default"/>
        <w:ind w:left="2244" w:hanging="2244"/>
        <w:rPr>
          <w:rFonts w:ascii="Arial" w:hAnsi="Arial" w:cs="Arial"/>
          <w:sz w:val="22"/>
          <w:szCs w:val="22"/>
          <w:lang w:val="en-AU" w:eastAsia="en-AU" w:bidi="th-TH"/>
        </w:rPr>
      </w:pPr>
      <w:r w:rsidRPr="00FF207C">
        <w:rPr>
          <w:rFonts w:ascii="Arial" w:hAnsi="Arial" w:cs="Arial"/>
          <w:i/>
          <w:iCs/>
          <w:color w:val="000000" w:themeColor="text1"/>
          <w:sz w:val="22"/>
          <w:szCs w:val="22"/>
          <w:lang w:val="en-AU"/>
        </w:rPr>
        <w:t>Chemical name:</w:t>
      </w:r>
      <w:r w:rsidR="00BE7CA5" w:rsidRPr="00360554">
        <w:rPr>
          <w:rFonts w:ascii="Arial" w:hAnsi="Arial" w:cs="Arial"/>
          <w:color w:val="000000" w:themeColor="text1"/>
          <w:sz w:val="22"/>
          <w:szCs w:val="22"/>
          <w:lang w:val="en-AU"/>
        </w:rPr>
        <w:tab/>
      </w:r>
      <w:r w:rsidR="00BE7CA5" w:rsidRPr="00BE7CA5">
        <w:rPr>
          <w:rFonts w:ascii="Arial" w:hAnsi="Arial" w:cs="Arial"/>
          <w:sz w:val="22"/>
          <w:szCs w:val="22"/>
          <w:lang w:val="en-AU" w:eastAsia="en-AU" w:bidi="th-TH"/>
        </w:rPr>
        <w:t>1</w:t>
      </w:r>
      <w:r w:rsidR="00BE7CA5" w:rsidRPr="00BE7CA5">
        <w:rPr>
          <w:rFonts w:ascii="Arial" w:hAnsi="Arial" w:cs="Arial"/>
          <w:i/>
          <w:iCs/>
          <w:sz w:val="22"/>
          <w:szCs w:val="22"/>
          <w:lang w:val="en-AU" w:eastAsia="en-AU" w:bidi="th-TH"/>
        </w:rPr>
        <w:t>H</w:t>
      </w:r>
      <w:r w:rsidR="00BE7CA5" w:rsidRPr="00BE7CA5">
        <w:rPr>
          <w:rFonts w:ascii="Arial" w:hAnsi="Arial" w:cs="Arial"/>
          <w:sz w:val="22"/>
          <w:szCs w:val="22"/>
          <w:lang w:val="en-AU" w:eastAsia="en-AU" w:bidi="th-TH"/>
        </w:rPr>
        <w:t>-Indole-6-carboxylic ac</w:t>
      </w:r>
      <w:r w:rsidR="00CD2B71" w:rsidRPr="00360554">
        <w:rPr>
          <w:rFonts w:ascii="Arial" w:hAnsi="Arial" w:cs="Arial"/>
          <w:sz w:val="22"/>
          <w:szCs w:val="22"/>
          <w:lang w:val="en-AU" w:eastAsia="en-AU" w:bidi="th-TH"/>
        </w:rPr>
        <w:t>id, 2</w:t>
      </w:r>
      <w:proofErr w:type="gramStart"/>
      <w:r w:rsidR="00CD2B71" w:rsidRPr="00360554">
        <w:rPr>
          <w:rFonts w:ascii="Arial" w:hAnsi="Arial" w:cs="Arial"/>
          <w:sz w:val="22"/>
          <w:szCs w:val="22"/>
          <w:lang w:val="en-AU" w:eastAsia="en-AU" w:bidi="th-TH"/>
        </w:rPr>
        <w:t>,3</w:t>
      </w:r>
      <w:proofErr w:type="gramEnd"/>
      <w:r w:rsidR="00CD2B71" w:rsidRPr="00360554">
        <w:rPr>
          <w:rFonts w:ascii="Arial" w:hAnsi="Arial" w:cs="Arial"/>
          <w:sz w:val="22"/>
          <w:szCs w:val="22"/>
          <w:lang w:val="en-AU" w:eastAsia="en-AU" w:bidi="th-TH"/>
        </w:rPr>
        <w:t>-dihydro-3-[[[4-[methyl[</w:t>
      </w:r>
      <w:r w:rsidR="00BE7CA5" w:rsidRPr="00BE7CA5">
        <w:rPr>
          <w:rFonts w:ascii="Arial" w:hAnsi="Arial" w:cs="Arial"/>
          <w:sz w:val="22"/>
          <w:szCs w:val="22"/>
          <w:lang w:val="en-AU" w:eastAsia="en-AU" w:bidi="th-TH"/>
        </w:rPr>
        <w:t>-(4-methyl-1-piperazinyl)acetyl]amino]phenyl]amino]phenylmethylene]-2-oxo-, methyl ester, (3</w:t>
      </w:r>
      <w:r w:rsidR="00BE7CA5" w:rsidRPr="00BE7CA5">
        <w:rPr>
          <w:rFonts w:ascii="Arial" w:hAnsi="Arial" w:cs="Arial"/>
          <w:i/>
          <w:iCs/>
          <w:sz w:val="22"/>
          <w:szCs w:val="22"/>
          <w:lang w:val="en-AU" w:eastAsia="en-AU" w:bidi="th-TH"/>
        </w:rPr>
        <w:t>Z</w:t>
      </w:r>
      <w:r w:rsidR="00BE7CA5" w:rsidRPr="00BE7CA5">
        <w:rPr>
          <w:rFonts w:ascii="Arial" w:hAnsi="Arial" w:cs="Arial"/>
          <w:sz w:val="22"/>
          <w:szCs w:val="22"/>
          <w:lang w:val="en-AU" w:eastAsia="en-AU" w:bidi="th-TH"/>
        </w:rPr>
        <w:t xml:space="preserve">)-, </w:t>
      </w:r>
      <w:proofErr w:type="spellStart"/>
      <w:r w:rsidR="00BE7CA5" w:rsidRPr="00BE7CA5">
        <w:rPr>
          <w:rFonts w:ascii="Arial" w:hAnsi="Arial" w:cs="Arial"/>
          <w:sz w:val="22"/>
          <w:szCs w:val="22"/>
          <w:lang w:val="en-AU" w:eastAsia="en-AU" w:bidi="th-TH"/>
        </w:rPr>
        <w:t>ethanesulfonate</w:t>
      </w:r>
      <w:proofErr w:type="spellEnd"/>
      <w:r w:rsidR="00BE7CA5" w:rsidRPr="00BE7CA5">
        <w:rPr>
          <w:rFonts w:ascii="Arial" w:hAnsi="Arial" w:cs="Arial"/>
          <w:sz w:val="22"/>
          <w:szCs w:val="22"/>
          <w:lang w:val="en-AU" w:eastAsia="en-AU" w:bidi="th-TH"/>
        </w:rPr>
        <w:t xml:space="preserve"> (1:1) </w:t>
      </w:r>
    </w:p>
    <w:p w:rsidR="00CD2B71" w:rsidRPr="00360554" w:rsidRDefault="00CD2B71" w:rsidP="00CD2B71">
      <w:pPr>
        <w:autoSpaceDE w:val="0"/>
        <w:autoSpaceDN w:val="0"/>
        <w:adjustRightInd w:val="0"/>
        <w:spacing w:line="258" w:lineRule="exact"/>
        <w:ind w:left="40" w:right="-20"/>
        <w:rPr>
          <w:rFonts w:ascii="Arial" w:hAnsi="Arial" w:cs="Arial"/>
          <w:color w:val="000000" w:themeColor="text1"/>
          <w:sz w:val="22"/>
          <w:szCs w:val="22"/>
        </w:rPr>
      </w:pPr>
    </w:p>
    <w:p w:rsidR="00CD2B71" w:rsidRPr="00360554" w:rsidRDefault="00014579" w:rsidP="00CD2B71">
      <w:pPr>
        <w:autoSpaceDE w:val="0"/>
        <w:autoSpaceDN w:val="0"/>
        <w:adjustRightInd w:val="0"/>
        <w:spacing w:line="258" w:lineRule="exact"/>
        <w:ind w:left="40" w:right="-20"/>
        <w:rPr>
          <w:rFonts w:ascii="Arial" w:hAnsi="Arial" w:cs="Arial"/>
          <w:sz w:val="22"/>
          <w:szCs w:val="22"/>
          <w:lang w:val="pt-PT" w:eastAsia="en-AU" w:bidi="th-TH"/>
        </w:rPr>
      </w:pPr>
      <w:r w:rsidRPr="00FF207C">
        <w:rPr>
          <w:rFonts w:ascii="Arial" w:hAnsi="Arial" w:cs="Arial"/>
          <w:i/>
          <w:iCs/>
          <w:color w:val="000000" w:themeColor="text1"/>
          <w:sz w:val="22"/>
          <w:szCs w:val="22"/>
          <w:lang w:val="pt-PT"/>
        </w:rPr>
        <w:t>Molecular formula:</w:t>
      </w:r>
      <w:r w:rsidRPr="00360554">
        <w:rPr>
          <w:rFonts w:ascii="Arial" w:hAnsi="Arial" w:cs="Arial"/>
          <w:color w:val="000000" w:themeColor="text1"/>
          <w:sz w:val="22"/>
          <w:szCs w:val="22"/>
          <w:lang w:val="pt-PT"/>
        </w:rPr>
        <w:tab/>
      </w:r>
      <w:r w:rsidR="00CD2B71" w:rsidRPr="00360554">
        <w:rPr>
          <w:rFonts w:ascii="Arial" w:hAnsi="Arial" w:cs="Arial"/>
          <w:spacing w:val="-1"/>
          <w:position w:val="1"/>
          <w:sz w:val="22"/>
          <w:szCs w:val="22"/>
          <w:lang w:val="pt-PT" w:eastAsia="en-AU" w:bidi="th-TH"/>
        </w:rPr>
        <w:t>C</w:t>
      </w:r>
      <w:r w:rsidR="00CD2B71" w:rsidRPr="00FF207C">
        <w:rPr>
          <w:rFonts w:ascii="Arial" w:hAnsi="Arial" w:cs="Arial"/>
          <w:position w:val="-2"/>
          <w:sz w:val="22"/>
          <w:szCs w:val="22"/>
          <w:vertAlign w:val="subscript"/>
          <w:lang w:val="pt-PT" w:eastAsia="en-AU" w:bidi="th-TH"/>
        </w:rPr>
        <w:t>31</w:t>
      </w:r>
      <w:r w:rsidR="00CD2B71" w:rsidRPr="00360554">
        <w:rPr>
          <w:rFonts w:ascii="Arial" w:hAnsi="Arial" w:cs="Arial"/>
          <w:position w:val="1"/>
          <w:sz w:val="22"/>
          <w:szCs w:val="22"/>
          <w:lang w:val="pt-PT" w:eastAsia="en-AU" w:bidi="th-TH"/>
        </w:rPr>
        <w:t>H</w:t>
      </w:r>
      <w:r w:rsidR="00CD2B71" w:rsidRPr="00FF207C">
        <w:rPr>
          <w:rFonts w:ascii="Arial" w:hAnsi="Arial" w:cs="Arial"/>
          <w:position w:val="-2"/>
          <w:sz w:val="22"/>
          <w:szCs w:val="22"/>
          <w:vertAlign w:val="subscript"/>
          <w:lang w:val="pt-PT" w:eastAsia="en-AU" w:bidi="th-TH"/>
        </w:rPr>
        <w:t>3</w:t>
      </w:r>
      <w:r w:rsidR="00CD2B71" w:rsidRPr="00FF207C">
        <w:rPr>
          <w:rFonts w:ascii="Arial" w:hAnsi="Arial" w:cs="Arial"/>
          <w:spacing w:val="1"/>
          <w:position w:val="-2"/>
          <w:sz w:val="22"/>
          <w:szCs w:val="22"/>
          <w:vertAlign w:val="subscript"/>
          <w:lang w:val="pt-PT" w:eastAsia="en-AU" w:bidi="th-TH"/>
        </w:rPr>
        <w:t>3</w:t>
      </w:r>
      <w:r w:rsidR="00CD2B71" w:rsidRPr="00360554">
        <w:rPr>
          <w:rFonts w:ascii="Arial" w:hAnsi="Arial" w:cs="Arial"/>
          <w:position w:val="1"/>
          <w:sz w:val="22"/>
          <w:szCs w:val="22"/>
          <w:lang w:val="pt-PT" w:eastAsia="en-AU" w:bidi="th-TH"/>
        </w:rPr>
        <w:t>N</w:t>
      </w:r>
      <w:r w:rsidR="00CD2B71" w:rsidRPr="00FF207C">
        <w:rPr>
          <w:rFonts w:ascii="Arial" w:hAnsi="Arial" w:cs="Arial"/>
          <w:position w:val="-2"/>
          <w:sz w:val="22"/>
          <w:szCs w:val="22"/>
          <w:vertAlign w:val="subscript"/>
          <w:lang w:val="pt-PT" w:eastAsia="en-AU" w:bidi="th-TH"/>
        </w:rPr>
        <w:t>5</w:t>
      </w:r>
      <w:r w:rsidR="00CD2B71" w:rsidRPr="00360554">
        <w:rPr>
          <w:rFonts w:ascii="Arial" w:hAnsi="Arial" w:cs="Arial"/>
          <w:spacing w:val="2"/>
          <w:position w:val="1"/>
          <w:sz w:val="22"/>
          <w:szCs w:val="22"/>
          <w:lang w:val="pt-PT" w:eastAsia="en-AU" w:bidi="th-TH"/>
        </w:rPr>
        <w:t>O</w:t>
      </w:r>
      <w:r w:rsidR="00CD2B71" w:rsidRPr="00FF207C">
        <w:rPr>
          <w:rFonts w:ascii="Arial" w:hAnsi="Arial" w:cs="Arial"/>
          <w:position w:val="-2"/>
          <w:sz w:val="22"/>
          <w:szCs w:val="22"/>
          <w:vertAlign w:val="subscript"/>
          <w:lang w:val="pt-PT" w:eastAsia="en-AU" w:bidi="th-TH"/>
        </w:rPr>
        <w:t>4</w:t>
      </w:r>
      <w:r w:rsidR="00CD2B71" w:rsidRPr="00360554">
        <w:rPr>
          <w:rFonts w:ascii="Arial" w:hAnsi="Arial" w:cs="Arial"/>
          <w:spacing w:val="1"/>
          <w:position w:val="1"/>
          <w:sz w:val="22"/>
          <w:szCs w:val="22"/>
          <w:lang w:val="pt-PT" w:eastAsia="en-AU" w:bidi="th-TH"/>
        </w:rPr>
        <w:t>.</w:t>
      </w:r>
      <w:r w:rsidR="00CD2B71" w:rsidRPr="00360554">
        <w:rPr>
          <w:rFonts w:ascii="Arial" w:hAnsi="Arial" w:cs="Arial"/>
          <w:spacing w:val="-1"/>
          <w:position w:val="1"/>
          <w:sz w:val="22"/>
          <w:szCs w:val="22"/>
          <w:lang w:val="pt-PT" w:eastAsia="en-AU" w:bidi="th-TH"/>
        </w:rPr>
        <w:t>C</w:t>
      </w:r>
      <w:r w:rsidR="00CD2B71" w:rsidRPr="00FF207C">
        <w:rPr>
          <w:rFonts w:ascii="Arial" w:hAnsi="Arial" w:cs="Arial"/>
          <w:position w:val="-2"/>
          <w:sz w:val="22"/>
          <w:szCs w:val="22"/>
          <w:vertAlign w:val="subscript"/>
          <w:lang w:val="pt-PT" w:eastAsia="en-AU" w:bidi="th-TH"/>
        </w:rPr>
        <w:t>2</w:t>
      </w:r>
      <w:r w:rsidR="00CD2B71" w:rsidRPr="00360554">
        <w:rPr>
          <w:rFonts w:ascii="Arial" w:hAnsi="Arial" w:cs="Arial"/>
          <w:position w:val="1"/>
          <w:sz w:val="22"/>
          <w:szCs w:val="22"/>
          <w:lang w:val="pt-PT" w:eastAsia="en-AU" w:bidi="th-TH"/>
        </w:rPr>
        <w:t>H</w:t>
      </w:r>
      <w:r w:rsidR="00CD2B71" w:rsidRPr="00FF207C">
        <w:rPr>
          <w:rFonts w:ascii="Arial" w:hAnsi="Arial" w:cs="Arial"/>
          <w:position w:val="-2"/>
          <w:sz w:val="22"/>
          <w:szCs w:val="22"/>
          <w:vertAlign w:val="subscript"/>
          <w:lang w:val="pt-PT" w:eastAsia="en-AU" w:bidi="th-TH"/>
        </w:rPr>
        <w:t>6</w:t>
      </w:r>
      <w:r w:rsidR="00CD2B71" w:rsidRPr="00360554">
        <w:rPr>
          <w:rFonts w:ascii="Arial" w:hAnsi="Arial" w:cs="Arial"/>
          <w:position w:val="1"/>
          <w:sz w:val="22"/>
          <w:szCs w:val="22"/>
          <w:lang w:val="pt-PT" w:eastAsia="en-AU" w:bidi="th-TH"/>
        </w:rPr>
        <w:t>O</w:t>
      </w:r>
      <w:r w:rsidR="00CD2B71" w:rsidRPr="00FF207C">
        <w:rPr>
          <w:rFonts w:ascii="Arial" w:hAnsi="Arial" w:cs="Arial"/>
          <w:position w:val="-2"/>
          <w:sz w:val="22"/>
          <w:szCs w:val="22"/>
          <w:vertAlign w:val="subscript"/>
          <w:lang w:val="pt-PT" w:eastAsia="en-AU" w:bidi="th-TH"/>
        </w:rPr>
        <w:t>3</w:t>
      </w:r>
      <w:r w:rsidR="00CD2B71" w:rsidRPr="00360554">
        <w:rPr>
          <w:rFonts w:ascii="Arial" w:hAnsi="Arial" w:cs="Arial"/>
          <w:position w:val="1"/>
          <w:sz w:val="22"/>
          <w:szCs w:val="22"/>
          <w:lang w:val="pt-PT" w:eastAsia="en-AU" w:bidi="th-TH"/>
        </w:rPr>
        <w:t>S</w:t>
      </w:r>
    </w:p>
    <w:p w:rsidR="002260F2" w:rsidRPr="00360554" w:rsidRDefault="00014579" w:rsidP="002260F2">
      <w:pPr>
        <w:pStyle w:val="TextPI"/>
        <w:rPr>
          <w:rFonts w:cs="Arial"/>
          <w:color w:val="000000" w:themeColor="text1"/>
          <w:lang w:val="pt-PT"/>
        </w:rPr>
      </w:pPr>
      <w:r w:rsidRPr="00FF207C">
        <w:rPr>
          <w:rFonts w:cs="Arial"/>
          <w:i/>
          <w:iCs/>
          <w:color w:val="000000" w:themeColor="text1"/>
          <w:lang w:val="pt-PT"/>
        </w:rPr>
        <w:t>CAS number:</w:t>
      </w:r>
      <w:r w:rsidRPr="00360554">
        <w:rPr>
          <w:rFonts w:cs="Arial"/>
          <w:color w:val="000000" w:themeColor="text1"/>
          <w:lang w:val="pt-PT"/>
        </w:rPr>
        <w:tab/>
      </w:r>
      <w:r w:rsidRPr="00360554">
        <w:rPr>
          <w:rFonts w:cs="Arial"/>
          <w:color w:val="000000" w:themeColor="text1"/>
          <w:lang w:val="pt-PT"/>
        </w:rPr>
        <w:tab/>
      </w:r>
      <w:r w:rsidR="00CD2B71" w:rsidRPr="00360554">
        <w:rPr>
          <w:rFonts w:cs="Arial"/>
          <w:color w:val="000000" w:themeColor="text1"/>
          <w:lang w:val="pt-PT"/>
        </w:rPr>
        <w:t>656247-18-6</w:t>
      </w:r>
    </w:p>
    <w:p w:rsidR="009C49A3" w:rsidRPr="00494788" w:rsidRDefault="00014579" w:rsidP="009C49A3">
      <w:pPr>
        <w:pStyle w:val="TextPI"/>
        <w:rPr>
          <w:rFonts w:cs="Arial"/>
          <w:color w:val="000000" w:themeColor="text1"/>
          <w:lang w:val="pt-PT"/>
        </w:rPr>
      </w:pPr>
      <w:r w:rsidRPr="00FF207C">
        <w:rPr>
          <w:rFonts w:cs="Arial"/>
          <w:i/>
          <w:iCs/>
          <w:color w:val="000000" w:themeColor="text1"/>
          <w:lang w:val="pt-PT"/>
        </w:rPr>
        <w:t>Molecular weight:</w:t>
      </w:r>
      <w:r w:rsidRPr="00494788">
        <w:rPr>
          <w:rFonts w:cs="Arial"/>
          <w:color w:val="000000" w:themeColor="text1"/>
          <w:lang w:val="pt-PT"/>
        </w:rPr>
        <w:t xml:space="preserve"> </w:t>
      </w:r>
      <w:r w:rsidRPr="00494788">
        <w:rPr>
          <w:rFonts w:cs="Arial"/>
          <w:color w:val="000000" w:themeColor="text1"/>
          <w:lang w:val="pt-PT"/>
        </w:rPr>
        <w:tab/>
      </w:r>
      <w:r w:rsidR="00CD2B71" w:rsidRPr="00494788">
        <w:rPr>
          <w:rFonts w:cs="Arial"/>
          <w:color w:val="000000" w:themeColor="text1"/>
          <w:lang w:val="pt-PT"/>
        </w:rPr>
        <w:t>649.7</w:t>
      </w:r>
      <w:r w:rsidR="00B646A4">
        <w:rPr>
          <w:rFonts w:cs="Arial"/>
          <w:color w:val="000000" w:themeColor="text1"/>
          <w:lang w:val="pt-PT"/>
        </w:rPr>
        <w:t>6</w:t>
      </w:r>
    </w:p>
    <w:p w:rsidR="00494788" w:rsidRPr="00494788" w:rsidRDefault="00494788" w:rsidP="00BE7CA5">
      <w:pPr>
        <w:autoSpaceDE w:val="0"/>
        <w:autoSpaceDN w:val="0"/>
        <w:adjustRightInd w:val="0"/>
        <w:rPr>
          <w:rFonts w:ascii="Arial" w:hAnsi="Arial" w:cs="Arial"/>
          <w:color w:val="000000" w:themeColor="text1"/>
          <w:sz w:val="22"/>
          <w:szCs w:val="22"/>
          <w:lang w:val="pt-PT"/>
        </w:rPr>
      </w:pPr>
    </w:p>
    <w:p w:rsidR="00BE7CA5" w:rsidRPr="00FF207C" w:rsidRDefault="00047718" w:rsidP="00BE7CA5">
      <w:pPr>
        <w:autoSpaceDE w:val="0"/>
        <w:autoSpaceDN w:val="0"/>
        <w:adjustRightInd w:val="0"/>
        <w:rPr>
          <w:rFonts w:ascii="Arial" w:hAnsi="Arial" w:cs="Arial"/>
          <w:i/>
          <w:iCs/>
          <w:sz w:val="22"/>
          <w:szCs w:val="22"/>
          <w:lang w:val="pt-PT" w:eastAsia="en-AU" w:bidi="th-TH"/>
        </w:rPr>
      </w:pPr>
      <w:r w:rsidRPr="00FF207C">
        <w:rPr>
          <w:rFonts w:ascii="Arial" w:hAnsi="Arial" w:cs="Arial"/>
          <w:i/>
          <w:iCs/>
          <w:color w:val="000000" w:themeColor="text1"/>
          <w:sz w:val="22"/>
          <w:szCs w:val="22"/>
          <w:lang w:val="pt-PT"/>
        </w:rPr>
        <w:t>S</w:t>
      </w:r>
      <w:r w:rsidR="00014579" w:rsidRPr="00FF207C">
        <w:rPr>
          <w:rFonts w:ascii="Arial" w:hAnsi="Arial" w:cs="Arial"/>
          <w:i/>
          <w:iCs/>
          <w:color w:val="000000" w:themeColor="text1"/>
          <w:sz w:val="22"/>
          <w:szCs w:val="22"/>
          <w:lang w:val="pt-PT"/>
        </w:rPr>
        <w:t>tructural formula:</w:t>
      </w:r>
      <w:r w:rsidR="007B16E1" w:rsidRPr="00FF207C">
        <w:rPr>
          <w:rFonts w:ascii="Arial" w:hAnsi="Arial" w:cs="Arial"/>
          <w:i/>
          <w:iCs/>
          <w:color w:val="000000" w:themeColor="text1"/>
          <w:sz w:val="22"/>
          <w:szCs w:val="22"/>
          <w:lang w:val="pt-PT"/>
        </w:rPr>
        <w:tab/>
      </w:r>
    </w:p>
    <w:p w:rsidR="007B16E1" w:rsidRPr="00494788" w:rsidRDefault="00494788" w:rsidP="001A7050">
      <w:pPr>
        <w:pStyle w:val="TextPI"/>
        <w:rPr>
          <w:color w:val="000000" w:themeColor="text1"/>
          <w:lang w:val="pt-PT"/>
        </w:rPr>
      </w:pPr>
      <w:r w:rsidRPr="00494788">
        <w:rPr>
          <w:color w:val="000000" w:themeColor="text1"/>
          <w:lang w:val="pt-PT"/>
        </w:rPr>
        <w:tab/>
      </w:r>
      <w:r w:rsidRPr="00494788">
        <w:rPr>
          <w:color w:val="000000" w:themeColor="text1"/>
          <w:lang w:val="pt-PT"/>
        </w:rPr>
        <w:tab/>
      </w:r>
      <w:r w:rsidRPr="00494788">
        <w:rPr>
          <w:color w:val="000000" w:themeColor="text1"/>
          <w:lang w:val="pt-PT"/>
        </w:rPr>
        <w:tab/>
      </w:r>
      <w:r w:rsidRPr="00494788">
        <w:rPr>
          <w:color w:val="000000" w:themeColor="text1"/>
          <w:lang w:val="pt-PT"/>
        </w:rPr>
        <w:tab/>
      </w:r>
      <w:r w:rsidRPr="00494788">
        <w:rPr>
          <w:rFonts w:ascii="Times New Roman" w:hAnsi="Times New Roman"/>
          <w:noProof/>
          <w:sz w:val="24"/>
          <w:szCs w:val="20"/>
          <w:lang w:eastAsia="en-AU"/>
        </w:rPr>
        <w:drawing>
          <wp:inline distT="0" distB="0" distL="0" distR="0" wp14:anchorId="5530A2F5" wp14:editId="45E8667F">
            <wp:extent cx="2705100" cy="1704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5100" cy="1704975"/>
                    </a:xfrm>
                    <a:prstGeom prst="rect">
                      <a:avLst/>
                    </a:prstGeom>
                    <a:noFill/>
                    <a:ln>
                      <a:noFill/>
                    </a:ln>
                  </pic:spPr>
                </pic:pic>
              </a:graphicData>
            </a:graphic>
          </wp:inline>
        </w:drawing>
      </w:r>
    </w:p>
    <w:p w:rsidR="007B16E1" w:rsidRPr="00494788" w:rsidRDefault="007B16E1" w:rsidP="00FF207C">
      <w:pPr>
        <w:pStyle w:val="TextPI"/>
        <w:rPr>
          <w:noProof/>
          <w:lang w:val="pt-PT" w:eastAsia="zh-CN" w:bidi="th-TH"/>
        </w:rPr>
      </w:pPr>
    </w:p>
    <w:p w:rsidR="00014579" w:rsidRPr="0042370A" w:rsidRDefault="00014579" w:rsidP="001A7050">
      <w:pPr>
        <w:pStyle w:val="PIHeading1"/>
      </w:pPr>
      <w:r w:rsidRPr="0042370A">
        <w:t>DESCRIPTION</w:t>
      </w:r>
    </w:p>
    <w:p w:rsidR="004F2A43" w:rsidRDefault="004F2A43" w:rsidP="005137B5">
      <w:pPr>
        <w:pStyle w:val="TextPI"/>
      </w:pPr>
      <w:proofErr w:type="spellStart"/>
      <w:r>
        <w:t>Nintedanib</w:t>
      </w:r>
      <w:proofErr w:type="spellEnd"/>
      <w:r>
        <w:t xml:space="preserve"> </w:t>
      </w:r>
      <w:proofErr w:type="spellStart"/>
      <w:r>
        <w:t>esilate</w:t>
      </w:r>
      <w:proofErr w:type="spellEnd"/>
      <w:r>
        <w:t xml:space="preserve"> is a bright yellow powder.  The octanol-water partition coefficient (log </w:t>
      </w:r>
      <w:proofErr w:type="gramStart"/>
      <w:r>
        <w:rPr>
          <w:i/>
          <w:iCs/>
        </w:rPr>
        <w:t>P</w:t>
      </w:r>
      <w:r>
        <w:rPr>
          <w:vertAlign w:val="subscript"/>
        </w:rPr>
        <w:t>ow</w:t>
      </w:r>
      <w:proofErr w:type="gramEnd"/>
      <w:r>
        <w:t xml:space="preserve">) for </w:t>
      </w:r>
      <w:proofErr w:type="spellStart"/>
      <w:r>
        <w:t>nin</w:t>
      </w:r>
      <w:r w:rsidR="00AA53E5">
        <w:t>t</w:t>
      </w:r>
      <w:r>
        <w:t>edanib</w:t>
      </w:r>
      <w:proofErr w:type="spellEnd"/>
      <w:r w:rsidR="00AA53E5">
        <w:t xml:space="preserve"> </w:t>
      </w:r>
      <w:proofErr w:type="spellStart"/>
      <w:r w:rsidR="00AA53E5">
        <w:t>esilate</w:t>
      </w:r>
      <w:proofErr w:type="spellEnd"/>
      <w:r w:rsidR="00AA53E5">
        <w:t xml:space="preserve"> free base was determined to be 3.6, which demonstrates the lipophilic character of the molecule.  Due to the </w:t>
      </w:r>
      <w:r w:rsidR="00FF207C">
        <w:t xml:space="preserve">ionisable </w:t>
      </w:r>
      <w:r w:rsidR="00AA53E5">
        <w:t xml:space="preserve">groups in </w:t>
      </w:r>
      <w:proofErr w:type="spellStart"/>
      <w:r w:rsidR="00AA53E5">
        <w:t>nintedanib</w:t>
      </w:r>
      <w:proofErr w:type="spellEnd"/>
      <w:r w:rsidR="00AA53E5">
        <w:t xml:space="preserve"> </w:t>
      </w:r>
      <w:proofErr w:type="spellStart"/>
      <w:r w:rsidR="00AA53E5">
        <w:t>esilate</w:t>
      </w:r>
      <w:proofErr w:type="spellEnd"/>
      <w:r w:rsidR="00AA53E5">
        <w:t xml:space="preserve">, the lipophilicity profile is strongly pH dependent.  At physiological pH (pH = 7.4), the apparent partition coefficient (log </w:t>
      </w:r>
      <w:r w:rsidR="00AA53E5">
        <w:rPr>
          <w:i/>
          <w:iCs/>
        </w:rPr>
        <w:t>D</w:t>
      </w:r>
      <w:r w:rsidR="00AA53E5">
        <w:t xml:space="preserve">) was calculated to 3.0.  The molecule is less lipophilic in the acidic pH range (log D </w:t>
      </w:r>
      <w:r w:rsidR="00AA53E5">
        <w:rPr>
          <w:rFonts w:cs="Arial"/>
        </w:rPr>
        <w:t>≤</w:t>
      </w:r>
      <w:r w:rsidR="00AA53E5">
        <w:t xml:space="preserve"> 1 for pH &lt; 5).</w:t>
      </w:r>
    </w:p>
    <w:p w:rsidR="006128F4" w:rsidRPr="006128F4" w:rsidRDefault="006128F4" w:rsidP="005137B5">
      <w:pPr>
        <w:pStyle w:val="TextPI"/>
      </w:pPr>
      <w:proofErr w:type="spellStart"/>
      <w:r>
        <w:t>Nintedanib</w:t>
      </w:r>
      <w:proofErr w:type="spellEnd"/>
      <w:r>
        <w:t xml:space="preserve"> </w:t>
      </w:r>
      <w:proofErr w:type="spellStart"/>
      <w:r>
        <w:t>esilate</w:t>
      </w:r>
      <w:proofErr w:type="spellEnd"/>
      <w:r>
        <w:t xml:space="preserve"> is soluble in water.  A saturated solution in water was found to have a concentration of 2.8 mg/mL and exhibited an intrinsic pH of 5.7.  The solubility of </w:t>
      </w:r>
      <w:proofErr w:type="spellStart"/>
      <w:r>
        <w:t>nintedanib</w:t>
      </w:r>
      <w:proofErr w:type="spellEnd"/>
      <w:r>
        <w:t xml:space="preserve"> </w:t>
      </w:r>
      <w:proofErr w:type="spellStart"/>
      <w:r>
        <w:t>esilate</w:t>
      </w:r>
      <w:proofErr w:type="spellEnd"/>
      <w:r>
        <w:t xml:space="preserve"> is strongly pH dependent with an increased solubility at acidic pH, particularly for pH &lt; 3.  The highest solubility of </w:t>
      </w:r>
      <w:proofErr w:type="spellStart"/>
      <w:r>
        <w:t>nintedanib</w:t>
      </w:r>
      <w:proofErr w:type="spellEnd"/>
      <w:r>
        <w:t xml:space="preserve"> </w:t>
      </w:r>
      <w:proofErr w:type="spellStart"/>
      <w:r>
        <w:t>esilate</w:t>
      </w:r>
      <w:proofErr w:type="spellEnd"/>
      <w:r>
        <w:t xml:space="preserve"> in organic solvents is observed in methanol and </w:t>
      </w:r>
      <w:r>
        <w:rPr>
          <w:i/>
          <w:iCs/>
        </w:rPr>
        <w:t>N</w:t>
      </w:r>
      <w:r>
        <w:t>-</w:t>
      </w:r>
      <w:proofErr w:type="spellStart"/>
      <w:r>
        <w:t>methylpyrrolidone</w:t>
      </w:r>
      <w:proofErr w:type="spellEnd"/>
      <w:r w:rsidR="00931B60">
        <w:t>.  The best solubility in pharmaceutically relevant co-solvents is observed in propylene glycol.</w:t>
      </w:r>
    </w:p>
    <w:p w:rsidR="00B107C9" w:rsidRDefault="007501C4" w:rsidP="00F41769">
      <w:pPr>
        <w:pStyle w:val="TextPI"/>
        <w:rPr>
          <w:color w:val="000000" w:themeColor="text1"/>
        </w:rPr>
      </w:pPr>
      <w:r>
        <w:rPr>
          <w:color w:val="000000" w:themeColor="text1"/>
        </w:rPr>
        <w:t>VARGATEF</w:t>
      </w:r>
      <w:r w:rsidR="00F41769" w:rsidRPr="00B77478">
        <w:rPr>
          <w:color w:val="000000" w:themeColor="text1"/>
        </w:rPr>
        <w:t xml:space="preserve"> </w:t>
      </w:r>
      <w:r w:rsidR="00B77478" w:rsidRPr="00B77478">
        <w:rPr>
          <w:color w:val="000000" w:themeColor="text1"/>
        </w:rPr>
        <w:t xml:space="preserve">are soft </w:t>
      </w:r>
      <w:proofErr w:type="spellStart"/>
      <w:r w:rsidR="00B77478" w:rsidRPr="00B77478">
        <w:rPr>
          <w:color w:val="000000" w:themeColor="text1"/>
        </w:rPr>
        <w:t>gelatin</w:t>
      </w:r>
      <w:proofErr w:type="spellEnd"/>
      <w:r w:rsidR="00B77478" w:rsidRPr="00B77478">
        <w:rPr>
          <w:color w:val="000000" w:themeColor="text1"/>
        </w:rPr>
        <w:t xml:space="preserve"> capsu</w:t>
      </w:r>
      <w:r w:rsidR="00B77478">
        <w:rPr>
          <w:color w:val="000000" w:themeColor="text1"/>
        </w:rPr>
        <w:t xml:space="preserve">les </w:t>
      </w:r>
      <w:r w:rsidR="00FF207C">
        <w:rPr>
          <w:color w:val="000000" w:themeColor="text1"/>
        </w:rPr>
        <w:t xml:space="preserve">for oral administration </w:t>
      </w:r>
      <w:r w:rsidR="00B77478">
        <w:rPr>
          <w:color w:val="000000" w:themeColor="text1"/>
        </w:rPr>
        <w:t xml:space="preserve">containing 100 mg or 150 mg </w:t>
      </w:r>
      <w:proofErr w:type="spellStart"/>
      <w:r w:rsidR="00B77478">
        <w:rPr>
          <w:color w:val="000000" w:themeColor="text1"/>
        </w:rPr>
        <w:t>nintedanib</w:t>
      </w:r>
      <w:proofErr w:type="spellEnd"/>
      <w:r w:rsidR="00B77478">
        <w:rPr>
          <w:color w:val="000000" w:themeColor="text1"/>
        </w:rPr>
        <w:t xml:space="preserve"> </w:t>
      </w:r>
      <w:r w:rsidR="0076317D">
        <w:rPr>
          <w:color w:val="000000" w:themeColor="text1"/>
        </w:rPr>
        <w:t xml:space="preserve">(as </w:t>
      </w:r>
      <w:proofErr w:type="spellStart"/>
      <w:r w:rsidR="0076317D">
        <w:rPr>
          <w:color w:val="000000" w:themeColor="text1"/>
        </w:rPr>
        <w:t>nintedanib</w:t>
      </w:r>
      <w:proofErr w:type="spellEnd"/>
      <w:r w:rsidR="0076317D">
        <w:rPr>
          <w:color w:val="000000" w:themeColor="text1"/>
        </w:rPr>
        <w:t xml:space="preserve"> </w:t>
      </w:r>
      <w:proofErr w:type="spellStart"/>
      <w:r w:rsidR="0076317D">
        <w:rPr>
          <w:color w:val="000000" w:themeColor="text1"/>
        </w:rPr>
        <w:t>esilate</w:t>
      </w:r>
      <w:proofErr w:type="spellEnd"/>
      <w:r w:rsidR="0076317D">
        <w:rPr>
          <w:color w:val="000000" w:themeColor="text1"/>
        </w:rPr>
        <w:t>)</w:t>
      </w:r>
      <w:r w:rsidR="00B77478">
        <w:rPr>
          <w:color w:val="000000" w:themeColor="text1"/>
        </w:rPr>
        <w:t xml:space="preserve">.  </w:t>
      </w:r>
    </w:p>
    <w:p w:rsidR="00970FE3" w:rsidRDefault="00B107C9" w:rsidP="0003332A">
      <w:pPr>
        <w:pStyle w:val="TextPI"/>
        <w:rPr>
          <w:color w:val="000000" w:themeColor="text1"/>
        </w:rPr>
      </w:pPr>
      <w:r>
        <w:rPr>
          <w:color w:val="000000" w:themeColor="text1"/>
        </w:rPr>
        <w:t xml:space="preserve">Excipients: </w:t>
      </w:r>
      <w:r w:rsidR="00B77478">
        <w:rPr>
          <w:color w:val="000000" w:themeColor="text1"/>
        </w:rPr>
        <w:t xml:space="preserve">Each </w:t>
      </w:r>
      <w:r w:rsidR="007501C4">
        <w:rPr>
          <w:color w:val="000000" w:themeColor="text1"/>
        </w:rPr>
        <w:t>VARGATEF</w:t>
      </w:r>
      <w:r w:rsidR="00B77478">
        <w:rPr>
          <w:color w:val="000000" w:themeColor="text1"/>
        </w:rPr>
        <w:t xml:space="preserve"> capsule </w:t>
      </w:r>
      <w:r>
        <w:rPr>
          <w:color w:val="000000" w:themeColor="text1"/>
        </w:rPr>
        <w:t xml:space="preserve">also </w:t>
      </w:r>
      <w:r w:rsidR="00970FE3">
        <w:rPr>
          <w:color w:val="000000" w:themeColor="text1"/>
        </w:rPr>
        <w:t>contains</w:t>
      </w:r>
      <w:r w:rsidR="00B77478">
        <w:rPr>
          <w:color w:val="000000" w:themeColor="text1"/>
        </w:rPr>
        <w:t xml:space="preserve"> medium-chain</w:t>
      </w:r>
      <w:r w:rsidR="007E556F">
        <w:rPr>
          <w:color w:val="000000" w:themeColor="text1"/>
        </w:rPr>
        <w:t xml:space="preserve"> triglycerides</w:t>
      </w:r>
      <w:r w:rsidR="00B77478">
        <w:rPr>
          <w:color w:val="000000" w:themeColor="text1"/>
        </w:rPr>
        <w:t xml:space="preserve">, hard fat and lecithin.  </w:t>
      </w:r>
    </w:p>
    <w:p w:rsidR="00970FE3" w:rsidRDefault="00B107C9" w:rsidP="00F41769">
      <w:pPr>
        <w:pStyle w:val="TextPI"/>
        <w:rPr>
          <w:color w:val="000000" w:themeColor="text1"/>
        </w:rPr>
      </w:pPr>
      <w:r>
        <w:rPr>
          <w:color w:val="000000" w:themeColor="text1"/>
        </w:rPr>
        <w:lastRenderedPageBreak/>
        <w:t>The capsule shell contains</w:t>
      </w:r>
      <w:r w:rsidR="00970FE3">
        <w:rPr>
          <w:color w:val="000000" w:themeColor="text1"/>
        </w:rPr>
        <w:t xml:space="preserve"> </w:t>
      </w:r>
      <w:proofErr w:type="spellStart"/>
      <w:r w:rsidR="00970FE3">
        <w:rPr>
          <w:color w:val="000000" w:themeColor="text1"/>
        </w:rPr>
        <w:t>gelatin</w:t>
      </w:r>
      <w:proofErr w:type="spellEnd"/>
      <w:r w:rsidR="00970FE3">
        <w:rPr>
          <w:color w:val="000000" w:themeColor="text1"/>
        </w:rPr>
        <w:t>, glycerol 85%, titanium dioxide, iron oxide red</w:t>
      </w:r>
      <w:r w:rsidR="007E556F">
        <w:rPr>
          <w:color w:val="000000" w:themeColor="text1"/>
        </w:rPr>
        <w:t xml:space="preserve"> (CI 77491)</w:t>
      </w:r>
      <w:r w:rsidR="00970FE3">
        <w:rPr>
          <w:color w:val="000000" w:themeColor="text1"/>
        </w:rPr>
        <w:t>, iron oxide yellow</w:t>
      </w:r>
      <w:r w:rsidR="007E556F">
        <w:rPr>
          <w:color w:val="000000" w:themeColor="text1"/>
        </w:rPr>
        <w:t xml:space="preserve"> (CI 77492)</w:t>
      </w:r>
      <w:r w:rsidR="00970FE3">
        <w:rPr>
          <w:color w:val="000000" w:themeColor="text1"/>
        </w:rPr>
        <w:t>.</w:t>
      </w:r>
    </w:p>
    <w:p w:rsidR="00970FE3" w:rsidRPr="00970FE3" w:rsidRDefault="00B107C9" w:rsidP="00F41769">
      <w:pPr>
        <w:pStyle w:val="TextPI"/>
        <w:rPr>
          <w:color w:val="000000" w:themeColor="text1"/>
        </w:rPr>
      </w:pPr>
      <w:r w:rsidRPr="00C34899">
        <w:rPr>
          <w:color w:val="000000" w:themeColor="text1"/>
        </w:rPr>
        <w:t>The b</w:t>
      </w:r>
      <w:r w:rsidR="00970FE3" w:rsidRPr="00C34899">
        <w:rPr>
          <w:color w:val="000000" w:themeColor="text1"/>
        </w:rPr>
        <w:t>lack printing ink</w:t>
      </w:r>
      <w:r w:rsidR="005D05B9">
        <w:rPr>
          <w:color w:val="000000" w:themeColor="text1"/>
        </w:rPr>
        <w:t xml:space="preserve"> </w:t>
      </w:r>
      <w:r>
        <w:rPr>
          <w:color w:val="000000" w:themeColor="text1"/>
        </w:rPr>
        <w:t>(</w:t>
      </w:r>
      <w:proofErr w:type="spellStart"/>
      <w:r w:rsidR="00970FE3">
        <w:rPr>
          <w:color w:val="000000" w:themeColor="text1"/>
        </w:rPr>
        <w:t>Opacode</w:t>
      </w:r>
      <w:proofErr w:type="spellEnd"/>
      <w:r w:rsidR="00970FE3" w:rsidRPr="00C34899">
        <w:rPr>
          <w:rFonts w:cs="Arial"/>
          <w:color w:val="000000" w:themeColor="text1"/>
          <w:vertAlign w:val="superscript"/>
        </w:rPr>
        <w:t>®</w:t>
      </w:r>
      <w:r w:rsidR="00970FE3">
        <w:rPr>
          <w:color w:val="000000" w:themeColor="text1"/>
        </w:rPr>
        <w:t xml:space="preserve"> Type S-1-17823</w:t>
      </w:r>
      <w:r>
        <w:rPr>
          <w:color w:val="000000" w:themeColor="text1"/>
        </w:rPr>
        <w:t>)</w:t>
      </w:r>
      <w:r w:rsidR="004F3E58">
        <w:rPr>
          <w:color w:val="000000" w:themeColor="text1"/>
        </w:rPr>
        <w:t xml:space="preserve"> contains shellac, ethanol, propylene glycol, and ir</w:t>
      </w:r>
      <w:r w:rsidR="002D3509">
        <w:rPr>
          <w:color w:val="000000" w:themeColor="text1"/>
        </w:rPr>
        <w:t>on oxide black (</w:t>
      </w:r>
      <w:r w:rsidR="004F3E58">
        <w:rPr>
          <w:color w:val="000000" w:themeColor="text1"/>
        </w:rPr>
        <w:t>C</w:t>
      </w:r>
      <w:r w:rsidR="002D3509">
        <w:rPr>
          <w:color w:val="000000" w:themeColor="text1"/>
        </w:rPr>
        <w:t>I</w:t>
      </w:r>
      <w:r w:rsidR="004F3E58">
        <w:rPr>
          <w:color w:val="000000" w:themeColor="text1"/>
        </w:rPr>
        <w:t xml:space="preserve"> 77499</w:t>
      </w:r>
      <w:r w:rsidR="005D05B9">
        <w:rPr>
          <w:color w:val="000000" w:themeColor="text1"/>
        </w:rPr>
        <w:t>)</w:t>
      </w:r>
      <w:r w:rsidR="004F3E58">
        <w:rPr>
          <w:color w:val="000000" w:themeColor="text1"/>
        </w:rPr>
        <w:t>.</w:t>
      </w:r>
    </w:p>
    <w:p w:rsidR="001D1C54" w:rsidRPr="003B2190" w:rsidRDefault="00014579" w:rsidP="00F501B8">
      <w:pPr>
        <w:pStyle w:val="PIHeading1"/>
      </w:pPr>
      <w:r w:rsidRPr="003B2190">
        <w:t>PHARMACOLOGY</w:t>
      </w:r>
    </w:p>
    <w:p w:rsidR="00D11950" w:rsidRPr="00D11950" w:rsidRDefault="00D11950" w:rsidP="00D11950">
      <w:pPr>
        <w:autoSpaceDE w:val="0"/>
        <w:autoSpaceDN w:val="0"/>
        <w:adjustRightInd w:val="0"/>
        <w:ind w:left="2832" w:hanging="2832"/>
        <w:rPr>
          <w:rFonts w:ascii="Arial" w:eastAsia="MS Mincho" w:hAnsi="Arial" w:cs="Arial"/>
          <w:sz w:val="22"/>
          <w:szCs w:val="22"/>
          <w:lang w:eastAsia="ja-JP"/>
        </w:rPr>
      </w:pPr>
      <w:r w:rsidRPr="00D11950">
        <w:rPr>
          <w:rFonts w:ascii="Arial" w:hAnsi="Arial" w:cs="Arial"/>
          <w:noProof/>
          <w:sz w:val="22"/>
          <w:szCs w:val="22"/>
        </w:rPr>
        <w:t xml:space="preserve">Pharmacotherapeutic group:  </w:t>
      </w:r>
      <w:r w:rsidR="00B35876">
        <w:rPr>
          <w:rFonts w:ascii="Arial" w:eastAsia="MS Mincho" w:hAnsi="Arial" w:cs="Arial"/>
          <w:sz w:val="22"/>
          <w:szCs w:val="22"/>
          <w:lang w:eastAsia="ja-JP"/>
        </w:rPr>
        <w:t xml:space="preserve">Antineoplastic agents - </w:t>
      </w:r>
      <w:r w:rsidRPr="00D11950">
        <w:rPr>
          <w:rFonts w:ascii="Arial" w:eastAsia="MS Mincho" w:hAnsi="Arial" w:cs="Arial"/>
          <w:sz w:val="22"/>
          <w:szCs w:val="22"/>
          <w:lang w:eastAsia="ja-JP"/>
        </w:rPr>
        <w:t>Protein-tyrosine kinase inhibitor.</w:t>
      </w:r>
    </w:p>
    <w:p w:rsidR="000E1693" w:rsidRPr="00D11950" w:rsidRDefault="003B2190" w:rsidP="000E1693">
      <w:pPr>
        <w:pStyle w:val="TextPI"/>
        <w:rPr>
          <w:rFonts w:cs="Arial"/>
          <w:color w:val="000000" w:themeColor="text1"/>
        </w:rPr>
      </w:pPr>
      <w:r w:rsidRPr="00D11950">
        <w:rPr>
          <w:rFonts w:cs="Arial"/>
          <w:color w:val="000000" w:themeColor="text1"/>
        </w:rPr>
        <w:t xml:space="preserve">ATC code: </w:t>
      </w:r>
      <w:r w:rsidR="00F35B09">
        <w:rPr>
          <w:rFonts w:cs="Arial"/>
          <w:color w:val="000000" w:themeColor="text1"/>
        </w:rPr>
        <w:t>L01XE31</w:t>
      </w:r>
      <w:r w:rsidR="000E1693" w:rsidRPr="00D11950">
        <w:rPr>
          <w:rFonts w:cs="Arial"/>
          <w:color w:val="000000" w:themeColor="text1"/>
        </w:rPr>
        <w:t>.</w:t>
      </w:r>
    </w:p>
    <w:p w:rsidR="00D11950" w:rsidRDefault="002565B9" w:rsidP="00C34899">
      <w:pPr>
        <w:pStyle w:val="PIheading2"/>
      </w:pPr>
      <w:r w:rsidRPr="004C1F7A">
        <w:t>Pharmacodynamics</w:t>
      </w:r>
    </w:p>
    <w:p w:rsidR="00AD1AE7" w:rsidRPr="00AD1AE7" w:rsidRDefault="00AD1AE7" w:rsidP="00F51DD2">
      <w:pPr>
        <w:pStyle w:val="PIHeading3"/>
      </w:pPr>
      <w:r w:rsidRPr="00AD1AE7">
        <w:t>Mechanism of Action</w:t>
      </w:r>
    </w:p>
    <w:p w:rsidR="002E39AC" w:rsidRDefault="002E39AC" w:rsidP="00F51DD2">
      <w:pPr>
        <w:pStyle w:val="TextPI"/>
        <w:rPr>
          <w:rFonts w:eastAsia="MS Mincho" w:cs="Arial"/>
          <w:lang w:val="en-GB" w:eastAsia="ja-JP"/>
        </w:rPr>
      </w:pPr>
      <w:r>
        <w:rPr>
          <w:rFonts w:eastAsia="MS Mincho" w:cs="Arial"/>
          <w:i/>
          <w:iCs/>
          <w:lang w:val="en-GB" w:eastAsia="ja-JP"/>
        </w:rPr>
        <w:t>Non-small Cell Lung Cancer (</w:t>
      </w:r>
      <w:r w:rsidR="00F16FAC" w:rsidRPr="00F16FAC">
        <w:rPr>
          <w:rFonts w:eastAsia="MS Mincho" w:cs="Arial"/>
          <w:i/>
          <w:iCs/>
          <w:lang w:val="en-GB" w:eastAsia="ja-JP"/>
        </w:rPr>
        <w:t>NSCLC</w:t>
      </w:r>
      <w:r>
        <w:rPr>
          <w:rFonts w:eastAsia="MS Mincho" w:cs="Arial"/>
          <w:i/>
          <w:iCs/>
          <w:lang w:val="en-GB" w:eastAsia="ja-JP"/>
        </w:rPr>
        <w:t>)</w:t>
      </w:r>
      <w:r w:rsidR="00F16FAC">
        <w:rPr>
          <w:rFonts w:eastAsia="MS Mincho" w:cs="Arial"/>
          <w:lang w:val="en-GB" w:eastAsia="ja-JP"/>
        </w:rPr>
        <w:t xml:space="preserve">: </w:t>
      </w:r>
    </w:p>
    <w:p w:rsidR="00AD1AE7" w:rsidRDefault="00D11950" w:rsidP="00F51DD2">
      <w:pPr>
        <w:pStyle w:val="TextPI"/>
        <w:rPr>
          <w:rFonts w:eastAsia="MS Mincho" w:cs="Arial"/>
          <w:lang w:val="en-GB" w:eastAsia="ja-JP"/>
        </w:rPr>
      </w:pPr>
      <w:proofErr w:type="spellStart"/>
      <w:r w:rsidRPr="00D11950">
        <w:rPr>
          <w:rFonts w:eastAsia="MS Mincho" w:cs="Arial"/>
          <w:lang w:val="en-GB" w:eastAsia="ja-JP"/>
        </w:rPr>
        <w:t>Nintedanib</w:t>
      </w:r>
      <w:proofErr w:type="spellEnd"/>
      <w:r w:rsidRPr="00D11950">
        <w:rPr>
          <w:rFonts w:eastAsia="MS Mincho" w:cs="Arial"/>
          <w:lang w:val="en-GB" w:eastAsia="ja-JP"/>
        </w:rPr>
        <w:t xml:space="preserve"> is a triple </w:t>
      </w:r>
      <w:proofErr w:type="spellStart"/>
      <w:r w:rsidRPr="00D11950">
        <w:rPr>
          <w:rFonts w:eastAsia="MS Mincho" w:cs="Arial"/>
          <w:lang w:val="en-GB" w:eastAsia="ja-JP"/>
        </w:rPr>
        <w:t>angiokinase</w:t>
      </w:r>
      <w:proofErr w:type="spellEnd"/>
      <w:r w:rsidRPr="00D11950">
        <w:rPr>
          <w:rFonts w:eastAsia="MS Mincho" w:cs="Arial"/>
          <w:lang w:val="en-GB" w:eastAsia="ja-JP"/>
        </w:rPr>
        <w:t xml:space="preserve"> inhibitor blocking vascular endothelial growth factor receptors (VEGFR 1-3), platelet-derived growth factor receptors (PDGFR α and </w:t>
      </w:r>
      <w:r w:rsidR="0006227F" w:rsidRPr="00F16FAC">
        <w:rPr>
          <w:rFonts w:eastAsia="MS Mincho" w:cs="Arial"/>
          <w:lang w:val="en-GB" w:eastAsia="ja-JP"/>
        </w:rPr>
        <w:t>β</w:t>
      </w:r>
      <w:r w:rsidRPr="00D11950">
        <w:rPr>
          <w:rFonts w:eastAsia="MS Mincho" w:cs="Arial"/>
          <w:lang w:val="en-GB" w:eastAsia="ja-JP"/>
        </w:rPr>
        <w:t xml:space="preserve">) and fibroblast growth factor receptors (FGFR 1-3) kinase activity. </w:t>
      </w:r>
      <w:proofErr w:type="spellStart"/>
      <w:r w:rsidRPr="00D11950">
        <w:rPr>
          <w:rFonts w:eastAsia="MS Mincho" w:cs="Arial"/>
          <w:lang w:val="en-GB" w:eastAsia="ja-JP"/>
        </w:rPr>
        <w:t>Nintedanib</w:t>
      </w:r>
      <w:proofErr w:type="spellEnd"/>
      <w:r w:rsidRPr="00D11950">
        <w:rPr>
          <w:rFonts w:eastAsia="MS Mincho" w:cs="Arial"/>
          <w:lang w:val="en-GB" w:eastAsia="ja-JP"/>
        </w:rPr>
        <w:t xml:space="preserve"> binds competitively to the </w:t>
      </w:r>
      <w:r w:rsidR="00567AEF">
        <w:rPr>
          <w:rFonts w:eastAsia="MS Mincho" w:cs="Arial"/>
          <w:lang w:val="en-GB" w:eastAsia="ja-JP"/>
        </w:rPr>
        <w:t>adenosine triphosphate (</w:t>
      </w:r>
      <w:r w:rsidRPr="00D11950">
        <w:rPr>
          <w:rFonts w:eastAsia="MS Mincho" w:cs="Arial"/>
          <w:lang w:val="en-GB" w:eastAsia="ja-JP"/>
        </w:rPr>
        <w:t>ATP</w:t>
      </w:r>
      <w:r w:rsidR="00567AEF">
        <w:rPr>
          <w:rFonts w:eastAsia="MS Mincho" w:cs="Arial"/>
          <w:lang w:val="en-GB" w:eastAsia="ja-JP"/>
        </w:rPr>
        <w:t>)</w:t>
      </w:r>
      <w:r w:rsidRPr="00D11950">
        <w:rPr>
          <w:rFonts w:eastAsia="MS Mincho" w:cs="Arial"/>
          <w:lang w:val="en-GB" w:eastAsia="ja-JP"/>
        </w:rPr>
        <w:t xml:space="preserve"> binding pocket of these receptors and blocks the intracellular signalling which is crucial for the proliferation and survival of endothelial as well as perivascular cells (</w:t>
      </w:r>
      <w:proofErr w:type="spellStart"/>
      <w:r w:rsidRPr="00D11950">
        <w:rPr>
          <w:rFonts w:eastAsia="MS Mincho" w:cs="Arial"/>
          <w:lang w:val="en-GB" w:eastAsia="ja-JP"/>
        </w:rPr>
        <w:t>pericytes</w:t>
      </w:r>
      <w:proofErr w:type="spellEnd"/>
      <w:r w:rsidRPr="00D11950">
        <w:rPr>
          <w:rFonts w:eastAsia="MS Mincho" w:cs="Arial"/>
          <w:lang w:val="en-GB" w:eastAsia="ja-JP"/>
        </w:rPr>
        <w:t xml:space="preserve"> and vascular smooth muscle cells). </w:t>
      </w:r>
      <w:r w:rsidR="00567AEF">
        <w:rPr>
          <w:rFonts w:eastAsia="MS Mincho" w:cs="Arial"/>
          <w:lang w:val="en-GB" w:eastAsia="ja-JP"/>
        </w:rPr>
        <w:t xml:space="preserve">In addition </w:t>
      </w:r>
      <w:proofErr w:type="spellStart"/>
      <w:r w:rsidR="00BF112E">
        <w:rPr>
          <w:rFonts w:eastAsia="MS Mincho" w:cs="Arial"/>
          <w:lang w:val="en-GB" w:eastAsia="ja-JP"/>
        </w:rPr>
        <w:t>nintedanib</w:t>
      </w:r>
      <w:proofErr w:type="spellEnd"/>
      <w:r w:rsidR="00BF112E">
        <w:rPr>
          <w:rFonts w:eastAsia="MS Mincho" w:cs="Arial"/>
          <w:lang w:val="en-GB" w:eastAsia="ja-JP"/>
        </w:rPr>
        <w:t xml:space="preserve"> inhibits </w:t>
      </w:r>
      <w:proofErr w:type="spellStart"/>
      <w:r w:rsidR="00567AEF">
        <w:rPr>
          <w:rFonts w:eastAsia="MS Mincho" w:cs="Arial"/>
          <w:lang w:val="en-GB" w:eastAsia="ja-JP"/>
        </w:rPr>
        <w:t>Fms</w:t>
      </w:r>
      <w:proofErr w:type="spellEnd"/>
      <w:r w:rsidR="00567AEF">
        <w:rPr>
          <w:rFonts w:eastAsia="MS Mincho" w:cs="Arial"/>
          <w:lang w:val="en-GB" w:eastAsia="ja-JP"/>
        </w:rPr>
        <w:t>-like tyrosine-protein kinase</w:t>
      </w:r>
      <w:r w:rsidR="00BF112E">
        <w:rPr>
          <w:rFonts w:eastAsia="MS Mincho" w:cs="Arial"/>
          <w:lang w:val="en-GB" w:eastAsia="ja-JP"/>
        </w:rPr>
        <w:t>-3</w:t>
      </w:r>
      <w:r w:rsidR="00567AEF">
        <w:rPr>
          <w:rFonts w:eastAsia="MS Mincho" w:cs="Arial"/>
          <w:lang w:val="en-GB" w:eastAsia="ja-JP"/>
        </w:rPr>
        <w:t xml:space="preserve"> (Flt-3</w:t>
      </w:r>
      <w:r w:rsidR="00BF112E">
        <w:rPr>
          <w:rFonts w:eastAsia="MS Mincho" w:cs="Arial"/>
          <w:lang w:val="en-GB" w:eastAsia="ja-JP"/>
        </w:rPr>
        <w:t>)</w:t>
      </w:r>
      <w:r w:rsidR="00567AEF">
        <w:rPr>
          <w:rFonts w:eastAsia="MS Mincho" w:cs="Arial"/>
          <w:lang w:val="en-GB" w:eastAsia="ja-JP"/>
        </w:rPr>
        <w:t>, lymphocyte-specific tyrosine-protein kinase</w:t>
      </w:r>
      <w:r w:rsidR="00BF112E">
        <w:rPr>
          <w:rFonts w:eastAsia="MS Mincho" w:cs="Arial"/>
          <w:lang w:val="en-GB" w:eastAsia="ja-JP"/>
        </w:rPr>
        <w:t xml:space="preserve"> (</w:t>
      </w:r>
      <w:proofErr w:type="spellStart"/>
      <w:r w:rsidR="00BF112E">
        <w:rPr>
          <w:rFonts w:eastAsia="MS Mincho" w:cs="Arial"/>
          <w:lang w:val="en-GB" w:eastAsia="ja-JP"/>
        </w:rPr>
        <w:t>Lck</w:t>
      </w:r>
      <w:proofErr w:type="spellEnd"/>
      <w:r w:rsidR="00BF112E">
        <w:rPr>
          <w:rFonts w:eastAsia="MS Mincho" w:cs="Arial"/>
          <w:lang w:val="en-GB" w:eastAsia="ja-JP"/>
        </w:rPr>
        <w:t>), tyrosine-protein kinase Lyn (Lyn) and proto-oncogene tyros</w:t>
      </w:r>
      <w:r w:rsidR="00567AEF">
        <w:rPr>
          <w:rFonts w:eastAsia="MS Mincho" w:cs="Arial"/>
          <w:lang w:val="en-GB" w:eastAsia="ja-JP"/>
        </w:rPr>
        <w:t xml:space="preserve">ine-protein kinase </w:t>
      </w:r>
      <w:proofErr w:type="spellStart"/>
      <w:r w:rsidR="00567AEF">
        <w:rPr>
          <w:rFonts w:eastAsia="MS Mincho" w:cs="Arial"/>
          <w:lang w:val="en-GB" w:eastAsia="ja-JP"/>
        </w:rPr>
        <w:t>Src</w:t>
      </w:r>
      <w:proofErr w:type="spellEnd"/>
      <w:r w:rsidR="00567AEF">
        <w:rPr>
          <w:rFonts w:eastAsia="MS Mincho" w:cs="Arial"/>
          <w:lang w:val="en-GB" w:eastAsia="ja-JP"/>
        </w:rPr>
        <w:t xml:space="preserve"> (</w:t>
      </w:r>
      <w:proofErr w:type="spellStart"/>
      <w:r w:rsidR="00567AEF">
        <w:rPr>
          <w:rFonts w:eastAsia="MS Mincho" w:cs="Arial"/>
          <w:lang w:val="en-GB" w:eastAsia="ja-JP"/>
        </w:rPr>
        <w:t>Src</w:t>
      </w:r>
      <w:proofErr w:type="spellEnd"/>
      <w:r w:rsidR="00567AEF">
        <w:rPr>
          <w:rFonts w:eastAsia="MS Mincho" w:cs="Arial"/>
          <w:lang w:val="en-GB" w:eastAsia="ja-JP"/>
        </w:rPr>
        <w:t>) are inhibited</w:t>
      </w:r>
      <w:r>
        <w:rPr>
          <w:rFonts w:eastAsia="MS Mincho" w:cs="Arial"/>
          <w:lang w:val="en-GB" w:eastAsia="ja-JP"/>
        </w:rPr>
        <w:t>.</w:t>
      </w:r>
    </w:p>
    <w:p w:rsidR="002E39AC" w:rsidRDefault="002E39AC" w:rsidP="00F51DD2">
      <w:pPr>
        <w:pStyle w:val="TextPI"/>
        <w:rPr>
          <w:rFonts w:eastAsia="MS Mincho" w:cs="Arial"/>
          <w:lang w:val="en-GB" w:eastAsia="ja-JP"/>
        </w:rPr>
      </w:pPr>
      <w:r>
        <w:rPr>
          <w:rFonts w:eastAsia="MS Mincho" w:cs="Arial"/>
          <w:i/>
          <w:iCs/>
          <w:lang w:val="en-GB" w:eastAsia="ja-JP"/>
        </w:rPr>
        <w:t>Idiopathic Pulmonary Fibrosis (</w:t>
      </w:r>
      <w:r w:rsidR="00F16FAC" w:rsidRPr="00F16FAC">
        <w:rPr>
          <w:rFonts w:eastAsia="MS Mincho" w:cs="Arial"/>
          <w:i/>
          <w:iCs/>
          <w:lang w:val="en-GB" w:eastAsia="ja-JP"/>
        </w:rPr>
        <w:t>IPF</w:t>
      </w:r>
      <w:r>
        <w:rPr>
          <w:rFonts w:eastAsia="MS Mincho" w:cs="Arial"/>
          <w:i/>
          <w:iCs/>
          <w:lang w:val="en-GB" w:eastAsia="ja-JP"/>
        </w:rPr>
        <w:t>)</w:t>
      </w:r>
      <w:r w:rsidR="00F16FAC" w:rsidRPr="00F16FAC">
        <w:rPr>
          <w:rFonts w:eastAsia="MS Mincho" w:cs="Arial"/>
          <w:i/>
          <w:iCs/>
          <w:lang w:val="en-GB" w:eastAsia="ja-JP"/>
        </w:rPr>
        <w:t>:</w:t>
      </w:r>
      <w:r w:rsidR="00F16FAC">
        <w:rPr>
          <w:rFonts w:eastAsia="MS Mincho" w:cs="Arial"/>
          <w:lang w:val="en-GB" w:eastAsia="ja-JP"/>
        </w:rPr>
        <w:t xml:space="preserve"> </w:t>
      </w:r>
    </w:p>
    <w:p w:rsidR="00F16FAC" w:rsidRPr="00D11950" w:rsidRDefault="00F16FAC" w:rsidP="00F51DD2">
      <w:pPr>
        <w:pStyle w:val="TextPI"/>
        <w:rPr>
          <w:rFonts w:cs="Arial"/>
          <w:color w:val="000000" w:themeColor="text1"/>
        </w:rPr>
      </w:pPr>
      <w:proofErr w:type="spellStart"/>
      <w:r w:rsidRPr="00F16FAC">
        <w:rPr>
          <w:rFonts w:eastAsia="MS Mincho" w:cs="Arial"/>
          <w:lang w:val="en-GB" w:eastAsia="ja-JP"/>
        </w:rPr>
        <w:t>Nintedanib</w:t>
      </w:r>
      <w:proofErr w:type="spellEnd"/>
      <w:r w:rsidRPr="00F16FAC">
        <w:rPr>
          <w:rFonts w:eastAsia="MS Mincho" w:cs="Arial"/>
          <w:lang w:val="en-GB" w:eastAsia="ja-JP"/>
        </w:rPr>
        <w:t xml:space="preserve"> is a small molecule tyrosine kinase inhibitor including the receptors platelet-derived growth factor receptor (PDGFR) α and β, fibroblast growth factor receptor (FGFR) 1-3, and vascular endothelial growth factor receptor (VEGFR) 1-3. </w:t>
      </w:r>
      <w:proofErr w:type="spellStart"/>
      <w:r w:rsidRPr="00F16FAC">
        <w:rPr>
          <w:rFonts w:eastAsia="MS Mincho" w:cs="Arial"/>
          <w:lang w:val="en-GB" w:eastAsia="ja-JP"/>
        </w:rPr>
        <w:t>Nintedanib</w:t>
      </w:r>
      <w:proofErr w:type="spellEnd"/>
      <w:r w:rsidRPr="00F16FAC">
        <w:rPr>
          <w:rFonts w:eastAsia="MS Mincho" w:cs="Arial"/>
          <w:lang w:val="en-GB" w:eastAsia="ja-JP"/>
        </w:rPr>
        <w:t xml:space="preserve"> binds competitively to the ATP binding pocket of these receptors and blocks the intracellular signalling which is crucial for the proliferation, migration and transformation of fibroblasts representing essential mechanisms of the IPF pathology. In addition </w:t>
      </w:r>
      <w:proofErr w:type="spellStart"/>
      <w:r w:rsidRPr="00F16FAC">
        <w:rPr>
          <w:rFonts w:eastAsia="MS Mincho" w:cs="Arial"/>
          <w:lang w:val="en-GB" w:eastAsia="ja-JP"/>
        </w:rPr>
        <w:t>nintedanib</w:t>
      </w:r>
      <w:proofErr w:type="spellEnd"/>
      <w:r w:rsidRPr="00F16FAC">
        <w:rPr>
          <w:rFonts w:eastAsia="MS Mincho" w:cs="Arial"/>
          <w:lang w:val="en-GB" w:eastAsia="ja-JP"/>
        </w:rPr>
        <w:t xml:space="preserve"> inhibits Flt-3, </w:t>
      </w:r>
      <w:proofErr w:type="spellStart"/>
      <w:r w:rsidRPr="00F16FAC">
        <w:rPr>
          <w:rFonts w:eastAsia="MS Mincho" w:cs="Arial"/>
          <w:lang w:val="en-GB" w:eastAsia="ja-JP"/>
        </w:rPr>
        <w:t>Lck</w:t>
      </w:r>
      <w:proofErr w:type="spellEnd"/>
      <w:r w:rsidRPr="00F16FAC">
        <w:rPr>
          <w:rFonts w:eastAsia="MS Mincho" w:cs="Arial"/>
          <w:lang w:val="en-GB" w:eastAsia="ja-JP"/>
        </w:rPr>
        <w:t xml:space="preserve">, Lyn and </w:t>
      </w:r>
      <w:proofErr w:type="spellStart"/>
      <w:r w:rsidRPr="00F16FAC">
        <w:rPr>
          <w:rFonts w:eastAsia="MS Mincho" w:cs="Arial"/>
          <w:lang w:val="en-GB" w:eastAsia="ja-JP"/>
        </w:rPr>
        <w:t>Src</w:t>
      </w:r>
      <w:proofErr w:type="spellEnd"/>
      <w:r w:rsidRPr="00F16FAC">
        <w:rPr>
          <w:rFonts w:eastAsia="MS Mincho" w:cs="Arial"/>
          <w:lang w:val="en-GB" w:eastAsia="ja-JP"/>
        </w:rPr>
        <w:t xml:space="preserve"> kinases</w:t>
      </w:r>
      <w:r>
        <w:rPr>
          <w:rFonts w:eastAsia="MS Mincho" w:cs="Arial"/>
          <w:lang w:val="en-GB" w:eastAsia="ja-JP"/>
        </w:rPr>
        <w:t>.</w:t>
      </w:r>
    </w:p>
    <w:p w:rsidR="00362DF0" w:rsidRDefault="00362DF0" w:rsidP="00362DF0">
      <w:pPr>
        <w:pStyle w:val="PIHeading3"/>
      </w:pPr>
      <w:proofErr w:type="spellStart"/>
      <w:r w:rsidRPr="0042370A">
        <w:t>Pharmacodynamic</w:t>
      </w:r>
      <w:proofErr w:type="spellEnd"/>
      <w:r w:rsidR="0003332A">
        <w:t xml:space="preserve"> effects</w:t>
      </w:r>
    </w:p>
    <w:p w:rsidR="002E39AC" w:rsidRDefault="00F16FAC" w:rsidP="00362DF0">
      <w:pPr>
        <w:pStyle w:val="TextPI"/>
        <w:rPr>
          <w:rFonts w:cs="Arial"/>
          <w:lang w:val="en-GB" w:eastAsia="de-DE"/>
        </w:rPr>
      </w:pPr>
      <w:r w:rsidRPr="00F16FAC">
        <w:rPr>
          <w:rFonts w:cs="Arial"/>
          <w:i/>
          <w:iCs/>
          <w:lang w:val="en-GB" w:eastAsia="de-DE"/>
        </w:rPr>
        <w:t>NSCLC</w:t>
      </w:r>
      <w:r>
        <w:rPr>
          <w:rFonts w:cs="Arial"/>
          <w:lang w:val="en-GB" w:eastAsia="de-DE"/>
        </w:rPr>
        <w:t xml:space="preserve">: </w:t>
      </w:r>
    </w:p>
    <w:p w:rsidR="00D11950" w:rsidRPr="00D50AFD" w:rsidRDefault="00D50AFD" w:rsidP="00362DF0">
      <w:pPr>
        <w:pStyle w:val="TextPI"/>
        <w:rPr>
          <w:rFonts w:cs="Arial"/>
          <w:color w:val="000000" w:themeColor="text1"/>
        </w:rPr>
      </w:pPr>
      <w:r w:rsidRPr="00D50AFD">
        <w:rPr>
          <w:rFonts w:cs="Arial"/>
          <w:lang w:val="en-GB" w:eastAsia="de-DE"/>
        </w:rPr>
        <w:t>Tumour angiogenesis is an essential feature contributing to tumour growth, progression and metastasis formation and is predominantly triggered by the release of pro-</w:t>
      </w:r>
      <w:proofErr w:type="spellStart"/>
      <w:r w:rsidRPr="00D50AFD">
        <w:rPr>
          <w:rFonts w:cs="Arial"/>
          <w:lang w:val="en-GB" w:eastAsia="de-DE"/>
        </w:rPr>
        <w:t>angiogenic</w:t>
      </w:r>
      <w:proofErr w:type="spellEnd"/>
      <w:r w:rsidRPr="00D50AFD">
        <w:rPr>
          <w:rFonts w:cs="Arial"/>
          <w:lang w:val="en-GB" w:eastAsia="de-DE"/>
        </w:rPr>
        <w:t xml:space="preserve"> factors secreted by the tumour cell (i.e. VEGF and </w:t>
      </w:r>
      <w:proofErr w:type="spellStart"/>
      <w:r w:rsidRPr="00D50AFD">
        <w:rPr>
          <w:rFonts w:cs="Arial"/>
          <w:lang w:val="en-GB" w:eastAsia="de-DE"/>
        </w:rPr>
        <w:t>bFGF</w:t>
      </w:r>
      <w:proofErr w:type="spellEnd"/>
      <w:r w:rsidRPr="00D50AFD">
        <w:rPr>
          <w:rFonts w:cs="Arial"/>
          <w:lang w:val="en-GB" w:eastAsia="de-DE"/>
        </w:rPr>
        <w:t xml:space="preserve">) to attract host endothelial as well as perivascular cells to facilitate oxygen and nutrient supply through the host vascular system. In preclinical disease models </w:t>
      </w:r>
      <w:proofErr w:type="spellStart"/>
      <w:r w:rsidRPr="00D50AFD">
        <w:rPr>
          <w:rFonts w:cs="Arial"/>
          <w:lang w:val="en-GB" w:eastAsia="de-DE"/>
        </w:rPr>
        <w:t>nintedanib</w:t>
      </w:r>
      <w:proofErr w:type="spellEnd"/>
      <w:r w:rsidRPr="00D50AFD">
        <w:rPr>
          <w:rFonts w:cs="Arial"/>
          <w:lang w:val="en-GB" w:eastAsia="de-DE"/>
        </w:rPr>
        <w:t xml:space="preserve">, as single agent, effectively interfered with the formation and maintenance of the tumour vascular system resulting in tumour growth inhibition and tumour stasis. </w:t>
      </w:r>
      <w:r w:rsidR="00F84FCD">
        <w:rPr>
          <w:rFonts w:cs="Arial"/>
          <w:lang w:val="en-GB" w:eastAsia="de-DE"/>
        </w:rPr>
        <w:t>T</w:t>
      </w:r>
      <w:r w:rsidRPr="00D50AFD">
        <w:rPr>
          <w:rFonts w:cs="Arial"/>
          <w:lang w:val="en-GB" w:eastAsia="de-DE"/>
        </w:rPr>
        <w:t xml:space="preserve">reatment of tumour xenografts with </w:t>
      </w:r>
      <w:proofErr w:type="spellStart"/>
      <w:r w:rsidRPr="00D50AFD">
        <w:rPr>
          <w:rFonts w:cs="Arial"/>
          <w:lang w:val="en-GB" w:eastAsia="de-DE"/>
        </w:rPr>
        <w:t>nintedanib</w:t>
      </w:r>
      <w:proofErr w:type="spellEnd"/>
      <w:r w:rsidRPr="00D50AFD">
        <w:rPr>
          <w:rFonts w:cs="Arial"/>
          <w:lang w:val="en-GB" w:eastAsia="de-DE"/>
        </w:rPr>
        <w:t xml:space="preserve"> led to a reduction in tumour micro vessel density</w:t>
      </w:r>
      <w:r w:rsidRPr="00D50AFD">
        <w:rPr>
          <w:rFonts w:cs="Arial"/>
          <w:i/>
          <w:iCs/>
          <w:lang w:val="en-GB" w:eastAsia="de-DE"/>
        </w:rPr>
        <w:t>.</w:t>
      </w:r>
    </w:p>
    <w:p w:rsidR="00D11950" w:rsidRDefault="00EE197A" w:rsidP="00C34899">
      <w:pPr>
        <w:pStyle w:val="TextPI"/>
        <w:rPr>
          <w:rFonts w:cs="Arial"/>
          <w:lang w:val="en-GB" w:eastAsia="de-DE"/>
        </w:rPr>
      </w:pPr>
      <w:r>
        <w:rPr>
          <w:rFonts w:cs="Arial"/>
          <w:lang w:val="en-GB" w:eastAsia="de-DE"/>
        </w:rPr>
        <w:t xml:space="preserve">Dynamic contrast enhanced magnetic resonance imaging (DCE-MRI) </w:t>
      </w:r>
      <w:r w:rsidR="0003332A" w:rsidRPr="0003332A">
        <w:rPr>
          <w:rFonts w:cs="Arial"/>
          <w:lang w:val="en-GB" w:eastAsia="de-DE"/>
        </w:rPr>
        <w:t xml:space="preserve">measurements showed an anti-angiogenic effect of </w:t>
      </w:r>
      <w:proofErr w:type="spellStart"/>
      <w:r w:rsidR="0003332A" w:rsidRPr="0003332A">
        <w:rPr>
          <w:rFonts w:cs="Arial"/>
          <w:lang w:val="en-GB" w:eastAsia="de-DE"/>
        </w:rPr>
        <w:t>nintedanib</w:t>
      </w:r>
      <w:proofErr w:type="spellEnd"/>
      <w:r w:rsidR="0003332A" w:rsidRPr="0003332A">
        <w:rPr>
          <w:rFonts w:cs="Arial"/>
          <w:lang w:val="en-GB" w:eastAsia="de-DE"/>
        </w:rPr>
        <w:t xml:space="preserve"> in humans. It was not clearly dose dependent, but most responses were seen at doses of ≥ 200 mg. Logistic regression revealed a statistically significant association of the anti-angiogenic effect to </w:t>
      </w:r>
      <w:proofErr w:type="spellStart"/>
      <w:r w:rsidR="0003332A" w:rsidRPr="0003332A">
        <w:rPr>
          <w:rFonts w:cs="Arial"/>
          <w:lang w:val="en-GB" w:eastAsia="de-DE"/>
        </w:rPr>
        <w:t>nintedanib</w:t>
      </w:r>
      <w:proofErr w:type="spellEnd"/>
      <w:r w:rsidR="0003332A" w:rsidRPr="0003332A">
        <w:rPr>
          <w:rFonts w:cs="Arial"/>
          <w:lang w:val="en-GB" w:eastAsia="de-DE"/>
        </w:rPr>
        <w:t xml:space="preserve"> exposure. DCE-MRI effects were seen 24-48 h</w:t>
      </w:r>
      <w:r w:rsidR="00E67F1D">
        <w:rPr>
          <w:rFonts w:cs="Arial"/>
          <w:lang w:val="en-GB" w:eastAsia="de-DE"/>
        </w:rPr>
        <w:t>ours</w:t>
      </w:r>
      <w:r w:rsidR="0003332A" w:rsidRPr="0003332A">
        <w:rPr>
          <w:rFonts w:cs="Arial"/>
          <w:lang w:val="en-GB" w:eastAsia="de-DE"/>
        </w:rPr>
        <w:t xml:space="preserve"> after the first intake</w:t>
      </w:r>
      <w:r w:rsidR="00D10FA8">
        <w:rPr>
          <w:rFonts w:cs="Arial"/>
          <w:lang w:val="en-GB" w:eastAsia="de-DE"/>
        </w:rPr>
        <w:t xml:space="preserve"> of the medicinal product</w:t>
      </w:r>
      <w:r w:rsidR="0003332A" w:rsidRPr="0003332A">
        <w:rPr>
          <w:rFonts w:cs="Arial"/>
          <w:lang w:val="en-GB" w:eastAsia="de-DE"/>
        </w:rPr>
        <w:t xml:space="preserve"> and were preserved or even increased after continuous treatment over several weeks. No correlation of the DCE-MRI response and subsequent clinically significant </w:t>
      </w:r>
      <w:r w:rsidR="0003332A" w:rsidRPr="0003332A">
        <w:rPr>
          <w:rFonts w:cs="Arial"/>
          <w:lang w:val="en-GB" w:eastAsia="de-DE"/>
        </w:rPr>
        <w:lastRenderedPageBreak/>
        <w:t>reduction in target lesion size was found, but DCE-MRI response was associated with disease stabili</w:t>
      </w:r>
      <w:r w:rsidR="00E67F1D">
        <w:rPr>
          <w:rFonts w:cs="Arial"/>
          <w:lang w:val="en-GB" w:eastAsia="de-DE"/>
        </w:rPr>
        <w:t>s</w:t>
      </w:r>
      <w:r w:rsidR="0003332A" w:rsidRPr="0003332A">
        <w:rPr>
          <w:rFonts w:cs="Arial"/>
          <w:lang w:val="en-GB" w:eastAsia="de-DE"/>
        </w:rPr>
        <w:t>ation.</w:t>
      </w:r>
    </w:p>
    <w:p w:rsidR="002E39AC" w:rsidRDefault="00F16FAC" w:rsidP="001D38DC">
      <w:pPr>
        <w:pStyle w:val="TextPI"/>
        <w:keepNext/>
        <w:rPr>
          <w:rFonts w:cs="Arial"/>
          <w:lang w:val="en-GB" w:eastAsia="de-DE"/>
        </w:rPr>
      </w:pPr>
      <w:r w:rsidRPr="00F16FAC">
        <w:rPr>
          <w:rFonts w:cs="Arial"/>
          <w:i/>
          <w:iCs/>
          <w:lang w:val="en-GB" w:eastAsia="de-DE"/>
        </w:rPr>
        <w:t>IPF</w:t>
      </w:r>
      <w:r>
        <w:rPr>
          <w:rFonts w:cs="Arial"/>
          <w:lang w:val="en-GB" w:eastAsia="de-DE"/>
        </w:rPr>
        <w:t xml:space="preserve">: </w:t>
      </w:r>
    </w:p>
    <w:p w:rsidR="00F16FAC" w:rsidRDefault="00F16FAC" w:rsidP="00C34899">
      <w:pPr>
        <w:pStyle w:val="TextPI"/>
      </w:pPr>
      <w:r w:rsidRPr="00F16FAC">
        <w:rPr>
          <w:rFonts w:cs="Arial"/>
          <w:lang w:val="en-GB" w:eastAsia="de-DE"/>
        </w:rPr>
        <w:t>Activation of FGFR and PDGFR signalling cascades is critically involved in proliferation and migration of lung fibroblasts/</w:t>
      </w:r>
      <w:proofErr w:type="spellStart"/>
      <w:r w:rsidRPr="00F16FAC">
        <w:rPr>
          <w:rFonts w:cs="Arial"/>
          <w:lang w:val="en-GB" w:eastAsia="de-DE"/>
        </w:rPr>
        <w:t>myofibroblasts</w:t>
      </w:r>
      <w:proofErr w:type="spellEnd"/>
      <w:r w:rsidRPr="00F16FAC">
        <w:rPr>
          <w:rFonts w:cs="Arial"/>
          <w:lang w:val="en-GB" w:eastAsia="de-DE"/>
        </w:rPr>
        <w:t xml:space="preserve">, the hallmark cells in the pathology of idiopathic pulmonary fibrosis. The potential impact of VEGFR inhibition on IPF pathology is currently not fully elucidated. On the molecular level, </w:t>
      </w:r>
      <w:proofErr w:type="spellStart"/>
      <w:r w:rsidRPr="00F16FAC">
        <w:rPr>
          <w:rFonts w:cs="Arial"/>
          <w:lang w:val="en-GB" w:eastAsia="de-DE"/>
        </w:rPr>
        <w:t>nintedanib</w:t>
      </w:r>
      <w:proofErr w:type="spellEnd"/>
      <w:r w:rsidRPr="00F16FAC">
        <w:rPr>
          <w:rFonts w:cs="Arial"/>
          <w:lang w:val="en-GB" w:eastAsia="de-DE"/>
        </w:rPr>
        <w:t xml:space="preserve"> is thought to inhibit the FGFR and PDGFR signalling cascades mediating lung fibroblast proliferation and migration by binding to the adenosine triphosphate (ATP) binding pocket of the intracellular receptor kinase domain, thus interfering with cross-activation via auto-phosphorylation of the receptor homodimers. </w:t>
      </w:r>
      <w:r w:rsidRPr="002E39AC">
        <w:rPr>
          <w:rFonts w:cs="Arial"/>
          <w:i/>
          <w:iCs/>
          <w:lang w:val="en-GB" w:eastAsia="de-DE"/>
        </w:rPr>
        <w:t>In vitro</w:t>
      </w:r>
      <w:r w:rsidRPr="00F16FAC">
        <w:rPr>
          <w:rFonts w:cs="Arial"/>
          <w:lang w:val="en-GB" w:eastAsia="de-DE"/>
        </w:rPr>
        <w:t xml:space="preserve">, the target receptors are inhibited by </w:t>
      </w:r>
      <w:proofErr w:type="spellStart"/>
      <w:r w:rsidRPr="00F16FAC">
        <w:rPr>
          <w:rFonts w:cs="Arial"/>
          <w:lang w:val="en-GB" w:eastAsia="de-DE"/>
        </w:rPr>
        <w:t>nintedanib</w:t>
      </w:r>
      <w:proofErr w:type="spellEnd"/>
      <w:r w:rsidRPr="00F16FAC">
        <w:rPr>
          <w:rFonts w:cs="Arial"/>
          <w:lang w:val="en-GB" w:eastAsia="de-DE"/>
        </w:rPr>
        <w:t xml:space="preserve"> in low </w:t>
      </w:r>
      <w:proofErr w:type="spellStart"/>
      <w:r w:rsidRPr="00F16FAC">
        <w:rPr>
          <w:rFonts w:cs="Arial"/>
          <w:lang w:val="en-GB" w:eastAsia="de-DE"/>
        </w:rPr>
        <w:t>nanomolar</w:t>
      </w:r>
      <w:proofErr w:type="spellEnd"/>
      <w:r w:rsidRPr="00F16FAC">
        <w:rPr>
          <w:rFonts w:cs="Arial"/>
          <w:lang w:val="en-GB" w:eastAsia="de-DE"/>
        </w:rPr>
        <w:t xml:space="preserve"> concentrations. In human lung fibroblasts from patients with IPF </w:t>
      </w:r>
      <w:proofErr w:type="spellStart"/>
      <w:r w:rsidRPr="00F16FAC">
        <w:rPr>
          <w:rFonts w:cs="Arial"/>
          <w:lang w:val="en-GB" w:eastAsia="de-DE"/>
        </w:rPr>
        <w:t>nintedanib</w:t>
      </w:r>
      <w:proofErr w:type="spellEnd"/>
      <w:r w:rsidRPr="00F16FAC">
        <w:rPr>
          <w:rFonts w:cs="Arial"/>
          <w:lang w:val="en-GB" w:eastAsia="de-DE"/>
        </w:rPr>
        <w:t xml:space="preserve"> inhibited PDGF-, FGF-, and VEGF-stimulated cell proliferation with EC</w:t>
      </w:r>
      <w:r w:rsidRPr="002E39AC">
        <w:rPr>
          <w:rFonts w:cs="Arial"/>
          <w:vertAlign w:val="subscript"/>
          <w:lang w:val="en-GB" w:eastAsia="de-DE"/>
        </w:rPr>
        <w:t>50</w:t>
      </w:r>
      <w:r w:rsidRPr="00F16FAC">
        <w:rPr>
          <w:rFonts w:cs="Arial"/>
          <w:lang w:val="en-GB" w:eastAsia="de-DE"/>
        </w:rPr>
        <w:t xml:space="preserve"> values of 11 </w:t>
      </w:r>
      <w:proofErr w:type="spellStart"/>
      <w:r w:rsidRPr="00F16FAC">
        <w:rPr>
          <w:rFonts w:cs="Arial"/>
          <w:lang w:val="en-GB" w:eastAsia="de-DE"/>
        </w:rPr>
        <w:t>nmol</w:t>
      </w:r>
      <w:proofErr w:type="spellEnd"/>
      <w:r w:rsidRPr="00F16FAC">
        <w:rPr>
          <w:rFonts w:cs="Arial"/>
          <w:lang w:val="en-GB" w:eastAsia="de-DE"/>
        </w:rPr>
        <w:t xml:space="preserve">/L, 5.5 </w:t>
      </w:r>
      <w:proofErr w:type="spellStart"/>
      <w:r w:rsidRPr="00F16FAC">
        <w:rPr>
          <w:rFonts w:cs="Arial"/>
          <w:lang w:val="en-GB" w:eastAsia="de-DE"/>
        </w:rPr>
        <w:t>nmol</w:t>
      </w:r>
      <w:proofErr w:type="spellEnd"/>
      <w:r w:rsidRPr="00F16FAC">
        <w:rPr>
          <w:rFonts w:cs="Arial"/>
          <w:lang w:val="en-GB" w:eastAsia="de-DE"/>
        </w:rPr>
        <w:t xml:space="preserve">/L and less than 1 </w:t>
      </w:r>
      <w:proofErr w:type="spellStart"/>
      <w:r w:rsidRPr="00F16FAC">
        <w:rPr>
          <w:rFonts w:cs="Arial"/>
          <w:lang w:val="en-GB" w:eastAsia="de-DE"/>
        </w:rPr>
        <w:t>nmol</w:t>
      </w:r>
      <w:proofErr w:type="spellEnd"/>
      <w:r w:rsidRPr="00F16FAC">
        <w:rPr>
          <w:rFonts w:cs="Arial"/>
          <w:lang w:val="en-GB" w:eastAsia="de-DE"/>
        </w:rPr>
        <w:t xml:space="preserve">/L, respectively. At concentrations between 100 and 1000 </w:t>
      </w:r>
      <w:proofErr w:type="spellStart"/>
      <w:r w:rsidRPr="00F16FAC">
        <w:rPr>
          <w:rFonts w:cs="Arial"/>
          <w:lang w:val="en-GB" w:eastAsia="de-DE"/>
        </w:rPr>
        <w:t>nmol</w:t>
      </w:r>
      <w:proofErr w:type="spellEnd"/>
      <w:r w:rsidRPr="00F16FAC">
        <w:rPr>
          <w:rFonts w:cs="Arial"/>
          <w:lang w:val="en-GB" w:eastAsia="de-DE"/>
        </w:rPr>
        <w:t xml:space="preserve">/L </w:t>
      </w:r>
      <w:proofErr w:type="spellStart"/>
      <w:r w:rsidRPr="00F16FAC">
        <w:rPr>
          <w:rFonts w:cs="Arial"/>
          <w:lang w:val="en-GB" w:eastAsia="de-DE"/>
        </w:rPr>
        <w:t>nintedanib</w:t>
      </w:r>
      <w:proofErr w:type="spellEnd"/>
      <w:r w:rsidRPr="00F16FAC">
        <w:rPr>
          <w:rFonts w:cs="Arial"/>
          <w:lang w:val="en-GB" w:eastAsia="de-DE"/>
        </w:rPr>
        <w:t xml:space="preserve"> also inhibited PDGF-, FGF-, and VEGF-stimulated fibroblast migration and TGF-ß2-induced fibroblast to </w:t>
      </w:r>
      <w:proofErr w:type="spellStart"/>
      <w:r w:rsidRPr="00F16FAC">
        <w:rPr>
          <w:rFonts w:cs="Arial"/>
          <w:lang w:val="en-GB" w:eastAsia="de-DE"/>
        </w:rPr>
        <w:t>myofibroblast</w:t>
      </w:r>
      <w:proofErr w:type="spellEnd"/>
      <w:r w:rsidRPr="00F16FAC">
        <w:rPr>
          <w:rFonts w:cs="Arial"/>
          <w:lang w:val="en-GB" w:eastAsia="de-DE"/>
        </w:rPr>
        <w:t xml:space="preserve"> transformation.  In addition, the anti-inflammatory activity of </w:t>
      </w:r>
      <w:proofErr w:type="spellStart"/>
      <w:r w:rsidRPr="00F16FAC">
        <w:rPr>
          <w:rFonts w:cs="Arial"/>
          <w:lang w:val="en-GB" w:eastAsia="de-DE"/>
        </w:rPr>
        <w:t>nintedanib</w:t>
      </w:r>
      <w:proofErr w:type="spellEnd"/>
      <w:r w:rsidRPr="00F16FAC">
        <w:rPr>
          <w:rFonts w:cs="Arial"/>
          <w:lang w:val="en-GB" w:eastAsia="de-DE"/>
        </w:rPr>
        <w:t xml:space="preserve"> is thought to limit fibrotic stimulation by reduction of </w:t>
      </w:r>
      <w:proofErr w:type="spellStart"/>
      <w:r w:rsidRPr="00F16FAC">
        <w:rPr>
          <w:rFonts w:cs="Arial"/>
          <w:lang w:val="en-GB" w:eastAsia="de-DE"/>
        </w:rPr>
        <w:t>profibrotic</w:t>
      </w:r>
      <w:proofErr w:type="spellEnd"/>
      <w:r w:rsidRPr="00F16FAC">
        <w:rPr>
          <w:rFonts w:cs="Arial"/>
          <w:lang w:val="en-GB" w:eastAsia="de-DE"/>
        </w:rPr>
        <w:t xml:space="preserve"> mediators like IL-1β and IL-6. The contribution of the anti-angiogenic activity of </w:t>
      </w:r>
      <w:proofErr w:type="spellStart"/>
      <w:r w:rsidRPr="00F16FAC">
        <w:rPr>
          <w:rFonts w:cs="Arial"/>
          <w:lang w:val="en-GB" w:eastAsia="de-DE"/>
        </w:rPr>
        <w:t>nintedanib</w:t>
      </w:r>
      <w:proofErr w:type="spellEnd"/>
      <w:r w:rsidRPr="00F16FAC">
        <w:rPr>
          <w:rFonts w:cs="Arial"/>
          <w:lang w:val="en-GB" w:eastAsia="de-DE"/>
        </w:rPr>
        <w:t xml:space="preserve"> to its mechanism of action in fibrotic lung diseases is currently not clarified. In </w:t>
      </w:r>
      <w:r w:rsidRPr="002E39AC">
        <w:rPr>
          <w:rFonts w:cs="Arial"/>
          <w:i/>
          <w:iCs/>
          <w:lang w:val="en-GB" w:eastAsia="de-DE"/>
        </w:rPr>
        <w:t>in vivo</w:t>
      </w:r>
      <w:r w:rsidRPr="00F16FAC">
        <w:rPr>
          <w:rFonts w:cs="Arial"/>
          <w:lang w:val="en-GB" w:eastAsia="de-DE"/>
        </w:rPr>
        <w:t xml:space="preserve"> studies, </w:t>
      </w:r>
      <w:proofErr w:type="spellStart"/>
      <w:r w:rsidRPr="00F16FAC">
        <w:rPr>
          <w:rFonts w:cs="Arial"/>
          <w:lang w:val="en-GB" w:eastAsia="de-DE"/>
        </w:rPr>
        <w:t>nintedanib</w:t>
      </w:r>
      <w:proofErr w:type="spellEnd"/>
      <w:r w:rsidRPr="00F16FAC">
        <w:rPr>
          <w:rFonts w:cs="Arial"/>
          <w:lang w:val="en-GB" w:eastAsia="de-DE"/>
        </w:rPr>
        <w:t xml:space="preserve"> was shown to have anti-fibrotic and anti-inflammatory activity.</w:t>
      </w:r>
    </w:p>
    <w:p w:rsidR="00014579" w:rsidRPr="00BF21E9" w:rsidRDefault="00014579" w:rsidP="00D50AFD">
      <w:pPr>
        <w:pStyle w:val="PIheading2"/>
        <w:jc w:val="both"/>
      </w:pPr>
      <w:r w:rsidRPr="00BF21E9">
        <w:t>Pharmacokinetics</w:t>
      </w:r>
    </w:p>
    <w:p w:rsidR="00D50AFD" w:rsidRPr="00BF21E9" w:rsidRDefault="00D50AFD" w:rsidP="00D50AFD">
      <w:pPr>
        <w:pStyle w:val="PIheading2"/>
        <w:jc w:val="both"/>
        <w:rPr>
          <w:rFonts w:cs="Arial"/>
        </w:rPr>
      </w:pPr>
      <w:r w:rsidRPr="00BF21E9">
        <w:rPr>
          <w:rFonts w:cs="Arial"/>
          <w:b w:val="0"/>
          <w:lang w:val="en-GB" w:eastAsia="de-DE"/>
        </w:rPr>
        <w:t xml:space="preserve">The pharmacokinetics (PK) of </w:t>
      </w:r>
      <w:proofErr w:type="spellStart"/>
      <w:r w:rsidRPr="00BF21E9">
        <w:rPr>
          <w:rFonts w:cs="Arial"/>
          <w:b w:val="0"/>
          <w:lang w:val="en-GB" w:eastAsia="de-DE"/>
        </w:rPr>
        <w:t>nintedanib</w:t>
      </w:r>
      <w:proofErr w:type="spellEnd"/>
      <w:r w:rsidRPr="00BF21E9">
        <w:rPr>
          <w:rFonts w:cs="Arial"/>
          <w:b w:val="0"/>
          <w:lang w:val="en-GB" w:eastAsia="de-DE"/>
        </w:rPr>
        <w:t xml:space="preserve"> can be considered linear with respect to time (i.e. single-dose data can be extrapolated to multiple-dose data).  Accumulation upon multiple administrations was 1.04-fold for </w:t>
      </w:r>
      <w:proofErr w:type="spellStart"/>
      <w:r w:rsidRPr="00BF21E9">
        <w:rPr>
          <w:rFonts w:cs="Arial"/>
          <w:b w:val="0"/>
          <w:lang w:val="en-GB" w:eastAsia="de-DE"/>
        </w:rPr>
        <w:t>C</w:t>
      </w:r>
      <w:r w:rsidRPr="00BF21E9">
        <w:rPr>
          <w:rFonts w:cs="Arial"/>
          <w:b w:val="0"/>
          <w:vertAlign w:val="subscript"/>
          <w:lang w:val="en-GB" w:eastAsia="de-DE"/>
        </w:rPr>
        <w:t>max</w:t>
      </w:r>
      <w:proofErr w:type="spellEnd"/>
      <w:r w:rsidRPr="00BF21E9">
        <w:rPr>
          <w:rFonts w:cs="Arial"/>
          <w:b w:val="0"/>
          <w:lang w:val="en-GB" w:eastAsia="de-DE"/>
        </w:rPr>
        <w:t xml:space="preserve"> and 1.38-fold for </w:t>
      </w:r>
      <w:proofErr w:type="spellStart"/>
      <w:r w:rsidRPr="00BF21E9">
        <w:rPr>
          <w:rFonts w:cs="Arial"/>
          <w:b w:val="0"/>
          <w:lang w:val="en-GB" w:eastAsia="de-DE"/>
        </w:rPr>
        <w:t>AUC</w:t>
      </w:r>
      <w:r w:rsidRPr="00BF21E9">
        <w:rPr>
          <w:rFonts w:cs="Arial"/>
          <w:b w:val="0"/>
          <w:vertAlign w:val="subscript"/>
          <w:lang w:val="en-GB" w:eastAsia="de-DE"/>
        </w:rPr>
        <w:t>τ</w:t>
      </w:r>
      <w:proofErr w:type="spellEnd"/>
      <w:r w:rsidRPr="00BF21E9">
        <w:rPr>
          <w:rFonts w:cs="Arial"/>
          <w:b w:val="0"/>
          <w:lang w:val="en-GB" w:eastAsia="de-DE"/>
        </w:rPr>
        <w:t xml:space="preserve">.  </w:t>
      </w:r>
      <w:proofErr w:type="spellStart"/>
      <w:r w:rsidRPr="00BF21E9">
        <w:rPr>
          <w:rFonts w:cs="Arial"/>
          <w:b w:val="0"/>
          <w:lang w:val="en-GB" w:eastAsia="de-DE"/>
        </w:rPr>
        <w:t>Nintedanib</w:t>
      </w:r>
      <w:proofErr w:type="spellEnd"/>
      <w:r w:rsidRPr="00BF21E9">
        <w:rPr>
          <w:rFonts w:cs="Arial"/>
          <w:b w:val="0"/>
          <w:lang w:val="en-GB" w:eastAsia="de-DE"/>
        </w:rPr>
        <w:t xml:space="preserve"> trough concentrations remained stable for more than one year.</w:t>
      </w:r>
    </w:p>
    <w:p w:rsidR="00014579" w:rsidRPr="00BF21E9" w:rsidRDefault="00617B9B" w:rsidP="00042540">
      <w:pPr>
        <w:pStyle w:val="PIHeading3"/>
      </w:pPr>
      <w:r w:rsidRPr="00BF21E9">
        <w:t>Absorption</w:t>
      </w:r>
    </w:p>
    <w:p w:rsidR="00D50AFD" w:rsidRPr="00BF21E9" w:rsidRDefault="00D50AFD" w:rsidP="00D50AFD">
      <w:pPr>
        <w:pStyle w:val="BodyText"/>
        <w:tabs>
          <w:tab w:val="left" w:pos="7920"/>
        </w:tabs>
        <w:jc w:val="both"/>
        <w:rPr>
          <w:rFonts w:ascii="Arial" w:hAnsi="Arial" w:cs="Arial"/>
          <w:sz w:val="22"/>
          <w:szCs w:val="22"/>
          <w:lang w:val="en-GB" w:eastAsia="x-none"/>
        </w:rPr>
      </w:pPr>
      <w:proofErr w:type="spellStart"/>
      <w:r w:rsidRPr="00BF21E9">
        <w:rPr>
          <w:rFonts w:ascii="Arial" w:hAnsi="Arial" w:cs="Arial"/>
          <w:sz w:val="22"/>
          <w:szCs w:val="22"/>
          <w:lang w:val="en-GB" w:eastAsia="x-none"/>
        </w:rPr>
        <w:t>Nintedanib</w:t>
      </w:r>
      <w:proofErr w:type="spellEnd"/>
      <w:r w:rsidRPr="00BF21E9">
        <w:rPr>
          <w:rFonts w:ascii="Arial" w:hAnsi="Arial" w:cs="Arial"/>
          <w:sz w:val="22"/>
          <w:szCs w:val="22"/>
          <w:lang w:val="en-GB" w:eastAsia="x-none"/>
        </w:rPr>
        <w:t xml:space="preserve"> reached maximum plasma concentrations approximately 2 - 4 h</w:t>
      </w:r>
      <w:r w:rsidR="008040E0" w:rsidRPr="00BF21E9">
        <w:rPr>
          <w:rFonts w:ascii="Arial" w:hAnsi="Arial" w:cs="Arial"/>
          <w:sz w:val="22"/>
          <w:szCs w:val="22"/>
          <w:lang w:val="en-GB" w:eastAsia="x-none"/>
        </w:rPr>
        <w:t>ours</w:t>
      </w:r>
      <w:r w:rsidRPr="00BF21E9">
        <w:rPr>
          <w:rFonts w:ascii="Arial" w:hAnsi="Arial" w:cs="Arial"/>
          <w:sz w:val="22"/>
          <w:szCs w:val="22"/>
          <w:lang w:val="en-GB" w:eastAsia="x-none"/>
        </w:rPr>
        <w:t xml:space="preserve"> after oral</w:t>
      </w:r>
      <w:r w:rsidR="002D3509" w:rsidRPr="00BF21E9">
        <w:rPr>
          <w:rFonts w:ascii="Arial" w:hAnsi="Arial" w:cs="Arial"/>
          <w:sz w:val="22"/>
          <w:szCs w:val="22"/>
          <w:lang w:val="en-GB" w:eastAsia="x-none"/>
        </w:rPr>
        <w:t xml:space="preserve"> administration as soft </w:t>
      </w:r>
      <w:proofErr w:type="spellStart"/>
      <w:r w:rsidR="002D3509" w:rsidRPr="00BF21E9">
        <w:rPr>
          <w:rFonts w:ascii="Arial" w:hAnsi="Arial" w:cs="Arial"/>
          <w:sz w:val="22"/>
          <w:szCs w:val="22"/>
          <w:lang w:val="en-GB" w:eastAsia="x-none"/>
        </w:rPr>
        <w:t>gelatin</w:t>
      </w:r>
      <w:proofErr w:type="spellEnd"/>
      <w:r w:rsidRPr="00BF21E9">
        <w:rPr>
          <w:rFonts w:ascii="Arial" w:hAnsi="Arial" w:cs="Arial"/>
          <w:sz w:val="22"/>
          <w:szCs w:val="22"/>
          <w:lang w:val="en-GB" w:eastAsia="x-none"/>
        </w:rPr>
        <w:t xml:space="preserve"> capsule under fed conditions (range 0.5 - 8 h</w:t>
      </w:r>
      <w:r w:rsidR="008040E0" w:rsidRPr="00BF21E9">
        <w:rPr>
          <w:rFonts w:ascii="Arial" w:hAnsi="Arial" w:cs="Arial"/>
          <w:sz w:val="22"/>
          <w:szCs w:val="22"/>
          <w:lang w:val="en-GB" w:eastAsia="x-none"/>
        </w:rPr>
        <w:t>ours</w:t>
      </w:r>
      <w:r w:rsidRPr="00BF21E9">
        <w:rPr>
          <w:rFonts w:ascii="Arial" w:hAnsi="Arial" w:cs="Arial"/>
          <w:sz w:val="22"/>
          <w:szCs w:val="22"/>
          <w:lang w:val="en-GB" w:eastAsia="x-none"/>
        </w:rPr>
        <w:t xml:space="preserve">). </w:t>
      </w:r>
      <w:r w:rsidR="002D3509" w:rsidRPr="00BF21E9">
        <w:rPr>
          <w:rFonts w:ascii="Arial" w:hAnsi="Arial" w:cs="Arial"/>
          <w:sz w:val="22"/>
          <w:szCs w:val="22"/>
          <w:lang w:val="en-GB" w:eastAsia="x-none"/>
        </w:rPr>
        <w:t xml:space="preserve"> </w:t>
      </w:r>
      <w:r w:rsidRPr="00BF21E9">
        <w:rPr>
          <w:rFonts w:ascii="Arial" w:hAnsi="Arial" w:cs="Arial"/>
          <w:sz w:val="22"/>
          <w:szCs w:val="22"/>
          <w:lang w:val="en-GB" w:eastAsia="x-none"/>
        </w:rPr>
        <w:t>The absolute bioavailability of a 100 mg dose was 4.69% (90% CI: 3.615 - 6.078) in healthy volunteers.</w:t>
      </w:r>
      <w:r w:rsidR="00072596" w:rsidRPr="00BF21E9">
        <w:rPr>
          <w:rFonts w:ascii="Arial" w:hAnsi="Arial" w:cs="Arial"/>
          <w:sz w:val="22"/>
          <w:szCs w:val="22"/>
          <w:lang w:val="en-GB" w:eastAsia="x-none"/>
        </w:rPr>
        <w:t xml:space="preserve"> </w:t>
      </w:r>
      <w:r w:rsidRPr="00BF21E9">
        <w:rPr>
          <w:rFonts w:ascii="Arial" w:hAnsi="Arial" w:cs="Arial"/>
          <w:sz w:val="22"/>
          <w:szCs w:val="22"/>
          <w:lang w:val="en-GB" w:eastAsia="x-none"/>
        </w:rPr>
        <w:t xml:space="preserve"> Absorption and bioavailability are decreased by transporter effects and substantial first-pass metabolism.</w:t>
      </w:r>
    </w:p>
    <w:p w:rsidR="00D50AFD" w:rsidRPr="00BF21E9" w:rsidRDefault="00D50AFD" w:rsidP="00D50AFD">
      <w:pPr>
        <w:tabs>
          <w:tab w:val="left" w:pos="7920"/>
        </w:tabs>
        <w:jc w:val="both"/>
        <w:rPr>
          <w:rFonts w:ascii="Arial" w:hAnsi="Arial" w:cs="Arial"/>
          <w:sz w:val="22"/>
          <w:szCs w:val="22"/>
          <w:lang w:val="en-GB" w:eastAsia="x-none"/>
        </w:rPr>
      </w:pPr>
      <w:r w:rsidRPr="00BF21E9">
        <w:rPr>
          <w:rFonts w:ascii="Arial" w:hAnsi="Arial" w:cs="Arial"/>
          <w:sz w:val="22"/>
          <w:szCs w:val="22"/>
          <w:lang w:val="en-GB" w:eastAsia="x-none"/>
        </w:rPr>
        <w:t xml:space="preserve">Dose proportionality was shown by increase of </w:t>
      </w:r>
      <w:proofErr w:type="spellStart"/>
      <w:r w:rsidRPr="00BF21E9">
        <w:rPr>
          <w:rFonts w:ascii="Arial" w:hAnsi="Arial" w:cs="Arial"/>
          <w:sz w:val="22"/>
          <w:szCs w:val="22"/>
          <w:lang w:val="en-GB" w:eastAsia="x-none"/>
        </w:rPr>
        <w:t>nintedani</w:t>
      </w:r>
      <w:r w:rsidR="002D3509" w:rsidRPr="00BF21E9">
        <w:rPr>
          <w:rFonts w:ascii="Arial" w:hAnsi="Arial" w:cs="Arial"/>
          <w:sz w:val="22"/>
          <w:szCs w:val="22"/>
          <w:lang w:val="en-GB" w:eastAsia="x-none"/>
        </w:rPr>
        <w:t>b</w:t>
      </w:r>
      <w:proofErr w:type="spellEnd"/>
      <w:r w:rsidR="002D3509" w:rsidRPr="00BF21E9">
        <w:rPr>
          <w:rFonts w:ascii="Arial" w:hAnsi="Arial" w:cs="Arial"/>
          <w:sz w:val="22"/>
          <w:szCs w:val="22"/>
          <w:lang w:val="en-GB" w:eastAsia="x-none"/>
        </w:rPr>
        <w:t xml:space="preserve"> exposure (dose range 50 – 450 </w:t>
      </w:r>
      <w:r w:rsidRPr="00BF21E9">
        <w:rPr>
          <w:rFonts w:ascii="Arial" w:hAnsi="Arial" w:cs="Arial"/>
          <w:sz w:val="22"/>
          <w:szCs w:val="22"/>
          <w:lang w:val="en-GB" w:eastAsia="x-none"/>
        </w:rPr>
        <w:t xml:space="preserve">mg once daily and 150 - 300 mg twice daily). </w:t>
      </w:r>
      <w:r w:rsidR="002D3509" w:rsidRPr="00BF21E9">
        <w:rPr>
          <w:rFonts w:ascii="Arial" w:hAnsi="Arial" w:cs="Arial"/>
          <w:sz w:val="22"/>
          <w:szCs w:val="22"/>
          <w:lang w:val="en-GB" w:eastAsia="x-none"/>
        </w:rPr>
        <w:t xml:space="preserve"> </w:t>
      </w:r>
      <w:r w:rsidRPr="00BF21E9">
        <w:rPr>
          <w:rFonts w:ascii="Arial" w:hAnsi="Arial" w:cs="Arial"/>
          <w:sz w:val="22"/>
          <w:szCs w:val="22"/>
          <w:lang w:val="en-GB" w:eastAsia="x-none"/>
        </w:rPr>
        <w:t>Steady state plasma concentrations were achieved within one week of dosing at the latest.</w:t>
      </w:r>
    </w:p>
    <w:p w:rsidR="00AD1AE7" w:rsidRPr="00BF21E9" w:rsidRDefault="00D50AFD" w:rsidP="00D50AFD">
      <w:pPr>
        <w:pStyle w:val="TextPI"/>
        <w:rPr>
          <w:rFonts w:cs="Arial"/>
          <w:lang w:val="en-GB" w:eastAsia="de-DE"/>
        </w:rPr>
      </w:pPr>
      <w:r w:rsidRPr="00BF21E9">
        <w:rPr>
          <w:rFonts w:cs="Arial"/>
          <w:lang w:val="en-GB" w:eastAsia="de-DE"/>
        </w:rPr>
        <w:t xml:space="preserve">After food intake, </w:t>
      </w:r>
      <w:proofErr w:type="spellStart"/>
      <w:r w:rsidRPr="00BF21E9">
        <w:rPr>
          <w:rFonts w:cs="Arial"/>
          <w:lang w:val="en-GB" w:eastAsia="de-DE"/>
        </w:rPr>
        <w:t>nintedanib</w:t>
      </w:r>
      <w:proofErr w:type="spellEnd"/>
      <w:r w:rsidRPr="00BF21E9">
        <w:rPr>
          <w:rFonts w:cs="Arial"/>
          <w:lang w:val="en-GB" w:eastAsia="de-DE"/>
        </w:rPr>
        <w:t xml:space="preserve"> exposur</w:t>
      </w:r>
      <w:r w:rsidR="007961BD" w:rsidRPr="00BF21E9">
        <w:rPr>
          <w:rFonts w:cs="Arial"/>
          <w:lang w:val="en-GB" w:eastAsia="de-DE"/>
        </w:rPr>
        <w:t>e increased by approximately 20</w:t>
      </w:r>
      <w:r w:rsidRPr="00BF21E9">
        <w:rPr>
          <w:rFonts w:cs="Arial"/>
          <w:lang w:val="en-GB" w:eastAsia="de-DE"/>
        </w:rPr>
        <w:t>% compared to administration under fast</w:t>
      </w:r>
      <w:r w:rsidR="007961BD" w:rsidRPr="00BF21E9">
        <w:rPr>
          <w:rFonts w:cs="Arial"/>
          <w:lang w:val="en-GB" w:eastAsia="de-DE"/>
        </w:rPr>
        <w:t xml:space="preserve">ed conditions (CI: </w:t>
      </w:r>
      <w:r w:rsidR="00A543C9">
        <w:rPr>
          <w:rFonts w:cs="Arial"/>
          <w:lang w:val="en-GB" w:eastAsia="de-DE"/>
        </w:rPr>
        <w:t>0.953 – 1.525</w:t>
      </w:r>
      <w:r w:rsidRPr="00BF21E9">
        <w:rPr>
          <w:rFonts w:cs="Arial"/>
          <w:lang w:val="en-GB" w:eastAsia="de-DE"/>
        </w:rPr>
        <w:t xml:space="preserve">) and absorption was delayed (median </w:t>
      </w:r>
      <w:proofErr w:type="spellStart"/>
      <w:r w:rsidRPr="00BF21E9">
        <w:rPr>
          <w:rFonts w:cs="Arial"/>
          <w:lang w:val="en-GB" w:eastAsia="de-DE"/>
        </w:rPr>
        <w:t>t</w:t>
      </w:r>
      <w:r w:rsidRPr="00BF21E9">
        <w:rPr>
          <w:rFonts w:cs="Arial"/>
          <w:vertAlign w:val="subscript"/>
          <w:lang w:val="en-GB" w:eastAsia="de-DE"/>
        </w:rPr>
        <w:t>max</w:t>
      </w:r>
      <w:proofErr w:type="spellEnd"/>
      <w:r w:rsidRPr="00BF21E9">
        <w:rPr>
          <w:rFonts w:cs="Arial"/>
          <w:lang w:val="en-GB" w:eastAsia="de-DE"/>
        </w:rPr>
        <w:t xml:space="preserve"> fasted: 2.00 h</w:t>
      </w:r>
      <w:r w:rsidR="008040E0" w:rsidRPr="00BF21E9">
        <w:rPr>
          <w:rFonts w:cs="Arial"/>
          <w:lang w:val="en-GB" w:eastAsia="de-DE"/>
        </w:rPr>
        <w:t>ours</w:t>
      </w:r>
      <w:r w:rsidRPr="00BF21E9">
        <w:rPr>
          <w:rFonts w:cs="Arial"/>
          <w:lang w:val="en-GB" w:eastAsia="de-DE"/>
        </w:rPr>
        <w:t>; fed: 3.98 h</w:t>
      </w:r>
      <w:r w:rsidR="008040E0" w:rsidRPr="00BF21E9">
        <w:rPr>
          <w:rFonts w:cs="Arial"/>
          <w:lang w:val="en-GB" w:eastAsia="de-DE"/>
        </w:rPr>
        <w:t>ours</w:t>
      </w:r>
      <w:r w:rsidRPr="00BF21E9">
        <w:rPr>
          <w:rFonts w:cs="Arial"/>
          <w:lang w:val="en-GB" w:eastAsia="de-DE"/>
        </w:rPr>
        <w:t>)</w:t>
      </w:r>
      <w:r w:rsidR="002D3509" w:rsidRPr="00BF21E9">
        <w:rPr>
          <w:rFonts w:cs="Arial"/>
          <w:lang w:val="en-GB" w:eastAsia="de-DE"/>
        </w:rPr>
        <w:t>.</w:t>
      </w:r>
    </w:p>
    <w:p w:rsidR="00014579" w:rsidRPr="00BF21E9" w:rsidRDefault="00617B9B" w:rsidP="00042540">
      <w:pPr>
        <w:pStyle w:val="PIHeading3"/>
      </w:pPr>
      <w:r w:rsidRPr="00BF21E9">
        <w:t>Distribution</w:t>
      </w:r>
    </w:p>
    <w:p w:rsidR="00C5690E" w:rsidRPr="00BF21E9" w:rsidRDefault="00C5690E" w:rsidP="006172B4">
      <w:pPr>
        <w:pStyle w:val="TextPI"/>
        <w:rPr>
          <w:lang w:val="en-GB" w:eastAsia="de-DE"/>
        </w:rPr>
      </w:pPr>
      <w:proofErr w:type="spellStart"/>
      <w:r w:rsidRPr="00BF21E9">
        <w:rPr>
          <w:lang w:val="en-GB"/>
        </w:rPr>
        <w:t>Nintedanib</w:t>
      </w:r>
      <w:proofErr w:type="spellEnd"/>
      <w:r w:rsidRPr="00BF21E9">
        <w:rPr>
          <w:lang w:val="en-GB"/>
        </w:rPr>
        <w:t xml:space="preserve"> follows at least bi-phasic disposition kinetics. </w:t>
      </w:r>
      <w:r w:rsidR="002D3509" w:rsidRPr="00BF21E9">
        <w:rPr>
          <w:lang w:val="en-GB"/>
        </w:rPr>
        <w:t xml:space="preserve"> </w:t>
      </w:r>
      <w:r w:rsidRPr="00BF21E9">
        <w:rPr>
          <w:lang w:val="en-GB"/>
        </w:rPr>
        <w:t>After intravenous infusion, a high volume of distribution (</w:t>
      </w:r>
      <w:proofErr w:type="spellStart"/>
      <w:proofErr w:type="gramStart"/>
      <w:r w:rsidRPr="00BF21E9">
        <w:rPr>
          <w:lang w:val="en-GB"/>
        </w:rPr>
        <w:t>V</w:t>
      </w:r>
      <w:r w:rsidR="00004BBE">
        <w:rPr>
          <w:vertAlign w:val="subscript"/>
          <w:lang w:val="en-GB"/>
        </w:rPr>
        <w:t>ss</w:t>
      </w:r>
      <w:proofErr w:type="spellEnd"/>
      <w:r w:rsidR="007961BD" w:rsidRPr="00BF21E9">
        <w:rPr>
          <w:lang w:val="en-GB"/>
        </w:rPr>
        <w:t xml:space="preserve"> :</w:t>
      </w:r>
      <w:proofErr w:type="gramEnd"/>
      <w:r w:rsidR="007961BD" w:rsidRPr="00BF21E9">
        <w:rPr>
          <w:lang w:val="en-GB"/>
        </w:rPr>
        <w:t xml:space="preserve"> 1050 L, 45.0</w:t>
      </w:r>
      <w:r w:rsidRPr="00BF21E9">
        <w:rPr>
          <w:lang w:val="en-GB"/>
        </w:rPr>
        <w:t xml:space="preserve">% </w:t>
      </w:r>
      <w:proofErr w:type="spellStart"/>
      <w:r w:rsidRPr="00BF21E9">
        <w:rPr>
          <w:lang w:val="en-GB"/>
        </w:rPr>
        <w:t>gCV</w:t>
      </w:r>
      <w:proofErr w:type="spellEnd"/>
      <w:r w:rsidRPr="00BF21E9">
        <w:rPr>
          <w:lang w:val="en-GB"/>
        </w:rPr>
        <w:t xml:space="preserve">) </w:t>
      </w:r>
      <w:r w:rsidRPr="00BF21E9">
        <w:rPr>
          <w:lang w:val="en-GB" w:eastAsia="de-DE"/>
        </w:rPr>
        <w:t>was observed.</w:t>
      </w:r>
    </w:p>
    <w:p w:rsidR="00C5690E" w:rsidRPr="00BF21E9" w:rsidRDefault="00C5690E" w:rsidP="006172B4">
      <w:pPr>
        <w:pStyle w:val="TextPI"/>
        <w:rPr>
          <w:lang w:val="en-GB"/>
        </w:rPr>
      </w:pPr>
      <w:r w:rsidRPr="00BF21E9">
        <w:rPr>
          <w:lang w:val="en-GB"/>
        </w:rPr>
        <w:t xml:space="preserve">The </w:t>
      </w:r>
      <w:r w:rsidRPr="00BF21E9">
        <w:rPr>
          <w:i/>
          <w:lang w:val="en-GB"/>
        </w:rPr>
        <w:t>in vitro</w:t>
      </w:r>
      <w:r w:rsidRPr="00BF21E9">
        <w:rPr>
          <w:lang w:val="en-GB"/>
        </w:rPr>
        <w:t xml:space="preserve"> protein binding of </w:t>
      </w:r>
      <w:proofErr w:type="spellStart"/>
      <w:r w:rsidRPr="00BF21E9">
        <w:rPr>
          <w:lang w:val="en-GB"/>
        </w:rPr>
        <w:t>nintedanib</w:t>
      </w:r>
      <w:proofErr w:type="spellEnd"/>
      <w:r w:rsidRPr="00BF21E9">
        <w:rPr>
          <w:lang w:val="en-GB"/>
        </w:rPr>
        <w:t xml:space="preserve"> in human plasma was high</w:t>
      </w:r>
      <w:r w:rsidR="007961BD" w:rsidRPr="00BF21E9">
        <w:rPr>
          <w:lang w:val="en-GB"/>
        </w:rPr>
        <w:t>, with a bound fraction of 97.8</w:t>
      </w:r>
      <w:r w:rsidRPr="00BF21E9">
        <w:rPr>
          <w:lang w:val="en-GB"/>
        </w:rPr>
        <w:t xml:space="preserve">%. Serum albumin is considered to be the major binding protein.  </w:t>
      </w:r>
      <w:proofErr w:type="spellStart"/>
      <w:r w:rsidRPr="00BF21E9">
        <w:rPr>
          <w:lang w:val="en-GB"/>
        </w:rPr>
        <w:t>Nintedanib</w:t>
      </w:r>
      <w:proofErr w:type="spellEnd"/>
      <w:r w:rsidRPr="00BF21E9">
        <w:rPr>
          <w:lang w:val="en-GB"/>
        </w:rPr>
        <w:t xml:space="preserve"> is preferentially distributed in plasma with a blood to plasma ratio of 0.869.</w:t>
      </w:r>
    </w:p>
    <w:p w:rsidR="00014579" w:rsidRPr="00BF21E9" w:rsidRDefault="00617B9B" w:rsidP="001A7050">
      <w:pPr>
        <w:pStyle w:val="PIHeading3"/>
      </w:pPr>
      <w:r w:rsidRPr="00BF21E9">
        <w:t>Metabolism</w:t>
      </w:r>
    </w:p>
    <w:p w:rsidR="00241DEA" w:rsidRPr="00BF21E9" w:rsidRDefault="00241DEA" w:rsidP="005C4873">
      <w:pPr>
        <w:pStyle w:val="TextPI"/>
        <w:rPr>
          <w:lang w:val="en-GB" w:eastAsia="de-DE"/>
        </w:rPr>
      </w:pPr>
      <w:r w:rsidRPr="00BF21E9">
        <w:rPr>
          <w:lang w:val="en-GB" w:eastAsia="de-DE"/>
        </w:rPr>
        <w:lastRenderedPageBreak/>
        <w:t xml:space="preserve">The prevalent metabolic reaction for </w:t>
      </w:r>
      <w:proofErr w:type="spellStart"/>
      <w:r w:rsidRPr="00BF21E9">
        <w:rPr>
          <w:lang w:val="en-GB" w:eastAsia="de-DE"/>
        </w:rPr>
        <w:t>nintedanib</w:t>
      </w:r>
      <w:proofErr w:type="spellEnd"/>
      <w:r w:rsidRPr="00BF21E9">
        <w:rPr>
          <w:lang w:val="en-GB" w:eastAsia="de-DE"/>
        </w:rPr>
        <w:t xml:space="preserve"> is hydrolytic cleavage by </w:t>
      </w:r>
      <w:proofErr w:type="spellStart"/>
      <w:r w:rsidRPr="00BF21E9">
        <w:rPr>
          <w:lang w:val="en-GB" w:eastAsia="de-DE"/>
        </w:rPr>
        <w:t>esterases</w:t>
      </w:r>
      <w:proofErr w:type="spellEnd"/>
      <w:r w:rsidRPr="00BF21E9">
        <w:rPr>
          <w:lang w:val="en-GB" w:eastAsia="de-DE"/>
        </w:rPr>
        <w:t xml:space="preserve"> resulting in the free acid moiety BIBF 1202.  BIBF 1202 is subsequently </w:t>
      </w:r>
      <w:proofErr w:type="spellStart"/>
      <w:r w:rsidRPr="00BF21E9">
        <w:rPr>
          <w:lang w:val="en-GB" w:eastAsia="de-DE"/>
        </w:rPr>
        <w:t>glucuronidated</w:t>
      </w:r>
      <w:proofErr w:type="spellEnd"/>
      <w:r w:rsidRPr="00BF21E9">
        <w:rPr>
          <w:lang w:val="en-GB" w:eastAsia="de-DE"/>
        </w:rPr>
        <w:t xml:space="preserve"> by UGT enzymes, namely UGT 1A1, UGT 1A7, UGT 1A8, and UGT 1A10 to BIBF 1202 glucuronide.  </w:t>
      </w:r>
    </w:p>
    <w:p w:rsidR="00BF21E9" w:rsidRPr="00BF21E9" w:rsidRDefault="00241DEA" w:rsidP="003D4CB3">
      <w:pPr>
        <w:pStyle w:val="TextPI"/>
      </w:pPr>
      <w:r w:rsidRPr="00BF21E9">
        <w:t xml:space="preserve">Only a minor extent of the biotransformation of </w:t>
      </w:r>
      <w:proofErr w:type="spellStart"/>
      <w:r w:rsidRPr="00BF21E9">
        <w:t>nintedanib</w:t>
      </w:r>
      <w:proofErr w:type="spellEnd"/>
      <w:r w:rsidRPr="00BF21E9">
        <w:t xml:space="preserve"> consisted of CYP pathways, with CYP 3A4 being the predominant enzyme involved.  The major CYP-dependent metabolite could not be detected in plasma in the human ADME </w:t>
      </w:r>
      <w:r w:rsidR="007D0AA9">
        <w:t>(</w:t>
      </w:r>
      <w:r w:rsidR="007D0AA9" w:rsidRPr="007D0AA9">
        <w:t>absorption, distribution, metabolism</w:t>
      </w:r>
      <w:r w:rsidR="007D0AA9">
        <w:t xml:space="preserve"> </w:t>
      </w:r>
      <w:r w:rsidR="007D0AA9" w:rsidRPr="007D0AA9">
        <w:t>and excretion</w:t>
      </w:r>
      <w:r w:rsidR="007D0AA9">
        <w:t xml:space="preserve">) </w:t>
      </w:r>
      <w:r w:rsidRPr="00BF21E9">
        <w:t xml:space="preserve">study.  </w:t>
      </w:r>
      <w:r w:rsidRPr="00BF21E9">
        <w:rPr>
          <w:i/>
          <w:iCs/>
        </w:rPr>
        <w:t>In vitro</w:t>
      </w:r>
      <w:r w:rsidRPr="00BF21E9">
        <w:t>, CYP-dependent metabolism accounted for about 5% compared to about 25% ester cleavage.</w:t>
      </w:r>
      <w:r w:rsidR="00E34AFC" w:rsidRPr="00BF21E9">
        <w:t xml:space="preserve"> </w:t>
      </w:r>
    </w:p>
    <w:p w:rsidR="00014579" w:rsidRPr="00BF21E9" w:rsidRDefault="00B267B8" w:rsidP="001A7050">
      <w:pPr>
        <w:pStyle w:val="PIHeading3"/>
      </w:pPr>
      <w:r w:rsidRPr="00BF21E9">
        <w:t>Excretion</w:t>
      </w:r>
    </w:p>
    <w:p w:rsidR="00722896" w:rsidRPr="00BF21E9" w:rsidRDefault="00722896" w:rsidP="00042540">
      <w:pPr>
        <w:pStyle w:val="TextPI"/>
      </w:pPr>
      <w:r w:rsidRPr="00BF21E9">
        <w:t xml:space="preserve">Total plasma clearance after intravenous infusion was high (CL: 1390 mL/min, 28.8% </w:t>
      </w:r>
      <w:proofErr w:type="spellStart"/>
      <w:r w:rsidRPr="00BF21E9">
        <w:t>gCV</w:t>
      </w:r>
      <w:proofErr w:type="spellEnd"/>
      <w:r w:rsidRPr="00BF21E9">
        <w:t>).  Urinary excretion of</w:t>
      </w:r>
      <w:r w:rsidR="001E3FA4">
        <w:t xml:space="preserve"> the</w:t>
      </w:r>
      <w:r w:rsidRPr="00BF21E9">
        <w:t xml:space="preserve"> unchanged </w:t>
      </w:r>
      <w:r w:rsidR="001E3FA4">
        <w:t>active substance</w:t>
      </w:r>
      <w:r w:rsidR="001E3FA4" w:rsidRPr="00BF21E9">
        <w:t xml:space="preserve"> </w:t>
      </w:r>
      <w:r w:rsidRPr="00BF21E9">
        <w:t>within 48 h</w:t>
      </w:r>
      <w:r w:rsidR="00E34AFC" w:rsidRPr="00BF21E9">
        <w:t>ours</w:t>
      </w:r>
      <w:r w:rsidRPr="00BF21E9">
        <w:t xml:space="preserve"> was about 0.05% of the dose (31.5% </w:t>
      </w:r>
      <w:proofErr w:type="spellStart"/>
      <w:r w:rsidRPr="00BF21E9">
        <w:t>gCV</w:t>
      </w:r>
      <w:proofErr w:type="spellEnd"/>
      <w:r w:rsidRPr="00BF21E9">
        <w:t xml:space="preserve">) after oral and about 1.4% of the dose (24.2% </w:t>
      </w:r>
      <w:proofErr w:type="spellStart"/>
      <w:r w:rsidRPr="00BF21E9">
        <w:t>gCV</w:t>
      </w:r>
      <w:proofErr w:type="spellEnd"/>
      <w:r w:rsidRPr="00BF21E9">
        <w:t xml:space="preserve">) after intravenous administration; the renal clearance was 20 mL/min (32.6% </w:t>
      </w:r>
      <w:proofErr w:type="spellStart"/>
      <w:r w:rsidRPr="00BF21E9">
        <w:t>gCV</w:t>
      </w:r>
      <w:proofErr w:type="spellEnd"/>
      <w:r w:rsidRPr="00BF21E9">
        <w:t>). The major route of elimination of drug related radioactivity after oral administration of [</w:t>
      </w:r>
      <w:r w:rsidRPr="00BF21E9">
        <w:rPr>
          <w:vertAlign w:val="superscript"/>
        </w:rPr>
        <w:t>14</w:t>
      </w:r>
      <w:r w:rsidRPr="00BF21E9">
        <w:t xml:space="preserve">C] </w:t>
      </w:r>
      <w:proofErr w:type="spellStart"/>
      <w:r w:rsidRPr="00BF21E9">
        <w:t>nintedanib</w:t>
      </w:r>
      <w:proofErr w:type="spellEnd"/>
      <w:r w:rsidRPr="00BF21E9">
        <w:t xml:space="preserve"> was via faecal/biliary excretion (93.4% of dose, 2.61% </w:t>
      </w:r>
      <w:proofErr w:type="spellStart"/>
      <w:r w:rsidRPr="00BF21E9">
        <w:t>gCV</w:t>
      </w:r>
      <w:proofErr w:type="spellEnd"/>
      <w:r w:rsidRPr="00BF21E9">
        <w:t xml:space="preserve">). The contribution of renal excretion to the total clearance was low (0.649% of dose, 26.3% </w:t>
      </w:r>
      <w:proofErr w:type="spellStart"/>
      <w:r w:rsidRPr="00BF21E9">
        <w:t>gCV</w:t>
      </w:r>
      <w:proofErr w:type="spellEnd"/>
      <w:r w:rsidRPr="00BF21E9">
        <w:t xml:space="preserve">). The overall recovery was considered complete (above 90%) within 4 days after dosing.  The terminal half-life of </w:t>
      </w:r>
      <w:proofErr w:type="spellStart"/>
      <w:r w:rsidRPr="00BF21E9">
        <w:t>nintedanib</w:t>
      </w:r>
      <w:proofErr w:type="spellEnd"/>
      <w:r w:rsidRPr="00BF21E9">
        <w:t xml:space="preserve"> was between 10 and 15 h</w:t>
      </w:r>
      <w:r w:rsidR="00E34AFC" w:rsidRPr="00BF21E9">
        <w:t>ours</w:t>
      </w:r>
      <w:r w:rsidRPr="00BF21E9">
        <w:t xml:space="preserve"> (</w:t>
      </w:r>
      <w:proofErr w:type="spellStart"/>
      <w:r w:rsidRPr="00BF21E9">
        <w:t>gCV</w:t>
      </w:r>
      <w:proofErr w:type="spellEnd"/>
      <w:r w:rsidRPr="00BF21E9">
        <w:t xml:space="preserve"> % approximately 50%).</w:t>
      </w:r>
    </w:p>
    <w:p w:rsidR="00F833FE" w:rsidRPr="00BF21E9" w:rsidRDefault="00F833FE" w:rsidP="00042540">
      <w:pPr>
        <w:pStyle w:val="PIHeading3"/>
        <w:rPr>
          <w:lang w:val="en-US" w:eastAsia="de-DE"/>
        </w:rPr>
      </w:pPr>
      <w:r w:rsidRPr="00BF21E9">
        <w:rPr>
          <w:lang w:val="en-US" w:eastAsia="de-DE"/>
        </w:rPr>
        <w:t>Exposure-response relationship</w:t>
      </w:r>
    </w:p>
    <w:p w:rsidR="002E39AC" w:rsidRDefault="00BF21E9" w:rsidP="00C9022D">
      <w:pPr>
        <w:pStyle w:val="TextPI"/>
        <w:rPr>
          <w:lang w:val="en-GB"/>
        </w:rPr>
      </w:pPr>
      <w:r w:rsidRPr="00BF21E9">
        <w:rPr>
          <w:i/>
          <w:iCs/>
          <w:lang w:val="en-GB"/>
        </w:rPr>
        <w:t>NSCLC:</w:t>
      </w:r>
      <w:r>
        <w:rPr>
          <w:lang w:val="en-GB"/>
        </w:rPr>
        <w:t xml:space="preserve"> </w:t>
      </w:r>
    </w:p>
    <w:p w:rsidR="00C9022D" w:rsidRPr="00BF21E9" w:rsidRDefault="00F833FE" w:rsidP="00C9022D">
      <w:pPr>
        <w:pStyle w:val="TextPI"/>
        <w:rPr>
          <w:lang w:val="en-GB"/>
        </w:rPr>
      </w:pPr>
      <w:r w:rsidRPr="00BF21E9">
        <w:rPr>
          <w:lang w:val="en-GB"/>
        </w:rPr>
        <w:t xml:space="preserve">In exploratory </w:t>
      </w:r>
      <w:r w:rsidR="00D3177F" w:rsidRPr="00BF21E9">
        <w:rPr>
          <w:lang w:val="en-GB"/>
        </w:rPr>
        <w:t xml:space="preserve">PK - </w:t>
      </w:r>
      <w:r w:rsidRPr="00BF21E9">
        <w:rPr>
          <w:lang w:val="en-GB"/>
        </w:rPr>
        <w:t xml:space="preserve">adverse event analyses, higher exposure to </w:t>
      </w:r>
      <w:proofErr w:type="spellStart"/>
      <w:r w:rsidRPr="00BF21E9">
        <w:rPr>
          <w:lang w:val="en-GB"/>
        </w:rPr>
        <w:t>nintedanib</w:t>
      </w:r>
      <w:proofErr w:type="spellEnd"/>
      <w:r w:rsidRPr="00BF21E9">
        <w:rPr>
          <w:lang w:val="en-GB"/>
        </w:rPr>
        <w:t xml:space="preserve"> tended to be associated with liver enzyme elevations, but not with gastrointestinal adverse events.  </w:t>
      </w:r>
    </w:p>
    <w:p w:rsidR="00F833FE" w:rsidRDefault="00F833FE" w:rsidP="00C9022D">
      <w:pPr>
        <w:pStyle w:val="TextPI"/>
        <w:rPr>
          <w:lang w:val="en-GB" w:eastAsia="de-DE"/>
        </w:rPr>
      </w:pPr>
      <w:r w:rsidRPr="00BF21E9">
        <w:rPr>
          <w:lang w:val="en-GB" w:eastAsia="de-DE"/>
        </w:rPr>
        <w:t>PK</w:t>
      </w:r>
      <w:r w:rsidR="00D3177F" w:rsidRPr="00BF21E9">
        <w:rPr>
          <w:lang w:val="en-GB" w:eastAsia="de-DE"/>
        </w:rPr>
        <w:t xml:space="preserve"> </w:t>
      </w:r>
      <w:r w:rsidRPr="00BF21E9">
        <w:rPr>
          <w:lang w:val="en-GB" w:eastAsia="de-DE"/>
        </w:rPr>
        <w:t>-</w:t>
      </w:r>
      <w:r w:rsidR="00D3177F" w:rsidRPr="00BF21E9">
        <w:rPr>
          <w:lang w:val="en-GB" w:eastAsia="de-DE"/>
        </w:rPr>
        <w:t xml:space="preserve"> </w:t>
      </w:r>
      <w:r w:rsidRPr="00BF21E9">
        <w:rPr>
          <w:lang w:val="en-GB" w:eastAsia="de-DE"/>
        </w:rPr>
        <w:t xml:space="preserve">efficacy analyses were not performed for clinical endpoints.  Logistic regression revealed a statistically significant association between </w:t>
      </w:r>
      <w:proofErr w:type="spellStart"/>
      <w:r w:rsidRPr="00BF21E9">
        <w:rPr>
          <w:lang w:val="en-GB" w:eastAsia="de-DE"/>
        </w:rPr>
        <w:t>nintedanib</w:t>
      </w:r>
      <w:proofErr w:type="spellEnd"/>
      <w:r w:rsidRPr="00BF21E9">
        <w:rPr>
          <w:lang w:val="en-GB" w:eastAsia="de-DE"/>
        </w:rPr>
        <w:t xml:space="preserve"> exposure and DCE-MRI response.</w:t>
      </w:r>
    </w:p>
    <w:p w:rsidR="002E39AC" w:rsidRDefault="00BF21E9" w:rsidP="009956D8">
      <w:pPr>
        <w:pStyle w:val="TextPI"/>
        <w:rPr>
          <w:lang w:val="en-GB" w:eastAsia="de-DE"/>
        </w:rPr>
      </w:pPr>
      <w:r w:rsidRPr="00BF21E9">
        <w:rPr>
          <w:i/>
          <w:iCs/>
          <w:lang w:val="en-GB" w:eastAsia="de-DE"/>
        </w:rPr>
        <w:t>IPF</w:t>
      </w:r>
      <w:r>
        <w:rPr>
          <w:lang w:val="en-GB" w:eastAsia="de-DE"/>
        </w:rPr>
        <w:t xml:space="preserve">: </w:t>
      </w:r>
    </w:p>
    <w:p w:rsidR="00BF21E9" w:rsidRPr="00BF21E9" w:rsidRDefault="00BF21E9" w:rsidP="00C9022D">
      <w:pPr>
        <w:pStyle w:val="TextPI"/>
      </w:pPr>
      <w:r w:rsidRPr="00BF21E9">
        <w:rPr>
          <w:lang w:val="en-GB" w:eastAsia="de-DE"/>
        </w:rPr>
        <w:t>In exploratory PK</w:t>
      </w:r>
      <w:r w:rsidR="002E39AC">
        <w:rPr>
          <w:lang w:val="en-GB" w:eastAsia="de-DE"/>
        </w:rPr>
        <w:t xml:space="preserve"> </w:t>
      </w:r>
      <w:r w:rsidRPr="00BF21E9">
        <w:rPr>
          <w:lang w:val="en-GB" w:eastAsia="de-DE"/>
        </w:rPr>
        <w:t>-</w:t>
      </w:r>
      <w:r w:rsidR="002E39AC">
        <w:rPr>
          <w:lang w:val="en-GB" w:eastAsia="de-DE"/>
        </w:rPr>
        <w:t xml:space="preserve"> </w:t>
      </w:r>
      <w:r w:rsidRPr="00BF21E9">
        <w:rPr>
          <w:lang w:val="en-GB" w:eastAsia="de-DE"/>
        </w:rPr>
        <w:t xml:space="preserve">adverse event analyses based on the Phase II IPF data, higher exposure to </w:t>
      </w:r>
      <w:proofErr w:type="spellStart"/>
      <w:r w:rsidRPr="00BF21E9">
        <w:rPr>
          <w:lang w:val="en-GB" w:eastAsia="de-DE"/>
        </w:rPr>
        <w:t>nintedanib</w:t>
      </w:r>
      <w:proofErr w:type="spellEnd"/>
      <w:r w:rsidRPr="00BF21E9">
        <w:rPr>
          <w:lang w:val="en-GB" w:eastAsia="de-DE"/>
        </w:rPr>
        <w:t xml:space="preserve"> tended to be associat</w:t>
      </w:r>
      <w:r>
        <w:rPr>
          <w:lang w:val="en-GB" w:eastAsia="de-DE"/>
        </w:rPr>
        <w:t xml:space="preserve">ed with liver enzyme elevations </w:t>
      </w:r>
      <w:r w:rsidRPr="00BF21E9">
        <w:rPr>
          <w:lang w:val="en-GB" w:eastAsia="de-DE"/>
        </w:rPr>
        <w:t xml:space="preserve">(see </w:t>
      </w:r>
      <w:r>
        <w:rPr>
          <w:lang w:val="en-GB" w:eastAsia="de-DE"/>
        </w:rPr>
        <w:t>PRECAUTIONS</w:t>
      </w:r>
      <w:r w:rsidRPr="00BF21E9">
        <w:rPr>
          <w:lang w:val="en-GB" w:eastAsia="de-DE"/>
        </w:rPr>
        <w:t>).</w:t>
      </w:r>
    </w:p>
    <w:p w:rsidR="00F833FE" w:rsidRPr="00BF21E9" w:rsidRDefault="00F833FE" w:rsidP="005C4873">
      <w:pPr>
        <w:pStyle w:val="PIHeading3"/>
      </w:pPr>
      <w:r w:rsidRPr="00BF21E9">
        <w:t>Intrinsic and Extrinsic Factors; Special Populations</w:t>
      </w:r>
    </w:p>
    <w:p w:rsidR="002E39AC" w:rsidRPr="00390A6C" w:rsidRDefault="00BF21E9" w:rsidP="00042540">
      <w:pPr>
        <w:pStyle w:val="TextPI"/>
      </w:pPr>
      <w:r w:rsidRPr="00390A6C">
        <w:rPr>
          <w:i/>
          <w:iCs/>
        </w:rPr>
        <w:t>NSCLC</w:t>
      </w:r>
      <w:r w:rsidRPr="00390A6C">
        <w:t xml:space="preserve">: </w:t>
      </w:r>
    </w:p>
    <w:p w:rsidR="00F833FE" w:rsidRPr="00390A6C" w:rsidRDefault="00F833FE" w:rsidP="00042540">
      <w:pPr>
        <w:pStyle w:val="TextPI"/>
        <w:rPr>
          <w:rFonts w:cs="Arial"/>
          <w:lang w:val="en-GB" w:eastAsia="x-none"/>
        </w:rPr>
      </w:pPr>
      <w:r w:rsidRPr="00390A6C">
        <w:t xml:space="preserve">The PK properties of </w:t>
      </w:r>
      <w:proofErr w:type="spellStart"/>
      <w:r w:rsidRPr="00390A6C">
        <w:t>nintedanib</w:t>
      </w:r>
      <w:proofErr w:type="spellEnd"/>
      <w:r w:rsidRPr="00390A6C">
        <w:t xml:space="preserve"> were similar in healthy volunteers, cancer patients, and patients of the target population.  Exposure to </w:t>
      </w:r>
      <w:proofErr w:type="spellStart"/>
      <w:r w:rsidRPr="00390A6C">
        <w:t>nintedanib</w:t>
      </w:r>
      <w:proofErr w:type="spellEnd"/>
      <w:r w:rsidRPr="00390A6C">
        <w:t xml:space="preserve"> was not influenced by gender (body weight corrected), mild and moderate renal impairment (estimated by creatinine clearance), liver metastases, ECOG performance score, alcohol consumption, or P-</w:t>
      </w:r>
      <w:proofErr w:type="spellStart"/>
      <w:r w:rsidRPr="00390A6C">
        <w:t>gp</w:t>
      </w:r>
      <w:proofErr w:type="spellEnd"/>
      <w:r w:rsidRPr="00390A6C">
        <w:t xml:space="preserve"> genotype.</w:t>
      </w:r>
      <w:r w:rsidR="004E39B8" w:rsidRPr="00390A6C">
        <w:t xml:space="preserve">  </w:t>
      </w:r>
      <w:r w:rsidRPr="00390A6C">
        <w:t xml:space="preserve">Population PK analyses indicated moderate effects on exposure to </w:t>
      </w:r>
      <w:proofErr w:type="spellStart"/>
      <w:r w:rsidRPr="00390A6C">
        <w:t>nintedanib</w:t>
      </w:r>
      <w:proofErr w:type="spellEnd"/>
      <w:r w:rsidRPr="00390A6C">
        <w:rPr>
          <w:rFonts w:cs="Arial"/>
          <w:iCs/>
          <w:lang w:val="en-GB" w:eastAsia="x-none"/>
        </w:rPr>
        <w:t xml:space="preserve"> depending on the intrinsic and extrinsic factors</w:t>
      </w:r>
      <w:r w:rsidR="00870C60" w:rsidRPr="00390A6C">
        <w:rPr>
          <w:rFonts w:cs="Arial"/>
          <w:iCs/>
          <w:lang w:val="en-GB" w:eastAsia="x-none"/>
        </w:rPr>
        <w:t xml:space="preserve"> age, body weight, and race which are described in the following</w:t>
      </w:r>
      <w:r w:rsidRPr="00390A6C">
        <w:rPr>
          <w:rFonts w:cs="Arial"/>
          <w:iCs/>
          <w:lang w:val="en-GB" w:eastAsia="x-none"/>
        </w:rPr>
        <w:t>.  Based on the high inter-individual variability of exposure observed in the clinical LUME-Lung 1 trial these effects are not considered clinically relevant.</w:t>
      </w:r>
      <w:r w:rsidRPr="00390A6C">
        <w:rPr>
          <w:rFonts w:cs="Arial"/>
          <w:lang w:val="en-GB" w:eastAsia="x-none"/>
        </w:rPr>
        <w:t xml:space="preserve">  However, close monitoring is recommended in patients with several of these risk factors (see PRECAUTIONS).</w:t>
      </w:r>
    </w:p>
    <w:p w:rsidR="002E39AC" w:rsidRPr="00390A6C" w:rsidRDefault="00BF21E9" w:rsidP="00042540">
      <w:pPr>
        <w:pStyle w:val="TextPI"/>
        <w:rPr>
          <w:rFonts w:cs="Arial"/>
          <w:lang w:val="en-GB" w:eastAsia="x-none"/>
        </w:rPr>
      </w:pPr>
      <w:r w:rsidRPr="00390A6C">
        <w:rPr>
          <w:rFonts w:cs="Arial"/>
          <w:i/>
          <w:iCs/>
          <w:lang w:val="en-GB" w:eastAsia="x-none"/>
        </w:rPr>
        <w:t>IPF</w:t>
      </w:r>
      <w:r w:rsidRPr="00390A6C">
        <w:rPr>
          <w:rFonts w:cs="Arial"/>
          <w:lang w:val="en-GB" w:eastAsia="x-none"/>
        </w:rPr>
        <w:t xml:space="preserve">: </w:t>
      </w:r>
    </w:p>
    <w:p w:rsidR="00C541C4" w:rsidRDefault="00BF21E9" w:rsidP="00C541C4">
      <w:pPr>
        <w:pStyle w:val="TextPI"/>
        <w:rPr>
          <w:rFonts w:cs="Arial"/>
          <w:lang w:val="en-GB" w:eastAsia="x-none"/>
        </w:rPr>
      </w:pPr>
      <w:r w:rsidRPr="00390A6C">
        <w:rPr>
          <w:rFonts w:cs="Arial"/>
          <w:lang w:val="en-GB" w:eastAsia="x-none"/>
        </w:rPr>
        <w:t xml:space="preserve">The PK properties of </w:t>
      </w:r>
      <w:proofErr w:type="spellStart"/>
      <w:r w:rsidRPr="00390A6C">
        <w:rPr>
          <w:rFonts w:cs="Arial"/>
          <w:lang w:val="en-GB" w:eastAsia="x-none"/>
        </w:rPr>
        <w:t>nintedanib</w:t>
      </w:r>
      <w:proofErr w:type="spellEnd"/>
      <w:r w:rsidRPr="00390A6C">
        <w:rPr>
          <w:rFonts w:cs="Arial"/>
          <w:lang w:val="en-GB" w:eastAsia="x-none"/>
        </w:rPr>
        <w:t xml:space="preserve"> were similar in healthy volunteers, patients with IPF, and cancer patients. Based on results of a Population PK analysis in patients with IPF and NSCLC (N=1191) and descriptive investigations, exposure to </w:t>
      </w:r>
      <w:proofErr w:type="spellStart"/>
      <w:r w:rsidRPr="00390A6C">
        <w:rPr>
          <w:rFonts w:cs="Arial"/>
          <w:lang w:val="en-GB" w:eastAsia="x-none"/>
        </w:rPr>
        <w:t>nintedanib</w:t>
      </w:r>
      <w:proofErr w:type="spellEnd"/>
      <w:r w:rsidRPr="00390A6C">
        <w:rPr>
          <w:rFonts w:cs="Arial"/>
          <w:lang w:val="en-GB" w:eastAsia="x-none"/>
        </w:rPr>
        <w:t xml:space="preserve"> was not influenced by sex (body weight corrected), mild and moderate renal impairment (estimated by creatinine clearance), alcohol consumption, or P-</w:t>
      </w:r>
      <w:proofErr w:type="spellStart"/>
      <w:r w:rsidRPr="00390A6C">
        <w:rPr>
          <w:rFonts w:cs="Arial"/>
          <w:lang w:val="en-GB" w:eastAsia="x-none"/>
        </w:rPr>
        <w:t>gp</w:t>
      </w:r>
      <w:proofErr w:type="spellEnd"/>
      <w:r w:rsidRPr="00390A6C">
        <w:rPr>
          <w:rFonts w:cs="Arial"/>
          <w:lang w:val="en-GB" w:eastAsia="x-none"/>
        </w:rPr>
        <w:t xml:space="preserve"> genotype. The Pop</w:t>
      </w:r>
      <w:r w:rsidR="002E39AC" w:rsidRPr="00390A6C">
        <w:rPr>
          <w:rFonts w:cs="Arial"/>
          <w:lang w:val="en-GB" w:eastAsia="x-none"/>
        </w:rPr>
        <w:t xml:space="preserve">ulation </w:t>
      </w:r>
      <w:r w:rsidRPr="00390A6C">
        <w:rPr>
          <w:rFonts w:cs="Arial"/>
          <w:lang w:val="en-GB" w:eastAsia="x-none"/>
        </w:rPr>
        <w:t xml:space="preserve">PK analysis indicated </w:t>
      </w:r>
      <w:r w:rsidRPr="00390A6C">
        <w:rPr>
          <w:rFonts w:cs="Arial"/>
          <w:lang w:val="en-GB" w:eastAsia="x-none"/>
        </w:rPr>
        <w:lastRenderedPageBreak/>
        <w:t xml:space="preserve">moderate effects on exposure to </w:t>
      </w:r>
      <w:proofErr w:type="spellStart"/>
      <w:r w:rsidRPr="00390A6C">
        <w:rPr>
          <w:rFonts w:cs="Arial"/>
          <w:lang w:val="en-GB" w:eastAsia="x-none"/>
        </w:rPr>
        <w:t>nintedanib</w:t>
      </w:r>
      <w:proofErr w:type="spellEnd"/>
      <w:r w:rsidRPr="00390A6C">
        <w:rPr>
          <w:rFonts w:cs="Arial"/>
          <w:lang w:val="en-GB" w:eastAsia="x-none"/>
        </w:rPr>
        <w:t xml:space="preserve"> by age, body weight, and race, which are described in the following. Based on the high inter-individual variability of exposure observed moderate effects are considered not clinically relevant (see PRECAUTIONS).</w:t>
      </w:r>
    </w:p>
    <w:p w:rsidR="00C541C4" w:rsidRPr="00C541C4" w:rsidRDefault="009C69A2" w:rsidP="00C541C4">
      <w:pPr>
        <w:pStyle w:val="PIHeading3"/>
        <w:rPr>
          <w:i/>
          <w:iCs/>
          <w:u w:val="none"/>
          <w:lang w:val="en-US" w:eastAsia="de-DE"/>
        </w:rPr>
      </w:pPr>
      <w:r w:rsidRPr="00F614FC">
        <w:rPr>
          <w:i/>
          <w:iCs/>
          <w:u w:val="none"/>
          <w:lang w:val="en-US" w:eastAsia="de-DE"/>
        </w:rPr>
        <w:t>Age</w:t>
      </w:r>
    </w:p>
    <w:p w:rsidR="009C69A2" w:rsidRPr="00C541C4" w:rsidRDefault="009C69A2" w:rsidP="00C541C4">
      <w:pPr>
        <w:pStyle w:val="TextPI"/>
        <w:rPr>
          <w:rFonts w:cs="Arial"/>
          <w:lang w:val="en-GB" w:eastAsia="x-none"/>
        </w:rPr>
      </w:pPr>
      <w:r w:rsidRPr="00F614FC">
        <w:rPr>
          <w:lang w:val="en-GB"/>
        </w:rPr>
        <w:t xml:space="preserve">Exposure to </w:t>
      </w:r>
      <w:proofErr w:type="spellStart"/>
      <w:r w:rsidRPr="00F614FC">
        <w:rPr>
          <w:lang w:val="en-GB"/>
        </w:rPr>
        <w:t>nintedanib</w:t>
      </w:r>
      <w:proofErr w:type="spellEnd"/>
      <w:r w:rsidRPr="00F614FC">
        <w:rPr>
          <w:lang w:val="en-GB"/>
        </w:rPr>
        <w:t xml:space="preserve"> increased linearly with age.  </w:t>
      </w:r>
      <w:proofErr w:type="spellStart"/>
      <w:r w:rsidRPr="00F614FC">
        <w:rPr>
          <w:lang w:val="en-GB"/>
        </w:rPr>
        <w:t>AUC</w:t>
      </w:r>
      <w:r w:rsidRPr="00F614FC">
        <w:rPr>
          <w:vertAlign w:val="subscript"/>
          <w:lang w:val="en-GB"/>
        </w:rPr>
        <w:t>τ,ss</w:t>
      </w:r>
      <w:proofErr w:type="spellEnd"/>
      <w:r w:rsidRPr="00F614FC">
        <w:rPr>
          <w:lang w:val="en-GB"/>
        </w:rPr>
        <w:t xml:space="preserve"> decreased by 16% for a 45-year old patient (5</w:t>
      </w:r>
      <w:r w:rsidRPr="00F614FC">
        <w:rPr>
          <w:vertAlign w:val="superscript"/>
          <w:lang w:val="en-GB"/>
        </w:rPr>
        <w:t>th</w:t>
      </w:r>
      <w:r w:rsidRPr="00F614FC">
        <w:rPr>
          <w:lang w:val="en-GB"/>
        </w:rPr>
        <w:t xml:space="preserve"> percentile) and increased by 13% for a 76-year old patient (95</w:t>
      </w:r>
      <w:r w:rsidRPr="00F614FC">
        <w:rPr>
          <w:vertAlign w:val="superscript"/>
          <w:lang w:val="en-GB"/>
        </w:rPr>
        <w:t>th</w:t>
      </w:r>
      <w:r w:rsidRPr="00F614FC">
        <w:rPr>
          <w:lang w:val="en-GB"/>
        </w:rPr>
        <w:t xml:space="preserve"> percentile) relative to a patient with the median age of 62 years. </w:t>
      </w:r>
      <w:r w:rsidR="00610EA9" w:rsidRPr="00F614FC">
        <w:rPr>
          <w:lang w:val="en-GB"/>
        </w:rPr>
        <w:t xml:space="preserve"> </w:t>
      </w:r>
      <w:r w:rsidRPr="00F614FC">
        <w:rPr>
          <w:lang w:val="en-GB"/>
        </w:rPr>
        <w:t>The age range covered by the analysis was 29 to 85 years; approximately 5% of the population was older than 75 years.  Studies in paediatric populations have not been performed.</w:t>
      </w:r>
    </w:p>
    <w:p w:rsidR="00540888" w:rsidRPr="00F614FC" w:rsidRDefault="00540888" w:rsidP="00F545A1">
      <w:pPr>
        <w:pStyle w:val="PIHeading3"/>
        <w:rPr>
          <w:i/>
          <w:iCs/>
          <w:u w:val="none"/>
          <w:lang w:val="en-US" w:eastAsia="de-DE"/>
        </w:rPr>
      </w:pPr>
      <w:r w:rsidRPr="00F614FC">
        <w:rPr>
          <w:i/>
          <w:iCs/>
          <w:u w:val="none"/>
          <w:lang w:val="en-US" w:eastAsia="de-DE"/>
        </w:rPr>
        <w:t>Body weight</w:t>
      </w:r>
    </w:p>
    <w:p w:rsidR="00F833FE" w:rsidRPr="00F614FC" w:rsidRDefault="00540888" w:rsidP="003D4CB3">
      <w:pPr>
        <w:pStyle w:val="TextPI"/>
        <w:rPr>
          <w:lang w:val="en-GB"/>
        </w:rPr>
      </w:pPr>
      <w:r w:rsidRPr="00F614FC">
        <w:rPr>
          <w:lang w:val="en-GB" w:eastAsia="de-DE"/>
        </w:rPr>
        <w:t xml:space="preserve">An inverse correlation between body weight and exposure to </w:t>
      </w:r>
      <w:proofErr w:type="spellStart"/>
      <w:r w:rsidRPr="00F614FC">
        <w:rPr>
          <w:lang w:val="en-GB" w:eastAsia="de-DE"/>
        </w:rPr>
        <w:t>nintedanib</w:t>
      </w:r>
      <w:proofErr w:type="spellEnd"/>
      <w:r w:rsidRPr="00F614FC">
        <w:rPr>
          <w:lang w:val="en-GB" w:eastAsia="de-DE"/>
        </w:rPr>
        <w:t xml:space="preserve"> was observed.  </w:t>
      </w:r>
      <w:proofErr w:type="spellStart"/>
      <w:r w:rsidRPr="00F614FC">
        <w:rPr>
          <w:lang w:val="en-GB" w:eastAsia="de-DE"/>
        </w:rPr>
        <w:t>AUC</w:t>
      </w:r>
      <w:r w:rsidRPr="00F614FC">
        <w:rPr>
          <w:vertAlign w:val="subscript"/>
          <w:lang w:val="en-GB" w:eastAsia="de-DE"/>
        </w:rPr>
        <w:t>τ,ss</w:t>
      </w:r>
      <w:proofErr w:type="spellEnd"/>
      <w:r w:rsidRPr="00F614FC">
        <w:rPr>
          <w:lang w:val="en-GB" w:eastAsia="de-DE"/>
        </w:rPr>
        <w:t xml:space="preserve"> increased by 25% for a 50 kg patient (5</w:t>
      </w:r>
      <w:r w:rsidRPr="00F614FC">
        <w:rPr>
          <w:vertAlign w:val="superscript"/>
          <w:lang w:val="en-GB" w:eastAsia="de-DE"/>
        </w:rPr>
        <w:t>th</w:t>
      </w:r>
      <w:r w:rsidRPr="00F614FC">
        <w:rPr>
          <w:lang w:val="en-GB" w:eastAsia="de-DE"/>
        </w:rPr>
        <w:t xml:space="preserve"> percentile) and decreased by 19% for a 100 kg patient (95</w:t>
      </w:r>
      <w:r w:rsidRPr="00F614FC">
        <w:rPr>
          <w:vertAlign w:val="superscript"/>
          <w:lang w:val="en-GB" w:eastAsia="de-DE"/>
        </w:rPr>
        <w:t>th</w:t>
      </w:r>
      <w:r w:rsidRPr="00F614FC">
        <w:rPr>
          <w:lang w:val="en-GB" w:eastAsia="de-DE"/>
        </w:rPr>
        <w:t xml:space="preserve"> percentile) relative to a patient with the median weight of 71.5 kg.</w:t>
      </w:r>
    </w:p>
    <w:p w:rsidR="00540888" w:rsidRPr="00F614FC" w:rsidRDefault="00540888" w:rsidP="00F545A1">
      <w:pPr>
        <w:pStyle w:val="PIHeading3"/>
        <w:rPr>
          <w:i/>
          <w:iCs/>
          <w:u w:val="none"/>
          <w:lang w:val="en-US" w:eastAsia="de-DE"/>
        </w:rPr>
      </w:pPr>
      <w:r w:rsidRPr="00F614FC">
        <w:rPr>
          <w:i/>
          <w:iCs/>
          <w:u w:val="none"/>
          <w:lang w:val="en-US" w:eastAsia="de-DE"/>
        </w:rPr>
        <w:t>Race</w:t>
      </w:r>
    </w:p>
    <w:p w:rsidR="00F614FC" w:rsidRDefault="00540888" w:rsidP="003D4CB3">
      <w:pPr>
        <w:pStyle w:val="TextPI"/>
        <w:rPr>
          <w:lang w:val="en-GB" w:eastAsia="de-DE"/>
        </w:rPr>
      </w:pPr>
      <w:r w:rsidRPr="00F614FC">
        <w:rPr>
          <w:lang w:val="en-GB" w:eastAsia="de-DE"/>
        </w:rPr>
        <w:t xml:space="preserve">The geometric mean exposure to </w:t>
      </w:r>
      <w:proofErr w:type="spellStart"/>
      <w:r w:rsidRPr="00F614FC">
        <w:rPr>
          <w:lang w:val="en-GB" w:eastAsia="de-DE"/>
        </w:rPr>
        <w:t>nintedanib</w:t>
      </w:r>
      <w:proofErr w:type="spellEnd"/>
      <w:r w:rsidRPr="00F614FC">
        <w:rPr>
          <w:lang w:val="en-GB" w:eastAsia="de-DE"/>
        </w:rPr>
        <w:t xml:space="preserve"> was 33% higher in Chinese, Taiwanese, and Indian patients while it was 22% lower in Koreans compared to Caucasians (body weight corrected).  However, based on the high inter-individual variability of exposure these effects are not considered clinically relevant</w:t>
      </w:r>
      <w:r w:rsidR="002E39AC">
        <w:rPr>
          <w:lang w:val="en-GB" w:eastAsia="de-DE"/>
        </w:rPr>
        <w:t xml:space="preserve"> in NSCLC</w:t>
      </w:r>
      <w:r w:rsidRPr="00F614FC">
        <w:rPr>
          <w:lang w:val="en-GB" w:eastAsia="de-DE"/>
        </w:rPr>
        <w:t xml:space="preserve">.  </w:t>
      </w:r>
    </w:p>
    <w:p w:rsidR="009C69A2" w:rsidRPr="00F614FC" w:rsidRDefault="00540888" w:rsidP="003D4CB3">
      <w:pPr>
        <w:pStyle w:val="TextPI"/>
      </w:pPr>
      <w:r w:rsidRPr="00F614FC">
        <w:rPr>
          <w:lang w:val="en-GB" w:eastAsia="de-DE"/>
        </w:rPr>
        <w:t>Data from black individuals was very limited but in the same range as for Caucasians.</w:t>
      </w:r>
    </w:p>
    <w:p w:rsidR="00540888" w:rsidRPr="00F614FC" w:rsidRDefault="00540888" w:rsidP="00F545A1">
      <w:pPr>
        <w:pStyle w:val="PIHeading3"/>
        <w:rPr>
          <w:i/>
          <w:iCs/>
          <w:u w:val="none"/>
          <w:lang w:val="en-US" w:eastAsia="de-DE"/>
        </w:rPr>
      </w:pPr>
      <w:r w:rsidRPr="00F614FC">
        <w:rPr>
          <w:i/>
          <w:iCs/>
          <w:u w:val="none"/>
          <w:lang w:val="en-US" w:eastAsia="de-DE"/>
        </w:rPr>
        <w:t>Hepatic impairment</w:t>
      </w:r>
    </w:p>
    <w:p w:rsidR="00540888" w:rsidRPr="00F614FC" w:rsidRDefault="002E39AC" w:rsidP="00733A2C">
      <w:pPr>
        <w:pStyle w:val="TextPI"/>
        <w:rPr>
          <w:lang w:val="en-GB"/>
        </w:rPr>
      </w:pPr>
      <w:r>
        <w:rPr>
          <w:lang w:val="en-GB"/>
        </w:rPr>
        <w:t>PK</w:t>
      </w:r>
      <w:r w:rsidRPr="00F614FC">
        <w:rPr>
          <w:lang w:val="en-GB"/>
        </w:rPr>
        <w:t xml:space="preserve"> </w:t>
      </w:r>
      <w:r w:rsidR="00540888" w:rsidRPr="00F614FC">
        <w:rPr>
          <w:lang w:val="en-GB"/>
        </w:rPr>
        <w:t xml:space="preserve">data for </w:t>
      </w:r>
      <w:proofErr w:type="spellStart"/>
      <w:r w:rsidR="00540888" w:rsidRPr="00F614FC">
        <w:rPr>
          <w:lang w:val="en-GB"/>
        </w:rPr>
        <w:t>nintedanib</w:t>
      </w:r>
      <w:proofErr w:type="spellEnd"/>
      <w:r w:rsidR="00540888" w:rsidRPr="00F614FC">
        <w:rPr>
          <w:lang w:val="en-GB"/>
        </w:rPr>
        <w:t xml:space="preserve"> was collected in patients with abnormalities in hepatic parameters defined by elevations in AST, ALT and bilirubin levels.  A trend to elevated exposure was observed in patients with elevated AST- and ALT-values (up to 10 x ULN) and elevated bilirubin levels (up to 1.5 x ULN) at baseline as compared to patients with normal AST, ALT and bilirubin levels.  In patients with ALT or AST &gt; 10 x ULN and bilirubin</w:t>
      </w:r>
      <w:r w:rsidR="00B24E40" w:rsidRPr="00F614FC">
        <w:rPr>
          <w:lang w:val="en-GB"/>
        </w:rPr>
        <w:t xml:space="preserve"> </w:t>
      </w:r>
      <w:r w:rsidR="00540888" w:rsidRPr="00F614FC">
        <w:rPr>
          <w:lang w:val="en-GB"/>
        </w:rPr>
        <w:t>&gt; 1.5 x ULN, data were too limited to draw conclusions.</w:t>
      </w:r>
    </w:p>
    <w:p w:rsidR="00F614FC" w:rsidRPr="00F614FC" w:rsidRDefault="00F614FC" w:rsidP="00F614FC">
      <w:pPr>
        <w:pStyle w:val="PIHeading3"/>
        <w:rPr>
          <w:i/>
          <w:iCs/>
          <w:u w:val="none"/>
          <w:lang w:val="en-US" w:eastAsia="de-DE"/>
        </w:rPr>
      </w:pPr>
      <w:r w:rsidRPr="00F614FC">
        <w:rPr>
          <w:i/>
          <w:iCs/>
          <w:u w:val="none"/>
          <w:lang w:val="en-US" w:eastAsia="de-DE"/>
        </w:rPr>
        <w:t xml:space="preserve">Concomitant treatment with </w:t>
      </w:r>
      <w:proofErr w:type="spellStart"/>
      <w:r w:rsidRPr="00F614FC">
        <w:rPr>
          <w:i/>
          <w:iCs/>
          <w:u w:val="none"/>
          <w:lang w:val="en-US" w:eastAsia="de-DE"/>
        </w:rPr>
        <w:t>pirfenidone</w:t>
      </w:r>
      <w:proofErr w:type="spellEnd"/>
    </w:p>
    <w:p w:rsidR="00F614FC" w:rsidRPr="00F614FC" w:rsidRDefault="00F614FC" w:rsidP="00F614FC">
      <w:pPr>
        <w:pStyle w:val="TextPI"/>
        <w:rPr>
          <w:lang w:val="en-GB"/>
        </w:rPr>
      </w:pPr>
      <w:r w:rsidRPr="00F614FC">
        <w:rPr>
          <w:i/>
          <w:iCs/>
          <w:lang w:val="en-GB"/>
        </w:rPr>
        <w:t>IPF</w:t>
      </w:r>
      <w:r>
        <w:rPr>
          <w:lang w:val="en-GB"/>
        </w:rPr>
        <w:t xml:space="preserve">: </w:t>
      </w:r>
      <w:r w:rsidRPr="00F614FC">
        <w:rPr>
          <w:lang w:val="en-GB"/>
        </w:rPr>
        <w:t xml:space="preserve">Concomitant treatment of </w:t>
      </w:r>
      <w:proofErr w:type="spellStart"/>
      <w:r w:rsidRPr="00F614FC">
        <w:rPr>
          <w:lang w:val="en-GB"/>
        </w:rPr>
        <w:t>nintedanib</w:t>
      </w:r>
      <w:proofErr w:type="spellEnd"/>
      <w:r w:rsidRPr="00F614FC">
        <w:rPr>
          <w:lang w:val="en-GB"/>
        </w:rPr>
        <w:t xml:space="preserve"> with </w:t>
      </w:r>
      <w:proofErr w:type="spellStart"/>
      <w:r w:rsidRPr="00F614FC">
        <w:rPr>
          <w:lang w:val="en-GB"/>
        </w:rPr>
        <w:t>pirfenidone</w:t>
      </w:r>
      <w:proofErr w:type="spellEnd"/>
      <w:r w:rsidRPr="00F614FC">
        <w:rPr>
          <w:lang w:val="en-GB"/>
        </w:rPr>
        <w:t xml:space="preserve"> was investigated in a parallel group design study in Japanese patients with IPF. Twenty four patients were treated for 28 days with 150 mg </w:t>
      </w:r>
      <w:proofErr w:type="spellStart"/>
      <w:r w:rsidRPr="00F614FC">
        <w:rPr>
          <w:lang w:val="en-GB"/>
        </w:rPr>
        <w:t>nintedanib</w:t>
      </w:r>
      <w:proofErr w:type="spellEnd"/>
      <w:r w:rsidRPr="00F614FC">
        <w:rPr>
          <w:lang w:val="en-GB"/>
        </w:rPr>
        <w:t xml:space="preserve"> bid. In 13 patients, </w:t>
      </w:r>
      <w:proofErr w:type="spellStart"/>
      <w:r w:rsidRPr="00F614FC">
        <w:rPr>
          <w:lang w:val="en-GB"/>
        </w:rPr>
        <w:t>nintedanib</w:t>
      </w:r>
      <w:proofErr w:type="spellEnd"/>
      <w:r w:rsidRPr="00F614FC">
        <w:rPr>
          <w:lang w:val="en-GB"/>
        </w:rPr>
        <w:t xml:space="preserve"> was added to chronic treatment with standard doses of </w:t>
      </w:r>
      <w:proofErr w:type="spellStart"/>
      <w:r w:rsidRPr="00F614FC">
        <w:rPr>
          <w:lang w:val="en-GB"/>
        </w:rPr>
        <w:t>pirfenidone</w:t>
      </w:r>
      <w:proofErr w:type="spellEnd"/>
      <w:r w:rsidRPr="00F614FC">
        <w:rPr>
          <w:lang w:val="en-GB"/>
        </w:rPr>
        <w:t xml:space="preserve">. Eleven patients received </w:t>
      </w:r>
      <w:proofErr w:type="spellStart"/>
      <w:r w:rsidRPr="00F614FC">
        <w:rPr>
          <w:lang w:val="en-GB"/>
        </w:rPr>
        <w:t>nintedanib</w:t>
      </w:r>
      <w:proofErr w:type="spellEnd"/>
      <w:r w:rsidRPr="00F614FC">
        <w:rPr>
          <w:lang w:val="en-GB"/>
        </w:rPr>
        <w:t xml:space="preserve"> monotherapy. The exposure to </w:t>
      </w:r>
      <w:proofErr w:type="spellStart"/>
      <w:r w:rsidRPr="00F614FC">
        <w:rPr>
          <w:lang w:val="en-GB"/>
        </w:rPr>
        <w:t>nintedanib</w:t>
      </w:r>
      <w:proofErr w:type="spellEnd"/>
      <w:r w:rsidRPr="00F614FC">
        <w:rPr>
          <w:lang w:val="en-GB"/>
        </w:rPr>
        <w:t xml:space="preserve"> tended to be lower when </w:t>
      </w:r>
      <w:proofErr w:type="spellStart"/>
      <w:r w:rsidRPr="00F614FC">
        <w:rPr>
          <w:lang w:val="en-GB"/>
        </w:rPr>
        <w:t>nintedanib</w:t>
      </w:r>
      <w:proofErr w:type="spellEnd"/>
      <w:r w:rsidRPr="00F614FC">
        <w:rPr>
          <w:lang w:val="en-GB"/>
        </w:rPr>
        <w:t xml:space="preserve"> was administered on top of </w:t>
      </w:r>
      <w:proofErr w:type="spellStart"/>
      <w:r w:rsidRPr="00F614FC">
        <w:rPr>
          <w:lang w:val="en-GB"/>
        </w:rPr>
        <w:t>pirfenidone</w:t>
      </w:r>
      <w:proofErr w:type="spellEnd"/>
      <w:r w:rsidRPr="00F614FC">
        <w:rPr>
          <w:lang w:val="en-GB"/>
        </w:rPr>
        <w:t xml:space="preserve"> compared to administration of </w:t>
      </w:r>
      <w:proofErr w:type="spellStart"/>
      <w:r w:rsidRPr="00F614FC">
        <w:rPr>
          <w:lang w:val="en-GB"/>
        </w:rPr>
        <w:t>nintedanib</w:t>
      </w:r>
      <w:proofErr w:type="spellEnd"/>
      <w:r w:rsidRPr="00F614FC">
        <w:rPr>
          <w:lang w:val="en-GB"/>
        </w:rPr>
        <w:t xml:space="preserve"> alone. </w:t>
      </w:r>
      <w:proofErr w:type="spellStart"/>
      <w:r w:rsidRPr="00F614FC">
        <w:rPr>
          <w:lang w:val="en-GB"/>
        </w:rPr>
        <w:t>Nintedanib</w:t>
      </w:r>
      <w:proofErr w:type="spellEnd"/>
      <w:r w:rsidRPr="00F614FC">
        <w:rPr>
          <w:lang w:val="en-GB"/>
        </w:rPr>
        <w:t xml:space="preserve"> had no effect on the PK of </w:t>
      </w:r>
      <w:proofErr w:type="spellStart"/>
      <w:r w:rsidRPr="00F614FC">
        <w:rPr>
          <w:lang w:val="en-GB"/>
        </w:rPr>
        <w:t>pirfenidone</w:t>
      </w:r>
      <w:proofErr w:type="spellEnd"/>
      <w:r w:rsidRPr="00F614FC">
        <w:rPr>
          <w:lang w:val="en-GB"/>
        </w:rPr>
        <w:t>. Due to the short duration of concomitant exposure and low number of patients no conclusion on the safety and efficacy of the combination can be drawn.</w:t>
      </w:r>
    </w:p>
    <w:p w:rsidR="003A623A" w:rsidRPr="00F614FC" w:rsidRDefault="003A623A" w:rsidP="00EB484C">
      <w:pPr>
        <w:pStyle w:val="PIHeading3"/>
        <w:rPr>
          <w:lang w:val="en-US" w:eastAsia="de-DE"/>
        </w:rPr>
      </w:pPr>
      <w:r w:rsidRPr="00F614FC">
        <w:rPr>
          <w:lang w:val="en-US" w:eastAsia="de-DE"/>
        </w:rPr>
        <w:t>Drug-Drug Interaction Potential</w:t>
      </w:r>
    </w:p>
    <w:p w:rsidR="003A623A" w:rsidRPr="00F614FC" w:rsidRDefault="003A623A" w:rsidP="00EB484C">
      <w:pPr>
        <w:pStyle w:val="PIHeading3"/>
        <w:rPr>
          <w:i/>
          <w:iCs/>
          <w:u w:val="none"/>
          <w:lang w:val="en-US" w:eastAsia="de-DE"/>
        </w:rPr>
      </w:pPr>
      <w:r w:rsidRPr="00F614FC">
        <w:rPr>
          <w:i/>
          <w:iCs/>
          <w:u w:val="none"/>
          <w:lang w:val="en-US" w:eastAsia="de-DE"/>
        </w:rPr>
        <w:t>Metabolism</w:t>
      </w:r>
    </w:p>
    <w:p w:rsidR="003A623A" w:rsidRPr="00F614FC" w:rsidRDefault="003A623A" w:rsidP="00EB484C">
      <w:pPr>
        <w:pStyle w:val="TextPI"/>
        <w:rPr>
          <w:lang w:val="en-GB"/>
        </w:rPr>
      </w:pPr>
      <w:r w:rsidRPr="00F614FC">
        <w:rPr>
          <w:lang w:val="en-GB"/>
        </w:rPr>
        <w:t xml:space="preserve">Drug-drug interactions between </w:t>
      </w:r>
      <w:proofErr w:type="spellStart"/>
      <w:r w:rsidRPr="00F614FC">
        <w:rPr>
          <w:lang w:val="en-GB"/>
        </w:rPr>
        <w:t>nintedanib</w:t>
      </w:r>
      <w:proofErr w:type="spellEnd"/>
      <w:r w:rsidRPr="00F614FC">
        <w:rPr>
          <w:lang w:val="en-GB"/>
        </w:rPr>
        <w:t xml:space="preserve"> and CYP substrates, CYP inhibitors, or CYP inducers are not expected, since </w:t>
      </w:r>
      <w:r w:rsidRPr="00F614FC">
        <w:rPr>
          <w:noProof/>
          <w:lang w:val="en-GB"/>
        </w:rPr>
        <w:t xml:space="preserve">nintedanib, BIBF 1202, and BIBF 1202 glucuronide did not inhibit or induce CYP enzymes preclinically nor was nintedanib </w:t>
      </w:r>
      <w:r w:rsidR="00505DFA" w:rsidRPr="00F614FC">
        <w:rPr>
          <w:noProof/>
          <w:lang w:val="en-GB"/>
        </w:rPr>
        <w:t xml:space="preserve">metabolised </w:t>
      </w:r>
      <w:r w:rsidRPr="00F614FC">
        <w:rPr>
          <w:noProof/>
          <w:lang w:val="en-GB"/>
        </w:rPr>
        <w:t>by CYP enzymes to a relevant extent</w:t>
      </w:r>
      <w:r w:rsidRPr="00F614FC">
        <w:rPr>
          <w:lang w:val="en-GB"/>
        </w:rPr>
        <w:t>.</w:t>
      </w:r>
    </w:p>
    <w:p w:rsidR="003A623A" w:rsidRPr="00F614FC" w:rsidRDefault="003A623A" w:rsidP="00EB484C">
      <w:pPr>
        <w:pStyle w:val="PIHeading3"/>
        <w:rPr>
          <w:i/>
          <w:iCs/>
          <w:u w:val="none"/>
          <w:lang w:val="en-US" w:eastAsia="de-DE"/>
        </w:rPr>
      </w:pPr>
      <w:r w:rsidRPr="00F614FC">
        <w:rPr>
          <w:i/>
          <w:iCs/>
          <w:u w:val="none"/>
          <w:lang w:val="en-US" w:eastAsia="de-DE"/>
        </w:rPr>
        <w:t>Transport</w:t>
      </w:r>
    </w:p>
    <w:p w:rsidR="003A623A" w:rsidRPr="003A623A" w:rsidRDefault="003A623A" w:rsidP="00EB484C">
      <w:pPr>
        <w:pStyle w:val="TextPI"/>
        <w:rPr>
          <w:lang w:val="en-GB"/>
        </w:rPr>
      </w:pPr>
      <w:proofErr w:type="spellStart"/>
      <w:r w:rsidRPr="00F614FC">
        <w:rPr>
          <w:lang w:val="en-GB"/>
        </w:rPr>
        <w:t>Nintedanib</w:t>
      </w:r>
      <w:proofErr w:type="spellEnd"/>
      <w:r w:rsidRPr="00F614FC">
        <w:rPr>
          <w:lang w:val="en-GB"/>
        </w:rPr>
        <w:t xml:space="preserve"> is a substrate of P-</w:t>
      </w:r>
      <w:proofErr w:type="spellStart"/>
      <w:r w:rsidRPr="00F614FC">
        <w:rPr>
          <w:lang w:val="en-GB"/>
        </w:rPr>
        <w:t>gp</w:t>
      </w:r>
      <w:proofErr w:type="spellEnd"/>
      <w:r w:rsidRPr="00F614FC">
        <w:rPr>
          <w:lang w:val="en-GB"/>
        </w:rPr>
        <w:t xml:space="preserve">.  For the interaction potential of </w:t>
      </w:r>
      <w:proofErr w:type="spellStart"/>
      <w:r w:rsidRPr="00F614FC">
        <w:rPr>
          <w:lang w:val="en-GB"/>
        </w:rPr>
        <w:t>nintedanib</w:t>
      </w:r>
      <w:proofErr w:type="spellEnd"/>
      <w:r w:rsidRPr="00F614FC">
        <w:rPr>
          <w:lang w:val="en-GB"/>
        </w:rPr>
        <w:t xml:space="preserve"> with this transporter, see INTERACTIONS WITH OTHER MEDICINES.  </w:t>
      </w:r>
      <w:proofErr w:type="spellStart"/>
      <w:r w:rsidRPr="00F614FC">
        <w:rPr>
          <w:lang w:val="en-GB"/>
        </w:rPr>
        <w:t>Nintedanib</w:t>
      </w:r>
      <w:proofErr w:type="spellEnd"/>
      <w:r w:rsidRPr="00F614FC">
        <w:rPr>
          <w:lang w:val="en-GB"/>
        </w:rPr>
        <w:t xml:space="preserve"> was shown </w:t>
      </w:r>
      <w:r w:rsidR="009971CE">
        <w:rPr>
          <w:lang w:val="en-GB"/>
        </w:rPr>
        <w:t xml:space="preserve">not </w:t>
      </w:r>
      <w:r w:rsidRPr="00F614FC">
        <w:rPr>
          <w:lang w:val="en-GB"/>
        </w:rPr>
        <w:t xml:space="preserve">to be a substrate or inhibitor of OATP-1B1, OATP-1B3, OATP-2B1, OCT-2 or MRP-2 </w:t>
      </w:r>
      <w:r w:rsidRPr="00F614FC">
        <w:rPr>
          <w:i/>
          <w:lang w:val="en-GB"/>
        </w:rPr>
        <w:t>in vitro</w:t>
      </w:r>
      <w:r w:rsidRPr="00F614FC">
        <w:rPr>
          <w:lang w:val="en-GB"/>
        </w:rPr>
        <w:t>.</w:t>
      </w:r>
      <w:r w:rsidR="004E39B8" w:rsidRPr="00F614FC">
        <w:rPr>
          <w:lang w:val="en-GB"/>
        </w:rPr>
        <w:t xml:space="preserve"> </w:t>
      </w:r>
      <w:r w:rsidRPr="00F614FC">
        <w:rPr>
          <w:lang w:val="en-GB"/>
        </w:rPr>
        <w:t xml:space="preserve"> </w:t>
      </w:r>
      <w:proofErr w:type="spellStart"/>
      <w:r w:rsidRPr="00F614FC">
        <w:rPr>
          <w:lang w:val="en-GB"/>
        </w:rPr>
        <w:lastRenderedPageBreak/>
        <w:t>Nintedanib</w:t>
      </w:r>
      <w:proofErr w:type="spellEnd"/>
      <w:r w:rsidRPr="00F614FC">
        <w:rPr>
          <w:lang w:val="en-GB"/>
        </w:rPr>
        <w:t xml:space="preserve"> was also not a substrate of BCRP. </w:t>
      </w:r>
      <w:r w:rsidR="00C30F29" w:rsidRPr="00F614FC">
        <w:rPr>
          <w:lang w:val="en-GB"/>
        </w:rPr>
        <w:t xml:space="preserve"> </w:t>
      </w:r>
      <w:r w:rsidRPr="00F614FC">
        <w:rPr>
          <w:lang w:val="en-GB"/>
        </w:rPr>
        <w:t>Only a weak inhibitory potential on OCT-1, BCRP, and P-</w:t>
      </w:r>
      <w:proofErr w:type="spellStart"/>
      <w:r w:rsidRPr="00F614FC">
        <w:rPr>
          <w:lang w:val="en-GB"/>
        </w:rPr>
        <w:t>gp</w:t>
      </w:r>
      <w:proofErr w:type="spellEnd"/>
      <w:r w:rsidRPr="00F614FC">
        <w:rPr>
          <w:lang w:val="en-GB"/>
        </w:rPr>
        <w:t xml:space="preserve"> was observed </w:t>
      </w:r>
      <w:r w:rsidRPr="00F614FC">
        <w:rPr>
          <w:i/>
          <w:lang w:val="en-GB"/>
        </w:rPr>
        <w:t>in vitro</w:t>
      </w:r>
      <w:r w:rsidRPr="00F614FC">
        <w:rPr>
          <w:lang w:val="en-GB"/>
        </w:rPr>
        <w:t xml:space="preserve"> which is considered to be of low clinical relevance.  </w:t>
      </w:r>
      <w:r w:rsidR="009971CE" w:rsidRPr="009971CE">
        <w:rPr>
          <w:i/>
          <w:iCs/>
          <w:lang w:val="en-GB"/>
        </w:rPr>
        <w:t xml:space="preserve">In vitro </w:t>
      </w:r>
      <w:r w:rsidR="009971CE">
        <w:rPr>
          <w:lang w:val="en-GB"/>
        </w:rPr>
        <w:t xml:space="preserve">studies also showed that </w:t>
      </w:r>
      <w:proofErr w:type="spellStart"/>
      <w:r w:rsidR="009971CE">
        <w:rPr>
          <w:lang w:val="en-GB"/>
        </w:rPr>
        <w:t>nintedanib</w:t>
      </w:r>
      <w:proofErr w:type="spellEnd"/>
      <w:r w:rsidR="009971CE">
        <w:rPr>
          <w:lang w:val="en-GB"/>
        </w:rPr>
        <w:t xml:space="preserve"> was a substrate of OCT-1, which is of low clinical relevance</w:t>
      </w:r>
      <w:r w:rsidRPr="00F614FC">
        <w:rPr>
          <w:lang w:val="en-GB"/>
        </w:rPr>
        <w:t>.</w:t>
      </w:r>
    </w:p>
    <w:p w:rsidR="00F12656" w:rsidRPr="003B2190" w:rsidRDefault="00F12656" w:rsidP="00591419">
      <w:pPr>
        <w:pStyle w:val="PIHeading1"/>
      </w:pPr>
      <w:r>
        <w:t>clinical trials</w:t>
      </w:r>
    </w:p>
    <w:p w:rsidR="00223FA3" w:rsidRPr="00223FA3" w:rsidRDefault="00223FA3" w:rsidP="00591419">
      <w:pPr>
        <w:pStyle w:val="PIheading2"/>
        <w:rPr>
          <w:i/>
          <w:iCs/>
          <w:lang w:val="en-US" w:eastAsia="de-DE"/>
        </w:rPr>
      </w:pPr>
      <w:r w:rsidRPr="00223FA3">
        <w:rPr>
          <w:i/>
          <w:iCs/>
          <w:lang w:val="en-US" w:eastAsia="de-DE"/>
        </w:rPr>
        <w:t>NSCLC:</w:t>
      </w:r>
    </w:p>
    <w:p w:rsidR="001F368B" w:rsidRPr="001F368B" w:rsidRDefault="001F368B" w:rsidP="00591419">
      <w:pPr>
        <w:pStyle w:val="PIheading2"/>
        <w:rPr>
          <w:lang w:val="en-US" w:eastAsia="de-DE"/>
        </w:rPr>
      </w:pPr>
      <w:r w:rsidRPr="001F368B">
        <w:rPr>
          <w:lang w:val="en-US" w:eastAsia="de-DE"/>
        </w:rPr>
        <w:t>Efficacy in the pivotal phase 3 trial LUME-Lung 1</w:t>
      </w:r>
    </w:p>
    <w:p w:rsidR="001F368B" w:rsidRPr="001F368B" w:rsidRDefault="001F368B" w:rsidP="004D760A">
      <w:pPr>
        <w:pStyle w:val="TextPI"/>
        <w:rPr>
          <w:color w:val="000000"/>
          <w:lang w:val="en-US" w:eastAsia="de-DE"/>
        </w:rPr>
      </w:pPr>
      <w:r w:rsidRPr="001F368B">
        <w:rPr>
          <w:lang w:val="en-GB" w:eastAsia="de-DE"/>
        </w:rPr>
        <w:t xml:space="preserve">The efficacy and safety of </w:t>
      </w:r>
      <w:r w:rsidR="007501C4">
        <w:rPr>
          <w:lang w:val="en-GB" w:eastAsia="de-DE"/>
        </w:rPr>
        <w:t>VARGATEF</w:t>
      </w:r>
      <w:r w:rsidRPr="001F368B">
        <w:rPr>
          <w:lang w:val="en-GB" w:eastAsia="de-DE"/>
        </w:rPr>
        <w:t xml:space="preserve"> was investigated in 1314 patients with locally advanced</w:t>
      </w:r>
      <w:r w:rsidR="00DA5575">
        <w:rPr>
          <w:lang w:val="en-GB" w:eastAsia="de-DE"/>
        </w:rPr>
        <w:t>,</w:t>
      </w:r>
      <w:r w:rsidR="005B17C1">
        <w:rPr>
          <w:lang w:val="en-GB" w:eastAsia="de-DE"/>
        </w:rPr>
        <w:t xml:space="preserve"> </w:t>
      </w:r>
      <w:r w:rsidRPr="001F368B">
        <w:rPr>
          <w:lang w:val="en-GB" w:eastAsia="de-DE"/>
        </w:rPr>
        <w:t>metastatic</w:t>
      </w:r>
      <w:r w:rsidR="00DA5575">
        <w:rPr>
          <w:lang w:val="en-GB" w:eastAsia="de-DE"/>
        </w:rPr>
        <w:t xml:space="preserve"> or recurrent</w:t>
      </w:r>
      <w:r w:rsidRPr="001F368B">
        <w:rPr>
          <w:lang w:val="en-GB" w:eastAsia="de-DE"/>
        </w:rPr>
        <w:t xml:space="preserve"> NSCLC after one prior line of chemotherap</w:t>
      </w:r>
      <w:r w:rsidR="00896284">
        <w:rPr>
          <w:lang w:val="en-GB" w:eastAsia="de-DE"/>
        </w:rPr>
        <w:t>y</w:t>
      </w:r>
      <w:r w:rsidR="00DA5575">
        <w:rPr>
          <w:lang w:val="en-GB" w:eastAsia="de-DE"/>
        </w:rPr>
        <w:t>.  The trial included</w:t>
      </w:r>
      <w:r w:rsidR="00896284">
        <w:rPr>
          <w:lang w:val="en-GB" w:eastAsia="de-DE"/>
        </w:rPr>
        <w:t xml:space="preserve"> 658 patients (50.1</w:t>
      </w:r>
      <w:r w:rsidRPr="001F368B">
        <w:rPr>
          <w:lang w:val="en-GB" w:eastAsia="de-DE"/>
        </w:rPr>
        <w:t>%) with adenocarcinoma, 555 patients (42.2%) with squamous cell c</w:t>
      </w:r>
      <w:r w:rsidR="00896284">
        <w:rPr>
          <w:lang w:val="en-GB" w:eastAsia="de-DE"/>
        </w:rPr>
        <w:t>arcinoma, and 101 patients (7.7</w:t>
      </w:r>
      <w:r w:rsidRPr="001F368B">
        <w:rPr>
          <w:lang w:val="en-GB" w:eastAsia="de-DE"/>
        </w:rPr>
        <w:t xml:space="preserve">%) with other tumour </w:t>
      </w:r>
      <w:proofErr w:type="spellStart"/>
      <w:r w:rsidRPr="001F368B">
        <w:rPr>
          <w:lang w:val="en-GB" w:eastAsia="de-DE"/>
        </w:rPr>
        <w:t>histologies</w:t>
      </w:r>
      <w:proofErr w:type="spellEnd"/>
      <w:r w:rsidRPr="001F368B">
        <w:rPr>
          <w:color w:val="000000"/>
          <w:lang w:val="en-US" w:eastAsia="de-DE"/>
        </w:rPr>
        <w:t>.</w:t>
      </w:r>
    </w:p>
    <w:p w:rsidR="001F368B" w:rsidRPr="001F368B" w:rsidRDefault="001F368B" w:rsidP="004D760A">
      <w:pPr>
        <w:pStyle w:val="TextPI"/>
        <w:keepNext/>
        <w:keepLines/>
        <w:rPr>
          <w:color w:val="000000"/>
          <w:lang w:val="en-GB" w:eastAsia="de-DE"/>
        </w:rPr>
      </w:pPr>
      <w:r w:rsidRPr="001F368B">
        <w:rPr>
          <w:lang w:val="en-GB"/>
        </w:rPr>
        <w:t xml:space="preserve">Patients were </w:t>
      </w:r>
      <w:r w:rsidR="00FA3C5C" w:rsidRPr="001F368B">
        <w:rPr>
          <w:lang w:val="en-GB"/>
        </w:rPr>
        <w:t>randomi</w:t>
      </w:r>
      <w:r w:rsidR="00FA3C5C">
        <w:rPr>
          <w:lang w:val="en-GB"/>
        </w:rPr>
        <w:t>s</w:t>
      </w:r>
      <w:r w:rsidR="00FA3C5C" w:rsidRPr="001F368B">
        <w:rPr>
          <w:lang w:val="en-GB"/>
        </w:rPr>
        <w:t xml:space="preserve">ed </w:t>
      </w:r>
      <w:r w:rsidRPr="001F368B">
        <w:rPr>
          <w:lang w:val="en-GB"/>
        </w:rPr>
        <w:t xml:space="preserve">(1:1) to receive </w:t>
      </w:r>
      <w:proofErr w:type="spellStart"/>
      <w:r w:rsidRPr="001F368B">
        <w:rPr>
          <w:iCs/>
          <w:lang w:val="en-GB"/>
        </w:rPr>
        <w:t>nintedanib</w:t>
      </w:r>
      <w:proofErr w:type="spellEnd"/>
      <w:r w:rsidRPr="001F368B">
        <w:rPr>
          <w:b/>
          <w:i/>
          <w:iCs/>
          <w:vertAlign w:val="superscript"/>
          <w:lang w:val="en-GB"/>
        </w:rPr>
        <w:t xml:space="preserve"> </w:t>
      </w:r>
      <w:r w:rsidRPr="001F368B">
        <w:rPr>
          <w:lang w:val="en-GB"/>
        </w:rPr>
        <w:t>200 mg orally twice daily in combination with 75 mg/m</w:t>
      </w:r>
      <w:r w:rsidRPr="001F368B">
        <w:rPr>
          <w:vertAlign w:val="superscript"/>
          <w:lang w:val="en-GB"/>
        </w:rPr>
        <w:t>2</w:t>
      </w:r>
      <w:r w:rsidRPr="001F368B">
        <w:rPr>
          <w:lang w:val="en-GB"/>
        </w:rPr>
        <w:t xml:space="preserve"> of </w:t>
      </w:r>
      <w:proofErr w:type="spellStart"/>
      <w:r w:rsidRPr="001F368B">
        <w:rPr>
          <w:lang w:val="en-GB"/>
        </w:rPr>
        <w:t>i.v.</w:t>
      </w:r>
      <w:proofErr w:type="spellEnd"/>
      <w:r w:rsidRPr="001F368B">
        <w:rPr>
          <w:lang w:val="en-GB"/>
        </w:rPr>
        <w:t xml:space="preserve"> docetaxel every 21 days (n = 655) or placebo orally twice daily in combination with 75 mg/m</w:t>
      </w:r>
      <w:r w:rsidRPr="001F368B">
        <w:rPr>
          <w:vertAlign w:val="superscript"/>
          <w:lang w:val="en-GB"/>
        </w:rPr>
        <w:t>2</w:t>
      </w:r>
      <w:r w:rsidRPr="001F368B">
        <w:rPr>
          <w:lang w:val="en-GB"/>
        </w:rPr>
        <w:t xml:space="preserve"> of docetaxel every 21 days (n = 659). </w:t>
      </w:r>
      <w:r w:rsidR="00896284">
        <w:rPr>
          <w:lang w:val="en-GB"/>
        </w:rPr>
        <w:t xml:space="preserve"> </w:t>
      </w:r>
      <w:proofErr w:type="spellStart"/>
      <w:r w:rsidR="00D415E4" w:rsidRPr="00E55B53">
        <w:rPr>
          <w:lang w:val="en-GB"/>
        </w:rPr>
        <w:t>Nintedanib</w:t>
      </w:r>
      <w:proofErr w:type="spellEnd"/>
      <w:r w:rsidR="00D415E4" w:rsidRPr="00E55B53">
        <w:rPr>
          <w:lang w:val="en-GB"/>
        </w:rPr>
        <w:t xml:space="preserve"> was not given on day 1 of each cycle, i.e. the day when docetaxel was given.</w:t>
      </w:r>
      <w:r w:rsidR="00D415E4">
        <w:t xml:space="preserve"> </w:t>
      </w:r>
      <w:r w:rsidR="00896284">
        <w:rPr>
          <w:lang w:val="en-GB"/>
        </w:rPr>
        <w:t>Randomis</w:t>
      </w:r>
      <w:r w:rsidRPr="001F368B">
        <w:rPr>
          <w:lang w:val="en-GB"/>
        </w:rPr>
        <w:t xml:space="preserve">ation was stratified according to </w:t>
      </w:r>
      <w:r w:rsidR="00644543">
        <w:rPr>
          <w:lang w:val="en-GB"/>
        </w:rPr>
        <w:t>Eastern Cooperative Oncology Group (</w:t>
      </w:r>
      <w:r w:rsidRPr="001F368B">
        <w:rPr>
          <w:lang w:val="en-GB"/>
        </w:rPr>
        <w:t>ECOG</w:t>
      </w:r>
      <w:r w:rsidR="00644543">
        <w:rPr>
          <w:lang w:val="en-GB"/>
        </w:rPr>
        <w:t>)</w:t>
      </w:r>
      <w:r w:rsidRPr="001F368B">
        <w:rPr>
          <w:lang w:val="en-GB"/>
        </w:rPr>
        <w:t xml:space="preserve"> status (0 </w:t>
      </w:r>
      <w:r w:rsidRPr="00FA3C5C">
        <w:rPr>
          <w:iCs/>
          <w:lang w:val="en-GB"/>
        </w:rPr>
        <w:t>vs.</w:t>
      </w:r>
      <w:r w:rsidRPr="001F368B">
        <w:rPr>
          <w:lang w:val="en-GB"/>
        </w:rPr>
        <w:t xml:space="preserve"> 1), bevacizumab pre</w:t>
      </w:r>
      <w:r w:rsidR="00D415E4">
        <w:rPr>
          <w:lang w:val="en-GB"/>
        </w:rPr>
        <w:t>-</w:t>
      </w:r>
      <w:r w:rsidRPr="001F368B">
        <w:rPr>
          <w:lang w:val="en-GB"/>
        </w:rPr>
        <w:t xml:space="preserve">treatment (yes </w:t>
      </w:r>
      <w:r w:rsidRPr="00E277AE">
        <w:rPr>
          <w:iCs/>
          <w:lang w:val="en-GB"/>
        </w:rPr>
        <w:t>vs</w:t>
      </w:r>
      <w:r w:rsidRPr="001F368B">
        <w:rPr>
          <w:lang w:val="en-GB"/>
        </w:rPr>
        <w:t xml:space="preserve">. no), brain metastasis (yes </w:t>
      </w:r>
      <w:r w:rsidRPr="00E277AE">
        <w:rPr>
          <w:iCs/>
          <w:lang w:val="en-GB"/>
        </w:rPr>
        <w:t>vs</w:t>
      </w:r>
      <w:r w:rsidRPr="001F368B">
        <w:rPr>
          <w:lang w:val="en-GB"/>
        </w:rPr>
        <w:t xml:space="preserve">. no) and tumour histology (squamous </w:t>
      </w:r>
      <w:r w:rsidRPr="00E277AE">
        <w:rPr>
          <w:iCs/>
          <w:lang w:val="en-GB"/>
        </w:rPr>
        <w:t>vs</w:t>
      </w:r>
      <w:r w:rsidRPr="001F368B">
        <w:rPr>
          <w:i/>
          <w:lang w:val="en-GB"/>
        </w:rPr>
        <w:t>.</w:t>
      </w:r>
      <w:r w:rsidRPr="001F368B">
        <w:rPr>
          <w:lang w:val="en-GB"/>
        </w:rPr>
        <w:t xml:space="preserve"> non-squamous tumour histology).</w:t>
      </w:r>
    </w:p>
    <w:p w:rsidR="0033290D" w:rsidRPr="001F368B" w:rsidRDefault="001F368B" w:rsidP="00EE5C33">
      <w:pPr>
        <w:pStyle w:val="TextPI"/>
        <w:rPr>
          <w:lang w:val="en-GB" w:eastAsia="de-DE"/>
        </w:rPr>
      </w:pPr>
      <w:r w:rsidRPr="001F368B">
        <w:rPr>
          <w:lang w:val="en-GB" w:eastAsia="de-DE"/>
        </w:rPr>
        <w:t>Patient characteristics were balanced between treatment arms within the overall population and within the adenocarcinoma patients.</w:t>
      </w:r>
      <w:r w:rsidR="00324403">
        <w:rPr>
          <w:lang w:val="en-GB" w:eastAsia="de-DE"/>
        </w:rPr>
        <w:t xml:space="preserve"> </w:t>
      </w:r>
      <w:r w:rsidRPr="001F368B">
        <w:rPr>
          <w:lang w:val="en-GB" w:eastAsia="de-DE"/>
        </w:rPr>
        <w:t xml:space="preserve"> </w:t>
      </w:r>
      <w:r w:rsidR="006C2788">
        <w:rPr>
          <w:lang w:val="en-GB" w:eastAsia="de-DE"/>
        </w:rPr>
        <w:t xml:space="preserve">In the overall population </w:t>
      </w:r>
      <w:r w:rsidRPr="001F368B">
        <w:rPr>
          <w:lang w:val="en-GB" w:eastAsia="de-DE"/>
        </w:rPr>
        <w:t xml:space="preserve">72.7% of the patients were male. </w:t>
      </w:r>
      <w:r w:rsidR="00324403">
        <w:rPr>
          <w:lang w:val="en-GB" w:eastAsia="de-DE"/>
        </w:rPr>
        <w:t xml:space="preserve"> </w:t>
      </w:r>
      <w:r w:rsidRPr="001F368B">
        <w:rPr>
          <w:lang w:val="en-GB" w:eastAsia="de-DE"/>
        </w:rPr>
        <w:t xml:space="preserve">The majority of patients were non-Asian (81.6%), </w:t>
      </w:r>
      <w:r w:rsidRPr="001F368B">
        <w:rPr>
          <w:lang w:val="en-GB"/>
        </w:rPr>
        <w:t>the median age was 60.0 years, the baseline ECOG performance status was 0 (28.6%) or 1 (71.3%); one patient had a baseline ECOG performance status of 2.</w:t>
      </w:r>
      <w:r w:rsidR="00324403">
        <w:rPr>
          <w:lang w:val="en-GB"/>
        </w:rPr>
        <w:t xml:space="preserve"> </w:t>
      </w:r>
      <w:r w:rsidRPr="001F368B">
        <w:rPr>
          <w:lang w:val="en-GB"/>
        </w:rPr>
        <w:t xml:space="preserve"> 5.8% of the patients had stable brain metastasis at study entry and 3.8% had prior bevacizumab treatment.</w:t>
      </w:r>
    </w:p>
    <w:p w:rsidR="001F368B" w:rsidRPr="001F368B" w:rsidRDefault="001F368B" w:rsidP="00EE5C33">
      <w:pPr>
        <w:pStyle w:val="TextPI"/>
        <w:rPr>
          <w:rFonts w:cs="Arial"/>
          <w:lang w:val="en-GB" w:eastAsia="de-DE"/>
        </w:rPr>
      </w:pPr>
      <w:r w:rsidRPr="001F368B">
        <w:rPr>
          <w:rFonts w:cs="Arial"/>
          <w:lang w:val="en-GB" w:eastAsia="de-DE"/>
        </w:rPr>
        <w:t xml:space="preserve">The primary endpoint was progression-free survival (PFS) </w:t>
      </w:r>
      <w:r w:rsidRPr="001F368B">
        <w:rPr>
          <w:rFonts w:cs="Arial"/>
          <w:lang w:val="en-GB"/>
        </w:rPr>
        <w:t>as assessed by an independent review committee (IRC)</w:t>
      </w:r>
      <w:r w:rsidR="00AB2033">
        <w:rPr>
          <w:rFonts w:cs="Arial"/>
          <w:lang w:val="en-GB"/>
        </w:rPr>
        <w:t xml:space="preserve"> based on the intent-to-treat (ITT) population and tested by histology</w:t>
      </w:r>
      <w:r w:rsidRPr="001F368B">
        <w:rPr>
          <w:rFonts w:cs="Arial"/>
          <w:lang w:val="en-GB"/>
        </w:rPr>
        <w:t>.</w:t>
      </w:r>
      <w:r w:rsidR="00324403">
        <w:rPr>
          <w:rFonts w:cs="Arial"/>
          <w:lang w:val="en-GB"/>
        </w:rPr>
        <w:t xml:space="preserve"> </w:t>
      </w:r>
      <w:r w:rsidRPr="001F368B">
        <w:rPr>
          <w:rFonts w:cs="Arial"/>
          <w:lang w:val="en-GB"/>
        </w:rPr>
        <w:t xml:space="preserve"> </w:t>
      </w:r>
      <w:r w:rsidRPr="001F368B">
        <w:rPr>
          <w:rFonts w:cs="Arial"/>
          <w:lang w:val="en-GB" w:eastAsia="de-DE"/>
        </w:rPr>
        <w:t xml:space="preserve">Overall survival (OS) was the key secondary endpoint. </w:t>
      </w:r>
      <w:r w:rsidR="00324403">
        <w:rPr>
          <w:rFonts w:cs="Arial"/>
          <w:lang w:val="en-GB" w:eastAsia="de-DE"/>
        </w:rPr>
        <w:t xml:space="preserve"> </w:t>
      </w:r>
      <w:r w:rsidRPr="001F368B">
        <w:rPr>
          <w:rFonts w:cs="Arial"/>
          <w:lang w:val="en-GB" w:eastAsia="de-DE"/>
        </w:rPr>
        <w:t xml:space="preserve">Other efficacy outcomes </w:t>
      </w:r>
      <w:r w:rsidRPr="001F368B">
        <w:rPr>
          <w:rFonts w:cs="Arial"/>
          <w:lang w:val="en-GB"/>
        </w:rPr>
        <w:t xml:space="preserve">included objective response, disease control, change in tumour size </w:t>
      </w:r>
      <w:r w:rsidRPr="001F368B">
        <w:rPr>
          <w:rFonts w:cs="Arial"/>
          <w:lang w:val="en-GB" w:eastAsia="de-DE"/>
        </w:rPr>
        <w:t>and health-related quality of life.</w:t>
      </w:r>
    </w:p>
    <w:p w:rsidR="001F368B" w:rsidRPr="00EE5C33" w:rsidRDefault="001F368B" w:rsidP="00EE5C33">
      <w:pPr>
        <w:pStyle w:val="TextPI"/>
      </w:pPr>
      <w:r w:rsidRPr="00EE5C33">
        <w:t xml:space="preserve">As shown in Table </w:t>
      </w:r>
      <w:r w:rsidR="004E39B8" w:rsidRPr="00EE5C33">
        <w:t>1</w:t>
      </w:r>
      <w:r w:rsidRPr="00EE5C33">
        <w:t xml:space="preserve">, the addition of </w:t>
      </w:r>
      <w:proofErr w:type="spellStart"/>
      <w:r w:rsidRPr="00EE5C33">
        <w:t>nintedanib</w:t>
      </w:r>
      <w:proofErr w:type="spellEnd"/>
      <w:r w:rsidRPr="00EE5C33">
        <w:t xml:space="preserve"> to docetaxel led to a statistically significant reduction in the risk of progression or death by 21% for the overall population (HR 0.79; </w:t>
      </w:r>
      <w:r w:rsidRPr="00EE5C33">
        <w:br/>
        <w:t xml:space="preserve">95% CI: 0.68 - 0.92; p = 0.0019) as determined by the IRC. </w:t>
      </w:r>
      <w:r w:rsidR="00324403" w:rsidRPr="00EE5C33">
        <w:t xml:space="preserve"> </w:t>
      </w:r>
      <w:r w:rsidRPr="00EE5C33">
        <w:t>This result was confirmed in the follow-up PFS analysis (HR 0.85, 95% CI: 0.75 - 0.96; p = 0.0070) which included all events collected at the time of the final OS analysis.</w:t>
      </w:r>
      <w:r w:rsidR="00324403" w:rsidRPr="00EE5C33">
        <w:t xml:space="preserve"> </w:t>
      </w:r>
      <w:r w:rsidRPr="00EE5C33">
        <w:t xml:space="preserve"> In line with these observations, related study endpoints such as disease control and change in tumour size showed significant improvements.</w:t>
      </w:r>
      <w:bookmarkStart w:id="1" w:name="_Toc350513940"/>
      <w:bookmarkStart w:id="2" w:name="_Toc356546274"/>
      <w:bookmarkStart w:id="3" w:name="_Toc357087118"/>
      <w:bookmarkStart w:id="4" w:name="_Toc357409293"/>
      <w:bookmarkStart w:id="5" w:name="_Toc357519233"/>
    </w:p>
    <w:p w:rsidR="001F368B" w:rsidRPr="00131CDD" w:rsidRDefault="008C28BB" w:rsidP="008C28BB">
      <w:pPr>
        <w:keepNext/>
        <w:keepLines/>
        <w:pageBreakBefore/>
        <w:spacing w:before="180" w:after="180"/>
        <w:ind w:left="1122" w:hanging="1122"/>
        <w:jc w:val="both"/>
        <w:outlineLvl w:val="5"/>
        <w:rPr>
          <w:rFonts w:ascii="Arial" w:hAnsi="Arial" w:cs="Arial"/>
          <w:b/>
          <w:bCs/>
          <w:sz w:val="20"/>
          <w:lang w:val="en-US"/>
        </w:rPr>
      </w:pPr>
      <w:r w:rsidRPr="00131CDD">
        <w:rPr>
          <w:rFonts w:ascii="Arial" w:hAnsi="Arial" w:cs="Arial"/>
          <w:b/>
          <w:bCs/>
          <w:sz w:val="20"/>
          <w:lang w:val="en-US"/>
        </w:rPr>
        <w:lastRenderedPageBreak/>
        <w:t>Table 1:</w:t>
      </w:r>
      <w:r w:rsidRPr="00131CDD">
        <w:rPr>
          <w:rFonts w:ascii="Arial" w:hAnsi="Arial" w:cs="Arial"/>
          <w:b/>
          <w:bCs/>
          <w:sz w:val="20"/>
          <w:lang w:val="en-US"/>
        </w:rPr>
        <w:tab/>
      </w:r>
      <w:r w:rsidR="001F368B" w:rsidRPr="00131CDD">
        <w:rPr>
          <w:rFonts w:ascii="Arial" w:hAnsi="Arial" w:cs="Arial"/>
          <w:b/>
          <w:bCs/>
          <w:sz w:val="20"/>
          <w:lang w:val="en-US"/>
        </w:rPr>
        <w:t xml:space="preserve">Efficacy results for study LUME-Lung 1 </w:t>
      </w:r>
      <w:bookmarkEnd w:id="1"/>
      <w:bookmarkEnd w:id="2"/>
      <w:bookmarkEnd w:id="3"/>
      <w:bookmarkEnd w:id="4"/>
      <w:bookmarkEnd w:id="5"/>
      <w:r w:rsidR="001F368B" w:rsidRPr="00131CDD">
        <w:rPr>
          <w:rFonts w:ascii="Arial" w:hAnsi="Arial" w:cs="Arial"/>
          <w:b/>
          <w:bCs/>
          <w:sz w:val="20"/>
          <w:lang w:val="en-US"/>
        </w:rPr>
        <w:t>for all patients and for patients with adenocarcinoma</w:t>
      </w:r>
      <w:r w:rsidR="00131CDD">
        <w:rPr>
          <w:rFonts w:ascii="Arial" w:hAnsi="Arial" w:cs="Arial"/>
          <w:b/>
          <w:bCs/>
          <w:sz w:val="20"/>
          <w:lang w:val="en-US"/>
        </w:rPr>
        <w:t xml:space="preserve"> </w:t>
      </w:r>
      <w:proofErr w:type="spellStart"/>
      <w:r w:rsidR="00131CDD">
        <w:rPr>
          <w:rFonts w:ascii="Arial" w:hAnsi="Arial" w:cs="Arial"/>
          <w:b/>
          <w:bCs/>
          <w:sz w:val="20"/>
          <w:lang w:val="en-US"/>
        </w:rPr>
        <w:t>tumour</w:t>
      </w:r>
      <w:proofErr w:type="spellEnd"/>
      <w:r w:rsidR="00131CDD">
        <w:rPr>
          <w:rFonts w:ascii="Arial" w:hAnsi="Arial" w:cs="Arial"/>
          <w:b/>
          <w:bCs/>
          <w:sz w:val="20"/>
          <w:lang w:val="en-US"/>
        </w:rPr>
        <w:t xml:space="preserve"> histology</w:t>
      </w:r>
    </w:p>
    <w:tbl>
      <w:tblPr>
        <w:tblStyle w:val="TableGrid"/>
        <w:tblpPr w:leftFromText="142" w:rightFromText="142" w:vertAnchor="page" w:horzAnchor="margin" w:tblpY="2266"/>
        <w:tblW w:w="8755" w:type="dxa"/>
        <w:tblLayout w:type="fixed"/>
        <w:tblLook w:val="01E0" w:firstRow="1" w:lastRow="1" w:firstColumn="1" w:lastColumn="1" w:noHBand="0" w:noVBand="0"/>
      </w:tblPr>
      <w:tblGrid>
        <w:gridCol w:w="3504"/>
        <w:gridCol w:w="1282"/>
        <w:gridCol w:w="1418"/>
        <w:gridCol w:w="1275"/>
        <w:gridCol w:w="1276"/>
      </w:tblGrid>
      <w:tr w:rsidR="00F76ABF" w:rsidRPr="007609BA" w:rsidTr="00F77308">
        <w:trPr>
          <w:trHeight w:val="440"/>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p>
        </w:tc>
        <w:tc>
          <w:tcPr>
            <w:tcW w:w="2700"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b/>
                <w:sz w:val="20"/>
              </w:rPr>
            </w:pPr>
            <w:r w:rsidRPr="007609BA">
              <w:rPr>
                <w:rFonts w:ascii="Arial" w:hAnsi="Arial" w:cs="Arial"/>
                <w:b/>
                <w:sz w:val="20"/>
              </w:rPr>
              <w:t>All patients</w:t>
            </w:r>
          </w:p>
        </w:tc>
        <w:tc>
          <w:tcPr>
            <w:tcW w:w="2551"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b/>
                <w:sz w:val="20"/>
              </w:rPr>
            </w:pPr>
            <w:r w:rsidRPr="007609BA">
              <w:rPr>
                <w:rFonts w:ascii="Arial" w:hAnsi="Arial" w:cs="Arial"/>
                <w:b/>
                <w:sz w:val="20"/>
              </w:rPr>
              <w:t>Adenocarcinoma tumour histology</w:t>
            </w:r>
          </w:p>
        </w:tc>
      </w:tr>
      <w:tr w:rsidR="00F77308" w:rsidRPr="007609BA" w:rsidTr="00F77308">
        <w:trPr>
          <w:trHeight w:val="440"/>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p>
        </w:tc>
        <w:tc>
          <w:tcPr>
            <w:tcW w:w="1282" w:type="dxa"/>
            <w:tcBorders>
              <w:left w:val="single" w:sz="4" w:space="0" w:color="FFFFFF" w:themeColor="background1"/>
              <w:right w:val="single" w:sz="4" w:space="0" w:color="FFFFFF" w:themeColor="background1"/>
            </w:tcBorders>
          </w:tcPr>
          <w:p w:rsidR="00F76ABF" w:rsidRPr="00B0295E" w:rsidRDefault="007501C4" w:rsidP="00213207">
            <w:pPr>
              <w:keepNext/>
              <w:keepLines/>
              <w:spacing w:before="20" w:after="20"/>
              <w:jc w:val="center"/>
              <w:rPr>
                <w:rFonts w:ascii="Arial" w:hAnsi="Arial" w:cs="Arial"/>
                <w:b/>
                <w:sz w:val="18"/>
                <w:szCs w:val="18"/>
              </w:rPr>
            </w:pPr>
            <w:r>
              <w:rPr>
                <w:rFonts w:ascii="Arial" w:hAnsi="Arial" w:cs="Arial"/>
                <w:b/>
                <w:sz w:val="18"/>
                <w:szCs w:val="18"/>
              </w:rPr>
              <w:t>VARGATEF</w:t>
            </w:r>
          </w:p>
          <w:p w:rsidR="00F76ABF" w:rsidRPr="007609BA" w:rsidRDefault="00F76ABF" w:rsidP="00213207">
            <w:pPr>
              <w:keepNext/>
              <w:keepLines/>
              <w:spacing w:before="20" w:after="20"/>
              <w:jc w:val="center"/>
              <w:rPr>
                <w:rFonts w:ascii="Arial" w:hAnsi="Arial" w:cs="Arial"/>
                <w:b/>
                <w:sz w:val="20"/>
              </w:rPr>
            </w:pPr>
            <w:r w:rsidRPr="007609BA">
              <w:rPr>
                <w:rFonts w:ascii="Arial" w:hAnsi="Arial" w:cs="Arial"/>
                <w:b/>
                <w:sz w:val="20"/>
              </w:rPr>
              <w:t>(n = 565)</w:t>
            </w:r>
          </w:p>
        </w:tc>
        <w:tc>
          <w:tcPr>
            <w:tcW w:w="1418"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b/>
                <w:sz w:val="20"/>
              </w:rPr>
            </w:pPr>
            <w:r w:rsidRPr="007609BA">
              <w:rPr>
                <w:rFonts w:ascii="Arial" w:hAnsi="Arial" w:cs="Arial"/>
                <w:b/>
                <w:sz w:val="20"/>
              </w:rPr>
              <w:t>Placebo</w:t>
            </w:r>
          </w:p>
          <w:p w:rsidR="00F76ABF" w:rsidRPr="007609BA" w:rsidRDefault="00F76ABF" w:rsidP="00213207">
            <w:pPr>
              <w:keepNext/>
              <w:keepLines/>
              <w:spacing w:before="20" w:after="20"/>
              <w:jc w:val="center"/>
              <w:rPr>
                <w:rFonts w:ascii="Arial" w:hAnsi="Arial" w:cs="Arial"/>
                <w:b/>
                <w:sz w:val="20"/>
              </w:rPr>
            </w:pPr>
            <w:r w:rsidRPr="007609BA">
              <w:rPr>
                <w:rFonts w:ascii="Arial" w:hAnsi="Arial" w:cs="Arial"/>
                <w:b/>
                <w:sz w:val="20"/>
              </w:rPr>
              <w:t>(n = 569)</w:t>
            </w:r>
          </w:p>
        </w:tc>
        <w:tc>
          <w:tcPr>
            <w:tcW w:w="1275" w:type="dxa"/>
            <w:tcBorders>
              <w:left w:val="single" w:sz="4" w:space="0" w:color="FFFFFF" w:themeColor="background1"/>
              <w:right w:val="single" w:sz="4" w:space="0" w:color="FFFFFF" w:themeColor="background1"/>
            </w:tcBorders>
          </w:tcPr>
          <w:p w:rsidR="00B0295E" w:rsidRPr="00B0295E" w:rsidRDefault="007501C4" w:rsidP="00B0295E">
            <w:pPr>
              <w:keepNext/>
              <w:keepLines/>
              <w:spacing w:before="20" w:after="20"/>
              <w:jc w:val="center"/>
              <w:rPr>
                <w:rFonts w:ascii="Arial" w:hAnsi="Arial" w:cs="Arial"/>
                <w:b/>
                <w:sz w:val="18"/>
                <w:szCs w:val="18"/>
              </w:rPr>
            </w:pPr>
            <w:r>
              <w:rPr>
                <w:rFonts w:ascii="Arial" w:hAnsi="Arial" w:cs="Arial"/>
                <w:b/>
                <w:sz w:val="18"/>
                <w:szCs w:val="18"/>
              </w:rPr>
              <w:t>VARGATEF</w:t>
            </w:r>
          </w:p>
          <w:p w:rsidR="00F76ABF" w:rsidRPr="007609BA" w:rsidRDefault="00F76ABF" w:rsidP="00213207">
            <w:pPr>
              <w:keepNext/>
              <w:keepLines/>
              <w:spacing w:before="20" w:after="20"/>
              <w:jc w:val="center"/>
              <w:rPr>
                <w:rFonts w:ascii="Arial" w:hAnsi="Arial" w:cs="Arial"/>
                <w:b/>
                <w:sz w:val="20"/>
              </w:rPr>
            </w:pPr>
            <w:r w:rsidRPr="007609BA">
              <w:rPr>
                <w:rFonts w:ascii="Arial" w:hAnsi="Arial" w:cs="Arial"/>
                <w:b/>
                <w:sz w:val="20"/>
              </w:rPr>
              <w:t>(n = 277)</w:t>
            </w:r>
          </w:p>
        </w:tc>
        <w:tc>
          <w:tcPr>
            <w:tcW w:w="1276"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b/>
                <w:sz w:val="20"/>
              </w:rPr>
            </w:pPr>
            <w:r w:rsidRPr="007609BA">
              <w:rPr>
                <w:rFonts w:ascii="Arial" w:hAnsi="Arial" w:cs="Arial"/>
                <w:b/>
                <w:sz w:val="20"/>
              </w:rPr>
              <w:t>Placebo</w:t>
            </w:r>
            <w:r w:rsidRPr="007609BA">
              <w:rPr>
                <w:rFonts w:ascii="Arial" w:hAnsi="Arial" w:cs="Arial"/>
                <w:b/>
                <w:sz w:val="20"/>
              </w:rPr>
              <w:br/>
              <w:t>(n = 285)</w:t>
            </w:r>
          </w:p>
        </w:tc>
      </w:tr>
      <w:tr w:rsidR="00F77308" w:rsidRPr="007609BA" w:rsidTr="00F77308">
        <w:trPr>
          <w:trHeight w:val="286"/>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b/>
                <w:sz w:val="20"/>
              </w:rPr>
            </w:pPr>
            <w:r w:rsidRPr="007609BA">
              <w:rPr>
                <w:rFonts w:ascii="Arial" w:hAnsi="Arial" w:cs="Arial"/>
                <w:b/>
                <w:sz w:val="20"/>
              </w:rPr>
              <w:t>Progression free survival*</w:t>
            </w:r>
          </w:p>
        </w:tc>
        <w:tc>
          <w:tcPr>
            <w:tcW w:w="1282"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b/>
                <w:sz w:val="20"/>
              </w:rPr>
            </w:pPr>
          </w:p>
        </w:tc>
        <w:tc>
          <w:tcPr>
            <w:tcW w:w="1418"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b/>
                <w:sz w:val="20"/>
              </w:rPr>
            </w:pPr>
          </w:p>
        </w:tc>
        <w:tc>
          <w:tcPr>
            <w:tcW w:w="1275"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b/>
                <w:sz w:val="20"/>
              </w:rPr>
            </w:pPr>
          </w:p>
        </w:tc>
        <w:tc>
          <w:tcPr>
            <w:tcW w:w="1276"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b/>
                <w:sz w:val="20"/>
              </w:rPr>
            </w:pPr>
          </w:p>
        </w:tc>
      </w:tr>
      <w:tr w:rsidR="00F77308" w:rsidRPr="007609BA" w:rsidTr="00F77308">
        <w:trPr>
          <w:trHeight w:val="524"/>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r w:rsidRPr="007609BA">
              <w:rPr>
                <w:rFonts w:ascii="Arial" w:hAnsi="Arial" w:cs="Arial"/>
                <w:sz w:val="20"/>
              </w:rPr>
              <w:t xml:space="preserve">Number of Deaths or Progressions, </w:t>
            </w:r>
            <w:r w:rsidRPr="007609BA">
              <w:rPr>
                <w:rFonts w:ascii="Arial" w:hAnsi="Arial" w:cs="Arial"/>
                <w:sz w:val="20"/>
              </w:rPr>
              <w:br/>
              <w:t>n (%)</w:t>
            </w:r>
          </w:p>
        </w:tc>
        <w:tc>
          <w:tcPr>
            <w:tcW w:w="1282"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339 (60.0)</w:t>
            </w:r>
          </w:p>
        </w:tc>
        <w:tc>
          <w:tcPr>
            <w:tcW w:w="1418"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375 (65.9)</w:t>
            </w:r>
          </w:p>
        </w:tc>
        <w:tc>
          <w:tcPr>
            <w:tcW w:w="1275"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152 (54.9)</w:t>
            </w:r>
          </w:p>
        </w:tc>
        <w:tc>
          <w:tcPr>
            <w:tcW w:w="1276"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180 (63.2)</w:t>
            </w:r>
          </w:p>
        </w:tc>
      </w:tr>
      <w:tr w:rsidR="00F77308" w:rsidRPr="007609BA" w:rsidTr="00F77308">
        <w:trPr>
          <w:trHeight w:val="314"/>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r w:rsidRPr="007609BA">
              <w:rPr>
                <w:rFonts w:ascii="Arial" w:hAnsi="Arial" w:cs="Arial"/>
                <w:sz w:val="20"/>
              </w:rPr>
              <w:t>Median PFS [months]</w:t>
            </w:r>
          </w:p>
        </w:tc>
        <w:tc>
          <w:tcPr>
            <w:tcW w:w="1282"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3.4</w:t>
            </w:r>
          </w:p>
        </w:tc>
        <w:tc>
          <w:tcPr>
            <w:tcW w:w="1418"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2.7</w:t>
            </w:r>
          </w:p>
        </w:tc>
        <w:tc>
          <w:tcPr>
            <w:tcW w:w="1275"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4.0</w:t>
            </w:r>
          </w:p>
        </w:tc>
        <w:tc>
          <w:tcPr>
            <w:tcW w:w="1276"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2.8</w:t>
            </w:r>
          </w:p>
        </w:tc>
      </w:tr>
      <w:tr w:rsidR="00F76ABF" w:rsidRPr="007609BA" w:rsidTr="00F77308">
        <w:trPr>
          <w:trHeight w:val="286"/>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r w:rsidRPr="007609BA">
              <w:rPr>
                <w:rFonts w:ascii="Arial" w:hAnsi="Arial" w:cs="Arial"/>
                <w:sz w:val="20"/>
              </w:rPr>
              <w:t>HR (95% CI)**</w:t>
            </w:r>
          </w:p>
        </w:tc>
        <w:tc>
          <w:tcPr>
            <w:tcW w:w="2700"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0.79 (0.68, 0.92)</w:t>
            </w:r>
          </w:p>
        </w:tc>
        <w:tc>
          <w:tcPr>
            <w:tcW w:w="2551"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0.77 (0.62, 0.96)</w:t>
            </w:r>
          </w:p>
        </w:tc>
      </w:tr>
      <w:tr w:rsidR="00F76ABF" w:rsidRPr="007609BA" w:rsidTr="00F77308">
        <w:trPr>
          <w:trHeight w:val="286"/>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r w:rsidRPr="007609BA">
              <w:rPr>
                <w:rFonts w:ascii="Arial" w:hAnsi="Arial" w:cs="Arial"/>
                <w:sz w:val="20"/>
              </w:rPr>
              <w:t xml:space="preserve">Stratified Log-Rank Test p-value** </w:t>
            </w:r>
          </w:p>
        </w:tc>
        <w:tc>
          <w:tcPr>
            <w:tcW w:w="2700"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0.0019</w:t>
            </w:r>
          </w:p>
        </w:tc>
        <w:tc>
          <w:tcPr>
            <w:tcW w:w="2551"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0.0193</w:t>
            </w:r>
          </w:p>
        </w:tc>
      </w:tr>
      <w:tr w:rsidR="00F77308" w:rsidRPr="007609BA" w:rsidTr="00F77308">
        <w:trPr>
          <w:trHeight w:val="286"/>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r w:rsidRPr="007609BA">
              <w:rPr>
                <w:rFonts w:ascii="Arial" w:hAnsi="Arial" w:cs="Arial"/>
                <w:sz w:val="20"/>
              </w:rPr>
              <w:t>Disease control [%]</w:t>
            </w:r>
          </w:p>
        </w:tc>
        <w:tc>
          <w:tcPr>
            <w:tcW w:w="1282"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48.5</w:t>
            </w:r>
          </w:p>
        </w:tc>
        <w:tc>
          <w:tcPr>
            <w:tcW w:w="1418"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37.6</w:t>
            </w:r>
          </w:p>
        </w:tc>
        <w:tc>
          <w:tcPr>
            <w:tcW w:w="1275"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60.6</w:t>
            </w:r>
          </w:p>
        </w:tc>
        <w:tc>
          <w:tcPr>
            <w:tcW w:w="1276"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43.9</w:t>
            </w:r>
          </w:p>
        </w:tc>
      </w:tr>
      <w:tr w:rsidR="00F76ABF" w:rsidRPr="007609BA" w:rsidTr="00F77308">
        <w:trPr>
          <w:trHeight w:val="286"/>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r w:rsidRPr="007609BA">
              <w:rPr>
                <w:rFonts w:ascii="Arial" w:hAnsi="Arial" w:cs="Arial"/>
                <w:sz w:val="20"/>
              </w:rPr>
              <w:tab/>
              <w:t>Odds ratio (95% CI)</w:t>
            </w:r>
            <w:r w:rsidRPr="007609BA">
              <w:rPr>
                <w:rFonts w:ascii="Arial" w:hAnsi="Arial" w:cs="Arial"/>
                <w:sz w:val="20"/>
                <w:vertAlign w:val="superscript"/>
              </w:rPr>
              <w:t>+</w:t>
            </w:r>
          </w:p>
        </w:tc>
        <w:tc>
          <w:tcPr>
            <w:tcW w:w="2700"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1.56 (1.23, 1.98)</w:t>
            </w:r>
          </w:p>
        </w:tc>
        <w:tc>
          <w:tcPr>
            <w:tcW w:w="2551"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1.98 (1.41, 2.77)</w:t>
            </w:r>
          </w:p>
        </w:tc>
      </w:tr>
      <w:tr w:rsidR="00F76ABF" w:rsidRPr="007609BA" w:rsidTr="00F77308">
        <w:trPr>
          <w:trHeight w:val="286"/>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r w:rsidRPr="007609BA">
              <w:rPr>
                <w:rFonts w:ascii="Arial" w:hAnsi="Arial" w:cs="Arial"/>
                <w:sz w:val="20"/>
              </w:rPr>
              <w:tab/>
              <w:t>p-value+</w:t>
            </w:r>
          </w:p>
        </w:tc>
        <w:tc>
          <w:tcPr>
            <w:tcW w:w="2700"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0.0002</w:t>
            </w:r>
          </w:p>
        </w:tc>
        <w:tc>
          <w:tcPr>
            <w:tcW w:w="2551"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&lt;0.0001</w:t>
            </w:r>
          </w:p>
        </w:tc>
      </w:tr>
      <w:tr w:rsidR="00F77308" w:rsidRPr="007609BA" w:rsidTr="00F77308">
        <w:trPr>
          <w:trHeight w:val="286"/>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r w:rsidRPr="007609BA">
              <w:rPr>
                <w:rFonts w:ascii="Arial" w:hAnsi="Arial" w:cs="Arial"/>
                <w:sz w:val="20"/>
              </w:rPr>
              <w:t>Objective response [%]</w:t>
            </w:r>
          </w:p>
        </w:tc>
        <w:tc>
          <w:tcPr>
            <w:tcW w:w="1282"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3.4</w:t>
            </w:r>
          </w:p>
        </w:tc>
        <w:tc>
          <w:tcPr>
            <w:tcW w:w="1418"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1.9</w:t>
            </w:r>
          </w:p>
        </w:tc>
        <w:tc>
          <w:tcPr>
            <w:tcW w:w="1275"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4.3</w:t>
            </w:r>
          </w:p>
        </w:tc>
        <w:tc>
          <w:tcPr>
            <w:tcW w:w="1276"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3.5</w:t>
            </w:r>
          </w:p>
        </w:tc>
      </w:tr>
      <w:tr w:rsidR="00F76ABF" w:rsidRPr="007609BA" w:rsidTr="00F77308">
        <w:trPr>
          <w:trHeight w:val="286"/>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r w:rsidRPr="007609BA">
              <w:rPr>
                <w:rFonts w:ascii="Arial" w:hAnsi="Arial" w:cs="Arial"/>
                <w:sz w:val="20"/>
              </w:rPr>
              <w:tab/>
              <w:t>Odds ratio (95% CI)</w:t>
            </w:r>
            <w:r w:rsidRPr="007609BA">
              <w:rPr>
                <w:rFonts w:ascii="Arial" w:hAnsi="Arial" w:cs="Arial"/>
                <w:sz w:val="20"/>
                <w:vertAlign w:val="superscript"/>
              </w:rPr>
              <w:t>+</w:t>
            </w:r>
          </w:p>
        </w:tc>
        <w:tc>
          <w:tcPr>
            <w:tcW w:w="2700"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1.77 (0.85, 3.89)</w:t>
            </w:r>
          </w:p>
        </w:tc>
        <w:tc>
          <w:tcPr>
            <w:tcW w:w="2551"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1.25 (0.53, 3.01)</w:t>
            </w:r>
          </w:p>
        </w:tc>
      </w:tr>
      <w:tr w:rsidR="00F76ABF" w:rsidRPr="007609BA" w:rsidTr="00F77308">
        <w:trPr>
          <w:trHeight w:val="286"/>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r w:rsidRPr="007609BA">
              <w:rPr>
                <w:rFonts w:ascii="Arial" w:hAnsi="Arial" w:cs="Arial"/>
                <w:sz w:val="20"/>
              </w:rPr>
              <w:tab/>
              <w:t>p-value+</w:t>
            </w:r>
          </w:p>
        </w:tc>
        <w:tc>
          <w:tcPr>
            <w:tcW w:w="2700"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0.1283</w:t>
            </w:r>
          </w:p>
        </w:tc>
        <w:tc>
          <w:tcPr>
            <w:tcW w:w="2551"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0.6122</w:t>
            </w:r>
          </w:p>
        </w:tc>
      </w:tr>
      <w:tr w:rsidR="00F77308" w:rsidRPr="007609BA" w:rsidTr="00F77308">
        <w:trPr>
          <w:trHeight w:val="286"/>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b/>
                <w:sz w:val="20"/>
              </w:rPr>
            </w:pPr>
            <w:r w:rsidRPr="007609BA">
              <w:rPr>
                <w:rFonts w:ascii="Arial" w:hAnsi="Arial" w:cs="Arial"/>
                <w:b/>
                <w:sz w:val="20"/>
              </w:rPr>
              <w:t>Overall Survival***</w:t>
            </w:r>
          </w:p>
        </w:tc>
        <w:tc>
          <w:tcPr>
            <w:tcW w:w="1282"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b/>
                <w:sz w:val="20"/>
              </w:rPr>
            </w:pPr>
            <w:r w:rsidRPr="007609BA">
              <w:rPr>
                <w:rFonts w:ascii="Arial" w:hAnsi="Arial" w:cs="Arial"/>
                <w:b/>
                <w:sz w:val="20"/>
              </w:rPr>
              <w:t>(n= 655)</w:t>
            </w:r>
          </w:p>
        </w:tc>
        <w:tc>
          <w:tcPr>
            <w:tcW w:w="1418"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b/>
                <w:sz w:val="20"/>
              </w:rPr>
            </w:pPr>
            <w:r w:rsidRPr="007609BA">
              <w:rPr>
                <w:rFonts w:ascii="Arial" w:hAnsi="Arial" w:cs="Arial"/>
                <w:b/>
                <w:sz w:val="20"/>
              </w:rPr>
              <w:t>(n= 659)</w:t>
            </w:r>
          </w:p>
        </w:tc>
        <w:tc>
          <w:tcPr>
            <w:tcW w:w="1275"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b/>
                <w:sz w:val="20"/>
              </w:rPr>
            </w:pPr>
            <w:r w:rsidRPr="007609BA">
              <w:rPr>
                <w:rFonts w:ascii="Arial" w:hAnsi="Arial" w:cs="Arial"/>
                <w:b/>
                <w:sz w:val="20"/>
              </w:rPr>
              <w:t>(n= 322)</w:t>
            </w:r>
          </w:p>
        </w:tc>
        <w:tc>
          <w:tcPr>
            <w:tcW w:w="1276"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b/>
                <w:sz w:val="20"/>
              </w:rPr>
            </w:pPr>
            <w:r w:rsidRPr="007609BA">
              <w:rPr>
                <w:rFonts w:ascii="Arial" w:hAnsi="Arial" w:cs="Arial"/>
                <w:b/>
                <w:sz w:val="20"/>
              </w:rPr>
              <w:t>(n= 336)</w:t>
            </w:r>
          </w:p>
        </w:tc>
      </w:tr>
      <w:tr w:rsidR="00F77308" w:rsidRPr="007609BA" w:rsidTr="00F77308">
        <w:trPr>
          <w:trHeight w:val="131"/>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r w:rsidRPr="007609BA">
              <w:rPr>
                <w:rFonts w:ascii="Arial" w:hAnsi="Arial" w:cs="Arial"/>
                <w:sz w:val="20"/>
              </w:rPr>
              <w:t>Number of OS events, n (%)</w:t>
            </w:r>
          </w:p>
        </w:tc>
        <w:tc>
          <w:tcPr>
            <w:tcW w:w="1282"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564 (86.1)</w:t>
            </w:r>
          </w:p>
        </w:tc>
        <w:tc>
          <w:tcPr>
            <w:tcW w:w="1418"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557 (84.5)</w:t>
            </w:r>
          </w:p>
        </w:tc>
        <w:tc>
          <w:tcPr>
            <w:tcW w:w="1275"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259 (80.4)</w:t>
            </w:r>
          </w:p>
        </w:tc>
        <w:tc>
          <w:tcPr>
            <w:tcW w:w="1276"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276</w:t>
            </w:r>
          </w:p>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(82.1)</w:t>
            </w:r>
          </w:p>
        </w:tc>
      </w:tr>
      <w:tr w:rsidR="00F77308" w:rsidRPr="007609BA" w:rsidTr="00F77308">
        <w:trPr>
          <w:trHeight w:val="255"/>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r w:rsidRPr="007609BA">
              <w:rPr>
                <w:rFonts w:ascii="Arial" w:hAnsi="Arial" w:cs="Arial"/>
                <w:sz w:val="20"/>
              </w:rPr>
              <w:t>Median OS [months]</w:t>
            </w:r>
          </w:p>
        </w:tc>
        <w:tc>
          <w:tcPr>
            <w:tcW w:w="1282"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10.1</w:t>
            </w:r>
          </w:p>
        </w:tc>
        <w:tc>
          <w:tcPr>
            <w:tcW w:w="1418"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9.1</w:t>
            </w:r>
          </w:p>
        </w:tc>
        <w:tc>
          <w:tcPr>
            <w:tcW w:w="1275"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12.6</w:t>
            </w:r>
          </w:p>
        </w:tc>
        <w:tc>
          <w:tcPr>
            <w:tcW w:w="1276"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10.3</w:t>
            </w:r>
          </w:p>
        </w:tc>
      </w:tr>
      <w:tr w:rsidR="00F76ABF" w:rsidRPr="007609BA" w:rsidTr="00F77308">
        <w:trPr>
          <w:trHeight w:val="216"/>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r w:rsidRPr="007609BA">
              <w:rPr>
                <w:rFonts w:ascii="Arial" w:hAnsi="Arial" w:cs="Arial"/>
                <w:sz w:val="20"/>
              </w:rPr>
              <w:t>HR (95% CI)</w:t>
            </w:r>
          </w:p>
        </w:tc>
        <w:tc>
          <w:tcPr>
            <w:tcW w:w="2700"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0.94 (0.83, 1.05)</w:t>
            </w:r>
          </w:p>
        </w:tc>
        <w:tc>
          <w:tcPr>
            <w:tcW w:w="2551"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0.83 (0.70, 0.99)</w:t>
            </w:r>
          </w:p>
        </w:tc>
      </w:tr>
      <w:tr w:rsidR="00F76ABF" w:rsidRPr="007609BA" w:rsidTr="00F77308">
        <w:trPr>
          <w:trHeight w:val="286"/>
        </w:trPr>
        <w:tc>
          <w:tcPr>
            <w:tcW w:w="3504" w:type="dxa"/>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rPr>
                <w:rFonts w:ascii="Arial" w:hAnsi="Arial" w:cs="Arial"/>
                <w:sz w:val="20"/>
              </w:rPr>
            </w:pPr>
            <w:r w:rsidRPr="007609BA">
              <w:rPr>
                <w:rFonts w:ascii="Arial" w:hAnsi="Arial" w:cs="Arial"/>
                <w:sz w:val="20"/>
              </w:rPr>
              <w:t xml:space="preserve">Stratified Log-Rank Test p-value* </w:t>
            </w:r>
          </w:p>
        </w:tc>
        <w:tc>
          <w:tcPr>
            <w:tcW w:w="2700"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0.2720</w:t>
            </w:r>
          </w:p>
        </w:tc>
        <w:tc>
          <w:tcPr>
            <w:tcW w:w="2551" w:type="dxa"/>
            <w:gridSpan w:val="2"/>
            <w:tcBorders>
              <w:left w:val="single" w:sz="4" w:space="0" w:color="FFFFFF" w:themeColor="background1"/>
              <w:right w:val="single" w:sz="4" w:space="0" w:color="FFFFFF" w:themeColor="background1"/>
            </w:tcBorders>
          </w:tcPr>
          <w:p w:rsidR="00F76ABF" w:rsidRPr="007609BA" w:rsidRDefault="00F76ABF" w:rsidP="00213207">
            <w:pPr>
              <w:keepNext/>
              <w:keepLines/>
              <w:spacing w:before="20" w:after="20"/>
              <w:jc w:val="center"/>
              <w:rPr>
                <w:rFonts w:ascii="Arial" w:hAnsi="Arial" w:cs="Arial"/>
                <w:sz w:val="20"/>
              </w:rPr>
            </w:pPr>
            <w:r w:rsidRPr="007609BA">
              <w:rPr>
                <w:rFonts w:ascii="Arial" w:hAnsi="Arial" w:cs="Arial"/>
                <w:sz w:val="20"/>
              </w:rPr>
              <w:t>0.0359</w:t>
            </w:r>
          </w:p>
        </w:tc>
      </w:tr>
    </w:tbl>
    <w:p w:rsidR="00D415E4" w:rsidRPr="0020404D" w:rsidRDefault="001F368B" w:rsidP="00D538FA">
      <w:pPr>
        <w:tabs>
          <w:tab w:val="left" w:pos="284"/>
        </w:tabs>
        <w:autoSpaceDE w:val="0"/>
        <w:autoSpaceDN w:val="0"/>
        <w:adjustRightInd w:val="0"/>
        <w:spacing w:before="120"/>
        <w:ind w:left="284" w:hanging="284"/>
        <w:jc w:val="both"/>
        <w:rPr>
          <w:rFonts w:ascii="Arial" w:hAnsi="Arial" w:cs="Arial"/>
          <w:sz w:val="20"/>
          <w:lang w:val="en-GB" w:eastAsia="de-DE"/>
        </w:rPr>
      </w:pPr>
      <w:r w:rsidRPr="0020404D">
        <w:rPr>
          <w:rFonts w:ascii="Arial" w:hAnsi="Arial" w:cs="Arial"/>
          <w:sz w:val="20"/>
          <w:vertAlign w:val="superscript"/>
          <w:lang w:val="en-GB" w:eastAsia="de-DE"/>
        </w:rPr>
        <w:t>*</w:t>
      </w:r>
      <w:r w:rsidRPr="0020404D">
        <w:rPr>
          <w:rFonts w:ascii="Arial" w:hAnsi="Arial" w:cs="Arial"/>
          <w:sz w:val="20"/>
          <w:lang w:val="en-GB" w:eastAsia="de-DE"/>
        </w:rPr>
        <w:tab/>
        <w:t>Primary PFS analysis based on a total of 713</w:t>
      </w:r>
      <w:r w:rsidRPr="0020404D">
        <w:rPr>
          <w:rFonts w:ascii="Arial" w:hAnsi="Arial" w:cs="Arial"/>
          <w:sz w:val="20"/>
          <w:vertAlign w:val="superscript"/>
          <w:lang w:val="en-GB" w:eastAsia="de-DE"/>
        </w:rPr>
        <w:t>th</w:t>
      </w:r>
      <w:r w:rsidRPr="0020404D">
        <w:rPr>
          <w:rFonts w:ascii="Arial" w:hAnsi="Arial" w:cs="Arial"/>
          <w:sz w:val="20"/>
          <w:lang w:val="en-GB" w:eastAsia="de-DE"/>
        </w:rPr>
        <w:t xml:space="preserve"> PFS events in the overall population. </w:t>
      </w:r>
      <w:r w:rsidR="00D415E4" w:rsidRPr="00E55B53">
        <w:rPr>
          <w:rFonts w:ascii="Arial" w:hAnsi="Arial" w:cs="Arial"/>
          <w:sz w:val="20"/>
          <w:lang w:val="en-GB" w:eastAsia="de-DE"/>
        </w:rPr>
        <w:t>Recruitment was ongoing when the primary analysis was conducted.</w:t>
      </w:r>
    </w:p>
    <w:p w:rsidR="001F368B" w:rsidRPr="0020404D" w:rsidRDefault="001F368B" w:rsidP="001F368B">
      <w:pPr>
        <w:tabs>
          <w:tab w:val="left" w:pos="284"/>
        </w:tabs>
        <w:autoSpaceDE w:val="0"/>
        <w:autoSpaceDN w:val="0"/>
        <w:adjustRightInd w:val="0"/>
        <w:ind w:left="284" w:hanging="284"/>
        <w:jc w:val="both"/>
        <w:rPr>
          <w:rFonts w:ascii="Arial" w:hAnsi="Arial" w:cs="Arial"/>
          <w:sz w:val="20"/>
          <w:lang w:val="en-GB"/>
        </w:rPr>
      </w:pPr>
      <w:r w:rsidRPr="0020404D">
        <w:rPr>
          <w:rFonts w:ascii="Arial" w:hAnsi="Arial" w:cs="Arial"/>
          <w:sz w:val="20"/>
          <w:vertAlign w:val="superscript"/>
          <w:lang w:val="en-GB" w:eastAsia="de-DE"/>
        </w:rPr>
        <w:t>**</w:t>
      </w:r>
      <w:r w:rsidRPr="0020404D">
        <w:rPr>
          <w:rFonts w:ascii="Arial" w:hAnsi="Arial" w:cs="Arial"/>
          <w:sz w:val="20"/>
          <w:vertAlign w:val="superscript"/>
          <w:lang w:val="en-GB" w:eastAsia="de-DE"/>
        </w:rPr>
        <w:tab/>
      </w:r>
      <w:r w:rsidRPr="0020404D">
        <w:rPr>
          <w:rFonts w:ascii="Arial" w:hAnsi="Arial" w:cs="Arial"/>
          <w:sz w:val="20"/>
          <w:lang w:val="en-GB" w:eastAsia="de-DE"/>
        </w:rPr>
        <w:t>Stratified by baseline ECOG PS</w:t>
      </w:r>
      <w:r w:rsidRPr="0020404D">
        <w:rPr>
          <w:rFonts w:ascii="Arial" w:hAnsi="Arial" w:cs="Arial"/>
          <w:sz w:val="20"/>
          <w:lang w:val="en-GB"/>
        </w:rPr>
        <w:t xml:space="preserve"> (0 </w:t>
      </w:r>
      <w:r w:rsidRPr="0020404D">
        <w:rPr>
          <w:rFonts w:ascii="Arial" w:hAnsi="Arial" w:cs="Arial"/>
          <w:i/>
          <w:sz w:val="20"/>
          <w:lang w:val="en-GB"/>
        </w:rPr>
        <w:t>vs</w:t>
      </w:r>
      <w:r w:rsidRPr="0020404D">
        <w:rPr>
          <w:rFonts w:ascii="Arial" w:hAnsi="Arial" w:cs="Arial"/>
          <w:sz w:val="20"/>
          <w:lang w:val="en-GB"/>
        </w:rPr>
        <w:t xml:space="preserve">. 1), brain metastases at baseline (yes vs. no) and prior treatment with bevacizumab (yes </w:t>
      </w:r>
      <w:r w:rsidRPr="0020404D">
        <w:rPr>
          <w:rFonts w:ascii="Arial" w:hAnsi="Arial" w:cs="Arial"/>
          <w:i/>
          <w:sz w:val="20"/>
          <w:lang w:val="en-GB"/>
        </w:rPr>
        <w:t>vs</w:t>
      </w:r>
      <w:r w:rsidRPr="0020404D">
        <w:rPr>
          <w:rFonts w:ascii="Arial" w:hAnsi="Arial" w:cs="Arial"/>
          <w:sz w:val="20"/>
          <w:lang w:val="en-GB"/>
        </w:rPr>
        <w:t>. no)</w:t>
      </w:r>
      <w:r w:rsidR="00F87682">
        <w:rPr>
          <w:rFonts w:ascii="Arial" w:hAnsi="Arial" w:cs="Arial"/>
          <w:sz w:val="20"/>
          <w:lang w:val="en-GB"/>
        </w:rPr>
        <w:t xml:space="preserve"> </w:t>
      </w:r>
      <w:r w:rsidRPr="0020404D">
        <w:rPr>
          <w:rFonts w:ascii="Arial" w:hAnsi="Arial" w:cs="Arial"/>
          <w:sz w:val="20"/>
          <w:lang w:val="en-GB"/>
        </w:rPr>
        <w:t xml:space="preserve">and in the all patients population additionally stratified by tumour histology (squamous </w:t>
      </w:r>
      <w:r w:rsidRPr="0020404D">
        <w:rPr>
          <w:rFonts w:ascii="Arial" w:hAnsi="Arial" w:cs="Arial"/>
          <w:i/>
          <w:sz w:val="20"/>
          <w:lang w:val="en-GB"/>
        </w:rPr>
        <w:t>vs</w:t>
      </w:r>
      <w:r w:rsidRPr="0020404D">
        <w:rPr>
          <w:rFonts w:ascii="Arial" w:hAnsi="Arial" w:cs="Arial"/>
          <w:sz w:val="20"/>
          <w:lang w:val="en-GB"/>
        </w:rPr>
        <w:t>. non−squamous).</w:t>
      </w:r>
      <w:r w:rsidRPr="0020404D">
        <w:rPr>
          <w:rFonts w:ascii="Arial" w:hAnsi="Arial" w:cs="Arial"/>
          <w:sz w:val="20"/>
          <w:lang w:val="en-GB" w:eastAsia="de-DE"/>
        </w:rPr>
        <w:t xml:space="preserve"> </w:t>
      </w:r>
    </w:p>
    <w:p w:rsidR="001F368B" w:rsidRPr="0020404D" w:rsidRDefault="001F368B" w:rsidP="001F368B">
      <w:pPr>
        <w:tabs>
          <w:tab w:val="left" w:pos="284"/>
        </w:tabs>
        <w:autoSpaceDE w:val="0"/>
        <w:autoSpaceDN w:val="0"/>
        <w:adjustRightInd w:val="0"/>
        <w:ind w:left="284" w:hanging="284"/>
        <w:jc w:val="both"/>
        <w:rPr>
          <w:rFonts w:ascii="Arial" w:hAnsi="Arial" w:cs="Arial"/>
          <w:sz w:val="20"/>
          <w:lang w:val="en-GB" w:eastAsia="de-DE"/>
        </w:rPr>
      </w:pPr>
      <w:r w:rsidRPr="0020404D">
        <w:rPr>
          <w:rFonts w:ascii="Arial" w:hAnsi="Arial" w:cs="Arial"/>
          <w:sz w:val="20"/>
          <w:vertAlign w:val="superscript"/>
          <w:lang w:val="en-GB" w:eastAsia="de-DE"/>
        </w:rPr>
        <w:t>***</w:t>
      </w:r>
      <w:r w:rsidRPr="0020404D">
        <w:rPr>
          <w:rFonts w:ascii="Arial" w:hAnsi="Arial" w:cs="Arial"/>
          <w:sz w:val="20"/>
          <w:vertAlign w:val="superscript"/>
          <w:lang w:val="en-GB" w:eastAsia="de-DE"/>
        </w:rPr>
        <w:tab/>
      </w:r>
      <w:r w:rsidRPr="0020404D">
        <w:rPr>
          <w:rFonts w:ascii="Arial" w:hAnsi="Arial" w:cs="Arial"/>
          <w:sz w:val="20"/>
          <w:lang w:val="en-GB" w:eastAsia="de-DE"/>
        </w:rPr>
        <w:t>OS analysis based on a total of 1121 deaths in the overall population</w:t>
      </w:r>
    </w:p>
    <w:p w:rsidR="001F368B" w:rsidRPr="0020404D" w:rsidRDefault="001F368B" w:rsidP="001F368B">
      <w:pPr>
        <w:tabs>
          <w:tab w:val="left" w:pos="284"/>
        </w:tabs>
        <w:autoSpaceDE w:val="0"/>
        <w:autoSpaceDN w:val="0"/>
        <w:adjustRightInd w:val="0"/>
        <w:ind w:left="284" w:hanging="284"/>
        <w:jc w:val="both"/>
        <w:rPr>
          <w:rFonts w:ascii="Arial" w:hAnsi="Arial" w:cs="Arial"/>
          <w:sz w:val="20"/>
          <w:lang w:val="en-GB"/>
        </w:rPr>
      </w:pPr>
      <w:r w:rsidRPr="0020404D">
        <w:rPr>
          <w:rFonts w:ascii="Arial" w:hAnsi="Arial" w:cs="Arial"/>
          <w:sz w:val="20"/>
          <w:lang w:val="en-GB"/>
        </w:rPr>
        <w:t>+</w:t>
      </w:r>
      <w:r w:rsidRPr="0020404D">
        <w:rPr>
          <w:rFonts w:ascii="Arial" w:hAnsi="Arial" w:cs="Arial"/>
          <w:sz w:val="20"/>
          <w:lang w:val="en-GB"/>
        </w:rPr>
        <w:tab/>
        <w:t xml:space="preserve">Odds ratio and p-value are obtained from a logistic regression model adjusted for baseline ECOG Performance Score (0 </w:t>
      </w:r>
      <w:r w:rsidRPr="0020404D">
        <w:rPr>
          <w:rFonts w:ascii="Arial" w:hAnsi="Arial" w:cs="Arial"/>
          <w:i/>
          <w:sz w:val="20"/>
          <w:lang w:val="en-GB"/>
        </w:rPr>
        <w:t>vs</w:t>
      </w:r>
      <w:r w:rsidRPr="0020404D">
        <w:rPr>
          <w:rFonts w:ascii="Arial" w:hAnsi="Arial" w:cs="Arial"/>
          <w:sz w:val="20"/>
          <w:lang w:val="en-GB"/>
        </w:rPr>
        <w:t>. 1) and in the all patients population it is additionally adjusted by tumour histology (squamous vs. non-squamous).</w:t>
      </w:r>
    </w:p>
    <w:p w:rsidR="001F368B" w:rsidRPr="001F368B" w:rsidRDefault="001F368B" w:rsidP="00050E10">
      <w:pPr>
        <w:pStyle w:val="TextPI"/>
        <w:rPr>
          <w:lang w:val="en-GB" w:eastAsia="de-DE"/>
        </w:rPr>
      </w:pPr>
      <w:r w:rsidRPr="001F368B">
        <w:rPr>
          <w:lang w:val="en-GB" w:eastAsia="de-DE"/>
        </w:rPr>
        <w:t xml:space="preserve">A statistically significant improvement in OS favouring treatment with </w:t>
      </w:r>
      <w:proofErr w:type="spellStart"/>
      <w:r w:rsidRPr="001F368B">
        <w:rPr>
          <w:lang w:val="en-GB" w:eastAsia="de-DE"/>
        </w:rPr>
        <w:t>nintedanib</w:t>
      </w:r>
      <w:proofErr w:type="spellEnd"/>
      <w:r w:rsidRPr="001F368B">
        <w:rPr>
          <w:lang w:val="en-GB" w:eastAsia="de-DE"/>
        </w:rPr>
        <w:t xml:space="preserve"> plus docetaxel was demonstrated in patients with adenocarcinoma with a 17% reduction in the risk of death (HR 0.83, p = 0.0359) and a median OS improvement of 2.3 months (10.3 </w:t>
      </w:r>
      <w:r w:rsidRPr="0020404D">
        <w:rPr>
          <w:iCs/>
          <w:lang w:val="en-GB" w:eastAsia="de-DE"/>
        </w:rPr>
        <w:t>vs</w:t>
      </w:r>
      <w:r w:rsidRPr="001F368B">
        <w:rPr>
          <w:lang w:val="en-GB" w:eastAsia="de-DE"/>
        </w:rPr>
        <w:t>. 12.6 months</w:t>
      </w:r>
      <w:r w:rsidRPr="00E37488">
        <w:rPr>
          <w:bCs/>
          <w:lang w:val="en-GB" w:eastAsia="de-DE"/>
        </w:rPr>
        <w:t xml:space="preserve">, </w:t>
      </w:r>
      <w:r w:rsidRPr="0020404D">
        <w:rPr>
          <w:lang w:val="en-GB" w:eastAsia="de-DE"/>
        </w:rPr>
        <w:t>Figure 1</w:t>
      </w:r>
      <w:r w:rsidR="0020404D">
        <w:rPr>
          <w:lang w:val="en-GB" w:eastAsia="de-DE"/>
        </w:rPr>
        <w:t>).</w:t>
      </w:r>
    </w:p>
    <w:p w:rsidR="001F368B" w:rsidRPr="00860C03" w:rsidRDefault="008C28BB" w:rsidP="008C28BB">
      <w:pPr>
        <w:pageBreakBefore/>
        <w:tabs>
          <w:tab w:val="num" w:pos="0"/>
        </w:tabs>
        <w:spacing w:before="180" w:after="180"/>
        <w:ind w:left="1122" w:hanging="1122"/>
        <w:outlineLvl w:val="5"/>
        <w:rPr>
          <w:rFonts w:ascii="Arial" w:hAnsi="Arial" w:cs="Arial"/>
          <w:b/>
          <w:bCs/>
          <w:sz w:val="22"/>
          <w:szCs w:val="22"/>
          <w:lang w:val="en-US" w:eastAsia="de-DE"/>
        </w:rPr>
      </w:pPr>
      <w:r w:rsidRPr="00860C03">
        <w:rPr>
          <w:rFonts w:ascii="Arial" w:hAnsi="Arial" w:cs="Arial"/>
          <w:b/>
          <w:bCs/>
          <w:sz w:val="22"/>
          <w:szCs w:val="22"/>
          <w:lang w:val="en-US" w:eastAsia="de-DE"/>
        </w:rPr>
        <w:lastRenderedPageBreak/>
        <w:t>Figure 1:</w:t>
      </w:r>
      <w:r w:rsidRPr="00860C03">
        <w:rPr>
          <w:rFonts w:ascii="Arial" w:hAnsi="Arial" w:cs="Arial"/>
          <w:b/>
          <w:bCs/>
          <w:sz w:val="22"/>
          <w:szCs w:val="22"/>
          <w:lang w:val="en-US" w:eastAsia="de-DE"/>
        </w:rPr>
        <w:tab/>
      </w:r>
      <w:r w:rsidR="001F368B" w:rsidRPr="00860C03">
        <w:rPr>
          <w:rFonts w:ascii="Arial" w:hAnsi="Arial" w:cs="Arial"/>
          <w:b/>
          <w:bCs/>
          <w:sz w:val="22"/>
          <w:szCs w:val="22"/>
          <w:lang w:val="en-US" w:eastAsia="de-DE"/>
        </w:rPr>
        <w:t xml:space="preserve">Kaplan-Meier Curve for overall survival for patients with adenocarcinoma </w:t>
      </w:r>
      <w:proofErr w:type="spellStart"/>
      <w:r w:rsidR="001F368B" w:rsidRPr="00860C03">
        <w:rPr>
          <w:rFonts w:ascii="Arial" w:hAnsi="Arial" w:cs="Arial"/>
          <w:b/>
          <w:bCs/>
          <w:sz w:val="22"/>
          <w:szCs w:val="22"/>
          <w:lang w:val="en-US" w:eastAsia="de-DE"/>
        </w:rPr>
        <w:t>tumour</w:t>
      </w:r>
      <w:proofErr w:type="spellEnd"/>
      <w:r w:rsidR="001F368B" w:rsidRPr="00860C03">
        <w:rPr>
          <w:rFonts w:ascii="Arial" w:hAnsi="Arial" w:cs="Arial"/>
          <w:b/>
          <w:bCs/>
          <w:sz w:val="22"/>
          <w:szCs w:val="22"/>
          <w:lang w:val="en-US" w:eastAsia="de-DE"/>
        </w:rPr>
        <w:t xml:space="preserve"> histology by treatment group in trial LUME-Lung 1</w:t>
      </w:r>
    </w:p>
    <w:p w:rsidR="001F368B" w:rsidRPr="001F368B" w:rsidRDefault="001F368B" w:rsidP="001F368B">
      <w:pPr>
        <w:jc w:val="both"/>
        <w:rPr>
          <w:rFonts w:ascii="Arial" w:hAnsi="Arial" w:cs="Arial"/>
          <w:sz w:val="22"/>
          <w:szCs w:val="22"/>
          <w:lang w:val="en-GB" w:eastAsia="de-DE"/>
        </w:rPr>
      </w:pPr>
      <w:r w:rsidRPr="001F368B">
        <w:rPr>
          <w:rFonts w:ascii="Arial" w:hAnsi="Arial" w:cs="Arial"/>
          <w:noProof/>
          <w:sz w:val="22"/>
          <w:szCs w:val="22"/>
          <w:lang w:eastAsia="en-AU"/>
        </w:rPr>
        <mc:AlternateContent>
          <mc:Choice Requires="wps">
            <w:drawing>
              <wp:anchor distT="0" distB="0" distL="114300" distR="114300" simplePos="0" relativeHeight="251659264" behindDoc="0" locked="0" layoutInCell="1" allowOverlap="1" wp14:anchorId="7FB0F9A3" wp14:editId="4365EACF">
                <wp:simplePos x="0" y="0"/>
                <wp:positionH relativeFrom="column">
                  <wp:posOffset>-302895</wp:posOffset>
                </wp:positionH>
                <wp:positionV relativeFrom="paragraph">
                  <wp:posOffset>3597275</wp:posOffset>
                </wp:positionV>
                <wp:extent cx="1319530" cy="307340"/>
                <wp:effectExtent l="0" t="2540" r="0" b="4445"/>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307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E75" w:rsidRPr="00B25A2B" w:rsidRDefault="00101E75" w:rsidP="001F368B">
                            <w:pPr>
                              <w:rPr>
                                <w:b/>
                                <w:sz w:val="18"/>
                              </w:rPr>
                            </w:pPr>
                            <w:r w:rsidRPr="00B25A2B">
                              <w:rPr>
                                <w:b/>
                                <w:sz w:val="18"/>
                              </w:rPr>
                              <w:t>No. of patients at risk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0" o:spid="_x0000_s1026" type="#_x0000_t202" style="position:absolute;left:0;text-align:left;margin-left:-23.85pt;margin-top:283.25pt;width:103.9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id4hAIAABMFAAAOAAAAZHJzL2Uyb0RvYy54bWysVNuO2yAQfa/Uf0C8Z32Js4mtdVZ7aapK&#10;24u02w8ggGNUDBRI7O2q/94BJ9l020pVVT9gYIbDmZkzXFwOnUQ7bp3QqsbZWYoRV1QzoTY1/vyw&#10;miwwcp4oRqRWvMaP3OHL5etXF72peK5bLRm3CECUq3pT49Z7UyWJoy3viDvThiswNtp2xMPSbhJm&#10;SQ/onUzyND1Pem2ZsZpy52D3djTiZcRvGk79x6Zx3CNZY+Dm42jjuA5jsrwg1cYS0wq6p0H+gUVH&#10;hIJLj1C3xBO0teIXqE5Qq51u/BnVXaKbRlAeY4BosvRFNPctMTzGAslx5pgm9/9g6YfdJ4sEq3E+&#10;g/wo0kGRHvjg0bUeUNiDDPXGVeB4b8DVD2CASsdonbnT9ItDSt+0RG34lbW6bzlhwDALJ5OToyOO&#10;CyDr/r1mcBHZeh2BhsZ2IX2QEATowOTxWJ1AhoYrp1k5m4KJgm2azqdFJJeQ6nDaWOffct2hMKmx&#10;hepHdLK7cz6wIdXBJVzmtBRsJaSMC7tZ30iLdgSUsopfDOCFm1TBWelwbEQcd4Ak3BFsgW6s/FOZ&#10;5UV6nZeT1fliPilWxWxSztPFJM3K6/I8LcridvU9EMyKqhWMcXUnFD+oMCv+rsr7fhj1E3WI+hqX&#10;s3w2luiPQabx+12QnfDQlFJ0NV4cnUgVCvtGMQibVJ4IOc6Tn+nHLEMODv+YlSiDUPlRA35YD4AS&#10;tLHW7BEEYTXUC0oLLwlMWm2/YdRDV9bYfd0SyzGS7xSIqswKqDrycVHM5jks7KllfWohigJUjT1G&#10;4/TGj62/NVZsWrhplLHSVyDERkSNPLPayxc6LwazfyVCa5+uo9fzW7b8AQAA//8DAFBLAwQUAAYA&#10;CAAAACEARcxeBd8AAAALAQAADwAAAGRycy9kb3ducmV2LnhtbEyP3U6DQBCF7018h82YeGPaBQOL&#10;RYZGTTTe9ucBBtgCkZ0l7LbQt3d7pZeT8+Wcb4rtYgZx0ZPrLSPE6wiE5to2PbcIx8Pn6gWE88QN&#10;DZY1wlU72Jb3dwXljZ15py9734pQwi4nhM77MZfS1Z025NZ21Byyk50M+XBOrWwmmkO5GeRzFClp&#10;qOew0NGoPzpd/+zPBuH0PT+lm7n68sdsl6h36rPKXhEfH5a3VxBeL/4Phpt+UIcyOFX2zI0TA8Iq&#10;ybKAIqRKpSBuhIpiEBWCipMNyLKQ/38ofwEAAP//AwBQSwECLQAUAAYACAAAACEAtoM4kv4AAADh&#10;AQAAEwAAAAAAAAAAAAAAAAAAAAAAW0NvbnRlbnRfVHlwZXNdLnhtbFBLAQItABQABgAIAAAAIQA4&#10;/SH/1gAAAJQBAAALAAAAAAAAAAAAAAAAAC8BAABfcmVscy8ucmVsc1BLAQItABQABgAIAAAAIQAW&#10;0id4hAIAABMFAAAOAAAAAAAAAAAAAAAAAC4CAABkcnMvZTJvRG9jLnhtbFBLAQItABQABgAIAAAA&#10;IQBFzF4F3wAAAAsBAAAPAAAAAAAAAAAAAAAAAN4EAABkcnMvZG93bnJldi54bWxQSwUGAAAAAAQA&#10;BADzAAAA6gUAAAAA&#10;" stroked="f">
                <v:textbox>
                  <w:txbxContent>
                    <w:p w:rsidR="00101E75" w:rsidRPr="00B25A2B" w:rsidRDefault="00101E75" w:rsidP="001F368B">
                      <w:pPr>
                        <w:rPr>
                          <w:b/>
                          <w:sz w:val="18"/>
                        </w:rPr>
                      </w:pPr>
                      <w:r w:rsidRPr="00B25A2B">
                        <w:rPr>
                          <w:b/>
                          <w:sz w:val="18"/>
                        </w:rPr>
                        <w:t>No. of patients at risk</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3360" behindDoc="0" locked="0" layoutInCell="1" allowOverlap="1" wp14:anchorId="37EDE622" wp14:editId="3CA28583">
                <wp:simplePos x="0" y="0"/>
                <wp:positionH relativeFrom="column">
                  <wp:posOffset>1664970</wp:posOffset>
                </wp:positionH>
                <wp:positionV relativeFrom="paragraph">
                  <wp:posOffset>1898650</wp:posOffset>
                </wp:positionV>
                <wp:extent cx="473075" cy="197485"/>
                <wp:effectExtent l="1905" t="0" r="1270" b="3175"/>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E75" w:rsidRPr="00FC2C7C" w:rsidRDefault="00101E75" w:rsidP="001F368B">
                            <w:pPr>
                              <w:jc w:val="right"/>
                              <w:rPr>
                                <w:sz w:val="16"/>
                              </w:rPr>
                            </w:pPr>
                            <w:r>
                              <w:rPr>
                                <w:sz w:val="16"/>
                              </w:rPr>
                              <w:t>44.7 %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9" o:spid="_x0000_s1027" type="#_x0000_t202" style="position:absolute;left:0;text-align:left;margin-left:131.1pt;margin-top:149.5pt;width:37.25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88hgIAABkFAAAOAAAAZHJzL2Uyb0RvYy54bWysVNuO2yAQfa/Uf0C8J76UXGyts9pLU1Xa&#10;XqTdfgABHKPaQIHE3lb99w44yWZ7kaqqfsDADIeZOWe4uBy6Fu2FdVKrCmfTFCOhmOZSbSv86WE9&#10;WWLkPFWctlqJCj8Khy9XL19c9KYUuW50y4VFAKJc2ZsKN96bMkkca0RH3VQbocBYa9tRD0u7Tbil&#10;PaB3bZKn6TzpteXGaiacg93b0YhXEb+uBfMf6toJj9oKQ2w+jjaOmzAmqwtabi01jWSHMOg/RNFR&#10;qeDSE9Qt9RTtrPwFqpPMaqdrP2W6S3RdSyZiDpBNlv6UzX1DjYi5QHGcOZXJ/T9Y9n7/0SLJK5yT&#10;AiNFOyDpQQweXesBhT2oUG9cCY73Blz9AAZgOmbrzJ1mnx1S+qahaiuurNV9IyiHCLNwMjk7OuK4&#10;ALLp32kOF9Gd1xFoqG0XygcFQYAOTD2e2AnBMNgki1fpYoYRA1NWLMhyFm+g5fGwsc6/EbpDYVJh&#10;C+RHcLq/cz4EQ8ujS7jL6VbytWzbuLDbzU1r0Z6CUNbxO6A/c2tVcFY6HBsRxx2IEe4IthBtJP5b&#10;keUkvc6LyXq+XEzImswmxSJdTtKsuC7mKSnI7fp7CDAjZSM5F+pOKnEUYUb+juRDO4zyiTJEfYWL&#10;WT4bGfpjkmn8fpdkJz30ZCu7Ci9PTrQMvL5WHNKmpaeyHefJ8/BjlaEGx3+sSlRBIH6UgB82Q5Rc&#10;lEhQyEbzR5CF1UAbcA/vCUwabb9i1ENvVth92VErMGrfKpBWkRESmjkuyGyRw8KeWzbnFqoYQFXY&#10;YzROb/z4AOyMldsGbhrFrPQVyLGWUSpPUR1EDP0Xczq8FaHBz9fR6+lFW/0AAAD//wMAUEsDBBQA&#10;BgAIAAAAIQCvAD8j3wAAAAsBAAAPAAAAZHJzL2Rvd25yZXYueG1sTI/BTsMwEETvSPyDtUhcEHWa&#10;QkLSOBUggXpt6QdsYjeJGq+j2G3Sv2d7gtuM9ml2ptjMthcXM/rOkYLlIgJhqHa6o0bB4efr+Q2E&#10;D0gae0dGwdV42JT3dwXm2k20M5d9aASHkM9RQRvCkEvp69ZY9As3GOLb0Y0WA9uxkXrEicNtL+Mo&#10;SqTFjvhDi4P5bE192p+tguN2enrNpuo7HNLdS/KBXVq5q1KPD/P7GkQwc/iD4Vafq0PJnSp3Ju1F&#10;ryBO4phRFlnGo5hYrZIURHUT0RJkWcj/G8pfAAAA//8DAFBLAQItABQABgAIAAAAIQC2gziS/gAA&#10;AOEBAAATAAAAAAAAAAAAAAAAAAAAAABbQ29udGVudF9UeXBlc10ueG1sUEsBAi0AFAAGAAgAAAAh&#10;ADj9If/WAAAAlAEAAAsAAAAAAAAAAAAAAAAALwEAAF9yZWxzLy5yZWxzUEsBAi0AFAAGAAgAAAAh&#10;ANwn3zyGAgAAGQUAAA4AAAAAAAAAAAAAAAAALgIAAGRycy9lMm9Eb2MueG1sUEsBAi0AFAAGAAgA&#10;AAAhAK8APyPfAAAACwEAAA8AAAAAAAAAAAAAAAAA4AQAAGRycy9kb3ducmV2LnhtbFBLBQYAAAAA&#10;BAAEAPMAAADsBQAAAAA=&#10;" stroked="f">
                <v:textbox>
                  <w:txbxContent>
                    <w:p w:rsidR="00101E75" w:rsidRPr="00FC2C7C" w:rsidRDefault="00101E75" w:rsidP="001F368B">
                      <w:pPr>
                        <w:jc w:val="right"/>
                        <w:rPr>
                          <w:sz w:val="16"/>
                        </w:rPr>
                      </w:pPr>
                      <w:r>
                        <w:rPr>
                          <w:sz w:val="16"/>
                        </w:rPr>
                        <w:t>44.7 %</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2336" behindDoc="0" locked="0" layoutInCell="1" allowOverlap="1" wp14:anchorId="41E8C04A" wp14:editId="1925BE96">
                <wp:simplePos x="0" y="0"/>
                <wp:positionH relativeFrom="column">
                  <wp:posOffset>2178685</wp:posOffset>
                </wp:positionH>
                <wp:positionV relativeFrom="paragraph">
                  <wp:posOffset>1473200</wp:posOffset>
                </wp:positionV>
                <wp:extent cx="522605" cy="190500"/>
                <wp:effectExtent l="1270" t="2540" r="0" b="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E75" w:rsidRPr="00FC2C7C" w:rsidRDefault="00101E75" w:rsidP="001F368B">
                            <w:pPr>
                              <w:rPr>
                                <w:sz w:val="16"/>
                              </w:rPr>
                            </w:pPr>
                            <w:r>
                              <w:rPr>
                                <w:sz w:val="16"/>
                              </w:rPr>
                              <w:t>52.7 %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8" o:spid="_x0000_s1028" type="#_x0000_t202" style="position:absolute;left:0;text-align:left;margin-left:171.55pt;margin-top:116pt;width:41.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5ohgIAABkFAAAOAAAAZHJzL2Uyb0RvYy54bWysVNuO2yAQfa/Uf0C8Z32RnY2tOKu9NFWl&#10;7UXa7QcQwDEqBhdI7G3Vf+8ASZpuW6mq6gcMzHCYmXOG5dXUS7TnxgqtGpxdpBhxRTUTatvgj4/r&#10;2QIj64hiRGrFG/zELb5avXyxHIea57rTknGDAETZehwa3Dk31Eliacd7Yi/0wBUYW2164mBptgkz&#10;ZAT0XiZ5ms6TURs2GE25tbB7F414FfDbllP3vm0td0g2GGJzYTRh3PgxWS1JvTVk6AQ9hEH+IYqe&#10;CAWXnqDuiCNoZ8QvUL2gRlvduguq+0S3raA85ADZZOmzbB46MvCQCxTHDqcy2f8HS9/tPxgkWIPz&#10;AqhSpAeSHvnk0I2ekN+DCo2DrcHxYQBXN4EBmA7Z2uFe008WKX3bEbXl18boseOEQYSZP5mcHY04&#10;1oNsxreawUVk53QAmlrT+/JBQRCgA1NPJ3Z8MBQ2yzyfpyVGFExZlZZpYC8h9fHwYKx7zXWP/KTB&#10;BsgP4GR/b50PhtRHF3+X1VKwtZAyLMx2cysN2hMQyjp8If5nblJ5Z6X9sYgYdyBGuMPbfLSB+K9V&#10;lhfpTV7N1vPF5axYF+WsukwXszSrbqp5WlTF3fqbDzAr6k4wxtW9UPwowqz4O5IP7RDlE2SIxgZX&#10;ZV5Ghv6YZBq+3yXZCwc9KUXf4MXJidSe11eKQdqkdkTIOE9+Dj9UGWpw/IeqBBV44qME3LSZouSO&#10;4tpo9gSyMBpoA+7hPYFJp80XjEbozQbbzztiOEbyjQJpVVlR+GYOi6K8zGFhzi2bcwtRFKAa7DCK&#10;01sXH4DdYMS2g5uimJW+Bjm2IkjF6zZGdRAx9F/I6fBW+AY/XwevHy/a6jsAAAD//wMAUEsDBBQA&#10;BgAIAAAAIQC560F03gAAAAsBAAAPAAAAZHJzL2Rvd25yZXYueG1sTI/PToNAEMbvJr7DZky8GLsU&#10;KLWUpVETjdfWPsDCToHIzhJ2W+jbO57scb755ftT7GbbiwuOvnOkYLmIQCDVznTUKDh+fzy/gPBB&#10;k9G9I1RwRQ+78v6u0LlxE+3xcgiNYBPyuVbQhjDkUvq6Rav9wg1I/Du50erA59hIM+qJzW0v4yjK&#10;pNUdcUKrB3xvsf45nK2C09f0tNpM1Wc4rvdp9qa7deWuSj0+zK9bEAHn8A/DX32uDiV3qtyZjBe9&#10;giRNlowqiJOYRzGRxqsURMVKxoosC3m7ofwFAAD//wMAUEsBAi0AFAAGAAgAAAAhALaDOJL+AAAA&#10;4QEAABMAAAAAAAAAAAAAAAAAAAAAAFtDb250ZW50X1R5cGVzXS54bWxQSwECLQAUAAYACAAAACEA&#10;OP0h/9YAAACUAQAACwAAAAAAAAAAAAAAAAAvAQAAX3JlbHMvLnJlbHNQSwECLQAUAAYACAAAACEA&#10;Dj0+aIYCAAAZBQAADgAAAAAAAAAAAAAAAAAuAgAAZHJzL2Uyb0RvYy54bWxQSwECLQAUAAYACAAA&#10;ACEAuetBdN4AAAALAQAADwAAAAAAAAAAAAAAAADgBAAAZHJzL2Rvd25yZXYueG1sUEsFBgAAAAAE&#10;AAQA8wAAAOsFAAAAAA==&#10;" stroked="f">
                <v:textbox>
                  <w:txbxContent>
                    <w:p w:rsidR="00101E75" w:rsidRPr="00FC2C7C" w:rsidRDefault="00101E75" w:rsidP="001F368B">
                      <w:pPr>
                        <w:rPr>
                          <w:sz w:val="16"/>
                        </w:rPr>
                      </w:pPr>
                      <w:r>
                        <w:rPr>
                          <w:sz w:val="16"/>
                        </w:rPr>
                        <w:t>52.7 %</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5408" behindDoc="0" locked="0" layoutInCell="1" allowOverlap="1" wp14:anchorId="580D42F4" wp14:editId="0FCE68E7">
                <wp:simplePos x="0" y="0"/>
                <wp:positionH relativeFrom="column">
                  <wp:posOffset>3413125</wp:posOffset>
                </wp:positionH>
                <wp:positionV relativeFrom="paragraph">
                  <wp:posOffset>2744470</wp:posOffset>
                </wp:positionV>
                <wp:extent cx="473075" cy="197485"/>
                <wp:effectExtent l="0" t="0" r="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E75" w:rsidRPr="00FC2C7C" w:rsidRDefault="00101E75" w:rsidP="001F368B">
                            <w:pPr>
                              <w:jc w:val="right"/>
                              <w:rPr>
                                <w:sz w:val="16"/>
                              </w:rPr>
                            </w:pPr>
                            <w:r>
                              <w:rPr>
                                <w:sz w:val="16"/>
                              </w:rPr>
                              <w:t>19.1 %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7" o:spid="_x0000_s1029" type="#_x0000_t202" style="position:absolute;left:0;text-align:left;margin-left:268.75pt;margin-top:216.1pt;width:37.25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WIDhwIAABkFAAAOAAAAZHJzL2Uyb0RvYy54bWysVNmO2yAUfa/Uf0C8Z7yUjGNrnNEsTVVp&#10;ukgz/QACOEa1gQKJPa36773gJJPpIlVV/YCBezl3OQcuLse+QzthndSqxtlZipFQTHOpNjX+9LCa&#10;LTBynipOO61EjR+Fw5fLly8uBlOJXLe648IiAFGuGkyNW+9NlSSOtaKn7kwbocDYaNtTD0u7Sbil&#10;A6D3XZKn6XkyaMuN1Uw4B7u3kxEvI37TCOY/NI0THnU1htx8HG0c12FMlhe02lhqWsn2adB/yKKn&#10;UkHQI9Qt9RRtrfwFqpfMaqcbf8Z0n+imkUzEGqCaLP2pmvuWGhFrgeY4c2yT+3+w7P3uo0WS1zgn&#10;BUaK9kDSgxg9utYjCnvQocG4ChzvDbj6EQzAdKzWmTvNPjuk9E1L1UZcWauHVlAOGWbhZHJydMJx&#10;AWQ9vNMcAtGt1xFobGwf2gcNQYAOTD0e2QnJMNgkxau0mGPEwJSVBVnMYwRaHQ4b6/wboXsUJjW2&#10;QH4Ep7s750MytDq4hFhOd5KvZNfFhd2sbzqLdhSEsorfHv2ZW6eCs9Lh2IQ47UCOECPYQraR+G9l&#10;lpP0Oi9nq/NFMSMrMp+VRbqYpVl5XZ6npCS3q+8hwYxUreRcqDupxEGEGfk7kvfXYZJPlCEaalzO&#10;8/nE0B+LTOP3uyJ76eFOdrKv8eLoRKvA62vFoWxaeSq7aZ48Tz92GXpw+MeuRBUE4icJ+HE9Rsm9&#10;CtGDQtaaP4IsrAbagHt4T2DSavsVowHuZo3dly21AqPurQJplRkh4TLHBZkXOSzsqWV9aqGKAVSN&#10;PUbT9MZPD8DWWLlpIdIkZqWvQI6NjFJ5ymovYrh/sab9WxEu+Ok6ej29aMsfAAAA//8DAFBLAwQU&#10;AAYACAAAACEA7mdTnd8AAAALAQAADwAAAGRycy9kb3ducmV2LnhtbEyPwU6DQBCG7ya+w2ZMvBi7&#10;FAoosjRqovHa2gcY2CkQ2V3Cbgt9e8eTPc7Ml3++v9wuZhBnmnzvrIL1KgJBtnG6t62Cw/fH4xMI&#10;H9BqHJwlBRfysK1ub0ostJvtjs770AoOsb5ABV0IYyGlbzoy6FduJMu3o5sMBh6nVuoJZw43g4yj&#10;KJMGe8sfOhzpvaPmZ38yCo5f80P6PNef4ZDvNtkb9nntLkrd3y2vLyACLeEfhj99VoeKnWp3stqL&#10;QUGa5CmjCjZJHINgIlvH3K7mTZYkIKtSXneofgEAAP//AwBQSwECLQAUAAYACAAAACEAtoM4kv4A&#10;AADhAQAAEwAAAAAAAAAAAAAAAAAAAAAAW0NvbnRlbnRfVHlwZXNdLnhtbFBLAQItABQABgAIAAAA&#10;IQA4/SH/1gAAAJQBAAALAAAAAAAAAAAAAAAAAC8BAABfcmVscy8ucmVsc1BLAQItABQABgAIAAAA&#10;IQAZ2WIDhwIAABkFAAAOAAAAAAAAAAAAAAAAAC4CAABkcnMvZTJvRG9jLnhtbFBLAQItABQABgAI&#10;AAAAIQDuZ1Od3wAAAAsBAAAPAAAAAAAAAAAAAAAAAOEEAABkcnMvZG93bnJldi54bWxQSwUGAAAA&#10;AAQABADzAAAA7QUAAAAA&#10;" stroked="f">
                <v:textbox>
                  <w:txbxContent>
                    <w:p w:rsidR="00101E75" w:rsidRPr="00FC2C7C" w:rsidRDefault="00101E75" w:rsidP="001F368B">
                      <w:pPr>
                        <w:jc w:val="right"/>
                        <w:rPr>
                          <w:sz w:val="16"/>
                        </w:rPr>
                      </w:pPr>
                      <w:r>
                        <w:rPr>
                          <w:sz w:val="16"/>
                        </w:rPr>
                        <w:t>19.1 %</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4384" behindDoc="0" locked="0" layoutInCell="1" allowOverlap="1" wp14:anchorId="7C9B2CB9" wp14:editId="680FA7FF">
                <wp:simplePos x="0" y="0"/>
                <wp:positionH relativeFrom="column">
                  <wp:posOffset>3895090</wp:posOffset>
                </wp:positionH>
                <wp:positionV relativeFrom="paragraph">
                  <wp:posOffset>2275840</wp:posOffset>
                </wp:positionV>
                <wp:extent cx="522605" cy="190500"/>
                <wp:effectExtent l="3175" t="0" r="0" b="4445"/>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E75" w:rsidRPr="00FC2C7C" w:rsidRDefault="00101E75" w:rsidP="001F368B">
                            <w:pPr>
                              <w:rPr>
                                <w:sz w:val="16"/>
                              </w:rPr>
                            </w:pPr>
                            <w:proofErr w:type="gramStart"/>
                            <w:r>
                              <w:rPr>
                                <w:sz w:val="16"/>
                              </w:rPr>
                              <w:t>25.7  %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6" o:spid="_x0000_s1030" type="#_x0000_t202" style="position:absolute;left:0;text-align:left;margin-left:306.7pt;margin-top:179.2pt;width:41.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RShwIAABkFAAAOAAAAZHJzL2Uyb0RvYy54bWysVNuO2yAQfa/Uf0C8Z32RnY2tOKu9NFWl&#10;7UXa7QcQwDEqBgok9rbqv3fASZpuW6mq6gcMzHCYmXOG5dXYS7Tn1gmtGpxdpBhxRTUTatvgj4/r&#10;2QIj54liRGrFG/zEHb5avXyxHEzNc91pybhFAKJcPZgGd96bOkkc7XhP3IU2XIGx1bYnHpZ2mzBL&#10;BkDvZZKn6TwZtGXGasqdg927yYhXEb9tOfXv29Zxj2SDITYfRxvHTRiT1ZLUW0tMJ+ghDPIPUfRE&#10;KLj0BHVHPEE7K36B6gW12unWX1DdJ7ptBeUxB8gmS59l89ARw2MuUBxnTmVy/w+Wvtt/sEiwBufF&#10;HCNFeiDpkY8e3egRhT2o0GBcDY4PBlz9CAZgOmbrzL2mnxxS+rYjasuvrdVDxwmDCLNwMjk7OuG4&#10;ALIZ3moGF5Gd1xFobG0fygcFQYAOTD2d2AnBUNgs83yelhhRMGVVWqaRvYTUx8PGOv+a6x6FSYMt&#10;kB/Byf7e+RAMqY8u4S6npWBrIWVc2O3mVlq0JyCUdfxi/M/cpArOSodjE+K0AzHCHcEWoo3Ef62y&#10;vEhv8mq2ni8uZ8W6KGfVZbqYpVl1U83Toiru1t9CgFlRd4Ixru6F4kcRZsXfkXxoh0k+UYZoaHBV&#10;5uXE0B+TTOP3uyR74aEnpegbvDg5kTrw+koxSJvUngg5zZOfw49Vhhoc/7EqUQWB+EkCftyMUXLF&#10;UVwbzZ5AFlYDbcA9vCcw6bT9gtEAvdlg93lHLMdIvlEgrSoritDMcVGUlzks7Lllc24higJUgz1G&#10;0/TWTw/Azlix7eCmScxKX4McWxGlEnQ7RXUQMfRfzOnwVoQGP19Hrx8v2uo7AAAA//8DAFBLAwQU&#10;AAYACAAAACEAewoP6N8AAAALAQAADwAAAGRycy9kb3ducmV2LnhtbEyPzU7DMBCE70i8g7VIXBB1&#10;SpufpnEqQAJxbekDbGI3iRqvo9ht0rdnOcFtd2Y0+22xm20vrmb0nSMFy0UEwlDtdEeNguP3x3MG&#10;wgckjb0jo+BmPOzK+7sCc+0m2pvrITSCS8jnqKANYcil9HVrLPqFGwyxd3KjxcDr2Eg94sTltpcv&#10;UZRIix3xhRYH896a+ny4WAWnr+kp3kzVZzim+3Xyhl1auZtSjw/z6xZEMHP4C8MvPqNDyUyVu5D2&#10;oleQLFdrjipYxRkPnEg2cQqiYiVjRZaF/P9D+QMAAP//AwBQSwECLQAUAAYACAAAACEAtoM4kv4A&#10;AADhAQAAEwAAAAAAAAAAAAAAAAAAAAAAW0NvbnRlbnRfVHlwZXNdLnhtbFBLAQItABQABgAIAAAA&#10;IQA4/SH/1gAAAJQBAAALAAAAAAAAAAAAAAAAAC8BAABfcmVscy8ucmVsc1BLAQItABQABgAIAAAA&#10;IQDJ9bRShwIAABkFAAAOAAAAAAAAAAAAAAAAAC4CAABkcnMvZTJvRG9jLnhtbFBLAQItABQABgAI&#10;AAAAIQB7Cg/o3wAAAAsBAAAPAAAAAAAAAAAAAAAAAOEEAABkcnMvZG93bnJldi54bWxQSwUGAAAA&#10;AAQABADzAAAA7QUAAAAA&#10;" stroked="f">
                <v:textbox>
                  <w:txbxContent>
                    <w:p w:rsidR="00101E75" w:rsidRPr="00FC2C7C" w:rsidRDefault="00101E75" w:rsidP="001F368B">
                      <w:pPr>
                        <w:rPr>
                          <w:sz w:val="16"/>
                        </w:rPr>
                      </w:pPr>
                      <w:proofErr w:type="gramStart"/>
                      <w:r>
                        <w:rPr>
                          <w:sz w:val="16"/>
                        </w:rPr>
                        <w:t>25.7  %</w:t>
                      </w:r>
                      <w:proofErr w:type="gramEnd"/>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71552" behindDoc="0" locked="0" layoutInCell="1" allowOverlap="1" wp14:anchorId="3BACC5F7" wp14:editId="6E3376E2">
                <wp:simplePos x="0" y="0"/>
                <wp:positionH relativeFrom="column">
                  <wp:posOffset>-150495</wp:posOffset>
                </wp:positionH>
                <wp:positionV relativeFrom="paragraph">
                  <wp:posOffset>890270</wp:posOffset>
                </wp:positionV>
                <wp:extent cx="336550" cy="1434465"/>
                <wp:effectExtent l="0" t="635" r="635" b="3175"/>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43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E75" w:rsidRPr="00DD5440" w:rsidRDefault="00101E75" w:rsidP="001F368B">
                            <w:pPr>
                              <w:rPr>
                                <w:b/>
                                <w:sz w:val="18"/>
                              </w:rPr>
                            </w:pPr>
                            <w:r w:rsidRPr="00DD5440">
                              <w:rPr>
                                <w:b/>
                                <w:sz w:val="18"/>
                              </w:rPr>
                              <w:t>Probability of survival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31" type="#_x0000_t202" style="position:absolute;left:0;text-align:left;margin-left:-11.85pt;margin-top:70.1pt;width:26.5pt;height:11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MYAiAIAAB0FAAAOAAAAZHJzL2Uyb0RvYy54bWysVG1v2yAQ/j5p/wHxPfVLcRJbdaq1XaZJ&#10;3YvU7gcQg2M0DAxI7Graf9+BkyzrNmma5g8YuOPh7p7nuLoee4n23DqhVY2zixQjrhrNhNrW+NPj&#10;erbEyHmqGJVa8Ro/cYevVy9fXA2m4rnutGTcIgBRrhpMjTvvTZUkrul4T92FNlyBsdW2px6Wdpsw&#10;SwdA72WSp+k8GbRlxuqGOwe7d5MRryJ+2/LGf2hbxz2SNYbYfBxtHDdhTFZXtNpaajrRHMKg/xBF&#10;T4WCS09Qd9RTtLPiF6heNFY73fqLRveJblvR8JgDZJOlz7J56KjhMRcojjOnMrn/B9u833+0SLAa&#10;56TASNEeSHrko0c3ekRhDyo0GFeB44MBVz+CAZiO2Tpzr5vPDil921G15a+s1UPHKYMIs3AyOTs6&#10;4bgAshneaQYX0Z3XEWhsbR/KBwVBgA5MPZ3YCcE0sHl5OS8KsDRgysglIfMYXEKr42ljnX/DdY/C&#10;pMYW2I/odH/vfIiGVkeXcJnTUrC1kDIu7HZzKy3aU1DKOn4xgWduUgVnpcOxCXHagSDhjmAL4Ubm&#10;v5ZZTtKbvJyt58vFjKxJMSsX6XKWZuVNOU9JSe7W30KAGak6wRhX90Lxowoz8ncsH/ph0k/UIRpq&#10;XBZ5MVH0xyTT+P0uyV54aEop+hovT060CsS+VgzSppWnQk7z5OfwY5WhBsd/rEqUQWB+0oAfN2PU&#10;3EldG82eQBdWA21AMTwoMAljvoDlAP1ZY/dlRy3HSL5VIK8yIwRMPi5IschhYc8tm3MLVU2noe09&#10;RtP01k+PwM5Yse3gsknQSr8CSbYiqiVodwrsIGTowZjW4b0ITX6+jl4/XrXVdwAAAP//AwBQSwME&#10;FAAGAAgAAAAhAEez4wXfAAAACgEAAA8AAABkcnMvZG93bnJldi54bWxMj8FOwzAQRO9I/IO1SNxa&#10;uw4KkMapChInpEqUiLMbu3FovI5iNw18PcsJjqt5mnlbbmbfs8mOsQuoYLUUwCw2wXTYKqjfXxYP&#10;wGLSaHQf0Cr4shE21fVVqQsTLvhmp31qGZVgLLQCl9JQcB4bZ72OyzBYpOwYRq8TnWPLzagvVO57&#10;LoXIudcd0oLTg312tjntz17BJL7rJtOBv+4+8/q0dfJp2n0odXszb9fAkp3THwy/+qQOFTkdwhlN&#10;ZL2ChczuCaXgTkhgRMjHDNhBQZbnK+BVyf+/UP0AAAD//wMAUEsBAi0AFAAGAAgAAAAhALaDOJL+&#10;AAAA4QEAABMAAAAAAAAAAAAAAAAAAAAAAFtDb250ZW50X1R5cGVzXS54bWxQSwECLQAUAAYACAAA&#10;ACEAOP0h/9YAAACUAQAACwAAAAAAAAAAAAAAAAAvAQAAX3JlbHMvLnJlbHNQSwECLQAUAAYACAAA&#10;ACEA+MTGAIgCAAAdBQAADgAAAAAAAAAAAAAAAAAuAgAAZHJzL2Uyb0RvYy54bWxQSwECLQAUAAYA&#10;CAAAACEAR7PjBd8AAAAKAQAADwAAAAAAAAAAAAAAAADiBAAAZHJzL2Rvd25yZXYueG1sUEsFBgAA&#10;AAAEAAQA8wAAAO4FAAAAAA==&#10;" stroked="f">
                <v:textbox style="layout-flow:vertical;mso-layout-flow-alt:bottom-to-top">
                  <w:txbxContent>
                    <w:p w:rsidR="00101E75" w:rsidRPr="00DD5440" w:rsidRDefault="00101E75" w:rsidP="001F368B">
                      <w:pPr>
                        <w:rPr>
                          <w:b/>
                          <w:sz w:val="18"/>
                        </w:rPr>
                      </w:pPr>
                      <w:r w:rsidRPr="00DD5440">
                        <w:rPr>
                          <w:b/>
                          <w:sz w:val="18"/>
                        </w:rPr>
                        <w:t>Probability of survival (%)</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70528" behindDoc="0" locked="0" layoutInCell="1" allowOverlap="1" wp14:anchorId="4764BA5B" wp14:editId="7E4E1171">
                <wp:simplePos x="0" y="0"/>
                <wp:positionH relativeFrom="column">
                  <wp:posOffset>-150495</wp:posOffset>
                </wp:positionH>
                <wp:positionV relativeFrom="paragraph">
                  <wp:posOffset>91440</wp:posOffset>
                </wp:positionV>
                <wp:extent cx="336550" cy="1434465"/>
                <wp:effectExtent l="0" t="1905" r="635" b="1905"/>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43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E75" w:rsidRPr="00DD5440" w:rsidRDefault="00101E75" w:rsidP="001F368B">
                            <w:pPr>
                              <w:rPr>
                                <w:sz w:val="18"/>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32" type="#_x0000_t202" style="position:absolute;left:0;text-align:left;margin-left:-11.85pt;margin-top:7.2pt;width:26.5pt;height:11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SxkhwIAAB0FAAAOAAAAZHJzL2Uyb0RvYy54bWysVNuO2yAQfa/Uf0C8Z30JTmIrzmqz21SV&#10;thdptx9AAMeoNrhAYq+q/nsHnGSzvUhVVT9ghhnO3M6wvB7aBh2EsVKrEidXMUZCMc2l2pX48+Nm&#10;ssDIOqo4bbQSJX4SFl+vXr9a9l0hUl3rhguDAETZou9KXDvXFVFkWS1aaq90JxQoK21a6kA0u4gb&#10;2gN620RpHM+iXhveGc2EtXB6NyrxKuBXlWDuY1VZ4VBTYojNhdWEdevXaLWkxc7QrpbsGAb9hyha&#10;KhU4PUPdUUfR3shfoFrJjLa6cldMt5GuKslEyAGySeKfsnmoaSdCLlAc253LZP8fLPtw+GSQ5CVO&#10;CcFI0Raa9CgGh9Z6QP4MKtR3tgDDhw5M3QAK6HTI1nb3mn2xSOnbmqqduDFG97WgHCJM/M3o4uqI&#10;Yz3Itn+vOTiie6cD0FCZ1pcPCoIAHTr1dO6OD4bB4XQ6yzLQMFAlZErILAsuaHG63Rnr3grdIr8p&#10;sYHuB3R6uLfOR0OLk4l3ZnUj+UY2TRDMbnvbGHSgwJRN+I7oL8wa5Y2V9tdGxPEEggQfXufDDZ3/&#10;licpiddpPtnMFvMJ2ZBsks/jxSRO8nU+i0lO7jbffYAJKWrJuVD3UokTCxPyd10+zsPIn8BD1Jc4&#10;z9JsbNEfk4zD97skW+lgKBvZlnhxNqKFb+wbxSFtWjgqm3EfvQw/VBlqcPqHqgQa+M6PHHDDdgic&#10;m3nvniJbzZ+AF0ZD26DF8KDAxq/pHMQe5rPE9uueGoFR804BvfKEEFC5IJBsnoJgLjXbSw1VrNYw&#10;9g6jcXvrxkdg3xm5q8HZSGilb4CSlQxseQ7sSGSYwZDW8b3wQ34pB6vnV231AwAA//8DAFBLAwQU&#10;AAYACAAAACEAp4wz7N4AAAAJAQAADwAAAGRycy9kb3ducmV2LnhtbEyPwU7DMAyG70i8Q2QkbltK&#10;Ww3omk4DiRPSJEbF2Wu8pqxJqibrCk+POcHJsv5Pvz+Xm9n2YqIxdN4puFsmIMg1XneuVVC/vywe&#10;QISITmPvHSn4ogCb6vqqxEL7i3ujaR9bwSUuFKjAxDgUUobGkMWw9AM5zo5+tBh5HVupR7xwue1l&#10;miQrabFzfMHgQM+GmtP+bBVMyXfdZOjl6+5zVZ+2Jn2adh9K3d7M2zWISHP8g+FXn9WhYqeDPzsd&#10;RK9gkWb3jHKQ5yAYSB8zEAeeeZKBrEr5/4PqBwAA//8DAFBLAQItABQABgAIAAAAIQC2gziS/gAA&#10;AOEBAAATAAAAAAAAAAAAAAAAAAAAAABbQ29udGVudF9UeXBlc10ueG1sUEsBAi0AFAAGAAgAAAAh&#10;ADj9If/WAAAAlAEAAAsAAAAAAAAAAAAAAAAALwEAAF9yZWxzLy5yZWxzUEsBAi0AFAAGAAgAAAAh&#10;APhJLGSHAgAAHQUAAA4AAAAAAAAAAAAAAAAALgIAAGRycy9lMm9Eb2MueG1sUEsBAi0AFAAGAAgA&#10;AAAhAKeMM+zeAAAACQEAAA8AAAAAAAAAAAAAAAAA4QQAAGRycy9kb3ducmV2LnhtbFBLBQYAAAAA&#10;BAAEAPMAAADsBQAAAAA=&#10;" stroked="f">
                <v:textbox style="layout-flow:vertical;mso-layout-flow-alt:bottom-to-top">
                  <w:txbxContent>
                    <w:p w:rsidR="00101E75" w:rsidRPr="00DD5440" w:rsidRDefault="00101E75" w:rsidP="001F368B">
                      <w:pPr>
                        <w:rPr>
                          <w:sz w:val="18"/>
                        </w:rPr>
                      </w:pP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9504" behindDoc="0" locked="0" layoutInCell="1" allowOverlap="1" wp14:anchorId="14001AD5" wp14:editId="63121DBE">
                <wp:simplePos x="0" y="0"/>
                <wp:positionH relativeFrom="column">
                  <wp:posOffset>3395345</wp:posOffset>
                </wp:positionH>
                <wp:positionV relativeFrom="paragraph">
                  <wp:posOffset>166370</wp:posOffset>
                </wp:positionV>
                <wp:extent cx="1470025" cy="205105"/>
                <wp:effectExtent l="0" t="635" r="0" b="381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025"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E75" w:rsidRPr="00DD5440" w:rsidRDefault="00101E75" w:rsidP="001F368B">
                            <w:pPr>
                              <w:rPr>
                                <w:b/>
                                <w:sz w:val="18"/>
                              </w:rPr>
                            </w:pPr>
                            <w:r w:rsidRPr="00DD5440">
                              <w:rPr>
                                <w:b/>
                                <w:sz w:val="18"/>
                              </w:rPr>
                              <w:t>Median (months)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3" o:spid="_x0000_s1033" type="#_x0000_t202" style="position:absolute;left:0;text-align:left;margin-left:267.35pt;margin-top:13.1pt;width:115.75pt;height: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cYhgIAABoFAAAOAAAAZHJzL2Uyb0RvYy54bWysVNuO2yAQfa/Uf0C8J8auc7G1zmovTVVp&#10;e5F2+wEEcIyKwQUSe1v13zvgJJvtRaqq+gEzzHDmdoaLy6FVaC+sk0ZXOJ0SjIRmhku9rfCnh/Vk&#10;iZHzVHOqjBYVfhQOX65evrjou1JkpjGKC4sARLuy7yrceN+VSeJYI1rqpqYTGpS1sS31INptwi3t&#10;Ab1VSUbIPOmN5Z01TDgHp7ejEq8ifl0L5j/UtRMeqQpDbD6uNq6bsCarC1puLe0ayQ5h0H+IoqVS&#10;g9MT1C31FO2s/AWqlcwaZ2o/ZaZNTF1LJmIOkE1KfsrmvqGdiLlAcVx3KpP7f7Ds/f6jRZJXOMtf&#10;YaRpC016EINH12ZA4Qwq1HeuBMP7Dkz9AArodMzWdXeGfXZIm5uG6q24stb0jaAcIkzDzeTs6ojj&#10;Asimf2c4OKI7byLQUNs2lA8KggAdOvV46k4IhgWX+YKQbIYRA11GZimZRRe0PN7urPNvhGlR2FTY&#10;QvcjOt3fOR+ioeXRJDhzRkm+lkpFwW43N8qiPQWmrON3QH9mpnQw1iZcGxHHEwgSfARdCDd2/luR&#10;Zjm5zorJer5cTPJ1PpsUC7KckLS4LuYkL/Lb9fcQYJqXjeRc6DupxZGFaf53XT7Mw8ifyEPUV7iY&#10;QaViXn9MksTvd0m20sNQKtlWeHkyomVo7GvNIW1aeirVuE+ehx+rDDU4/mNVIg1C50cO+GEzRM4t&#10;gvdAkY3hj8ALa6Bt0Hx4UGDTGPsVox6Gs8Luy45agZF6q4FbRZrnYZqjkM8WGQj2XLM511DNAKrC&#10;HqNxe+PHF2DXWbltwNPIZm2ugI+1jFR5iurAYhjAmNPhsQgTfi5Hq6cnbfUDAAD//wMAUEsDBBQA&#10;BgAIAAAAIQDkAxIs3QAAAAkBAAAPAAAAZHJzL2Rvd25yZXYueG1sTI/BToNAEIbvJr7DZky8GLuI&#10;BSpladRE47W1DzCwWyBlZwm7LfTtnZ7sbSb/l3++KTaz7cXZjL5zpOBlEYEwVDvdUaNg//v1vALh&#10;A5LG3pFRcDEeNuX9XYG5dhNtzXkXGsEl5HNU0IYw5FL6ujUW/cINhjg7uNFi4HVspB5x4nLbyziK&#10;UmmxI77Q4mA+W1Mfdyer4PAzPSVvU/Ud9tl2mX5gl1XuotTjw/y+BhHMHP5huOqzOpTsVLkTaS96&#10;BcnrMmNUQZzGIBjI0utQcbJKQJaFvP2g/AMAAP//AwBQSwECLQAUAAYACAAAACEAtoM4kv4AAADh&#10;AQAAEwAAAAAAAAAAAAAAAAAAAAAAW0NvbnRlbnRfVHlwZXNdLnhtbFBLAQItABQABgAIAAAAIQA4&#10;/SH/1gAAAJQBAAALAAAAAAAAAAAAAAAAAC8BAABfcmVscy8ucmVsc1BLAQItABQABgAIAAAAIQAD&#10;B8cYhgIAABoFAAAOAAAAAAAAAAAAAAAAAC4CAABkcnMvZTJvRG9jLnhtbFBLAQItABQABgAIAAAA&#10;IQDkAxIs3QAAAAkBAAAPAAAAAAAAAAAAAAAAAOAEAABkcnMvZG93bnJldi54bWxQSwUGAAAAAAQA&#10;BADzAAAA6gUAAAAA&#10;" stroked="f">
                <v:textbox>
                  <w:txbxContent>
                    <w:p w:rsidR="00101E75" w:rsidRPr="00DD5440" w:rsidRDefault="00101E75" w:rsidP="001F368B">
                      <w:pPr>
                        <w:rPr>
                          <w:b/>
                          <w:sz w:val="18"/>
                        </w:rPr>
                      </w:pPr>
                      <w:r w:rsidRPr="00DD5440">
                        <w:rPr>
                          <w:b/>
                          <w:sz w:val="18"/>
                        </w:rPr>
                        <w:t>Median (months)</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8480" behindDoc="0" locked="0" layoutInCell="1" allowOverlap="1" wp14:anchorId="490BDCFC" wp14:editId="67299D04">
                <wp:simplePos x="0" y="0"/>
                <wp:positionH relativeFrom="column">
                  <wp:posOffset>4345305</wp:posOffset>
                </wp:positionH>
                <wp:positionV relativeFrom="paragraph">
                  <wp:posOffset>3538855</wp:posOffset>
                </wp:positionV>
                <wp:extent cx="1382395" cy="212725"/>
                <wp:effectExtent l="0" t="1270" r="254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E75" w:rsidRPr="00313A3F" w:rsidRDefault="00101E75" w:rsidP="001F368B">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2" o:spid="_x0000_s1034" type="#_x0000_t202" style="position:absolute;left:0;text-align:left;margin-left:342.15pt;margin-top:278.65pt;width:108.85pt;height:1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chwIAABo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nBc5&#10;Rop00KQHPnh0rQcUzqBCvXEVGN4bMPUDKKDTMVtn7jT94pDSNy1RG35lre5bThhEmIWbycnVEccF&#10;kHX/XjNwRLZeR6ChsV0oHxQEATp06vHYnRAMDS7P5/l5OcWIgi7P8lk+jS5IdbhtrPNvue5Q2NTY&#10;QvcjOtndOR+iIdXBJDhzWgq2ElJGwW7WN9KiHQGmrOK3R39hJlUwVjpcGxHHEwgSfARdCDd2/qnM&#10;8iK9zsvJ6mI+mxSrYjopZ+l8kmbldXmRFmVxu/oeAsyKqhWMcXUnFD+wMCv+rsv7eRj5E3mI+hqX&#10;U6hOzOuPSabx+12SnfAwlFJ0NZ4fjUgVGvtGMUibVJ4IOe6Tl+HHKkMNDv9YlUiD0PmRA35YD5Fz&#10;8+A9UGSt2SPwwmpoGzQfHhTYtNp+w6iH4ayx+7ollmMk3yngVpkVRZjmKBTTWQ6CPdWsTzVEUYCq&#10;scdo3N748QXYGis2LXga2az0FfCxEZEqz1HtWQwDGHPaPxZhwk/laPX8pC1/AAAA//8DAFBLAwQU&#10;AAYACAAAACEAIr/pf98AAAALAQAADwAAAGRycy9kb3ducmV2LnhtbEyPzU7DMBCE70i8g7VIXBB1&#10;KM0vcSpAAnFt6QNs4m0SEdtR7Dbp27Oc6G13ZzT7TbldzCDONPneWQVPqwgE2cbp3rYKDt8fjxkI&#10;H9BqHJwlBRfysK1ub0ostJvtjs770AoOsb5ABV0IYyGlbzoy6FduJMva0U0GA69TK/WEM4ebQa6j&#10;KJEGe8sfOhzpvaPmZ38yCo5f80Ocz/VnOKS7TfKGfVq7i1L3d8vrC4hAS/g3wx8+o0PFTLU7We3F&#10;oCDJNs9sVRDHKQ/syKM1t6v5kkcZyKqU1x2qXwAAAP//AwBQSwECLQAUAAYACAAAACEAtoM4kv4A&#10;AADhAQAAEwAAAAAAAAAAAAAAAAAAAAAAW0NvbnRlbnRfVHlwZXNdLnhtbFBLAQItABQABgAIAAAA&#10;IQA4/SH/1gAAAJQBAAALAAAAAAAAAAAAAAAAAC8BAABfcmVscy8ucmVsc1BLAQItABQABgAIAAAA&#10;IQCLhF/chwIAABoFAAAOAAAAAAAAAAAAAAAAAC4CAABkcnMvZTJvRG9jLnhtbFBLAQItABQABgAI&#10;AAAAIQAiv+l/3wAAAAsBAAAPAAAAAAAAAAAAAAAAAOEEAABkcnMvZG93bnJldi54bWxQSwUGAAAA&#10;AAQABADzAAAA7QUAAAAA&#10;" stroked="f">
                <v:textbox>
                  <w:txbxContent>
                    <w:p w:rsidR="00101E75" w:rsidRPr="00313A3F" w:rsidRDefault="00101E75" w:rsidP="001F368B">
                      <w:pPr>
                        <w:rPr>
                          <w:sz w:val="18"/>
                        </w:rPr>
                      </w:pP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6432" behindDoc="0" locked="0" layoutInCell="1" allowOverlap="1" wp14:anchorId="42798AC1" wp14:editId="4BCCE1F5">
                <wp:simplePos x="0" y="0"/>
                <wp:positionH relativeFrom="column">
                  <wp:posOffset>2369820</wp:posOffset>
                </wp:positionH>
                <wp:positionV relativeFrom="paragraph">
                  <wp:posOffset>539750</wp:posOffset>
                </wp:positionV>
                <wp:extent cx="332740" cy="635"/>
                <wp:effectExtent l="11430" t="12065" r="17780" b="15875"/>
                <wp:wrapNone/>
                <wp:docPr id="241"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74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41" o:spid="_x0000_s1026" type="#_x0000_t32" style="position:absolute;margin-left:186.6pt;margin-top:42.5pt;width:26.2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eoKQIAAFAEAAAOAAAAZHJzL2Uyb0RvYy54bWysVMGOmzAQvVfqP1jcEyAh2SwKWa0g6WXb&#10;rrTbD3BsE6yCx7KdkKjqv3dsSNptL1VVDsbGM89v3jyzfjh3LTkJYyWoIkqnSUSEYsClOhTRl9fd&#10;ZBUR66jitAUliugibPSwef9u3etczKCBlgtDEETZvNdF1Din8zi2rBEdtVPQQuFmDaajDpfmEHND&#10;e0Tv2niWJMu4B8O1ASasxa/VsBltAn5dC+Y+17UVjrRFhNxcGE0Y936MN2uaHwzVjWQjDfoPLDoq&#10;FR56g6qoo+Ro5B9QnWQGLNRuyqCLoa4lE6EGrCZNfqvmpaFahFpQHKtvMtn/B8s+nZ4NkbyIZlka&#10;EUU7bNKLM1QeGkcejYGelKAUCgmG+BhUrNc2x8RSPRtfMzurF/0E7KslCsqGqoMIzF8vGsFCRvwm&#10;xS+sxnP3/UfgGEOPDoJ859p0HhKFIefQpcutS+LsCMOP8/nsLsNeMtxazheeUEzza6Y21n0Q0BE/&#10;KSI7lnKrIQ3n0NOTdUPiNcEfq2An2zZ4olWkR/L3ySIJGRZayf2uj7PmsC9bQ07U2yo8I403YQaO&#10;ige0RlC+HeeOynaYI+1WeTwsDfmMs8E33+6T++1qu8om2Wy5nWRJVU0ed2U2We7Su0U1r8qySr97&#10;ammWN5JzoTy7q4fT7O88Mt6mwX03F990iN+iB6WR7PUdSIfe+nYOxtgDvzwbr61vM9o2BI9XzN+L&#10;X9ch6uePYPMDAAD//wMAUEsDBBQABgAIAAAAIQBC0+2/3AAAAAkBAAAPAAAAZHJzL2Rvd25yZXYu&#10;eG1sTI/BToQwEIbvJr5DMyZejFuWdZEgZWNMPHmQXX2AgVYg0imhZalv7+xJjzPz5Z/vLw/RjuJs&#10;Zj84UrDdJCAMtU4P1Cn4/Hi9z0H4gKRxdGQU/BgPh+r6qsRCu5WO5nwKneAQ8gUq6EOYCil92xuL&#10;fuMmQ3z7crPFwOPcST3jyuF2lGmSZNLiQPyhx8m89Kb9Pi1WQXzPKMQ6j81Ky5vP7+qItlbq9iY+&#10;P4EIJoY/GC76rA4VOzVuIe3FqGD3uEsZVZDvuRMDD+k+A9FcFluQVSn/N6h+AQAA//8DAFBLAQIt&#10;ABQABgAIAAAAIQC2gziS/gAAAOEBAAATAAAAAAAAAAAAAAAAAAAAAABbQ29udGVudF9UeXBlc10u&#10;eG1sUEsBAi0AFAAGAAgAAAAhADj9If/WAAAAlAEAAAsAAAAAAAAAAAAAAAAALwEAAF9yZWxzLy5y&#10;ZWxzUEsBAi0AFAAGAAgAAAAhAOUl56gpAgAAUAQAAA4AAAAAAAAAAAAAAAAALgIAAGRycy9lMm9E&#10;b2MueG1sUEsBAi0AFAAGAAgAAAAhAELT7b/cAAAACQEAAA8AAAAAAAAAAAAAAAAAgwQAAGRycy9k&#10;b3ducmV2LnhtbFBLBQYAAAAABAAEAPMAAACMBQAAAAA=&#10;" strokeweight="1.5pt"/>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7456" behindDoc="0" locked="0" layoutInCell="1" allowOverlap="1" wp14:anchorId="0E0557A9" wp14:editId="7E00B832">
                <wp:simplePos x="0" y="0"/>
                <wp:positionH relativeFrom="column">
                  <wp:posOffset>2515870</wp:posOffset>
                </wp:positionH>
                <wp:positionV relativeFrom="paragraph">
                  <wp:posOffset>3538855</wp:posOffset>
                </wp:positionV>
                <wp:extent cx="1274445" cy="212725"/>
                <wp:effectExtent l="0" t="1270" r="0" b="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E75" w:rsidRPr="00B25A2B" w:rsidRDefault="00101E75" w:rsidP="001F368B">
                            <w:pPr>
                              <w:rPr>
                                <w:b/>
                                <w:sz w:val="18"/>
                              </w:rPr>
                            </w:pPr>
                            <w:r w:rsidRPr="00B25A2B">
                              <w:rPr>
                                <w:b/>
                                <w:sz w:val="18"/>
                              </w:rPr>
                              <w:t>Time (months)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0" o:spid="_x0000_s1035" type="#_x0000_t202" style="position:absolute;left:0;text-align:left;margin-left:198.1pt;margin-top:278.65pt;width:100.35pt;height:1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rThQIAABoFAAAOAAAAZHJzL2Uyb0RvYy54bWysVG1v2yAQ/j5p/wHxPfWLnCa26lRtskyT&#10;uhep3Q8ggGM0DAxI7G7qf9+BkzTdizRN8wcM3PHcc3cPXF0PnUR7bp3QqsbZRYoRV1QzobY1/vyw&#10;nswxcp4oRqRWvMaP3OHrxetXV72peK5bLRm3CECUq3pT49Z7UyWJoy3viLvQhiswNtp2xMPSbhNm&#10;SQ/onUzyNL1Mem2ZsZpy52B3NRrxIuI3Daf+Y9M47pGsMXDzcbRx3IQxWVyRamuJaQU90CD/wKIj&#10;QkHQE9SKeIJ2VvwC1QlqtdONv6C6S3TTCMpjDpBNlv6UzX1LDI+5QHGcOZXJ/T9Y+mH/ySLBapwX&#10;UB9FOmjSAx88utUDCntQod64ChzvDbj6AQzQ6ZitM3eafnFI6WVL1JbfWKv7lhMGDLNwMjk7OuK4&#10;ALLp32sGgcjO6wg0NLYL5YOCIEAHJo+n7gQyNITMZ0VRTDGiYMthlU9jCFIdTxvr/FuuOxQmNbbQ&#10;/YhO9nfOBzakOrqEYE5LwdZCyriw281SWrQnoJR1/A7oL9ykCs5Kh2Mj4rgDJCFGsAW6sfPfywzq&#10;d5uXk/XlfDYp1sV0Us7S+STNytvyMi3KYrV+CgSzomoFY1zdCcWPKsyKv+vy4T6M+ok6RH2NyylU&#10;J+b1xyTT+P0uyU54uJRSdDWen5xIFRr7RjFIm1SeCDnOk5f0Y5WhBsd/rEqUQej8qAE/bIaouTJE&#10;DxLZaPYIurAa2gbNhwcFJq223zDq4XLW2H3dEcsxku8UaKvMiqBWHxfFdJbDwp5bNucWoihA1dhj&#10;NE6XfnwBdsaKbQuRRjUrfQN6bESUyjOrg4rhAsacDo9FuOHn6+j1/KQtfgAAAP//AwBQSwMEFAAG&#10;AAgAAAAhANooCiPfAAAACwEAAA8AAABkcnMvZG93bnJldi54bWxMj8FOg0AQhu8mvsNmTLwYu9gK&#10;FMrSqInGa2sfYGCnQMrOEnZb6Nu7PeltJvPln+8vtrPpxYVG11lW8LKIQBDXVnfcKDj8fD6vQTiP&#10;rLG3TAqu5GBb3t8VmGs78Y4ue9+IEMIuRwWt90MupatbMugWdiAOt6MdDfqwjo3UI04h3PRyGUWJ&#10;NNhx+NDiQB8t1af92Sg4fk9PcTZVX/6Q7l6Td+zSyl6VenyY3zYgPM3+D4abflCHMjhV9szaiV7B&#10;KkuWAVUQx+kKRCDiLMlAVLchWoMsC/m/Q/kLAAD//wMAUEsBAi0AFAAGAAgAAAAhALaDOJL+AAAA&#10;4QEAABMAAAAAAAAAAAAAAAAAAAAAAFtDb250ZW50X1R5cGVzXS54bWxQSwECLQAUAAYACAAAACEA&#10;OP0h/9YAAACUAQAACwAAAAAAAAAAAAAAAAAvAQAAX3JlbHMvLnJlbHNQSwECLQAUAAYACAAAACEA&#10;n60q04UCAAAaBQAADgAAAAAAAAAAAAAAAAAuAgAAZHJzL2Uyb0RvYy54bWxQSwECLQAUAAYACAAA&#10;ACEA2igKI98AAAALAQAADwAAAAAAAAAAAAAAAADfBAAAZHJzL2Rvd25yZXYueG1sUEsFBgAAAAAE&#10;AAQA8wAAAOsFAAAAAA==&#10;" stroked="f">
                <v:textbox>
                  <w:txbxContent>
                    <w:p w:rsidR="00101E75" w:rsidRPr="00B25A2B" w:rsidRDefault="00101E75" w:rsidP="001F368B">
                      <w:pPr>
                        <w:rPr>
                          <w:b/>
                          <w:sz w:val="18"/>
                        </w:rPr>
                      </w:pPr>
                      <w:r w:rsidRPr="00B25A2B">
                        <w:rPr>
                          <w:b/>
                          <w:sz w:val="18"/>
                        </w:rPr>
                        <w:t>Time (months)</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0288" behindDoc="0" locked="0" layoutInCell="1" allowOverlap="1" wp14:anchorId="7CA75324" wp14:editId="3A2D8B62">
                <wp:simplePos x="0" y="0"/>
                <wp:positionH relativeFrom="column">
                  <wp:posOffset>-288290</wp:posOffset>
                </wp:positionH>
                <wp:positionV relativeFrom="paragraph">
                  <wp:posOffset>3853180</wp:posOffset>
                </wp:positionV>
                <wp:extent cx="522605" cy="197485"/>
                <wp:effectExtent l="1270" t="1270" r="0" b="1270"/>
                <wp:wrapNone/>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0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E75" w:rsidRPr="00FC2C7C" w:rsidRDefault="00101E75" w:rsidP="001F368B">
                            <w:pPr>
                              <w:rPr>
                                <w:sz w:val="16"/>
                              </w:rPr>
                            </w:pPr>
                            <w:r>
                              <w:rPr>
                                <w:sz w:val="16"/>
                              </w:rPr>
                              <w:t>Placebo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9" o:spid="_x0000_s1036" type="#_x0000_t202" style="position:absolute;left:0;text-align:left;margin-left:-22.7pt;margin-top:303.4pt;width:41.15pt;height:1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UiAIAABo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qrASJIOSHpgg0MrNSC/BxXqtS3B8V6DqxvAAEyHbK2+U/Vni6Rat0Tu2I0xqm8ZoRBh4k9GF0dH&#10;HOtBtv07ReEisncqAA2N6Xz5oCAI0IGpxzM7PpgaNvM0ncY5RjWYkmKWzfNwAylPh7Wx7g1THfKT&#10;ChsgP4CTw511PhhSnlz8XVYJTjdciLAwu+1aGHQgIJRN+I7oz9yE9M5S+WMj4rgDMcId3uajDcR/&#10;K5I0i1dpMdlM57NJtsnySTGL55M4KVbFNM6K7Hbz3QeYZGXLKWXyjkt2EmGS/R3Jx3YY5RNkiPoK&#10;F3majwz9Mck4fL9LsuMOelLwrsLzsxMpPa+vJYW0SekIF+M8eh5+qDLU4PQPVQkq8MSPEnDDdgiS&#10;S0L/eYlsFX0EXRgFvAH58KDApFXmK0Y9NGeF7Zc9MQwj8VaCtooky3w3h0WWz1JYmEvL9tJCZA1Q&#10;FXYYjdO1G1+AvTZ818JNo5qlugE9Njxo5Smqo4qhAUNSx8fCd/jlOng9PWnLHwAAAP//AwBQSwME&#10;FAAGAAgAAAAhAOTwKbrfAAAACgEAAA8AAABkcnMvZG93bnJldi54bWxMj8FOg0AQhu8mvsNmmngx&#10;7aKliyBLoyYar619gAG2QMrOEnZb6Ns7nuxxZr788/35dra9uJjRd440PK0iEIYqV3fUaDj8fC5f&#10;QPiAVGPvyGi4Gg/b4v4ux6x2E+3MZR8awSHkM9TQhjBkUvqqNRb9yg2G+HZ0o8XA49jIesSJw20v&#10;n6NISYsd8YcWB/PRmuq0P1sNx+/pcZNO5Vc4JLtYvWOXlO6q9cNifnsFEcwc/mH402d1KNipdGeq&#10;veg1LONNzKgGFSnuwMRapSBKXqyTFGSRy9sKxS8AAAD//wMAUEsBAi0AFAAGAAgAAAAhALaDOJL+&#10;AAAA4QEAABMAAAAAAAAAAAAAAAAAAAAAAFtDb250ZW50X1R5cGVzXS54bWxQSwECLQAUAAYACAAA&#10;ACEAOP0h/9YAAACUAQAACwAAAAAAAAAAAAAAAAAvAQAAX3JlbHMvLnJlbHNQSwECLQAUAAYACAAA&#10;ACEA/woXVIgCAAAaBQAADgAAAAAAAAAAAAAAAAAuAgAAZHJzL2Uyb0RvYy54bWxQSwECLQAUAAYA&#10;CAAAACEA5PAput8AAAAKAQAADwAAAAAAAAAAAAAAAADiBAAAZHJzL2Rvd25yZXYueG1sUEsFBgAA&#10;AAAEAAQA8wAAAO4FAAAAAA==&#10;" stroked="f">
                <v:textbox>
                  <w:txbxContent>
                    <w:p w:rsidR="00101E75" w:rsidRPr="00FC2C7C" w:rsidRDefault="00101E75" w:rsidP="001F368B">
                      <w:pPr>
                        <w:rPr>
                          <w:sz w:val="16"/>
                        </w:rPr>
                      </w:pPr>
                      <w:r>
                        <w:rPr>
                          <w:sz w:val="16"/>
                        </w:rPr>
                        <w:t>Placebo</w:t>
                      </w:r>
                    </w:p>
                  </w:txbxContent>
                </v:textbox>
              </v:shape>
            </w:pict>
          </mc:Fallback>
        </mc:AlternateContent>
      </w:r>
      <w:r w:rsidRPr="001F368B">
        <w:rPr>
          <w:rFonts w:ascii="Arial" w:hAnsi="Arial" w:cs="Arial"/>
          <w:noProof/>
          <w:sz w:val="22"/>
          <w:szCs w:val="22"/>
          <w:lang w:eastAsia="en-AU"/>
        </w:rPr>
        <mc:AlternateContent>
          <mc:Choice Requires="wps">
            <w:drawing>
              <wp:anchor distT="0" distB="0" distL="114300" distR="114300" simplePos="0" relativeHeight="251661312" behindDoc="0" locked="0" layoutInCell="1" allowOverlap="1" wp14:anchorId="0048F976" wp14:editId="0A96C297">
                <wp:simplePos x="0" y="0"/>
                <wp:positionH relativeFrom="column">
                  <wp:posOffset>-288290</wp:posOffset>
                </wp:positionH>
                <wp:positionV relativeFrom="paragraph">
                  <wp:posOffset>3999865</wp:posOffset>
                </wp:positionV>
                <wp:extent cx="668655" cy="197485"/>
                <wp:effectExtent l="1270" t="0" r="0" b="0"/>
                <wp:wrapNone/>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1E75" w:rsidRPr="00FC2C7C" w:rsidRDefault="00101E75" w:rsidP="001F368B">
                            <w:pPr>
                              <w:rPr>
                                <w:sz w:val="16"/>
                              </w:rPr>
                            </w:pPr>
                            <w:proofErr w:type="spellStart"/>
                            <w:r>
                              <w:rPr>
                                <w:sz w:val="16"/>
                              </w:rPr>
                              <w:t>Nintedanib</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8" o:spid="_x0000_s1037" type="#_x0000_t202" style="position:absolute;left:0;text-align:left;margin-left:-22.7pt;margin-top:314.95pt;width:52.65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jiAIAABo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1w&#10;+gqokqQDkh7Y4NBKDcjvQYV6bUtwvNfg6gYwANMhW6vvVP3ZIqnWLZE7dmOM6ltGKESY+JPRxdER&#10;x3qQbf9OUbiI7J0KQENjOl8+KAgCdGDq8cyOD6aGzel0Ps1zjGowJcUsm+fhBlKeDmtj3RumOuQn&#10;FTZAfgAnhzvrfDCkPLn4u6wSnG64EGFhdtu1MOhAQCib8B3Rn7kJ6Z2l8sdGxHEHYoQ7vM1HG4j/&#10;ViRpFq/SYrKZzmeTbJPlk2IWzydxUqyKaZwV2e3muw8wycqWU8rkHZfsJMIk+zuSj+0wyifIEPUV&#10;LvI0Hxn6Y5Jx+H6XZMcd9KTgXYXnZydSel5fSwppk9IRLsZ59Dz8UGWowekfqhJU4IkfJeCG7RAk&#10;lwSNeIlsFX0EXRgFvAH58KDApFXmK0Y9NGeF7Zc9MQwj8VaCtooky3w3h0WWz1JYmEvL9tJCZA1Q&#10;FXYYjdO1G1+AvTZ818JNo5qlugE9Njxo5Smqo4qhAUNSx8fCd/jlOng9PWnLHwAAAP//AwBQSwME&#10;FAAGAAgAAAAhAFccFgXeAAAACgEAAA8AAABkcnMvZG93bnJldi54bWxMj8FugzAMhu+T9g6RJ+0y&#10;taEV0EEJ1TZp067t+gCBuIBKHETSQt9+7mk7WbY//f5c7GbbiyuOvnOkYLWMQCDVznTUKDj+fC5e&#10;QfigyejeESq4oYdd+fhQ6Ny4ifZ4PYRGcAj5XCtoQxhyKX3dotV+6QYk3p3caHXgdmykGfXE4baX&#10;6yhKpdUd8YVWD/jRYn0+XKyC0/f0kmRT9RWOm32cvutuU7mbUs9P89sWRMA5/MFw12d1KNmpchcy&#10;XvQKFnESM6ogXWcZCCaSe614kK4ikGUh/79Q/gIAAP//AwBQSwECLQAUAAYACAAAACEAtoM4kv4A&#10;AADhAQAAEwAAAAAAAAAAAAAAAAAAAAAAW0NvbnRlbnRfVHlwZXNdLnhtbFBLAQItABQABgAIAAAA&#10;IQA4/SH/1gAAAJQBAAALAAAAAAAAAAAAAAAAAC8BAABfcmVscy8ucmVsc1BLAQItABQABgAIAAAA&#10;IQC8Tn/jiAIAABoFAAAOAAAAAAAAAAAAAAAAAC4CAABkcnMvZTJvRG9jLnhtbFBLAQItABQABgAI&#10;AAAAIQBXHBYF3gAAAAoBAAAPAAAAAAAAAAAAAAAAAOIEAABkcnMvZG93bnJldi54bWxQSwUGAAAA&#10;AAQABADzAAAA7QUAAAAA&#10;" stroked="f">
                <v:textbox>
                  <w:txbxContent>
                    <w:p w:rsidR="00101E75" w:rsidRPr="00FC2C7C" w:rsidRDefault="00101E75" w:rsidP="001F368B">
                      <w:pPr>
                        <w:rPr>
                          <w:sz w:val="16"/>
                        </w:rPr>
                      </w:pPr>
                      <w:proofErr w:type="spellStart"/>
                      <w:r>
                        <w:rPr>
                          <w:sz w:val="16"/>
                        </w:rPr>
                        <w:t>Nintedanib</w:t>
                      </w:r>
                      <w:proofErr w:type="spellEnd"/>
                    </w:p>
                  </w:txbxContent>
                </v:textbox>
              </v:shape>
            </w:pict>
          </mc:Fallback>
        </mc:AlternateContent>
      </w:r>
      <w:r w:rsidRPr="001F368B">
        <w:rPr>
          <w:rFonts w:ascii="Arial" w:hAnsi="Arial" w:cs="Arial"/>
          <w:noProof/>
          <w:sz w:val="22"/>
          <w:szCs w:val="22"/>
          <w:lang w:eastAsia="en-AU"/>
        </w:rPr>
        <w:drawing>
          <wp:inline distT="0" distB="0" distL="0" distR="0" wp14:anchorId="54B3E077" wp14:editId="13B713A2">
            <wp:extent cx="5756275" cy="419100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275" cy="4191000"/>
                    </a:xfrm>
                    <a:prstGeom prst="rect">
                      <a:avLst/>
                    </a:prstGeom>
                    <a:noFill/>
                    <a:ln>
                      <a:noFill/>
                    </a:ln>
                  </pic:spPr>
                </pic:pic>
              </a:graphicData>
            </a:graphic>
          </wp:inline>
        </w:drawing>
      </w:r>
    </w:p>
    <w:p w:rsidR="001F368B" w:rsidRPr="001F368B" w:rsidRDefault="001F368B" w:rsidP="00050E10">
      <w:pPr>
        <w:pStyle w:val="TextPI"/>
        <w:rPr>
          <w:lang w:val="en-GB" w:eastAsia="de-DE"/>
        </w:rPr>
      </w:pPr>
    </w:p>
    <w:p w:rsidR="001F368B" w:rsidRDefault="001F368B" w:rsidP="00050E10">
      <w:pPr>
        <w:pStyle w:val="TextPI"/>
        <w:rPr>
          <w:lang w:val="en-GB" w:eastAsia="de-DE"/>
        </w:rPr>
      </w:pPr>
      <w:r w:rsidRPr="001F368B">
        <w:rPr>
          <w:lang w:val="en-GB" w:eastAsia="de-DE"/>
        </w:rPr>
        <w:t>A</w:t>
      </w:r>
      <w:r w:rsidR="00200208">
        <w:rPr>
          <w:lang w:val="en-GB" w:eastAsia="de-DE"/>
        </w:rPr>
        <w:t xml:space="preserve"> pre-specified </w:t>
      </w:r>
      <w:r w:rsidRPr="001F368B">
        <w:rPr>
          <w:lang w:val="en-GB" w:eastAsia="de-DE"/>
        </w:rPr>
        <w:t>evaluation was performed in the population of adenocarcinoma patients considered to have entered the study with a particularly poor treatment prognosis, namely, patients who progressed during or shortly after 1</w:t>
      </w:r>
      <w:r w:rsidRPr="001F368B">
        <w:rPr>
          <w:vertAlign w:val="superscript"/>
          <w:lang w:val="en-GB" w:eastAsia="de-DE"/>
        </w:rPr>
        <w:t>st</w:t>
      </w:r>
      <w:r w:rsidRPr="001F368B">
        <w:rPr>
          <w:lang w:val="en-GB" w:eastAsia="de-DE"/>
        </w:rPr>
        <w:t xml:space="preserve"> line therapy prior to study entry. This population included those adenocarcinoma patients identified at baseline as having progressed and entered the study less than 9 months since start of their first-line therapy.</w:t>
      </w:r>
      <w:r w:rsidR="00622F9F">
        <w:rPr>
          <w:lang w:val="en-GB" w:eastAsia="de-DE"/>
        </w:rPr>
        <w:t xml:space="preserve"> </w:t>
      </w:r>
      <w:r w:rsidRPr="001F368B">
        <w:rPr>
          <w:lang w:val="en-GB" w:eastAsia="de-DE"/>
        </w:rPr>
        <w:t xml:space="preserve"> Treatment of these patients with </w:t>
      </w:r>
      <w:proofErr w:type="spellStart"/>
      <w:r w:rsidRPr="001F368B">
        <w:rPr>
          <w:lang w:val="en-GB" w:eastAsia="de-DE"/>
        </w:rPr>
        <w:t>nintedanib</w:t>
      </w:r>
      <w:proofErr w:type="spellEnd"/>
      <w:r w:rsidRPr="001F368B">
        <w:rPr>
          <w:lang w:val="en-GB" w:eastAsia="de-DE"/>
        </w:rPr>
        <w:t xml:space="preserve"> in combination with docetaxel reduced the risk of death by 25%, compared with placebo plus docetaxel (HR 0.75; 95% CI: 0.60 - 0.92; p</w:t>
      </w:r>
      <w:r w:rsidR="00622F9F">
        <w:rPr>
          <w:lang w:val="en-GB" w:eastAsia="de-DE"/>
        </w:rPr>
        <w:t> </w:t>
      </w:r>
      <w:r w:rsidRPr="001F368B">
        <w:rPr>
          <w:lang w:val="en-GB" w:eastAsia="de-DE"/>
        </w:rPr>
        <w:t>=</w:t>
      </w:r>
      <w:r w:rsidR="00622F9F">
        <w:rPr>
          <w:lang w:val="en-GB" w:eastAsia="de-DE"/>
        </w:rPr>
        <w:t> </w:t>
      </w:r>
      <w:r w:rsidRPr="001F368B">
        <w:rPr>
          <w:lang w:val="en-GB" w:eastAsia="de-DE"/>
        </w:rPr>
        <w:t>0.0073).</w:t>
      </w:r>
      <w:r w:rsidR="00622F9F">
        <w:rPr>
          <w:lang w:val="en-GB" w:eastAsia="de-DE"/>
        </w:rPr>
        <w:t xml:space="preserve"> </w:t>
      </w:r>
      <w:r w:rsidRPr="001F368B">
        <w:rPr>
          <w:lang w:val="en-GB" w:eastAsia="de-DE"/>
        </w:rPr>
        <w:t xml:space="preserve"> Median OS improved by 3 months (</w:t>
      </w:r>
      <w:proofErr w:type="spellStart"/>
      <w:r w:rsidRPr="001F368B">
        <w:rPr>
          <w:lang w:val="en-GB" w:eastAsia="de-DE"/>
        </w:rPr>
        <w:t>nintedanib</w:t>
      </w:r>
      <w:proofErr w:type="spellEnd"/>
      <w:r w:rsidRPr="001F368B">
        <w:rPr>
          <w:lang w:val="en-GB" w:eastAsia="de-DE"/>
        </w:rPr>
        <w:t>: 10.9 months; placebo: 7.9 months).</w:t>
      </w:r>
    </w:p>
    <w:p w:rsidR="006D4DE2" w:rsidRPr="00050E10" w:rsidRDefault="006D4DE2" w:rsidP="006D4DE2">
      <w:pPr>
        <w:pStyle w:val="PIHeading3"/>
      </w:pPr>
      <w:r w:rsidRPr="00050E10">
        <w:t>Quality of Life</w:t>
      </w:r>
    </w:p>
    <w:p w:rsidR="00D415E4" w:rsidRDefault="006D4DE2" w:rsidP="00D415E4">
      <w:pPr>
        <w:pStyle w:val="TextPI"/>
        <w:rPr>
          <w:rFonts w:ascii="Times New Roman" w:hAnsi="Times New Roman"/>
          <w:lang w:eastAsia="zh-CN" w:bidi="th-TH"/>
        </w:rPr>
      </w:pPr>
      <w:r w:rsidRPr="001F368B">
        <w:rPr>
          <w:lang w:val="en-GB" w:eastAsia="de-DE"/>
        </w:rPr>
        <w:t xml:space="preserve">While </w:t>
      </w:r>
      <w:proofErr w:type="spellStart"/>
      <w:r w:rsidRPr="001F368B">
        <w:rPr>
          <w:lang w:val="en-GB" w:eastAsia="de-DE"/>
        </w:rPr>
        <w:t>nintedanib</w:t>
      </w:r>
      <w:proofErr w:type="spellEnd"/>
      <w:r w:rsidRPr="001F368B">
        <w:rPr>
          <w:lang w:val="en-GB" w:eastAsia="de-DE"/>
        </w:rPr>
        <w:t xml:space="preserve"> did not significantly change the time to deterioration of the pre-specified symptoms cough, dyspnoea and pain, the treatment benefit of </w:t>
      </w:r>
      <w:proofErr w:type="spellStart"/>
      <w:r w:rsidRPr="001F368B">
        <w:rPr>
          <w:lang w:val="en-GB" w:eastAsia="de-DE"/>
        </w:rPr>
        <w:t>nintedanib</w:t>
      </w:r>
      <w:proofErr w:type="spellEnd"/>
      <w:r w:rsidRPr="001F368B">
        <w:rPr>
          <w:lang w:val="en-GB" w:eastAsia="de-DE"/>
        </w:rPr>
        <w:t xml:space="preserve"> was observed without adversely affecting self-reported quality of life</w:t>
      </w:r>
      <w:r>
        <w:rPr>
          <w:lang w:val="en-GB" w:eastAsia="de-DE"/>
        </w:rPr>
        <w:t>.</w:t>
      </w:r>
      <w:r w:rsidR="00D415E4">
        <w:rPr>
          <w:lang w:val="en-GB" w:eastAsia="de-DE"/>
        </w:rPr>
        <w:t xml:space="preserve">  </w:t>
      </w:r>
      <w:r w:rsidR="00D415E4" w:rsidRPr="00795CE3">
        <w:rPr>
          <w:lang w:eastAsia="zh-CN" w:bidi="th-TH"/>
        </w:rPr>
        <w:t xml:space="preserve">Patients receiving </w:t>
      </w:r>
      <w:proofErr w:type="spellStart"/>
      <w:r w:rsidR="00D415E4" w:rsidRPr="00795CE3">
        <w:rPr>
          <w:lang w:eastAsia="zh-CN" w:bidi="th-TH"/>
        </w:rPr>
        <w:t>nintedanib</w:t>
      </w:r>
      <w:proofErr w:type="spellEnd"/>
      <w:r w:rsidR="00D415E4" w:rsidRPr="00795CE3">
        <w:rPr>
          <w:lang w:eastAsia="zh-CN" w:bidi="th-TH"/>
        </w:rPr>
        <w:t xml:space="preserve"> plus docetaxel reported a statistically significant, small deterioration in the symptom assessment of diarrhoea used in the European Organization for Research and Treatment of Cancer (EORTC) core questionnaire QLQ-C30. This finding did not compromise patients</w:t>
      </w:r>
      <w:r w:rsidR="00C4632A">
        <w:rPr>
          <w:lang w:eastAsia="zh-CN" w:bidi="th-TH"/>
        </w:rPr>
        <w:t>’</w:t>
      </w:r>
      <w:r w:rsidR="00D415E4" w:rsidRPr="00795CE3">
        <w:rPr>
          <w:lang w:eastAsia="zh-CN" w:bidi="th-TH"/>
        </w:rPr>
        <w:t xml:space="preserve"> self-reported Global health status/Quality of life. </w:t>
      </w:r>
      <w:r w:rsidR="00D415E4" w:rsidRPr="00954045">
        <w:rPr>
          <w:lang w:val="en-GB" w:eastAsia="de-DE"/>
        </w:rPr>
        <w:t xml:space="preserve">Patients receiving </w:t>
      </w:r>
      <w:proofErr w:type="spellStart"/>
      <w:r w:rsidR="00D415E4" w:rsidRPr="00954045">
        <w:rPr>
          <w:lang w:val="en-GB" w:eastAsia="de-DE"/>
        </w:rPr>
        <w:t>nintedanib</w:t>
      </w:r>
      <w:proofErr w:type="spellEnd"/>
      <w:r w:rsidR="00D415E4" w:rsidRPr="00954045">
        <w:rPr>
          <w:lang w:val="en-GB" w:eastAsia="de-DE"/>
        </w:rPr>
        <w:t xml:space="preserve"> plus docetaxel reported statistically significant improvements in other individual lung cancer symptoms (e.g. pain in chest and pain in arm and shoulder).</w:t>
      </w:r>
      <w:r w:rsidR="00D415E4">
        <w:rPr>
          <w:rFonts w:ascii="Times New Roman" w:hAnsi="Times New Roman"/>
          <w:lang w:eastAsia="zh-CN" w:bidi="th-TH"/>
        </w:rPr>
        <w:t xml:space="preserve"> </w:t>
      </w:r>
    </w:p>
    <w:p w:rsidR="006D4DE2" w:rsidRPr="00D415E4" w:rsidRDefault="006D4DE2" w:rsidP="006D4DE2">
      <w:pPr>
        <w:pStyle w:val="TextPI"/>
        <w:rPr>
          <w:lang w:eastAsia="de-DE"/>
        </w:rPr>
      </w:pPr>
    </w:p>
    <w:p w:rsidR="00223FA3" w:rsidRPr="00223FA3" w:rsidRDefault="00223FA3" w:rsidP="00E072DB">
      <w:pPr>
        <w:pStyle w:val="TextPI"/>
        <w:keepNext/>
        <w:rPr>
          <w:b/>
          <w:bCs/>
          <w:i/>
          <w:iCs/>
          <w:lang w:val="en-GB" w:eastAsia="de-DE"/>
        </w:rPr>
      </w:pPr>
      <w:r w:rsidRPr="00223FA3">
        <w:rPr>
          <w:b/>
          <w:bCs/>
          <w:i/>
          <w:iCs/>
          <w:lang w:val="en-GB" w:eastAsia="de-DE"/>
        </w:rPr>
        <w:lastRenderedPageBreak/>
        <w:t>IPF:</w:t>
      </w:r>
    </w:p>
    <w:p w:rsidR="00223FA3" w:rsidRPr="00223FA3" w:rsidRDefault="00223FA3" w:rsidP="00223FA3">
      <w:pPr>
        <w:pStyle w:val="TextPI"/>
        <w:rPr>
          <w:lang w:val="en-GB" w:eastAsia="en-GB"/>
        </w:rPr>
      </w:pPr>
      <w:r w:rsidRPr="00223FA3">
        <w:rPr>
          <w:lang w:val="en-GB" w:eastAsia="en-GB"/>
        </w:rPr>
        <w:t xml:space="preserve">The clinical efficacy of </w:t>
      </w:r>
      <w:proofErr w:type="spellStart"/>
      <w:r w:rsidRPr="00223FA3">
        <w:rPr>
          <w:lang w:val="en-GB" w:eastAsia="en-GB"/>
        </w:rPr>
        <w:t>nintedanib</w:t>
      </w:r>
      <w:proofErr w:type="spellEnd"/>
      <w:r w:rsidRPr="00223FA3">
        <w:rPr>
          <w:lang w:val="en-GB" w:eastAsia="en-GB"/>
        </w:rPr>
        <w:t xml:space="preserve"> has been studied in patients with IPF in two phase 3, randomised, double-blind, placebo-controlled studies with identical design (INPULSIS-1 and INP</w:t>
      </w:r>
      <w:r w:rsidR="002E39AC">
        <w:rPr>
          <w:lang w:val="en-GB" w:eastAsia="en-GB"/>
        </w:rPr>
        <w:t xml:space="preserve">ULSIS-2). </w:t>
      </w:r>
      <w:r w:rsidR="00C02FFA">
        <w:rPr>
          <w:lang w:val="en-GB" w:eastAsia="en-GB"/>
        </w:rPr>
        <w:t xml:space="preserve">The studies enrolled subjects with FVC </w:t>
      </w:r>
      <w:r w:rsidR="00C02FFA">
        <w:rPr>
          <w:rFonts w:cs="Arial"/>
          <w:lang w:val="en-GB" w:eastAsia="en-GB"/>
        </w:rPr>
        <w:t>≥</w:t>
      </w:r>
      <w:r w:rsidR="00C02FFA">
        <w:rPr>
          <w:lang w:val="en-GB" w:eastAsia="en-GB"/>
        </w:rPr>
        <w:t>50% of predicted and DL</w:t>
      </w:r>
      <w:r w:rsidR="00C02FFA" w:rsidRPr="00C02FFA">
        <w:rPr>
          <w:vertAlign w:val="subscript"/>
          <w:lang w:val="en-GB" w:eastAsia="en-GB"/>
        </w:rPr>
        <w:t>CO</w:t>
      </w:r>
      <w:r w:rsidR="00C02FFA">
        <w:rPr>
          <w:lang w:val="en-GB" w:eastAsia="en-GB"/>
        </w:rPr>
        <w:t xml:space="preserve"> corrected for haemoglobin 30-79% of predicted at baseline.  </w:t>
      </w:r>
      <w:r w:rsidR="002E39AC">
        <w:rPr>
          <w:lang w:val="en-GB" w:eastAsia="en-GB"/>
        </w:rPr>
        <w:t>Patients were randomis</w:t>
      </w:r>
      <w:r w:rsidRPr="00223FA3">
        <w:rPr>
          <w:lang w:val="en-GB" w:eastAsia="en-GB"/>
        </w:rPr>
        <w:t xml:space="preserve">ed </w:t>
      </w:r>
      <w:proofErr w:type="gramStart"/>
      <w:r w:rsidRPr="00223FA3">
        <w:rPr>
          <w:lang w:val="en-GB" w:eastAsia="en-GB"/>
        </w:rPr>
        <w:t>in a 3:2 ratio to treatment with</w:t>
      </w:r>
      <w:r>
        <w:rPr>
          <w:lang w:val="en-GB" w:eastAsia="en-GB"/>
        </w:rPr>
        <w:t xml:space="preserve"> </w:t>
      </w:r>
      <w:r w:rsidR="007501C4">
        <w:rPr>
          <w:lang w:val="en-GB" w:eastAsia="en-GB"/>
        </w:rPr>
        <w:t>VARGATEF</w:t>
      </w:r>
      <w:r w:rsidRPr="00223FA3">
        <w:rPr>
          <w:lang w:val="en-GB" w:eastAsia="en-GB"/>
        </w:rPr>
        <w:t xml:space="preserve"> 150 mg or placebo twice daily for 52 weeks</w:t>
      </w:r>
      <w:proofErr w:type="gramEnd"/>
      <w:r w:rsidRPr="00223FA3">
        <w:rPr>
          <w:lang w:val="en-GB" w:eastAsia="en-GB"/>
        </w:rPr>
        <w:t>.</w:t>
      </w:r>
    </w:p>
    <w:p w:rsidR="00223FA3" w:rsidRPr="00223FA3" w:rsidRDefault="00223FA3" w:rsidP="00223FA3">
      <w:pPr>
        <w:pStyle w:val="TextPI"/>
        <w:rPr>
          <w:lang w:val="en-GB" w:eastAsia="en-GB"/>
        </w:rPr>
      </w:pPr>
      <w:r w:rsidRPr="00223FA3">
        <w:rPr>
          <w:lang w:val="en-GB" w:eastAsia="en-GB"/>
        </w:rPr>
        <w:t>The primary endpoint was the annual rate of decline in Forced Vital Capacity (FVC). The key secondary endpoints were change from baseline in Saint George's Respiratory Questionnaire (SGRQ) total score at 52 weeks and time to first acute IPF exacerbation.</w:t>
      </w:r>
    </w:p>
    <w:p w:rsidR="00223FA3" w:rsidRPr="00223FA3" w:rsidRDefault="00223FA3" w:rsidP="00223FA3">
      <w:pPr>
        <w:pStyle w:val="TextPI"/>
        <w:rPr>
          <w:u w:val="single"/>
          <w:lang w:val="en-GB" w:eastAsia="en-GB"/>
        </w:rPr>
      </w:pPr>
      <w:r w:rsidRPr="00223FA3">
        <w:rPr>
          <w:u w:val="single"/>
          <w:lang w:val="en-GB" w:eastAsia="en-GB"/>
        </w:rPr>
        <w:t xml:space="preserve">Annual rate of decline in FVC </w:t>
      </w:r>
    </w:p>
    <w:p w:rsidR="00223FA3" w:rsidRDefault="00223FA3" w:rsidP="00223FA3">
      <w:pPr>
        <w:pStyle w:val="TextPI"/>
        <w:rPr>
          <w:lang w:val="en-GB" w:eastAsia="en-GB"/>
        </w:rPr>
      </w:pPr>
      <w:r w:rsidRPr="00223FA3">
        <w:rPr>
          <w:lang w:val="en-GB" w:eastAsia="en-GB"/>
        </w:rPr>
        <w:t xml:space="preserve">The annual rate of decline of FVC (in mL) was significantly reduced in patients receiving </w:t>
      </w:r>
      <w:proofErr w:type="spellStart"/>
      <w:r w:rsidRPr="00223FA3">
        <w:rPr>
          <w:lang w:val="en-GB" w:eastAsia="en-GB"/>
        </w:rPr>
        <w:t>nintedanib</w:t>
      </w:r>
      <w:proofErr w:type="spellEnd"/>
      <w:r w:rsidRPr="00223FA3">
        <w:rPr>
          <w:lang w:val="en-GB" w:eastAsia="en-GB"/>
        </w:rPr>
        <w:t xml:space="preserve"> compared to patients receiving placebo. The treatment effect was consistent in both trials. See Table </w:t>
      </w:r>
      <w:r w:rsidR="002E39AC">
        <w:rPr>
          <w:lang w:val="en-GB" w:eastAsia="en-GB"/>
        </w:rPr>
        <w:t>2</w:t>
      </w:r>
      <w:r w:rsidRPr="00223FA3">
        <w:rPr>
          <w:lang w:val="en-GB" w:eastAsia="en-GB"/>
        </w:rPr>
        <w:t xml:space="preserve"> for individual and pooled study results.</w:t>
      </w:r>
    </w:p>
    <w:p w:rsidR="00223FA3" w:rsidRPr="009602A1" w:rsidRDefault="00C3419E" w:rsidP="002E39AC">
      <w:pPr>
        <w:pStyle w:val="TextPI"/>
        <w:tabs>
          <w:tab w:val="left" w:pos="1276"/>
        </w:tabs>
        <w:ind w:left="1122" w:hanging="1122"/>
        <w:rPr>
          <w:b/>
          <w:bCs/>
          <w:lang w:val="en-GB" w:eastAsia="en-GB"/>
        </w:rPr>
      </w:pPr>
      <w:r w:rsidRPr="009602A1">
        <w:rPr>
          <w:b/>
          <w:bCs/>
          <w:lang w:val="en-GB" w:eastAsia="en-GB"/>
        </w:rPr>
        <w:t xml:space="preserve">Table </w:t>
      </w:r>
      <w:r w:rsidR="002E39AC" w:rsidRPr="009602A1">
        <w:rPr>
          <w:b/>
          <w:bCs/>
          <w:lang w:val="en-GB" w:eastAsia="en-GB"/>
        </w:rPr>
        <w:t>2</w:t>
      </w:r>
      <w:r w:rsidRPr="009602A1">
        <w:rPr>
          <w:b/>
          <w:bCs/>
          <w:lang w:val="en-GB" w:eastAsia="en-GB"/>
        </w:rPr>
        <w:t xml:space="preserve">: </w:t>
      </w:r>
      <w:r w:rsidR="002E39AC" w:rsidRPr="009602A1">
        <w:rPr>
          <w:b/>
          <w:bCs/>
          <w:lang w:val="en-GB" w:eastAsia="en-GB"/>
        </w:rPr>
        <w:tab/>
      </w:r>
      <w:r w:rsidR="00223FA3" w:rsidRPr="009602A1">
        <w:rPr>
          <w:b/>
          <w:bCs/>
          <w:lang w:val="en-GB" w:eastAsia="en-GB"/>
        </w:rPr>
        <w:t>Annual rate of decline in FVC (mL) in trials INPULSIS-1, INPULSIS-2 and their pooled data - treated set</w:t>
      </w:r>
    </w:p>
    <w:tbl>
      <w:tblPr>
        <w:tblW w:w="9226"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1485"/>
        <w:gridCol w:w="1159"/>
        <w:gridCol w:w="1559"/>
        <w:gridCol w:w="1085"/>
        <w:gridCol w:w="1472"/>
        <w:gridCol w:w="988"/>
        <w:gridCol w:w="1478"/>
      </w:tblGrid>
      <w:tr w:rsidR="00C3419E" w:rsidRPr="002E39AC" w:rsidTr="00A32C40">
        <w:trPr>
          <w:tblHeader/>
          <w:jc w:val="center"/>
        </w:trPr>
        <w:tc>
          <w:tcPr>
            <w:tcW w:w="1485" w:type="dxa"/>
            <w:tcBorders>
              <w:top w:val="single" w:sz="4" w:space="0" w:color="auto"/>
              <w:left w:val="single" w:sz="4" w:space="0" w:color="auto"/>
              <w:bottom w:val="single" w:sz="4" w:space="0" w:color="auto"/>
              <w:right w:val="nil"/>
            </w:tcBorders>
            <w:shd w:val="clear" w:color="auto" w:fill="auto"/>
          </w:tcPr>
          <w:p w:rsidR="00223FA3" w:rsidRPr="002E39AC" w:rsidRDefault="00223FA3" w:rsidP="00C3419E">
            <w:pPr>
              <w:pStyle w:val="TextPI"/>
              <w:rPr>
                <w:sz w:val="20"/>
                <w:szCs w:val="20"/>
                <w:lang w:val="en-GB" w:eastAsia="en-GB"/>
              </w:rPr>
            </w:pPr>
          </w:p>
        </w:tc>
        <w:tc>
          <w:tcPr>
            <w:tcW w:w="2718" w:type="dxa"/>
            <w:gridSpan w:val="2"/>
            <w:tcBorders>
              <w:top w:val="single" w:sz="4" w:space="0" w:color="auto"/>
              <w:left w:val="nil"/>
              <w:bottom w:val="single" w:sz="4" w:space="0" w:color="auto"/>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INPULSIS-1</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INPULSIS-2</w:t>
            </w:r>
          </w:p>
        </w:tc>
        <w:tc>
          <w:tcPr>
            <w:tcW w:w="246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INPULSIS-1 and INPULSIS-2</w:t>
            </w:r>
            <w:r w:rsidR="00C3419E" w:rsidRPr="002E39AC">
              <w:rPr>
                <w:sz w:val="20"/>
                <w:szCs w:val="20"/>
                <w:lang w:val="en-GB" w:eastAsia="en-GB"/>
              </w:rPr>
              <w:t xml:space="preserve"> </w:t>
            </w:r>
            <w:r w:rsidR="00C3419E" w:rsidRPr="002E39AC">
              <w:rPr>
                <w:sz w:val="20"/>
                <w:szCs w:val="20"/>
                <w:lang w:val="en-GB" w:eastAsia="en-GB"/>
              </w:rPr>
              <w:br/>
            </w:r>
            <w:r w:rsidRPr="002E39AC">
              <w:rPr>
                <w:sz w:val="20"/>
                <w:szCs w:val="20"/>
                <w:lang w:val="en-GB" w:eastAsia="en-GB"/>
              </w:rPr>
              <w:t>pooled</w:t>
            </w:r>
          </w:p>
        </w:tc>
      </w:tr>
      <w:tr w:rsidR="002E39AC" w:rsidRPr="002E39AC" w:rsidTr="00A32C40">
        <w:trPr>
          <w:tblHeader/>
          <w:jc w:val="center"/>
        </w:trPr>
        <w:tc>
          <w:tcPr>
            <w:tcW w:w="1485" w:type="dxa"/>
            <w:tcBorders>
              <w:top w:val="single" w:sz="4" w:space="0" w:color="auto"/>
              <w:left w:val="single" w:sz="4" w:space="0" w:color="auto"/>
              <w:bottom w:val="single" w:sz="4" w:space="0" w:color="auto"/>
              <w:right w:val="nil"/>
            </w:tcBorders>
            <w:shd w:val="clear" w:color="auto" w:fill="auto"/>
          </w:tcPr>
          <w:p w:rsidR="00C3419E" w:rsidRPr="002E39AC" w:rsidRDefault="00C3419E" w:rsidP="00C3419E">
            <w:pPr>
              <w:pStyle w:val="TextPI"/>
              <w:rPr>
                <w:sz w:val="20"/>
                <w:szCs w:val="20"/>
                <w:lang w:val="en-GB" w:eastAsia="en-GB"/>
              </w:rPr>
            </w:pPr>
          </w:p>
        </w:tc>
        <w:tc>
          <w:tcPr>
            <w:tcW w:w="1159" w:type="dxa"/>
            <w:tcBorders>
              <w:top w:val="single" w:sz="4" w:space="0" w:color="auto"/>
              <w:left w:val="nil"/>
              <w:bottom w:val="single" w:sz="4" w:space="0" w:color="auto"/>
              <w:right w:val="nil"/>
            </w:tcBorders>
            <w:shd w:val="clear" w:color="auto" w:fill="auto"/>
          </w:tcPr>
          <w:p w:rsidR="00C3419E" w:rsidRPr="002E39AC" w:rsidRDefault="00C3419E" w:rsidP="00C3419E">
            <w:pPr>
              <w:pStyle w:val="TextPI"/>
              <w:jc w:val="center"/>
              <w:rPr>
                <w:sz w:val="20"/>
                <w:szCs w:val="20"/>
                <w:lang w:val="en-GB" w:eastAsia="en-GB"/>
              </w:rPr>
            </w:pPr>
            <w:r w:rsidRPr="002E39AC">
              <w:rPr>
                <w:sz w:val="20"/>
                <w:szCs w:val="20"/>
                <w:lang w:val="en-GB" w:eastAsia="en-GB"/>
              </w:rPr>
              <w:t>Placebo</w:t>
            </w:r>
          </w:p>
        </w:tc>
        <w:tc>
          <w:tcPr>
            <w:tcW w:w="1559" w:type="dxa"/>
            <w:tcBorders>
              <w:top w:val="single" w:sz="4" w:space="0" w:color="auto"/>
              <w:left w:val="nil"/>
              <w:bottom w:val="single" w:sz="4" w:space="0" w:color="auto"/>
              <w:right w:val="nil"/>
            </w:tcBorders>
            <w:shd w:val="clear" w:color="auto" w:fill="auto"/>
          </w:tcPr>
          <w:p w:rsidR="00C3419E" w:rsidRPr="002E39AC" w:rsidRDefault="007501C4" w:rsidP="00C3419E">
            <w:pPr>
              <w:pStyle w:val="TextPI"/>
              <w:jc w:val="center"/>
              <w:rPr>
                <w:sz w:val="20"/>
                <w:szCs w:val="20"/>
                <w:lang w:val="en-GB" w:eastAsia="en-GB"/>
              </w:rPr>
            </w:pPr>
            <w:r>
              <w:rPr>
                <w:sz w:val="20"/>
                <w:szCs w:val="20"/>
                <w:lang w:val="en-GB" w:eastAsia="en-GB"/>
              </w:rPr>
              <w:t>VARGATEF</w:t>
            </w:r>
            <w:r w:rsidR="00C3419E" w:rsidRPr="002E39AC">
              <w:rPr>
                <w:sz w:val="20"/>
                <w:szCs w:val="20"/>
                <w:lang w:val="en-GB" w:eastAsia="en-GB"/>
              </w:rPr>
              <w:t xml:space="preserve"> 150 mg twice daily</w:t>
            </w:r>
          </w:p>
        </w:tc>
        <w:tc>
          <w:tcPr>
            <w:tcW w:w="1085" w:type="dxa"/>
            <w:tcBorders>
              <w:top w:val="single" w:sz="4" w:space="0" w:color="auto"/>
              <w:left w:val="single" w:sz="4" w:space="0" w:color="auto"/>
              <w:bottom w:val="single" w:sz="4" w:space="0" w:color="auto"/>
              <w:right w:val="nil"/>
            </w:tcBorders>
            <w:shd w:val="clear" w:color="auto" w:fill="auto"/>
          </w:tcPr>
          <w:p w:rsidR="00C3419E" w:rsidRPr="002E39AC" w:rsidRDefault="00C3419E" w:rsidP="00C3419E">
            <w:pPr>
              <w:pStyle w:val="TextPI"/>
              <w:jc w:val="center"/>
              <w:rPr>
                <w:sz w:val="20"/>
                <w:szCs w:val="20"/>
                <w:lang w:val="en-GB" w:eastAsia="en-GB"/>
              </w:rPr>
            </w:pPr>
            <w:r w:rsidRPr="002E39AC">
              <w:rPr>
                <w:sz w:val="20"/>
                <w:szCs w:val="20"/>
                <w:lang w:val="en-GB" w:eastAsia="en-GB"/>
              </w:rPr>
              <w:t>Placebo</w:t>
            </w:r>
          </w:p>
        </w:tc>
        <w:tc>
          <w:tcPr>
            <w:tcW w:w="1472" w:type="dxa"/>
            <w:tcBorders>
              <w:top w:val="single" w:sz="4" w:space="0" w:color="auto"/>
              <w:left w:val="nil"/>
              <w:bottom w:val="single" w:sz="4" w:space="0" w:color="auto"/>
              <w:right w:val="single" w:sz="4" w:space="0" w:color="auto"/>
            </w:tcBorders>
            <w:shd w:val="clear" w:color="auto" w:fill="auto"/>
          </w:tcPr>
          <w:p w:rsidR="00C3419E" w:rsidRPr="002E39AC" w:rsidRDefault="007501C4" w:rsidP="00C3419E">
            <w:pPr>
              <w:pStyle w:val="TextPI"/>
              <w:jc w:val="center"/>
              <w:rPr>
                <w:sz w:val="20"/>
                <w:szCs w:val="20"/>
                <w:lang w:val="en-GB" w:eastAsia="en-GB"/>
              </w:rPr>
            </w:pPr>
            <w:r>
              <w:rPr>
                <w:sz w:val="20"/>
                <w:szCs w:val="20"/>
                <w:lang w:val="en-GB" w:eastAsia="en-GB"/>
              </w:rPr>
              <w:t>VARGATEF</w:t>
            </w:r>
            <w:r w:rsidR="00C3419E" w:rsidRPr="002E39AC">
              <w:rPr>
                <w:sz w:val="20"/>
                <w:szCs w:val="20"/>
                <w:lang w:val="en-GB" w:eastAsia="en-GB"/>
              </w:rPr>
              <w:t xml:space="preserve"> 150 mg twice daily</w:t>
            </w:r>
          </w:p>
        </w:tc>
        <w:tc>
          <w:tcPr>
            <w:tcW w:w="988" w:type="dxa"/>
            <w:tcBorders>
              <w:top w:val="single" w:sz="4" w:space="0" w:color="auto"/>
              <w:left w:val="single" w:sz="4" w:space="0" w:color="auto"/>
              <w:bottom w:val="single" w:sz="4" w:space="0" w:color="auto"/>
              <w:right w:val="nil"/>
            </w:tcBorders>
            <w:shd w:val="clear" w:color="auto" w:fill="auto"/>
          </w:tcPr>
          <w:p w:rsidR="00C3419E" w:rsidRPr="002E39AC" w:rsidRDefault="00C3419E" w:rsidP="00C3419E">
            <w:pPr>
              <w:pStyle w:val="TextPI"/>
              <w:jc w:val="center"/>
              <w:rPr>
                <w:sz w:val="20"/>
                <w:szCs w:val="20"/>
                <w:lang w:val="en-GB" w:eastAsia="en-GB"/>
              </w:rPr>
            </w:pPr>
            <w:r w:rsidRPr="002E39AC">
              <w:rPr>
                <w:sz w:val="20"/>
                <w:szCs w:val="20"/>
                <w:lang w:val="en-GB" w:eastAsia="en-GB"/>
              </w:rPr>
              <w:t>Placebo</w:t>
            </w:r>
          </w:p>
        </w:tc>
        <w:tc>
          <w:tcPr>
            <w:tcW w:w="1478" w:type="dxa"/>
            <w:tcBorders>
              <w:top w:val="single" w:sz="4" w:space="0" w:color="auto"/>
              <w:left w:val="nil"/>
              <w:bottom w:val="single" w:sz="4" w:space="0" w:color="auto"/>
              <w:right w:val="single" w:sz="4" w:space="0" w:color="auto"/>
            </w:tcBorders>
            <w:shd w:val="clear" w:color="auto" w:fill="auto"/>
          </w:tcPr>
          <w:p w:rsidR="00C3419E" w:rsidRPr="002E39AC" w:rsidRDefault="007501C4" w:rsidP="00C3419E">
            <w:pPr>
              <w:pStyle w:val="TextPI"/>
              <w:jc w:val="center"/>
              <w:rPr>
                <w:sz w:val="20"/>
                <w:szCs w:val="20"/>
                <w:lang w:val="en-GB" w:eastAsia="en-GB"/>
              </w:rPr>
            </w:pPr>
            <w:r>
              <w:rPr>
                <w:sz w:val="20"/>
                <w:szCs w:val="20"/>
                <w:lang w:val="en-GB" w:eastAsia="en-GB"/>
              </w:rPr>
              <w:t>VARGATEF</w:t>
            </w:r>
            <w:r w:rsidR="00C3419E" w:rsidRPr="002E39AC">
              <w:rPr>
                <w:sz w:val="20"/>
                <w:szCs w:val="20"/>
                <w:lang w:val="en-GB" w:eastAsia="en-GB"/>
              </w:rPr>
              <w:t xml:space="preserve"> 150 mg twice daily</w:t>
            </w:r>
          </w:p>
        </w:tc>
      </w:tr>
      <w:tr w:rsidR="002E39AC" w:rsidRPr="002E39AC" w:rsidTr="00A32C40">
        <w:trPr>
          <w:jc w:val="center"/>
        </w:trPr>
        <w:tc>
          <w:tcPr>
            <w:tcW w:w="1485" w:type="dxa"/>
            <w:tcBorders>
              <w:top w:val="nil"/>
              <w:left w:val="single" w:sz="4" w:space="0" w:color="auto"/>
              <w:bottom w:val="nil"/>
              <w:right w:val="nil"/>
            </w:tcBorders>
            <w:shd w:val="clear" w:color="auto" w:fill="auto"/>
          </w:tcPr>
          <w:p w:rsidR="00223FA3" w:rsidRPr="002E39AC" w:rsidRDefault="00223FA3" w:rsidP="00C3419E">
            <w:pPr>
              <w:pStyle w:val="TextPI"/>
              <w:jc w:val="left"/>
              <w:rPr>
                <w:sz w:val="20"/>
                <w:szCs w:val="20"/>
                <w:lang w:val="en-GB" w:eastAsia="en-GB"/>
              </w:rPr>
            </w:pPr>
            <w:r w:rsidRPr="002E39AC">
              <w:rPr>
                <w:sz w:val="20"/>
                <w:szCs w:val="20"/>
                <w:lang w:val="en-GB" w:eastAsia="en-GB"/>
              </w:rPr>
              <w:t>Number of analysed patients</w:t>
            </w:r>
          </w:p>
        </w:tc>
        <w:tc>
          <w:tcPr>
            <w:tcW w:w="1159" w:type="dxa"/>
            <w:tcBorders>
              <w:top w:val="nil"/>
              <w:left w:val="nil"/>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204</w:t>
            </w:r>
          </w:p>
        </w:tc>
        <w:tc>
          <w:tcPr>
            <w:tcW w:w="1559" w:type="dxa"/>
            <w:tcBorders>
              <w:top w:val="nil"/>
              <w:left w:val="nil"/>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309</w:t>
            </w:r>
          </w:p>
        </w:tc>
        <w:tc>
          <w:tcPr>
            <w:tcW w:w="1085" w:type="dxa"/>
            <w:tcBorders>
              <w:top w:val="nil"/>
              <w:left w:val="single" w:sz="4" w:space="0" w:color="auto"/>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219</w:t>
            </w:r>
          </w:p>
        </w:tc>
        <w:tc>
          <w:tcPr>
            <w:tcW w:w="1472" w:type="dxa"/>
            <w:tcBorders>
              <w:top w:val="nil"/>
              <w:left w:val="nil"/>
              <w:bottom w:val="nil"/>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329</w:t>
            </w:r>
          </w:p>
        </w:tc>
        <w:tc>
          <w:tcPr>
            <w:tcW w:w="988" w:type="dxa"/>
            <w:tcBorders>
              <w:top w:val="nil"/>
              <w:left w:val="single" w:sz="4" w:space="0" w:color="auto"/>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423</w:t>
            </w:r>
          </w:p>
        </w:tc>
        <w:tc>
          <w:tcPr>
            <w:tcW w:w="1478" w:type="dxa"/>
            <w:tcBorders>
              <w:top w:val="nil"/>
              <w:left w:val="nil"/>
              <w:bottom w:val="nil"/>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638</w:t>
            </w:r>
          </w:p>
        </w:tc>
      </w:tr>
      <w:tr w:rsidR="002E39AC" w:rsidRPr="002E39AC" w:rsidTr="00A32C40">
        <w:trPr>
          <w:jc w:val="center"/>
        </w:trPr>
        <w:tc>
          <w:tcPr>
            <w:tcW w:w="1485" w:type="dxa"/>
            <w:tcBorders>
              <w:top w:val="nil"/>
              <w:left w:val="single" w:sz="4" w:space="0" w:color="auto"/>
              <w:bottom w:val="nil"/>
              <w:right w:val="nil"/>
            </w:tcBorders>
            <w:shd w:val="clear" w:color="auto" w:fill="auto"/>
          </w:tcPr>
          <w:p w:rsidR="00223FA3" w:rsidRPr="002E39AC" w:rsidRDefault="00223FA3" w:rsidP="00C3419E">
            <w:pPr>
              <w:pStyle w:val="TextPI"/>
              <w:jc w:val="left"/>
              <w:rPr>
                <w:sz w:val="20"/>
                <w:szCs w:val="20"/>
                <w:lang w:val="en-GB" w:eastAsia="en-GB"/>
              </w:rPr>
            </w:pPr>
            <w:r w:rsidRPr="002E39AC">
              <w:rPr>
                <w:sz w:val="20"/>
                <w:szCs w:val="20"/>
                <w:lang w:val="en-GB" w:eastAsia="en-GB"/>
              </w:rPr>
              <w:t>Rate1 (SE) of decline over 52 weeks</w:t>
            </w:r>
          </w:p>
        </w:tc>
        <w:tc>
          <w:tcPr>
            <w:tcW w:w="1159" w:type="dxa"/>
            <w:tcBorders>
              <w:top w:val="nil"/>
              <w:left w:val="nil"/>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−239.9 (18.71)</w:t>
            </w:r>
          </w:p>
        </w:tc>
        <w:tc>
          <w:tcPr>
            <w:tcW w:w="1559" w:type="dxa"/>
            <w:tcBorders>
              <w:top w:val="nil"/>
              <w:left w:val="nil"/>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−114.7  (15.33)</w:t>
            </w:r>
          </w:p>
        </w:tc>
        <w:tc>
          <w:tcPr>
            <w:tcW w:w="1085" w:type="dxa"/>
            <w:tcBorders>
              <w:top w:val="nil"/>
              <w:left w:val="single" w:sz="4" w:space="0" w:color="auto"/>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−207.3 (19.31)</w:t>
            </w:r>
          </w:p>
        </w:tc>
        <w:tc>
          <w:tcPr>
            <w:tcW w:w="1472" w:type="dxa"/>
            <w:tcBorders>
              <w:top w:val="nil"/>
              <w:left w:val="nil"/>
              <w:bottom w:val="nil"/>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−113.6 (15.73)</w:t>
            </w:r>
          </w:p>
        </w:tc>
        <w:tc>
          <w:tcPr>
            <w:tcW w:w="988" w:type="dxa"/>
            <w:tcBorders>
              <w:top w:val="nil"/>
              <w:left w:val="single" w:sz="4" w:space="0" w:color="auto"/>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−223.5 (13.45)</w:t>
            </w:r>
          </w:p>
        </w:tc>
        <w:tc>
          <w:tcPr>
            <w:tcW w:w="1478" w:type="dxa"/>
            <w:tcBorders>
              <w:top w:val="nil"/>
              <w:left w:val="nil"/>
              <w:bottom w:val="nil"/>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−113.6 (10.98)</w:t>
            </w:r>
          </w:p>
        </w:tc>
      </w:tr>
      <w:tr w:rsidR="002E39AC" w:rsidRPr="002E39AC" w:rsidTr="00A32C40">
        <w:trPr>
          <w:jc w:val="center"/>
        </w:trPr>
        <w:tc>
          <w:tcPr>
            <w:tcW w:w="1485" w:type="dxa"/>
            <w:tcBorders>
              <w:top w:val="nil"/>
              <w:left w:val="single" w:sz="4" w:space="0" w:color="auto"/>
              <w:bottom w:val="nil"/>
              <w:right w:val="nil"/>
            </w:tcBorders>
            <w:shd w:val="clear" w:color="auto" w:fill="auto"/>
          </w:tcPr>
          <w:p w:rsidR="00223FA3" w:rsidRPr="002E39AC" w:rsidRDefault="00223FA3" w:rsidP="00C3419E">
            <w:pPr>
              <w:pStyle w:val="TextPI"/>
              <w:jc w:val="left"/>
              <w:rPr>
                <w:sz w:val="20"/>
                <w:szCs w:val="20"/>
                <w:lang w:val="en-GB" w:eastAsia="en-GB"/>
              </w:rPr>
            </w:pPr>
            <w:r w:rsidRPr="002E39AC">
              <w:rPr>
                <w:sz w:val="20"/>
                <w:szCs w:val="20"/>
                <w:lang w:val="en-GB" w:eastAsia="en-GB"/>
              </w:rPr>
              <w:t>Comparison vs placebo</w:t>
            </w:r>
          </w:p>
        </w:tc>
        <w:tc>
          <w:tcPr>
            <w:tcW w:w="1159" w:type="dxa"/>
            <w:tcBorders>
              <w:top w:val="nil"/>
              <w:left w:val="nil"/>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p>
        </w:tc>
        <w:tc>
          <w:tcPr>
            <w:tcW w:w="1559" w:type="dxa"/>
            <w:tcBorders>
              <w:top w:val="nil"/>
              <w:left w:val="nil"/>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p>
        </w:tc>
        <w:tc>
          <w:tcPr>
            <w:tcW w:w="1085" w:type="dxa"/>
            <w:tcBorders>
              <w:top w:val="nil"/>
              <w:left w:val="single" w:sz="4" w:space="0" w:color="auto"/>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p>
        </w:tc>
        <w:tc>
          <w:tcPr>
            <w:tcW w:w="1472" w:type="dxa"/>
            <w:tcBorders>
              <w:top w:val="nil"/>
              <w:left w:val="nil"/>
              <w:bottom w:val="nil"/>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p>
        </w:tc>
        <w:tc>
          <w:tcPr>
            <w:tcW w:w="988" w:type="dxa"/>
            <w:tcBorders>
              <w:top w:val="nil"/>
              <w:left w:val="single" w:sz="4" w:space="0" w:color="auto"/>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p>
        </w:tc>
        <w:tc>
          <w:tcPr>
            <w:tcW w:w="1478" w:type="dxa"/>
            <w:tcBorders>
              <w:top w:val="nil"/>
              <w:left w:val="nil"/>
              <w:bottom w:val="nil"/>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p>
        </w:tc>
      </w:tr>
      <w:tr w:rsidR="002E39AC" w:rsidRPr="002E39AC" w:rsidTr="00A32C40">
        <w:trPr>
          <w:trHeight w:val="740"/>
          <w:jc w:val="center"/>
        </w:trPr>
        <w:tc>
          <w:tcPr>
            <w:tcW w:w="1485" w:type="dxa"/>
            <w:tcBorders>
              <w:top w:val="nil"/>
              <w:left w:val="single" w:sz="4" w:space="0" w:color="auto"/>
              <w:bottom w:val="nil"/>
              <w:right w:val="nil"/>
            </w:tcBorders>
            <w:shd w:val="clear" w:color="auto" w:fill="auto"/>
          </w:tcPr>
          <w:p w:rsidR="00223FA3" w:rsidRPr="002E39AC" w:rsidRDefault="00223FA3" w:rsidP="00C3419E">
            <w:pPr>
              <w:pStyle w:val="TextPI"/>
              <w:jc w:val="left"/>
              <w:rPr>
                <w:sz w:val="20"/>
                <w:szCs w:val="20"/>
                <w:lang w:val="en-GB" w:eastAsia="en-GB"/>
              </w:rPr>
            </w:pPr>
            <w:r w:rsidRPr="002E39AC">
              <w:rPr>
                <w:sz w:val="20"/>
                <w:szCs w:val="20"/>
                <w:lang w:val="en-GB" w:eastAsia="en-GB"/>
              </w:rPr>
              <w:t>Difference</w:t>
            </w:r>
            <w:r w:rsidRPr="002E39AC">
              <w:rPr>
                <w:sz w:val="20"/>
                <w:szCs w:val="20"/>
                <w:vertAlign w:val="superscript"/>
                <w:lang w:val="en-GB" w:eastAsia="en-GB"/>
              </w:rPr>
              <w:t>1</w:t>
            </w:r>
          </w:p>
        </w:tc>
        <w:tc>
          <w:tcPr>
            <w:tcW w:w="1159" w:type="dxa"/>
            <w:tcBorders>
              <w:top w:val="nil"/>
              <w:left w:val="nil"/>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p>
        </w:tc>
        <w:tc>
          <w:tcPr>
            <w:tcW w:w="1559" w:type="dxa"/>
            <w:tcBorders>
              <w:top w:val="nil"/>
              <w:left w:val="nil"/>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125.3</w:t>
            </w:r>
          </w:p>
          <w:p w:rsidR="00223FA3" w:rsidRPr="002E39AC" w:rsidRDefault="00223FA3" w:rsidP="002E39AC">
            <w:pPr>
              <w:pStyle w:val="TextPI"/>
              <w:rPr>
                <w:sz w:val="20"/>
                <w:szCs w:val="20"/>
                <w:lang w:val="en-GB" w:eastAsia="en-GB"/>
              </w:rPr>
            </w:pPr>
          </w:p>
        </w:tc>
        <w:tc>
          <w:tcPr>
            <w:tcW w:w="1085" w:type="dxa"/>
            <w:tcBorders>
              <w:top w:val="nil"/>
              <w:left w:val="single" w:sz="4" w:space="0" w:color="auto"/>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p>
        </w:tc>
        <w:tc>
          <w:tcPr>
            <w:tcW w:w="1472" w:type="dxa"/>
            <w:tcBorders>
              <w:top w:val="nil"/>
              <w:left w:val="nil"/>
              <w:bottom w:val="nil"/>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93.7</w:t>
            </w:r>
          </w:p>
          <w:p w:rsidR="00223FA3" w:rsidRPr="002E39AC" w:rsidRDefault="00223FA3" w:rsidP="002E39AC">
            <w:pPr>
              <w:pStyle w:val="TextPI"/>
              <w:jc w:val="center"/>
              <w:rPr>
                <w:sz w:val="20"/>
                <w:szCs w:val="20"/>
                <w:lang w:val="en-GB" w:eastAsia="en-GB"/>
              </w:rPr>
            </w:pPr>
          </w:p>
        </w:tc>
        <w:tc>
          <w:tcPr>
            <w:tcW w:w="988" w:type="dxa"/>
            <w:tcBorders>
              <w:top w:val="nil"/>
              <w:left w:val="single" w:sz="4" w:space="0" w:color="auto"/>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p>
        </w:tc>
        <w:tc>
          <w:tcPr>
            <w:tcW w:w="1478" w:type="dxa"/>
            <w:tcBorders>
              <w:top w:val="nil"/>
              <w:left w:val="nil"/>
              <w:bottom w:val="nil"/>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109.9</w:t>
            </w:r>
          </w:p>
          <w:p w:rsidR="00223FA3" w:rsidRPr="002E39AC" w:rsidRDefault="00223FA3" w:rsidP="002E39AC">
            <w:pPr>
              <w:pStyle w:val="TextPI"/>
              <w:jc w:val="center"/>
              <w:rPr>
                <w:sz w:val="20"/>
                <w:szCs w:val="20"/>
                <w:lang w:val="en-GB" w:eastAsia="en-GB"/>
              </w:rPr>
            </w:pPr>
          </w:p>
        </w:tc>
      </w:tr>
      <w:tr w:rsidR="002E39AC" w:rsidRPr="002E39AC" w:rsidTr="00A32C40">
        <w:trPr>
          <w:jc w:val="center"/>
        </w:trPr>
        <w:tc>
          <w:tcPr>
            <w:tcW w:w="1485" w:type="dxa"/>
            <w:tcBorders>
              <w:top w:val="nil"/>
              <w:left w:val="single" w:sz="4" w:space="0" w:color="auto"/>
              <w:bottom w:val="nil"/>
              <w:right w:val="nil"/>
            </w:tcBorders>
            <w:shd w:val="clear" w:color="auto" w:fill="auto"/>
          </w:tcPr>
          <w:p w:rsidR="00223FA3" w:rsidRPr="002E39AC" w:rsidRDefault="00223FA3" w:rsidP="00C3419E">
            <w:pPr>
              <w:pStyle w:val="TextPI"/>
              <w:jc w:val="left"/>
              <w:rPr>
                <w:sz w:val="20"/>
                <w:szCs w:val="20"/>
                <w:lang w:val="en-GB" w:eastAsia="en-GB"/>
              </w:rPr>
            </w:pPr>
            <w:r w:rsidRPr="002E39AC">
              <w:rPr>
                <w:sz w:val="20"/>
                <w:szCs w:val="20"/>
                <w:lang w:val="en-GB" w:eastAsia="en-GB"/>
              </w:rPr>
              <w:tab/>
              <w:t>95%</w:t>
            </w:r>
            <w:r w:rsidR="002E39AC">
              <w:rPr>
                <w:sz w:val="20"/>
                <w:szCs w:val="20"/>
                <w:lang w:val="en-GB" w:eastAsia="en-GB"/>
              </w:rPr>
              <w:t xml:space="preserve"> </w:t>
            </w:r>
            <w:r w:rsidRPr="002E39AC">
              <w:rPr>
                <w:sz w:val="20"/>
                <w:szCs w:val="20"/>
                <w:lang w:val="en-GB" w:eastAsia="en-GB"/>
              </w:rPr>
              <w:t>CI</w:t>
            </w:r>
          </w:p>
        </w:tc>
        <w:tc>
          <w:tcPr>
            <w:tcW w:w="1159" w:type="dxa"/>
            <w:tcBorders>
              <w:top w:val="nil"/>
              <w:left w:val="nil"/>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p>
        </w:tc>
        <w:tc>
          <w:tcPr>
            <w:tcW w:w="1559" w:type="dxa"/>
            <w:tcBorders>
              <w:top w:val="nil"/>
              <w:left w:val="nil"/>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(77.7, 172.8)</w:t>
            </w:r>
          </w:p>
        </w:tc>
        <w:tc>
          <w:tcPr>
            <w:tcW w:w="1085" w:type="dxa"/>
            <w:tcBorders>
              <w:top w:val="nil"/>
              <w:left w:val="single" w:sz="4" w:space="0" w:color="auto"/>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p>
        </w:tc>
        <w:tc>
          <w:tcPr>
            <w:tcW w:w="1472" w:type="dxa"/>
            <w:tcBorders>
              <w:top w:val="nil"/>
              <w:left w:val="nil"/>
              <w:bottom w:val="nil"/>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(44.8, 142.7)</w:t>
            </w:r>
          </w:p>
        </w:tc>
        <w:tc>
          <w:tcPr>
            <w:tcW w:w="988" w:type="dxa"/>
            <w:tcBorders>
              <w:top w:val="nil"/>
              <w:left w:val="single" w:sz="4" w:space="0" w:color="auto"/>
              <w:bottom w:val="nil"/>
              <w:right w:val="nil"/>
            </w:tcBorders>
            <w:shd w:val="clear" w:color="auto" w:fill="auto"/>
            <w:vAlign w:val="bottom"/>
          </w:tcPr>
          <w:p w:rsidR="00223FA3" w:rsidRPr="002E39AC" w:rsidRDefault="00223FA3" w:rsidP="002E39AC">
            <w:pPr>
              <w:pStyle w:val="TextPI"/>
              <w:jc w:val="center"/>
              <w:rPr>
                <w:sz w:val="20"/>
                <w:szCs w:val="20"/>
                <w:lang w:val="en-GB" w:eastAsia="en-GB"/>
              </w:rPr>
            </w:pPr>
          </w:p>
        </w:tc>
        <w:tc>
          <w:tcPr>
            <w:tcW w:w="1478" w:type="dxa"/>
            <w:tcBorders>
              <w:top w:val="nil"/>
              <w:left w:val="nil"/>
              <w:bottom w:val="nil"/>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(75.9, 144.0)</w:t>
            </w:r>
          </w:p>
        </w:tc>
      </w:tr>
      <w:tr w:rsidR="002E39AC" w:rsidRPr="002E39AC" w:rsidTr="00A32C40">
        <w:trPr>
          <w:jc w:val="center"/>
        </w:trPr>
        <w:tc>
          <w:tcPr>
            <w:tcW w:w="1485" w:type="dxa"/>
            <w:tcBorders>
              <w:top w:val="nil"/>
              <w:left w:val="single" w:sz="4" w:space="0" w:color="auto"/>
              <w:bottom w:val="single" w:sz="4" w:space="0" w:color="auto"/>
              <w:right w:val="nil"/>
            </w:tcBorders>
            <w:shd w:val="clear" w:color="auto" w:fill="auto"/>
          </w:tcPr>
          <w:p w:rsidR="00223FA3" w:rsidRPr="002E39AC" w:rsidRDefault="00223FA3" w:rsidP="00C3419E">
            <w:pPr>
              <w:pStyle w:val="TextPI"/>
              <w:jc w:val="left"/>
              <w:rPr>
                <w:sz w:val="20"/>
                <w:szCs w:val="20"/>
                <w:lang w:val="en-GB" w:eastAsia="en-GB"/>
              </w:rPr>
            </w:pPr>
            <w:r w:rsidRPr="002E39AC">
              <w:rPr>
                <w:sz w:val="20"/>
                <w:szCs w:val="20"/>
                <w:lang w:val="en-GB" w:eastAsia="en-GB"/>
              </w:rPr>
              <w:tab/>
              <w:t>p-value</w:t>
            </w:r>
          </w:p>
        </w:tc>
        <w:tc>
          <w:tcPr>
            <w:tcW w:w="1159" w:type="dxa"/>
            <w:tcBorders>
              <w:top w:val="nil"/>
              <w:left w:val="nil"/>
              <w:bottom w:val="single" w:sz="4" w:space="0" w:color="auto"/>
              <w:right w:val="nil"/>
            </w:tcBorders>
            <w:shd w:val="clear" w:color="auto" w:fill="auto"/>
            <w:vAlign w:val="bottom"/>
          </w:tcPr>
          <w:p w:rsidR="00223FA3" w:rsidRPr="002E39AC" w:rsidRDefault="00223FA3" w:rsidP="002E39AC">
            <w:pPr>
              <w:pStyle w:val="TextPI"/>
              <w:jc w:val="center"/>
              <w:rPr>
                <w:sz w:val="20"/>
                <w:szCs w:val="20"/>
                <w:lang w:val="en-GB" w:eastAsia="en-GB"/>
              </w:rPr>
            </w:pPr>
          </w:p>
        </w:tc>
        <w:tc>
          <w:tcPr>
            <w:tcW w:w="1559" w:type="dxa"/>
            <w:tcBorders>
              <w:top w:val="nil"/>
              <w:left w:val="nil"/>
              <w:bottom w:val="single" w:sz="4" w:space="0" w:color="auto"/>
              <w:right w:val="nil"/>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&lt;0.0001</w:t>
            </w:r>
          </w:p>
        </w:tc>
        <w:tc>
          <w:tcPr>
            <w:tcW w:w="1085" w:type="dxa"/>
            <w:tcBorders>
              <w:top w:val="nil"/>
              <w:left w:val="single" w:sz="4" w:space="0" w:color="auto"/>
              <w:bottom w:val="single" w:sz="4" w:space="0" w:color="auto"/>
              <w:right w:val="nil"/>
            </w:tcBorders>
            <w:shd w:val="clear" w:color="auto" w:fill="auto"/>
            <w:vAlign w:val="bottom"/>
          </w:tcPr>
          <w:p w:rsidR="00223FA3" w:rsidRPr="002E39AC" w:rsidRDefault="00223FA3" w:rsidP="002E39AC">
            <w:pPr>
              <w:pStyle w:val="TextPI"/>
              <w:jc w:val="center"/>
              <w:rPr>
                <w:sz w:val="20"/>
                <w:szCs w:val="20"/>
                <w:lang w:val="en-GB" w:eastAsia="en-GB"/>
              </w:rPr>
            </w:pPr>
          </w:p>
        </w:tc>
        <w:tc>
          <w:tcPr>
            <w:tcW w:w="1472" w:type="dxa"/>
            <w:tcBorders>
              <w:top w:val="nil"/>
              <w:left w:val="nil"/>
              <w:bottom w:val="single" w:sz="4" w:space="0" w:color="auto"/>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0.0002</w:t>
            </w:r>
          </w:p>
        </w:tc>
        <w:tc>
          <w:tcPr>
            <w:tcW w:w="988" w:type="dxa"/>
            <w:tcBorders>
              <w:top w:val="nil"/>
              <w:left w:val="single" w:sz="4" w:space="0" w:color="auto"/>
              <w:bottom w:val="single" w:sz="4" w:space="0" w:color="auto"/>
              <w:right w:val="nil"/>
            </w:tcBorders>
            <w:shd w:val="clear" w:color="auto" w:fill="auto"/>
            <w:vAlign w:val="bottom"/>
          </w:tcPr>
          <w:p w:rsidR="00223FA3" w:rsidRPr="002E39AC" w:rsidRDefault="00223FA3" w:rsidP="002E39AC">
            <w:pPr>
              <w:pStyle w:val="TextPI"/>
              <w:jc w:val="center"/>
              <w:rPr>
                <w:sz w:val="20"/>
                <w:szCs w:val="20"/>
                <w:lang w:val="en-GB" w:eastAsia="en-GB"/>
              </w:rPr>
            </w:pPr>
          </w:p>
        </w:tc>
        <w:tc>
          <w:tcPr>
            <w:tcW w:w="1478" w:type="dxa"/>
            <w:tcBorders>
              <w:top w:val="nil"/>
              <w:left w:val="nil"/>
              <w:bottom w:val="single" w:sz="4" w:space="0" w:color="auto"/>
              <w:right w:val="single" w:sz="4" w:space="0" w:color="auto"/>
            </w:tcBorders>
            <w:shd w:val="clear" w:color="auto" w:fill="auto"/>
            <w:vAlign w:val="bottom"/>
          </w:tcPr>
          <w:p w:rsidR="00223FA3" w:rsidRPr="002E39AC" w:rsidRDefault="00223FA3" w:rsidP="002E39AC">
            <w:pPr>
              <w:pStyle w:val="TextPI"/>
              <w:jc w:val="center"/>
              <w:rPr>
                <w:sz w:val="20"/>
                <w:szCs w:val="20"/>
                <w:lang w:val="en-GB" w:eastAsia="en-GB"/>
              </w:rPr>
            </w:pPr>
            <w:r w:rsidRPr="002E39AC">
              <w:rPr>
                <w:sz w:val="20"/>
                <w:szCs w:val="20"/>
                <w:lang w:val="en-GB" w:eastAsia="en-GB"/>
              </w:rPr>
              <w:t>&lt;0.0001</w:t>
            </w:r>
          </w:p>
        </w:tc>
      </w:tr>
    </w:tbl>
    <w:p w:rsidR="002E39AC" w:rsidRPr="002E39AC" w:rsidRDefault="002E39AC" w:rsidP="002E39AC">
      <w:pPr>
        <w:pStyle w:val="TextPI"/>
        <w:rPr>
          <w:sz w:val="20"/>
          <w:szCs w:val="20"/>
          <w:lang w:val="en-GB" w:eastAsia="en-GB"/>
        </w:rPr>
      </w:pPr>
      <w:r w:rsidRPr="002E39AC">
        <w:rPr>
          <w:sz w:val="20"/>
          <w:szCs w:val="20"/>
          <w:vertAlign w:val="superscript"/>
          <w:lang w:val="en-GB" w:eastAsia="en-GB"/>
        </w:rPr>
        <w:t>1</w:t>
      </w:r>
      <w:r w:rsidRPr="002E39AC">
        <w:rPr>
          <w:sz w:val="20"/>
          <w:szCs w:val="20"/>
          <w:lang w:val="en-GB" w:eastAsia="en-GB"/>
        </w:rPr>
        <w:t xml:space="preserve"> Estimated based on a random coefficient regression model. </w:t>
      </w:r>
    </w:p>
    <w:p w:rsidR="000E6EB5" w:rsidRPr="000E6EB5" w:rsidRDefault="002E39AC" w:rsidP="000E6EB5">
      <w:pPr>
        <w:pStyle w:val="TextPI"/>
        <w:rPr>
          <w:lang w:val="en-GB" w:eastAsia="en-GB"/>
        </w:rPr>
      </w:pPr>
      <w:r w:rsidRPr="002E39AC">
        <w:rPr>
          <w:lang w:val="en-GB" w:eastAsia="en-GB"/>
        </w:rPr>
        <w:t xml:space="preserve">The robustness of the effect of </w:t>
      </w:r>
      <w:proofErr w:type="spellStart"/>
      <w:r w:rsidRPr="002E39AC">
        <w:rPr>
          <w:lang w:val="en-GB" w:eastAsia="en-GB"/>
        </w:rPr>
        <w:t>nintedanib</w:t>
      </w:r>
      <w:proofErr w:type="spellEnd"/>
      <w:r w:rsidRPr="002E39AC">
        <w:rPr>
          <w:lang w:val="en-GB" w:eastAsia="en-GB"/>
        </w:rPr>
        <w:t xml:space="preserve"> in reducing the annual rate of decline in FVC was confirmed in all pre-specified sensitivity analyses. In addition, similar effects were observed on other lung function endpoints e.g. change from baseline in FVC at week 52 and FVC responder analyses providing further substantiation of the effects of </w:t>
      </w:r>
      <w:proofErr w:type="spellStart"/>
      <w:r w:rsidRPr="002E39AC">
        <w:rPr>
          <w:lang w:val="en-GB" w:eastAsia="en-GB"/>
        </w:rPr>
        <w:t>nintedanib</w:t>
      </w:r>
      <w:proofErr w:type="spellEnd"/>
      <w:r w:rsidRPr="002E39AC">
        <w:rPr>
          <w:lang w:val="en-GB" w:eastAsia="en-GB"/>
        </w:rPr>
        <w:t xml:space="preserve"> on slowing disease progression. See Figure 2 for the evolution of change from baseline over time in both treatment groups, based on the pooled analysis of studies</w:t>
      </w:r>
      <w:r w:rsidR="000E6EB5">
        <w:rPr>
          <w:lang w:val="en-GB" w:eastAsia="en-GB"/>
        </w:rPr>
        <w:t xml:space="preserve"> (</w:t>
      </w:r>
      <w:r w:rsidRPr="002E39AC">
        <w:rPr>
          <w:lang w:val="en-GB" w:eastAsia="en-GB"/>
        </w:rPr>
        <w:t>INPULSIS-1 and INPULSIS-2</w:t>
      </w:r>
      <w:r w:rsidR="000E6EB5">
        <w:rPr>
          <w:lang w:val="en-GB" w:eastAsia="en-GB"/>
        </w:rPr>
        <w:t>)</w:t>
      </w:r>
      <w:r w:rsidRPr="002E39AC">
        <w:rPr>
          <w:lang w:val="en-GB" w:eastAsia="en-GB"/>
        </w:rPr>
        <w:t>.</w:t>
      </w:r>
      <w:r w:rsidR="000E6EB5">
        <w:rPr>
          <w:lang w:eastAsia="en-GB"/>
        </w:rPr>
        <w:br w:type="page"/>
      </w:r>
    </w:p>
    <w:p w:rsidR="00223FA3" w:rsidRPr="009602A1" w:rsidRDefault="00C3419E" w:rsidP="000E6EB5">
      <w:pPr>
        <w:pStyle w:val="FigureLabel"/>
        <w:numPr>
          <w:ilvl w:val="0"/>
          <w:numId w:val="0"/>
        </w:numPr>
        <w:tabs>
          <w:tab w:val="left" w:pos="1418"/>
        </w:tabs>
        <w:ind w:left="1122" w:hanging="1122"/>
        <w:rPr>
          <w:rFonts w:ascii="Arial" w:hAnsi="Arial"/>
          <w:b/>
          <w:bCs/>
          <w:sz w:val="22"/>
          <w:szCs w:val="22"/>
          <w:lang w:val="en-GB" w:eastAsia="en-GB"/>
        </w:rPr>
      </w:pPr>
      <w:r w:rsidRPr="009602A1">
        <w:rPr>
          <w:rFonts w:ascii="Arial" w:hAnsi="Arial"/>
          <w:b/>
          <w:bCs/>
          <w:sz w:val="22"/>
          <w:szCs w:val="22"/>
          <w:lang w:val="en-AU" w:eastAsia="en-GB"/>
        </w:rPr>
        <w:lastRenderedPageBreak/>
        <w:t xml:space="preserve">Figure </w:t>
      </w:r>
      <w:r w:rsidR="000E6EB5" w:rsidRPr="009602A1">
        <w:rPr>
          <w:rFonts w:ascii="Arial" w:hAnsi="Arial"/>
          <w:b/>
          <w:bCs/>
          <w:sz w:val="22"/>
          <w:szCs w:val="22"/>
          <w:lang w:val="en-AU" w:eastAsia="en-GB"/>
        </w:rPr>
        <w:t>2</w:t>
      </w:r>
      <w:r w:rsidRPr="009602A1">
        <w:rPr>
          <w:rFonts w:ascii="Arial" w:hAnsi="Arial"/>
          <w:b/>
          <w:bCs/>
          <w:sz w:val="22"/>
          <w:szCs w:val="22"/>
          <w:lang w:val="en-AU" w:eastAsia="en-GB"/>
        </w:rPr>
        <w:t xml:space="preserve">: </w:t>
      </w:r>
      <w:r w:rsidR="000E6EB5" w:rsidRPr="009602A1">
        <w:rPr>
          <w:rFonts w:ascii="Arial" w:hAnsi="Arial"/>
          <w:b/>
          <w:bCs/>
          <w:sz w:val="22"/>
          <w:szCs w:val="22"/>
          <w:lang w:val="en-AU" w:eastAsia="en-GB"/>
        </w:rPr>
        <w:tab/>
      </w:r>
      <w:r w:rsidR="00223FA3" w:rsidRPr="009602A1">
        <w:rPr>
          <w:rFonts w:ascii="Arial" w:hAnsi="Arial"/>
          <w:b/>
          <w:bCs/>
          <w:sz w:val="22"/>
          <w:szCs w:val="22"/>
          <w:lang w:val="en-GB" w:eastAsia="en-GB"/>
        </w:rPr>
        <w:t>Mean (SEM) observed FVC change from baseline (mL) over time, studies INPULSIS-1 and INPULSIS-2 pooled</w:t>
      </w:r>
    </w:p>
    <w:p w:rsidR="00A32C40" w:rsidRDefault="00A32C40" w:rsidP="000E6EB5">
      <w:pPr>
        <w:rPr>
          <w:rFonts w:ascii="Arial" w:hAnsi="Arial"/>
          <w:sz w:val="20"/>
          <w:lang w:val="en-GB" w:eastAsia="en-GB"/>
        </w:rPr>
      </w:pPr>
      <w:r w:rsidRPr="003F172B">
        <w:rPr>
          <w:color w:val="FF0000"/>
        </w:rPr>
        <w:object w:dxaOrig="14700" w:dyaOrig="8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56.5pt" o:ole="">
            <v:imagedata r:id="rId11" o:title=""/>
          </v:shape>
          <o:OLEObject Type="Embed" ProgID="PBrush" ShapeID="_x0000_i1025" DrawAspect="Content" ObjectID="_1516776398" r:id="rId12"/>
        </w:object>
      </w:r>
    </w:p>
    <w:p w:rsidR="000E6EB5" w:rsidRDefault="000E6EB5" w:rsidP="000E6EB5">
      <w:pPr>
        <w:rPr>
          <w:rFonts w:ascii="Arial" w:hAnsi="Arial"/>
          <w:sz w:val="20"/>
          <w:lang w:val="en-GB" w:eastAsia="en-GB"/>
        </w:rPr>
      </w:pPr>
      <w:r w:rsidRPr="000E6EB5">
        <w:rPr>
          <w:rFonts w:ascii="Arial" w:hAnsi="Arial"/>
          <w:sz w:val="20"/>
          <w:lang w:val="en-GB" w:eastAsia="en-GB"/>
        </w:rPr>
        <w:t>bid = twice daily</w:t>
      </w:r>
    </w:p>
    <w:p w:rsidR="001D0017" w:rsidRPr="000E6EB5" w:rsidRDefault="001D0017" w:rsidP="000E6EB5">
      <w:pPr>
        <w:rPr>
          <w:lang w:val="en-GB" w:eastAsia="en-GB"/>
        </w:rPr>
      </w:pPr>
      <w:r>
        <w:rPr>
          <w:rFonts w:ascii="Arial" w:hAnsi="Arial"/>
          <w:sz w:val="20"/>
          <w:lang w:val="en-GB" w:eastAsia="en-GB"/>
        </w:rPr>
        <w:t>SEM = standard error of the mean</w:t>
      </w:r>
    </w:p>
    <w:p w:rsidR="000E6EB5" w:rsidRDefault="000E6EB5" w:rsidP="00223FA3">
      <w:pPr>
        <w:rPr>
          <w:rFonts w:ascii="Arial" w:hAnsi="Arial"/>
          <w:sz w:val="22"/>
          <w:szCs w:val="22"/>
          <w:u w:val="single"/>
          <w:lang w:val="en-GB" w:eastAsia="en-GB"/>
        </w:rPr>
      </w:pPr>
    </w:p>
    <w:p w:rsidR="000E6EB5" w:rsidRDefault="000E6EB5" w:rsidP="000E6EB5">
      <w:pPr>
        <w:jc w:val="both"/>
        <w:rPr>
          <w:rFonts w:ascii="Arial" w:hAnsi="Arial"/>
          <w:sz w:val="22"/>
          <w:szCs w:val="22"/>
          <w:u w:val="single"/>
          <w:lang w:val="en-GB" w:eastAsia="en-GB"/>
        </w:rPr>
      </w:pPr>
      <w:r w:rsidRPr="00C3419E">
        <w:rPr>
          <w:rFonts w:ascii="Arial" w:hAnsi="Arial"/>
          <w:sz w:val="22"/>
          <w:szCs w:val="22"/>
          <w:u w:val="single"/>
          <w:lang w:val="en-GB" w:eastAsia="en-GB"/>
        </w:rPr>
        <w:t>FVC responder analysis</w:t>
      </w:r>
    </w:p>
    <w:p w:rsidR="00223FA3" w:rsidRPr="003F172B" w:rsidRDefault="000E6EB5" w:rsidP="000E6EB5">
      <w:pPr>
        <w:jc w:val="both"/>
        <w:rPr>
          <w:color w:val="FF0000"/>
        </w:rPr>
      </w:pPr>
      <w:r w:rsidRPr="00C3419E">
        <w:rPr>
          <w:rFonts w:ascii="Arial" w:hAnsi="Arial"/>
          <w:sz w:val="22"/>
          <w:szCs w:val="22"/>
          <w:lang w:val="en-GB" w:eastAsia="en-GB"/>
        </w:rPr>
        <w:t xml:space="preserve">In both INPULSIS trials, the proportion of FVC responders, defined as patients with an absolute decline in FVC % predicted no greater than 5% (a threshold indicative of the increasing risk of mortality in IPF), was significantly higher in the nintedanib group as compared to placebo. Similar results were observed in analyses using a conservative threshold of 10%. See Table </w:t>
      </w:r>
      <w:r>
        <w:rPr>
          <w:rFonts w:ascii="Arial" w:hAnsi="Arial"/>
          <w:sz w:val="22"/>
          <w:szCs w:val="22"/>
          <w:lang w:val="en-GB" w:eastAsia="en-GB"/>
        </w:rPr>
        <w:t>3</w:t>
      </w:r>
      <w:r w:rsidRPr="00C3419E">
        <w:rPr>
          <w:rFonts w:ascii="Arial" w:hAnsi="Arial"/>
          <w:sz w:val="22"/>
          <w:szCs w:val="22"/>
          <w:lang w:val="en-GB" w:eastAsia="en-GB"/>
        </w:rPr>
        <w:t xml:space="preserve"> for individual and pooled study results.</w:t>
      </w:r>
    </w:p>
    <w:p w:rsidR="000E6EB5" w:rsidRDefault="000E6EB5">
      <w:pPr>
        <w:rPr>
          <w:rFonts w:ascii="Arial" w:hAnsi="Arial"/>
          <w:sz w:val="22"/>
          <w:szCs w:val="22"/>
          <w:lang w:val="en-GB" w:eastAsia="en-GB"/>
        </w:rPr>
      </w:pPr>
      <w:r>
        <w:rPr>
          <w:rFonts w:ascii="Arial" w:hAnsi="Arial"/>
          <w:sz w:val="22"/>
          <w:szCs w:val="22"/>
          <w:lang w:val="en-GB" w:eastAsia="en-GB"/>
        </w:rPr>
        <w:br w:type="page"/>
      </w:r>
    </w:p>
    <w:p w:rsidR="00223FA3" w:rsidRPr="009602A1" w:rsidRDefault="00C3419E" w:rsidP="000E6EB5">
      <w:pPr>
        <w:tabs>
          <w:tab w:val="left" w:pos="1418"/>
        </w:tabs>
        <w:autoSpaceDE w:val="0"/>
        <w:autoSpaceDN w:val="0"/>
        <w:adjustRightInd w:val="0"/>
        <w:ind w:left="1122" w:hanging="1122"/>
        <w:rPr>
          <w:rFonts w:ascii="Arial" w:hAnsi="Arial"/>
          <w:b/>
          <w:bCs/>
          <w:sz w:val="22"/>
          <w:szCs w:val="22"/>
          <w:lang w:val="en-GB" w:eastAsia="en-GB"/>
        </w:rPr>
      </w:pPr>
      <w:r w:rsidRPr="009602A1">
        <w:rPr>
          <w:rFonts w:ascii="Arial" w:hAnsi="Arial"/>
          <w:b/>
          <w:bCs/>
          <w:sz w:val="22"/>
          <w:szCs w:val="22"/>
          <w:lang w:val="en-GB" w:eastAsia="en-GB"/>
        </w:rPr>
        <w:lastRenderedPageBreak/>
        <w:t xml:space="preserve">Table </w:t>
      </w:r>
      <w:r w:rsidR="000E6EB5" w:rsidRPr="009602A1">
        <w:rPr>
          <w:rFonts w:ascii="Arial" w:hAnsi="Arial"/>
          <w:b/>
          <w:bCs/>
          <w:sz w:val="22"/>
          <w:szCs w:val="22"/>
          <w:lang w:val="en-GB" w:eastAsia="en-GB"/>
        </w:rPr>
        <w:t>3</w:t>
      </w:r>
      <w:r w:rsidRPr="009602A1">
        <w:rPr>
          <w:rFonts w:ascii="Arial" w:hAnsi="Arial"/>
          <w:b/>
          <w:bCs/>
          <w:sz w:val="22"/>
          <w:szCs w:val="22"/>
          <w:lang w:val="en-GB" w:eastAsia="en-GB"/>
        </w:rPr>
        <w:t xml:space="preserve">: </w:t>
      </w:r>
      <w:r w:rsidR="000E6EB5" w:rsidRPr="009602A1">
        <w:rPr>
          <w:rFonts w:ascii="Arial" w:hAnsi="Arial"/>
          <w:b/>
          <w:bCs/>
          <w:sz w:val="22"/>
          <w:szCs w:val="22"/>
          <w:lang w:val="en-GB" w:eastAsia="en-GB"/>
        </w:rPr>
        <w:tab/>
      </w:r>
      <w:r w:rsidR="00223FA3" w:rsidRPr="009602A1">
        <w:rPr>
          <w:rFonts w:ascii="Arial" w:hAnsi="Arial"/>
          <w:b/>
          <w:bCs/>
          <w:sz w:val="22"/>
          <w:szCs w:val="22"/>
          <w:lang w:val="en-GB" w:eastAsia="en-GB"/>
        </w:rPr>
        <w:t>Proportion of FVC responders at 52 weeks in</w:t>
      </w:r>
      <w:r w:rsidR="000E6EB5" w:rsidRPr="009602A1">
        <w:rPr>
          <w:rFonts w:ascii="Arial" w:hAnsi="Arial"/>
          <w:b/>
          <w:bCs/>
          <w:sz w:val="22"/>
          <w:szCs w:val="22"/>
          <w:lang w:val="en-GB" w:eastAsia="en-GB"/>
        </w:rPr>
        <w:t xml:space="preserve"> trials INPULSIS-1, INPULSIS-2 </w:t>
      </w:r>
      <w:r w:rsidR="00223FA3" w:rsidRPr="009602A1">
        <w:rPr>
          <w:rFonts w:ascii="Arial" w:hAnsi="Arial"/>
          <w:b/>
          <w:bCs/>
          <w:sz w:val="22"/>
          <w:szCs w:val="22"/>
          <w:lang w:val="en-GB" w:eastAsia="en-GB"/>
        </w:rPr>
        <w:t>and their pooled data - treated set</w:t>
      </w:r>
    </w:p>
    <w:p w:rsidR="00C3419E" w:rsidRPr="00C3419E" w:rsidRDefault="00C3419E" w:rsidP="00C3419E">
      <w:pPr>
        <w:autoSpaceDE w:val="0"/>
        <w:autoSpaceDN w:val="0"/>
        <w:adjustRightInd w:val="0"/>
        <w:rPr>
          <w:rFonts w:ascii="Arial" w:hAnsi="Arial"/>
          <w:sz w:val="22"/>
          <w:szCs w:val="22"/>
          <w:lang w:val="en-GB" w:eastAsia="en-GB"/>
        </w:rPr>
      </w:pP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BF8F"/>
        <w:tblLook w:val="04A0" w:firstRow="1" w:lastRow="0" w:firstColumn="1" w:lastColumn="0" w:noHBand="0" w:noVBand="1"/>
      </w:tblPr>
      <w:tblGrid>
        <w:gridCol w:w="1491"/>
        <w:gridCol w:w="1085"/>
        <w:gridCol w:w="1472"/>
        <w:gridCol w:w="1204"/>
        <w:gridCol w:w="1472"/>
        <w:gridCol w:w="1203"/>
        <w:gridCol w:w="1375"/>
      </w:tblGrid>
      <w:tr w:rsidR="000E6EB5" w:rsidRPr="000E6EB5" w:rsidTr="00A32C40">
        <w:trPr>
          <w:jc w:val="center"/>
        </w:trPr>
        <w:tc>
          <w:tcPr>
            <w:tcW w:w="1491" w:type="dxa"/>
            <w:tcBorders>
              <w:top w:val="single" w:sz="4" w:space="0" w:color="auto"/>
              <w:left w:val="single" w:sz="4" w:space="0" w:color="auto"/>
              <w:bottom w:val="single" w:sz="4" w:space="0" w:color="auto"/>
              <w:right w:val="nil"/>
            </w:tcBorders>
            <w:shd w:val="clear" w:color="auto" w:fill="auto"/>
          </w:tcPr>
          <w:p w:rsidR="00223FA3" w:rsidRPr="000E6EB5" w:rsidRDefault="00223FA3" w:rsidP="00C3419E">
            <w:pPr>
              <w:autoSpaceDE w:val="0"/>
              <w:autoSpaceDN w:val="0"/>
              <w:adjustRightInd w:val="0"/>
              <w:rPr>
                <w:rFonts w:ascii="Arial" w:hAnsi="Arial"/>
                <w:sz w:val="20"/>
                <w:lang w:val="en-GB" w:eastAsia="en-GB"/>
              </w:rPr>
            </w:pPr>
          </w:p>
        </w:tc>
        <w:tc>
          <w:tcPr>
            <w:tcW w:w="2557" w:type="dxa"/>
            <w:gridSpan w:val="2"/>
            <w:tcBorders>
              <w:top w:val="single" w:sz="4" w:space="0" w:color="auto"/>
              <w:left w:val="nil"/>
              <w:bottom w:val="single" w:sz="4" w:space="0" w:color="auto"/>
              <w:right w:val="single" w:sz="4" w:space="0" w:color="auto"/>
            </w:tcBorders>
            <w:shd w:val="clear" w:color="auto" w:fill="auto"/>
            <w:vAlign w:val="bottom"/>
          </w:tcPr>
          <w:p w:rsidR="00223FA3" w:rsidRPr="000E6EB5" w:rsidRDefault="00223FA3" w:rsidP="00C3419E">
            <w:pPr>
              <w:autoSpaceDE w:val="0"/>
              <w:autoSpaceDN w:val="0"/>
              <w:adjustRightInd w:val="0"/>
              <w:jc w:val="center"/>
              <w:rPr>
                <w:rFonts w:ascii="Arial" w:hAnsi="Arial"/>
                <w:sz w:val="20"/>
                <w:lang w:val="en-GB" w:eastAsia="en-GB"/>
              </w:rPr>
            </w:pPr>
            <w:r w:rsidRPr="000E6EB5">
              <w:rPr>
                <w:rFonts w:ascii="Arial" w:hAnsi="Arial"/>
                <w:sz w:val="20"/>
                <w:lang w:val="en-GB" w:eastAsia="en-GB"/>
              </w:rPr>
              <w:t>INPULSIS-1</w:t>
            </w:r>
          </w:p>
        </w:tc>
        <w:tc>
          <w:tcPr>
            <w:tcW w:w="26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23FA3" w:rsidRPr="000E6EB5" w:rsidRDefault="00223FA3" w:rsidP="00C3419E">
            <w:pPr>
              <w:autoSpaceDE w:val="0"/>
              <w:autoSpaceDN w:val="0"/>
              <w:adjustRightInd w:val="0"/>
              <w:jc w:val="center"/>
              <w:rPr>
                <w:rFonts w:ascii="Arial" w:hAnsi="Arial"/>
                <w:sz w:val="20"/>
                <w:lang w:val="en-GB" w:eastAsia="en-GB"/>
              </w:rPr>
            </w:pPr>
            <w:r w:rsidRPr="000E6EB5">
              <w:rPr>
                <w:rFonts w:ascii="Arial" w:hAnsi="Arial"/>
                <w:sz w:val="20"/>
                <w:lang w:val="en-GB" w:eastAsia="en-GB"/>
              </w:rPr>
              <w:t>INPULSIS-2</w:t>
            </w:r>
          </w:p>
        </w:tc>
        <w:tc>
          <w:tcPr>
            <w:tcW w:w="257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23FA3" w:rsidRPr="000E6EB5" w:rsidRDefault="00223FA3" w:rsidP="00C3419E">
            <w:pPr>
              <w:autoSpaceDE w:val="0"/>
              <w:autoSpaceDN w:val="0"/>
              <w:adjustRightInd w:val="0"/>
              <w:jc w:val="center"/>
              <w:rPr>
                <w:rFonts w:ascii="Arial" w:hAnsi="Arial"/>
                <w:sz w:val="20"/>
                <w:lang w:val="en-GB" w:eastAsia="en-GB"/>
              </w:rPr>
            </w:pPr>
            <w:r w:rsidRPr="000E6EB5">
              <w:rPr>
                <w:rFonts w:ascii="Arial" w:hAnsi="Arial"/>
                <w:sz w:val="20"/>
                <w:lang w:val="en-GB" w:eastAsia="en-GB"/>
              </w:rPr>
              <w:t>INPULSIS-1 and INPULSIS-2</w:t>
            </w:r>
          </w:p>
          <w:p w:rsidR="00223FA3" w:rsidRPr="000E6EB5" w:rsidRDefault="00223FA3" w:rsidP="00C3419E">
            <w:pPr>
              <w:autoSpaceDE w:val="0"/>
              <w:autoSpaceDN w:val="0"/>
              <w:adjustRightInd w:val="0"/>
              <w:jc w:val="center"/>
              <w:rPr>
                <w:rFonts w:ascii="Arial" w:hAnsi="Arial"/>
                <w:sz w:val="20"/>
                <w:lang w:val="en-GB" w:eastAsia="en-GB"/>
              </w:rPr>
            </w:pPr>
            <w:r w:rsidRPr="000E6EB5">
              <w:rPr>
                <w:rFonts w:ascii="Arial" w:hAnsi="Arial"/>
                <w:sz w:val="20"/>
                <w:lang w:val="en-GB" w:eastAsia="en-GB"/>
              </w:rPr>
              <w:t>pooled</w:t>
            </w:r>
          </w:p>
        </w:tc>
      </w:tr>
      <w:tr w:rsidR="000E6EB5" w:rsidRPr="000E6EB5" w:rsidTr="00A32C40">
        <w:trPr>
          <w:jc w:val="center"/>
        </w:trPr>
        <w:tc>
          <w:tcPr>
            <w:tcW w:w="1491" w:type="dxa"/>
            <w:tcBorders>
              <w:top w:val="single" w:sz="4" w:space="0" w:color="auto"/>
              <w:left w:val="single" w:sz="4" w:space="0" w:color="auto"/>
              <w:bottom w:val="single" w:sz="4" w:space="0" w:color="auto"/>
              <w:right w:val="nil"/>
            </w:tcBorders>
            <w:shd w:val="clear" w:color="auto" w:fill="auto"/>
          </w:tcPr>
          <w:p w:rsidR="00C3419E" w:rsidRPr="000E6EB5" w:rsidRDefault="00C3419E" w:rsidP="00C3419E">
            <w:pPr>
              <w:autoSpaceDE w:val="0"/>
              <w:autoSpaceDN w:val="0"/>
              <w:adjustRightInd w:val="0"/>
              <w:rPr>
                <w:rFonts w:ascii="Arial" w:hAnsi="Arial"/>
                <w:sz w:val="20"/>
                <w:lang w:val="en-GB" w:eastAsia="en-GB"/>
              </w:rPr>
            </w:pPr>
          </w:p>
        </w:tc>
        <w:tc>
          <w:tcPr>
            <w:tcW w:w="1085" w:type="dxa"/>
            <w:tcBorders>
              <w:top w:val="single" w:sz="4" w:space="0" w:color="auto"/>
              <w:left w:val="nil"/>
              <w:bottom w:val="single" w:sz="4" w:space="0" w:color="auto"/>
              <w:right w:val="nil"/>
            </w:tcBorders>
            <w:shd w:val="clear" w:color="auto" w:fill="auto"/>
          </w:tcPr>
          <w:p w:rsidR="00C3419E" w:rsidRPr="000E6EB5" w:rsidRDefault="00C3419E" w:rsidP="00C3419E">
            <w:pPr>
              <w:autoSpaceDE w:val="0"/>
              <w:autoSpaceDN w:val="0"/>
              <w:adjustRightInd w:val="0"/>
              <w:rPr>
                <w:rFonts w:ascii="Arial" w:hAnsi="Arial"/>
                <w:sz w:val="20"/>
                <w:lang w:val="en-GB" w:eastAsia="en-GB"/>
              </w:rPr>
            </w:pPr>
            <w:r w:rsidRPr="000E6EB5">
              <w:rPr>
                <w:rFonts w:ascii="Arial" w:hAnsi="Arial"/>
                <w:sz w:val="20"/>
                <w:lang w:val="en-GB" w:eastAsia="en-GB"/>
              </w:rPr>
              <w:t>Placebo</w:t>
            </w:r>
          </w:p>
        </w:tc>
        <w:tc>
          <w:tcPr>
            <w:tcW w:w="1472" w:type="dxa"/>
            <w:tcBorders>
              <w:top w:val="single" w:sz="4" w:space="0" w:color="auto"/>
              <w:left w:val="nil"/>
              <w:bottom w:val="single" w:sz="4" w:space="0" w:color="auto"/>
              <w:right w:val="nil"/>
            </w:tcBorders>
            <w:shd w:val="clear" w:color="auto" w:fill="auto"/>
          </w:tcPr>
          <w:p w:rsidR="00C3419E" w:rsidRPr="000E6EB5" w:rsidRDefault="007501C4" w:rsidP="002E39AC">
            <w:pPr>
              <w:pStyle w:val="TextPI"/>
              <w:jc w:val="center"/>
              <w:rPr>
                <w:sz w:val="20"/>
                <w:szCs w:val="20"/>
                <w:lang w:val="en-GB" w:eastAsia="en-GB"/>
              </w:rPr>
            </w:pPr>
            <w:r>
              <w:rPr>
                <w:sz w:val="20"/>
                <w:szCs w:val="20"/>
                <w:lang w:val="en-GB" w:eastAsia="en-GB"/>
              </w:rPr>
              <w:t>VARGATEF</w:t>
            </w:r>
            <w:r w:rsidR="00C3419E" w:rsidRPr="000E6EB5">
              <w:rPr>
                <w:sz w:val="20"/>
                <w:szCs w:val="20"/>
                <w:lang w:val="en-GB" w:eastAsia="en-GB"/>
              </w:rPr>
              <w:t xml:space="preserve"> 150 mg twice daily</w:t>
            </w:r>
          </w:p>
        </w:tc>
        <w:tc>
          <w:tcPr>
            <w:tcW w:w="1204" w:type="dxa"/>
            <w:tcBorders>
              <w:top w:val="single" w:sz="4" w:space="0" w:color="auto"/>
              <w:left w:val="single" w:sz="4" w:space="0" w:color="auto"/>
              <w:bottom w:val="single" w:sz="4" w:space="0" w:color="auto"/>
              <w:right w:val="nil"/>
            </w:tcBorders>
            <w:shd w:val="clear" w:color="auto" w:fill="auto"/>
          </w:tcPr>
          <w:p w:rsidR="00C3419E" w:rsidRPr="000E6EB5" w:rsidRDefault="00C3419E" w:rsidP="00C3419E">
            <w:pPr>
              <w:autoSpaceDE w:val="0"/>
              <w:autoSpaceDN w:val="0"/>
              <w:adjustRightInd w:val="0"/>
              <w:rPr>
                <w:rFonts w:ascii="Arial" w:hAnsi="Arial"/>
                <w:sz w:val="20"/>
                <w:lang w:val="en-GB" w:eastAsia="en-GB"/>
              </w:rPr>
            </w:pPr>
            <w:r w:rsidRPr="000E6EB5">
              <w:rPr>
                <w:rFonts w:ascii="Arial" w:hAnsi="Arial"/>
                <w:sz w:val="20"/>
                <w:lang w:val="en-GB" w:eastAsia="en-GB"/>
              </w:rPr>
              <w:t>Placebo</w:t>
            </w:r>
          </w:p>
        </w:tc>
        <w:tc>
          <w:tcPr>
            <w:tcW w:w="1472" w:type="dxa"/>
            <w:tcBorders>
              <w:top w:val="single" w:sz="4" w:space="0" w:color="auto"/>
              <w:left w:val="nil"/>
              <w:bottom w:val="single" w:sz="4" w:space="0" w:color="auto"/>
              <w:right w:val="single" w:sz="4" w:space="0" w:color="auto"/>
            </w:tcBorders>
            <w:shd w:val="clear" w:color="auto" w:fill="auto"/>
          </w:tcPr>
          <w:p w:rsidR="00C3419E" w:rsidRPr="000E6EB5" w:rsidRDefault="007501C4" w:rsidP="002E39AC">
            <w:pPr>
              <w:pStyle w:val="TextPI"/>
              <w:jc w:val="center"/>
              <w:rPr>
                <w:sz w:val="20"/>
                <w:szCs w:val="20"/>
                <w:lang w:val="en-GB" w:eastAsia="en-GB"/>
              </w:rPr>
            </w:pPr>
            <w:r>
              <w:rPr>
                <w:sz w:val="20"/>
                <w:szCs w:val="20"/>
                <w:lang w:val="en-GB" w:eastAsia="en-GB"/>
              </w:rPr>
              <w:t>VARGATEF</w:t>
            </w:r>
            <w:r w:rsidR="00C3419E" w:rsidRPr="000E6EB5">
              <w:rPr>
                <w:sz w:val="20"/>
                <w:szCs w:val="20"/>
                <w:lang w:val="en-GB" w:eastAsia="en-GB"/>
              </w:rPr>
              <w:t xml:space="preserve"> 150 mg twice daily</w:t>
            </w:r>
          </w:p>
        </w:tc>
        <w:tc>
          <w:tcPr>
            <w:tcW w:w="1203" w:type="dxa"/>
            <w:tcBorders>
              <w:top w:val="single" w:sz="4" w:space="0" w:color="auto"/>
              <w:left w:val="single" w:sz="4" w:space="0" w:color="auto"/>
              <w:bottom w:val="single" w:sz="4" w:space="0" w:color="auto"/>
              <w:right w:val="nil"/>
            </w:tcBorders>
            <w:shd w:val="clear" w:color="auto" w:fill="auto"/>
          </w:tcPr>
          <w:p w:rsidR="00C3419E" w:rsidRPr="000E6EB5" w:rsidRDefault="00C3419E" w:rsidP="00C3419E">
            <w:pPr>
              <w:autoSpaceDE w:val="0"/>
              <w:autoSpaceDN w:val="0"/>
              <w:adjustRightInd w:val="0"/>
              <w:rPr>
                <w:rFonts w:ascii="Arial" w:hAnsi="Arial"/>
                <w:sz w:val="20"/>
                <w:lang w:val="en-GB" w:eastAsia="en-GB"/>
              </w:rPr>
            </w:pPr>
            <w:r w:rsidRPr="000E6EB5">
              <w:rPr>
                <w:rFonts w:ascii="Arial" w:hAnsi="Arial"/>
                <w:sz w:val="20"/>
                <w:lang w:val="en-GB" w:eastAsia="en-GB"/>
              </w:rPr>
              <w:t>Placebo</w:t>
            </w:r>
          </w:p>
        </w:tc>
        <w:tc>
          <w:tcPr>
            <w:tcW w:w="1375" w:type="dxa"/>
            <w:tcBorders>
              <w:top w:val="single" w:sz="4" w:space="0" w:color="auto"/>
              <w:left w:val="nil"/>
              <w:bottom w:val="single" w:sz="4" w:space="0" w:color="auto"/>
              <w:right w:val="single" w:sz="4" w:space="0" w:color="auto"/>
            </w:tcBorders>
            <w:shd w:val="clear" w:color="auto" w:fill="auto"/>
          </w:tcPr>
          <w:p w:rsidR="00C3419E" w:rsidRPr="000E6EB5" w:rsidRDefault="007501C4" w:rsidP="002E39AC">
            <w:pPr>
              <w:pStyle w:val="TextPI"/>
              <w:jc w:val="center"/>
              <w:rPr>
                <w:sz w:val="20"/>
                <w:szCs w:val="20"/>
                <w:lang w:val="en-GB" w:eastAsia="en-GB"/>
              </w:rPr>
            </w:pPr>
            <w:r>
              <w:rPr>
                <w:sz w:val="20"/>
                <w:szCs w:val="20"/>
                <w:lang w:val="en-GB" w:eastAsia="en-GB"/>
              </w:rPr>
              <w:t>VARGATEF</w:t>
            </w:r>
            <w:r w:rsidR="00C3419E" w:rsidRPr="000E6EB5">
              <w:rPr>
                <w:sz w:val="20"/>
                <w:szCs w:val="20"/>
                <w:lang w:val="en-GB" w:eastAsia="en-GB"/>
              </w:rPr>
              <w:t xml:space="preserve"> 150 mg twice daily</w:t>
            </w:r>
          </w:p>
        </w:tc>
      </w:tr>
      <w:tr w:rsidR="000E6EB5" w:rsidRPr="000E6EB5" w:rsidTr="00A32C40">
        <w:trPr>
          <w:jc w:val="center"/>
        </w:trPr>
        <w:tc>
          <w:tcPr>
            <w:tcW w:w="1491" w:type="dxa"/>
            <w:tcBorders>
              <w:top w:val="nil"/>
              <w:left w:val="single" w:sz="4" w:space="0" w:color="auto"/>
              <w:bottom w:val="nil"/>
              <w:right w:val="nil"/>
            </w:tcBorders>
            <w:shd w:val="clear" w:color="auto" w:fill="auto"/>
          </w:tcPr>
          <w:p w:rsidR="00223FA3" w:rsidRPr="000E6EB5" w:rsidRDefault="00223FA3" w:rsidP="000E6EB5">
            <w:pPr>
              <w:autoSpaceDE w:val="0"/>
              <w:autoSpaceDN w:val="0"/>
              <w:adjustRightInd w:val="0"/>
              <w:rPr>
                <w:rFonts w:ascii="Arial" w:hAnsi="Arial"/>
                <w:sz w:val="20"/>
                <w:lang w:val="en-GB" w:eastAsia="en-GB"/>
              </w:rPr>
            </w:pPr>
            <w:r w:rsidRPr="000E6EB5">
              <w:rPr>
                <w:rFonts w:ascii="Arial" w:hAnsi="Arial"/>
                <w:sz w:val="20"/>
                <w:lang w:val="en-GB" w:eastAsia="en-GB"/>
              </w:rPr>
              <w:t>Number of analysed patients</w:t>
            </w:r>
          </w:p>
        </w:tc>
        <w:tc>
          <w:tcPr>
            <w:tcW w:w="1085" w:type="dxa"/>
            <w:tcBorders>
              <w:top w:val="nil"/>
              <w:left w:val="nil"/>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204</w:t>
            </w:r>
          </w:p>
        </w:tc>
        <w:tc>
          <w:tcPr>
            <w:tcW w:w="1472" w:type="dxa"/>
            <w:tcBorders>
              <w:top w:val="nil"/>
              <w:left w:val="nil"/>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309</w:t>
            </w:r>
          </w:p>
        </w:tc>
        <w:tc>
          <w:tcPr>
            <w:tcW w:w="1204" w:type="dxa"/>
            <w:tcBorders>
              <w:top w:val="nil"/>
              <w:left w:val="single" w:sz="4" w:space="0" w:color="auto"/>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219</w:t>
            </w:r>
          </w:p>
        </w:tc>
        <w:tc>
          <w:tcPr>
            <w:tcW w:w="1472" w:type="dxa"/>
            <w:tcBorders>
              <w:top w:val="nil"/>
              <w:left w:val="nil"/>
              <w:bottom w:val="nil"/>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329</w:t>
            </w:r>
          </w:p>
        </w:tc>
        <w:tc>
          <w:tcPr>
            <w:tcW w:w="1203" w:type="dxa"/>
            <w:tcBorders>
              <w:top w:val="nil"/>
              <w:left w:val="single" w:sz="4" w:space="0" w:color="auto"/>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423</w:t>
            </w:r>
          </w:p>
        </w:tc>
        <w:tc>
          <w:tcPr>
            <w:tcW w:w="1375" w:type="dxa"/>
            <w:tcBorders>
              <w:top w:val="nil"/>
              <w:left w:val="nil"/>
              <w:bottom w:val="nil"/>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638</w:t>
            </w:r>
          </w:p>
        </w:tc>
      </w:tr>
      <w:tr w:rsidR="000E6EB5" w:rsidRPr="000E6EB5" w:rsidTr="00A32C40">
        <w:trPr>
          <w:trHeight w:val="117"/>
          <w:jc w:val="center"/>
        </w:trPr>
        <w:tc>
          <w:tcPr>
            <w:tcW w:w="2576" w:type="dxa"/>
            <w:gridSpan w:val="2"/>
            <w:tcBorders>
              <w:top w:val="nil"/>
              <w:left w:val="single" w:sz="4" w:space="0" w:color="auto"/>
              <w:bottom w:val="nil"/>
              <w:right w:val="nil"/>
            </w:tcBorders>
            <w:shd w:val="clear" w:color="auto" w:fill="auto"/>
          </w:tcPr>
          <w:p w:rsidR="00223FA3" w:rsidRPr="000E6EB5" w:rsidRDefault="00223FA3" w:rsidP="000E6EB5">
            <w:pPr>
              <w:autoSpaceDE w:val="0"/>
              <w:autoSpaceDN w:val="0"/>
              <w:adjustRightInd w:val="0"/>
              <w:rPr>
                <w:rFonts w:ascii="Arial" w:hAnsi="Arial"/>
                <w:b/>
                <w:bCs/>
                <w:sz w:val="20"/>
                <w:lang w:val="en-GB" w:eastAsia="en-GB"/>
              </w:rPr>
            </w:pPr>
            <w:r w:rsidRPr="000E6EB5">
              <w:rPr>
                <w:rFonts w:ascii="Arial" w:hAnsi="Arial"/>
                <w:b/>
                <w:bCs/>
                <w:sz w:val="20"/>
                <w:lang w:val="en-GB" w:eastAsia="en-GB"/>
              </w:rPr>
              <w:t>5% threshold</w:t>
            </w:r>
          </w:p>
        </w:tc>
        <w:tc>
          <w:tcPr>
            <w:tcW w:w="1472" w:type="dxa"/>
            <w:tcBorders>
              <w:top w:val="nil"/>
              <w:left w:val="nil"/>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204" w:type="dxa"/>
            <w:tcBorders>
              <w:top w:val="nil"/>
              <w:left w:val="single" w:sz="4" w:space="0" w:color="auto"/>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472" w:type="dxa"/>
            <w:tcBorders>
              <w:top w:val="nil"/>
              <w:left w:val="nil"/>
              <w:bottom w:val="nil"/>
              <w:right w:val="single" w:sz="4" w:space="0" w:color="auto"/>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203" w:type="dxa"/>
            <w:tcBorders>
              <w:top w:val="nil"/>
              <w:left w:val="single" w:sz="4" w:space="0" w:color="auto"/>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r>
      <w:tr w:rsidR="000E6EB5" w:rsidRPr="000E6EB5" w:rsidTr="00A32C40">
        <w:trPr>
          <w:trHeight w:val="117"/>
          <w:jc w:val="center"/>
        </w:trPr>
        <w:tc>
          <w:tcPr>
            <w:tcW w:w="1491" w:type="dxa"/>
            <w:tcBorders>
              <w:top w:val="nil"/>
              <w:left w:val="single" w:sz="4" w:space="0" w:color="auto"/>
              <w:bottom w:val="nil"/>
              <w:right w:val="nil"/>
            </w:tcBorders>
            <w:shd w:val="clear" w:color="auto" w:fill="auto"/>
          </w:tcPr>
          <w:p w:rsidR="00223FA3" w:rsidRPr="000E6EB5" w:rsidRDefault="00223FA3" w:rsidP="000E6EB5">
            <w:pPr>
              <w:autoSpaceDE w:val="0"/>
              <w:autoSpaceDN w:val="0"/>
              <w:adjustRightInd w:val="0"/>
              <w:rPr>
                <w:rFonts w:ascii="Arial" w:hAnsi="Arial"/>
                <w:sz w:val="20"/>
                <w:lang w:val="en-GB" w:eastAsia="en-GB"/>
              </w:rPr>
            </w:pPr>
            <w:r w:rsidRPr="000E6EB5">
              <w:rPr>
                <w:rFonts w:ascii="Arial" w:hAnsi="Arial"/>
                <w:sz w:val="20"/>
                <w:lang w:val="en-GB" w:eastAsia="en-GB"/>
              </w:rPr>
              <w:t>Number (%) of FVC responders</w:t>
            </w:r>
            <w:r w:rsidRPr="000E6EB5">
              <w:rPr>
                <w:rFonts w:ascii="Arial" w:hAnsi="Arial"/>
                <w:sz w:val="20"/>
                <w:vertAlign w:val="superscript"/>
                <w:lang w:val="en-GB" w:eastAsia="en-GB"/>
              </w:rPr>
              <w:t>1</w:t>
            </w:r>
          </w:p>
        </w:tc>
        <w:tc>
          <w:tcPr>
            <w:tcW w:w="1085" w:type="dxa"/>
            <w:tcBorders>
              <w:top w:val="nil"/>
              <w:left w:val="nil"/>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78 (38.2)</w:t>
            </w:r>
          </w:p>
        </w:tc>
        <w:tc>
          <w:tcPr>
            <w:tcW w:w="1472" w:type="dxa"/>
            <w:tcBorders>
              <w:top w:val="nil"/>
              <w:left w:val="nil"/>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163 (52.8)</w:t>
            </w:r>
          </w:p>
        </w:tc>
        <w:tc>
          <w:tcPr>
            <w:tcW w:w="1204" w:type="dxa"/>
            <w:tcBorders>
              <w:top w:val="nil"/>
              <w:left w:val="single" w:sz="4" w:space="0" w:color="auto"/>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86 (39.3)</w:t>
            </w:r>
          </w:p>
        </w:tc>
        <w:tc>
          <w:tcPr>
            <w:tcW w:w="1472" w:type="dxa"/>
            <w:tcBorders>
              <w:top w:val="nil"/>
              <w:left w:val="nil"/>
              <w:bottom w:val="nil"/>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175 (53.2)</w:t>
            </w:r>
          </w:p>
        </w:tc>
        <w:tc>
          <w:tcPr>
            <w:tcW w:w="1203" w:type="dxa"/>
            <w:tcBorders>
              <w:top w:val="nil"/>
              <w:left w:val="single" w:sz="4" w:space="0" w:color="auto"/>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164 (38.8)</w:t>
            </w:r>
          </w:p>
        </w:tc>
        <w:tc>
          <w:tcPr>
            <w:tcW w:w="1375" w:type="dxa"/>
            <w:tcBorders>
              <w:top w:val="nil"/>
              <w:left w:val="nil"/>
              <w:bottom w:val="nil"/>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338 (53.0)</w:t>
            </w:r>
          </w:p>
        </w:tc>
      </w:tr>
      <w:tr w:rsidR="000E6EB5" w:rsidRPr="000E6EB5" w:rsidTr="00A32C40">
        <w:trPr>
          <w:jc w:val="center"/>
        </w:trPr>
        <w:tc>
          <w:tcPr>
            <w:tcW w:w="1491" w:type="dxa"/>
            <w:tcBorders>
              <w:top w:val="nil"/>
              <w:left w:val="single" w:sz="4" w:space="0" w:color="auto"/>
              <w:bottom w:val="nil"/>
              <w:right w:val="nil"/>
            </w:tcBorders>
            <w:shd w:val="clear" w:color="auto" w:fill="auto"/>
          </w:tcPr>
          <w:p w:rsidR="00223FA3" w:rsidRPr="000E6EB5" w:rsidRDefault="00223FA3" w:rsidP="000E6EB5">
            <w:pPr>
              <w:autoSpaceDE w:val="0"/>
              <w:autoSpaceDN w:val="0"/>
              <w:adjustRightInd w:val="0"/>
              <w:rPr>
                <w:rFonts w:ascii="Arial" w:hAnsi="Arial"/>
                <w:sz w:val="20"/>
                <w:lang w:val="en-GB" w:eastAsia="en-GB"/>
              </w:rPr>
            </w:pPr>
            <w:r w:rsidRPr="000E6EB5">
              <w:rPr>
                <w:rFonts w:ascii="Arial" w:hAnsi="Arial"/>
                <w:sz w:val="20"/>
                <w:lang w:val="en-GB" w:eastAsia="en-GB"/>
              </w:rPr>
              <w:t xml:space="preserve">Comparison vs placebo </w:t>
            </w:r>
          </w:p>
        </w:tc>
        <w:tc>
          <w:tcPr>
            <w:tcW w:w="1085" w:type="dxa"/>
            <w:tcBorders>
              <w:top w:val="nil"/>
              <w:left w:val="nil"/>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472" w:type="dxa"/>
            <w:tcBorders>
              <w:top w:val="nil"/>
              <w:left w:val="nil"/>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204" w:type="dxa"/>
            <w:tcBorders>
              <w:top w:val="nil"/>
              <w:left w:val="single" w:sz="4" w:space="0" w:color="auto"/>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472" w:type="dxa"/>
            <w:tcBorders>
              <w:top w:val="nil"/>
              <w:left w:val="nil"/>
              <w:bottom w:val="nil"/>
              <w:right w:val="single" w:sz="4" w:space="0" w:color="auto"/>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203" w:type="dxa"/>
            <w:tcBorders>
              <w:top w:val="nil"/>
              <w:left w:val="single" w:sz="4" w:space="0" w:color="auto"/>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r>
      <w:tr w:rsidR="000E6EB5" w:rsidRPr="000E6EB5" w:rsidTr="00A32C40">
        <w:trPr>
          <w:jc w:val="center"/>
        </w:trPr>
        <w:tc>
          <w:tcPr>
            <w:tcW w:w="1491" w:type="dxa"/>
            <w:tcBorders>
              <w:top w:val="nil"/>
              <w:left w:val="single" w:sz="4" w:space="0" w:color="auto"/>
              <w:bottom w:val="nil"/>
              <w:right w:val="nil"/>
            </w:tcBorders>
            <w:shd w:val="clear" w:color="auto" w:fill="auto"/>
          </w:tcPr>
          <w:p w:rsidR="00223FA3" w:rsidRPr="000E6EB5" w:rsidRDefault="00223FA3" w:rsidP="000E6EB5">
            <w:pPr>
              <w:autoSpaceDE w:val="0"/>
              <w:autoSpaceDN w:val="0"/>
              <w:adjustRightInd w:val="0"/>
              <w:jc w:val="right"/>
              <w:rPr>
                <w:rFonts w:ascii="Arial" w:hAnsi="Arial"/>
                <w:sz w:val="20"/>
                <w:lang w:val="en-GB" w:eastAsia="en-GB"/>
              </w:rPr>
            </w:pPr>
            <w:r w:rsidRPr="000E6EB5">
              <w:rPr>
                <w:rFonts w:ascii="Arial" w:hAnsi="Arial"/>
                <w:sz w:val="20"/>
                <w:lang w:val="en-GB" w:eastAsia="en-GB"/>
              </w:rPr>
              <w:t xml:space="preserve">Odds ratio </w:t>
            </w:r>
          </w:p>
        </w:tc>
        <w:tc>
          <w:tcPr>
            <w:tcW w:w="1085" w:type="dxa"/>
            <w:tcBorders>
              <w:top w:val="nil"/>
              <w:left w:val="nil"/>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472" w:type="dxa"/>
            <w:tcBorders>
              <w:top w:val="nil"/>
              <w:left w:val="nil"/>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1.85</w:t>
            </w:r>
          </w:p>
        </w:tc>
        <w:tc>
          <w:tcPr>
            <w:tcW w:w="1204" w:type="dxa"/>
            <w:tcBorders>
              <w:top w:val="nil"/>
              <w:left w:val="single" w:sz="4" w:space="0" w:color="auto"/>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472" w:type="dxa"/>
            <w:tcBorders>
              <w:top w:val="nil"/>
              <w:left w:val="nil"/>
              <w:bottom w:val="nil"/>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1.79</w:t>
            </w:r>
          </w:p>
        </w:tc>
        <w:tc>
          <w:tcPr>
            <w:tcW w:w="1203" w:type="dxa"/>
            <w:tcBorders>
              <w:top w:val="nil"/>
              <w:left w:val="single" w:sz="4" w:space="0" w:color="auto"/>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1.84</w:t>
            </w:r>
          </w:p>
        </w:tc>
      </w:tr>
      <w:tr w:rsidR="000E6EB5" w:rsidRPr="000E6EB5" w:rsidTr="00A32C40">
        <w:trPr>
          <w:jc w:val="center"/>
        </w:trPr>
        <w:tc>
          <w:tcPr>
            <w:tcW w:w="1491" w:type="dxa"/>
            <w:tcBorders>
              <w:top w:val="nil"/>
              <w:left w:val="single" w:sz="4" w:space="0" w:color="auto"/>
              <w:bottom w:val="nil"/>
              <w:right w:val="nil"/>
            </w:tcBorders>
            <w:shd w:val="clear" w:color="auto" w:fill="auto"/>
          </w:tcPr>
          <w:p w:rsidR="00223FA3" w:rsidRPr="000E6EB5" w:rsidRDefault="00223FA3" w:rsidP="000E6EB5">
            <w:pPr>
              <w:autoSpaceDE w:val="0"/>
              <w:autoSpaceDN w:val="0"/>
              <w:adjustRightInd w:val="0"/>
              <w:jc w:val="right"/>
              <w:rPr>
                <w:rFonts w:ascii="Arial" w:hAnsi="Arial"/>
                <w:sz w:val="20"/>
                <w:lang w:val="en-GB" w:eastAsia="en-GB"/>
              </w:rPr>
            </w:pPr>
            <w:r w:rsidRPr="000E6EB5">
              <w:rPr>
                <w:rFonts w:ascii="Arial" w:hAnsi="Arial"/>
                <w:sz w:val="20"/>
                <w:lang w:val="en-GB" w:eastAsia="en-GB"/>
              </w:rPr>
              <w:t>95% CI</w:t>
            </w:r>
          </w:p>
        </w:tc>
        <w:tc>
          <w:tcPr>
            <w:tcW w:w="2557" w:type="dxa"/>
            <w:gridSpan w:val="2"/>
            <w:tcBorders>
              <w:top w:val="nil"/>
              <w:left w:val="nil"/>
              <w:bottom w:val="nil"/>
              <w:right w:val="nil"/>
            </w:tcBorders>
            <w:shd w:val="clear" w:color="auto" w:fill="auto"/>
            <w:vAlign w:val="bottom"/>
          </w:tcPr>
          <w:p w:rsidR="00223FA3" w:rsidRPr="000E6EB5" w:rsidRDefault="00223FA3" w:rsidP="000E6EB5">
            <w:pPr>
              <w:autoSpaceDE w:val="0"/>
              <w:autoSpaceDN w:val="0"/>
              <w:adjustRightInd w:val="0"/>
              <w:jc w:val="right"/>
              <w:rPr>
                <w:rFonts w:ascii="Arial" w:hAnsi="Arial"/>
                <w:sz w:val="20"/>
                <w:lang w:val="en-GB" w:eastAsia="en-GB"/>
              </w:rPr>
            </w:pPr>
            <w:r w:rsidRPr="000E6EB5">
              <w:rPr>
                <w:rFonts w:ascii="Arial" w:hAnsi="Arial"/>
                <w:sz w:val="20"/>
                <w:lang w:val="en-GB" w:eastAsia="en-GB"/>
              </w:rPr>
              <w:t>(1.28, 2.66)</w:t>
            </w:r>
          </w:p>
        </w:tc>
        <w:tc>
          <w:tcPr>
            <w:tcW w:w="2676" w:type="dxa"/>
            <w:gridSpan w:val="2"/>
            <w:tcBorders>
              <w:top w:val="nil"/>
              <w:left w:val="single" w:sz="4" w:space="0" w:color="auto"/>
              <w:bottom w:val="nil"/>
              <w:right w:val="single" w:sz="4" w:space="0" w:color="auto"/>
            </w:tcBorders>
            <w:shd w:val="clear" w:color="auto" w:fill="auto"/>
            <w:vAlign w:val="bottom"/>
          </w:tcPr>
          <w:p w:rsidR="00223FA3" w:rsidRPr="000E6EB5" w:rsidRDefault="00223FA3" w:rsidP="000E6EB5">
            <w:pPr>
              <w:autoSpaceDE w:val="0"/>
              <w:autoSpaceDN w:val="0"/>
              <w:adjustRightInd w:val="0"/>
              <w:jc w:val="right"/>
              <w:rPr>
                <w:rFonts w:ascii="Arial" w:hAnsi="Arial"/>
                <w:sz w:val="20"/>
                <w:lang w:val="en-GB" w:eastAsia="en-GB"/>
              </w:rPr>
            </w:pPr>
            <w:r w:rsidRPr="000E6EB5">
              <w:rPr>
                <w:rFonts w:ascii="Arial" w:hAnsi="Arial"/>
                <w:sz w:val="20"/>
                <w:lang w:val="en-GB" w:eastAsia="en-GB"/>
              </w:rPr>
              <w:t>(1.26, 2.55)</w:t>
            </w:r>
          </w:p>
        </w:tc>
        <w:tc>
          <w:tcPr>
            <w:tcW w:w="1203" w:type="dxa"/>
            <w:tcBorders>
              <w:top w:val="nil"/>
              <w:left w:val="single" w:sz="4" w:space="0" w:color="auto"/>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(1.43, 2.36)</w:t>
            </w:r>
          </w:p>
        </w:tc>
      </w:tr>
      <w:tr w:rsidR="000E6EB5" w:rsidRPr="000E6EB5" w:rsidTr="00A32C40">
        <w:trPr>
          <w:jc w:val="center"/>
        </w:trPr>
        <w:tc>
          <w:tcPr>
            <w:tcW w:w="1491" w:type="dxa"/>
            <w:tcBorders>
              <w:top w:val="nil"/>
              <w:left w:val="single" w:sz="4" w:space="0" w:color="auto"/>
              <w:bottom w:val="nil"/>
              <w:right w:val="nil"/>
            </w:tcBorders>
            <w:shd w:val="clear" w:color="auto" w:fill="auto"/>
          </w:tcPr>
          <w:p w:rsidR="00223FA3" w:rsidRPr="000E6EB5" w:rsidRDefault="00223FA3" w:rsidP="000E6EB5">
            <w:pPr>
              <w:autoSpaceDE w:val="0"/>
              <w:autoSpaceDN w:val="0"/>
              <w:adjustRightInd w:val="0"/>
              <w:jc w:val="right"/>
              <w:rPr>
                <w:rFonts w:ascii="Arial" w:hAnsi="Arial"/>
                <w:sz w:val="20"/>
                <w:lang w:val="en-GB" w:eastAsia="en-GB"/>
              </w:rPr>
            </w:pPr>
            <w:r w:rsidRPr="000E6EB5">
              <w:rPr>
                <w:rFonts w:ascii="Arial" w:hAnsi="Arial"/>
                <w:sz w:val="20"/>
                <w:lang w:val="en-GB" w:eastAsia="en-GB"/>
              </w:rPr>
              <w:t>p-value</w:t>
            </w:r>
            <w:r w:rsidRPr="000E6EB5">
              <w:rPr>
                <w:rFonts w:ascii="Arial" w:hAnsi="Arial"/>
                <w:sz w:val="20"/>
                <w:vertAlign w:val="superscript"/>
                <w:lang w:val="en-GB" w:eastAsia="en-GB"/>
              </w:rPr>
              <w:t>2</w:t>
            </w:r>
          </w:p>
        </w:tc>
        <w:tc>
          <w:tcPr>
            <w:tcW w:w="1085" w:type="dxa"/>
            <w:tcBorders>
              <w:top w:val="nil"/>
              <w:left w:val="nil"/>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472" w:type="dxa"/>
            <w:tcBorders>
              <w:top w:val="nil"/>
              <w:left w:val="nil"/>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0.0010</w:t>
            </w:r>
          </w:p>
        </w:tc>
        <w:tc>
          <w:tcPr>
            <w:tcW w:w="1204" w:type="dxa"/>
            <w:tcBorders>
              <w:top w:val="nil"/>
              <w:left w:val="single" w:sz="4" w:space="0" w:color="auto"/>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472" w:type="dxa"/>
            <w:tcBorders>
              <w:top w:val="nil"/>
              <w:left w:val="nil"/>
              <w:bottom w:val="nil"/>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0.0011</w:t>
            </w:r>
          </w:p>
        </w:tc>
        <w:tc>
          <w:tcPr>
            <w:tcW w:w="1203" w:type="dxa"/>
            <w:tcBorders>
              <w:top w:val="nil"/>
              <w:left w:val="single" w:sz="4" w:space="0" w:color="auto"/>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&lt;.0001</w:t>
            </w:r>
          </w:p>
        </w:tc>
      </w:tr>
      <w:tr w:rsidR="000E6EB5" w:rsidRPr="000E6EB5" w:rsidTr="00A32C40">
        <w:trPr>
          <w:trHeight w:val="117"/>
          <w:jc w:val="center"/>
        </w:trPr>
        <w:tc>
          <w:tcPr>
            <w:tcW w:w="2576" w:type="dxa"/>
            <w:gridSpan w:val="2"/>
            <w:tcBorders>
              <w:top w:val="nil"/>
              <w:left w:val="single" w:sz="4" w:space="0" w:color="auto"/>
              <w:bottom w:val="nil"/>
              <w:right w:val="nil"/>
            </w:tcBorders>
            <w:shd w:val="clear" w:color="auto" w:fill="auto"/>
          </w:tcPr>
          <w:p w:rsidR="00223FA3" w:rsidRPr="000E6EB5" w:rsidRDefault="00223FA3" w:rsidP="000E6EB5">
            <w:pPr>
              <w:autoSpaceDE w:val="0"/>
              <w:autoSpaceDN w:val="0"/>
              <w:adjustRightInd w:val="0"/>
              <w:rPr>
                <w:rFonts w:ascii="Arial" w:hAnsi="Arial"/>
                <w:b/>
                <w:bCs/>
                <w:sz w:val="20"/>
                <w:lang w:val="en-GB" w:eastAsia="en-GB"/>
              </w:rPr>
            </w:pPr>
            <w:r w:rsidRPr="000E6EB5">
              <w:rPr>
                <w:rFonts w:ascii="Arial" w:hAnsi="Arial"/>
                <w:b/>
                <w:bCs/>
                <w:sz w:val="20"/>
                <w:lang w:val="en-GB" w:eastAsia="en-GB"/>
              </w:rPr>
              <w:t>10% threshold</w:t>
            </w:r>
          </w:p>
        </w:tc>
        <w:tc>
          <w:tcPr>
            <w:tcW w:w="1472" w:type="dxa"/>
            <w:tcBorders>
              <w:top w:val="nil"/>
              <w:left w:val="nil"/>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204" w:type="dxa"/>
            <w:tcBorders>
              <w:top w:val="nil"/>
              <w:left w:val="single" w:sz="4" w:space="0" w:color="auto"/>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472" w:type="dxa"/>
            <w:tcBorders>
              <w:top w:val="nil"/>
              <w:left w:val="nil"/>
              <w:bottom w:val="nil"/>
              <w:right w:val="single" w:sz="4" w:space="0" w:color="auto"/>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203" w:type="dxa"/>
            <w:tcBorders>
              <w:top w:val="nil"/>
              <w:left w:val="single" w:sz="4" w:space="0" w:color="auto"/>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r>
      <w:tr w:rsidR="000E6EB5" w:rsidRPr="000E6EB5" w:rsidTr="00A32C40">
        <w:trPr>
          <w:trHeight w:val="117"/>
          <w:jc w:val="center"/>
        </w:trPr>
        <w:tc>
          <w:tcPr>
            <w:tcW w:w="1491" w:type="dxa"/>
            <w:tcBorders>
              <w:top w:val="nil"/>
              <w:left w:val="single" w:sz="4" w:space="0" w:color="auto"/>
              <w:bottom w:val="nil"/>
              <w:right w:val="nil"/>
            </w:tcBorders>
            <w:shd w:val="clear" w:color="auto" w:fill="auto"/>
          </w:tcPr>
          <w:p w:rsidR="00223FA3" w:rsidRPr="000E6EB5" w:rsidRDefault="00223FA3" w:rsidP="000E6EB5">
            <w:pPr>
              <w:autoSpaceDE w:val="0"/>
              <w:autoSpaceDN w:val="0"/>
              <w:adjustRightInd w:val="0"/>
              <w:rPr>
                <w:rFonts w:ascii="Arial" w:hAnsi="Arial"/>
                <w:sz w:val="20"/>
                <w:lang w:val="en-GB" w:eastAsia="en-GB"/>
              </w:rPr>
            </w:pPr>
            <w:r w:rsidRPr="000E6EB5">
              <w:rPr>
                <w:rFonts w:ascii="Arial" w:hAnsi="Arial"/>
                <w:sz w:val="20"/>
                <w:lang w:val="en-GB" w:eastAsia="en-GB"/>
              </w:rPr>
              <w:t>Number (%) of FVC responders</w:t>
            </w:r>
            <w:r w:rsidRPr="000E6EB5">
              <w:rPr>
                <w:rFonts w:ascii="Arial" w:hAnsi="Arial"/>
                <w:sz w:val="20"/>
                <w:vertAlign w:val="superscript"/>
                <w:lang w:val="en-GB" w:eastAsia="en-GB"/>
              </w:rPr>
              <w:t>1</w:t>
            </w:r>
          </w:p>
        </w:tc>
        <w:tc>
          <w:tcPr>
            <w:tcW w:w="1085" w:type="dxa"/>
            <w:tcBorders>
              <w:top w:val="nil"/>
              <w:left w:val="nil"/>
              <w:bottom w:val="nil"/>
              <w:right w:val="nil"/>
            </w:tcBorders>
            <w:shd w:val="clear" w:color="auto" w:fill="auto"/>
            <w:tcMar>
              <w:left w:w="57" w:type="dxa"/>
              <w:right w:w="57" w:type="dxa"/>
            </w:tcMar>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116 (56.9)</w:t>
            </w:r>
          </w:p>
        </w:tc>
        <w:tc>
          <w:tcPr>
            <w:tcW w:w="1472" w:type="dxa"/>
            <w:tcBorders>
              <w:top w:val="nil"/>
              <w:left w:val="nil"/>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218 (70.6)</w:t>
            </w:r>
          </w:p>
        </w:tc>
        <w:tc>
          <w:tcPr>
            <w:tcW w:w="1204" w:type="dxa"/>
            <w:tcBorders>
              <w:top w:val="nil"/>
              <w:left w:val="single" w:sz="4" w:space="0" w:color="auto"/>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140 (63.9)</w:t>
            </w:r>
          </w:p>
        </w:tc>
        <w:tc>
          <w:tcPr>
            <w:tcW w:w="1472" w:type="dxa"/>
            <w:tcBorders>
              <w:top w:val="nil"/>
              <w:left w:val="nil"/>
              <w:bottom w:val="nil"/>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229 (69.6)</w:t>
            </w:r>
          </w:p>
        </w:tc>
        <w:tc>
          <w:tcPr>
            <w:tcW w:w="1203" w:type="dxa"/>
            <w:tcBorders>
              <w:top w:val="nil"/>
              <w:left w:val="single" w:sz="4" w:space="0" w:color="auto"/>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256 (60.5)</w:t>
            </w:r>
          </w:p>
        </w:tc>
        <w:tc>
          <w:tcPr>
            <w:tcW w:w="1375" w:type="dxa"/>
            <w:tcBorders>
              <w:top w:val="nil"/>
              <w:left w:val="nil"/>
              <w:bottom w:val="nil"/>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447 (70.1)</w:t>
            </w:r>
          </w:p>
        </w:tc>
      </w:tr>
      <w:tr w:rsidR="000E6EB5" w:rsidRPr="000E6EB5" w:rsidTr="00A32C40">
        <w:trPr>
          <w:jc w:val="center"/>
        </w:trPr>
        <w:tc>
          <w:tcPr>
            <w:tcW w:w="1491" w:type="dxa"/>
            <w:tcBorders>
              <w:top w:val="nil"/>
              <w:left w:val="single" w:sz="4" w:space="0" w:color="auto"/>
              <w:bottom w:val="nil"/>
              <w:right w:val="nil"/>
            </w:tcBorders>
            <w:shd w:val="clear" w:color="auto" w:fill="auto"/>
          </w:tcPr>
          <w:p w:rsidR="00223FA3" w:rsidRPr="000E6EB5" w:rsidRDefault="00223FA3" w:rsidP="000E6EB5">
            <w:pPr>
              <w:autoSpaceDE w:val="0"/>
              <w:autoSpaceDN w:val="0"/>
              <w:adjustRightInd w:val="0"/>
              <w:rPr>
                <w:rFonts w:ascii="Arial" w:hAnsi="Arial"/>
                <w:sz w:val="20"/>
                <w:lang w:val="en-GB" w:eastAsia="en-GB"/>
              </w:rPr>
            </w:pPr>
            <w:r w:rsidRPr="000E6EB5">
              <w:rPr>
                <w:rFonts w:ascii="Arial" w:hAnsi="Arial"/>
                <w:sz w:val="20"/>
                <w:lang w:val="en-GB" w:eastAsia="en-GB"/>
              </w:rPr>
              <w:t xml:space="preserve">Comparison vs placebo </w:t>
            </w:r>
          </w:p>
        </w:tc>
        <w:tc>
          <w:tcPr>
            <w:tcW w:w="1085" w:type="dxa"/>
            <w:tcBorders>
              <w:top w:val="nil"/>
              <w:left w:val="nil"/>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472" w:type="dxa"/>
            <w:tcBorders>
              <w:top w:val="nil"/>
              <w:left w:val="nil"/>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204" w:type="dxa"/>
            <w:tcBorders>
              <w:top w:val="nil"/>
              <w:left w:val="single" w:sz="4" w:space="0" w:color="auto"/>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472" w:type="dxa"/>
            <w:tcBorders>
              <w:top w:val="nil"/>
              <w:left w:val="nil"/>
              <w:bottom w:val="nil"/>
              <w:right w:val="single" w:sz="4" w:space="0" w:color="auto"/>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203" w:type="dxa"/>
            <w:tcBorders>
              <w:top w:val="nil"/>
              <w:left w:val="single" w:sz="4" w:space="0" w:color="auto"/>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r>
      <w:tr w:rsidR="000E6EB5" w:rsidRPr="000E6EB5" w:rsidTr="00A32C40">
        <w:trPr>
          <w:jc w:val="center"/>
        </w:trPr>
        <w:tc>
          <w:tcPr>
            <w:tcW w:w="1491" w:type="dxa"/>
            <w:tcBorders>
              <w:top w:val="nil"/>
              <w:left w:val="single" w:sz="4" w:space="0" w:color="auto"/>
              <w:bottom w:val="nil"/>
              <w:right w:val="nil"/>
            </w:tcBorders>
            <w:shd w:val="clear" w:color="auto" w:fill="auto"/>
          </w:tcPr>
          <w:p w:rsidR="00223FA3" w:rsidRPr="000E6EB5" w:rsidRDefault="00223FA3" w:rsidP="000E6EB5">
            <w:pPr>
              <w:autoSpaceDE w:val="0"/>
              <w:autoSpaceDN w:val="0"/>
              <w:adjustRightInd w:val="0"/>
              <w:jc w:val="right"/>
              <w:rPr>
                <w:rFonts w:ascii="Arial" w:hAnsi="Arial"/>
                <w:sz w:val="20"/>
                <w:lang w:val="en-GB" w:eastAsia="en-GB"/>
              </w:rPr>
            </w:pPr>
            <w:r w:rsidRPr="000E6EB5">
              <w:rPr>
                <w:rFonts w:ascii="Arial" w:hAnsi="Arial"/>
                <w:sz w:val="20"/>
                <w:lang w:val="en-GB" w:eastAsia="en-GB"/>
              </w:rPr>
              <w:t xml:space="preserve">Odds ratio </w:t>
            </w:r>
          </w:p>
        </w:tc>
        <w:tc>
          <w:tcPr>
            <w:tcW w:w="1085" w:type="dxa"/>
            <w:tcBorders>
              <w:top w:val="nil"/>
              <w:left w:val="nil"/>
              <w:bottom w:val="nil"/>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472" w:type="dxa"/>
            <w:tcBorders>
              <w:top w:val="nil"/>
              <w:left w:val="nil"/>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1.91</w:t>
            </w:r>
          </w:p>
        </w:tc>
        <w:tc>
          <w:tcPr>
            <w:tcW w:w="1204" w:type="dxa"/>
            <w:tcBorders>
              <w:top w:val="nil"/>
              <w:left w:val="single" w:sz="4" w:space="0" w:color="auto"/>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472" w:type="dxa"/>
            <w:tcBorders>
              <w:top w:val="nil"/>
              <w:left w:val="nil"/>
              <w:bottom w:val="nil"/>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1.29</w:t>
            </w:r>
          </w:p>
        </w:tc>
        <w:tc>
          <w:tcPr>
            <w:tcW w:w="1203" w:type="dxa"/>
            <w:tcBorders>
              <w:top w:val="nil"/>
              <w:left w:val="single" w:sz="4" w:space="0" w:color="auto"/>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1.58</w:t>
            </w:r>
          </w:p>
        </w:tc>
      </w:tr>
      <w:tr w:rsidR="000E6EB5" w:rsidRPr="000E6EB5" w:rsidTr="00A32C40">
        <w:trPr>
          <w:jc w:val="center"/>
        </w:trPr>
        <w:tc>
          <w:tcPr>
            <w:tcW w:w="1491" w:type="dxa"/>
            <w:tcBorders>
              <w:top w:val="nil"/>
              <w:left w:val="single" w:sz="4" w:space="0" w:color="auto"/>
              <w:bottom w:val="nil"/>
              <w:right w:val="nil"/>
            </w:tcBorders>
            <w:shd w:val="clear" w:color="auto" w:fill="auto"/>
          </w:tcPr>
          <w:p w:rsidR="00223FA3" w:rsidRPr="000E6EB5" w:rsidRDefault="00223FA3" w:rsidP="000E6EB5">
            <w:pPr>
              <w:autoSpaceDE w:val="0"/>
              <w:autoSpaceDN w:val="0"/>
              <w:adjustRightInd w:val="0"/>
              <w:ind w:right="100"/>
              <w:jc w:val="right"/>
              <w:rPr>
                <w:rFonts w:ascii="Arial" w:hAnsi="Arial"/>
                <w:sz w:val="20"/>
                <w:lang w:val="en-GB" w:eastAsia="en-GB"/>
              </w:rPr>
            </w:pPr>
            <w:r w:rsidRPr="000E6EB5">
              <w:rPr>
                <w:rFonts w:ascii="Arial" w:hAnsi="Arial"/>
                <w:sz w:val="20"/>
                <w:lang w:val="en-GB" w:eastAsia="en-GB"/>
              </w:rPr>
              <w:t>95% CI</w:t>
            </w:r>
          </w:p>
        </w:tc>
        <w:tc>
          <w:tcPr>
            <w:tcW w:w="2557" w:type="dxa"/>
            <w:gridSpan w:val="2"/>
            <w:tcBorders>
              <w:top w:val="nil"/>
              <w:left w:val="nil"/>
              <w:bottom w:val="nil"/>
              <w:right w:val="nil"/>
            </w:tcBorders>
            <w:shd w:val="clear" w:color="auto" w:fill="auto"/>
            <w:vAlign w:val="bottom"/>
          </w:tcPr>
          <w:p w:rsidR="00223FA3" w:rsidRPr="000E6EB5" w:rsidRDefault="00223FA3" w:rsidP="000E6EB5">
            <w:pPr>
              <w:autoSpaceDE w:val="0"/>
              <w:autoSpaceDN w:val="0"/>
              <w:adjustRightInd w:val="0"/>
              <w:jc w:val="right"/>
              <w:rPr>
                <w:rFonts w:ascii="Arial" w:hAnsi="Arial"/>
                <w:sz w:val="20"/>
                <w:lang w:val="en-GB" w:eastAsia="en-GB"/>
              </w:rPr>
            </w:pPr>
            <w:r w:rsidRPr="000E6EB5">
              <w:rPr>
                <w:rFonts w:ascii="Arial" w:hAnsi="Arial"/>
                <w:sz w:val="20"/>
                <w:lang w:val="en-GB" w:eastAsia="en-GB"/>
              </w:rPr>
              <w:t>(1.32, 2.79)</w:t>
            </w:r>
          </w:p>
        </w:tc>
        <w:tc>
          <w:tcPr>
            <w:tcW w:w="2676" w:type="dxa"/>
            <w:gridSpan w:val="2"/>
            <w:tcBorders>
              <w:top w:val="nil"/>
              <w:left w:val="single" w:sz="4" w:space="0" w:color="auto"/>
              <w:bottom w:val="nil"/>
              <w:right w:val="single" w:sz="4" w:space="0" w:color="auto"/>
            </w:tcBorders>
            <w:shd w:val="clear" w:color="auto" w:fill="auto"/>
            <w:vAlign w:val="bottom"/>
          </w:tcPr>
          <w:p w:rsidR="00223FA3" w:rsidRPr="000E6EB5" w:rsidRDefault="00223FA3" w:rsidP="000E6EB5">
            <w:pPr>
              <w:autoSpaceDE w:val="0"/>
              <w:autoSpaceDN w:val="0"/>
              <w:adjustRightInd w:val="0"/>
              <w:jc w:val="right"/>
              <w:rPr>
                <w:rFonts w:ascii="Arial" w:hAnsi="Arial"/>
                <w:sz w:val="20"/>
                <w:lang w:val="en-GB" w:eastAsia="en-GB"/>
              </w:rPr>
            </w:pPr>
            <w:r w:rsidRPr="000E6EB5">
              <w:rPr>
                <w:rFonts w:ascii="Arial" w:hAnsi="Arial"/>
                <w:sz w:val="20"/>
                <w:lang w:val="en-GB" w:eastAsia="en-GB"/>
              </w:rPr>
              <w:t>(0.89, 1.86)</w:t>
            </w:r>
          </w:p>
        </w:tc>
        <w:tc>
          <w:tcPr>
            <w:tcW w:w="1203" w:type="dxa"/>
            <w:tcBorders>
              <w:top w:val="nil"/>
              <w:left w:val="single" w:sz="4" w:space="0" w:color="auto"/>
              <w:bottom w:val="nil"/>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375" w:type="dxa"/>
            <w:tcBorders>
              <w:top w:val="nil"/>
              <w:left w:val="nil"/>
              <w:bottom w:val="nil"/>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(1.21, 2.05)</w:t>
            </w:r>
          </w:p>
        </w:tc>
      </w:tr>
      <w:tr w:rsidR="000E6EB5" w:rsidRPr="000E6EB5" w:rsidTr="00A32C40">
        <w:trPr>
          <w:jc w:val="center"/>
        </w:trPr>
        <w:tc>
          <w:tcPr>
            <w:tcW w:w="1491" w:type="dxa"/>
            <w:tcBorders>
              <w:top w:val="nil"/>
              <w:left w:val="single" w:sz="4" w:space="0" w:color="auto"/>
              <w:bottom w:val="single" w:sz="4" w:space="0" w:color="auto"/>
              <w:right w:val="nil"/>
            </w:tcBorders>
            <w:shd w:val="clear" w:color="auto" w:fill="auto"/>
          </w:tcPr>
          <w:p w:rsidR="00223FA3" w:rsidRPr="000E6EB5" w:rsidRDefault="00223FA3" w:rsidP="000E6EB5">
            <w:pPr>
              <w:autoSpaceDE w:val="0"/>
              <w:autoSpaceDN w:val="0"/>
              <w:adjustRightInd w:val="0"/>
              <w:jc w:val="right"/>
              <w:rPr>
                <w:rFonts w:ascii="Arial" w:hAnsi="Arial"/>
                <w:sz w:val="20"/>
                <w:lang w:val="en-GB" w:eastAsia="en-GB"/>
              </w:rPr>
            </w:pPr>
            <w:r w:rsidRPr="000E6EB5">
              <w:rPr>
                <w:rFonts w:ascii="Arial" w:hAnsi="Arial"/>
                <w:sz w:val="20"/>
                <w:lang w:val="en-GB" w:eastAsia="en-GB"/>
              </w:rPr>
              <w:t>p-value</w:t>
            </w:r>
            <w:r w:rsidRPr="000E6EB5">
              <w:rPr>
                <w:rFonts w:ascii="Arial" w:hAnsi="Arial"/>
                <w:sz w:val="20"/>
                <w:vertAlign w:val="superscript"/>
                <w:lang w:val="en-GB" w:eastAsia="en-GB"/>
              </w:rPr>
              <w:t>2</w:t>
            </w:r>
          </w:p>
        </w:tc>
        <w:tc>
          <w:tcPr>
            <w:tcW w:w="1085" w:type="dxa"/>
            <w:tcBorders>
              <w:top w:val="nil"/>
              <w:left w:val="nil"/>
              <w:bottom w:val="single" w:sz="4" w:space="0" w:color="auto"/>
              <w:right w:val="nil"/>
            </w:tcBorders>
            <w:shd w:val="clear" w:color="auto" w:fill="auto"/>
            <w:vAlign w:val="bottom"/>
          </w:tcPr>
          <w:p w:rsidR="00223FA3" w:rsidRPr="000E6EB5" w:rsidRDefault="00223FA3" w:rsidP="00C3419E">
            <w:pPr>
              <w:autoSpaceDE w:val="0"/>
              <w:autoSpaceDN w:val="0"/>
              <w:adjustRightInd w:val="0"/>
              <w:rPr>
                <w:rFonts w:ascii="Arial" w:hAnsi="Arial"/>
                <w:sz w:val="20"/>
                <w:lang w:val="en-GB" w:eastAsia="en-GB"/>
              </w:rPr>
            </w:pPr>
          </w:p>
        </w:tc>
        <w:tc>
          <w:tcPr>
            <w:tcW w:w="1472" w:type="dxa"/>
            <w:tcBorders>
              <w:top w:val="nil"/>
              <w:left w:val="nil"/>
              <w:bottom w:val="single" w:sz="4" w:space="0" w:color="auto"/>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0.0007</w:t>
            </w:r>
          </w:p>
        </w:tc>
        <w:tc>
          <w:tcPr>
            <w:tcW w:w="1204" w:type="dxa"/>
            <w:tcBorders>
              <w:top w:val="nil"/>
              <w:left w:val="single" w:sz="4" w:space="0" w:color="auto"/>
              <w:bottom w:val="single" w:sz="4" w:space="0" w:color="auto"/>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472" w:type="dxa"/>
            <w:tcBorders>
              <w:top w:val="nil"/>
              <w:left w:val="nil"/>
              <w:bottom w:val="single" w:sz="4" w:space="0" w:color="auto"/>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0.1833</w:t>
            </w:r>
          </w:p>
        </w:tc>
        <w:tc>
          <w:tcPr>
            <w:tcW w:w="1203" w:type="dxa"/>
            <w:tcBorders>
              <w:top w:val="nil"/>
              <w:left w:val="single" w:sz="4" w:space="0" w:color="auto"/>
              <w:bottom w:val="single" w:sz="4" w:space="0" w:color="auto"/>
              <w:righ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375" w:type="dxa"/>
            <w:tcBorders>
              <w:top w:val="nil"/>
              <w:left w:val="nil"/>
              <w:bottom w:val="single" w:sz="4" w:space="0" w:color="auto"/>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0.0007</w:t>
            </w:r>
          </w:p>
        </w:tc>
      </w:tr>
    </w:tbl>
    <w:p w:rsidR="000E6EB5" w:rsidRPr="000E6EB5" w:rsidRDefault="000E6EB5" w:rsidP="00D538FA">
      <w:pPr>
        <w:autoSpaceDE w:val="0"/>
        <w:autoSpaceDN w:val="0"/>
        <w:adjustRightInd w:val="0"/>
        <w:spacing w:before="40"/>
        <w:ind w:left="142" w:hanging="142"/>
        <w:rPr>
          <w:rFonts w:ascii="Arial" w:hAnsi="Arial"/>
          <w:sz w:val="20"/>
          <w:lang w:val="en-GB" w:eastAsia="en-GB"/>
        </w:rPr>
      </w:pPr>
      <w:r w:rsidRPr="000E6EB5">
        <w:rPr>
          <w:rFonts w:ascii="Arial" w:hAnsi="Arial"/>
          <w:sz w:val="20"/>
          <w:vertAlign w:val="superscript"/>
          <w:lang w:val="en-GB" w:eastAsia="en-GB"/>
        </w:rPr>
        <w:t>1</w:t>
      </w:r>
      <w:r w:rsidRPr="000E6EB5">
        <w:rPr>
          <w:rFonts w:ascii="Arial" w:hAnsi="Arial"/>
          <w:sz w:val="20"/>
          <w:lang w:val="en-GB" w:eastAsia="en-GB"/>
        </w:rPr>
        <w:t xml:space="preserve"> Responder patients are those with no absolute decline greater than 5% or greater than 10% in FVC %predicted, depending on the threshold and with an FVC evaluation at 52 weeks.</w:t>
      </w:r>
    </w:p>
    <w:p w:rsidR="000E6EB5" w:rsidRPr="000E6EB5" w:rsidRDefault="000E6EB5" w:rsidP="000E6EB5">
      <w:pPr>
        <w:autoSpaceDE w:val="0"/>
        <w:autoSpaceDN w:val="0"/>
        <w:adjustRightInd w:val="0"/>
        <w:rPr>
          <w:rFonts w:ascii="Arial" w:hAnsi="Arial"/>
          <w:sz w:val="20"/>
          <w:lang w:val="en-GB" w:eastAsia="en-GB"/>
        </w:rPr>
      </w:pPr>
      <w:r w:rsidRPr="000E6EB5">
        <w:rPr>
          <w:rFonts w:ascii="Arial" w:hAnsi="Arial"/>
          <w:sz w:val="20"/>
          <w:vertAlign w:val="superscript"/>
          <w:lang w:val="en-GB" w:eastAsia="en-GB"/>
        </w:rPr>
        <w:t>2</w:t>
      </w:r>
      <w:r w:rsidRPr="000E6EB5">
        <w:rPr>
          <w:rFonts w:ascii="Arial" w:hAnsi="Arial"/>
          <w:sz w:val="20"/>
          <w:lang w:val="en-GB" w:eastAsia="en-GB"/>
        </w:rPr>
        <w:t xml:space="preserve"> Based on a logistic regression </w:t>
      </w:r>
    </w:p>
    <w:p w:rsidR="000E6EB5" w:rsidRPr="00C3419E" w:rsidRDefault="000E6EB5" w:rsidP="000E6EB5">
      <w:pPr>
        <w:autoSpaceDE w:val="0"/>
        <w:autoSpaceDN w:val="0"/>
        <w:adjustRightInd w:val="0"/>
        <w:rPr>
          <w:rFonts w:ascii="Arial" w:hAnsi="Arial"/>
          <w:sz w:val="22"/>
          <w:szCs w:val="22"/>
          <w:lang w:val="en-GB" w:eastAsia="en-GB"/>
        </w:rPr>
      </w:pPr>
    </w:p>
    <w:p w:rsidR="000E6EB5" w:rsidRPr="00BF21E9" w:rsidRDefault="000E6EB5" w:rsidP="000E6EB5">
      <w:pPr>
        <w:autoSpaceDE w:val="0"/>
        <w:autoSpaceDN w:val="0"/>
        <w:adjustRightInd w:val="0"/>
        <w:jc w:val="both"/>
        <w:rPr>
          <w:rFonts w:ascii="Arial" w:hAnsi="Arial"/>
          <w:sz w:val="22"/>
          <w:szCs w:val="22"/>
          <w:u w:val="single"/>
          <w:lang w:val="en-GB" w:eastAsia="en-GB"/>
        </w:rPr>
      </w:pPr>
      <w:r w:rsidRPr="00BF21E9">
        <w:rPr>
          <w:rFonts w:ascii="Arial" w:hAnsi="Arial"/>
          <w:sz w:val="22"/>
          <w:szCs w:val="22"/>
          <w:u w:val="single"/>
          <w:lang w:val="en-GB" w:eastAsia="en-GB"/>
        </w:rPr>
        <w:t>Change from baseline in SGRQ total score at week 52</w:t>
      </w:r>
    </w:p>
    <w:p w:rsidR="000E6EB5" w:rsidRPr="006158D4" w:rsidRDefault="000E6EB5" w:rsidP="000E6EB5">
      <w:pPr>
        <w:autoSpaceDE w:val="0"/>
        <w:autoSpaceDN w:val="0"/>
        <w:adjustRightInd w:val="0"/>
        <w:jc w:val="both"/>
        <w:rPr>
          <w:rFonts w:ascii="Arial" w:hAnsi="Arial"/>
          <w:sz w:val="22"/>
          <w:szCs w:val="22"/>
          <w:lang w:eastAsia="en-GB"/>
        </w:rPr>
      </w:pPr>
      <w:r w:rsidRPr="00C3419E">
        <w:rPr>
          <w:rFonts w:ascii="Arial" w:hAnsi="Arial"/>
          <w:sz w:val="22"/>
          <w:szCs w:val="22"/>
          <w:lang w:val="en-GB" w:eastAsia="en-GB"/>
        </w:rPr>
        <w:t xml:space="preserve">SGRQ total score measuring health related quality of life (HRQoL) was analysed at 52 weeks. In INPULSIS-2, patients receiving placebo had a larger increase from baseline SGRQ total score as compared to patients receiving nintedanib 150 mg bid. The deterioration of HRQoL was smaller in the nintedanib group; the difference between the treatment groups was </w:t>
      </w:r>
      <w:r w:rsidR="00CC1250">
        <w:rPr>
          <w:rFonts w:ascii="Arial" w:hAnsi="Arial"/>
          <w:sz w:val="22"/>
          <w:szCs w:val="22"/>
          <w:lang w:val="en-GB" w:eastAsia="en-GB"/>
        </w:rPr>
        <w:t xml:space="preserve">modest, but </w:t>
      </w:r>
      <w:r w:rsidRPr="00C3419E">
        <w:rPr>
          <w:rFonts w:ascii="Arial" w:hAnsi="Arial"/>
          <w:sz w:val="22"/>
          <w:szCs w:val="22"/>
          <w:lang w:val="en-GB" w:eastAsia="en-GB"/>
        </w:rPr>
        <w:t>statistically significant (-2.69; 95% CI: -4.95, -0.43; p=0.0197).</w:t>
      </w:r>
      <w:r w:rsidR="009656E2">
        <w:rPr>
          <w:rFonts w:ascii="Arial" w:hAnsi="Arial"/>
          <w:sz w:val="22"/>
          <w:szCs w:val="22"/>
          <w:lang w:val="en-GB" w:eastAsia="en-GB"/>
        </w:rPr>
        <w:t xml:space="preserve"> The clinical significance of this finding is unknown.</w:t>
      </w:r>
    </w:p>
    <w:p w:rsidR="000E6EB5" w:rsidRPr="00C3419E" w:rsidRDefault="000E6EB5" w:rsidP="000E6EB5">
      <w:pPr>
        <w:autoSpaceDE w:val="0"/>
        <w:autoSpaceDN w:val="0"/>
        <w:adjustRightInd w:val="0"/>
        <w:jc w:val="both"/>
        <w:rPr>
          <w:rFonts w:ascii="Arial" w:hAnsi="Arial"/>
          <w:sz w:val="22"/>
          <w:szCs w:val="22"/>
          <w:lang w:val="en-GB" w:eastAsia="en-GB"/>
        </w:rPr>
      </w:pPr>
    </w:p>
    <w:p w:rsidR="000D1AD9" w:rsidRDefault="000E6EB5" w:rsidP="000D1AD9">
      <w:pPr>
        <w:autoSpaceDE w:val="0"/>
        <w:autoSpaceDN w:val="0"/>
        <w:adjustRightInd w:val="0"/>
        <w:jc w:val="both"/>
        <w:rPr>
          <w:rFonts w:ascii="Arial" w:hAnsi="Arial"/>
          <w:sz w:val="22"/>
          <w:szCs w:val="22"/>
          <w:lang w:val="en-GB" w:eastAsia="en-GB"/>
        </w:rPr>
      </w:pPr>
      <w:r w:rsidRPr="00C3419E">
        <w:rPr>
          <w:rFonts w:ascii="Arial" w:hAnsi="Arial"/>
          <w:sz w:val="22"/>
          <w:szCs w:val="22"/>
          <w:lang w:val="en-GB" w:eastAsia="en-GB"/>
        </w:rPr>
        <w:t>In INPULSIS-1, the increase from baseline in SGRQ total score at week 52 was comparable between nintedanib and placebo (difference between treatment groups: -0.05; 95% CI: -2.50, 2.40; p=0.9657).  In the pooled analysis of the INPULSIS trials, the estimated mean change from baseline to week 52 in SGRQ total score was smaller in the nintedanib group (3.53) than in the placebo group (4.96), with a difference between the treatment groups of -1.43 (95% CI: -3.09, 0.23; p = 0.0923). Overall, the effect of nintedanib on health-related quality of life as measured by the SGRQ total score is modest, indicating less worsening compared to placebo.</w:t>
      </w:r>
      <w:r w:rsidR="000D1AD9">
        <w:rPr>
          <w:rFonts w:ascii="Arial" w:hAnsi="Arial"/>
          <w:sz w:val="22"/>
          <w:szCs w:val="22"/>
          <w:lang w:val="en-GB" w:eastAsia="en-GB"/>
        </w:rPr>
        <w:t xml:space="preserve"> The clinical significance of this finding is unknown.</w:t>
      </w:r>
    </w:p>
    <w:p w:rsidR="000E6EB5" w:rsidRDefault="000E6EB5" w:rsidP="000E6EB5">
      <w:pPr>
        <w:autoSpaceDE w:val="0"/>
        <w:autoSpaceDN w:val="0"/>
        <w:adjustRightInd w:val="0"/>
        <w:rPr>
          <w:rFonts w:ascii="Arial" w:hAnsi="Arial"/>
          <w:sz w:val="22"/>
          <w:szCs w:val="22"/>
          <w:u w:val="single"/>
          <w:lang w:val="en-GB" w:eastAsia="en-GB"/>
        </w:rPr>
      </w:pPr>
    </w:p>
    <w:p w:rsidR="000E6EB5" w:rsidRPr="00BF21E9" w:rsidRDefault="000E6EB5" w:rsidP="000E6EB5">
      <w:pPr>
        <w:autoSpaceDE w:val="0"/>
        <w:autoSpaceDN w:val="0"/>
        <w:adjustRightInd w:val="0"/>
        <w:rPr>
          <w:rFonts w:ascii="Arial" w:hAnsi="Arial"/>
          <w:sz w:val="22"/>
          <w:szCs w:val="22"/>
          <w:u w:val="single"/>
          <w:lang w:val="en-GB" w:eastAsia="en-GB"/>
        </w:rPr>
      </w:pPr>
      <w:r w:rsidRPr="00BF21E9">
        <w:rPr>
          <w:rFonts w:ascii="Arial" w:hAnsi="Arial"/>
          <w:sz w:val="22"/>
          <w:szCs w:val="22"/>
          <w:u w:val="single"/>
          <w:lang w:val="en-GB" w:eastAsia="en-GB"/>
        </w:rPr>
        <w:t>Time to first acute IPF exacerbation</w:t>
      </w:r>
    </w:p>
    <w:p w:rsidR="00BF21E9" w:rsidRDefault="000E6EB5" w:rsidP="000E6EB5">
      <w:pPr>
        <w:autoSpaceDE w:val="0"/>
        <w:autoSpaceDN w:val="0"/>
        <w:adjustRightInd w:val="0"/>
        <w:jc w:val="both"/>
        <w:rPr>
          <w:rFonts w:ascii="Arial" w:hAnsi="Arial"/>
          <w:sz w:val="22"/>
          <w:szCs w:val="22"/>
          <w:lang w:val="en-GB" w:eastAsia="en-GB"/>
        </w:rPr>
      </w:pPr>
      <w:r w:rsidRPr="00C3419E">
        <w:rPr>
          <w:rFonts w:ascii="Arial" w:hAnsi="Arial"/>
          <w:sz w:val="22"/>
          <w:szCs w:val="22"/>
          <w:lang w:val="en-GB" w:eastAsia="en-GB"/>
        </w:rPr>
        <w:t>In the INPULSIS-2 trial, the risk of first acute IPF exacerbation over 52 weeks was</w:t>
      </w:r>
      <w:r>
        <w:rPr>
          <w:rFonts w:ascii="Arial" w:hAnsi="Arial"/>
          <w:sz w:val="22"/>
          <w:szCs w:val="22"/>
          <w:lang w:val="en-GB" w:eastAsia="en-GB"/>
        </w:rPr>
        <w:t xml:space="preserve"> </w:t>
      </w:r>
      <w:r w:rsidRPr="00C3419E">
        <w:rPr>
          <w:rFonts w:ascii="Arial" w:hAnsi="Arial"/>
          <w:sz w:val="22"/>
          <w:szCs w:val="22"/>
          <w:lang w:val="en-GB" w:eastAsia="en-GB"/>
        </w:rPr>
        <w:t>significantly reduced in patients receiving nintedanib compared to placebo, in the INPULSIS-</w:t>
      </w:r>
      <w:r w:rsidRPr="00C3419E">
        <w:rPr>
          <w:rFonts w:ascii="Arial" w:hAnsi="Arial"/>
          <w:sz w:val="22"/>
          <w:szCs w:val="22"/>
          <w:lang w:val="en-GB" w:eastAsia="en-GB"/>
        </w:rPr>
        <w:lastRenderedPageBreak/>
        <w:t xml:space="preserve">1 trial there was no difference in between the treatment groups. In the pooled analysis of the INPULSIS trials, a numerically lower risk of first acute exacerbation was observed in patients receiving nintedanib compared to placebo. See Table </w:t>
      </w:r>
      <w:r>
        <w:rPr>
          <w:rFonts w:ascii="Arial" w:hAnsi="Arial"/>
          <w:sz w:val="22"/>
          <w:szCs w:val="22"/>
          <w:lang w:val="en-GB" w:eastAsia="en-GB"/>
        </w:rPr>
        <w:t>4</w:t>
      </w:r>
      <w:r w:rsidRPr="00C3419E">
        <w:rPr>
          <w:rFonts w:ascii="Arial" w:hAnsi="Arial"/>
          <w:sz w:val="22"/>
          <w:szCs w:val="22"/>
          <w:lang w:val="en-GB" w:eastAsia="en-GB"/>
        </w:rPr>
        <w:t xml:space="preserve"> for individual and pooled study results.</w:t>
      </w:r>
    </w:p>
    <w:p w:rsidR="000E6EB5" w:rsidRDefault="000E6EB5" w:rsidP="000E6EB5">
      <w:pPr>
        <w:autoSpaceDE w:val="0"/>
        <w:autoSpaceDN w:val="0"/>
        <w:adjustRightInd w:val="0"/>
        <w:rPr>
          <w:rFonts w:ascii="Arial" w:hAnsi="Arial"/>
          <w:sz w:val="22"/>
          <w:szCs w:val="22"/>
          <w:lang w:val="en-GB" w:eastAsia="en-GB"/>
        </w:rPr>
      </w:pPr>
    </w:p>
    <w:p w:rsidR="00223FA3" w:rsidRDefault="00BF21E9" w:rsidP="000E6EB5">
      <w:pPr>
        <w:tabs>
          <w:tab w:val="left" w:pos="1418"/>
        </w:tabs>
        <w:autoSpaceDE w:val="0"/>
        <w:autoSpaceDN w:val="0"/>
        <w:adjustRightInd w:val="0"/>
        <w:ind w:left="1122" w:hanging="1122"/>
        <w:rPr>
          <w:rFonts w:ascii="Arial" w:hAnsi="Arial"/>
          <w:b/>
          <w:bCs/>
          <w:sz w:val="22"/>
          <w:szCs w:val="22"/>
          <w:lang w:val="en-GB" w:eastAsia="en-GB"/>
        </w:rPr>
      </w:pPr>
      <w:r w:rsidRPr="009602A1">
        <w:rPr>
          <w:rFonts w:ascii="Arial" w:hAnsi="Arial"/>
          <w:b/>
          <w:bCs/>
          <w:sz w:val="22"/>
          <w:szCs w:val="22"/>
          <w:lang w:val="en-GB" w:eastAsia="en-GB"/>
        </w:rPr>
        <w:t>Table</w:t>
      </w:r>
      <w:r w:rsidR="000E6EB5" w:rsidRPr="009602A1">
        <w:rPr>
          <w:rFonts w:ascii="Arial" w:hAnsi="Arial"/>
          <w:b/>
          <w:bCs/>
          <w:sz w:val="22"/>
          <w:szCs w:val="22"/>
          <w:lang w:val="en-GB" w:eastAsia="en-GB"/>
        </w:rPr>
        <w:t xml:space="preserve"> 4</w:t>
      </w:r>
      <w:r w:rsidRPr="009602A1">
        <w:rPr>
          <w:rFonts w:ascii="Arial" w:hAnsi="Arial"/>
          <w:b/>
          <w:bCs/>
          <w:sz w:val="22"/>
          <w:szCs w:val="22"/>
          <w:lang w:val="en-GB" w:eastAsia="en-GB"/>
        </w:rPr>
        <w:t xml:space="preserve">: </w:t>
      </w:r>
      <w:r w:rsidR="000E6EB5" w:rsidRPr="009602A1">
        <w:rPr>
          <w:rFonts w:ascii="Arial" w:hAnsi="Arial"/>
          <w:b/>
          <w:bCs/>
          <w:sz w:val="22"/>
          <w:szCs w:val="22"/>
          <w:lang w:val="en-GB" w:eastAsia="en-GB"/>
        </w:rPr>
        <w:tab/>
      </w:r>
      <w:r w:rsidR="00223FA3" w:rsidRPr="009602A1">
        <w:rPr>
          <w:rFonts w:ascii="Arial" w:hAnsi="Arial"/>
          <w:b/>
          <w:bCs/>
          <w:sz w:val="22"/>
          <w:szCs w:val="22"/>
          <w:lang w:val="en-GB" w:eastAsia="en-GB"/>
        </w:rPr>
        <w:t>Time to first acute exacerbation over 52 weeks based on investigator-reported events in trials INPULSIS-1, INPULSIS-2, and their pooled data - treated set</w:t>
      </w:r>
    </w:p>
    <w:p w:rsidR="009602A1" w:rsidRPr="009602A1" w:rsidRDefault="009602A1" w:rsidP="000E6EB5">
      <w:pPr>
        <w:tabs>
          <w:tab w:val="left" w:pos="1418"/>
        </w:tabs>
        <w:autoSpaceDE w:val="0"/>
        <w:autoSpaceDN w:val="0"/>
        <w:adjustRightInd w:val="0"/>
        <w:ind w:left="1122" w:hanging="1122"/>
        <w:rPr>
          <w:rFonts w:ascii="Arial" w:hAnsi="Arial"/>
          <w:b/>
          <w:bCs/>
          <w:sz w:val="22"/>
          <w:szCs w:val="22"/>
          <w:lang w:val="en-GB" w:eastAsia="en-GB"/>
        </w:rPr>
      </w:pPr>
    </w:p>
    <w:tbl>
      <w:tblPr>
        <w:tblW w:w="9302" w:type="dxa"/>
        <w:jc w:val="center"/>
        <w:tblBorders>
          <w:top w:val="single" w:sz="4" w:space="0" w:color="auto"/>
          <w:left w:val="single" w:sz="4" w:space="0" w:color="auto"/>
          <w:bottom w:val="single" w:sz="4" w:space="0" w:color="auto"/>
          <w:right w:val="single" w:sz="4" w:space="0" w:color="auto"/>
        </w:tblBorders>
        <w:shd w:val="clear" w:color="auto" w:fill="FABF8F"/>
        <w:tblLook w:val="04A0" w:firstRow="1" w:lastRow="0" w:firstColumn="1" w:lastColumn="0" w:noHBand="0" w:noVBand="1"/>
      </w:tblPr>
      <w:tblGrid>
        <w:gridCol w:w="1487"/>
        <w:gridCol w:w="983"/>
        <w:gridCol w:w="1624"/>
        <w:gridCol w:w="997"/>
        <w:gridCol w:w="1800"/>
        <w:gridCol w:w="1036"/>
        <w:gridCol w:w="1375"/>
      </w:tblGrid>
      <w:tr w:rsidR="00223FA3" w:rsidRPr="00C3419E" w:rsidTr="00A32C40">
        <w:trPr>
          <w:tblHeader/>
          <w:jc w:val="center"/>
        </w:trPr>
        <w:tc>
          <w:tcPr>
            <w:tcW w:w="1487" w:type="dxa"/>
            <w:tcBorders>
              <w:top w:val="single" w:sz="4" w:space="0" w:color="auto"/>
              <w:bottom w:val="single" w:sz="4" w:space="0" w:color="auto"/>
              <w:right w:val="nil"/>
            </w:tcBorders>
            <w:shd w:val="clear" w:color="auto" w:fill="auto"/>
          </w:tcPr>
          <w:p w:rsidR="00223FA3" w:rsidRPr="000E6EB5" w:rsidRDefault="00223FA3" w:rsidP="00C3419E">
            <w:pPr>
              <w:autoSpaceDE w:val="0"/>
              <w:autoSpaceDN w:val="0"/>
              <w:adjustRightInd w:val="0"/>
              <w:rPr>
                <w:rFonts w:ascii="Arial" w:hAnsi="Arial"/>
                <w:sz w:val="20"/>
                <w:lang w:val="en-GB" w:eastAsia="en-GB"/>
              </w:rPr>
            </w:pPr>
          </w:p>
        </w:tc>
        <w:tc>
          <w:tcPr>
            <w:tcW w:w="2607" w:type="dxa"/>
            <w:gridSpan w:val="2"/>
            <w:tcBorders>
              <w:top w:val="single" w:sz="4" w:space="0" w:color="auto"/>
              <w:left w:val="nil"/>
              <w:bottom w:val="single" w:sz="4" w:space="0" w:color="auto"/>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INPULSIS-1</w:t>
            </w:r>
          </w:p>
        </w:tc>
        <w:tc>
          <w:tcPr>
            <w:tcW w:w="279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INPULSIS-2</w:t>
            </w:r>
          </w:p>
        </w:tc>
        <w:tc>
          <w:tcPr>
            <w:tcW w:w="2411" w:type="dxa"/>
            <w:gridSpan w:val="2"/>
            <w:tcBorders>
              <w:top w:val="single" w:sz="4" w:space="0" w:color="auto"/>
              <w:left w:val="single" w:sz="4" w:space="0" w:color="auto"/>
              <w:bottom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INPULSIS-1 and INPULSIS-2 pooled</w:t>
            </w:r>
          </w:p>
        </w:tc>
      </w:tr>
      <w:tr w:rsidR="00BF21E9" w:rsidRPr="00C3419E" w:rsidTr="00A32C40">
        <w:trPr>
          <w:tblHeader/>
          <w:jc w:val="center"/>
        </w:trPr>
        <w:tc>
          <w:tcPr>
            <w:tcW w:w="1487" w:type="dxa"/>
            <w:tcBorders>
              <w:top w:val="single" w:sz="4" w:space="0" w:color="auto"/>
              <w:bottom w:val="single" w:sz="4" w:space="0" w:color="auto"/>
              <w:right w:val="nil"/>
            </w:tcBorders>
            <w:shd w:val="clear" w:color="auto" w:fill="auto"/>
          </w:tcPr>
          <w:p w:rsidR="00BF21E9" w:rsidRPr="000E6EB5" w:rsidRDefault="00BF21E9" w:rsidP="00C3419E">
            <w:pPr>
              <w:autoSpaceDE w:val="0"/>
              <w:autoSpaceDN w:val="0"/>
              <w:adjustRightInd w:val="0"/>
              <w:rPr>
                <w:rFonts w:ascii="Arial" w:hAnsi="Arial"/>
                <w:sz w:val="20"/>
                <w:lang w:val="en-GB" w:eastAsia="en-GB"/>
              </w:rPr>
            </w:pPr>
          </w:p>
        </w:tc>
        <w:tc>
          <w:tcPr>
            <w:tcW w:w="983" w:type="dxa"/>
            <w:tcBorders>
              <w:top w:val="single" w:sz="4" w:space="0" w:color="auto"/>
              <w:left w:val="nil"/>
              <w:bottom w:val="single" w:sz="4" w:space="0" w:color="auto"/>
            </w:tcBorders>
            <w:shd w:val="clear" w:color="auto" w:fill="auto"/>
          </w:tcPr>
          <w:p w:rsidR="00BF21E9" w:rsidRPr="000E6EB5" w:rsidRDefault="00BF21E9"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Placebo</w:t>
            </w:r>
          </w:p>
        </w:tc>
        <w:tc>
          <w:tcPr>
            <w:tcW w:w="1624" w:type="dxa"/>
            <w:tcBorders>
              <w:top w:val="single" w:sz="4" w:space="0" w:color="auto"/>
              <w:bottom w:val="single" w:sz="4" w:space="0" w:color="auto"/>
              <w:right w:val="single" w:sz="4" w:space="0" w:color="auto"/>
            </w:tcBorders>
            <w:shd w:val="clear" w:color="auto" w:fill="auto"/>
          </w:tcPr>
          <w:p w:rsidR="00BF21E9" w:rsidRPr="000E6EB5" w:rsidRDefault="007501C4" w:rsidP="000E6EB5">
            <w:pPr>
              <w:autoSpaceDE w:val="0"/>
              <w:autoSpaceDN w:val="0"/>
              <w:adjustRightInd w:val="0"/>
              <w:jc w:val="center"/>
              <w:rPr>
                <w:rFonts w:ascii="Arial" w:hAnsi="Arial"/>
                <w:sz w:val="20"/>
                <w:lang w:val="en-GB" w:eastAsia="en-GB"/>
              </w:rPr>
            </w:pPr>
            <w:r>
              <w:rPr>
                <w:rFonts w:ascii="Arial" w:hAnsi="Arial"/>
                <w:sz w:val="20"/>
                <w:lang w:val="en-GB" w:eastAsia="en-GB"/>
              </w:rPr>
              <w:t>VARGATEF</w:t>
            </w:r>
            <w:r w:rsidR="00BF21E9" w:rsidRPr="000E6EB5">
              <w:rPr>
                <w:rFonts w:ascii="Arial" w:hAnsi="Arial"/>
                <w:sz w:val="20"/>
                <w:lang w:val="en-GB" w:eastAsia="en-GB"/>
              </w:rPr>
              <w:t xml:space="preserve"> 150 mg twice daily</w:t>
            </w:r>
          </w:p>
        </w:tc>
        <w:tc>
          <w:tcPr>
            <w:tcW w:w="997" w:type="dxa"/>
            <w:tcBorders>
              <w:top w:val="single" w:sz="4" w:space="0" w:color="auto"/>
              <w:left w:val="single" w:sz="4" w:space="0" w:color="auto"/>
              <w:bottom w:val="single" w:sz="4" w:space="0" w:color="auto"/>
            </w:tcBorders>
            <w:shd w:val="clear" w:color="auto" w:fill="auto"/>
          </w:tcPr>
          <w:p w:rsidR="00BF21E9" w:rsidRPr="000E6EB5" w:rsidRDefault="00BF21E9"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Placebo</w:t>
            </w:r>
          </w:p>
        </w:tc>
        <w:tc>
          <w:tcPr>
            <w:tcW w:w="1800" w:type="dxa"/>
            <w:tcBorders>
              <w:top w:val="single" w:sz="4" w:space="0" w:color="auto"/>
              <w:bottom w:val="single" w:sz="4" w:space="0" w:color="auto"/>
              <w:right w:val="single" w:sz="4" w:space="0" w:color="auto"/>
            </w:tcBorders>
            <w:shd w:val="clear" w:color="auto" w:fill="auto"/>
          </w:tcPr>
          <w:p w:rsidR="00BF21E9" w:rsidRPr="000E6EB5" w:rsidRDefault="007501C4" w:rsidP="000E6EB5">
            <w:pPr>
              <w:autoSpaceDE w:val="0"/>
              <w:autoSpaceDN w:val="0"/>
              <w:adjustRightInd w:val="0"/>
              <w:jc w:val="center"/>
              <w:rPr>
                <w:rFonts w:ascii="Arial" w:hAnsi="Arial"/>
                <w:sz w:val="20"/>
                <w:lang w:val="en-GB" w:eastAsia="en-GB"/>
              </w:rPr>
            </w:pPr>
            <w:r>
              <w:rPr>
                <w:rFonts w:ascii="Arial" w:hAnsi="Arial"/>
                <w:sz w:val="20"/>
                <w:lang w:val="en-GB" w:eastAsia="en-GB"/>
              </w:rPr>
              <w:t>VARGATEF</w:t>
            </w:r>
            <w:r w:rsidR="00BF21E9" w:rsidRPr="000E6EB5">
              <w:rPr>
                <w:rFonts w:ascii="Arial" w:hAnsi="Arial"/>
                <w:sz w:val="20"/>
                <w:lang w:val="en-GB" w:eastAsia="en-GB"/>
              </w:rPr>
              <w:t xml:space="preserve"> 150 mg twice daily</w:t>
            </w:r>
          </w:p>
        </w:tc>
        <w:tc>
          <w:tcPr>
            <w:tcW w:w="1036" w:type="dxa"/>
            <w:tcBorders>
              <w:top w:val="single" w:sz="4" w:space="0" w:color="auto"/>
              <w:left w:val="single" w:sz="4" w:space="0" w:color="auto"/>
              <w:bottom w:val="single" w:sz="4" w:space="0" w:color="auto"/>
            </w:tcBorders>
            <w:shd w:val="clear" w:color="auto" w:fill="auto"/>
          </w:tcPr>
          <w:p w:rsidR="00BF21E9" w:rsidRPr="000E6EB5" w:rsidRDefault="00BF21E9"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Placebo</w:t>
            </w:r>
          </w:p>
        </w:tc>
        <w:tc>
          <w:tcPr>
            <w:tcW w:w="1375" w:type="dxa"/>
            <w:tcBorders>
              <w:top w:val="single" w:sz="4" w:space="0" w:color="auto"/>
              <w:bottom w:val="single" w:sz="4" w:space="0" w:color="auto"/>
            </w:tcBorders>
            <w:shd w:val="clear" w:color="auto" w:fill="auto"/>
          </w:tcPr>
          <w:p w:rsidR="00BF21E9" w:rsidRPr="000E6EB5" w:rsidRDefault="007501C4" w:rsidP="000E6EB5">
            <w:pPr>
              <w:autoSpaceDE w:val="0"/>
              <w:autoSpaceDN w:val="0"/>
              <w:adjustRightInd w:val="0"/>
              <w:jc w:val="center"/>
              <w:rPr>
                <w:rFonts w:ascii="Arial" w:hAnsi="Arial"/>
                <w:sz w:val="20"/>
                <w:lang w:val="en-GB" w:eastAsia="en-GB"/>
              </w:rPr>
            </w:pPr>
            <w:r>
              <w:rPr>
                <w:rFonts w:ascii="Arial" w:hAnsi="Arial"/>
                <w:sz w:val="20"/>
                <w:lang w:val="en-GB" w:eastAsia="en-GB"/>
              </w:rPr>
              <w:t>VARGATEF</w:t>
            </w:r>
            <w:r w:rsidR="00BF21E9" w:rsidRPr="000E6EB5">
              <w:rPr>
                <w:rFonts w:ascii="Arial" w:hAnsi="Arial"/>
                <w:sz w:val="20"/>
                <w:lang w:val="en-GB" w:eastAsia="en-GB"/>
              </w:rPr>
              <w:t xml:space="preserve"> 150 mg twice daily</w:t>
            </w:r>
          </w:p>
        </w:tc>
      </w:tr>
      <w:tr w:rsidR="00BF21E9" w:rsidRPr="00C3419E" w:rsidTr="00A32C40">
        <w:trPr>
          <w:jc w:val="center"/>
        </w:trPr>
        <w:tc>
          <w:tcPr>
            <w:tcW w:w="1487" w:type="dxa"/>
            <w:tcBorders>
              <w:top w:val="single" w:sz="4" w:space="0" w:color="auto"/>
              <w:right w:val="nil"/>
            </w:tcBorders>
            <w:shd w:val="clear" w:color="auto" w:fill="auto"/>
          </w:tcPr>
          <w:p w:rsidR="00223FA3" w:rsidRPr="000E6EB5" w:rsidRDefault="00223FA3" w:rsidP="00C3419E">
            <w:pPr>
              <w:autoSpaceDE w:val="0"/>
              <w:autoSpaceDN w:val="0"/>
              <w:adjustRightInd w:val="0"/>
              <w:rPr>
                <w:rFonts w:ascii="Arial" w:hAnsi="Arial"/>
                <w:sz w:val="20"/>
                <w:lang w:val="en-GB" w:eastAsia="en-GB"/>
              </w:rPr>
            </w:pPr>
            <w:r w:rsidRPr="000E6EB5">
              <w:rPr>
                <w:rFonts w:ascii="Arial" w:hAnsi="Arial"/>
                <w:sz w:val="20"/>
                <w:lang w:val="en-GB" w:eastAsia="en-GB"/>
              </w:rPr>
              <w:t xml:space="preserve">Number at risk </w:t>
            </w:r>
          </w:p>
        </w:tc>
        <w:tc>
          <w:tcPr>
            <w:tcW w:w="983" w:type="dxa"/>
            <w:tcBorders>
              <w:top w:val="single" w:sz="4" w:space="0" w:color="auto"/>
              <w:lef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204</w:t>
            </w:r>
          </w:p>
        </w:tc>
        <w:tc>
          <w:tcPr>
            <w:tcW w:w="1624" w:type="dxa"/>
            <w:tcBorders>
              <w:top w:val="single" w:sz="4" w:space="0" w:color="auto"/>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309</w:t>
            </w:r>
          </w:p>
        </w:tc>
        <w:tc>
          <w:tcPr>
            <w:tcW w:w="997" w:type="dxa"/>
            <w:tcBorders>
              <w:top w:val="single" w:sz="4" w:space="0" w:color="auto"/>
              <w:lef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219</w:t>
            </w:r>
          </w:p>
        </w:tc>
        <w:tc>
          <w:tcPr>
            <w:tcW w:w="1800" w:type="dxa"/>
            <w:tcBorders>
              <w:top w:val="single" w:sz="4" w:space="0" w:color="auto"/>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329</w:t>
            </w:r>
          </w:p>
        </w:tc>
        <w:tc>
          <w:tcPr>
            <w:tcW w:w="1036" w:type="dxa"/>
            <w:tcBorders>
              <w:top w:val="single" w:sz="4" w:space="0" w:color="auto"/>
              <w:lef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423</w:t>
            </w:r>
          </w:p>
        </w:tc>
        <w:tc>
          <w:tcPr>
            <w:tcW w:w="1375" w:type="dxa"/>
            <w:tcBorders>
              <w:top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638</w:t>
            </w:r>
          </w:p>
        </w:tc>
      </w:tr>
      <w:tr w:rsidR="00BF21E9" w:rsidRPr="00C3419E" w:rsidTr="00A32C40">
        <w:trPr>
          <w:trHeight w:val="117"/>
          <w:jc w:val="center"/>
        </w:trPr>
        <w:tc>
          <w:tcPr>
            <w:tcW w:w="1487" w:type="dxa"/>
            <w:tcBorders>
              <w:right w:val="nil"/>
            </w:tcBorders>
            <w:shd w:val="clear" w:color="auto" w:fill="auto"/>
          </w:tcPr>
          <w:p w:rsidR="00223FA3" w:rsidRPr="000E6EB5" w:rsidRDefault="00223FA3" w:rsidP="00C3419E">
            <w:pPr>
              <w:autoSpaceDE w:val="0"/>
              <w:autoSpaceDN w:val="0"/>
              <w:adjustRightInd w:val="0"/>
              <w:rPr>
                <w:rFonts w:ascii="Arial" w:hAnsi="Arial"/>
                <w:sz w:val="20"/>
                <w:lang w:val="en-GB" w:eastAsia="en-GB"/>
              </w:rPr>
            </w:pPr>
            <w:r w:rsidRPr="000E6EB5">
              <w:rPr>
                <w:rFonts w:ascii="Arial" w:hAnsi="Arial"/>
                <w:sz w:val="20"/>
                <w:lang w:val="en-GB" w:eastAsia="en-GB"/>
              </w:rPr>
              <w:t>Patients with events, N (%)</w:t>
            </w:r>
          </w:p>
        </w:tc>
        <w:tc>
          <w:tcPr>
            <w:tcW w:w="983" w:type="dxa"/>
            <w:tcBorders>
              <w:lef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11 (5.4)</w:t>
            </w:r>
          </w:p>
        </w:tc>
        <w:tc>
          <w:tcPr>
            <w:tcW w:w="1624" w:type="dxa"/>
            <w:tcBorders>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19 (6.1)</w:t>
            </w:r>
          </w:p>
        </w:tc>
        <w:tc>
          <w:tcPr>
            <w:tcW w:w="997" w:type="dxa"/>
            <w:tcBorders>
              <w:lef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21 (9.6)</w:t>
            </w:r>
          </w:p>
        </w:tc>
        <w:tc>
          <w:tcPr>
            <w:tcW w:w="1800" w:type="dxa"/>
            <w:tcBorders>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12 (3.6)</w:t>
            </w:r>
          </w:p>
        </w:tc>
        <w:tc>
          <w:tcPr>
            <w:tcW w:w="1036" w:type="dxa"/>
            <w:tcBorders>
              <w:lef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32 (7.6)</w:t>
            </w:r>
          </w:p>
        </w:tc>
        <w:tc>
          <w:tcPr>
            <w:tcW w:w="1375" w:type="dxa"/>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31 (4.9)</w:t>
            </w:r>
          </w:p>
        </w:tc>
      </w:tr>
      <w:tr w:rsidR="00BF21E9" w:rsidRPr="00C3419E" w:rsidTr="00A32C40">
        <w:trPr>
          <w:jc w:val="center"/>
        </w:trPr>
        <w:tc>
          <w:tcPr>
            <w:tcW w:w="1487" w:type="dxa"/>
            <w:tcBorders>
              <w:right w:val="nil"/>
            </w:tcBorders>
            <w:shd w:val="clear" w:color="auto" w:fill="auto"/>
          </w:tcPr>
          <w:p w:rsidR="00223FA3" w:rsidRPr="000E6EB5" w:rsidRDefault="00223FA3" w:rsidP="00C3419E">
            <w:pPr>
              <w:autoSpaceDE w:val="0"/>
              <w:autoSpaceDN w:val="0"/>
              <w:adjustRightInd w:val="0"/>
              <w:rPr>
                <w:rFonts w:ascii="Arial" w:hAnsi="Arial"/>
                <w:sz w:val="20"/>
                <w:lang w:val="en-GB" w:eastAsia="en-GB"/>
              </w:rPr>
            </w:pPr>
            <w:r w:rsidRPr="000E6EB5">
              <w:rPr>
                <w:rFonts w:ascii="Arial" w:hAnsi="Arial"/>
                <w:sz w:val="20"/>
                <w:lang w:val="en-GB" w:eastAsia="en-GB"/>
              </w:rPr>
              <w:t>Comparison vs placebo</w:t>
            </w:r>
            <w:r w:rsidRPr="006907DA">
              <w:rPr>
                <w:rFonts w:ascii="Arial" w:hAnsi="Arial"/>
                <w:sz w:val="20"/>
                <w:vertAlign w:val="superscript"/>
                <w:lang w:val="en-GB" w:eastAsia="en-GB"/>
              </w:rPr>
              <w:t>1</w:t>
            </w:r>
          </w:p>
        </w:tc>
        <w:tc>
          <w:tcPr>
            <w:tcW w:w="983" w:type="dxa"/>
            <w:tcBorders>
              <w:lef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624" w:type="dxa"/>
            <w:tcBorders>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997" w:type="dxa"/>
            <w:tcBorders>
              <w:lef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800" w:type="dxa"/>
            <w:tcBorders>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036" w:type="dxa"/>
            <w:tcBorders>
              <w:lef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375" w:type="dxa"/>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r>
      <w:tr w:rsidR="00BF21E9" w:rsidRPr="00C3419E" w:rsidTr="00A32C40">
        <w:trPr>
          <w:jc w:val="center"/>
        </w:trPr>
        <w:tc>
          <w:tcPr>
            <w:tcW w:w="1487" w:type="dxa"/>
            <w:tcBorders>
              <w:right w:val="nil"/>
            </w:tcBorders>
            <w:shd w:val="clear" w:color="auto" w:fill="auto"/>
          </w:tcPr>
          <w:p w:rsidR="00223FA3" w:rsidRPr="000E6EB5" w:rsidRDefault="00223FA3" w:rsidP="006907DA">
            <w:pPr>
              <w:autoSpaceDE w:val="0"/>
              <w:autoSpaceDN w:val="0"/>
              <w:adjustRightInd w:val="0"/>
              <w:jc w:val="right"/>
              <w:rPr>
                <w:rFonts w:ascii="Arial" w:hAnsi="Arial"/>
                <w:sz w:val="20"/>
                <w:lang w:val="en-GB" w:eastAsia="en-GB"/>
              </w:rPr>
            </w:pPr>
            <w:r w:rsidRPr="000E6EB5">
              <w:rPr>
                <w:rFonts w:ascii="Arial" w:hAnsi="Arial"/>
                <w:sz w:val="20"/>
                <w:lang w:val="en-GB" w:eastAsia="en-GB"/>
              </w:rPr>
              <w:t>p-value</w:t>
            </w:r>
            <w:r w:rsidRPr="006907DA">
              <w:rPr>
                <w:rFonts w:ascii="Arial" w:hAnsi="Arial"/>
                <w:sz w:val="20"/>
                <w:vertAlign w:val="superscript"/>
                <w:lang w:val="en-GB" w:eastAsia="en-GB"/>
              </w:rPr>
              <w:t>2</w:t>
            </w:r>
          </w:p>
        </w:tc>
        <w:tc>
          <w:tcPr>
            <w:tcW w:w="983" w:type="dxa"/>
            <w:tcBorders>
              <w:lef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624" w:type="dxa"/>
            <w:tcBorders>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0.6728</w:t>
            </w:r>
          </w:p>
        </w:tc>
        <w:tc>
          <w:tcPr>
            <w:tcW w:w="997" w:type="dxa"/>
            <w:tcBorders>
              <w:lef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800" w:type="dxa"/>
            <w:tcBorders>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0.0050</w:t>
            </w:r>
          </w:p>
        </w:tc>
        <w:tc>
          <w:tcPr>
            <w:tcW w:w="1036" w:type="dxa"/>
            <w:tcBorders>
              <w:lef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375" w:type="dxa"/>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0.0823</w:t>
            </w:r>
          </w:p>
        </w:tc>
      </w:tr>
      <w:tr w:rsidR="00BF21E9" w:rsidRPr="00C3419E" w:rsidTr="00A32C40">
        <w:trPr>
          <w:jc w:val="center"/>
        </w:trPr>
        <w:tc>
          <w:tcPr>
            <w:tcW w:w="1487" w:type="dxa"/>
            <w:tcBorders>
              <w:right w:val="nil"/>
            </w:tcBorders>
            <w:shd w:val="clear" w:color="auto" w:fill="auto"/>
          </w:tcPr>
          <w:p w:rsidR="00223FA3" w:rsidRPr="000E6EB5" w:rsidRDefault="00223FA3" w:rsidP="006907DA">
            <w:pPr>
              <w:autoSpaceDE w:val="0"/>
              <w:autoSpaceDN w:val="0"/>
              <w:adjustRightInd w:val="0"/>
              <w:jc w:val="right"/>
              <w:rPr>
                <w:rFonts w:ascii="Arial" w:hAnsi="Arial"/>
                <w:sz w:val="20"/>
                <w:lang w:val="en-GB" w:eastAsia="en-GB"/>
              </w:rPr>
            </w:pPr>
            <w:r w:rsidRPr="000E6EB5">
              <w:rPr>
                <w:rFonts w:ascii="Arial" w:hAnsi="Arial"/>
                <w:sz w:val="20"/>
                <w:lang w:val="en-GB" w:eastAsia="en-GB"/>
              </w:rPr>
              <w:t>Hazard ratio</w:t>
            </w:r>
            <w:r w:rsidRPr="006907DA">
              <w:rPr>
                <w:rFonts w:ascii="Arial" w:hAnsi="Arial"/>
                <w:sz w:val="20"/>
                <w:vertAlign w:val="superscript"/>
                <w:lang w:val="en-GB" w:eastAsia="en-GB"/>
              </w:rPr>
              <w:t>3</w:t>
            </w:r>
          </w:p>
        </w:tc>
        <w:tc>
          <w:tcPr>
            <w:tcW w:w="983" w:type="dxa"/>
            <w:tcBorders>
              <w:left w:val="nil"/>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624" w:type="dxa"/>
            <w:tcBorders>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1.15</w:t>
            </w:r>
          </w:p>
        </w:tc>
        <w:tc>
          <w:tcPr>
            <w:tcW w:w="997" w:type="dxa"/>
            <w:tcBorders>
              <w:lef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800" w:type="dxa"/>
            <w:tcBorders>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0.38</w:t>
            </w:r>
          </w:p>
        </w:tc>
        <w:tc>
          <w:tcPr>
            <w:tcW w:w="1036" w:type="dxa"/>
            <w:tcBorders>
              <w:lef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375" w:type="dxa"/>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0.64</w:t>
            </w:r>
          </w:p>
        </w:tc>
      </w:tr>
      <w:tr w:rsidR="00BF21E9" w:rsidRPr="00C3419E" w:rsidTr="00A32C40">
        <w:trPr>
          <w:jc w:val="center"/>
        </w:trPr>
        <w:tc>
          <w:tcPr>
            <w:tcW w:w="1487" w:type="dxa"/>
            <w:tcBorders>
              <w:bottom w:val="single" w:sz="4" w:space="0" w:color="auto"/>
              <w:right w:val="nil"/>
            </w:tcBorders>
            <w:shd w:val="clear" w:color="auto" w:fill="auto"/>
          </w:tcPr>
          <w:p w:rsidR="00223FA3" w:rsidRPr="000E6EB5" w:rsidRDefault="00223FA3" w:rsidP="006907DA">
            <w:pPr>
              <w:autoSpaceDE w:val="0"/>
              <w:autoSpaceDN w:val="0"/>
              <w:adjustRightInd w:val="0"/>
              <w:jc w:val="right"/>
              <w:rPr>
                <w:rFonts w:ascii="Arial" w:hAnsi="Arial"/>
                <w:sz w:val="20"/>
                <w:lang w:val="en-GB" w:eastAsia="en-GB"/>
              </w:rPr>
            </w:pPr>
            <w:r w:rsidRPr="000E6EB5">
              <w:rPr>
                <w:rFonts w:ascii="Arial" w:hAnsi="Arial"/>
                <w:sz w:val="20"/>
                <w:lang w:val="en-GB" w:eastAsia="en-GB"/>
              </w:rPr>
              <w:tab/>
              <w:t>95% CI</w:t>
            </w:r>
          </w:p>
        </w:tc>
        <w:tc>
          <w:tcPr>
            <w:tcW w:w="983" w:type="dxa"/>
            <w:tcBorders>
              <w:left w:val="nil"/>
              <w:bottom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624" w:type="dxa"/>
            <w:tcBorders>
              <w:bottom w:val="single" w:sz="4" w:space="0" w:color="auto"/>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(0.54, 2.42)</w:t>
            </w:r>
          </w:p>
        </w:tc>
        <w:tc>
          <w:tcPr>
            <w:tcW w:w="997" w:type="dxa"/>
            <w:tcBorders>
              <w:left w:val="single" w:sz="4" w:space="0" w:color="auto"/>
              <w:bottom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800" w:type="dxa"/>
            <w:tcBorders>
              <w:bottom w:val="single" w:sz="4" w:space="0" w:color="auto"/>
              <w:right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(0.19, 0.77)</w:t>
            </w:r>
          </w:p>
        </w:tc>
        <w:tc>
          <w:tcPr>
            <w:tcW w:w="1036" w:type="dxa"/>
            <w:tcBorders>
              <w:left w:val="single" w:sz="4" w:space="0" w:color="auto"/>
              <w:bottom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p>
        </w:tc>
        <w:tc>
          <w:tcPr>
            <w:tcW w:w="1375" w:type="dxa"/>
            <w:tcBorders>
              <w:bottom w:val="single" w:sz="4" w:space="0" w:color="auto"/>
            </w:tcBorders>
            <w:shd w:val="clear" w:color="auto" w:fill="auto"/>
            <w:vAlign w:val="bottom"/>
          </w:tcPr>
          <w:p w:rsidR="00223FA3" w:rsidRPr="000E6EB5" w:rsidRDefault="00223FA3" w:rsidP="000E6EB5">
            <w:pPr>
              <w:autoSpaceDE w:val="0"/>
              <w:autoSpaceDN w:val="0"/>
              <w:adjustRightInd w:val="0"/>
              <w:jc w:val="center"/>
              <w:rPr>
                <w:rFonts w:ascii="Arial" w:hAnsi="Arial"/>
                <w:sz w:val="20"/>
                <w:lang w:val="en-GB" w:eastAsia="en-GB"/>
              </w:rPr>
            </w:pPr>
            <w:r w:rsidRPr="000E6EB5">
              <w:rPr>
                <w:rFonts w:ascii="Arial" w:hAnsi="Arial"/>
                <w:sz w:val="20"/>
                <w:lang w:val="en-GB" w:eastAsia="en-GB"/>
              </w:rPr>
              <w:t>(0.39, 1.05)</w:t>
            </w:r>
          </w:p>
        </w:tc>
      </w:tr>
    </w:tbl>
    <w:p w:rsidR="000E6EB5" w:rsidRPr="000E6EB5" w:rsidRDefault="000E6EB5" w:rsidP="00D538FA">
      <w:pPr>
        <w:autoSpaceDE w:val="0"/>
        <w:autoSpaceDN w:val="0"/>
        <w:adjustRightInd w:val="0"/>
        <w:spacing w:before="40"/>
        <w:rPr>
          <w:rFonts w:ascii="Arial" w:hAnsi="Arial"/>
          <w:sz w:val="20"/>
          <w:lang w:val="en-GB" w:eastAsia="en-GB"/>
        </w:rPr>
      </w:pPr>
      <w:r w:rsidRPr="000E6EB5">
        <w:rPr>
          <w:rFonts w:ascii="Arial" w:hAnsi="Arial"/>
          <w:sz w:val="20"/>
          <w:vertAlign w:val="superscript"/>
          <w:lang w:val="en-GB" w:eastAsia="en-GB"/>
        </w:rPr>
        <w:t>1</w:t>
      </w:r>
      <w:r w:rsidRPr="000E6EB5">
        <w:rPr>
          <w:rFonts w:ascii="Arial" w:hAnsi="Arial"/>
          <w:sz w:val="20"/>
          <w:lang w:val="en-GB" w:eastAsia="en-GB"/>
        </w:rPr>
        <w:t xml:space="preserve"> Based on data collected up to 372 days (52 weeks + 7 day margin).</w:t>
      </w:r>
      <w:r w:rsidRPr="000E6EB5">
        <w:rPr>
          <w:rFonts w:ascii="Arial" w:hAnsi="Arial"/>
          <w:sz w:val="20"/>
          <w:lang w:val="en-GB" w:eastAsia="en-GB"/>
        </w:rPr>
        <w:br/>
      </w:r>
      <w:r w:rsidRPr="000E6EB5">
        <w:rPr>
          <w:rFonts w:ascii="Arial" w:hAnsi="Arial"/>
          <w:sz w:val="20"/>
          <w:vertAlign w:val="superscript"/>
          <w:lang w:val="en-GB" w:eastAsia="en-GB"/>
        </w:rPr>
        <w:t>2</w:t>
      </w:r>
      <w:r w:rsidRPr="000E6EB5">
        <w:rPr>
          <w:rFonts w:ascii="Arial" w:hAnsi="Arial"/>
          <w:sz w:val="20"/>
          <w:lang w:val="en-GB" w:eastAsia="en-GB"/>
        </w:rPr>
        <w:t xml:space="preserve"> Based on a Log-rank test.</w:t>
      </w:r>
      <w:r w:rsidRPr="000E6EB5">
        <w:rPr>
          <w:rFonts w:ascii="Arial" w:hAnsi="Arial"/>
          <w:sz w:val="20"/>
          <w:lang w:val="en-GB" w:eastAsia="en-GB"/>
        </w:rPr>
        <w:br/>
      </w:r>
      <w:r w:rsidRPr="000E6EB5">
        <w:rPr>
          <w:rFonts w:ascii="Arial" w:hAnsi="Arial"/>
          <w:sz w:val="20"/>
          <w:vertAlign w:val="superscript"/>
          <w:lang w:val="en-GB" w:eastAsia="en-GB"/>
        </w:rPr>
        <w:t>3</w:t>
      </w:r>
      <w:r w:rsidRPr="000E6EB5">
        <w:rPr>
          <w:rFonts w:ascii="Arial" w:hAnsi="Arial"/>
          <w:sz w:val="20"/>
          <w:lang w:val="en-GB" w:eastAsia="en-GB"/>
        </w:rPr>
        <w:t xml:space="preserve"> Based on a Cox’s regression model </w:t>
      </w:r>
    </w:p>
    <w:p w:rsidR="000E6EB5" w:rsidRPr="00C3419E" w:rsidRDefault="000E6EB5" w:rsidP="000E6EB5">
      <w:pPr>
        <w:autoSpaceDE w:val="0"/>
        <w:autoSpaceDN w:val="0"/>
        <w:adjustRightInd w:val="0"/>
        <w:rPr>
          <w:rFonts w:ascii="Arial" w:hAnsi="Arial"/>
          <w:sz w:val="22"/>
          <w:szCs w:val="22"/>
          <w:lang w:val="en-GB" w:eastAsia="en-GB"/>
        </w:rPr>
      </w:pPr>
    </w:p>
    <w:p w:rsidR="00223FA3" w:rsidRDefault="000E6EB5" w:rsidP="006907DA">
      <w:pPr>
        <w:autoSpaceDE w:val="0"/>
        <w:autoSpaceDN w:val="0"/>
        <w:adjustRightInd w:val="0"/>
        <w:jc w:val="both"/>
        <w:rPr>
          <w:rFonts w:ascii="Arial" w:hAnsi="Arial"/>
          <w:sz w:val="22"/>
          <w:szCs w:val="22"/>
          <w:lang w:val="en-GB" w:eastAsia="en-GB"/>
        </w:rPr>
      </w:pPr>
      <w:r w:rsidRPr="00C3419E">
        <w:rPr>
          <w:rFonts w:ascii="Arial" w:hAnsi="Arial"/>
          <w:sz w:val="22"/>
          <w:szCs w:val="22"/>
          <w:lang w:val="en-GB" w:eastAsia="en-GB"/>
        </w:rPr>
        <w:t xml:space="preserve">All adverse events of acute IPF exacerbation reported by the investigator were adjudicated by a blinded adjudication committee. A pre-specified sensitivity analysis of the time to first </w:t>
      </w:r>
      <w:r w:rsidR="00D415E4">
        <w:rPr>
          <w:rFonts w:ascii="Arial" w:hAnsi="Arial"/>
          <w:sz w:val="22"/>
          <w:szCs w:val="22"/>
          <w:lang w:val="en-GB" w:eastAsia="en-GB"/>
        </w:rPr>
        <w:t xml:space="preserve">‘confirmed’ or </w:t>
      </w:r>
      <w:r w:rsidRPr="00C3419E">
        <w:rPr>
          <w:rFonts w:ascii="Arial" w:hAnsi="Arial"/>
          <w:sz w:val="22"/>
          <w:szCs w:val="22"/>
          <w:lang w:val="en-GB" w:eastAsia="en-GB"/>
        </w:rPr>
        <w:t>'suspected' adjudicated acute IPF exacerbation was performed on the pooled data. The frequency of patients with at least 1 adjudicated exacerbation occurring within 52 weeks was lower in the nintedanib group (1.9% of patients) than in the placebo group (5.7% of patients). Time to event analysis of the adjudicated exacerbation events using pooled data yielded an HR of 0.32 (95% CI 0.16, 0.65; p = 0.0010).This indicates that the risk of having a first acute IPF exacerbation was statistically significantly lower in the nintedanib group than in the placebo group at any time point.</w:t>
      </w:r>
    </w:p>
    <w:p w:rsidR="006907DA" w:rsidRDefault="006907DA" w:rsidP="006907DA">
      <w:pPr>
        <w:autoSpaceDE w:val="0"/>
        <w:autoSpaceDN w:val="0"/>
        <w:adjustRightInd w:val="0"/>
        <w:rPr>
          <w:rFonts w:ascii="Arial" w:hAnsi="Arial"/>
          <w:sz w:val="22"/>
          <w:szCs w:val="22"/>
          <w:lang w:val="en-GB" w:eastAsia="en-GB"/>
        </w:rPr>
      </w:pPr>
    </w:p>
    <w:p w:rsidR="006907DA" w:rsidRPr="006907DA" w:rsidRDefault="006907DA" w:rsidP="00D538FA">
      <w:pPr>
        <w:autoSpaceDE w:val="0"/>
        <w:autoSpaceDN w:val="0"/>
        <w:adjustRightInd w:val="0"/>
        <w:spacing w:after="80"/>
        <w:jc w:val="both"/>
        <w:rPr>
          <w:rFonts w:ascii="Arial" w:hAnsi="Arial"/>
          <w:sz w:val="22"/>
          <w:szCs w:val="22"/>
          <w:u w:val="single"/>
          <w:lang w:val="en-GB" w:eastAsia="en-GB"/>
        </w:rPr>
      </w:pPr>
      <w:r w:rsidRPr="006907DA">
        <w:rPr>
          <w:rFonts w:ascii="Arial" w:hAnsi="Arial"/>
          <w:sz w:val="22"/>
          <w:szCs w:val="22"/>
          <w:u w:val="single"/>
          <w:lang w:val="en-GB" w:eastAsia="en-GB"/>
        </w:rPr>
        <w:t>Survival analysis</w:t>
      </w:r>
    </w:p>
    <w:p w:rsidR="006907DA" w:rsidRDefault="00EE2D53" w:rsidP="006907DA">
      <w:pPr>
        <w:autoSpaceDE w:val="0"/>
        <w:autoSpaceDN w:val="0"/>
        <w:adjustRightInd w:val="0"/>
        <w:jc w:val="both"/>
        <w:rPr>
          <w:rFonts w:ascii="Arial" w:hAnsi="Arial"/>
          <w:sz w:val="22"/>
          <w:szCs w:val="22"/>
          <w:lang w:val="en-GB" w:eastAsia="en-GB"/>
        </w:rPr>
      </w:pPr>
      <w:r w:rsidRPr="00EE2D53">
        <w:rPr>
          <w:rFonts w:ascii="Arial" w:hAnsi="Arial"/>
          <w:sz w:val="22"/>
          <w:szCs w:val="22"/>
          <w:lang w:val="en-GB" w:eastAsia="en-GB"/>
        </w:rPr>
        <w:t>The INPULSIS trials were not statistically powered for overall mortality. In a pre-specified pooled analysis, overall mortality over 52 weeks was numerically lower in the nintedanib group (5.5%) compared with the placebo group (7.8%). The difference did not reach statistical significance</w:t>
      </w:r>
      <w:r>
        <w:rPr>
          <w:rFonts w:ascii="Arial" w:hAnsi="Arial"/>
          <w:sz w:val="22"/>
          <w:szCs w:val="22"/>
          <w:lang w:val="en-GB" w:eastAsia="en-GB"/>
        </w:rPr>
        <w:t>.</w:t>
      </w:r>
      <w:r w:rsidR="006907DA" w:rsidRPr="00C3419E">
        <w:rPr>
          <w:rFonts w:ascii="Arial" w:hAnsi="Arial"/>
          <w:sz w:val="22"/>
          <w:szCs w:val="22"/>
          <w:lang w:val="en-GB" w:eastAsia="en-GB"/>
        </w:rPr>
        <w:t xml:space="preserve"> The analysis of time to death resulted in a HR of 0.70 (95% CI 0.43, 1.12; p = 0.1399). The results of all survival endpoints (such as on-treatment mortality and respiratory mortality) showed a consistent numerical difference in favour of nintedanib.</w:t>
      </w:r>
    </w:p>
    <w:p w:rsidR="006907DA" w:rsidRDefault="006907DA" w:rsidP="006907DA">
      <w:pPr>
        <w:autoSpaceDE w:val="0"/>
        <w:autoSpaceDN w:val="0"/>
        <w:adjustRightInd w:val="0"/>
        <w:jc w:val="both"/>
        <w:rPr>
          <w:rFonts w:ascii="Arial" w:hAnsi="Arial"/>
          <w:sz w:val="22"/>
          <w:szCs w:val="22"/>
          <w:lang w:val="en-GB" w:eastAsia="en-GB"/>
        </w:rPr>
      </w:pPr>
    </w:p>
    <w:p w:rsidR="006907DA" w:rsidRPr="006907DA" w:rsidRDefault="006907DA" w:rsidP="004431AB">
      <w:pPr>
        <w:autoSpaceDE w:val="0"/>
        <w:autoSpaceDN w:val="0"/>
        <w:adjustRightInd w:val="0"/>
        <w:spacing w:after="120"/>
        <w:jc w:val="both"/>
        <w:rPr>
          <w:rFonts w:ascii="Arial" w:hAnsi="Arial"/>
          <w:sz w:val="22"/>
          <w:szCs w:val="22"/>
          <w:u w:val="single"/>
          <w:lang w:val="en-GB" w:eastAsia="en-GB"/>
        </w:rPr>
      </w:pPr>
      <w:r w:rsidRPr="006907DA">
        <w:rPr>
          <w:rFonts w:ascii="Arial" w:hAnsi="Arial"/>
          <w:sz w:val="22"/>
          <w:szCs w:val="22"/>
          <w:u w:val="single"/>
          <w:lang w:val="en-GB" w:eastAsia="en-GB"/>
        </w:rPr>
        <w:t xml:space="preserve">Supportive evidence from the phase II trial (1199.30) </w:t>
      </w:r>
      <w:r w:rsidR="007501C4">
        <w:rPr>
          <w:rFonts w:ascii="Arial" w:hAnsi="Arial"/>
          <w:sz w:val="22"/>
          <w:szCs w:val="22"/>
          <w:u w:val="single"/>
          <w:lang w:val="en-GB" w:eastAsia="en-GB"/>
        </w:rPr>
        <w:t>VARGATEF</w:t>
      </w:r>
      <w:r w:rsidRPr="006907DA">
        <w:rPr>
          <w:rFonts w:ascii="Arial" w:hAnsi="Arial"/>
          <w:sz w:val="22"/>
          <w:szCs w:val="22"/>
          <w:u w:val="single"/>
          <w:lang w:val="en-GB" w:eastAsia="en-GB"/>
        </w:rPr>
        <w:t xml:space="preserve"> 150 mg twice daily results:</w:t>
      </w:r>
    </w:p>
    <w:p w:rsidR="006907DA" w:rsidRDefault="006907DA" w:rsidP="006907DA">
      <w:pPr>
        <w:autoSpaceDE w:val="0"/>
        <w:autoSpaceDN w:val="0"/>
        <w:adjustRightInd w:val="0"/>
        <w:jc w:val="both"/>
        <w:rPr>
          <w:rFonts w:ascii="Arial" w:hAnsi="Arial"/>
          <w:sz w:val="22"/>
          <w:szCs w:val="22"/>
          <w:lang w:val="en-GB" w:eastAsia="en-GB"/>
        </w:rPr>
      </w:pPr>
      <w:r w:rsidRPr="00C3419E">
        <w:rPr>
          <w:rFonts w:ascii="Arial" w:hAnsi="Arial"/>
          <w:sz w:val="22"/>
          <w:szCs w:val="22"/>
          <w:lang w:val="en-GB" w:eastAsia="en-GB"/>
        </w:rPr>
        <w:t xml:space="preserve">Additional evidence of efficacy is provided by the randomised, double-blind, placebo-controlled, dose finding phase II trial including a nintedanib 150 mg bid dose group. </w:t>
      </w:r>
    </w:p>
    <w:p w:rsidR="006907DA" w:rsidRPr="00C3419E" w:rsidRDefault="006907DA" w:rsidP="006907DA">
      <w:pPr>
        <w:autoSpaceDE w:val="0"/>
        <w:autoSpaceDN w:val="0"/>
        <w:adjustRightInd w:val="0"/>
        <w:jc w:val="both"/>
        <w:rPr>
          <w:rFonts w:ascii="Arial" w:hAnsi="Arial"/>
          <w:sz w:val="22"/>
          <w:szCs w:val="22"/>
          <w:lang w:val="en-GB" w:eastAsia="en-GB"/>
        </w:rPr>
      </w:pPr>
    </w:p>
    <w:p w:rsidR="006907DA" w:rsidRPr="00C3419E" w:rsidRDefault="006907DA" w:rsidP="006907DA">
      <w:pPr>
        <w:autoSpaceDE w:val="0"/>
        <w:autoSpaceDN w:val="0"/>
        <w:adjustRightInd w:val="0"/>
        <w:jc w:val="both"/>
        <w:rPr>
          <w:rFonts w:ascii="Arial" w:hAnsi="Arial"/>
          <w:sz w:val="22"/>
          <w:szCs w:val="22"/>
          <w:lang w:val="en-GB" w:eastAsia="en-GB"/>
        </w:rPr>
      </w:pPr>
      <w:r w:rsidRPr="00C3419E">
        <w:rPr>
          <w:rFonts w:ascii="Arial" w:hAnsi="Arial"/>
          <w:sz w:val="22"/>
          <w:szCs w:val="22"/>
          <w:lang w:val="en-GB" w:eastAsia="en-GB"/>
        </w:rPr>
        <w:t xml:space="preserve">The primary endpoint, rate of decline in FVC over 52 weeks was lower in the nintedanib arm (-0.060 L/year, N=84) than the placebo arm (-0.190 L/year, N=83). The estimated difference between the treatment groups was 0.131 L/year (95% CI 0.027, 0.235). </w:t>
      </w:r>
      <w:r w:rsidR="00BF2BDC" w:rsidRPr="00BF2BDC">
        <w:rPr>
          <w:rFonts w:ascii="Arial" w:hAnsi="Arial"/>
          <w:sz w:val="22"/>
          <w:szCs w:val="22"/>
          <w:lang w:val="en-GB" w:eastAsia="en-GB"/>
        </w:rPr>
        <w:t xml:space="preserve">Although the </w:t>
      </w:r>
      <w:r w:rsidR="00BF2BDC" w:rsidRPr="00BF2BDC">
        <w:rPr>
          <w:rFonts w:ascii="Arial" w:hAnsi="Arial"/>
          <w:sz w:val="22"/>
          <w:szCs w:val="22"/>
          <w:lang w:val="en-GB" w:eastAsia="en-GB"/>
        </w:rPr>
        <w:lastRenderedPageBreak/>
        <w:t>difference between the treatments was not significant according to the primary analysis, it reached statistical significance (p=0.0136) using a pre-specified sensitivity analysis</w:t>
      </w:r>
      <w:r w:rsidR="00BF2BDC">
        <w:rPr>
          <w:rFonts w:ascii="Arial" w:hAnsi="Arial"/>
          <w:sz w:val="22"/>
          <w:szCs w:val="22"/>
          <w:lang w:val="en-GB" w:eastAsia="en-GB"/>
        </w:rPr>
        <w:t>.</w:t>
      </w:r>
    </w:p>
    <w:p w:rsidR="006907DA" w:rsidRDefault="006907DA" w:rsidP="006907DA">
      <w:pPr>
        <w:autoSpaceDE w:val="0"/>
        <w:autoSpaceDN w:val="0"/>
        <w:adjustRightInd w:val="0"/>
        <w:jc w:val="both"/>
        <w:rPr>
          <w:rFonts w:ascii="Arial" w:hAnsi="Arial"/>
          <w:sz w:val="22"/>
          <w:szCs w:val="22"/>
          <w:lang w:val="en-GB" w:eastAsia="en-GB"/>
        </w:rPr>
      </w:pPr>
    </w:p>
    <w:p w:rsidR="006907DA" w:rsidRDefault="006907DA" w:rsidP="006907DA">
      <w:pPr>
        <w:autoSpaceDE w:val="0"/>
        <w:autoSpaceDN w:val="0"/>
        <w:adjustRightInd w:val="0"/>
        <w:jc w:val="both"/>
        <w:rPr>
          <w:rFonts w:ascii="Arial" w:hAnsi="Arial"/>
          <w:sz w:val="22"/>
          <w:szCs w:val="22"/>
          <w:lang w:val="en-GB" w:eastAsia="en-GB"/>
        </w:rPr>
      </w:pPr>
      <w:r w:rsidRPr="00C3419E">
        <w:rPr>
          <w:rFonts w:ascii="Arial" w:hAnsi="Arial"/>
          <w:sz w:val="22"/>
          <w:szCs w:val="22"/>
          <w:lang w:val="en-GB" w:eastAsia="en-GB"/>
        </w:rPr>
        <w:t xml:space="preserve">The estimated mean change from baseline in SGRQ total score at 52 weeks was 5.46 for placebo, indicating worsening of the health-related quality of life and -0.66 for nintedanib, indicating stable health-related quality of life. The estimated mean difference for nintedanib compared with placebo was -6.12 (95% CI: -10.57, -1.67; p = 0.0071). </w:t>
      </w:r>
    </w:p>
    <w:p w:rsidR="006907DA" w:rsidRPr="00C3419E" w:rsidRDefault="006907DA" w:rsidP="006907DA">
      <w:pPr>
        <w:autoSpaceDE w:val="0"/>
        <w:autoSpaceDN w:val="0"/>
        <w:adjustRightInd w:val="0"/>
        <w:jc w:val="both"/>
        <w:rPr>
          <w:rFonts w:ascii="Arial" w:hAnsi="Arial"/>
          <w:sz w:val="22"/>
          <w:szCs w:val="22"/>
          <w:lang w:val="en-GB" w:eastAsia="en-GB"/>
        </w:rPr>
      </w:pPr>
    </w:p>
    <w:p w:rsidR="006907DA" w:rsidRPr="00C3419E" w:rsidRDefault="006907DA" w:rsidP="006907DA">
      <w:pPr>
        <w:autoSpaceDE w:val="0"/>
        <w:autoSpaceDN w:val="0"/>
        <w:adjustRightInd w:val="0"/>
        <w:jc w:val="both"/>
        <w:rPr>
          <w:rFonts w:ascii="Arial" w:hAnsi="Arial"/>
          <w:sz w:val="22"/>
          <w:szCs w:val="22"/>
          <w:lang w:val="en-GB" w:eastAsia="en-GB"/>
        </w:rPr>
      </w:pPr>
      <w:r w:rsidRPr="00C3419E">
        <w:rPr>
          <w:rFonts w:ascii="Arial" w:hAnsi="Arial"/>
          <w:sz w:val="22"/>
          <w:szCs w:val="22"/>
          <w:lang w:val="en-GB" w:eastAsia="en-GB"/>
        </w:rPr>
        <w:t>The number of patients with acute IPF exacerbations over 52 weeks was lower in the nintedanib group (2.3%, N=86) compared to placebo (13.8%, N=87). The estimated hazard ratio of nintedanib versus placebo was 0.16 (95% CI 0.04, 0.71; p = 0.0054).</w:t>
      </w:r>
    </w:p>
    <w:p w:rsidR="001F368B" w:rsidRPr="001F368B" w:rsidRDefault="001F368B" w:rsidP="00050E10">
      <w:pPr>
        <w:pStyle w:val="PIHeading3"/>
        <w:rPr>
          <w:lang w:val="en-US" w:eastAsia="de-DE"/>
        </w:rPr>
      </w:pPr>
      <w:r w:rsidRPr="001F368B">
        <w:rPr>
          <w:lang w:val="en-US" w:eastAsia="de-DE"/>
        </w:rPr>
        <w:t>QT interval</w:t>
      </w:r>
    </w:p>
    <w:p w:rsidR="000A341D" w:rsidRPr="001F368B" w:rsidRDefault="001F368B" w:rsidP="00050E10">
      <w:pPr>
        <w:pStyle w:val="TextPI"/>
        <w:rPr>
          <w:lang w:val="en-GB"/>
        </w:rPr>
      </w:pPr>
      <w:r w:rsidRPr="001F368B">
        <w:rPr>
          <w:lang w:val="en-GB" w:eastAsia="de-DE"/>
        </w:rPr>
        <w:t>In a dedicated study in renal cell cancer patients, QT/QTc measurements were recorded</w:t>
      </w:r>
      <w:r w:rsidRPr="001F368B">
        <w:rPr>
          <w:lang w:val="en-GB"/>
        </w:rPr>
        <w:t xml:space="preserve"> and showed that a single oral dose of 200 mg nintedanib as well as multiple oral doses of 200</w:t>
      </w:r>
      <w:r w:rsidR="00622F9F">
        <w:rPr>
          <w:lang w:val="en-GB"/>
        </w:rPr>
        <w:t> </w:t>
      </w:r>
      <w:r w:rsidRPr="001F368B">
        <w:rPr>
          <w:lang w:val="en-GB"/>
        </w:rPr>
        <w:t xml:space="preserve">mg nintedanib administered twice daily for 15 days did not prolong the QTcF interval. </w:t>
      </w:r>
    </w:p>
    <w:p w:rsidR="001F368B" w:rsidRPr="001F368B" w:rsidRDefault="001F368B" w:rsidP="00050E10">
      <w:pPr>
        <w:pStyle w:val="PIHeading3"/>
        <w:rPr>
          <w:lang w:val="en-US" w:eastAsia="de-DE"/>
        </w:rPr>
      </w:pPr>
      <w:r w:rsidRPr="001F368B">
        <w:rPr>
          <w:lang w:val="en-US" w:eastAsia="de-DE"/>
        </w:rPr>
        <w:t>Paediatric studies</w:t>
      </w:r>
    </w:p>
    <w:p w:rsidR="001F368B" w:rsidRPr="001F368B" w:rsidRDefault="001F368B" w:rsidP="00050E10">
      <w:pPr>
        <w:pStyle w:val="TextPI"/>
        <w:rPr>
          <w:lang w:val="en-GB" w:eastAsia="de-DE"/>
        </w:rPr>
      </w:pPr>
      <w:r w:rsidRPr="001F368B">
        <w:rPr>
          <w:lang w:val="en-GB" w:eastAsia="de-DE"/>
        </w:rPr>
        <w:t>No clinical trials have been conducted in children and adolescents.</w:t>
      </w:r>
    </w:p>
    <w:p w:rsidR="00014579" w:rsidRPr="0042370A" w:rsidRDefault="00014579" w:rsidP="001A7050">
      <w:pPr>
        <w:pStyle w:val="PIHeading1"/>
      </w:pPr>
      <w:r w:rsidRPr="0042370A">
        <w:t>INDICATIONS</w:t>
      </w:r>
    </w:p>
    <w:p w:rsidR="00301B0F" w:rsidRDefault="007501C4" w:rsidP="00D952B5">
      <w:pPr>
        <w:pStyle w:val="TextPI"/>
      </w:pPr>
      <w:r>
        <w:t>VARGATEF</w:t>
      </w:r>
      <w:r w:rsidR="00910460" w:rsidRPr="00D952B5">
        <w:t xml:space="preserve"> </w:t>
      </w:r>
      <w:r w:rsidR="00CD3D09" w:rsidRPr="00D952B5">
        <w:t xml:space="preserve">is indicated in combination with docetaxel for the treatment of patients with locally advanced, metastatic or recurrent non-small cell lung cancer (NSCLC) of adenocarcinoma tumour histology after </w:t>
      </w:r>
      <w:r w:rsidR="00D415E4">
        <w:t xml:space="preserve">failure of </w:t>
      </w:r>
      <w:r w:rsidR="00CD3D09" w:rsidRPr="00D952B5">
        <w:t>first line chemotherapy.</w:t>
      </w:r>
    </w:p>
    <w:p w:rsidR="008D763A" w:rsidRPr="00D952B5" w:rsidRDefault="007501C4" w:rsidP="00D952B5">
      <w:pPr>
        <w:pStyle w:val="TextPI"/>
      </w:pPr>
      <w:r>
        <w:t>VARGATEF</w:t>
      </w:r>
      <w:r w:rsidR="008D763A" w:rsidRPr="008D763A">
        <w:t xml:space="preserve"> is</w:t>
      </w:r>
      <w:r w:rsidR="005F3246">
        <w:t xml:space="preserve"> also</w:t>
      </w:r>
      <w:r w:rsidR="008D763A" w:rsidRPr="008D763A">
        <w:t xml:space="preserve"> indicated for the treatment of Idiopathic Pulmonary Fibrosis (IPF).</w:t>
      </w:r>
    </w:p>
    <w:p w:rsidR="00014579" w:rsidRPr="00CF07F6" w:rsidRDefault="00014579" w:rsidP="00CF07F6">
      <w:pPr>
        <w:pStyle w:val="PIHeading1"/>
      </w:pPr>
      <w:r w:rsidRPr="00CF07F6">
        <w:t>CONTRAINDICATIONS</w:t>
      </w:r>
    </w:p>
    <w:p w:rsidR="00913BD8" w:rsidRPr="008A1997" w:rsidRDefault="007501C4" w:rsidP="00CF07F6">
      <w:pPr>
        <w:pStyle w:val="TextPI"/>
        <w:rPr>
          <w:lang w:val="en-GB" w:eastAsia="de-DE"/>
        </w:rPr>
      </w:pPr>
      <w:r>
        <w:rPr>
          <w:bCs/>
          <w:iCs/>
          <w:lang w:val="en-GB" w:eastAsia="de-DE"/>
        </w:rPr>
        <w:t>VARGATEF</w:t>
      </w:r>
      <w:r w:rsidR="00913BD8" w:rsidRPr="00913BD8">
        <w:rPr>
          <w:b/>
          <w:i/>
          <w:iCs/>
          <w:szCs w:val="24"/>
          <w:lang w:val="en-GB" w:eastAsia="de-DE"/>
        </w:rPr>
        <w:t xml:space="preserve"> </w:t>
      </w:r>
      <w:r w:rsidR="00913BD8" w:rsidRPr="008A1997">
        <w:rPr>
          <w:lang w:val="en-GB" w:eastAsia="de-DE"/>
        </w:rPr>
        <w:t>is contraindicated in patients with known hypersensitivity to</w:t>
      </w:r>
      <w:r w:rsidR="00913BD8" w:rsidRPr="008A1997">
        <w:rPr>
          <w:i/>
          <w:lang w:val="en-GB" w:eastAsia="de-DE"/>
        </w:rPr>
        <w:t xml:space="preserve"> </w:t>
      </w:r>
      <w:r w:rsidR="00913BD8" w:rsidRPr="008A1997">
        <w:rPr>
          <w:lang w:val="en-GB" w:eastAsia="de-DE"/>
        </w:rPr>
        <w:t>nintedanib</w:t>
      </w:r>
      <w:r w:rsidR="008D763A">
        <w:rPr>
          <w:lang w:val="en-GB" w:eastAsia="de-DE"/>
        </w:rPr>
        <w:t>, peanut or soya,</w:t>
      </w:r>
      <w:r w:rsidR="00913BD8" w:rsidRPr="008A1997">
        <w:rPr>
          <w:b/>
          <w:bCs/>
          <w:iCs/>
          <w:lang w:val="en-GB" w:eastAsia="de-DE"/>
        </w:rPr>
        <w:t xml:space="preserve"> </w:t>
      </w:r>
      <w:r w:rsidR="00913BD8" w:rsidRPr="008A1997">
        <w:rPr>
          <w:lang w:val="en-GB" w:eastAsia="de-DE"/>
        </w:rPr>
        <w:t xml:space="preserve">or </w:t>
      </w:r>
      <w:r w:rsidR="000B42F4">
        <w:rPr>
          <w:lang w:val="en-GB" w:eastAsia="de-DE"/>
        </w:rPr>
        <w:t xml:space="preserve">to </w:t>
      </w:r>
      <w:r w:rsidR="00913BD8" w:rsidRPr="008A1997">
        <w:rPr>
          <w:lang w:val="en-GB" w:eastAsia="de-DE"/>
        </w:rPr>
        <w:t>any of the excipients.</w:t>
      </w:r>
    </w:p>
    <w:p w:rsidR="00AD64F7" w:rsidRPr="008A1997" w:rsidRDefault="007501C4" w:rsidP="00AD64F7">
      <w:pPr>
        <w:pStyle w:val="TextPI"/>
        <w:rPr>
          <w:noProof/>
          <w:lang w:val="en-GB" w:eastAsia="de-DE"/>
        </w:rPr>
      </w:pPr>
      <w:r>
        <w:rPr>
          <w:bCs/>
          <w:iCs/>
          <w:lang w:val="en-GB" w:eastAsia="de-DE"/>
        </w:rPr>
        <w:t>VARGATEF</w:t>
      </w:r>
      <w:r w:rsidR="00913BD8" w:rsidRPr="008A1997">
        <w:rPr>
          <w:b/>
          <w:i/>
          <w:iCs/>
          <w:vertAlign w:val="superscript"/>
          <w:lang w:val="en-GB" w:eastAsia="de-DE"/>
        </w:rPr>
        <w:t xml:space="preserve"> </w:t>
      </w:r>
      <w:r w:rsidR="00913BD8" w:rsidRPr="008A1997">
        <w:rPr>
          <w:lang w:val="en-GB" w:eastAsia="de-DE"/>
        </w:rPr>
        <w:t>is contraindicated during pregnancy.</w:t>
      </w:r>
    </w:p>
    <w:p w:rsidR="00913BD8" w:rsidRPr="008A1997" w:rsidRDefault="008D763A" w:rsidP="00CF07F6">
      <w:pPr>
        <w:pStyle w:val="TextPI"/>
        <w:rPr>
          <w:lang w:val="en-GB" w:eastAsia="de-DE"/>
        </w:rPr>
      </w:pPr>
      <w:r w:rsidRPr="004B3131">
        <w:rPr>
          <w:i/>
          <w:iCs/>
          <w:noProof/>
          <w:lang w:val="en-GB" w:eastAsia="de-DE"/>
        </w:rPr>
        <w:t>NSCLC</w:t>
      </w:r>
      <w:r>
        <w:rPr>
          <w:noProof/>
          <w:lang w:val="en-GB" w:eastAsia="de-DE"/>
        </w:rPr>
        <w:t xml:space="preserve">: </w:t>
      </w:r>
      <w:r w:rsidR="00AD64F7" w:rsidRPr="008A1997">
        <w:rPr>
          <w:noProof/>
          <w:lang w:val="en-GB" w:eastAsia="de-DE"/>
        </w:rPr>
        <w:t xml:space="preserve">For contraindications </w:t>
      </w:r>
      <w:r w:rsidR="00AD64F7">
        <w:rPr>
          <w:noProof/>
          <w:lang w:val="en-GB" w:eastAsia="de-DE"/>
        </w:rPr>
        <w:t>related to</w:t>
      </w:r>
      <w:r w:rsidR="00AD64F7" w:rsidRPr="008A1997">
        <w:rPr>
          <w:noProof/>
          <w:lang w:val="en-GB" w:eastAsia="de-DE"/>
        </w:rPr>
        <w:t xml:space="preserve"> docetaxel please refer to the corresponding product information for docetaxel.</w:t>
      </w:r>
    </w:p>
    <w:p w:rsidR="00014579" w:rsidRDefault="00014579" w:rsidP="00CF07F6">
      <w:pPr>
        <w:pStyle w:val="PIHeading1"/>
      </w:pPr>
      <w:r w:rsidRPr="00CF07F6">
        <w:t>PRECAUTIONS</w:t>
      </w:r>
    </w:p>
    <w:p w:rsidR="00910460" w:rsidRPr="00910460" w:rsidRDefault="00042BA6" w:rsidP="00FB52D3">
      <w:pPr>
        <w:pStyle w:val="PIheading2"/>
      </w:pPr>
      <w:r>
        <w:t>Gastrointestinal disorders</w:t>
      </w:r>
    </w:p>
    <w:p w:rsidR="00CF07F6" w:rsidRDefault="00042BA6" w:rsidP="00CF07F6">
      <w:pPr>
        <w:pStyle w:val="PIHeading3"/>
        <w:rPr>
          <w:rFonts w:eastAsia="MS Mincho"/>
          <w:lang w:val="en-GB" w:eastAsia="ja-JP"/>
        </w:rPr>
      </w:pPr>
      <w:r w:rsidRPr="00042BA6">
        <w:rPr>
          <w:rFonts w:eastAsia="MS Mincho"/>
          <w:lang w:val="en-GB" w:eastAsia="ja-JP"/>
        </w:rPr>
        <w:t>Diarrhoea</w:t>
      </w:r>
    </w:p>
    <w:p w:rsidR="006907DA" w:rsidRDefault="004B6F4C" w:rsidP="00CF07F6">
      <w:pPr>
        <w:pStyle w:val="TextPI"/>
        <w:rPr>
          <w:rFonts w:eastAsia="MS Mincho"/>
        </w:rPr>
      </w:pPr>
      <w:r w:rsidRPr="004B3131">
        <w:rPr>
          <w:rFonts w:eastAsia="MS Mincho"/>
          <w:i/>
          <w:iCs/>
        </w:rPr>
        <w:t>NSCLC</w:t>
      </w:r>
      <w:r>
        <w:rPr>
          <w:rFonts w:eastAsia="MS Mincho"/>
        </w:rPr>
        <w:t xml:space="preserve">: </w:t>
      </w:r>
    </w:p>
    <w:p w:rsidR="00042BA6" w:rsidRDefault="00042BA6" w:rsidP="00CF07F6">
      <w:pPr>
        <w:pStyle w:val="TextPI"/>
        <w:rPr>
          <w:rFonts w:eastAsia="MS Mincho"/>
        </w:rPr>
      </w:pPr>
      <w:r w:rsidRPr="009B63D1">
        <w:rPr>
          <w:rFonts w:eastAsia="MS Mincho"/>
        </w:rPr>
        <w:t>Diarrhoea was the most frequently reported g</w:t>
      </w:r>
      <w:r w:rsidR="00F56CCD">
        <w:rPr>
          <w:rFonts w:eastAsia="MS Mincho"/>
        </w:rPr>
        <w:t>astro</w:t>
      </w:r>
      <w:r w:rsidRPr="009B63D1">
        <w:rPr>
          <w:rFonts w:eastAsia="MS Mincho"/>
        </w:rPr>
        <w:t>intestinal event (see ADVERSE</w:t>
      </w:r>
      <w:r>
        <w:rPr>
          <w:rFonts w:eastAsia="MS Mincho"/>
          <w:b/>
          <w:bCs/>
          <w:lang w:val="en-GB" w:eastAsia="ja-JP"/>
        </w:rPr>
        <w:t xml:space="preserve"> </w:t>
      </w:r>
      <w:r w:rsidRPr="009B63D1">
        <w:rPr>
          <w:rFonts w:eastAsia="MS Mincho"/>
        </w:rPr>
        <w:t>EFFECTS).  In the clinical trial LUME-Lung 1 (see CLINICAL TRIALS), the majority of patients had mild to moderate diarrhoea.  6.3% of the patients had diarrhoea of grade ≥</w:t>
      </w:r>
      <w:r w:rsidR="002B2869">
        <w:rPr>
          <w:rFonts w:eastAsia="MS Mincho"/>
        </w:rPr>
        <w:t xml:space="preserve"> </w:t>
      </w:r>
      <w:r w:rsidRPr="009B63D1">
        <w:rPr>
          <w:rFonts w:eastAsia="MS Mincho"/>
        </w:rPr>
        <w:t xml:space="preserve">3 in combination treatment </w:t>
      </w:r>
      <w:r w:rsidR="00232A64" w:rsidRPr="009B63D1">
        <w:rPr>
          <w:rFonts w:eastAsia="MS Mincho"/>
        </w:rPr>
        <w:t>compared to 3.6</w:t>
      </w:r>
      <w:r w:rsidRPr="009B63D1">
        <w:rPr>
          <w:rFonts w:eastAsia="MS Mincho"/>
        </w:rPr>
        <w:t xml:space="preserve">% treated with docetaxel alone. </w:t>
      </w:r>
      <w:r w:rsidR="00232A64" w:rsidRPr="009B63D1">
        <w:rPr>
          <w:rFonts w:eastAsia="MS Mincho"/>
        </w:rPr>
        <w:t xml:space="preserve"> </w:t>
      </w:r>
      <w:r w:rsidR="00426CFA" w:rsidRPr="00E55B53">
        <w:rPr>
          <w:rFonts w:eastAsia="MS Mincho"/>
        </w:rPr>
        <w:t xml:space="preserve">Dehydration was reported in 1.9% of patients in the combination arm and in none of the patients treated with docetaxel alone. </w:t>
      </w:r>
      <w:r w:rsidR="00426CFA">
        <w:rPr>
          <w:rFonts w:eastAsia="MS Mincho"/>
        </w:rPr>
        <w:t xml:space="preserve"> </w:t>
      </w:r>
      <w:r w:rsidRPr="009B63D1">
        <w:rPr>
          <w:rFonts w:eastAsia="MS Mincho"/>
        </w:rPr>
        <w:t>Diarrhoea should be treated at first signs with adequate hydration and anti-diarrhoeal medicinal products, e.g. loperamide,</w:t>
      </w:r>
      <w:r w:rsidRPr="00042BA6">
        <w:rPr>
          <w:lang w:val="en-GB" w:eastAsia="de-DE"/>
        </w:rPr>
        <w:t xml:space="preserve"> and may require interruption, dose reduction or discontinuation of therapy with </w:t>
      </w:r>
      <w:r w:rsidR="007501C4">
        <w:rPr>
          <w:bCs/>
          <w:iCs/>
          <w:lang w:val="en-GB" w:eastAsia="de-DE"/>
        </w:rPr>
        <w:t>VARGATEF</w:t>
      </w:r>
      <w:r w:rsidRPr="00042BA6">
        <w:rPr>
          <w:b/>
          <w:i/>
          <w:iCs/>
          <w:vertAlign w:val="superscript"/>
          <w:lang w:val="en-GB" w:eastAsia="de-DE"/>
        </w:rPr>
        <w:t xml:space="preserve"> </w:t>
      </w:r>
      <w:r w:rsidRPr="00042BA6">
        <w:rPr>
          <w:lang w:val="en-GB" w:eastAsia="de-DE"/>
        </w:rPr>
        <w:t xml:space="preserve">(see </w:t>
      </w:r>
      <w:r w:rsidR="00232A64" w:rsidRPr="00261A62">
        <w:rPr>
          <w:rFonts w:eastAsia="MS Mincho"/>
          <w:bCs/>
          <w:iCs/>
          <w:lang w:val="en-GB" w:eastAsia="ja-JP"/>
        </w:rPr>
        <w:t>DOSAGE AND ADMINISTRATION</w:t>
      </w:r>
      <w:r w:rsidRPr="00042BA6">
        <w:rPr>
          <w:lang w:val="en-GB" w:eastAsia="de-DE"/>
        </w:rPr>
        <w:t>)</w:t>
      </w:r>
      <w:r w:rsidRPr="009B63D1">
        <w:rPr>
          <w:rFonts w:eastAsia="MS Mincho"/>
        </w:rPr>
        <w:t>.</w:t>
      </w:r>
    </w:p>
    <w:p w:rsidR="006907DA" w:rsidRDefault="004B6F4C" w:rsidP="004B6F4C">
      <w:pPr>
        <w:pStyle w:val="TextPI"/>
        <w:rPr>
          <w:rFonts w:eastAsia="MS Mincho"/>
        </w:rPr>
      </w:pPr>
      <w:r w:rsidRPr="004B3131">
        <w:rPr>
          <w:rFonts w:eastAsia="MS Mincho"/>
          <w:i/>
          <w:iCs/>
        </w:rPr>
        <w:t>IPF</w:t>
      </w:r>
      <w:r>
        <w:rPr>
          <w:rFonts w:eastAsia="MS Mincho"/>
        </w:rPr>
        <w:t xml:space="preserve">: </w:t>
      </w:r>
    </w:p>
    <w:p w:rsidR="004B6F4C" w:rsidRPr="004B6F4C" w:rsidRDefault="004B6F4C" w:rsidP="004B6F4C">
      <w:pPr>
        <w:pStyle w:val="TextPI"/>
        <w:rPr>
          <w:rFonts w:eastAsia="MS Mincho"/>
        </w:rPr>
      </w:pPr>
      <w:r w:rsidRPr="004B6F4C">
        <w:rPr>
          <w:rFonts w:eastAsia="MS Mincho"/>
        </w:rPr>
        <w:lastRenderedPageBreak/>
        <w:t xml:space="preserve">In the INPULSIS trials (see </w:t>
      </w:r>
      <w:r>
        <w:rPr>
          <w:rFonts w:eastAsia="MS Mincho"/>
        </w:rPr>
        <w:t>CLINICAL TRIALS</w:t>
      </w:r>
      <w:r w:rsidRPr="004B6F4C">
        <w:rPr>
          <w:rFonts w:eastAsia="MS Mincho"/>
        </w:rPr>
        <w:t xml:space="preserve">), diarrhoea was the most frequent gastro-intestinal event reported in 62.4 % versus 18.4 % of patients treated with </w:t>
      </w:r>
      <w:r w:rsidR="007501C4">
        <w:rPr>
          <w:rFonts w:eastAsia="MS Mincho"/>
        </w:rPr>
        <w:t>VARGATEF</w:t>
      </w:r>
      <w:r w:rsidRPr="004B6F4C">
        <w:rPr>
          <w:rFonts w:eastAsia="MS Mincho"/>
        </w:rPr>
        <w:t xml:space="preserve"> and placebo, respectively (see </w:t>
      </w:r>
      <w:r>
        <w:rPr>
          <w:rFonts w:eastAsia="MS Mincho"/>
        </w:rPr>
        <w:t>ADVERSE EFFECTS</w:t>
      </w:r>
      <w:r w:rsidRPr="004B6F4C">
        <w:rPr>
          <w:rFonts w:eastAsia="MS Mincho"/>
        </w:rPr>
        <w:t xml:space="preserve">). In most patients the event was of </w:t>
      </w:r>
      <w:r>
        <w:rPr>
          <w:rFonts w:eastAsia="MS Mincho"/>
        </w:rPr>
        <w:t xml:space="preserve">mild to moderate intensity and </w:t>
      </w:r>
      <w:r w:rsidRPr="004B6F4C">
        <w:rPr>
          <w:rFonts w:eastAsia="MS Mincho"/>
        </w:rPr>
        <w:t>occurred within the first 3 months of treatment. Diarrhoea led to discontinuation of nintedanib in 4.4% of the patients.</w:t>
      </w:r>
    </w:p>
    <w:p w:rsidR="004B6F4C" w:rsidRPr="00232A64" w:rsidRDefault="004B6F4C" w:rsidP="004B6F4C">
      <w:pPr>
        <w:pStyle w:val="TextPI"/>
        <w:rPr>
          <w:rFonts w:eastAsia="MS Mincho"/>
          <w:b/>
          <w:i/>
          <w:u w:val="single"/>
          <w:lang w:val="en-GB" w:eastAsia="ja-JP"/>
        </w:rPr>
      </w:pPr>
      <w:r w:rsidRPr="004B6F4C">
        <w:rPr>
          <w:rFonts w:eastAsia="MS Mincho"/>
        </w:rPr>
        <w:t xml:space="preserve">Diarrhoea should be treated at first signs with adequate hydration and anti-diarrhoeal medicinal products, e.g. loperamide, and may require treatment interruption. </w:t>
      </w:r>
      <w:r w:rsidR="007501C4">
        <w:rPr>
          <w:rFonts w:eastAsia="MS Mincho"/>
        </w:rPr>
        <w:t>VARGATEF</w:t>
      </w:r>
      <w:r w:rsidRPr="004B6F4C">
        <w:rPr>
          <w:rFonts w:eastAsia="MS Mincho"/>
        </w:rPr>
        <w:t xml:space="preserve"> treatment may be resumed at a reduced dose (100 mg twice daily) or at the full dose (150 mg twice daily). In case of persisting severe diarrhoea despite symptomatic treatment, therapy with</w:t>
      </w:r>
      <w:r>
        <w:rPr>
          <w:rFonts w:eastAsia="MS Mincho"/>
        </w:rPr>
        <w:t xml:space="preserve"> </w:t>
      </w:r>
      <w:r w:rsidR="007501C4">
        <w:rPr>
          <w:rFonts w:eastAsia="MS Mincho"/>
        </w:rPr>
        <w:t>VARGATEF</w:t>
      </w:r>
      <w:r w:rsidRPr="004B6F4C">
        <w:rPr>
          <w:rFonts w:eastAsia="MS Mincho"/>
        </w:rPr>
        <w:t xml:space="preserve"> should be discontinued.</w:t>
      </w:r>
    </w:p>
    <w:p w:rsidR="00042BA6" w:rsidRPr="00042BA6" w:rsidRDefault="00042BA6" w:rsidP="00CF07F6">
      <w:pPr>
        <w:pStyle w:val="PIHeading3"/>
        <w:rPr>
          <w:rFonts w:eastAsia="MS Mincho"/>
          <w:lang w:val="en-GB" w:eastAsia="ja-JP"/>
        </w:rPr>
      </w:pPr>
      <w:r w:rsidRPr="00042BA6">
        <w:rPr>
          <w:rFonts w:eastAsia="MS Mincho"/>
          <w:lang w:val="en-GB" w:eastAsia="ja-JP"/>
        </w:rPr>
        <w:t>Nausea and vomiting</w:t>
      </w:r>
    </w:p>
    <w:p w:rsidR="006907DA" w:rsidRDefault="004B6F4C" w:rsidP="00CF07F6">
      <w:pPr>
        <w:pStyle w:val="TextPI"/>
        <w:rPr>
          <w:rFonts w:eastAsia="MS Mincho"/>
          <w:color w:val="000000"/>
          <w:lang w:val="en-GB" w:eastAsia="ja-JP"/>
        </w:rPr>
      </w:pPr>
      <w:r w:rsidRPr="004B3131">
        <w:rPr>
          <w:rFonts w:eastAsia="MS Mincho"/>
          <w:i/>
          <w:iCs/>
          <w:color w:val="000000"/>
          <w:lang w:val="en-GB" w:eastAsia="ja-JP"/>
        </w:rPr>
        <w:t>NSCLC</w:t>
      </w:r>
      <w:r>
        <w:rPr>
          <w:rFonts w:eastAsia="MS Mincho"/>
          <w:color w:val="000000"/>
          <w:lang w:val="en-GB" w:eastAsia="ja-JP"/>
        </w:rPr>
        <w:t xml:space="preserve">: </w:t>
      </w:r>
    </w:p>
    <w:p w:rsidR="00042BA6" w:rsidRPr="00042BA6" w:rsidRDefault="00042BA6" w:rsidP="00CF07F6">
      <w:pPr>
        <w:pStyle w:val="TextPI"/>
        <w:rPr>
          <w:lang w:val="en-GB" w:eastAsia="de-DE"/>
        </w:rPr>
      </w:pPr>
      <w:r w:rsidRPr="00042BA6">
        <w:rPr>
          <w:rFonts w:eastAsia="MS Mincho"/>
          <w:color w:val="000000"/>
          <w:lang w:val="en-GB" w:eastAsia="ja-JP"/>
        </w:rPr>
        <w:t xml:space="preserve">Nausea and vomiting, mostly of mild to moderate severity, were frequently reported gastrointestinal adverse events </w:t>
      </w:r>
      <w:r w:rsidRPr="009B63D1">
        <w:rPr>
          <w:rFonts w:eastAsia="MS Mincho"/>
        </w:rPr>
        <w:t xml:space="preserve">(see </w:t>
      </w:r>
      <w:r w:rsidR="00232A64" w:rsidRPr="00261A62">
        <w:rPr>
          <w:rFonts w:eastAsia="MS Mincho"/>
          <w:bCs/>
          <w:iCs/>
          <w:lang w:val="en-GB" w:eastAsia="ja-JP"/>
        </w:rPr>
        <w:t>ADVERSE</w:t>
      </w:r>
      <w:r w:rsidRPr="00261A62">
        <w:rPr>
          <w:rFonts w:eastAsia="MS Mincho"/>
          <w:bCs/>
          <w:iCs/>
          <w:lang w:val="en-GB" w:eastAsia="ja-JP"/>
        </w:rPr>
        <w:t xml:space="preserve"> </w:t>
      </w:r>
      <w:r w:rsidR="00232A64" w:rsidRPr="00261A62">
        <w:rPr>
          <w:rFonts w:eastAsia="MS Mincho"/>
          <w:bCs/>
          <w:iCs/>
          <w:lang w:val="en-GB" w:eastAsia="ja-JP"/>
        </w:rPr>
        <w:t>EFFECTS</w:t>
      </w:r>
      <w:r w:rsidRPr="009B63D1">
        <w:rPr>
          <w:rFonts w:eastAsia="MS Mincho"/>
        </w:rPr>
        <w:t>)</w:t>
      </w:r>
      <w:r w:rsidRPr="00042BA6">
        <w:rPr>
          <w:rFonts w:eastAsia="MS Mincho"/>
          <w:color w:val="000000"/>
          <w:lang w:val="en-GB" w:eastAsia="ja-JP"/>
        </w:rPr>
        <w:t xml:space="preserve">. </w:t>
      </w:r>
      <w:r w:rsidRPr="002549D9">
        <w:rPr>
          <w:rFonts w:eastAsia="MS Mincho"/>
        </w:rPr>
        <w:t>Interruption</w:t>
      </w:r>
      <w:r w:rsidRPr="002549D9">
        <w:rPr>
          <w:lang w:val="en-GB" w:eastAsia="de-DE"/>
        </w:rPr>
        <w:t xml:space="preserve">, dose reduction or discontinuation of therapy with </w:t>
      </w:r>
      <w:r w:rsidR="007501C4">
        <w:rPr>
          <w:bCs/>
          <w:iCs/>
          <w:lang w:val="en-GB" w:eastAsia="de-DE"/>
        </w:rPr>
        <w:t>VARGATEF</w:t>
      </w:r>
      <w:r w:rsidRPr="002549D9">
        <w:rPr>
          <w:b/>
          <w:i/>
          <w:iCs/>
          <w:vertAlign w:val="superscript"/>
          <w:lang w:val="en-GB" w:eastAsia="de-DE"/>
        </w:rPr>
        <w:t xml:space="preserve"> </w:t>
      </w:r>
      <w:r w:rsidRPr="002549D9">
        <w:rPr>
          <w:lang w:val="en-GB" w:eastAsia="de-DE"/>
        </w:rPr>
        <w:t xml:space="preserve">(see </w:t>
      </w:r>
      <w:r w:rsidR="00232A64" w:rsidRPr="002549D9">
        <w:rPr>
          <w:rFonts w:eastAsia="MS Mincho"/>
          <w:bCs/>
          <w:iCs/>
          <w:lang w:val="en-GB" w:eastAsia="ja-JP"/>
        </w:rPr>
        <w:t>DOSAGE AND ADMINISTRATION</w:t>
      </w:r>
      <w:r w:rsidRPr="002549D9">
        <w:rPr>
          <w:rFonts w:eastAsia="MS Mincho"/>
        </w:rPr>
        <w:t>) may be required despite appropriate supportive care.</w:t>
      </w:r>
      <w:r w:rsidR="00261A62" w:rsidRPr="002549D9">
        <w:rPr>
          <w:rFonts w:eastAsia="MS Mincho"/>
        </w:rPr>
        <w:t xml:space="preserve"> </w:t>
      </w:r>
      <w:r w:rsidRPr="002549D9">
        <w:rPr>
          <w:rFonts w:eastAsia="MS Mincho"/>
        </w:rPr>
        <w:t xml:space="preserve"> </w:t>
      </w:r>
      <w:r w:rsidRPr="002549D9">
        <w:rPr>
          <w:lang w:val="en-GB"/>
        </w:rPr>
        <w:t>Supportive care for nausea and vomiting may include medicinal products with anti-emetic properties, e.g. glucocorticoids, anti-histamines or 5-HT3 receptor antagonists and adequate hydration</w:t>
      </w:r>
      <w:r w:rsidRPr="002549D9">
        <w:rPr>
          <w:rFonts w:eastAsia="MS Mincho"/>
        </w:rPr>
        <w:t>.</w:t>
      </w:r>
    </w:p>
    <w:p w:rsidR="006C379E" w:rsidRDefault="00042BA6" w:rsidP="00CF07F6">
      <w:pPr>
        <w:pStyle w:val="TextPI"/>
        <w:rPr>
          <w:lang w:val="en-GB"/>
        </w:rPr>
      </w:pPr>
      <w:r w:rsidRPr="00042BA6">
        <w:rPr>
          <w:lang w:val="en-GB"/>
        </w:rPr>
        <w:t xml:space="preserve">In the event of dehydration, administration of electrolytes and fluids is required. </w:t>
      </w:r>
      <w:r w:rsidR="00232A64">
        <w:rPr>
          <w:lang w:val="en-GB"/>
        </w:rPr>
        <w:t xml:space="preserve"> </w:t>
      </w:r>
      <w:r w:rsidRPr="00042BA6">
        <w:rPr>
          <w:lang w:val="en-GB"/>
        </w:rPr>
        <w:t>Plasma levels of electrolytes should be monitored, if relevant gastrointestinal adverse events occur.</w:t>
      </w:r>
    </w:p>
    <w:p w:rsidR="006907DA" w:rsidRDefault="004B6F4C" w:rsidP="004B6F4C">
      <w:pPr>
        <w:pStyle w:val="TextPI"/>
        <w:rPr>
          <w:lang w:val="en-GB"/>
        </w:rPr>
      </w:pPr>
      <w:r w:rsidRPr="00113B1C">
        <w:rPr>
          <w:i/>
          <w:iCs/>
          <w:lang w:val="en-GB"/>
        </w:rPr>
        <w:t>IPF</w:t>
      </w:r>
      <w:r>
        <w:rPr>
          <w:lang w:val="en-GB"/>
        </w:rPr>
        <w:t xml:space="preserve">: </w:t>
      </w:r>
    </w:p>
    <w:p w:rsidR="004B6F4C" w:rsidRPr="004B6F4C" w:rsidRDefault="004B6F4C" w:rsidP="004B6F4C">
      <w:pPr>
        <w:pStyle w:val="TextPI"/>
        <w:rPr>
          <w:lang w:val="en-GB"/>
        </w:rPr>
      </w:pPr>
      <w:r w:rsidRPr="004B6F4C">
        <w:rPr>
          <w:lang w:val="en-GB"/>
        </w:rPr>
        <w:t xml:space="preserve">Nausea and vomiting were frequently reported adverse events (see </w:t>
      </w:r>
      <w:r>
        <w:rPr>
          <w:lang w:val="en-GB"/>
        </w:rPr>
        <w:t>ADVERSE EFFECTS</w:t>
      </w:r>
      <w:r w:rsidRPr="004B6F4C">
        <w:rPr>
          <w:lang w:val="en-GB"/>
        </w:rPr>
        <w:t xml:space="preserve">). In most patients with nausea and vomiting, the event was of mild to moderate intensity. Nausea led to discontinuation of nintedanib in 2.0% of patients. Vomiting led to discontinuation in 0.8% of the patients.  </w:t>
      </w:r>
    </w:p>
    <w:p w:rsidR="004B6F4C" w:rsidRDefault="004B6F4C" w:rsidP="004B6F4C">
      <w:pPr>
        <w:pStyle w:val="TextPI"/>
        <w:rPr>
          <w:lang w:val="en-GB"/>
        </w:rPr>
      </w:pPr>
      <w:r w:rsidRPr="004B6F4C">
        <w:rPr>
          <w:lang w:val="en-GB"/>
        </w:rPr>
        <w:t>If symptoms persist despite appropriate supportive care (including anti-emetic therapy), dose reduction or treatment interruption may be required. The treatment may be resumed at a reduced dose (100 mg twice daily) or at the full dose (150 mg twice daily). In case of persisting severe symptoms therapy with</w:t>
      </w:r>
      <w:r>
        <w:rPr>
          <w:lang w:val="en-GB"/>
        </w:rPr>
        <w:t xml:space="preserve"> </w:t>
      </w:r>
      <w:r w:rsidR="007501C4">
        <w:rPr>
          <w:lang w:val="en-GB"/>
        </w:rPr>
        <w:t>VARGATEF</w:t>
      </w:r>
      <w:r w:rsidRPr="004B6F4C">
        <w:rPr>
          <w:lang w:val="en-GB"/>
        </w:rPr>
        <w:t xml:space="preserve"> should be discontinued.</w:t>
      </w:r>
    </w:p>
    <w:p w:rsidR="00C47EC0" w:rsidRDefault="00C47EC0" w:rsidP="00C47EC0">
      <w:pPr>
        <w:pStyle w:val="PIheading2"/>
        <w:rPr>
          <w:b w:val="0"/>
          <w:bCs/>
          <w:lang w:val="en-GB"/>
        </w:rPr>
      </w:pPr>
      <w:r>
        <w:rPr>
          <w:lang w:val="en-GB"/>
        </w:rPr>
        <w:t>Gastrointestinal perforations</w:t>
      </w:r>
    </w:p>
    <w:p w:rsidR="00C47EC0" w:rsidRPr="002C4443" w:rsidRDefault="00C47EC0" w:rsidP="00C47EC0">
      <w:pPr>
        <w:pStyle w:val="TextPI"/>
        <w:rPr>
          <w:i/>
          <w:iCs/>
          <w:lang w:val="en-GB" w:eastAsia="de-DE"/>
        </w:rPr>
      </w:pPr>
      <w:r w:rsidRPr="002C4443">
        <w:rPr>
          <w:i/>
          <w:iCs/>
          <w:lang w:val="en-GB" w:eastAsia="de-DE"/>
        </w:rPr>
        <w:t>NSCLC:</w:t>
      </w:r>
    </w:p>
    <w:p w:rsidR="00C47EC0" w:rsidRDefault="00C47EC0" w:rsidP="00C47EC0">
      <w:pPr>
        <w:pStyle w:val="TextPI"/>
        <w:rPr>
          <w:lang w:val="en-GB" w:eastAsia="de-DE"/>
        </w:rPr>
      </w:pPr>
      <w:r w:rsidRPr="007615D1">
        <w:rPr>
          <w:lang w:val="en-GB" w:eastAsia="de-DE"/>
        </w:rPr>
        <w:t xml:space="preserve">The frequency of gastrointestinal perforation was comparable between the treatment arms in the </w:t>
      </w:r>
      <w:r w:rsidRPr="006F1270">
        <w:rPr>
          <w:lang w:val="en-GB" w:eastAsia="de-DE"/>
        </w:rPr>
        <w:t xml:space="preserve">clinical study.  However, based on the mechanism of action patients treated with </w:t>
      </w:r>
      <w:r w:rsidR="007501C4">
        <w:rPr>
          <w:iCs/>
          <w:lang w:val="en-GB" w:eastAsia="de-DE"/>
        </w:rPr>
        <w:t>VARGATEF</w:t>
      </w:r>
      <w:r w:rsidRPr="006F1270">
        <w:rPr>
          <w:i/>
          <w:iCs/>
          <w:vertAlign w:val="superscript"/>
          <w:lang w:val="en-GB" w:eastAsia="de-DE"/>
        </w:rPr>
        <w:t xml:space="preserve"> </w:t>
      </w:r>
      <w:r w:rsidRPr="006F1270">
        <w:rPr>
          <w:lang w:val="en-GB" w:eastAsia="de-DE"/>
        </w:rPr>
        <w:t>may have an increased risk of gastrointestinal perforations</w:t>
      </w:r>
      <w:r w:rsidRPr="006F1270">
        <w:rPr>
          <w:b/>
          <w:lang w:val="en-GB" w:eastAsia="de-DE"/>
        </w:rPr>
        <w:fldChar w:fldCharType="begin"/>
      </w:r>
      <w:r w:rsidRPr="006F1270">
        <w:rPr>
          <w:lang w:val="en-GB" w:eastAsia="de-DE"/>
        </w:rPr>
        <w:instrText xml:space="preserve"> ADDIN REFMGR.CITE &lt;Refman&gt;&lt;Cite&gt;&lt;Author&gt;Verheul&lt;/Author&gt;&lt;Year&gt;2007&lt;/Year&gt;&lt;RecNum&gt;2&lt;/RecNum&gt;&lt;IDText&gt;Possible molecular mechanisms involved in the toxicity of angiogenesis inhibition&lt;/IDText&gt;&lt;MDL Ref_Type="Journal"&gt;&lt;Ref_Type&gt;Journal&lt;/Ref_Type&gt;&lt;Ref_ID&gt;2&lt;/Ref_ID&gt;&lt;Title_Primary&gt;Possible molecular mechanisms involved in the toxicity of angiogenesis inhibition&lt;/Title_Primary&gt;&lt;Authors_Primary&gt;Verheul,H.M.W.&lt;/Authors_Primary&gt;&lt;Authors_Primary&gt;Pinedo,H.M.&lt;/Authors_Primary&gt;&lt;Date_Primary&gt;2007&lt;/Date_Primary&gt;&lt;Reprint&gt;Not in File&lt;/Reprint&gt;&lt;Start_Page&gt;475&lt;/Start_Page&gt;&lt;End_Page&gt;485&lt;/End_Page&gt;&lt;Periodical&gt;Nat Rev Cancer&lt;/Periodical&gt;&lt;Volume&gt;7&lt;/Volume&gt;&lt;User_Def_1&gt;R12-3827&lt;/User_Def_1&gt;&lt;ISSN_ISBN&gt;1474-175X&lt;/ISSN_ISBN&gt;&lt;ZZ_JournalStdAbbrev&gt;&lt;f name="System"&gt;Nat Rev Cancer&lt;/f&gt;&lt;/ZZ_JournalStdAbbrev&gt;&lt;ZZ_WorkformID&gt;1&lt;/ZZ_WorkformID&gt;&lt;/MDL&gt;&lt;/Cite&gt;&lt;/Refman&gt;</w:instrText>
      </w:r>
      <w:r w:rsidRPr="006F1270">
        <w:rPr>
          <w:b/>
          <w:lang w:val="en-GB" w:eastAsia="de-DE"/>
        </w:rPr>
        <w:fldChar w:fldCharType="end"/>
      </w:r>
      <w:r w:rsidRPr="006F1270">
        <w:rPr>
          <w:lang w:val="en-GB" w:eastAsia="de-DE"/>
        </w:rPr>
        <w:t xml:space="preserve">.  Particular caution should be exercised when treating patients with previous abdominal surgery.  </w:t>
      </w:r>
      <w:r w:rsidR="007501C4">
        <w:rPr>
          <w:rFonts w:eastAsia="MS Mincho"/>
          <w:iCs/>
          <w:lang w:val="en-GB" w:eastAsia="ja-JP"/>
        </w:rPr>
        <w:t>VARGATEF</w:t>
      </w:r>
      <w:r w:rsidRPr="006F1270">
        <w:rPr>
          <w:rFonts w:eastAsia="MS Mincho"/>
          <w:i/>
          <w:iCs/>
          <w:vertAlign w:val="superscript"/>
          <w:lang w:val="en-GB" w:eastAsia="ja-JP"/>
        </w:rPr>
        <w:t xml:space="preserve"> </w:t>
      </w:r>
      <w:r w:rsidRPr="006F1270">
        <w:rPr>
          <w:rFonts w:eastAsia="MS Mincho"/>
          <w:iCs/>
          <w:lang w:val="en-GB" w:eastAsia="ja-JP"/>
        </w:rPr>
        <w:t xml:space="preserve">should therefore only be initiated at least 4 weeks after major surgery.  </w:t>
      </w:r>
      <w:r w:rsidRPr="006F1270">
        <w:rPr>
          <w:lang w:val="en-GB" w:eastAsia="de-DE"/>
        </w:rPr>
        <w:t xml:space="preserve">Therapy with </w:t>
      </w:r>
      <w:r w:rsidR="007501C4">
        <w:rPr>
          <w:iCs/>
          <w:lang w:val="en-GB" w:eastAsia="de-DE"/>
        </w:rPr>
        <w:t>VARGATEF</w:t>
      </w:r>
      <w:r w:rsidRPr="006F1270">
        <w:rPr>
          <w:i/>
          <w:iCs/>
          <w:vertAlign w:val="superscript"/>
          <w:lang w:val="en-GB" w:eastAsia="de-DE"/>
        </w:rPr>
        <w:t xml:space="preserve"> </w:t>
      </w:r>
      <w:r w:rsidRPr="006F1270">
        <w:rPr>
          <w:lang w:val="en-GB" w:eastAsia="de-DE"/>
        </w:rPr>
        <w:t>should be permanently discontinued in patients who develop gastrointestinal perforation.</w:t>
      </w:r>
    </w:p>
    <w:p w:rsidR="00C47EC0" w:rsidRPr="002C4443" w:rsidRDefault="00C47EC0" w:rsidP="00C47EC0">
      <w:pPr>
        <w:pStyle w:val="TextPI"/>
        <w:rPr>
          <w:i/>
          <w:iCs/>
          <w:lang w:val="en-GB"/>
        </w:rPr>
      </w:pPr>
      <w:r w:rsidRPr="002C4443">
        <w:rPr>
          <w:i/>
          <w:iCs/>
          <w:lang w:val="en-GB"/>
        </w:rPr>
        <w:t>IPF:</w:t>
      </w:r>
    </w:p>
    <w:p w:rsidR="00C47EC0" w:rsidRPr="00437D17" w:rsidRDefault="00C47EC0" w:rsidP="00C47EC0">
      <w:pPr>
        <w:pStyle w:val="TextPI"/>
        <w:rPr>
          <w:iCs/>
          <w:lang w:val="en-GB" w:eastAsia="de-DE"/>
        </w:rPr>
      </w:pPr>
      <w:r w:rsidRPr="00437D17">
        <w:rPr>
          <w:iCs/>
          <w:lang w:val="en-GB" w:eastAsia="de-DE"/>
        </w:rPr>
        <w:t xml:space="preserve">In the INPULSIS trials no increased risk of gastrointestinal perforation was observed in nintedanib treated patients. </w:t>
      </w:r>
      <w:r w:rsidRPr="006F1270" w:rsidDel="00586264">
        <w:rPr>
          <w:iCs/>
          <w:lang w:val="en-GB" w:eastAsia="de-DE"/>
        </w:rPr>
        <w:t xml:space="preserve">Due to the mechanism of action of nintedanib patients might have an increased risk of gastrointestinal perforation. Particular caution should be exercised when treating patients with previous abdominal surgery. </w:t>
      </w:r>
      <w:r w:rsidR="007501C4">
        <w:rPr>
          <w:iCs/>
          <w:lang w:val="en-GB" w:eastAsia="de-DE"/>
        </w:rPr>
        <w:t>VARGATEF</w:t>
      </w:r>
      <w:r w:rsidRPr="006F1270" w:rsidDel="00586264">
        <w:rPr>
          <w:iCs/>
          <w:lang w:val="en-GB" w:eastAsia="de-DE"/>
        </w:rPr>
        <w:t xml:space="preserve"> should only be initiated at least 4 weeks after abdominal surgery. Therapy with </w:t>
      </w:r>
      <w:r w:rsidR="007501C4">
        <w:rPr>
          <w:iCs/>
          <w:lang w:val="en-GB" w:eastAsia="de-DE"/>
        </w:rPr>
        <w:t>VARGATEF</w:t>
      </w:r>
      <w:r w:rsidRPr="006F1270" w:rsidDel="00586264">
        <w:rPr>
          <w:iCs/>
          <w:lang w:val="en-GB" w:eastAsia="de-DE"/>
        </w:rPr>
        <w:t xml:space="preserve"> should be permanently discontinued in patients who develop gastrointestinal perforation.</w:t>
      </w:r>
    </w:p>
    <w:p w:rsidR="00910460" w:rsidRPr="006C379E" w:rsidRDefault="00232A64" w:rsidP="008547A3">
      <w:pPr>
        <w:pStyle w:val="PIheading2"/>
        <w:rPr>
          <w:rFonts w:cs="Arial"/>
          <w:lang w:val="en-GB"/>
        </w:rPr>
      </w:pPr>
      <w:r w:rsidRPr="006C379E">
        <w:lastRenderedPageBreak/>
        <w:t>Neutropenia and sepsis</w:t>
      </w:r>
    </w:p>
    <w:p w:rsidR="00DC1F73" w:rsidRDefault="004B6F4C" w:rsidP="008547A3">
      <w:pPr>
        <w:pStyle w:val="TextPI"/>
        <w:rPr>
          <w:color w:val="000000"/>
          <w:lang w:val="en-GB"/>
        </w:rPr>
      </w:pPr>
      <w:r w:rsidRPr="00113B1C">
        <w:rPr>
          <w:i/>
          <w:iCs/>
          <w:lang w:val="en-GB"/>
        </w:rPr>
        <w:t>NSCLC</w:t>
      </w:r>
      <w:r>
        <w:rPr>
          <w:lang w:val="en-GB"/>
        </w:rPr>
        <w:t xml:space="preserve">: </w:t>
      </w:r>
      <w:r w:rsidR="00DE2C88" w:rsidRPr="00DE2C88">
        <w:rPr>
          <w:lang w:val="en-GB"/>
        </w:rPr>
        <w:t xml:space="preserve">A higher frequency of neutropenia of CTCAE grade </w:t>
      </w:r>
      <w:r w:rsidR="00DE2C88" w:rsidRPr="00DE2C88">
        <w:rPr>
          <w:u w:val="single"/>
          <w:lang w:val="en-GB"/>
        </w:rPr>
        <w:t>&gt;</w:t>
      </w:r>
      <w:r w:rsidR="00DE2C88" w:rsidRPr="00DE2C88">
        <w:rPr>
          <w:lang w:val="en-GB"/>
        </w:rPr>
        <w:t xml:space="preserve"> 3 was observed in patients treated with </w:t>
      </w:r>
      <w:r w:rsidR="007501C4">
        <w:rPr>
          <w:bCs/>
          <w:iCs/>
          <w:lang w:val="en-GB"/>
        </w:rPr>
        <w:t>VARGATEF</w:t>
      </w:r>
      <w:r w:rsidR="00DE2C88" w:rsidRPr="00DE2C88">
        <w:rPr>
          <w:b/>
          <w:i/>
          <w:iCs/>
          <w:vertAlign w:val="superscript"/>
          <w:lang w:val="en-GB"/>
        </w:rPr>
        <w:t xml:space="preserve"> </w:t>
      </w:r>
      <w:r w:rsidR="00DE2C88" w:rsidRPr="00DE2C88">
        <w:rPr>
          <w:lang w:val="en-GB"/>
        </w:rPr>
        <w:t xml:space="preserve">in combination with docetaxel as compared to treatment with docetaxel alone. </w:t>
      </w:r>
      <w:r w:rsidR="00DE2C88">
        <w:rPr>
          <w:lang w:val="en-GB"/>
        </w:rPr>
        <w:t xml:space="preserve"> </w:t>
      </w:r>
      <w:r w:rsidR="00DE2C88" w:rsidRPr="00DE2C88">
        <w:rPr>
          <w:color w:val="000000"/>
          <w:lang w:val="en-GB"/>
        </w:rPr>
        <w:t>Subsequent complications such as sepsis or febrile neutropenia have been observed.</w:t>
      </w:r>
      <w:r w:rsidR="00DE2C88">
        <w:rPr>
          <w:color w:val="000000"/>
          <w:lang w:val="en-GB"/>
        </w:rPr>
        <w:t xml:space="preserve">  </w:t>
      </w:r>
      <w:r w:rsidR="00426CFA" w:rsidRPr="00E55B53">
        <w:rPr>
          <w:color w:val="000000"/>
          <w:lang w:val="en-GB"/>
        </w:rPr>
        <w:t xml:space="preserve">Febrile neutropenia was reported in 7.5% of patients in the combination arm compared to 4.5% of patients during treatment with docetaxel alone. </w:t>
      </w:r>
      <w:r w:rsidR="00426CFA">
        <w:rPr>
          <w:color w:val="000000"/>
          <w:lang w:val="en-GB"/>
        </w:rPr>
        <w:t xml:space="preserve"> </w:t>
      </w:r>
      <w:r w:rsidR="00C47EC0">
        <w:rPr>
          <w:color w:val="000000"/>
          <w:lang w:val="en-GB"/>
        </w:rPr>
        <w:t xml:space="preserve">Fatal sepsis was reported in 0.9% of patients treated with </w:t>
      </w:r>
      <w:r w:rsidR="007501C4">
        <w:rPr>
          <w:color w:val="000000"/>
          <w:lang w:val="en-GB"/>
        </w:rPr>
        <w:t>VARGATEF</w:t>
      </w:r>
      <w:r w:rsidR="00C47EC0">
        <w:rPr>
          <w:color w:val="000000"/>
          <w:lang w:val="en-GB"/>
        </w:rPr>
        <w:t xml:space="preserve"> in combination with docetaxel.  Fatal sepsis was not reported during treatment with docetaxel alone.  </w:t>
      </w:r>
    </w:p>
    <w:p w:rsidR="00DE2C88" w:rsidRPr="00DE2C88" w:rsidRDefault="00DE2C88" w:rsidP="008547A3">
      <w:pPr>
        <w:pStyle w:val="TextPI"/>
        <w:rPr>
          <w:lang w:val="en-GB"/>
        </w:rPr>
      </w:pPr>
      <w:r w:rsidRPr="00DE2C88">
        <w:rPr>
          <w:lang w:val="en-GB"/>
        </w:rPr>
        <w:t>Blood counts should be monitored during therapy, in particular during the combination treatment with docetaxel.</w:t>
      </w:r>
      <w:r w:rsidR="00DC1F73">
        <w:rPr>
          <w:lang w:val="en-GB"/>
        </w:rPr>
        <w:t xml:space="preserve">  Frequent monitoring of complete blood counts should be performed at the beginning of each treatment cycle and around the nadir for patients receiving treatment with nintedanib in combination with docetaxel, and as clinically indicated after the administration of the last combination cycle.</w:t>
      </w:r>
    </w:p>
    <w:p w:rsidR="00232A64" w:rsidRPr="008547A3" w:rsidRDefault="00DE2C88" w:rsidP="008547A3">
      <w:pPr>
        <w:pStyle w:val="PIheading2"/>
      </w:pPr>
      <w:r w:rsidRPr="008547A3">
        <w:t>Hepatic function</w:t>
      </w:r>
    </w:p>
    <w:p w:rsidR="00DD5AE1" w:rsidRDefault="00DD5AE1" w:rsidP="00DD5AE1">
      <w:pPr>
        <w:pStyle w:val="PIHeading3"/>
      </w:pPr>
      <w:r>
        <w:t>Use in patients with hepatic impairment</w:t>
      </w:r>
    </w:p>
    <w:p w:rsidR="004B6F4C" w:rsidRDefault="00DD5AE1" w:rsidP="009A1C57">
      <w:pPr>
        <w:pStyle w:val="TextPI"/>
      </w:pPr>
      <w:r>
        <w:t>S</w:t>
      </w:r>
      <w:r w:rsidRPr="00C9687E">
        <w:t xml:space="preserve">ubjects with baseline AST, ALT or bilirubin levels &gt; 1.5 times the upper limit of normal were excluded from the </w:t>
      </w:r>
      <w:r>
        <w:t>pivotal studies.</w:t>
      </w:r>
      <w:r w:rsidRPr="009A1C57">
        <w:t xml:space="preserve"> </w:t>
      </w:r>
      <w:r>
        <w:t xml:space="preserve"> </w:t>
      </w:r>
      <w:r w:rsidR="00C74A7C" w:rsidRPr="009A1C57">
        <w:t xml:space="preserve">The safety and efficacy of </w:t>
      </w:r>
      <w:r w:rsidR="007501C4">
        <w:t>VARGATEF</w:t>
      </w:r>
      <w:r w:rsidR="00C74A7C" w:rsidRPr="009A1C57">
        <w:t xml:space="preserve"> has not been studied in patients with moderate (Child Pugh B) or severe (Child Pugh C) hepatic impairment. Therefore treatment with </w:t>
      </w:r>
      <w:r w:rsidR="007501C4">
        <w:t>VARGATEF</w:t>
      </w:r>
      <w:r w:rsidR="00C74A7C" w:rsidRPr="009A1C57">
        <w:t xml:space="preserve"> is not recommended in such patients (see </w:t>
      </w:r>
      <w:r w:rsidR="009A1C57">
        <w:t xml:space="preserve">PHARMACOLOGY, </w:t>
      </w:r>
      <w:r w:rsidR="00C74A7C" w:rsidRPr="009A1C57">
        <w:t xml:space="preserve">Pharmacokinetics).  </w:t>
      </w:r>
    </w:p>
    <w:p w:rsidR="0012105E" w:rsidRPr="00D3594D" w:rsidRDefault="0012105E" w:rsidP="00D3594D">
      <w:pPr>
        <w:pStyle w:val="PIHeading3"/>
      </w:pPr>
      <w:r w:rsidRPr="00D3594D">
        <w:t>Liver enzyme elevations and hyperbilirubinaemia</w:t>
      </w:r>
    </w:p>
    <w:p w:rsidR="006907DA" w:rsidRDefault="004B6F4C" w:rsidP="009A1C57">
      <w:pPr>
        <w:pStyle w:val="TextPI"/>
      </w:pPr>
      <w:r w:rsidRPr="00113B1C">
        <w:rPr>
          <w:i/>
          <w:iCs/>
        </w:rPr>
        <w:t>NSCLC</w:t>
      </w:r>
      <w:r>
        <w:t xml:space="preserve">: </w:t>
      </w:r>
    </w:p>
    <w:p w:rsidR="00DC1F73" w:rsidRDefault="00C74A7C" w:rsidP="009A1C57">
      <w:pPr>
        <w:pStyle w:val="TextPI"/>
        <w:rPr>
          <w:rFonts w:eastAsia="MS Mincho"/>
        </w:rPr>
      </w:pPr>
      <w:r w:rsidRPr="009A1C57">
        <w:t xml:space="preserve">Administration of nintedanib was associated with an elevation of liver enzymes (ALT, AST, ALP </w:t>
      </w:r>
      <w:r w:rsidR="00DC1F73">
        <w:t>or</w:t>
      </w:r>
      <w:r w:rsidRPr="009A1C57">
        <w:t xml:space="preserve"> bilirubin, with a potentially higher risk for female patients.  These increases were reversible in the majority of </w:t>
      </w:r>
      <w:r w:rsidRPr="00413A88">
        <w:t>cases</w:t>
      </w:r>
      <w:r w:rsidR="00DD3D72">
        <w:t xml:space="preserve"> </w:t>
      </w:r>
      <w:r w:rsidRPr="00413A88">
        <w:t xml:space="preserve">and not associated with clinically manifest liver disorders.  </w:t>
      </w:r>
      <w:r w:rsidR="00DD3D72">
        <w:t xml:space="preserve">Liver related adverse events of grade </w:t>
      </w:r>
      <w:r w:rsidR="00DD3D72">
        <w:rPr>
          <w:rFonts w:ascii="Calibri" w:hAnsi="Calibri" w:cs="Calibri"/>
        </w:rPr>
        <w:t xml:space="preserve">≥ </w:t>
      </w:r>
      <w:r w:rsidR="00DD3D72">
        <w:t>3</w:t>
      </w:r>
      <w:r w:rsidR="00DD3D72" w:rsidRPr="009A1C57">
        <w:t xml:space="preserve"> </w:t>
      </w:r>
      <w:r w:rsidR="00DD3D72">
        <w:t xml:space="preserve">were reported in 15.3% of patients treated with the combination of </w:t>
      </w:r>
      <w:r w:rsidR="007501C4">
        <w:t>VARGATEF</w:t>
      </w:r>
      <w:r w:rsidR="00DD3D72">
        <w:t xml:space="preserve"> and docetaxel compared to 1.8% of patients treated with docetaxel alone. H</w:t>
      </w:r>
      <w:r w:rsidRPr="00413A88">
        <w:t xml:space="preserve">epatic transaminases, ALP and bilirubin levels are recommended to be closely monitored after start of therapy with </w:t>
      </w:r>
      <w:r w:rsidR="007501C4">
        <w:t>VARGATEF</w:t>
      </w:r>
      <w:r w:rsidRPr="00413A88">
        <w:t xml:space="preserve"> (periodically, i.e. in the combination phase with docetaxel at the begi</w:t>
      </w:r>
      <w:r w:rsidR="000B6A21" w:rsidRPr="00413A88">
        <w:t xml:space="preserve">nning of each treatment cycle).  If relevant liver enzyme elevations are measured, interruption, dose reduction or discontinuation of the therapy with </w:t>
      </w:r>
      <w:r w:rsidR="007501C4">
        <w:t>VARGATEF</w:t>
      </w:r>
      <w:r w:rsidR="000B6A21" w:rsidRPr="00413A88">
        <w:t xml:space="preserve"> may be required (see </w:t>
      </w:r>
      <w:r w:rsidR="000B6A21" w:rsidRPr="00413A88">
        <w:rPr>
          <w:rFonts w:eastAsia="MS Mincho"/>
        </w:rPr>
        <w:t>DOSAGE AND ADMINISTRATION</w:t>
      </w:r>
      <w:r w:rsidR="000B6A21" w:rsidRPr="00413A88">
        <w:t>)</w:t>
      </w:r>
      <w:r w:rsidR="000B6A21" w:rsidRPr="00413A88">
        <w:rPr>
          <w:rFonts w:eastAsia="MS Mincho"/>
        </w:rPr>
        <w:t>.</w:t>
      </w:r>
    </w:p>
    <w:p w:rsidR="002C4443" w:rsidRDefault="004B6F4C" w:rsidP="004B6F4C">
      <w:pPr>
        <w:pStyle w:val="TextPI"/>
      </w:pPr>
      <w:r w:rsidRPr="00113B1C">
        <w:rPr>
          <w:i/>
          <w:iCs/>
        </w:rPr>
        <w:t>IPF:</w:t>
      </w:r>
      <w:r>
        <w:t xml:space="preserve"> </w:t>
      </w:r>
    </w:p>
    <w:p w:rsidR="004B6F4C" w:rsidRDefault="004B6F4C" w:rsidP="004B6F4C">
      <w:pPr>
        <w:pStyle w:val="TextPI"/>
      </w:pPr>
      <w:r>
        <w:t xml:space="preserve">Administration of nintedanib was associated with elevations of liver enzymes (ALT, AST, ALP, </w:t>
      </w:r>
      <w:r w:rsidR="006C25EC">
        <w:t>gamma-glutamyl-transferase (</w:t>
      </w:r>
      <w:r>
        <w:t>GGT</w:t>
      </w:r>
      <w:r w:rsidR="006C25EC">
        <w:t>)</w:t>
      </w:r>
      <w:r>
        <w:t xml:space="preserve">) with a potentially higher risk for female patients. Transaminase increases were reversible </w:t>
      </w:r>
      <w:r w:rsidR="009F370D">
        <w:t>upon dose reduction or interruption</w:t>
      </w:r>
      <w:r>
        <w:t xml:space="preserve">. Administration of nintedanib was also associated with elevations of bilirubin. Hepatic transaminase and bilirubin levels should be investigated before the initiation of treatment with </w:t>
      </w:r>
      <w:r w:rsidR="007501C4">
        <w:t>VARGATEF</w:t>
      </w:r>
      <w:r>
        <w:t xml:space="preserve"> and periodically thereafter (e.g. at each patient visit) or as clinically indicated. </w:t>
      </w:r>
    </w:p>
    <w:p w:rsidR="004B6F4C" w:rsidRPr="009A1C57" w:rsidRDefault="004B6F4C" w:rsidP="004B6F4C">
      <w:pPr>
        <w:pStyle w:val="TextPI"/>
      </w:pPr>
      <w:r>
        <w:t xml:space="preserve">If transaminase (AST or ALT) elevations &gt; </w:t>
      </w:r>
      <w:r w:rsidR="009F370D">
        <w:t>3</w:t>
      </w:r>
      <w:r>
        <w:t xml:space="preserve">x upper limit of normal (ULN) are measured, </w:t>
      </w:r>
      <w:r w:rsidR="009F370D">
        <w:t xml:space="preserve">dose reduction or </w:t>
      </w:r>
      <w:r>
        <w:t xml:space="preserve">interruption of the therapy with </w:t>
      </w:r>
      <w:r w:rsidR="007501C4">
        <w:t>VARGATEF</w:t>
      </w:r>
      <w:r>
        <w:t xml:space="preserve"> is recommended and the patient should be monitored closely. Once transaminases have returned to baseline values, treatment with </w:t>
      </w:r>
      <w:r w:rsidR="007501C4">
        <w:t>VARGATEF</w:t>
      </w:r>
      <w:r>
        <w:t xml:space="preserve"> may be re</w:t>
      </w:r>
      <w:r w:rsidR="009F370D">
        <w:t>-increased to the full dose (150 mg twice daily) or re-</w:t>
      </w:r>
      <w:r>
        <w:t>introduced at a reduced dose (100 mg twice daily) which subsequently may be increased to the full dose (see DOSAGE AND ADMINISTRATION).</w:t>
      </w:r>
      <w:r w:rsidR="00AE0D0C">
        <w:t xml:space="preserve">  If any liver test elevations are associated with clinical signs or symptoms of liver injury, e.g. jaundice, treatment with </w:t>
      </w:r>
      <w:r w:rsidR="007501C4">
        <w:lastRenderedPageBreak/>
        <w:t>VARGATEF</w:t>
      </w:r>
      <w:r w:rsidR="00AE0D0C">
        <w:t xml:space="preserve"> should be permanently discontinued.  Alternative causes of the liver enzyme elevations should be investigated.</w:t>
      </w:r>
    </w:p>
    <w:p w:rsidR="00D0597C" w:rsidRPr="00A24210" w:rsidRDefault="000B6A21" w:rsidP="00A24210">
      <w:pPr>
        <w:pStyle w:val="PIheading2"/>
      </w:pPr>
      <w:r w:rsidRPr="00A24210">
        <w:t>Special populations</w:t>
      </w:r>
    </w:p>
    <w:p w:rsidR="000B6A21" w:rsidRDefault="00152A19" w:rsidP="00A24210">
      <w:pPr>
        <w:pStyle w:val="TextPI"/>
        <w:rPr>
          <w:lang w:val="en-GB" w:eastAsia="de-DE"/>
        </w:rPr>
      </w:pPr>
      <w:bookmarkStart w:id="6" w:name="OLE_LINK4"/>
      <w:bookmarkStart w:id="7" w:name="OLE_LINK5"/>
      <w:r w:rsidRPr="00113B1C">
        <w:rPr>
          <w:i/>
          <w:iCs/>
          <w:lang w:val="en-GB" w:eastAsia="de-DE"/>
        </w:rPr>
        <w:t>NSCLC</w:t>
      </w:r>
      <w:r>
        <w:rPr>
          <w:lang w:val="en-GB" w:eastAsia="de-DE"/>
        </w:rPr>
        <w:t xml:space="preserve">: </w:t>
      </w:r>
      <w:r w:rsidR="000B6A21" w:rsidRPr="000B6A21">
        <w:rPr>
          <w:lang w:val="en-GB" w:eastAsia="de-DE"/>
        </w:rPr>
        <w:t>Nintedanib exposure increased linearly with patient age, was inversely correlated to weight and was generally higher in patients of Asian race.</w:t>
      </w:r>
      <w:r w:rsidR="000B6A21">
        <w:rPr>
          <w:lang w:val="en-GB" w:eastAsia="de-DE"/>
        </w:rPr>
        <w:t xml:space="preserve"> </w:t>
      </w:r>
      <w:r w:rsidR="000B6A21" w:rsidRPr="000B6A21">
        <w:rPr>
          <w:lang w:val="en-GB" w:eastAsia="de-DE"/>
        </w:rPr>
        <w:t xml:space="preserve"> </w:t>
      </w:r>
      <w:r w:rsidR="00A65AEF">
        <w:rPr>
          <w:lang w:val="en-GB" w:eastAsia="de-DE"/>
        </w:rPr>
        <w:t xml:space="preserve">These factors </w:t>
      </w:r>
      <w:r w:rsidR="000B6A21" w:rsidRPr="000B6A21">
        <w:rPr>
          <w:lang w:val="en-GB" w:eastAsia="de-DE"/>
        </w:rPr>
        <w:t xml:space="preserve">may result in higher risk of developing liver enzyme elevations. </w:t>
      </w:r>
      <w:r w:rsidR="000B6A21">
        <w:rPr>
          <w:lang w:val="en-GB" w:eastAsia="de-DE"/>
        </w:rPr>
        <w:t xml:space="preserve"> </w:t>
      </w:r>
      <w:r w:rsidR="000B6A21" w:rsidRPr="000B6A21">
        <w:rPr>
          <w:lang w:val="en-GB" w:eastAsia="de-DE"/>
        </w:rPr>
        <w:t xml:space="preserve">Close monitoring is recommended in patients with </w:t>
      </w:r>
      <w:r w:rsidR="00A65AEF">
        <w:rPr>
          <w:lang w:val="en-GB" w:eastAsia="de-DE"/>
        </w:rPr>
        <w:t xml:space="preserve">more than one </w:t>
      </w:r>
      <w:r w:rsidR="000B6A21" w:rsidRPr="000B6A21">
        <w:rPr>
          <w:lang w:val="en-GB" w:eastAsia="de-DE"/>
        </w:rPr>
        <w:t>of these risk factors.</w:t>
      </w:r>
    </w:p>
    <w:p w:rsidR="00DA4B2F" w:rsidRPr="000B6A21" w:rsidRDefault="00DA4B2F" w:rsidP="00A24210">
      <w:pPr>
        <w:pStyle w:val="TextPI"/>
        <w:rPr>
          <w:lang w:val="en-GB" w:eastAsia="de-DE"/>
        </w:rPr>
      </w:pPr>
      <w:r>
        <w:rPr>
          <w:lang w:val="en-GB" w:eastAsia="de-DE"/>
        </w:rPr>
        <w:t xml:space="preserve">In LUME-Lung 1, there was a higher frequency of serious adverse events in patients treated with nintedanib plus docetaxel with a body weight of less than 50 kg compared to patients with a weight </w:t>
      </w:r>
      <w:r>
        <w:rPr>
          <w:rFonts w:cs="Arial"/>
          <w:lang w:val="en-GB" w:eastAsia="de-DE"/>
        </w:rPr>
        <w:t>≥</w:t>
      </w:r>
      <w:r>
        <w:rPr>
          <w:lang w:val="en-GB" w:eastAsia="de-DE"/>
        </w:rPr>
        <w:t xml:space="preserve"> 50 kg; however the number of patients with a body weight of less than 50 kg was small.  Therefore close monitoring is recommended in patients weighing &lt; 50 kg.</w:t>
      </w:r>
    </w:p>
    <w:bookmarkEnd w:id="6"/>
    <w:bookmarkEnd w:id="7"/>
    <w:p w:rsidR="00D0597C" w:rsidRDefault="000B6A21" w:rsidP="00A24210">
      <w:pPr>
        <w:pStyle w:val="PIheading2"/>
        <w:rPr>
          <w:lang w:val="en-GB"/>
        </w:rPr>
      </w:pPr>
      <w:r w:rsidRPr="000B6A21">
        <w:rPr>
          <w:lang w:val="en-GB"/>
        </w:rPr>
        <w:t>Haemorrhage</w:t>
      </w:r>
    </w:p>
    <w:p w:rsidR="00437D17" w:rsidRPr="002C4443" w:rsidRDefault="00113B1C" w:rsidP="00A24210">
      <w:pPr>
        <w:pStyle w:val="TextPI"/>
        <w:rPr>
          <w:i/>
          <w:iCs/>
          <w:lang w:val="en-GB" w:eastAsia="de-DE"/>
        </w:rPr>
      </w:pPr>
      <w:r w:rsidRPr="002C4443">
        <w:rPr>
          <w:i/>
          <w:iCs/>
          <w:lang w:val="en-GB" w:eastAsia="de-DE"/>
        </w:rPr>
        <w:t>NSCLC</w:t>
      </w:r>
      <w:r w:rsidR="00437D17" w:rsidRPr="002C4443">
        <w:rPr>
          <w:i/>
          <w:iCs/>
          <w:lang w:val="en-GB" w:eastAsia="de-DE"/>
        </w:rPr>
        <w:t>:</w:t>
      </w:r>
    </w:p>
    <w:p w:rsidR="00A24210" w:rsidRDefault="000B6A21" w:rsidP="00A24210">
      <w:pPr>
        <w:pStyle w:val="TextPI"/>
        <w:rPr>
          <w:lang w:val="en-GB" w:eastAsia="de-DE"/>
        </w:rPr>
      </w:pPr>
      <w:r w:rsidRPr="000B6A21">
        <w:rPr>
          <w:lang w:val="en-GB" w:eastAsia="de-DE"/>
        </w:rPr>
        <w:t xml:space="preserve">VEGFR inhibition might be associated with an increased risk of bleeding. </w:t>
      </w:r>
      <w:r w:rsidR="00EC11C2">
        <w:rPr>
          <w:lang w:val="en-GB" w:eastAsia="de-DE"/>
        </w:rPr>
        <w:t xml:space="preserve"> </w:t>
      </w:r>
      <w:r w:rsidR="00A24210">
        <w:rPr>
          <w:lang w:val="en-GB" w:eastAsia="de-DE"/>
        </w:rPr>
        <w:t xml:space="preserve">In the clinical trial </w:t>
      </w:r>
      <w:r w:rsidRPr="000B6A21">
        <w:rPr>
          <w:lang w:val="en-GB" w:eastAsia="de-DE"/>
        </w:rPr>
        <w:t xml:space="preserve">LUME-Lung 1 with </w:t>
      </w:r>
      <w:r w:rsidR="007501C4">
        <w:rPr>
          <w:bCs/>
          <w:iCs/>
          <w:lang w:val="en-GB" w:eastAsia="de-DE"/>
        </w:rPr>
        <w:t>VARGATEF</w:t>
      </w:r>
      <w:r w:rsidRPr="000B6A21">
        <w:rPr>
          <w:lang w:val="en-GB" w:eastAsia="de-DE"/>
        </w:rPr>
        <w:t xml:space="preserve">, </w:t>
      </w:r>
      <w:r w:rsidR="001B3FC0">
        <w:rPr>
          <w:lang w:val="en-GB" w:eastAsia="de-DE"/>
        </w:rPr>
        <w:t>the</w:t>
      </w:r>
      <w:r w:rsidRPr="000B6A21">
        <w:rPr>
          <w:lang w:val="en-GB" w:eastAsia="de-DE"/>
        </w:rPr>
        <w:t xml:space="preserve"> frequency of bleeding </w:t>
      </w:r>
      <w:r w:rsidR="001B3FC0">
        <w:rPr>
          <w:lang w:val="en-GB" w:eastAsia="de-DE"/>
        </w:rPr>
        <w:t>in both treatment arms was comparable.  Mild to moderate epistaxis represented the most frequent bleeding event.  The majority of fatal bleeding events were tumour-associated.  There were no imbalances of respiratory or fatal bleedings and no intracerebral bleeding was reported</w:t>
      </w:r>
      <w:r w:rsidR="00A24210">
        <w:rPr>
          <w:lang w:val="en-GB" w:eastAsia="de-DE"/>
        </w:rPr>
        <w:t>.</w:t>
      </w:r>
    </w:p>
    <w:p w:rsidR="000B6A21" w:rsidRPr="000B6A21" w:rsidRDefault="000B6A21" w:rsidP="00A24210">
      <w:pPr>
        <w:pStyle w:val="TextPI"/>
        <w:rPr>
          <w:lang w:val="en-GB" w:eastAsia="de-DE"/>
        </w:rPr>
      </w:pPr>
      <w:r w:rsidRPr="000B6A21">
        <w:rPr>
          <w:lang w:val="en-GB" w:eastAsia="de-DE"/>
        </w:rPr>
        <w:t>Patients with recent pulmonary bleed</w:t>
      </w:r>
      <w:r w:rsidR="00F525B5">
        <w:rPr>
          <w:lang w:val="en-GB" w:eastAsia="de-DE"/>
        </w:rPr>
        <w:t>ing (&gt; 2.5 mL</w:t>
      </w:r>
      <w:r w:rsidRPr="000B6A21">
        <w:rPr>
          <w:lang w:val="en-GB" w:eastAsia="de-DE"/>
        </w:rPr>
        <w:t xml:space="preserve"> of red blood) as well as patients with centrally located tumours with radiographic evidence of local invasion of major blood vessels or radiographic evidence of cavitary or necrotic tumours have been excluded from clinical trials. </w:t>
      </w:r>
      <w:r w:rsidR="00EC11C2">
        <w:rPr>
          <w:lang w:val="en-GB" w:eastAsia="de-DE"/>
        </w:rPr>
        <w:t xml:space="preserve"> </w:t>
      </w:r>
      <w:r w:rsidRPr="000B6A21">
        <w:rPr>
          <w:lang w:val="en-GB" w:eastAsia="de-DE"/>
        </w:rPr>
        <w:t>Therefore</w:t>
      </w:r>
      <w:r w:rsidR="004B52A2">
        <w:rPr>
          <w:lang w:val="en-GB" w:eastAsia="de-DE"/>
        </w:rPr>
        <w:t>,</w:t>
      </w:r>
      <w:r w:rsidRPr="000B6A21">
        <w:rPr>
          <w:lang w:val="en-GB" w:eastAsia="de-DE"/>
        </w:rPr>
        <w:t xml:space="preserve"> it is not recommended to treat these patients with </w:t>
      </w:r>
      <w:r w:rsidR="007501C4">
        <w:rPr>
          <w:bCs/>
          <w:iCs/>
          <w:lang w:val="en-GB" w:eastAsia="de-DE"/>
        </w:rPr>
        <w:t>VARGATEF</w:t>
      </w:r>
      <w:r w:rsidRPr="000B6A21">
        <w:rPr>
          <w:lang w:val="en-GB" w:eastAsia="de-DE"/>
        </w:rPr>
        <w:t>.</w:t>
      </w:r>
    </w:p>
    <w:p w:rsidR="000B6A21" w:rsidRPr="000B6A21" w:rsidRDefault="000B6A21" w:rsidP="00F776B2">
      <w:pPr>
        <w:pStyle w:val="PIHeading3"/>
        <w:rPr>
          <w:lang w:val="en-GB" w:eastAsia="de-DE"/>
        </w:rPr>
      </w:pPr>
      <w:r w:rsidRPr="000B6A21">
        <w:rPr>
          <w:lang w:val="en-GB" w:eastAsia="de-DE"/>
        </w:rPr>
        <w:t>Brain metastasis</w:t>
      </w:r>
    </w:p>
    <w:p w:rsidR="000B6A21" w:rsidRPr="000B6A21" w:rsidRDefault="000B6A21" w:rsidP="00F776B2">
      <w:pPr>
        <w:pStyle w:val="TextPI"/>
        <w:rPr>
          <w:lang w:val="en-GB" w:eastAsia="de-DE"/>
        </w:rPr>
      </w:pPr>
      <w:r w:rsidRPr="000B6A21">
        <w:rPr>
          <w:i/>
          <w:lang w:val="en-GB" w:eastAsia="de-DE"/>
        </w:rPr>
        <w:t>Stable brain metastasis</w:t>
      </w:r>
      <w:r w:rsidR="00F776B2">
        <w:rPr>
          <w:i/>
          <w:lang w:val="en-GB" w:eastAsia="de-DE"/>
        </w:rPr>
        <w:t xml:space="preserve">: </w:t>
      </w:r>
      <w:r w:rsidRPr="000B6A21">
        <w:rPr>
          <w:lang w:val="en-GB" w:eastAsia="de-DE"/>
        </w:rPr>
        <w:t xml:space="preserve">No increased frequency of cerebral bleeding in patients with adequately pre-treated brain metastases which were stable for ≥ 4 weeks before start of treatment with </w:t>
      </w:r>
      <w:r w:rsidR="007501C4">
        <w:rPr>
          <w:bCs/>
          <w:iCs/>
          <w:lang w:val="en-GB" w:eastAsia="de-DE"/>
        </w:rPr>
        <w:t>VARGATEF</w:t>
      </w:r>
      <w:r w:rsidRPr="000B6A21">
        <w:rPr>
          <w:b/>
          <w:i/>
          <w:iCs/>
          <w:vertAlign w:val="superscript"/>
          <w:lang w:val="en-GB" w:eastAsia="de-DE"/>
        </w:rPr>
        <w:t xml:space="preserve"> </w:t>
      </w:r>
      <w:r w:rsidRPr="000B6A21">
        <w:rPr>
          <w:lang w:val="en-GB" w:eastAsia="de-DE"/>
        </w:rPr>
        <w:t xml:space="preserve">was observed. </w:t>
      </w:r>
      <w:r w:rsidR="00F525B5">
        <w:rPr>
          <w:lang w:val="en-GB" w:eastAsia="de-DE"/>
        </w:rPr>
        <w:t xml:space="preserve"> </w:t>
      </w:r>
      <w:r w:rsidRPr="000B6A21">
        <w:rPr>
          <w:lang w:val="en-GB" w:eastAsia="de-DE"/>
        </w:rPr>
        <w:t>However, such patients should be closely monitored for signs and s</w:t>
      </w:r>
      <w:r w:rsidR="00F776B2">
        <w:rPr>
          <w:lang w:val="en-GB" w:eastAsia="de-DE"/>
        </w:rPr>
        <w:t>ymptoms of cerebral bleeding.</w:t>
      </w:r>
    </w:p>
    <w:p w:rsidR="000B6A21" w:rsidRPr="000B6A21" w:rsidRDefault="000B6A21" w:rsidP="00F776B2">
      <w:pPr>
        <w:pStyle w:val="TextPI"/>
        <w:rPr>
          <w:lang w:val="en-GB" w:eastAsia="de-DE"/>
        </w:rPr>
      </w:pPr>
      <w:r w:rsidRPr="000B6A21">
        <w:rPr>
          <w:i/>
          <w:lang w:val="en-GB" w:eastAsia="de-DE"/>
        </w:rPr>
        <w:t>Active brain metastasis</w:t>
      </w:r>
      <w:r w:rsidR="00F776B2">
        <w:rPr>
          <w:i/>
          <w:lang w:val="en-GB" w:eastAsia="de-DE"/>
        </w:rPr>
        <w:t xml:space="preserve">: </w:t>
      </w:r>
      <w:r w:rsidRPr="000B6A21">
        <w:rPr>
          <w:lang w:val="en-GB" w:eastAsia="de-DE"/>
        </w:rPr>
        <w:t xml:space="preserve">Patients with active brain metastasis were excluded from clinical trials and are not recommended for treatment with </w:t>
      </w:r>
      <w:r w:rsidR="007501C4">
        <w:rPr>
          <w:bCs/>
          <w:iCs/>
          <w:lang w:val="en-GB" w:eastAsia="de-DE"/>
        </w:rPr>
        <w:t>VARGATEF</w:t>
      </w:r>
      <w:r w:rsidRPr="000B6A21">
        <w:rPr>
          <w:lang w:val="en-GB" w:eastAsia="de-DE"/>
        </w:rPr>
        <w:t>.</w:t>
      </w:r>
    </w:p>
    <w:p w:rsidR="00EC11C2" w:rsidRPr="00EC11C2" w:rsidRDefault="000B6A21" w:rsidP="00F776B2">
      <w:pPr>
        <w:pStyle w:val="PIHeading3"/>
        <w:rPr>
          <w:color w:val="000000" w:themeColor="text1"/>
          <w:lang w:val="en-GB"/>
        </w:rPr>
      </w:pPr>
      <w:r w:rsidRPr="000B6A21">
        <w:rPr>
          <w:lang w:val="en-GB" w:eastAsia="de-DE"/>
        </w:rPr>
        <w:t>Therapeutic anticoagulation</w:t>
      </w:r>
    </w:p>
    <w:p w:rsidR="000B6A21" w:rsidRDefault="000B6A21" w:rsidP="00787FF9">
      <w:pPr>
        <w:pStyle w:val="TextPI"/>
        <w:rPr>
          <w:lang w:val="en-GB"/>
        </w:rPr>
      </w:pPr>
      <w:r w:rsidRPr="00EC11C2">
        <w:rPr>
          <w:lang w:val="en-GB" w:eastAsia="de-DE"/>
        </w:rPr>
        <w:t xml:space="preserve">There are no data available for patients with inherited predisposition to bleeding </w:t>
      </w:r>
      <w:r w:rsidRPr="00EC11C2">
        <w:rPr>
          <w:lang w:val="en-GB"/>
        </w:rPr>
        <w:t xml:space="preserve">or for patients receiving a full dose of anticoagulative treatment prior to start of treatment with </w:t>
      </w:r>
      <w:r w:rsidR="007501C4">
        <w:rPr>
          <w:bCs/>
          <w:iCs/>
          <w:lang w:val="en-GB"/>
        </w:rPr>
        <w:t>VARGATEF</w:t>
      </w:r>
      <w:r w:rsidRPr="00EC11C2">
        <w:rPr>
          <w:lang w:val="en-GB"/>
        </w:rPr>
        <w:t>.</w:t>
      </w:r>
      <w:r w:rsidR="003A5380">
        <w:rPr>
          <w:lang w:val="en-GB"/>
        </w:rPr>
        <w:t xml:space="preserve"> </w:t>
      </w:r>
      <w:r w:rsidRPr="00EC11C2">
        <w:rPr>
          <w:lang w:val="en-GB"/>
        </w:rPr>
        <w:t xml:space="preserve"> In patients on </w:t>
      </w:r>
      <w:r w:rsidRPr="00EC11C2">
        <w:rPr>
          <w:rFonts w:eastAsia="MS Mincho"/>
          <w:iCs/>
          <w:lang w:val="en-GB" w:eastAsia="ja-JP"/>
        </w:rPr>
        <w:t xml:space="preserve">chronic low dose therapy with low molecular weight heparins or acetylsalicylic acid, </w:t>
      </w:r>
      <w:r w:rsidRPr="00EC11C2">
        <w:rPr>
          <w:lang w:val="en-GB"/>
        </w:rPr>
        <w:t>no increased frequency of bleeding was observed</w:t>
      </w:r>
      <w:r w:rsidRPr="00EC11C2">
        <w:rPr>
          <w:rFonts w:eastAsia="MS Mincho"/>
          <w:iCs/>
          <w:lang w:val="en-GB" w:eastAsia="ja-JP"/>
        </w:rPr>
        <w:t>.</w:t>
      </w:r>
      <w:r w:rsidR="003A5380">
        <w:rPr>
          <w:rFonts w:eastAsia="MS Mincho"/>
          <w:iCs/>
          <w:lang w:val="en-GB" w:eastAsia="ja-JP"/>
        </w:rPr>
        <w:t xml:space="preserve"> </w:t>
      </w:r>
      <w:r w:rsidRPr="00EC11C2">
        <w:rPr>
          <w:rFonts w:eastAsia="MS Mincho"/>
          <w:iCs/>
          <w:lang w:val="en-GB" w:eastAsia="ja-JP"/>
        </w:rPr>
        <w:t xml:space="preserve"> Patients who developed thromboembolic events during treatment and who required anticoagulant treatment were allowed to continue </w:t>
      </w:r>
      <w:r w:rsidR="007501C4">
        <w:rPr>
          <w:rFonts w:eastAsia="MS Mincho"/>
          <w:bCs/>
          <w:iCs/>
          <w:lang w:val="en-GB" w:eastAsia="ja-JP"/>
        </w:rPr>
        <w:t>VARGATEF</w:t>
      </w:r>
      <w:r w:rsidRPr="00EC11C2">
        <w:rPr>
          <w:rFonts w:eastAsia="MS Mincho"/>
          <w:b/>
          <w:i/>
          <w:iCs/>
          <w:vertAlign w:val="superscript"/>
          <w:lang w:val="en-GB" w:eastAsia="ja-JP"/>
        </w:rPr>
        <w:t xml:space="preserve"> </w:t>
      </w:r>
      <w:r w:rsidRPr="00EC11C2">
        <w:rPr>
          <w:rFonts w:eastAsia="MS Mincho"/>
          <w:iCs/>
          <w:lang w:val="en-GB" w:eastAsia="ja-JP"/>
        </w:rPr>
        <w:t>and did not show an</w:t>
      </w:r>
      <w:r w:rsidRPr="00EC11C2">
        <w:rPr>
          <w:lang w:val="en-GB"/>
        </w:rPr>
        <w:t xml:space="preserve"> increased frequency of bleeding events. </w:t>
      </w:r>
      <w:r w:rsidR="004E39B8">
        <w:rPr>
          <w:lang w:val="en-GB"/>
        </w:rPr>
        <w:t xml:space="preserve"> </w:t>
      </w:r>
      <w:r w:rsidRPr="00EC11C2">
        <w:rPr>
          <w:lang w:val="en-GB"/>
        </w:rPr>
        <w:t>Patients taking concomitant anticoagulation, such as warfarin should be monitored regularly for changes in prothrombin time, INR, or clinical bleeding episodes.</w:t>
      </w:r>
    </w:p>
    <w:p w:rsidR="00437D17" w:rsidRPr="002C4443" w:rsidRDefault="00437D17" w:rsidP="00787FF9">
      <w:pPr>
        <w:pStyle w:val="TextPI"/>
        <w:rPr>
          <w:i/>
          <w:iCs/>
          <w:lang w:val="en-GB"/>
        </w:rPr>
      </w:pPr>
      <w:r w:rsidRPr="002C4443">
        <w:rPr>
          <w:i/>
          <w:iCs/>
          <w:lang w:val="en-GB"/>
        </w:rPr>
        <w:t>IPF:</w:t>
      </w:r>
    </w:p>
    <w:p w:rsidR="00437D17" w:rsidRPr="00437D17" w:rsidRDefault="00437D17" w:rsidP="00437D17">
      <w:pPr>
        <w:pStyle w:val="TextPI"/>
        <w:rPr>
          <w:color w:val="000000" w:themeColor="text1"/>
          <w:lang w:val="en-GB"/>
        </w:rPr>
      </w:pPr>
      <w:r w:rsidRPr="00437D17">
        <w:rPr>
          <w:color w:val="000000" w:themeColor="text1"/>
          <w:lang w:val="en-GB"/>
        </w:rPr>
        <w:t xml:space="preserve">VEGFR inhibition might be associated with an increased risk of bleeding. In the INPULSIS trials with </w:t>
      </w:r>
      <w:r w:rsidR="007501C4">
        <w:rPr>
          <w:color w:val="000000" w:themeColor="text1"/>
          <w:lang w:val="en-GB"/>
        </w:rPr>
        <w:t>VARGATEF</w:t>
      </w:r>
      <w:r w:rsidRPr="00437D17">
        <w:rPr>
          <w:color w:val="000000" w:themeColor="text1"/>
          <w:lang w:val="en-GB"/>
        </w:rPr>
        <w:t>, no relevant bleeding risk was observed.</w:t>
      </w:r>
    </w:p>
    <w:p w:rsidR="00437D17" w:rsidRDefault="00437D17" w:rsidP="00437D17">
      <w:pPr>
        <w:pStyle w:val="TextPI"/>
        <w:rPr>
          <w:color w:val="000000" w:themeColor="text1"/>
          <w:lang w:val="en-GB"/>
        </w:rPr>
      </w:pPr>
      <w:r w:rsidRPr="00437D17">
        <w:rPr>
          <w:color w:val="000000" w:themeColor="text1"/>
          <w:lang w:val="en-GB"/>
        </w:rPr>
        <w:t xml:space="preserve">Patients at known risk for bleeding including patients with inherited predisposition to bleeding or patients receiving a full dose of anticoagulative treatment were not included in the INPULSIS studies. Therefore these patients should only be treated with </w:t>
      </w:r>
      <w:r w:rsidR="007501C4">
        <w:rPr>
          <w:color w:val="000000" w:themeColor="text1"/>
          <w:lang w:val="en-GB"/>
        </w:rPr>
        <w:t>VARGATEF</w:t>
      </w:r>
      <w:r w:rsidRPr="00437D17">
        <w:rPr>
          <w:color w:val="000000" w:themeColor="text1"/>
          <w:lang w:val="en-GB"/>
        </w:rPr>
        <w:t xml:space="preserve"> if the anticipated benefit outweighs the potential risk.  </w:t>
      </w:r>
    </w:p>
    <w:p w:rsidR="00437D17" w:rsidRPr="00E3043E" w:rsidRDefault="00437D17" w:rsidP="00E3043E">
      <w:pPr>
        <w:pStyle w:val="PIheading2"/>
      </w:pPr>
      <w:r w:rsidRPr="00E3043E">
        <w:lastRenderedPageBreak/>
        <w:t xml:space="preserve">Arterial thromboembolic events </w:t>
      </w:r>
    </w:p>
    <w:p w:rsidR="00E3043E" w:rsidRPr="002C4443" w:rsidRDefault="00E3043E" w:rsidP="00E3043E">
      <w:pPr>
        <w:pStyle w:val="TextPI"/>
        <w:rPr>
          <w:i/>
          <w:iCs/>
          <w:lang w:val="en-GB"/>
        </w:rPr>
      </w:pPr>
      <w:r w:rsidRPr="002C4443">
        <w:rPr>
          <w:i/>
          <w:iCs/>
          <w:lang w:val="en-GB"/>
        </w:rPr>
        <w:t>IPF:</w:t>
      </w:r>
    </w:p>
    <w:p w:rsidR="00437D17" w:rsidRPr="00437D17" w:rsidRDefault="00437D17" w:rsidP="00437D17">
      <w:pPr>
        <w:pStyle w:val="TextPI"/>
        <w:rPr>
          <w:color w:val="000000" w:themeColor="text1"/>
          <w:lang w:val="en-GB"/>
        </w:rPr>
      </w:pPr>
      <w:r w:rsidRPr="00437D17">
        <w:rPr>
          <w:color w:val="000000" w:themeColor="text1"/>
          <w:lang w:val="en-GB"/>
        </w:rPr>
        <w:t xml:space="preserve">Patients with a recent history of myocardial infarction or stroke were excluded from the INPULSIS trials. Arterial thromboembolic events were infrequently reported: in 0.7% of patients in the placebo and 2.5% in the nintedanib treated group. </w:t>
      </w:r>
    </w:p>
    <w:p w:rsidR="00437D17" w:rsidRPr="00EC11C2" w:rsidRDefault="00437D17" w:rsidP="00437D17">
      <w:pPr>
        <w:pStyle w:val="TextPI"/>
        <w:rPr>
          <w:color w:val="000000" w:themeColor="text1"/>
          <w:lang w:val="en-GB"/>
        </w:rPr>
      </w:pPr>
      <w:r w:rsidRPr="00437D17">
        <w:rPr>
          <w:color w:val="000000" w:themeColor="text1"/>
          <w:lang w:val="en-GB"/>
        </w:rPr>
        <w:t xml:space="preserve">While adverse events reflecting ischaemic heart disease were balanced between the nintedanib and placebo groups, a higher percentage of patients experienced myocardial infarctions in the nintedanib group (1.6%) compared to the placebo group (0.5%). </w:t>
      </w:r>
      <w:r w:rsidRPr="0071766C" w:rsidDel="001C42D1">
        <w:rPr>
          <w:color w:val="000000" w:themeColor="text1"/>
          <w:lang w:val="en-GB"/>
        </w:rPr>
        <w:t>Use caution when treating patients at higher cardiovascular risk including known coronary artery disease. Treatment interruption should be considered in patients who develop signs or symptoms of acute myocardial ischaemia.</w:t>
      </w:r>
    </w:p>
    <w:p w:rsidR="005D758C" w:rsidRDefault="005D758C" w:rsidP="00D0597C">
      <w:pPr>
        <w:pStyle w:val="PIheading2"/>
      </w:pPr>
      <w:r>
        <w:t>Venous thromboembolism</w:t>
      </w:r>
    </w:p>
    <w:p w:rsidR="00437D17" w:rsidRPr="002C4443" w:rsidRDefault="00437D17" w:rsidP="00437D17">
      <w:pPr>
        <w:pStyle w:val="TextPI"/>
        <w:rPr>
          <w:i/>
          <w:iCs/>
          <w:lang w:val="en-GB" w:eastAsia="de-DE"/>
        </w:rPr>
      </w:pPr>
      <w:r w:rsidRPr="002C4443">
        <w:rPr>
          <w:i/>
          <w:iCs/>
          <w:lang w:val="en-GB" w:eastAsia="de-DE"/>
        </w:rPr>
        <w:t>NSCLC:</w:t>
      </w:r>
    </w:p>
    <w:p w:rsidR="005D758C" w:rsidRDefault="005D758C" w:rsidP="00776941">
      <w:pPr>
        <w:pStyle w:val="TextPI"/>
      </w:pPr>
      <w:r w:rsidRPr="00776941">
        <w:t xml:space="preserve">Patients treated with </w:t>
      </w:r>
      <w:r w:rsidR="007501C4">
        <w:t>VARGATEF</w:t>
      </w:r>
      <w:r w:rsidRPr="00776941">
        <w:t xml:space="preserve"> have an increased risk of venous thromboembolism including deep vein thrombosis.  Patients should be closely monitored for thromboembolic events.  </w:t>
      </w:r>
      <w:r w:rsidR="007501C4">
        <w:t>VARGATEF</w:t>
      </w:r>
      <w:r w:rsidRPr="00776941">
        <w:t xml:space="preserve"> should be discontinued in patients with life-threatening venous thromboembolic reactions.</w:t>
      </w:r>
    </w:p>
    <w:p w:rsidR="00437D17" w:rsidRPr="002C4443" w:rsidRDefault="00437D17" w:rsidP="00437D17">
      <w:pPr>
        <w:pStyle w:val="TextPI"/>
        <w:rPr>
          <w:i/>
          <w:iCs/>
          <w:lang w:val="en-GB"/>
        </w:rPr>
      </w:pPr>
      <w:r w:rsidRPr="002C4443">
        <w:rPr>
          <w:i/>
          <w:iCs/>
          <w:lang w:val="en-GB"/>
        </w:rPr>
        <w:t>IPF:</w:t>
      </w:r>
    </w:p>
    <w:p w:rsidR="00437D17" w:rsidRPr="00776941" w:rsidRDefault="00437D17" w:rsidP="00776941">
      <w:pPr>
        <w:pStyle w:val="TextPI"/>
      </w:pPr>
      <w:r w:rsidRPr="00437D17">
        <w:t>In the INPULSIS trials no increased risk of venous thromboembolism was observed in nintedanib treated patients. Due to the mechanism of action of nintedanib patients might have an increased risk of thromboembolic events.</w:t>
      </w:r>
    </w:p>
    <w:p w:rsidR="007615D1" w:rsidRDefault="007615D1" w:rsidP="00D0597C">
      <w:pPr>
        <w:pStyle w:val="PIheading2"/>
        <w:rPr>
          <w:lang w:val="en-GB"/>
        </w:rPr>
      </w:pPr>
      <w:r>
        <w:rPr>
          <w:lang w:val="en-GB"/>
        </w:rPr>
        <w:t>Wound healing complication</w:t>
      </w:r>
    </w:p>
    <w:p w:rsidR="007615D1" w:rsidRPr="00FA3E8B" w:rsidRDefault="007615D1" w:rsidP="009B63D1">
      <w:pPr>
        <w:pStyle w:val="TextPI"/>
        <w:rPr>
          <w:rFonts w:eastAsia="MS Mincho"/>
        </w:rPr>
      </w:pPr>
      <w:r w:rsidRPr="009B63D1">
        <w:rPr>
          <w:rFonts w:eastAsia="MS Mincho"/>
        </w:rPr>
        <w:t xml:space="preserve">Based on the mechanism of action </w:t>
      </w:r>
      <w:r w:rsidRPr="009B63D1">
        <w:t xml:space="preserve">nintedanib </w:t>
      </w:r>
      <w:r w:rsidRPr="009B63D1">
        <w:rPr>
          <w:rFonts w:eastAsia="MS Mincho"/>
        </w:rPr>
        <w:t>may impair wound healing.  No increased frequency of impaired wound healing was observed in the</w:t>
      </w:r>
      <w:r w:rsidR="00DE099F">
        <w:rPr>
          <w:rFonts w:eastAsia="MS Mincho"/>
        </w:rPr>
        <w:t xml:space="preserve"> </w:t>
      </w:r>
      <w:r w:rsidR="00DE099F" w:rsidRPr="00FA3E8B">
        <w:rPr>
          <w:rFonts w:eastAsia="MS Mincho"/>
        </w:rPr>
        <w:t>clinical trials</w:t>
      </w:r>
      <w:r w:rsidRPr="00FA3E8B">
        <w:rPr>
          <w:rFonts w:eastAsia="MS Mincho"/>
        </w:rPr>
        <w:t xml:space="preserve">.  No dedicated studies investigating the effect of </w:t>
      </w:r>
      <w:r w:rsidRPr="00FA3E8B">
        <w:t xml:space="preserve">nintedanib </w:t>
      </w:r>
      <w:r w:rsidRPr="00FA3E8B">
        <w:rPr>
          <w:rFonts w:eastAsia="MS Mincho"/>
        </w:rPr>
        <w:t xml:space="preserve">on wound healing were performed. </w:t>
      </w:r>
      <w:r w:rsidR="00764B7F" w:rsidRPr="00FA3E8B">
        <w:rPr>
          <w:rFonts w:eastAsia="MS Mincho"/>
        </w:rPr>
        <w:t xml:space="preserve"> </w:t>
      </w:r>
      <w:r w:rsidRPr="00FA3E8B">
        <w:rPr>
          <w:rFonts w:eastAsia="MS Mincho"/>
        </w:rPr>
        <w:t xml:space="preserve">Treatment with </w:t>
      </w:r>
      <w:r w:rsidR="007501C4">
        <w:rPr>
          <w:rFonts w:eastAsia="MS Mincho"/>
        </w:rPr>
        <w:t>VARGATEF</w:t>
      </w:r>
      <w:r w:rsidRPr="00FA3E8B">
        <w:rPr>
          <w:rFonts w:eastAsia="MS Mincho"/>
        </w:rPr>
        <w:t xml:space="preserve"> should therefore only be initiated or - in case of perioperative interruption - resumed based on clinical judgement of adequate wound healing.</w:t>
      </w:r>
    </w:p>
    <w:p w:rsidR="008D763A" w:rsidRPr="002C4443" w:rsidRDefault="008D763A" w:rsidP="008D763A">
      <w:pPr>
        <w:pStyle w:val="PIheading2"/>
      </w:pPr>
      <w:r w:rsidRPr="002C4443">
        <w:t>Soya lecithin</w:t>
      </w:r>
    </w:p>
    <w:p w:rsidR="008D763A" w:rsidRPr="009B63D1" w:rsidRDefault="007501C4" w:rsidP="009B63D1">
      <w:pPr>
        <w:pStyle w:val="TextPI"/>
        <w:rPr>
          <w:rFonts w:eastAsia="MS Mincho"/>
        </w:rPr>
      </w:pPr>
      <w:r>
        <w:rPr>
          <w:rFonts w:eastAsia="MS Mincho"/>
        </w:rPr>
        <w:t>VARGATEF</w:t>
      </w:r>
      <w:r w:rsidR="008D763A" w:rsidRPr="008D763A">
        <w:rPr>
          <w:rFonts w:eastAsia="MS Mincho"/>
        </w:rPr>
        <w:t xml:space="preserve"> soft capsules contain soya lecithin (see </w:t>
      </w:r>
      <w:r w:rsidR="008D763A">
        <w:rPr>
          <w:rFonts w:eastAsia="MS Mincho"/>
        </w:rPr>
        <w:t>CONTRAINDICATIONS</w:t>
      </w:r>
      <w:r w:rsidR="008D763A" w:rsidRPr="008D763A">
        <w:rPr>
          <w:rFonts w:eastAsia="MS Mincho"/>
        </w:rPr>
        <w:t>).</w:t>
      </w:r>
    </w:p>
    <w:p w:rsidR="00D0597C" w:rsidRPr="00FB52D3" w:rsidRDefault="00D0597C" w:rsidP="00D0597C">
      <w:pPr>
        <w:pStyle w:val="PIheading2"/>
      </w:pPr>
      <w:r w:rsidRPr="00FB52D3">
        <w:t>Effects on fertility</w:t>
      </w:r>
    </w:p>
    <w:p w:rsidR="00D0597C" w:rsidRDefault="00F2486A" w:rsidP="00213207">
      <w:pPr>
        <w:pStyle w:val="TextPI"/>
        <w:rPr>
          <w:lang w:val="en-GB" w:eastAsia="en-GB"/>
        </w:rPr>
      </w:pPr>
      <w:r w:rsidRPr="000D4451">
        <w:rPr>
          <w:lang w:val="en-GB" w:eastAsia="en-GB"/>
        </w:rPr>
        <w:t xml:space="preserve">Based on preclinical investigations, there is no evidence for impairment of male fertility.  </w:t>
      </w:r>
      <w:r w:rsidR="000D4451" w:rsidRPr="000D4451">
        <w:rPr>
          <w:lang w:val="en-GB" w:eastAsia="en-GB"/>
        </w:rPr>
        <w:t xml:space="preserve">A study of male fertility and early embryonic development up to implantation in rats </w:t>
      </w:r>
      <w:r w:rsidR="00DF7E88" w:rsidRPr="00DF7E88">
        <w:rPr>
          <w:lang w:val="en-GB" w:eastAsia="en-GB"/>
        </w:rPr>
        <w:t xml:space="preserve">at 100 mg/kg/day </w:t>
      </w:r>
      <w:r w:rsidR="000D4451" w:rsidRPr="000D4451">
        <w:rPr>
          <w:lang w:val="en-GB" w:eastAsia="en-GB"/>
        </w:rPr>
        <w:t>did not reveal effects on the male reproductive tract and male fertility</w:t>
      </w:r>
      <w:r w:rsidR="000D4451" w:rsidRPr="000D4451">
        <w:rPr>
          <w:szCs w:val="24"/>
          <w:lang w:val="en-GB" w:eastAsia="en-GB"/>
        </w:rPr>
        <w:t>.</w:t>
      </w:r>
      <w:r w:rsidR="000D4451">
        <w:rPr>
          <w:szCs w:val="24"/>
          <w:lang w:val="en-GB" w:eastAsia="en-GB"/>
        </w:rPr>
        <w:t xml:space="preserve">  </w:t>
      </w:r>
      <w:r w:rsidR="00DF7E88">
        <w:rPr>
          <w:lang w:val="en-GB" w:eastAsia="en-GB"/>
        </w:rPr>
        <w:t>In the same species, nintedanib reduced female fertility at 100 mg/kg/day (</w:t>
      </w:r>
      <w:r w:rsidR="00040AE0">
        <w:rPr>
          <w:lang w:val="en-GB" w:eastAsia="en-GB"/>
        </w:rPr>
        <w:t>slightly above the clinical exposure on an AUC basis</w:t>
      </w:r>
      <w:r w:rsidR="00DF7E88">
        <w:rPr>
          <w:lang w:val="en-GB" w:eastAsia="en-GB"/>
        </w:rPr>
        <w:t xml:space="preserve">), and increased </w:t>
      </w:r>
      <w:r w:rsidR="00A83D28">
        <w:rPr>
          <w:lang w:val="en-GB" w:eastAsia="en-GB"/>
        </w:rPr>
        <w:t xml:space="preserve">early </w:t>
      </w:r>
      <w:r w:rsidR="00DF7E88">
        <w:rPr>
          <w:lang w:val="en-GB" w:eastAsia="en-GB"/>
        </w:rPr>
        <w:t xml:space="preserve">resorptions at </w:t>
      </w:r>
      <w:r w:rsidR="00DF7E88">
        <w:rPr>
          <w:rFonts w:cs="Arial"/>
          <w:lang w:val="en-GB" w:eastAsia="en-GB"/>
        </w:rPr>
        <w:t>≥</w:t>
      </w:r>
      <w:r w:rsidR="00DF7E88">
        <w:rPr>
          <w:lang w:val="en-GB" w:eastAsia="en-GB"/>
        </w:rPr>
        <w:t xml:space="preserve">20 mg/kg/day (below clinical exposure based on AUC).  </w:t>
      </w:r>
      <w:r w:rsidR="00040AE0">
        <w:rPr>
          <w:lang w:val="en-GB" w:eastAsia="en-GB"/>
        </w:rPr>
        <w:t>Ovarian follicles and corpora lutea (</w:t>
      </w:r>
      <w:r w:rsidR="00DF7E88">
        <w:rPr>
          <w:lang w:val="en-GB" w:eastAsia="en-GB"/>
        </w:rPr>
        <w:t>increased luteinised follicles and increased number and decreased size of corpora lutea</w:t>
      </w:r>
      <w:r w:rsidR="00040AE0">
        <w:rPr>
          <w:lang w:val="en-GB" w:eastAsia="en-GB"/>
        </w:rPr>
        <w:t>)</w:t>
      </w:r>
      <w:r w:rsidR="00DF7E88">
        <w:rPr>
          <w:lang w:val="en-GB" w:eastAsia="en-GB"/>
        </w:rPr>
        <w:t xml:space="preserve"> were </w:t>
      </w:r>
      <w:r w:rsidR="00040AE0">
        <w:rPr>
          <w:lang w:val="en-GB" w:eastAsia="en-GB"/>
        </w:rPr>
        <w:t xml:space="preserve">adversely affected </w:t>
      </w:r>
      <w:r w:rsidR="00DF7E88">
        <w:rPr>
          <w:lang w:val="en-GB" w:eastAsia="en-GB"/>
        </w:rPr>
        <w:t>in mice and rats at subclinical exposures</w:t>
      </w:r>
      <w:r w:rsidRPr="000D4451">
        <w:rPr>
          <w:lang w:val="en-GB" w:eastAsia="en-GB"/>
        </w:rPr>
        <w:t>.</w:t>
      </w:r>
    </w:p>
    <w:p w:rsidR="00ED1562" w:rsidRPr="00213207" w:rsidRDefault="00A24338" w:rsidP="00213207">
      <w:pPr>
        <w:pStyle w:val="PIheading2"/>
      </w:pPr>
      <w:r w:rsidRPr="00213207">
        <w:t xml:space="preserve">Use in pregnancy (Category </w:t>
      </w:r>
      <w:r w:rsidR="007148C2">
        <w:t>D</w:t>
      </w:r>
      <w:r w:rsidRPr="00213207">
        <w:t>)</w:t>
      </w:r>
    </w:p>
    <w:p w:rsidR="00F614FC" w:rsidRDefault="00A24338" w:rsidP="00213207">
      <w:pPr>
        <w:pStyle w:val="TextPI"/>
      </w:pPr>
      <w:r w:rsidRPr="00213207">
        <w:t xml:space="preserve">There is no information on the use of </w:t>
      </w:r>
      <w:r w:rsidR="007501C4">
        <w:t>VARGATEF</w:t>
      </w:r>
      <w:r w:rsidRPr="00213207">
        <w:t xml:space="preserve"> in pregnant women, but pre-clinical studies in animals have shown reproductive toxicity of this drug. </w:t>
      </w:r>
      <w:r w:rsidR="000D4451" w:rsidRPr="00213207">
        <w:t xml:space="preserve"> </w:t>
      </w:r>
    </w:p>
    <w:p w:rsidR="00213207" w:rsidRPr="008A5610" w:rsidRDefault="00F614FC" w:rsidP="00213207">
      <w:pPr>
        <w:pStyle w:val="TextPI"/>
      </w:pPr>
      <w:r w:rsidRPr="008A5610">
        <w:rPr>
          <w:i/>
          <w:iCs/>
        </w:rPr>
        <w:lastRenderedPageBreak/>
        <w:t>NSCLC</w:t>
      </w:r>
      <w:r w:rsidRPr="008A5610">
        <w:t xml:space="preserve">: </w:t>
      </w:r>
      <w:r w:rsidR="000D4451" w:rsidRPr="008A5610">
        <w:t xml:space="preserve">In rats, embryo-fetal lethality and teratogenic effects were observed at an exposure </w:t>
      </w:r>
      <w:r w:rsidR="007148C2">
        <w:t>significantly</w:t>
      </w:r>
      <w:r w:rsidR="000D4451" w:rsidRPr="008A5610">
        <w:t xml:space="preserve"> lower</w:t>
      </w:r>
      <w:r w:rsidR="007148C2">
        <w:t xml:space="preserve"> (below the level of quantification, at 2.5 mg/kg/day)</w:t>
      </w:r>
      <w:r w:rsidR="000D4451" w:rsidRPr="008A5610">
        <w:t xml:space="preserve"> than at the maximal recommended human dose (MRHD) of </w:t>
      </w:r>
      <w:r w:rsidR="007148C2">
        <w:t xml:space="preserve">200 </w:t>
      </w:r>
      <w:r w:rsidR="000D4451" w:rsidRPr="008A5610">
        <w:t>mg twice daily.</w:t>
      </w:r>
    </w:p>
    <w:p w:rsidR="000D4451" w:rsidRDefault="005634EA" w:rsidP="00213207">
      <w:pPr>
        <w:pStyle w:val="TextPI"/>
      </w:pPr>
      <w:r w:rsidRPr="008A5610">
        <w:t>In rabbits, embryo-f</w:t>
      </w:r>
      <w:r w:rsidR="000D4451" w:rsidRPr="008A5610">
        <w:t xml:space="preserve">etal lethality and teratogenic effects were observed at </w:t>
      </w:r>
      <w:r w:rsidR="007148C2">
        <w:t xml:space="preserve">15 mg/kg/day with </w:t>
      </w:r>
      <w:r w:rsidR="000D4451" w:rsidRPr="008A5610">
        <w:t xml:space="preserve">an exposure approximately </w:t>
      </w:r>
      <w:r w:rsidR="007148C2">
        <w:t xml:space="preserve">4 </w:t>
      </w:r>
      <w:r w:rsidR="000D4451" w:rsidRPr="008A5610">
        <w:t>times higher than at the MHRD but equivocal effects on</w:t>
      </w:r>
      <w:r w:rsidRPr="008A5610">
        <w:t xml:space="preserve"> the embryo-f</w:t>
      </w:r>
      <w:r w:rsidR="000D4451" w:rsidRPr="008A5610">
        <w:t xml:space="preserve">etal development of the axial skeleton and the heart were noted already at an exposure below than at the </w:t>
      </w:r>
      <w:r w:rsidR="00DB4252">
        <w:t>MRHD</w:t>
      </w:r>
      <w:r w:rsidR="00DB4252" w:rsidRPr="008A5610">
        <w:t xml:space="preserve"> </w:t>
      </w:r>
      <w:r w:rsidR="000D4451" w:rsidRPr="008A5610">
        <w:t xml:space="preserve">of </w:t>
      </w:r>
      <w:r w:rsidR="007148C2">
        <w:t xml:space="preserve">200 </w:t>
      </w:r>
      <w:r w:rsidR="000D4451" w:rsidRPr="008A5610">
        <w:t>mg twice daily.</w:t>
      </w:r>
    </w:p>
    <w:p w:rsidR="00F614FC" w:rsidRDefault="00F614FC" w:rsidP="00F614FC">
      <w:pPr>
        <w:pStyle w:val="TextPI"/>
      </w:pPr>
      <w:r w:rsidRPr="008A5610">
        <w:rPr>
          <w:i/>
          <w:iCs/>
        </w:rPr>
        <w:t>IPF</w:t>
      </w:r>
      <w:r w:rsidR="00A32C40">
        <w:t>: In rats, embryo-f</w:t>
      </w:r>
      <w:r>
        <w:t xml:space="preserve">etal lethality and teratogenic effects were observed at an exposure </w:t>
      </w:r>
      <w:r w:rsidR="007148C2">
        <w:t xml:space="preserve">significantly </w:t>
      </w:r>
      <w:r>
        <w:t xml:space="preserve">lower </w:t>
      </w:r>
      <w:r w:rsidR="007148C2">
        <w:t xml:space="preserve">(below the level of quantification, at 2.5 mg/kg/day) </w:t>
      </w:r>
      <w:r>
        <w:t xml:space="preserve">than at the maximal recommended human dose (MRHD) of 150 mg </w:t>
      </w:r>
      <w:r w:rsidR="002C4443">
        <w:t>twice daily</w:t>
      </w:r>
      <w:r>
        <w:t xml:space="preserve">.  </w:t>
      </w:r>
    </w:p>
    <w:p w:rsidR="00F614FC" w:rsidRDefault="00A32C40" w:rsidP="00F614FC">
      <w:pPr>
        <w:pStyle w:val="TextPI"/>
      </w:pPr>
      <w:r>
        <w:t>In rabbits, embryo-f</w:t>
      </w:r>
      <w:r w:rsidR="00F614FC">
        <w:t xml:space="preserve">etal lethality and teratogenic effects were observed at </w:t>
      </w:r>
      <w:r w:rsidR="007148C2">
        <w:t xml:space="preserve">15 mg/kg/day with </w:t>
      </w:r>
      <w:r w:rsidR="00F614FC">
        <w:t xml:space="preserve">an exposure approximately </w:t>
      </w:r>
      <w:r w:rsidR="007148C2">
        <w:t xml:space="preserve">5 </w:t>
      </w:r>
      <w:r w:rsidR="00F614FC">
        <w:t xml:space="preserve">times higher than at the MHRD but equivocal effects on the embryo-fetal development of the axial skeleton and the heart were noted already at an exposure below that at the </w:t>
      </w:r>
      <w:r w:rsidR="00DB4252">
        <w:t xml:space="preserve">MRHD </w:t>
      </w:r>
      <w:r w:rsidR="00F614FC">
        <w:t>of 150 mg twice daily.</w:t>
      </w:r>
    </w:p>
    <w:p w:rsidR="007148C2" w:rsidRPr="007148C2" w:rsidRDefault="007148C2" w:rsidP="00F614FC">
      <w:pPr>
        <w:pStyle w:val="TextPI"/>
        <w:rPr>
          <w:lang w:val="en-GB"/>
        </w:rPr>
      </w:pPr>
      <w:r w:rsidRPr="007148C2">
        <w:rPr>
          <w:lang w:val="en-GB"/>
        </w:rPr>
        <w:t>Fetal abnormalities included brachydactyly, major artery anomalies (missing, additional, altered position or size), abnormal heart shape, missing urogenital organs (kidneys, ureter, uterus, ductus deferens, ovaries), vertebral anomalies (missing, fused, displaced, cleft, asymmetrical ossification), and rib anomalies (flat, thickened, additional, fused).</w:t>
      </w:r>
    </w:p>
    <w:p w:rsidR="005634EA" w:rsidRDefault="00A24338" w:rsidP="00213207">
      <w:pPr>
        <w:pStyle w:val="TextPI"/>
      </w:pPr>
      <w:r w:rsidRPr="00213207">
        <w:t xml:space="preserve">As nintedanib may cause fetal harm also in humans, it must not be </w:t>
      </w:r>
      <w:r w:rsidR="005634EA">
        <w:t>used</w:t>
      </w:r>
      <w:r w:rsidRPr="00213207">
        <w:t xml:space="preserve"> during pregnancy </w:t>
      </w:r>
      <w:r w:rsidRPr="00427020">
        <w:t xml:space="preserve">and pregnancy testing should be conducted at least prior to treatment with </w:t>
      </w:r>
      <w:r w:rsidR="007501C4">
        <w:t>VARGATEF</w:t>
      </w:r>
      <w:r w:rsidRPr="00427020">
        <w:t xml:space="preserve">.  Female patients should be advised to notify their doctor or pharmacist if </w:t>
      </w:r>
      <w:r w:rsidR="005634EA" w:rsidRPr="006149A5">
        <w:t xml:space="preserve">they </w:t>
      </w:r>
      <w:r w:rsidRPr="006149A5">
        <w:t>becom</w:t>
      </w:r>
      <w:r w:rsidR="005634EA" w:rsidRPr="006149A5">
        <w:t>e</w:t>
      </w:r>
      <w:r w:rsidRPr="006149A5">
        <w:t xml:space="preserve"> pregnan</w:t>
      </w:r>
      <w:r w:rsidR="005634EA" w:rsidRPr="006149A5">
        <w:t xml:space="preserve">t during therapy with </w:t>
      </w:r>
      <w:r w:rsidR="007501C4">
        <w:t>VARGATEF</w:t>
      </w:r>
      <w:r w:rsidRPr="006149A5">
        <w:t>.  If the pati</w:t>
      </w:r>
      <w:r w:rsidRPr="00213207">
        <w:t xml:space="preserve">ent becomes pregnant while receiving </w:t>
      </w:r>
      <w:r w:rsidR="007501C4">
        <w:t>VARGATEF</w:t>
      </w:r>
      <w:r w:rsidRPr="00213207">
        <w:t xml:space="preserve"> the patient should be apprised of the potential hazard to the fetus.  </w:t>
      </w:r>
      <w:r w:rsidR="00C83159">
        <w:t xml:space="preserve">Discontinuation </w:t>
      </w:r>
      <w:r w:rsidRPr="00213207">
        <w:t>of the t</w:t>
      </w:r>
      <w:r w:rsidR="005634EA">
        <w:t>reatment should be considered.</w:t>
      </w:r>
    </w:p>
    <w:p w:rsidR="00A24338" w:rsidRPr="00213207" w:rsidRDefault="00C83159" w:rsidP="00213207">
      <w:pPr>
        <w:pStyle w:val="TextPI"/>
      </w:pPr>
      <w:r w:rsidRPr="00213207">
        <w:rPr>
          <w:rFonts w:eastAsia="MS Mincho"/>
        </w:rPr>
        <w:t xml:space="preserve">Women of childbearing potential should be advised to avoid becoming pregnant while receiving treatment with </w:t>
      </w:r>
      <w:r w:rsidR="007501C4">
        <w:rPr>
          <w:rFonts w:eastAsia="MS Mincho"/>
        </w:rPr>
        <w:t>VARGATEF</w:t>
      </w:r>
      <w:r>
        <w:rPr>
          <w:rFonts w:eastAsia="MS Mincho"/>
        </w:rPr>
        <w:t xml:space="preserve">. </w:t>
      </w:r>
      <w:r w:rsidR="00A24338" w:rsidRPr="00213207">
        <w:t xml:space="preserve">Women of childbearing potential being treated with </w:t>
      </w:r>
      <w:r w:rsidR="007501C4">
        <w:t>VARGATEF</w:t>
      </w:r>
      <w:r w:rsidR="00A24338" w:rsidRPr="00213207">
        <w:t xml:space="preserve"> should be advised to use adequate contraception during and at least 3 months after the last dose of </w:t>
      </w:r>
      <w:r w:rsidR="007501C4">
        <w:t>VARGATEF</w:t>
      </w:r>
      <w:r w:rsidR="00A24338" w:rsidRPr="00213207">
        <w:t>.</w:t>
      </w:r>
      <w:r w:rsidR="000D4451" w:rsidRPr="00213207">
        <w:t xml:space="preserve"> </w:t>
      </w:r>
      <w:r w:rsidR="00A24338" w:rsidRPr="00213207">
        <w:rPr>
          <w:rFonts w:eastAsia="MS Mincho"/>
        </w:rPr>
        <w:t xml:space="preserve"> </w:t>
      </w:r>
      <w:r w:rsidRPr="003932AC">
        <w:rPr>
          <w:rFonts w:eastAsia="MS Mincho"/>
        </w:rPr>
        <w:t xml:space="preserve">Since the effect of </w:t>
      </w:r>
      <w:r w:rsidR="007501C4">
        <w:rPr>
          <w:rFonts w:eastAsia="MS Mincho"/>
        </w:rPr>
        <w:t>VARGATEF</w:t>
      </w:r>
      <w:r w:rsidRPr="003932AC">
        <w:rPr>
          <w:rFonts w:eastAsia="MS Mincho"/>
        </w:rPr>
        <w:t xml:space="preserve"> on the metabolism and efficacy of hormonal contraceptives has not been investigated, barrier methods should be applied as a second form of contraception, to avoid pregnancy.</w:t>
      </w:r>
      <w:r>
        <w:rPr>
          <w:rFonts w:eastAsia="MS Mincho"/>
        </w:rPr>
        <w:t xml:space="preserve"> </w:t>
      </w:r>
    </w:p>
    <w:p w:rsidR="009436FB" w:rsidRDefault="009436FB" w:rsidP="00FB52D3">
      <w:pPr>
        <w:pStyle w:val="PIheading2"/>
      </w:pPr>
      <w:r>
        <w:t>Use in lactation</w:t>
      </w:r>
    </w:p>
    <w:p w:rsidR="009436FB" w:rsidRPr="009436FB" w:rsidRDefault="009436FB" w:rsidP="00266B38">
      <w:pPr>
        <w:pStyle w:val="TextPI"/>
        <w:rPr>
          <w:rFonts w:eastAsia="SimSun"/>
          <w:strike/>
          <w:lang w:val="en-GB" w:eastAsia="zh-CN"/>
        </w:rPr>
      </w:pPr>
      <w:r w:rsidRPr="009436FB">
        <w:rPr>
          <w:rFonts w:eastAsia="SimSun"/>
          <w:lang w:val="en-GB" w:eastAsia="zh-CN"/>
        </w:rPr>
        <w:t xml:space="preserve">There is no information on the excretion of nintedanib and its metabolites in human milk. </w:t>
      </w:r>
      <w:r w:rsidRPr="009436FB">
        <w:rPr>
          <w:rFonts w:eastAsia="SimSun"/>
          <w:lang w:val="en-GB" w:eastAsia="zh-CN"/>
        </w:rPr>
        <w:br/>
        <w:t>Pre-clinical studies showed that small amounts of nintedanib and</w:t>
      </w:r>
      <w:r w:rsidR="006E1339">
        <w:rPr>
          <w:rFonts w:eastAsia="SimSun"/>
          <w:lang w:val="en-GB" w:eastAsia="zh-CN"/>
        </w:rPr>
        <w:t>/or</w:t>
      </w:r>
      <w:r w:rsidRPr="009436FB">
        <w:rPr>
          <w:rFonts w:eastAsia="SimSun"/>
          <w:lang w:val="en-GB" w:eastAsia="zh-CN"/>
        </w:rPr>
        <w:t xml:space="preserve"> its metabolites (≤ 0.5% of the administered dose) were secreted into milk of lactating rats.</w:t>
      </w:r>
    </w:p>
    <w:p w:rsidR="006E1339" w:rsidRDefault="006E1339" w:rsidP="00287D5D">
      <w:pPr>
        <w:pStyle w:val="TextPI"/>
        <w:rPr>
          <w:rFonts w:eastAsia="SimSun"/>
          <w:lang w:val="en-GB" w:eastAsia="zh-CN"/>
        </w:rPr>
      </w:pPr>
      <w:r w:rsidRPr="006E1339">
        <w:rPr>
          <w:rFonts w:eastAsia="SimSun"/>
          <w:lang w:val="en-GB" w:eastAsia="zh-CN"/>
        </w:rPr>
        <w:t>Decreased postnatal viability during the first 4 postnatal days was observed in rats dosed with 10 mg/kg/day nintedanib from gestation day 6 to postnatal day 20 (exposure less than the clinical exposure based on AUC).</w:t>
      </w:r>
    </w:p>
    <w:p w:rsidR="00427020" w:rsidRDefault="006E1339" w:rsidP="00287D5D">
      <w:pPr>
        <w:pStyle w:val="TextPI"/>
        <w:rPr>
          <w:rFonts w:eastAsia="SimSun"/>
          <w:iCs/>
          <w:lang w:val="en-GB" w:eastAsia="zh-CN"/>
        </w:rPr>
      </w:pPr>
      <w:r>
        <w:t xml:space="preserve">Because of the potential for serious adverse effects in breastfeeding </w:t>
      </w:r>
      <w:r w:rsidR="009436FB" w:rsidRPr="009436FB">
        <w:rPr>
          <w:rFonts w:eastAsia="SimSun"/>
          <w:lang w:val="en-GB" w:eastAsia="zh-CN"/>
        </w:rPr>
        <w:t>infants</w:t>
      </w:r>
      <w:r>
        <w:rPr>
          <w:rFonts w:eastAsia="SimSun"/>
          <w:lang w:val="en-GB" w:eastAsia="zh-CN"/>
        </w:rPr>
        <w:t>, b</w:t>
      </w:r>
      <w:r w:rsidR="009436FB" w:rsidRPr="009436FB">
        <w:rPr>
          <w:rFonts w:eastAsia="SimSun"/>
          <w:lang w:val="en-GB" w:eastAsia="zh-CN"/>
        </w:rPr>
        <w:t xml:space="preserve">reastfeeding should be discontinued during treatment with </w:t>
      </w:r>
      <w:r w:rsidR="007501C4">
        <w:rPr>
          <w:rFonts w:eastAsia="SimSun"/>
          <w:iCs/>
          <w:lang w:val="en-GB" w:eastAsia="zh-CN"/>
        </w:rPr>
        <w:t>VARGATEF</w:t>
      </w:r>
      <w:r w:rsidR="00287D5D">
        <w:rPr>
          <w:rFonts w:eastAsia="SimSun"/>
          <w:iCs/>
          <w:lang w:val="en-GB" w:eastAsia="zh-CN"/>
        </w:rPr>
        <w:t>.</w:t>
      </w:r>
    </w:p>
    <w:p w:rsidR="00910460" w:rsidRPr="00F614FC" w:rsidRDefault="008C5199" w:rsidP="00FB52D3">
      <w:pPr>
        <w:pStyle w:val="PIheading2"/>
      </w:pPr>
      <w:r w:rsidRPr="00F614FC">
        <w:t>Genotoxicity</w:t>
      </w:r>
    </w:p>
    <w:p w:rsidR="002E69FC" w:rsidRPr="00287D5D" w:rsidRDefault="002E69FC" w:rsidP="00287D5D">
      <w:pPr>
        <w:pStyle w:val="TextPI"/>
      </w:pPr>
      <w:r w:rsidRPr="002E69FC">
        <w:t xml:space="preserve">Nintedanib was not genotoxic in the bacterial reverse mutation assay, </w:t>
      </w:r>
      <w:r w:rsidRPr="002E69FC">
        <w:rPr>
          <w:i/>
          <w:iCs/>
        </w:rPr>
        <w:t>in vitro</w:t>
      </w:r>
      <w:r w:rsidRPr="002E69FC">
        <w:t xml:space="preserve"> mouse lymphoma cell forward mutation assay, and </w:t>
      </w:r>
      <w:r w:rsidRPr="002E69FC">
        <w:rPr>
          <w:i/>
          <w:iCs/>
        </w:rPr>
        <w:t>in vivo</w:t>
      </w:r>
      <w:r w:rsidRPr="002E69FC">
        <w:t xml:space="preserve"> rat micronucleus assay.</w:t>
      </w:r>
    </w:p>
    <w:p w:rsidR="00A61E60" w:rsidRDefault="00A61E60" w:rsidP="00FB52D3">
      <w:pPr>
        <w:pStyle w:val="PIheading2"/>
      </w:pPr>
      <w:r>
        <w:t>Carcinogenicity</w:t>
      </w:r>
    </w:p>
    <w:p w:rsidR="005F2B8D" w:rsidRPr="00A61E60" w:rsidRDefault="005F2B8D" w:rsidP="00A61E60">
      <w:pPr>
        <w:pStyle w:val="TextPI"/>
        <w:rPr>
          <w:lang w:val="en-GB"/>
        </w:rPr>
      </w:pPr>
      <w:r w:rsidRPr="004A3CCE">
        <w:rPr>
          <w:lang w:val="en-GB"/>
        </w:rPr>
        <w:t xml:space="preserve">There was no evidence of carcinogenicity in a 103-week study in mice at oral doses of nintedanib up to 30 mg/kg/day, or in a 104-week study in rats at oral doses up to 10 </w:t>
      </w:r>
      <w:r w:rsidRPr="004A3CCE">
        <w:rPr>
          <w:lang w:val="en-GB"/>
        </w:rPr>
        <w:lastRenderedPageBreak/>
        <w:t>mg/kg/day, resulting in approximately 2.5 and 0.15 times the human exposure (AUC) at the maximum recommended human dose (MRHD) of 200 mg twice daily, respectively.</w:t>
      </w:r>
    </w:p>
    <w:p w:rsidR="008C5199" w:rsidRPr="00A61E60" w:rsidRDefault="008C5199" w:rsidP="00FB52D3">
      <w:pPr>
        <w:pStyle w:val="PIheading2"/>
        <w:rPr>
          <w:rFonts w:eastAsia="MS Mincho"/>
          <w:lang w:val="en-GB" w:eastAsia="ja-JP"/>
        </w:rPr>
      </w:pPr>
      <w:r w:rsidRPr="00A61E60">
        <w:rPr>
          <w:rFonts w:eastAsia="MS Mincho"/>
          <w:lang w:val="en-GB" w:eastAsia="ja-JP"/>
        </w:rPr>
        <w:t>Effects on ability to drive and use machines</w:t>
      </w:r>
    </w:p>
    <w:p w:rsidR="008C5199" w:rsidRPr="008C5199" w:rsidRDefault="008C5199" w:rsidP="00C53CA0">
      <w:pPr>
        <w:pStyle w:val="TextPI"/>
        <w:rPr>
          <w:lang w:val="en-GB" w:eastAsia="de-DE"/>
        </w:rPr>
      </w:pPr>
      <w:r w:rsidRPr="008C5199">
        <w:rPr>
          <w:lang w:val="en-GB" w:eastAsia="de-DE"/>
        </w:rPr>
        <w:t xml:space="preserve">No studies of the effects on the ability to drive and use machines have been performed. </w:t>
      </w:r>
    </w:p>
    <w:p w:rsidR="008C5199" w:rsidRDefault="008C5199" w:rsidP="00C53CA0">
      <w:pPr>
        <w:pStyle w:val="TextPI"/>
        <w:rPr>
          <w:rFonts w:eastAsia="MS Mincho"/>
          <w:iCs/>
          <w:lang w:val="en-GB" w:eastAsia="ja-JP"/>
        </w:rPr>
      </w:pPr>
      <w:r w:rsidRPr="008C5199">
        <w:rPr>
          <w:rFonts w:eastAsia="MS Mincho"/>
          <w:lang w:val="en-GB" w:eastAsia="ja-JP"/>
        </w:rPr>
        <w:t xml:space="preserve">Patients should be advised to be cautious when driving or using machines during treatment with </w:t>
      </w:r>
      <w:r w:rsidR="007501C4">
        <w:rPr>
          <w:rFonts w:eastAsia="MS Mincho"/>
          <w:iCs/>
          <w:lang w:val="en-GB" w:eastAsia="ja-JP"/>
        </w:rPr>
        <w:t>VARGATEF</w:t>
      </w:r>
      <w:r w:rsidR="008A3D38">
        <w:rPr>
          <w:rFonts w:eastAsia="MS Mincho"/>
          <w:iCs/>
          <w:lang w:val="en-GB" w:eastAsia="ja-JP"/>
        </w:rPr>
        <w:t>.</w:t>
      </w:r>
    </w:p>
    <w:p w:rsidR="00C921BA" w:rsidRDefault="00C921BA" w:rsidP="00C921BA">
      <w:pPr>
        <w:pStyle w:val="PIheading2"/>
        <w:rPr>
          <w:rFonts w:eastAsia="MS Mincho"/>
          <w:lang w:val="en-GB" w:eastAsia="ja-JP"/>
        </w:rPr>
      </w:pPr>
      <w:r>
        <w:rPr>
          <w:rFonts w:eastAsia="MS Mincho"/>
          <w:lang w:val="en-GB" w:eastAsia="ja-JP"/>
        </w:rPr>
        <w:t>Docetaxel</w:t>
      </w:r>
    </w:p>
    <w:p w:rsidR="00213207" w:rsidRPr="00C921BA" w:rsidRDefault="00213207" w:rsidP="00C921BA">
      <w:pPr>
        <w:pStyle w:val="TextPI"/>
      </w:pPr>
      <w:r w:rsidRPr="00C921BA">
        <w:rPr>
          <w:rFonts w:eastAsia="MS Mincho"/>
        </w:rPr>
        <w:t>For precautions related to docetaxel please refer to the corresponding product information for docetaxel.</w:t>
      </w:r>
    </w:p>
    <w:p w:rsidR="0032121C" w:rsidRPr="0042370A" w:rsidRDefault="0032121C" w:rsidP="009D1126">
      <w:pPr>
        <w:pStyle w:val="PIHeading1"/>
      </w:pPr>
      <w:r w:rsidRPr="0042370A">
        <w:t>Interactions with other medicines</w:t>
      </w:r>
    </w:p>
    <w:p w:rsidR="008961FC" w:rsidRPr="008961FC" w:rsidRDefault="008961FC" w:rsidP="003937B8">
      <w:pPr>
        <w:pStyle w:val="TextPI"/>
        <w:rPr>
          <w:noProof/>
          <w:lang w:val="en-GB" w:eastAsia="de-DE"/>
        </w:rPr>
      </w:pPr>
      <w:r w:rsidRPr="008961FC">
        <w:rPr>
          <w:noProof/>
          <w:lang w:val="en-GB" w:eastAsia="de-DE"/>
        </w:rPr>
        <w:t>Interaction studies have only been performed in adults.</w:t>
      </w:r>
    </w:p>
    <w:p w:rsidR="008961FC" w:rsidRPr="008961FC" w:rsidRDefault="008961FC" w:rsidP="004D7C50">
      <w:pPr>
        <w:pStyle w:val="PIheading2"/>
        <w:rPr>
          <w:lang w:val="en-US" w:eastAsia="de-DE"/>
        </w:rPr>
      </w:pPr>
      <w:r w:rsidRPr="008961FC">
        <w:rPr>
          <w:lang w:val="en-US" w:eastAsia="de-DE"/>
        </w:rPr>
        <w:t>P-glycoprotein (P-gp)</w:t>
      </w:r>
    </w:p>
    <w:p w:rsidR="008961FC" w:rsidRPr="004D7C50" w:rsidRDefault="008961FC" w:rsidP="004D7C50">
      <w:pPr>
        <w:pStyle w:val="TextPI"/>
        <w:rPr>
          <w:rFonts w:eastAsia="MS Mincho"/>
          <w:noProof/>
          <w:lang w:val="en-GB" w:eastAsia="de-DE"/>
        </w:rPr>
      </w:pPr>
      <w:r w:rsidRPr="004D7C50">
        <w:rPr>
          <w:rFonts w:eastAsia="MS Mincho"/>
          <w:noProof/>
          <w:lang w:val="en-GB" w:eastAsia="de-DE"/>
        </w:rPr>
        <w:t xml:space="preserve">Nintedanib is a substrate of P-gp (see </w:t>
      </w:r>
      <w:r w:rsidR="004D7C50">
        <w:rPr>
          <w:rFonts w:eastAsia="MS Mincho"/>
          <w:noProof/>
          <w:lang w:val="en-GB" w:eastAsia="de-DE"/>
        </w:rPr>
        <w:t xml:space="preserve">PHARMACOLOGY, </w:t>
      </w:r>
      <w:r w:rsidRPr="004D7C50">
        <w:rPr>
          <w:rFonts w:eastAsia="MS Mincho"/>
          <w:noProof/>
          <w:lang w:val="en-GB" w:eastAsia="de-DE"/>
        </w:rPr>
        <w:t xml:space="preserve">Pharmacokinetics). </w:t>
      </w:r>
      <w:r w:rsidR="00A75C6D" w:rsidRPr="004D7C50">
        <w:rPr>
          <w:rFonts w:eastAsia="MS Mincho"/>
          <w:noProof/>
          <w:lang w:val="en-GB" w:eastAsia="de-DE"/>
        </w:rPr>
        <w:t xml:space="preserve"> </w:t>
      </w:r>
      <w:r w:rsidRPr="004D7C50">
        <w:rPr>
          <w:rFonts w:eastAsia="MS Mincho"/>
          <w:noProof/>
          <w:lang w:val="en-GB" w:eastAsia="de-DE"/>
        </w:rPr>
        <w:t>Co-administration with the potent P-gp inhibitor ketoconazole increased exposure to nintedanib 1.61-fold based on AUC and 1.83-fold based on C</w:t>
      </w:r>
      <w:r w:rsidRPr="004D7C50">
        <w:rPr>
          <w:rFonts w:eastAsia="MS Mincho"/>
          <w:noProof/>
          <w:vertAlign w:val="subscript"/>
          <w:lang w:val="en-GB" w:eastAsia="de-DE"/>
        </w:rPr>
        <w:t>max</w:t>
      </w:r>
      <w:r w:rsidRPr="004D7C50">
        <w:rPr>
          <w:rFonts w:eastAsia="MS Mincho"/>
          <w:noProof/>
          <w:lang w:val="en-GB" w:eastAsia="de-DE"/>
        </w:rPr>
        <w:t xml:space="preserve"> in a dedicated drug-drug interaction study.</w:t>
      </w:r>
    </w:p>
    <w:p w:rsidR="008961FC" w:rsidRPr="004D7C50" w:rsidRDefault="008961FC" w:rsidP="004D7C50">
      <w:pPr>
        <w:pStyle w:val="TextPI"/>
        <w:suppressAutoHyphens/>
        <w:rPr>
          <w:rFonts w:eastAsia="MS Mincho"/>
          <w:noProof/>
          <w:lang w:val="en-GB" w:eastAsia="de-DE"/>
        </w:rPr>
      </w:pPr>
      <w:r w:rsidRPr="004D7C50">
        <w:rPr>
          <w:rFonts w:eastAsia="MS Mincho"/>
          <w:noProof/>
          <w:lang w:val="en-GB" w:eastAsia="de-DE"/>
        </w:rPr>
        <w:t xml:space="preserve">In a drug-drug interaction study with the potent P-gp inducer rifampicin, exposure </w:t>
      </w:r>
      <w:r w:rsidR="00DE71E1" w:rsidRPr="004D7C50">
        <w:rPr>
          <w:rFonts w:eastAsia="MS Mincho"/>
          <w:noProof/>
          <w:lang w:val="en-GB" w:eastAsia="de-DE"/>
        </w:rPr>
        <w:t xml:space="preserve">to nintedanib decreased </w:t>
      </w:r>
      <w:r w:rsidR="00346A77">
        <w:rPr>
          <w:rFonts w:eastAsia="MS Mincho"/>
          <w:noProof/>
          <w:lang w:val="en-GB" w:eastAsia="de-DE"/>
        </w:rPr>
        <w:t>by</w:t>
      </w:r>
      <w:r w:rsidR="00DE71E1" w:rsidRPr="004D7C50">
        <w:rPr>
          <w:rFonts w:eastAsia="MS Mincho"/>
          <w:noProof/>
          <w:lang w:val="en-GB" w:eastAsia="de-DE"/>
        </w:rPr>
        <w:t xml:space="preserve"> 50</w:t>
      </w:r>
      <w:r w:rsidR="00346A77">
        <w:rPr>
          <w:rFonts w:eastAsia="MS Mincho"/>
          <w:noProof/>
          <w:lang w:val="en-GB" w:eastAsia="de-DE"/>
        </w:rPr>
        <w:t xml:space="preserve"> </w:t>
      </w:r>
      <w:r w:rsidRPr="004D7C50">
        <w:rPr>
          <w:rFonts w:eastAsia="MS Mincho"/>
          <w:noProof/>
          <w:lang w:val="en-GB" w:eastAsia="de-DE"/>
        </w:rPr>
        <w:t xml:space="preserve">% based on </w:t>
      </w:r>
      <w:r w:rsidR="00DE71E1" w:rsidRPr="004D7C50">
        <w:rPr>
          <w:rFonts w:eastAsia="MS Mincho"/>
          <w:noProof/>
          <w:lang w:val="en-GB" w:eastAsia="de-DE"/>
        </w:rPr>
        <w:t xml:space="preserve">AUC and </w:t>
      </w:r>
      <w:r w:rsidR="00346A77">
        <w:rPr>
          <w:rFonts w:eastAsia="MS Mincho"/>
          <w:noProof/>
          <w:lang w:val="en-GB" w:eastAsia="de-DE"/>
        </w:rPr>
        <w:t xml:space="preserve">by 40 </w:t>
      </w:r>
      <w:r w:rsidRPr="004D7C50">
        <w:rPr>
          <w:rFonts w:eastAsia="MS Mincho"/>
          <w:noProof/>
          <w:lang w:val="en-GB" w:eastAsia="de-DE"/>
        </w:rPr>
        <w:t>% based on C</w:t>
      </w:r>
      <w:r w:rsidRPr="004D7C50">
        <w:rPr>
          <w:rFonts w:eastAsia="MS Mincho"/>
          <w:noProof/>
          <w:vertAlign w:val="subscript"/>
          <w:lang w:val="en-GB" w:eastAsia="de-DE"/>
        </w:rPr>
        <w:t>max</w:t>
      </w:r>
      <w:r w:rsidRPr="004D7C50">
        <w:rPr>
          <w:rFonts w:eastAsia="MS Mincho"/>
          <w:noProof/>
          <w:lang w:val="en-GB" w:eastAsia="de-DE"/>
        </w:rPr>
        <w:t xml:space="preserve"> upon co-administration with rifampicin compared to administration of nintedanib alone.</w:t>
      </w:r>
    </w:p>
    <w:p w:rsidR="008961FC" w:rsidRPr="004D7C50" w:rsidRDefault="008961FC" w:rsidP="004D7C50">
      <w:pPr>
        <w:pStyle w:val="TextPI"/>
        <w:rPr>
          <w:rFonts w:eastAsia="MS Mincho"/>
          <w:noProof/>
          <w:lang w:val="en-GB" w:eastAsia="de-DE"/>
        </w:rPr>
      </w:pPr>
      <w:r w:rsidRPr="004D7C50">
        <w:rPr>
          <w:rFonts w:eastAsia="MS Mincho"/>
          <w:noProof/>
          <w:lang w:val="en-GB" w:eastAsia="de-DE"/>
        </w:rPr>
        <w:t xml:space="preserve">If co-administered with </w:t>
      </w:r>
      <w:r w:rsidR="007501C4">
        <w:rPr>
          <w:rFonts w:eastAsia="MS Mincho"/>
          <w:noProof/>
          <w:lang w:val="en-GB" w:eastAsia="de-DE"/>
        </w:rPr>
        <w:t>VARGATEF</w:t>
      </w:r>
      <w:r w:rsidR="004D7C50">
        <w:rPr>
          <w:rFonts w:eastAsia="MS Mincho"/>
          <w:noProof/>
          <w:lang w:val="en-GB" w:eastAsia="de-DE"/>
        </w:rPr>
        <w:t xml:space="preserve">, potent </w:t>
      </w:r>
      <w:r w:rsidRPr="004D7C50">
        <w:rPr>
          <w:rFonts w:eastAsia="MS Mincho"/>
          <w:noProof/>
          <w:lang w:val="en-GB" w:eastAsia="de-DE"/>
        </w:rPr>
        <w:t>P</w:t>
      </w:r>
      <w:r w:rsidR="004D7C50">
        <w:rPr>
          <w:rFonts w:eastAsia="MS Mincho"/>
          <w:noProof/>
          <w:lang w:val="en-GB" w:eastAsia="de-DE"/>
        </w:rPr>
        <w:t>-</w:t>
      </w:r>
      <w:r w:rsidRPr="004D7C50">
        <w:rPr>
          <w:rFonts w:eastAsia="MS Mincho"/>
          <w:noProof/>
          <w:lang w:val="en-GB" w:eastAsia="de-DE"/>
        </w:rPr>
        <w:t xml:space="preserve">gp inhibitors (e.g. ketoconazole or erythromycin) may increase exposure to nintedanib. </w:t>
      </w:r>
      <w:r w:rsidR="00DE71E1" w:rsidRPr="004D7C50">
        <w:rPr>
          <w:rFonts w:eastAsia="MS Mincho"/>
          <w:noProof/>
          <w:lang w:val="en-GB" w:eastAsia="de-DE"/>
        </w:rPr>
        <w:t xml:space="preserve"> </w:t>
      </w:r>
      <w:r w:rsidRPr="004D7C50">
        <w:rPr>
          <w:rFonts w:eastAsia="MS Mincho"/>
          <w:noProof/>
          <w:lang w:val="en-GB" w:eastAsia="de-DE"/>
        </w:rPr>
        <w:t>In such cases, patients should be monitored closely for tolerability of nintedanib.</w:t>
      </w:r>
      <w:r w:rsidR="00764374" w:rsidRPr="004D7C50">
        <w:rPr>
          <w:rFonts w:eastAsia="MS Mincho"/>
          <w:noProof/>
          <w:lang w:val="en-GB" w:eastAsia="de-DE"/>
        </w:rPr>
        <w:t xml:space="preserve"> </w:t>
      </w:r>
      <w:r w:rsidRPr="004D7C50">
        <w:rPr>
          <w:rFonts w:eastAsia="MS Mincho"/>
          <w:noProof/>
          <w:lang w:val="en-GB" w:eastAsia="de-DE"/>
        </w:rPr>
        <w:t xml:space="preserve"> Management of side effects may require interruption, dose reduction, or discontinuation of therapy with </w:t>
      </w:r>
      <w:r w:rsidR="007501C4">
        <w:rPr>
          <w:rFonts w:eastAsia="MS Mincho"/>
          <w:noProof/>
          <w:lang w:val="en-GB" w:eastAsia="de-DE"/>
        </w:rPr>
        <w:t>VARGATEF</w:t>
      </w:r>
      <w:r w:rsidRPr="004D7C50">
        <w:rPr>
          <w:rFonts w:eastAsia="MS Mincho"/>
          <w:noProof/>
          <w:lang w:val="en-GB" w:eastAsia="de-DE"/>
        </w:rPr>
        <w:t xml:space="preserve"> (see </w:t>
      </w:r>
      <w:r w:rsidR="00B93A04" w:rsidRPr="004D7C50">
        <w:rPr>
          <w:rFonts w:eastAsia="MS Mincho"/>
          <w:noProof/>
          <w:lang w:val="en-GB" w:eastAsia="de-DE"/>
        </w:rPr>
        <w:t>DOSAGE</w:t>
      </w:r>
      <w:r w:rsidR="00DE71E1" w:rsidRPr="004D7C50">
        <w:rPr>
          <w:rFonts w:eastAsia="MS Mincho"/>
          <w:noProof/>
          <w:lang w:val="en-GB" w:eastAsia="de-DE"/>
        </w:rPr>
        <w:t xml:space="preserve"> AND ADMINISTRATION</w:t>
      </w:r>
      <w:r w:rsidRPr="004D7C50">
        <w:rPr>
          <w:rFonts w:eastAsia="MS Mincho"/>
          <w:noProof/>
          <w:lang w:val="en-GB" w:eastAsia="de-DE"/>
        </w:rPr>
        <w:t>)</w:t>
      </w:r>
      <w:r w:rsidR="00DE71E1" w:rsidRPr="004D7C50">
        <w:rPr>
          <w:rFonts w:eastAsia="MS Mincho"/>
          <w:noProof/>
          <w:lang w:val="en-GB" w:eastAsia="de-DE"/>
        </w:rPr>
        <w:t>.</w:t>
      </w:r>
    </w:p>
    <w:p w:rsidR="008961FC" w:rsidRPr="004D7C50" w:rsidRDefault="008961FC" w:rsidP="004D7C50">
      <w:pPr>
        <w:pStyle w:val="TextPI"/>
        <w:rPr>
          <w:rFonts w:eastAsia="MS Mincho"/>
          <w:noProof/>
          <w:lang w:val="en-GB" w:eastAsia="de-DE"/>
        </w:rPr>
      </w:pPr>
      <w:r w:rsidRPr="004D7C50">
        <w:rPr>
          <w:rFonts w:eastAsia="MS Mincho"/>
          <w:noProof/>
          <w:lang w:val="en-GB" w:eastAsia="de-DE"/>
        </w:rPr>
        <w:t>Potent P-gp inducers</w:t>
      </w:r>
      <w:r w:rsidRPr="004D7C50" w:rsidDel="00D643AD">
        <w:rPr>
          <w:rFonts w:eastAsia="MS Mincho"/>
          <w:noProof/>
          <w:lang w:val="en-GB" w:eastAsia="de-DE"/>
        </w:rPr>
        <w:t xml:space="preserve"> </w:t>
      </w:r>
      <w:r w:rsidRPr="004D7C50">
        <w:rPr>
          <w:rFonts w:eastAsia="MS Mincho"/>
          <w:noProof/>
          <w:lang w:val="en-GB" w:eastAsia="de-DE"/>
        </w:rPr>
        <w:t>(</w:t>
      </w:r>
      <w:r w:rsidRPr="004D7C50" w:rsidDel="00D643AD">
        <w:rPr>
          <w:rFonts w:eastAsia="MS Mincho"/>
          <w:noProof/>
          <w:lang w:val="en-GB" w:eastAsia="de-DE"/>
        </w:rPr>
        <w:t>e.g. rifampicin, carbamazepine, phenytoin, and St. John’s Wort</w:t>
      </w:r>
      <w:r w:rsidRPr="004D7C50">
        <w:rPr>
          <w:rFonts w:eastAsia="MS Mincho"/>
          <w:noProof/>
          <w:lang w:val="en-GB" w:eastAsia="de-DE"/>
        </w:rPr>
        <w:t>) may decrease exposure to nintedanib.</w:t>
      </w:r>
      <w:r w:rsidR="00A75C6D" w:rsidRPr="004D7C50">
        <w:rPr>
          <w:rFonts w:eastAsia="MS Mincho"/>
          <w:noProof/>
          <w:lang w:val="en-GB" w:eastAsia="de-DE"/>
        </w:rPr>
        <w:t xml:space="preserve"> </w:t>
      </w:r>
      <w:r w:rsidRPr="004D7C50">
        <w:rPr>
          <w:rFonts w:eastAsia="MS Mincho"/>
          <w:noProof/>
          <w:lang w:val="en-GB" w:eastAsia="de-DE"/>
        </w:rPr>
        <w:t xml:space="preserve"> </w:t>
      </w:r>
      <w:r w:rsidR="008D763A">
        <w:rPr>
          <w:rFonts w:eastAsia="MS Mincho"/>
          <w:noProof/>
          <w:lang w:val="en-GB" w:eastAsia="de-DE"/>
        </w:rPr>
        <w:t>Selection of an alternate concomitant medication with no or minimal P-gp induction potential should be considered.</w:t>
      </w:r>
    </w:p>
    <w:p w:rsidR="008961FC" w:rsidRPr="008961FC" w:rsidRDefault="008961FC" w:rsidP="004D7C50">
      <w:pPr>
        <w:pStyle w:val="PIheading2"/>
        <w:rPr>
          <w:lang w:val="en-US" w:eastAsia="de-DE"/>
        </w:rPr>
      </w:pPr>
      <w:r w:rsidRPr="008961FC">
        <w:rPr>
          <w:lang w:val="en-US" w:eastAsia="de-DE"/>
        </w:rPr>
        <w:t>Food</w:t>
      </w:r>
    </w:p>
    <w:p w:rsidR="008961FC" w:rsidRPr="005812DE" w:rsidRDefault="007501C4" w:rsidP="005812DE">
      <w:pPr>
        <w:pStyle w:val="TextPI"/>
      </w:pPr>
      <w:r>
        <w:t>VARGATEF</w:t>
      </w:r>
      <w:r w:rsidR="008961FC" w:rsidRPr="005812DE">
        <w:t xml:space="preserve"> is recommended to be taken with food (see </w:t>
      </w:r>
      <w:r w:rsidR="005812DE">
        <w:t xml:space="preserve">PHARMACOLOGY, </w:t>
      </w:r>
      <w:r w:rsidR="008961FC" w:rsidRPr="005812DE">
        <w:t>Pharmacokinetics).</w:t>
      </w:r>
    </w:p>
    <w:p w:rsidR="008961FC" w:rsidRPr="008961FC" w:rsidRDefault="008961FC" w:rsidP="0095623A">
      <w:pPr>
        <w:pStyle w:val="PIheading2"/>
        <w:rPr>
          <w:lang w:val="en-US" w:eastAsia="de-DE"/>
        </w:rPr>
      </w:pPr>
      <w:r w:rsidRPr="008961FC">
        <w:rPr>
          <w:lang w:val="en-US" w:eastAsia="de-DE"/>
        </w:rPr>
        <w:t>Cytochrome (CYP)-enzymes</w:t>
      </w:r>
    </w:p>
    <w:p w:rsidR="008961FC" w:rsidRPr="0095623A" w:rsidRDefault="00DE71E1" w:rsidP="0095623A">
      <w:pPr>
        <w:pStyle w:val="TextPI"/>
      </w:pPr>
      <w:r w:rsidRPr="0095623A">
        <w:t>Only a minor extent of the biotransformation of nintedanib consisted of CYP pathways. Nintedanib and its metabolites, the free acid moiety BIBF 1202 and its gluc</w:t>
      </w:r>
      <w:r w:rsidR="0095623A">
        <w:t xml:space="preserve">uronide BIBF 1202 glucuronide, </w:t>
      </w:r>
      <w:r w:rsidRPr="0095623A">
        <w:t xml:space="preserve">did not inhibit or induce CYP enzymes in preclinical studies (see </w:t>
      </w:r>
      <w:r w:rsidR="0095623A">
        <w:t xml:space="preserve">PHARMACOLOGY, </w:t>
      </w:r>
      <w:r w:rsidRPr="0095623A">
        <w:t>Pharmacokinetics). The likelihood of drug-drug interactions with nintedanib based on CYP metabolism is therefore considered to be low.</w:t>
      </w:r>
    </w:p>
    <w:p w:rsidR="00B935D6" w:rsidRPr="008961FC" w:rsidRDefault="00B935D6" w:rsidP="0059634F">
      <w:pPr>
        <w:pStyle w:val="PIheading2"/>
        <w:rPr>
          <w:lang w:val="en-US" w:eastAsia="de-DE"/>
        </w:rPr>
      </w:pPr>
      <w:r w:rsidRPr="008961FC">
        <w:rPr>
          <w:lang w:val="en-US" w:eastAsia="de-DE"/>
        </w:rPr>
        <w:t>Co-administration with other drugs</w:t>
      </w:r>
    </w:p>
    <w:p w:rsidR="00B935D6" w:rsidRDefault="00427020" w:rsidP="0059634F">
      <w:pPr>
        <w:pStyle w:val="TextPI"/>
      </w:pPr>
      <w:r w:rsidRPr="00427020">
        <w:rPr>
          <w:i/>
          <w:iCs/>
        </w:rPr>
        <w:t>NSCLC</w:t>
      </w:r>
      <w:r>
        <w:t xml:space="preserve">: </w:t>
      </w:r>
      <w:r w:rsidR="00B935D6" w:rsidRPr="0059634F">
        <w:t>Co-administration of nintedanib with docetaxel (75 mg/m²) did not alter the pharmacokinetics of either drug to a relevant extent.</w:t>
      </w:r>
    </w:p>
    <w:p w:rsidR="00205321" w:rsidRPr="0059634F" w:rsidRDefault="00205321" w:rsidP="0059634F">
      <w:pPr>
        <w:pStyle w:val="TextPI"/>
      </w:pPr>
      <w:r w:rsidRPr="00205321">
        <w:rPr>
          <w:i/>
          <w:iCs/>
        </w:rPr>
        <w:lastRenderedPageBreak/>
        <w:t>IPF:</w:t>
      </w:r>
      <w:r w:rsidRPr="00DA71B9">
        <w:t xml:space="preserve"> For co-administration of nintedanib with pirfenidone </w:t>
      </w:r>
      <w:r w:rsidR="002D17F5">
        <w:t>(</w:t>
      </w:r>
      <w:r w:rsidRPr="00DA71B9">
        <w:t>see PHARMACOLOGY, Pharmacokinetics</w:t>
      </w:r>
      <w:r w:rsidR="002D17F5">
        <w:t>)</w:t>
      </w:r>
      <w:r w:rsidRPr="00DA71B9">
        <w:t>.</w:t>
      </w:r>
    </w:p>
    <w:p w:rsidR="00B935D6" w:rsidRPr="0059634F" w:rsidRDefault="00B935D6" w:rsidP="0059634F">
      <w:pPr>
        <w:pStyle w:val="TextPI"/>
      </w:pPr>
      <w:r w:rsidRPr="0059634F">
        <w:t>The potential for interactions of nintedanib with hormonal contraceptives was not explored.</w:t>
      </w:r>
    </w:p>
    <w:p w:rsidR="00014579" w:rsidRPr="008F4485" w:rsidRDefault="00014579" w:rsidP="008F4485">
      <w:pPr>
        <w:pStyle w:val="PIHeading1"/>
      </w:pPr>
      <w:r w:rsidRPr="008F4485">
        <w:t xml:space="preserve">ADVERSE </w:t>
      </w:r>
      <w:r w:rsidR="00301B0F" w:rsidRPr="008F4485">
        <w:t>EFFECTS</w:t>
      </w:r>
    </w:p>
    <w:p w:rsidR="006149A5" w:rsidRPr="006149A5" w:rsidRDefault="006149A5" w:rsidP="008F4485">
      <w:pPr>
        <w:pStyle w:val="TextPI"/>
        <w:rPr>
          <w:b/>
          <w:bCs/>
          <w:i/>
          <w:iCs/>
          <w:noProof/>
          <w:lang w:val="en-US"/>
        </w:rPr>
      </w:pPr>
      <w:r w:rsidRPr="006149A5">
        <w:rPr>
          <w:b/>
          <w:bCs/>
          <w:i/>
          <w:iCs/>
          <w:noProof/>
          <w:lang w:val="en-US"/>
        </w:rPr>
        <w:t>NSCLC:</w:t>
      </w:r>
    </w:p>
    <w:p w:rsidR="004F0B5D" w:rsidRPr="00B44310" w:rsidRDefault="004F0B5D" w:rsidP="008F4485">
      <w:pPr>
        <w:pStyle w:val="TextPI"/>
        <w:rPr>
          <w:noProof/>
          <w:lang w:val="en-US"/>
        </w:rPr>
      </w:pPr>
      <w:r w:rsidRPr="00B44310">
        <w:rPr>
          <w:noProof/>
          <w:lang w:val="en-US"/>
        </w:rPr>
        <w:t xml:space="preserve">The safety data </w:t>
      </w:r>
      <w:r w:rsidR="0074122A">
        <w:rPr>
          <w:noProof/>
          <w:lang w:val="en-US"/>
        </w:rPr>
        <w:t xml:space="preserve">provided </w:t>
      </w:r>
      <w:r w:rsidR="00F56CCD">
        <w:rPr>
          <w:noProof/>
          <w:lang w:val="en-US"/>
        </w:rPr>
        <w:t>below</w:t>
      </w:r>
      <w:r w:rsidR="0074122A">
        <w:rPr>
          <w:noProof/>
          <w:lang w:val="en-US"/>
        </w:rPr>
        <w:t xml:space="preserve"> </w:t>
      </w:r>
      <w:r w:rsidRPr="00B44310">
        <w:rPr>
          <w:noProof/>
          <w:lang w:val="en-US"/>
        </w:rPr>
        <w:t xml:space="preserve">are based on the global, double-blind randomised pivotal phase 3 trial 1199.13 (LUME-Lung 1) comparing treatment with nintedanib plus docetaxel against placebo plus docetaxel in </w:t>
      </w:r>
      <w:r w:rsidRPr="006149A5">
        <w:rPr>
          <w:noProof/>
          <w:lang w:val="en-US"/>
        </w:rPr>
        <w:t xml:space="preserve">patients with locally advanced, or metastatic, or recurrent NSCLC after first-line chemotherapy.  Adverse </w:t>
      </w:r>
      <w:r w:rsidR="00F56CCD" w:rsidRPr="006149A5">
        <w:rPr>
          <w:noProof/>
          <w:lang w:val="en-US"/>
        </w:rPr>
        <w:t>e</w:t>
      </w:r>
      <w:r w:rsidRPr="006149A5">
        <w:rPr>
          <w:noProof/>
          <w:lang w:val="en-US"/>
        </w:rPr>
        <w:t xml:space="preserve">vents </w:t>
      </w:r>
      <w:r w:rsidR="0074122A" w:rsidRPr="006149A5">
        <w:rPr>
          <w:noProof/>
          <w:lang w:val="en-US"/>
        </w:rPr>
        <w:t xml:space="preserve">in all patients occurring in at least 10% of patients in either treatment arm </w:t>
      </w:r>
      <w:r w:rsidRPr="006149A5">
        <w:rPr>
          <w:noProof/>
          <w:lang w:val="en-US"/>
        </w:rPr>
        <w:t xml:space="preserve">in </w:t>
      </w:r>
      <w:r w:rsidR="0074122A" w:rsidRPr="006149A5">
        <w:rPr>
          <w:noProof/>
          <w:lang w:val="en-US"/>
        </w:rPr>
        <w:t xml:space="preserve">the </w:t>
      </w:r>
      <w:r w:rsidRPr="006149A5">
        <w:rPr>
          <w:noProof/>
          <w:lang w:val="en-US"/>
        </w:rPr>
        <w:t>pivotal trial LUME-Lung 1</w:t>
      </w:r>
      <w:r w:rsidR="0074122A" w:rsidRPr="006149A5">
        <w:rPr>
          <w:noProof/>
          <w:lang w:val="en-US"/>
        </w:rPr>
        <w:t xml:space="preserve"> are summarised in Tab</w:t>
      </w:r>
      <w:r w:rsidR="00A9394E" w:rsidRPr="006149A5">
        <w:rPr>
          <w:noProof/>
          <w:lang w:val="en-US"/>
        </w:rPr>
        <w:t>le</w:t>
      </w:r>
      <w:r w:rsidR="0074122A" w:rsidRPr="006149A5">
        <w:rPr>
          <w:noProof/>
          <w:lang w:val="en-US"/>
        </w:rPr>
        <w:t xml:space="preserve"> </w:t>
      </w:r>
      <w:r w:rsidR="00FF4C63">
        <w:rPr>
          <w:noProof/>
          <w:lang w:val="en-US"/>
        </w:rPr>
        <w:t>5</w:t>
      </w:r>
      <w:r w:rsidRPr="006149A5">
        <w:rPr>
          <w:noProof/>
          <w:lang w:val="en-US"/>
        </w:rPr>
        <w:t>.</w:t>
      </w:r>
      <w:r w:rsidR="00425EC5" w:rsidRPr="006149A5">
        <w:rPr>
          <w:noProof/>
          <w:lang w:val="en-US"/>
        </w:rPr>
        <w:t xml:space="preserve"> </w:t>
      </w:r>
    </w:p>
    <w:p w:rsidR="00983F71" w:rsidRPr="004E11D0" w:rsidRDefault="004E11D0" w:rsidP="004E11D0">
      <w:pPr>
        <w:pStyle w:val="CaptionTable"/>
        <w:ind w:left="1134" w:hanging="1134"/>
        <w:rPr>
          <w:rFonts w:ascii="Arial" w:hAnsi="Arial" w:cs="Arial"/>
          <w:b/>
          <w:bCs/>
          <w:sz w:val="20"/>
        </w:rPr>
      </w:pPr>
      <w:bookmarkStart w:id="8" w:name="Table_2_1_3_2_2__1"/>
      <w:bookmarkStart w:id="9" w:name="_Toc364677765"/>
      <w:r>
        <w:rPr>
          <w:rFonts w:ascii="Arial" w:hAnsi="Arial" w:cs="Arial"/>
          <w:b/>
          <w:bCs/>
          <w:sz w:val="20"/>
        </w:rPr>
        <w:t xml:space="preserve">Table </w:t>
      </w:r>
      <w:r w:rsidR="00FF4C63">
        <w:rPr>
          <w:rFonts w:ascii="Arial" w:hAnsi="Arial" w:cs="Arial"/>
          <w:b/>
          <w:bCs/>
          <w:sz w:val="20"/>
        </w:rPr>
        <w:t>5</w:t>
      </w:r>
      <w:bookmarkEnd w:id="8"/>
      <w:r>
        <w:rPr>
          <w:rFonts w:ascii="Arial" w:hAnsi="Arial" w:cs="Arial"/>
          <w:b/>
          <w:bCs/>
          <w:sz w:val="20"/>
        </w:rPr>
        <w:t>:</w:t>
      </w:r>
      <w:r w:rsidRPr="004E11D0">
        <w:rPr>
          <w:rFonts w:ascii="Arial" w:hAnsi="Arial" w:cs="Arial"/>
          <w:b/>
          <w:bCs/>
          <w:sz w:val="20"/>
        </w:rPr>
        <w:tab/>
      </w:r>
      <w:r w:rsidR="00983F71" w:rsidRPr="004E11D0">
        <w:rPr>
          <w:rFonts w:ascii="Arial" w:hAnsi="Arial" w:cs="Arial"/>
          <w:b/>
          <w:bCs/>
          <w:sz w:val="20"/>
        </w:rPr>
        <w:t xml:space="preserve">Adverse events in all patients in </w:t>
      </w:r>
      <w:r w:rsidR="003329F1" w:rsidRPr="004E11D0">
        <w:rPr>
          <w:rFonts w:ascii="Arial" w:hAnsi="Arial" w:cs="Arial"/>
          <w:b/>
          <w:bCs/>
          <w:sz w:val="20"/>
        </w:rPr>
        <w:t>LUME-Lung 1</w:t>
      </w:r>
      <w:r w:rsidR="00983F71" w:rsidRPr="004E11D0">
        <w:rPr>
          <w:rFonts w:ascii="Arial" w:hAnsi="Arial" w:cs="Arial"/>
          <w:b/>
          <w:bCs/>
          <w:sz w:val="20"/>
        </w:rPr>
        <w:t xml:space="preserve"> (incidence &gt;10% in either treatment arm) – by preferred term and worst CTCAE grade, all treatment courses - TS</w:t>
      </w:r>
      <w:bookmarkEnd w:id="9"/>
    </w:p>
    <w:tbl>
      <w:tblPr>
        <w:tblW w:w="9103" w:type="dxa"/>
        <w:jc w:val="center"/>
        <w:tblInd w:w="1106" w:type="dxa"/>
        <w:tblBorders>
          <w:top w:val="single" w:sz="4" w:space="0" w:color="auto"/>
          <w:bottom w:val="single" w:sz="4" w:space="0" w:color="auto"/>
        </w:tblBorders>
        <w:tblLayout w:type="fixed"/>
        <w:tblCellMar>
          <w:left w:w="60" w:type="dxa"/>
          <w:right w:w="60" w:type="dxa"/>
        </w:tblCellMar>
        <w:tblLook w:val="0000" w:firstRow="0" w:lastRow="0" w:firstColumn="0" w:lastColumn="0" w:noHBand="0" w:noVBand="0"/>
      </w:tblPr>
      <w:tblGrid>
        <w:gridCol w:w="1453"/>
        <w:gridCol w:w="1273"/>
        <w:gridCol w:w="1275"/>
        <w:gridCol w:w="1275"/>
        <w:gridCol w:w="1276"/>
        <w:gridCol w:w="1276"/>
        <w:gridCol w:w="1275"/>
      </w:tblGrid>
      <w:tr w:rsidR="00983F71" w:rsidRPr="00DA68D9" w:rsidTr="009233A9">
        <w:trPr>
          <w:cantSplit/>
          <w:tblHeader/>
          <w:jc w:val="center"/>
        </w:trPr>
        <w:tc>
          <w:tcPr>
            <w:tcW w:w="1453" w:type="dxa"/>
            <w:shd w:val="clear" w:color="auto" w:fill="FFFFFF"/>
            <w:vAlign w:val="bottom"/>
          </w:tcPr>
          <w:p w:rsidR="00983F71" w:rsidRPr="00DA68D9" w:rsidRDefault="00983F71" w:rsidP="009233A9">
            <w:pPr>
              <w:pStyle w:val="CS-TextinTable10pt"/>
              <w:spacing w:before="40" w:after="40"/>
              <w:rPr>
                <w:rFonts w:ascii="Arial" w:hAnsi="Arial" w:cs="Arial"/>
                <w:sz w:val="18"/>
                <w:szCs w:val="18"/>
              </w:rPr>
            </w:pPr>
          </w:p>
        </w:tc>
        <w:tc>
          <w:tcPr>
            <w:tcW w:w="3823" w:type="dxa"/>
            <w:gridSpan w:val="3"/>
            <w:tcBorders>
              <w:bottom w:val="single" w:sz="4" w:space="0" w:color="auto"/>
            </w:tcBorders>
            <w:shd w:val="clear" w:color="auto" w:fill="FFFFFF"/>
            <w:vAlign w:val="bottom"/>
          </w:tcPr>
          <w:p w:rsidR="00983F71" w:rsidRPr="00DA68D9" w:rsidRDefault="00983F71" w:rsidP="009233A9">
            <w:pPr>
              <w:pStyle w:val="CS-TextinTable10pt"/>
              <w:spacing w:before="40" w:after="40"/>
              <w:jc w:val="center"/>
              <w:rPr>
                <w:rFonts w:ascii="Arial" w:hAnsi="Arial" w:cs="Arial"/>
                <w:sz w:val="18"/>
                <w:szCs w:val="18"/>
              </w:rPr>
            </w:pPr>
            <w:r w:rsidRPr="00DA68D9">
              <w:rPr>
                <w:rFonts w:ascii="Arial" w:hAnsi="Arial" w:cs="Arial"/>
                <w:sz w:val="18"/>
                <w:szCs w:val="18"/>
              </w:rPr>
              <w:t>Placebo</w:t>
            </w:r>
          </w:p>
        </w:tc>
        <w:tc>
          <w:tcPr>
            <w:tcW w:w="3827" w:type="dxa"/>
            <w:gridSpan w:val="3"/>
            <w:tcBorders>
              <w:bottom w:val="single" w:sz="4" w:space="0" w:color="auto"/>
            </w:tcBorders>
            <w:shd w:val="clear" w:color="auto" w:fill="FFFFFF"/>
            <w:vAlign w:val="bottom"/>
          </w:tcPr>
          <w:p w:rsidR="00983F71" w:rsidRPr="00DA68D9" w:rsidRDefault="00983F71" w:rsidP="009233A9">
            <w:pPr>
              <w:pStyle w:val="CS-TextinTable10pt"/>
              <w:spacing w:before="40" w:after="40"/>
              <w:jc w:val="center"/>
              <w:rPr>
                <w:rFonts w:ascii="Arial" w:hAnsi="Arial" w:cs="Arial"/>
                <w:sz w:val="18"/>
                <w:szCs w:val="18"/>
              </w:rPr>
            </w:pPr>
            <w:r w:rsidRPr="00DA68D9">
              <w:rPr>
                <w:rFonts w:ascii="Arial" w:hAnsi="Arial" w:cs="Arial"/>
                <w:sz w:val="18"/>
                <w:szCs w:val="18"/>
              </w:rPr>
              <w:t>Nintedanib</w:t>
            </w:r>
          </w:p>
        </w:tc>
      </w:tr>
      <w:tr w:rsidR="00983F71" w:rsidRPr="00DA68D9" w:rsidTr="009233A9">
        <w:trPr>
          <w:cantSplit/>
          <w:tblHeader/>
          <w:jc w:val="center"/>
        </w:trPr>
        <w:tc>
          <w:tcPr>
            <w:tcW w:w="1453" w:type="dxa"/>
            <w:tcBorders>
              <w:bottom w:val="single" w:sz="4" w:space="0" w:color="auto"/>
            </w:tcBorders>
            <w:shd w:val="clear" w:color="auto" w:fill="FFFFFF"/>
            <w:vAlign w:val="bottom"/>
          </w:tcPr>
          <w:p w:rsidR="00983F71" w:rsidRPr="00DA68D9" w:rsidRDefault="00983F71" w:rsidP="009233A9">
            <w:pPr>
              <w:pStyle w:val="CS-TextinTable10pt"/>
              <w:spacing w:before="40" w:after="40"/>
              <w:rPr>
                <w:rFonts w:ascii="Arial" w:hAnsi="Arial" w:cs="Arial"/>
                <w:sz w:val="18"/>
                <w:szCs w:val="18"/>
              </w:rPr>
            </w:pPr>
          </w:p>
        </w:tc>
        <w:tc>
          <w:tcPr>
            <w:tcW w:w="1273" w:type="dxa"/>
            <w:tcBorders>
              <w:top w:val="single" w:sz="4" w:space="0" w:color="auto"/>
              <w:bottom w:val="single" w:sz="4" w:space="0" w:color="auto"/>
            </w:tcBorders>
            <w:shd w:val="clear" w:color="auto" w:fill="FFFFFF"/>
            <w:vAlign w:val="bottom"/>
          </w:tcPr>
          <w:p w:rsidR="00983F71" w:rsidRPr="00DA68D9" w:rsidRDefault="00983F71" w:rsidP="009233A9">
            <w:pPr>
              <w:pStyle w:val="CS-TextinTable10pt"/>
              <w:spacing w:before="40" w:after="40"/>
              <w:jc w:val="center"/>
              <w:rPr>
                <w:rFonts w:ascii="Arial" w:hAnsi="Arial" w:cs="Arial"/>
                <w:sz w:val="18"/>
                <w:szCs w:val="18"/>
              </w:rPr>
            </w:pPr>
            <w:r w:rsidRPr="00DA68D9">
              <w:rPr>
                <w:rFonts w:ascii="Arial" w:hAnsi="Arial" w:cs="Arial"/>
                <w:sz w:val="18"/>
                <w:szCs w:val="18"/>
              </w:rPr>
              <w:t>Any grade</w:t>
            </w:r>
            <w:r w:rsidRPr="00DA68D9">
              <w:rPr>
                <w:rFonts w:ascii="Arial" w:hAnsi="Arial" w:cs="Arial"/>
                <w:sz w:val="18"/>
                <w:szCs w:val="18"/>
              </w:rPr>
              <w:br/>
              <w:t>n (%)</w:t>
            </w:r>
          </w:p>
        </w:tc>
        <w:tc>
          <w:tcPr>
            <w:tcW w:w="1275" w:type="dxa"/>
            <w:tcBorders>
              <w:top w:val="single" w:sz="4" w:space="0" w:color="auto"/>
              <w:bottom w:val="single" w:sz="4" w:space="0" w:color="auto"/>
            </w:tcBorders>
            <w:shd w:val="clear" w:color="auto" w:fill="FFFFFF"/>
            <w:vAlign w:val="bottom"/>
          </w:tcPr>
          <w:p w:rsidR="00983F71" w:rsidRPr="00DA68D9" w:rsidRDefault="00983F71" w:rsidP="009233A9">
            <w:pPr>
              <w:pStyle w:val="CS-TextinTable10pt"/>
              <w:spacing w:before="40" w:after="40"/>
              <w:jc w:val="center"/>
              <w:rPr>
                <w:rFonts w:ascii="Arial" w:hAnsi="Arial" w:cs="Arial"/>
                <w:sz w:val="18"/>
                <w:szCs w:val="18"/>
              </w:rPr>
            </w:pPr>
            <w:r w:rsidRPr="00DA68D9">
              <w:rPr>
                <w:rFonts w:ascii="Arial" w:hAnsi="Arial" w:cs="Arial"/>
                <w:sz w:val="18"/>
                <w:szCs w:val="18"/>
              </w:rPr>
              <w:t>Grade 1/2</w:t>
            </w:r>
            <w:r w:rsidRPr="00DA68D9">
              <w:rPr>
                <w:rFonts w:ascii="Arial" w:hAnsi="Arial" w:cs="Arial"/>
                <w:sz w:val="18"/>
                <w:szCs w:val="18"/>
              </w:rPr>
              <w:br/>
              <w:t>n (%)</w:t>
            </w:r>
          </w:p>
        </w:tc>
        <w:tc>
          <w:tcPr>
            <w:tcW w:w="1275" w:type="dxa"/>
            <w:tcBorders>
              <w:top w:val="single" w:sz="4" w:space="0" w:color="auto"/>
              <w:bottom w:val="single" w:sz="4" w:space="0" w:color="auto"/>
            </w:tcBorders>
            <w:shd w:val="clear" w:color="auto" w:fill="FFFFFF"/>
            <w:vAlign w:val="bottom"/>
          </w:tcPr>
          <w:p w:rsidR="00983F71" w:rsidRPr="00DA68D9" w:rsidRDefault="00983F71" w:rsidP="009233A9">
            <w:pPr>
              <w:pStyle w:val="CS-TextinTable10pt"/>
              <w:spacing w:before="40" w:after="40"/>
              <w:jc w:val="center"/>
              <w:rPr>
                <w:rFonts w:ascii="Arial" w:hAnsi="Arial" w:cs="Arial"/>
                <w:sz w:val="18"/>
                <w:szCs w:val="18"/>
              </w:rPr>
            </w:pPr>
            <w:r w:rsidRPr="00DA68D9">
              <w:rPr>
                <w:rFonts w:ascii="Arial" w:hAnsi="Arial" w:cs="Arial"/>
                <w:sz w:val="18"/>
                <w:szCs w:val="18"/>
              </w:rPr>
              <w:t>Grade 3/4/5</w:t>
            </w:r>
            <w:r w:rsidRPr="00DA68D9">
              <w:rPr>
                <w:rFonts w:ascii="Arial" w:hAnsi="Arial" w:cs="Arial"/>
                <w:sz w:val="18"/>
                <w:szCs w:val="18"/>
              </w:rPr>
              <w:br/>
              <w:t>n (%)</w:t>
            </w:r>
          </w:p>
        </w:tc>
        <w:tc>
          <w:tcPr>
            <w:tcW w:w="1276" w:type="dxa"/>
            <w:tcBorders>
              <w:top w:val="single" w:sz="4" w:space="0" w:color="auto"/>
              <w:bottom w:val="single" w:sz="4" w:space="0" w:color="auto"/>
            </w:tcBorders>
            <w:shd w:val="clear" w:color="auto" w:fill="FFFFFF"/>
            <w:vAlign w:val="bottom"/>
          </w:tcPr>
          <w:p w:rsidR="00983F71" w:rsidRPr="00DA68D9" w:rsidRDefault="00983F71" w:rsidP="009233A9">
            <w:pPr>
              <w:pStyle w:val="CS-TextinTable10pt"/>
              <w:spacing w:before="40" w:after="40"/>
              <w:jc w:val="center"/>
              <w:rPr>
                <w:rFonts w:ascii="Arial" w:hAnsi="Arial" w:cs="Arial"/>
                <w:sz w:val="18"/>
                <w:szCs w:val="18"/>
              </w:rPr>
            </w:pPr>
            <w:r w:rsidRPr="00DA68D9">
              <w:rPr>
                <w:rFonts w:ascii="Arial" w:hAnsi="Arial" w:cs="Arial"/>
                <w:sz w:val="18"/>
                <w:szCs w:val="18"/>
              </w:rPr>
              <w:t>Any grade</w:t>
            </w:r>
            <w:r w:rsidRPr="00DA68D9">
              <w:rPr>
                <w:rFonts w:ascii="Arial" w:hAnsi="Arial" w:cs="Arial"/>
                <w:sz w:val="18"/>
                <w:szCs w:val="18"/>
              </w:rPr>
              <w:br/>
              <w:t>n (%)</w:t>
            </w:r>
          </w:p>
        </w:tc>
        <w:tc>
          <w:tcPr>
            <w:tcW w:w="1276" w:type="dxa"/>
            <w:tcBorders>
              <w:top w:val="single" w:sz="4" w:space="0" w:color="auto"/>
              <w:bottom w:val="single" w:sz="4" w:space="0" w:color="auto"/>
            </w:tcBorders>
            <w:shd w:val="clear" w:color="auto" w:fill="FFFFFF"/>
            <w:vAlign w:val="bottom"/>
          </w:tcPr>
          <w:p w:rsidR="00983F71" w:rsidRPr="00DA68D9" w:rsidRDefault="00983F71" w:rsidP="009233A9">
            <w:pPr>
              <w:pStyle w:val="CS-TextinTable10pt"/>
              <w:spacing w:before="40" w:after="40"/>
              <w:jc w:val="center"/>
              <w:rPr>
                <w:rFonts w:ascii="Arial" w:hAnsi="Arial" w:cs="Arial"/>
                <w:sz w:val="18"/>
                <w:szCs w:val="18"/>
              </w:rPr>
            </w:pPr>
            <w:r w:rsidRPr="00DA68D9">
              <w:rPr>
                <w:rFonts w:ascii="Arial" w:hAnsi="Arial" w:cs="Arial"/>
                <w:sz w:val="18"/>
                <w:szCs w:val="18"/>
              </w:rPr>
              <w:t>Grade 1/2</w:t>
            </w:r>
            <w:r w:rsidRPr="00DA68D9">
              <w:rPr>
                <w:rFonts w:ascii="Arial" w:hAnsi="Arial" w:cs="Arial"/>
                <w:sz w:val="18"/>
                <w:szCs w:val="18"/>
              </w:rPr>
              <w:br/>
              <w:t>n (%)</w:t>
            </w:r>
          </w:p>
        </w:tc>
        <w:tc>
          <w:tcPr>
            <w:tcW w:w="1275" w:type="dxa"/>
            <w:tcBorders>
              <w:top w:val="single" w:sz="4" w:space="0" w:color="auto"/>
              <w:bottom w:val="single" w:sz="4" w:space="0" w:color="auto"/>
            </w:tcBorders>
            <w:shd w:val="clear" w:color="auto" w:fill="FFFFFF"/>
            <w:vAlign w:val="bottom"/>
          </w:tcPr>
          <w:p w:rsidR="00983F71" w:rsidRPr="00DA68D9" w:rsidRDefault="00983F71" w:rsidP="009233A9">
            <w:pPr>
              <w:pStyle w:val="CS-TextinTable10pt"/>
              <w:spacing w:before="40" w:after="40"/>
              <w:jc w:val="center"/>
              <w:rPr>
                <w:rFonts w:ascii="Arial" w:hAnsi="Arial" w:cs="Arial"/>
                <w:sz w:val="18"/>
                <w:szCs w:val="18"/>
              </w:rPr>
            </w:pPr>
            <w:r w:rsidRPr="00DA68D9">
              <w:rPr>
                <w:rFonts w:ascii="Arial" w:hAnsi="Arial" w:cs="Arial"/>
                <w:sz w:val="18"/>
                <w:szCs w:val="18"/>
              </w:rPr>
              <w:t>Grade 3/4/5</w:t>
            </w:r>
            <w:r w:rsidRPr="00DA68D9">
              <w:rPr>
                <w:rFonts w:ascii="Arial" w:hAnsi="Arial" w:cs="Arial"/>
                <w:sz w:val="18"/>
                <w:szCs w:val="18"/>
              </w:rPr>
              <w:br/>
              <w:t>n (%)</w:t>
            </w:r>
          </w:p>
        </w:tc>
      </w:tr>
      <w:tr w:rsidR="00983F71" w:rsidRPr="00DA68D9" w:rsidTr="009233A9">
        <w:trPr>
          <w:cantSplit/>
          <w:jc w:val="center"/>
        </w:trPr>
        <w:tc>
          <w:tcPr>
            <w:tcW w:w="1453" w:type="dxa"/>
            <w:tcBorders>
              <w:top w:val="single" w:sz="4" w:space="0" w:color="auto"/>
              <w:bottom w:val="nil"/>
            </w:tcBorders>
            <w:shd w:val="clear" w:color="auto" w:fill="FFFFFF"/>
          </w:tcPr>
          <w:p w:rsidR="00983F71" w:rsidRPr="00DA68D9" w:rsidRDefault="00983F71" w:rsidP="009233A9">
            <w:pPr>
              <w:pStyle w:val="CS-TextinTable10pt"/>
              <w:spacing w:before="20" w:after="20"/>
              <w:rPr>
                <w:rFonts w:ascii="Arial" w:hAnsi="Arial" w:cs="Arial"/>
                <w:sz w:val="18"/>
                <w:szCs w:val="18"/>
              </w:rPr>
            </w:pPr>
            <w:r w:rsidRPr="00DA68D9">
              <w:rPr>
                <w:rFonts w:ascii="Arial" w:hAnsi="Arial" w:cs="Arial"/>
                <w:sz w:val="18"/>
                <w:szCs w:val="18"/>
              </w:rPr>
              <w:t>Patients</w:t>
            </w:r>
          </w:p>
        </w:tc>
        <w:tc>
          <w:tcPr>
            <w:tcW w:w="1273" w:type="dxa"/>
            <w:tcBorders>
              <w:top w:val="single" w:sz="4" w:space="0" w:color="auto"/>
              <w:bottom w:val="nil"/>
            </w:tcBorders>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655 (100.0)</w:t>
            </w:r>
          </w:p>
        </w:tc>
        <w:tc>
          <w:tcPr>
            <w:tcW w:w="1275" w:type="dxa"/>
            <w:tcBorders>
              <w:top w:val="single" w:sz="4" w:space="0" w:color="auto"/>
              <w:bottom w:val="nil"/>
            </w:tcBorders>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655 (100.0)</w:t>
            </w:r>
          </w:p>
        </w:tc>
        <w:tc>
          <w:tcPr>
            <w:tcW w:w="1275" w:type="dxa"/>
            <w:tcBorders>
              <w:top w:val="single" w:sz="4" w:space="0" w:color="auto"/>
              <w:bottom w:val="nil"/>
            </w:tcBorders>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655 (100.0)</w:t>
            </w:r>
          </w:p>
        </w:tc>
        <w:tc>
          <w:tcPr>
            <w:tcW w:w="1276" w:type="dxa"/>
            <w:tcBorders>
              <w:top w:val="single" w:sz="4" w:space="0" w:color="auto"/>
              <w:bottom w:val="nil"/>
            </w:tcBorders>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652 (100.0)</w:t>
            </w:r>
          </w:p>
        </w:tc>
        <w:tc>
          <w:tcPr>
            <w:tcW w:w="1276" w:type="dxa"/>
            <w:tcBorders>
              <w:top w:val="single" w:sz="4" w:space="0" w:color="auto"/>
              <w:bottom w:val="nil"/>
            </w:tcBorders>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652 (100.0)</w:t>
            </w:r>
          </w:p>
        </w:tc>
        <w:tc>
          <w:tcPr>
            <w:tcW w:w="1275" w:type="dxa"/>
            <w:tcBorders>
              <w:top w:val="single" w:sz="4" w:space="0" w:color="auto"/>
              <w:bottom w:val="nil"/>
            </w:tcBorders>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652 (100.0)</w:t>
            </w:r>
          </w:p>
        </w:tc>
      </w:tr>
      <w:tr w:rsidR="00983F71" w:rsidRPr="00DA68D9" w:rsidTr="009233A9">
        <w:trPr>
          <w:cantSplit/>
          <w:jc w:val="center"/>
        </w:trPr>
        <w:tc>
          <w:tcPr>
            <w:tcW w:w="1453" w:type="dxa"/>
            <w:tcBorders>
              <w:top w:val="nil"/>
            </w:tcBorders>
            <w:shd w:val="clear" w:color="auto" w:fill="FFFFFF"/>
          </w:tcPr>
          <w:p w:rsidR="00983F71" w:rsidRPr="00DA68D9" w:rsidRDefault="00983F71" w:rsidP="009233A9">
            <w:pPr>
              <w:pStyle w:val="CS-TextinTable10pt"/>
              <w:spacing w:before="20" w:after="20"/>
              <w:rPr>
                <w:rFonts w:ascii="Arial" w:hAnsi="Arial" w:cs="Arial"/>
                <w:sz w:val="18"/>
                <w:szCs w:val="18"/>
              </w:rPr>
            </w:pPr>
            <w:r w:rsidRPr="00DA68D9">
              <w:rPr>
                <w:rFonts w:ascii="Arial" w:hAnsi="Arial" w:cs="Arial"/>
                <w:sz w:val="18"/>
                <w:szCs w:val="18"/>
              </w:rPr>
              <w:t>Patients with AEs</w:t>
            </w:r>
          </w:p>
        </w:tc>
        <w:tc>
          <w:tcPr>
            <w:tcW w:w="1273" w:type="dxa"/>
            <w:tcBorders>
              <w:top w:val="nil"/>
            </w:tcBorders>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609 (93.0)</w:t>
            </w:r>
          </w:p>
        </w:tc>
        <w:tc>
          <w:tcPr>
            <w:tcW w:w="1275" w:type="dxa"/>
            <w:tcBorders>
              <w:top w:val="nil"/>
            </w:tcBorders>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188 (28.7)</w:t>
            </w:r>
          </w:p>
        </w:tc>
        <w:tc>
          <w:tcPr>
            <w:tcW w:w="1275" w:type="dxa"/>
            <w:tcBorders>
              <w:top w:val="nil"/>
            </w:tcBorders>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421 (64.3)</w:t>
            </w:r>
          </w:p>
        </w:tc>
        <w:tc>
          <w:tcPr>
            <w:tcW w:w="1276" w:type="dxa"/>
            <w:tcBorders>
              <w:top w:val="nil"/>
            </w:tcBorders>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610 (93.6)</w:t>
            </w:r>
          </w:p>
        </w:tc>
        <w:tc>
          <w:tcPr>
            <w:tcW w:w="1276" w:type="dxa"/>
            <w:tcBorders>
              <w:top w:val="nil"/>
            </w:tcBorders>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145 (22.2)</w:t>
            </w:r>
          </w:p>
        </w:tc>
        <w:tc>
          <w:tcPr>
            <w:tcW w:w="1275" w:type="dxa"/>
            <w:tcBorders>
              <w:top w:val="nil"/>
            </w:tcBorders>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465 (71.3)</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Diarrhoea</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143 (21.8)</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126 (19.2)</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17 (2.6)</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276 (42.3)</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233 (35.7)</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43 (6.6)</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Neutrophil count decreased</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235 (35.9)</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39 (6.0)</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196 (29.9)</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242 (37.1)</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33 (5.1)</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209 (32.1)</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Fatigue</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176 (26.9)</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151 (23.1)</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24 (3.7)</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198 (30.4)</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161 (24.7)</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37 (5.7)</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ALT increased</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55 (8.4)</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49 (7.5)</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 (0.9)</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186 (28.5)</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135 (20.7)</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51 (7.8)</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WBC decreased</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160 (24.4)</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60 (9.2)</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100 (15.3)</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160 (24.5)</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53 (8.1)</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107 (16.4)</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Nausea</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118 (18.0)</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112 (17.1)</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 (0.9)</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158 (24.2)</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153 (23.5)</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5 (0.8)</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AST increased</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43 (6.6)</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40 (6.1)</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3 (0.5)</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147 (22.5)</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125 (19.2)</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22 (3.4)</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Decreased appetite</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102 (15.6)</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94 (14.4)</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8 (1.2)</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145 (22.2)</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136 (20.9)</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9 (1.4)</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Dyspnoea</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110 (16.8)</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75 (11.5)</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35 (5.3)</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124 (19.0)</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92 (14.1)</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32 (4.9)</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Vomiting</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61 (9.3)</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58 (8.9)</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3 (0.5)</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110 (16.9)</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105 (16.1)</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5 (0.8)</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Alopecia</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119 (18.2)</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118 (18.0)</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0</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107 (16.4)</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106 (16.3)</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 (0.2)</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Cough</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110 (16.8)</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106 (16.2)</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4 (0.6)</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99 (15.2)</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93 (14.3)</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 (0.9)</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Neutropenia</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94 (14.4)</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15 (2.3)</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79 (12.1)</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90 (13.8)</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11 (1.7)</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79 (12.1)</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Pyrexia</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98 (15.0)</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96 (14.7)</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2 (0.3)</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83 (12.7)</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78 (12.0)</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5 (0.8)</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Haemoglobin decreased</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79 (12.1)</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65 (9.9)</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14 (2.1)</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73 (11.2)</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64 (9.8)</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9 (1.4)</w:t>
            </w:r>
          </w:p>
        </w:tc>
      </w:tr>
      <w:tr w:rsidR="00983F71" w:rsidRPr="00DA68D9" w:rsidTr="009233A9">
        <w:trPr>
          <w:cantSplit/>
          <w:jc w:val="center"/>
        </w:trPr>
        <w:tc>
          <w:tcPr>
            <w:tcW w:w="1453" w:type="dxa"/>
            <w:shd w:val="clear" w:color="auto" w:fill="FFFFFF"/>
          </w:tcPr>
          <w:p w:rsidR="00983F71" w:rsidRPr="00DA68D9" w:rsidRDefault="00983F71" w:rsidP="009233A9">
            <w:pPr>
              <w:pStyle w:val="CS-TextinTable10pt"/>
              <w:tabs>
                <w:tab w:val="clear" w:pos="144"/>
              </w:tabs>
              <w:spacing w:before="20" w:after="20"/>
              <w:ind w:left="120"/>
              <w:rPr>
                <w:rFonts w:ascii="Arial" w:hAnsi="Arial" w:cs="Arial"/>
                <w:sz w:val="18"/>
                <w:szCs w:val="18"/>
              </w:rPr>
            </w:pPr>
            <w:r w:rsidRPr="00DA68D9">
              <w:rPr>
                <w:rFonts w:ascii="Arial" w:hAnsi="Arial" w:cs="Arial"/>
                <w:sz w:val="18"/>
                <w:szCs w:val="18"/>
              </w:rPr>
              <w:t>Constipation</w:t>
            </w:r>
          </w:p>
        </w:tc>
        <w:tc>
          <w:tcPr>
            <w:tcW w:w="1273"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76 (11.6)</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73 (11.1)</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3 (0.5)</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35 (5.4)</w:t>
            </w:r>
          </w:p>
        </w:tc>
        <w:tc>
          <w:tcPr>
            <w:tcW w:w="1276"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35 (5.4)</w:t>
            </w:r>
          </w:p>
        </w:tc>
        <w:tc>
          <w:tcPr>
            <w:tcW w:w="1275" w:type="dxa"/>
            <w:shd w:val="clear" w:color="auto" w:fill="FFFFFF"/>
          </w:tcPr>
          <w:p w:rsidR="00983F71" w:rsidRPr="00DA68D9" w:rsidRDefault="00983F71" w:rsidP="009233A9">
            <w:pPr>
              <w:pStyle w:val="CS-TextinTable10pt"/>
              <w:spacing w:before="20" w:after="20"/>
              <w:jc w:val="center"/>
              <w:rPr>
                <w:rFonts w:ascii="Arial" w:hAnsi="Arial" w:cs="Arial"/>
                <w:sz w:val="18"/>
                <w:szCs w:val="18"/>
              </w:rPr>
            </w:pPr>
            <w:r w:rsidRPr="00DA68D9">
              <w:rPr>
                <w:rFonts w:ascii="Arial" w:hAnsi="Arial" w:cs="Arial"/>
                <w:sz w:val="18"/>
                <w:szCs w:val="18"/>
              </w:rPr>
              <w:t>0</w:t>
            </w:r>
          </w:p>
        </w:tc>
      </w:tr>
    </w:tbl>
    <w:p w:rsidR="00983F71" w:rsidRPr="00DA68D9" w:rsidRDefault="00983F71" w:rsidP="00983F71">
      <w:pPr>
        <w:pStyle w:val="CS-FootnoteText"/>
        <w:rPr>
          <w:rFonts w:ascii="Arial" w:hAnsi="Arial" w:cs="Arial"/>
        </w:rPr>
      </w:pPr>
      <w:r w:rsidRPr="00DA68D9">
        <w:rPr>
          <w:rFonts w:ascii="Arial" w:hAnsi="Arial" w:cs="Arial"/>
        </w:rPr>
        <w:t xml:space="preserve">Preferred terms are sorted by frequency in the nintedanib arm </w:t>
      </w:r>
    </w:p>
    <w:p w:rsidR="00983F71" w:rsidRPr="00DA68D9" w:rsidRDefault="00983F71" w:rsidP="00983F71">
      <w:pPr>
        <w:pStyle w:val="CS-FootnoteText"/>
        <w:rPr>
          <w:rFonts w:ascii="Arial" w:hAnsi="Arial" w:cs="Arial"/>
        </w:rPr>
      </w:pPr>
    </w:p>
    <w:p w:rsidR="004E11D0" w:rsidRDefault="004E11D0" w:rsidP="004E11D0">
      <w:pPr>
        <w:pStyle w:val="TextPI"/>
        <w:rPr>
          <w:noProof/>
          <w:lang w:val="en-US"/>
        </w:rPr>
      </w:pPr>
      <w:r w:rsidRPr="004E11D0">
        <w:rPr>
          <w:bCs/>
          <w:lang w:val="en-GB"/>
        </w:rPr>
        <w:t xml:space="preserve">Table </w:t>
      </w:r>
      <w:r w:rsidR="00FF4C63">
        <w:rPr>
          <w:bCs/>
          <w:lang w:val="en-GB"/>
        </w:rPr>
        <w:t>6</w:t>
      </w:r>
      <w:r w:rsidRPr="00B44310">
        <w:rPr>
          <w:lang w:val="en-GB"/>
        </w:rPr>
        <w:t xml:space="preserve"> summari</w:t>
      </w:r>
      <w:r>
        <w:rPr>
          <w:lang w:val="en-GB"/>
        </w:rPr>
        <w:t>s</w:t>
      </w:r>
      <w:r w:rsidRPr="00B44310">
        <w:rPr>
          <w:lang w:val="en-GB"/>
        </w:rPr>
        <w:t xml:space="preserve">es the frequencies of adverse drug reactions (ADRs) </w:t>
      </w:r>
      <w:r>
        <w:rPr>
          <w:lang w:val="en-GB"/>
        </w:rPr>
        <w:t xml:space="preserve">by System Organ Class (SOC) </w:t>
      </w:r>
      <w:r w:rsidRPr="00B44310">
        <w:rPr>
          <w:lang w:val="en-GB"/>
        </w:rPr>
        <w:t>that were reported in the pivotal study LUME-Lung 1 for patients with NSCLC of adenocarcinoma tumour histology (n</w:t>
      </w:r>
      <w:r>
        <w:rPr>
          <w:lang w:val="en-GB"/>
        </w:rPr>
        <w:t xml:space="preserve"> </w:t>
      </w:r>
      <w:r w:rsidRPr="00B44310">
        <w:rPr>
          <w:lang w:val="en-GB"/>
        </w:rPr>
        <w:t>=</w:t>
      </w:r>
      <w:r>
        <w:rPr>
          <w:lang w:val="en-GB"/>
        </w:rPr>
        <w:t xml:space="preserve"> </w:t>
      </w:r>
      <w:r w:rsidRPr="00B44310">
        <w:rPr>
          <w:lang w:val="en-GB"/>
        </w:rPr>
        <w:t xml:space="preserve">320). </w:t>
      </w:r>
      <w:r>
        <w:rPr>
          <w:lang w:val="en-GB"/>
        </w:rPr>
        <w:t xml:space="preserve"> </w:t>
      </w:r>
      <w:r w:rsidRPr="00B44310">
        <w:rPr>
          <w:lang w:val="en-GB"/>
        </w:rPr>
        <w:t>The following terms are used to rank the ADRs by frequency: very common (≥ 1/10), common (≥ 1/100 &lt; 1/10), uncommon (≥ 1/1,000 &lt; 1/100</w:t>
      </w:r>
      <w:r>
        <w:rPr>
          <w:lang w:val="en-GB"/>
        </w:rPr>
        <w:t xml:space="preserve">). </w:t>
      </w:r>
      <w:r w:rsidRPr="00B44310">
        <w:rPr>
          <w:lang w:val="en-GB"/>
        </w:rPr>
        <w:t xml:space="preserve"> Within each frequency grouping adverse reactions are presented in order of decreased seriousness.</w:t>
      </w:r>
      <w:r>
        <w:rPr>
          <w:lang w:val="en-GB"/>
        </w:rPr>
        <w:t xml:space="preserve">  </w:t>
      </w:r>
      <w:r w:rsidRPr="00B44310">
        <w:rPr>
          <w:noProof/>
          <w:lang w:val="en-US"/>
        </w:rPr>
        <w:t xml:space="preserve">The most frequently reported adverse reactions specific for nintedanib were diarrhoea, increased liver enzyme values (ALT and AST) and vomiting. </w:t>
      </w:r>
      <w:r>
        <w:rPr>
          <w:noProof/>
          <w:lang w:val="en-US"/>
        </w:rPr>
        <w:t xml:space="preserve"> </w:t>
      </w:r>
    </w:p>
    <w:p w:rsidR="0052557A" w:rsidRDefault="0052557A" w:rsidP="004E11D0">
      <w:pPr>
        <w:pStyle w:val="TextPI"/>
        <w:rPr>
          <w:noProof/>
        </w:rPr>
      </w:pPr>
    </w:p>
    <w:p w:rsidR="004279BC" w:rsidRDefault="004279BC">
      <w:pPr>
        <w:rPr>
          <w:rFonts w:ascii="Arial" w:hAnsi="Arial"/>
          <w:b/>
          <w:sz w:val="20"/>
          <w:lang w:val="en-GB"/>
        </w:rPr>
      </w:pPr>
      <w:bookmarkStart w:id="10" w:name="_Ref204515339"/>
      <w:r>
        <w:rPr>
          <w:b/>
          <w:sz w:val="20"/>
          <w:lang w:val="en-GB"/>
        </w:rPr>
        <w:lastRenderedPageBreak/>
        <w:br w:type="page"/>
      </w:r>
    </w:p>
    <w:p w:rsidR="00B44310" w:rsidRPr="004E11D0" w:rsidRDefault="008C28BB" w:rsidP="004E11D0">
      <w:pPr>
        <w:pStyle w:val="TextPI"/>
        <w:tabs>
          <w:tab w:val="left" w:pos="1134"/>
        </w:tabs>
        <w:rPr>
          <w:b/>
          <w:sz w:val="20"/>
          <w:szCs w:val="20"/>
          <w:lang w:val="en-GB"/>
        </w:rPr>
      </w:pPr>
      <w:r w:rsidRPr="004E11D0">
        <w:rPr>
          <w:b/>
          <w:sz w:val="20"/>
          <w:szCs w:val="20"/>
          <w:lang w:val="en-GB"/>
        </w:rPr>
        <w:lastRenderedPageBreak/>
        <w:t>T</w:t>
      </w:r>
      <w:r w:rsidR="00B44310" w:rsidRPr="004E11D0">
        <w:rPr>
          <w:b/>
          <w:sz w:val="20"/>
          <w:szCs w:val="20"/>
          <w:lang w:val="en-GB"/>
        </w:rPr>
        <w:t>able</w:t>
      </w:r>
      <w:bookmarkEnd w:id="10"/>
      <w:r w:rsidR="004F0B5D" w:rsidRPr="004E11D0">
        <w:rPr>
          <w:b/>
          <w:sz w:val="20"/>
          <w:szCs w:val="20"/>
          <w:lang w:val="en-GB"/>
        </w:rPr>
        <w:t xml:space="preserve"> </w:t>
      </w:r>
      <w:r w:rsidR="00FF4C63">
        <w:rPr>
          <w:b/>
          <w:sz w:val="20"/>
          <w:szCs w:val="20"/>
          <w:lang w:val="en-GB"/>
        </w:rPr>
        <w:t>6</w:t>
      </w:r>
      <w:r w:rsidR="004E11D0">
        <w:rPr>
          <w:b/>
          <w:sz w:val="20"/>
          <w:szCs w:val="20"/>
          <w:lang w:val="en-GB"/>
        </w:rPr>
        <w:t>:</w:t>
      </w:r>
      <w:r w:rsidR="004E11D0">
        <w:rPr>
          <w:b/>
          <w:sz w:val="20"/>
          <w:szCs w:val="20"/>
          <w:lang w:val="en-GB"/>
        </w:rPr>
        <w:tab/>
      </w:r>
      <w:r w:rsidR="00B44310" w:rsidRPr="004E11D0">
        <w:rPr>
          <w:b/>
          <w:sz w:val="20"/>
          <w:szCs w:val="20"/>
          <w:lang w:val="en-GB"/>
        </w:rPr>
        <w:t xml:space="preserve">Summary of ADRs per frequency category </w:t>
      </w:r>
      <w:r w:rsidR="00B93A04" w:rsidRPr="004E11D0">
        <w:rPr>
          <w:b/>
          <w:sz w:val="20"/>
          <w:szCs w:val="20"/>
          <w:lang w:val="en-GB"/>
        </w:rPr>
        <w:t>from pivotal Study LUME-Lung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303"/>
        <w:gridCol w:w="2170"/>
      </w:tblGrid>
      <w:tr w:rsidR="00B44310" w:rsidRPr="00B44310" w:rsidTr="00F134F7">
        <w:trPr>
          <w:trHeight w:val="293"/>
          <w:tblHeader/>
        </w:trPr>
        <w:tc>
          <w:tcPr>
            <w:tcW w:w="2410" w:type="dxa"/>
          </w:tcPr>
          <w:p w:rsidR="00B44310" w:rsidRPr="0074190C" w:rsidRDefault="00B44310" w:rsidP="0074190C">
            <w:pPr>
              <w:keepNext/>
              <w:keepLines/>
              <w:rPr>
                <w:rFonts w:ascii="Arial" w:hAnsi="Arial" w:cs="Arial"/>
                <w:b/>
                <w:sz w:val="20"/>
                <w:lang w:val="en-US" w:eastAsia="de-DE"/>
              </w:rPr>
            </w:pPr>
            <w:r w:rsidRPr="0074190C">
              <w:rPr>
                <w:rFonts w:ascii="Arial" w:hAnsi="Arial" w:cs="Arial"/>
                <w:b/>
                <w:sz w:val="20"/>
                <w:lang w:val="en-US" w:eastAsia="de-DE"/>
              </w:rPr>
              <w:t>System Organ Class</w:t>
            </w:r>
          </w:p>
          <w:p w:rsidR="00B44310" w:rsidRPr="0074190C" w:rsidRDefault="00B44310" w:rsidP="00B44310">
            <w:pPr>
              <w:keepNext/>
              <w:keepLines/>
              <w:jc w:val="both"/>
              <w:rPr>
                <w:rFonts w:ascii="Arial" w:hAnsi="Arial" w:cs="Arial"/>
                <w:b/>
                <w:sz w:val="20"/>
                <w:lang w:val="en-US" w:eastAsia="de-DE"/>
              </w:rPr>
            </w:pPr>
          </w:p>
        </w:tc>
        <w:tc>
          <w:tcPr>
            <w:tcW w:w="2268" w:type="dxa"/>
          </w:tcPr>
          <w:p w:rsidR="00B44310" w:rsidRPr="0074190C" w:rsidRDefault="00B44310" w:rsidP="0074190C">
            <w:pPr>
              <w:keepNext/>
              <w:keepLines/>
              <w:tabs>
                <w:tab w:val="left" w:pos="270"/>
              </w:tabs>
              <w:rPr>
                <w:rFonts w:ascii="Arial" w:hAnsi="Arial" w:cs="Arial"/>
                <w:b/>
                <w:sz w:val="20"/>
                <w:lang w:val="en-GB" w:eastAsia="de-DE"/>
              </w:rPr>
            </w:pPr>
            <w:r w:rsidRPr="0074190C">
              <w:rPr>
                <w:rFonts w:ascii="Arial" w:hAnsi="Arial" w:cs="Arial"/>
                <w:b/>
                <w:sz w:val="20"/>
                <w:lang w:val="en-GB" w:eastAsia="de-DE"/>
              </w:rPr>
              <w:t xml:space="preserve">Very common </w:t>
            </w:r>
            <w:r w:rsidRPr="0074190C">
              <w:rPr>
                <w:rFonts w:ascii="Arial" w:hAnsi="Arial" w:cs="Arial"/>
                <w:b/>
                <w:sz w:val="20"/>
                <w:lang w:val="en-GB" w:eastAsia="de-DE"/>
              </w:rPr>
              <w:br/>
              <w:t>(≥ 1/10)</w:t>
            </w:r>
          </w:p>
        </w:tc>
        <w:tc>
          <w:tcPr>
            <w:tcW w:w="2303" w:type="dxa"/>
          </w:tcPr>
          <w:p w:rsidR="00B44310" w:rsidRPr="0074190C" w:rsidRDefault="00B44310" w:rsidP="00B44310">
            <w:pPr>
              <w:keepNext/>
              <w:keepLines/>
              <w:jc w:val="both"/>
              <w:rPr>
                <w:rFonts w:ascii="Arial" w:hAnsi="Arial" w:cs="Arial"/>
                <w:b/>
                <w:sz w:val="20"/>
                <w:lang w:val="en-US" w:eastAsia="de-DE"/>
              </w:rPr>
            </w:pPr>
            <w:r w:rsidRPr="0074190C">
              <w:rPr>
                <w:rFonts w:ascii="Arial" w:hAnsi="Arial" w:cs="Arial"/>
                <w:b/>
                <w:sz w:val="20"/>
                <w:lang w:val="en-GB" w:eastAsia="de-DE"/>
              </w:rPr>
              <w:t xml:space="preserve">Common </w:t>
            </w:r>
            <w:r w:rsidRPr="0074190C">
              <w:rPr>
                <w:rFonts w:ascii="Arial" w:hAnsi="Arial" w:cs="Arial"/>
                <w:b/>
                <w:sz w:val="20"/>
                <w:lang w:val="en-GB" w:eastAsia="de-DE"/>
              </w:rPr>
              <w:br/>
              <w:t>(≥ 1/100 &lt; 1/10)</w:t>
            </w:r>
          </w:p>
        </w:tc>
        <w:tc>
          <w:tcPr>
            <w:tcW w:w="2170" w:type="dxa"/>
          </w:tcPr>
          <w:p w:rsidR="00B44310" w:rsidRPr="0074190C" w:rsidRDefault="00B44310" w:rsidP="00B44310">
            <w:pPr>
              <w:keepNext/>
              <w:keepLines/>
              <w:tabs>
                <w:tab w:val="left" w:pos="270"/>
              </w:tabs>
              <w:jc w:val="both"/>
              <w:rPr>
                <w:rFonts w:ascii="Arial" w:hAnsi="Arial" w:cs="Arial"/>
                <w:b/>
                <w:sz w:val="20"/>
                <w:lang w:val="en-GB" w:eastAsia="de-DE"/>
              </w:rPr>
            </w:pPr>
            <w:r w:rsidRPr="0074190C">
              <w:rPr>
                <w:rFonts w:ascii="Arial" w:hAnsi="Arial" w:cs="Arial"/>
                <w:b/>
                <w:sz w:val="20"/>
                <w:lang w:val="en-GB" w:eastAsia="de-DE"/>
              </w:rPr>
              <w:t xml:space="preserve">Uncommon </w:t>
            </w:r>
            <w:r w:rsidRPr="0074190C">
              <w:rPr>
                <w:rFonts w:ascii="Arial" w:hAnsi="Arial" w:cs="Arial"/>
                <w:b/>
                <w:sz w:val="20"/>
                <w:lang w:val="en-GB" w:eastAsia="de-DE"/>
              </w:rPr>
              <w:br/>
              <w:t>(≥ 1/1,000 &lt; 1/100)</w:t>
            </w:r>
          </w:p>
        </w:tc>
      </w:tr>
      <w:tr w:rsidR="00B44310" w:rsidRPr="00B44310" w:rsidTr="00F134F7">
        <w:tc>
          <w:tcPr>
            <w:tcW w:w="2410" w:type="dxa"/>
          </w:tcPr>
          <w:p w:rsidR="00B44310" w:rsidRPr="0074190C" w:rsidRDefault="00B44310" w:rsidP="0074190C">
            <w:pPr>
              <w:rPr>
                <w:rFonts w:ascii="Arial" w:hAnsi="Arial" w:cs="Arial"/>
                <w:sz w:val="20"/>
                <w:lang w:val="en-US" w:eastAsia="de-DE"/>
              </w:rPr>
            </w:pPr>
            <w:r w:rsidRPr="0074190C">
              <w:rPr>
                <w:rFonts w:ascii="Arial" w:hAnsi="Arial" w:cs="Arial"/>
                <w:sz w:val="20"/>
                <w:lang w:val="en-US" w:eastAsia="de-DE"/>
              </w:rPr>
              <w:t>Infections and infestations</w:t>
            </w:r>
          </w:p>
        </w:tc>
        <w:tc>
          <w:tcPr>
            <w:tcW w:w="2268" w:type="dxa"/>
          </w:tcPr>
          <w:p w:rsidR="00B44310" w:rsidRPr="0074190C" w:rsidRDefault="00B44310" w:rsidP="00B44310">
            <w:pPr>
              <w:jc w:val="both"/>
              <w:rPr>
                <w:rFonts w:ascii="Arial" w:hAnsi="Arial" w:cs="Arial"/>
                <w:sz w:val="20"/>
                <w:lang w:val="en-US" w:eastAsia="de-DE"/>
              </w:rPr>
            </w:pPr>
          </w:p>
        </w:tc>
        <w:tc>
          <w:tcPr>
            <w:tcW w:w="2303" w:type="dxa"/>
          </w:tcPr>
          <w:p w:rsidR="00B44310" w:rsidRPr="00D63C9E" w:rsidRDefault="006D3A9D" w:rsidP="006D3A9D">
            <w:pPr>
              <w:rPr>
                <w:rFonts w:ascii="Arial" w:hAnsi="Arial" w:cs="Arial"/>
                <w:sz w:val="20"/>
                <w:lang w:val="en-US" w:eastAsia="de-DE"/>
              </w:rPr>
            </w:pPr>
            <w:r w:rsidRPr="00D63C9E">
              <w:rPr>
                <w:rFonts w:ascii="Arial" w:hAnsi="Arial" w:cs="Arial"/>
                <w:sz w:val="20"/>
                <w:lang w:val="en-US" w:eastAsia="de-DE"/>
              </w:rPr>
              <w:t>Febrile neutropenia</w:t>
            </w:r>
            <w:r w:rsidR="00042B08" w:rsidRPr="00D63C9E">
              <w:rPr>
                <w:rFonts w:ascii="Arial" w:hAnsi="Arial" w:cs="Arial"/>
                <w:sz w:val="20"/>
                <w:vertAlign w:val="superscript"/>
                <w:lang w:val="en-US" w:eastAsia="de-DE"/>
              </w:rPr>
              <w:t>1</w:t>
            </w:r>
            <w:r w:rsidRPr="00D63C9E">
              <w:rPr>
                <w:rFonts w:ascii="Arial" w:hAnsi="Arial" w:cs="Arial"/>
                <w:sz w:val="20"/>
                <w:lang w:val="en-US" w:eastAsia="de-DE"/>
              </w:rPr>
              <w:t xml:space="preserve">, </w:t>
            </w:r>
            <w:r w:rsidR="00B44310" w:rsidRPr="00D63C9E">
              <w:rPr>
                <w:rFonts w:ascii="Arial" w:hAnsi="Arial" w:cs="Arial"/>
                <w:sz w:val="20"/>
                <w:lang w:val="en-US" w:eastAsia="de-DE"/>
              </w:rPr>
              <w:t>Abscesses,</w:t>
            </w:r>
          </w:p>
          <w:p w:rsidR="00B44310" w:rsidRPr="0074190C" w:rsidRDefault="006D3A9D" w:rsidP="006D3A9D">
            <w:pPr>
              <w:rPr>
                <w:rFonts w:ascii="Arial" w:hAnsi="Arial" w:cs="Arial"/>
                <w:sz w:val="20"/>
                <w:lang w:val="en-US" w:eastAsia="de-DE"/>
              </w:rPr>
            </w:pPr>
            <w:r w:rsidRPr="00D63C9E">
              <w:rPr>
                <w:rFonts w:ascii="Arial" w:hAnsi="Arial" w:cs="Arial"/>
                <w:sz w:val="20"/>
                <w:lang w:val="en-US" w:eastAsia="de-DE"/>
              </w:rPr>
              <w:t>Sepsis</w:t>
            </w:r>
            <w:r w:rsidR="00042B08" w:rsidRPr="00D63C9E">
              <w:rPr>
                <w:rFonts w:ascii="Arial" w:hAnsi="Arial" w:cs="Arial"/>
                <w:sz w:val="20"/>
                <w:vertAlign w:val="superscript"/>
                <w:lang w:val="en-US" w:eastAsia="de-DE"/>
              </w:rPr>
              <w:t>1</w:t>
            </w:r>
          </w:p>
        </w:tc>
        <w:tc>
          <w:tcPr>
            <w:tcW w:w="2170" w:type="dxa"/>
          </w:tcPr>
          <w:p w:rsidR="00B44310" w:rsidRPr="0074190C" w:rsidRDefault="00B44310" w:rsidP="00B44310">
            <w:pPr>
              <w:jc w:val="both"/>
              <w:rPr>
                <w:rFonts w:ascii="Arial" w:hAnsi="Arial" w:cs="Arial"/>
                <w:sz w:val="20"/>
                <w:lang w:val="en-US" w:eastAsia="de-DE"/>
              </w:rPr>
            </w:pPr>
          </w:p>
        </w:tc>
      </w:tr>
      <w:tr w:rsidR="00B44310" w:rsidRPr="00B44310" w:rsidTr="00F134F7">
        <w:tc>
          <w:tcPr>
            <w:tcW w:w="2410" w:type="dxa"/>
          </w:tcPr>
          <w:p w:rsidR="00B44310" w:rsidRPr="0074190C" w:rsidRDefault="00B44310" w:rsidP="006C379E">
            <w:pPr>
              <w:rPr>
                <w:rFonts w:ascii="Arial" w:hAnsi="Arial" w:cs="Arial"/>
                <w:sz w:val="20"/>
                <w:lang w:val="en-US" w:eastAsia="de-DE"/>
              </w:rPr>
            </w:pPr>
            <w:r w:rsidRPr="0074190C">
              <w:rPr>
                <w:rFonts w:ascii="Arial" w:hAnsi="Arial" w:cs="Arial"/>
                <w:sz w:val="20"/>
                <w:lang w:val="en-US" w:eastAsia="de-DE"/>
              </w:rPr>
              <w:t>Blood and lymphatic system disorders</w:t>
            </w:r>
          </w:p>
        </w:tc>
        <w:tc>
          <w:tcPr>
            <w:tcW w:w="2268" w:type="dxa"/>
          </w:tcPr>
          <w:p w:rsidR="00B44310" w:rsidRPr="0074190C" w:rsidRDefault="00B44310" w:rsidP="00B44310">
            <w:pPr>
              <w:jc w:val="both"/>
              <w:rPr>
                <w:rFonts w:ascii="Arial" w:hAnsi="Arial" w:cs="Arial"/>
                <w:sz w:val="20"/>
                <w:lang w:val="en-US" w:eastAsia="de-DE"/>
              </w:rPr>
            </w:pPr>
            <w:r w:rsidRPr="00D63C9E">
              <w:rPr>
                <w:rFonts w:ascii="Arial" w:hAnsi="Arial" w:cs="Arial"/>
                <w:sz w:val="20"/>
                <w:lang w:val="en-US" w:eastAsia="de-DE"/>
              </w:rPr>
              <w:t>Neutropenia</w:t>
            </w:r>
            <w:r w:rsidR="00042B08" w:rsidRPr="00D63C9E">
              <w:rPr>
                <w:rFonts w:ascii="Arial" w:hAnsi="Arial" w:cs="Arial"/>
                <w:sz w:val="20"/>
                <w:vertAlign w:val="superscript"/>
                <w:lang w:val="en-US" w:eastAsia="de-DE"/>
              </w:rPr>
              <w:t>1</w:t>
            </w:r>
          </w:p>
          <w:p w:rsidR="00B44310" w:rsidRPr="0074190C" w:rsidRDefault="00B44310" w:rsidP="006C379E">
            <w:pPr>
              <w:rPr>
                <w:rFonts w:ascii="Arial" w:hAnsi="Arial" w:cs="Arial"/>
                <w:sz w:val="20"/>
                <w:lang w:val="en-US" w:eastAsia="de-DE"/>
              </w:rPr>
            </w:pPr>
            <w:r w:rsidRPr="0074190C">
              <w:rPr>
                <w:rFonts w:ascii="Arial" w:hAnsi="Arial" w:cs="Arial"/>
                <w:sz w:val="20"/>
                <w:lang w:val="en-US" w:eastAsia="de-DE"/>
              </w:rPr>
              <w:t>(includes febrile neutropenia)</w:t>
            </w:r>
          </w:p>
        </w:tc>
        <w:tc>
          <w:tcPr>
            <w:tcW w:w="2303" w:type="dxa"/>
          </w:tcPr>
          <w:p w:rsidR="00B44310" w:rsidRPr="0074190C" w:rsidRDefault="00B44310" w:rsidP="00B44310">
            <w:pPr>
              <w:jc w:val="both"/>
              <w:rPr>
                <w:rFonts w:ascii="Arial" w:hAnsi="Arial" w:cs="Arial"/>
                <w:sz w:val="20"/>
                <w:lang w:val="en-US" w:eastAsia="de-DE"/>
              </w:rPr>
            </w:pPr>
          </w:p>
        </w:tc>
        <w:tc>
          <w:tcPr>
            <w:tcW w:w="2170" w:type="dxa"/>
          </w:tcPr>
          <w:p w:rsidR="00B44310" w:rsidRPr="0074190C" w:rsidRDefault="00B44310" w:rsidP="00B44310">
            <w:pPr>
              <w:jc w:val="both"/>
              <w:rPr>
                <w:rFonts w:ascii="Arial" w:hAnsi="Arial" w:cs="Arial"/>
                <w:sz w:val="20"/>
                <w:lang w:val="en-US" w:eastAsia="de-DE"/>
              </w:rPr>
            </w:pPr>
          </w:p>
        </w:tc>
      </w:tr>
      <w:tr w:rsidR="00B44310" w:rsidRPr="00B44310" w:rsidTr="00F134F7">
        <w:tc>
          <w:tcPr>
            <w:tcW w:w="2410" w:type="dxa"/>
          </w:tcPr>
          <w:p w:rsidR="00B44310" w:rsidRPr="0074190C" w:rsidRDefault="00B44310" w:rsidP="006C379E">
            <w:pPr>
              <w:rPr>
                <w:rFonts w:ascii="Arial" w:hAnsi="Arial" w:cs="Arial"/>
                <w:sz w:val="20"/>
                <w:lang w:val="en-US" w:eastAsia="de-DE"/>
              </w:rPr>
            </w:pPr>
            <w:r w:rsidRPr="0074190C">
              <w:rPr>
                <w:rFonts w:ascii="Arial" w:hAnsi="Arial" w:cs="Arial"/>
                <w:sz w:val="20"/>
                <w:lang w:val="en-US" w:eastAsia="de-DE"/>
              </w:rPr>
              <w:t>Metabolism and nutrition disorders</w:t>
            </w:r>
          </w:p>
        </w:tc>
        <w:tc>
          <w:tcPr>
            <w:tcW w:w="2268" w:type="dxa"/>
          </w:tcPr>
          <w:p w:rsidR="00B44310" w:rsidRPr="0074190C" w:rsidRDefault="00B44310" w:rsidP="006D3A9D">
            <w:pPr>
              <w:rPr>
                <w:rFonts w:ascii="Arial" w:hAnsi="Arial" w:cs="Arial"/>
                <w:sz w:val="20"/>
                <w:lang w:val="en-US" w:eastAsia="de-DE"/>
              </w:rPr>
            </w:pPr>
            <w:r w:rsidRPr="0074190C">
              <w:rPr>
                <w:rFonts w:ascii="Arial" w:hAnsi="Arial" w:cs="Arial"/>
                <w:sz w:val="20"/>
                <w:lang w:val="en-US" w:eastAsia="de-DE"/>
              </w:rPr>
              <w:t>Decreased appetite</w:t>
            </w:r>
            <w:r w:rsidR="006D3A9D">
              <w:rPr>
                <w:rFonts w:ascii="Arial" w:hAnsi="Arial" w:cs="Arial"/>
                <w:sz w:val="20"/>
                <w:lang w:val="en-US" w:eastAsia="de-DE"/>
              </w:rPr>
              <w:t xml:space="preserve">, </w:t>
            </w:r>
            <w:r w:rsidR="006D3A9D" w:rsidRPr="0074190C">
              <w:rPr>
                <w:rFonts w:ascii="Arial" w:hAnsi="Arial" w:cs="Arial"/>
                <w:sz w:val="20"/>
                <w:lang w:val="en-US" w:eastAsia="de-DE"/>
              </w:rPr>
              <w:t>Electrolyte imbalance</w:t>
            </w:r>
          </w:p>
        </w:tc>
        <w:tc>
          <w:tcPr>
            <w:tcW w:w="2303" w:type="dxa"/>
          </w:tcPr>
          <w:p w:rsidR="00B44310" w:rsidRPr="0074190C" w:rsidRDefault="006D3A9D" w:rsidP="006D3A9D">
            <w:pPr>
              <w:rPr>
                <w:rFonts w:ascii="Arial" w:hAnsi="Arial" w:cs="Arial"/>
                <w:sz w:val="20"/>
                <w:lang w:val="en-US" w:eastAsia="de-DE"/>
              </w:rPr>
            </w:pPr>
            <w:r w:rsidRPr="0074190C">
              <w:rPr>
                <w:rFonts w:ascii="Arial" w:hAnsi="Arial" w:cs="Arial"/>
                <w:sz w:val="20"/>
                <w:lang w:val="en-US" w:eastAsia="de-DE"/>
              </w:rPr>
              <w:t xml:space="preserve"> Dehydration</w:t>
            </w:r>
          </w:p>
        </w:tc>
        <w:tc>
          <w:tcPr>
            <w:tcW w:w="2170" w:type="dxa"/>
          </w:tcPr>
          <w:p w:rsidR="00B44310" w:rsidRPr="0074190C" w:rsidRDefault="00B44310" w:rsidP="00B44310">
            <w:pPr>
              <w:jc w:val="both"/>
              <w:rPr>
                <w:rFonts w:ascii="Arial" w:hAnsi="Arial" w:cs="Arial"/>
                <w:sz w:val="20"/>
                <w:lang w:val="en-US" w:eastAsia="de-DE"/>
              </w:rPr>
            </w:pPr>
          </w:p>
        </w:tc>
      </w:tr>
      <w:tr w:rsidR="006D3A9D" w:rsidRPr="00B44310" w:rsidTr="00F134F7">
        <w:tc>
          <w:tcPr>
            <w:tcW w:w="2410" w:type="dxa"/>
          </w:tcPr>
          <w:p w:rsidR="006D3A9D" w:rsidRPr="0074190C" w:rsidRDefault="006D3A9D" w:rsidP="006C379E">
            <w:pPr>
              <w:rPr>
                <w:rFonts w:ascii="Arial" w:hAnsi="Arial" w:cs="Arial"/>
                <w:sz w:val="20"/>
                <w:lang w:val="en-US" w:eastAsia="de-DE"/>
              </w:rPr>
            </w:pPr>
            <w:r>
              <w:rPr>
                <w:rFonts w:ascii="Arial" w:hAnsi="Arial" w:cs="Arial"/>
                <w:sz w:val="20"/>
                <w:lang w:val="en-US" w:eastAsia="de-DE"/>
              </w:rPr>
              <w:t>Nervous system disorders</w:t>
            </w:r>
          </w:p>
        </w:tc>
        <w:tc>
          <w:tcPr>
            <w:tcW w:w="2268" w:type="dxa"/>
          </w:tcPr>
          <w:p w:rsidR="006D3A9D" w:rsidRPr="00D63C9E" w:rsidRDefault="006D3A9D" w:rsidP="00B44310">
            <w:pPr>
              <w:jc w:val="both"/>
              <w:rPr>
                <w:rFonts w:ascii="Arial" w:hAnsi="Arial" w:cs="Arial"/>
                <w:sz w:val="20"/>
                <w:lang w:val="en-US" w:eastAsia="de-DE"/>
              </w:rPr>
            </w:pPr>
            <w:r w:rsidRPr="00D63C9E">
              <w:rPr>
                <w:rFonts w:ascii="Arial" w:hAnsi="Arial" w:cs="Arial"/>
                <w:sz w:val="20"/>
                <w:lang w:val="en-US" w:eastAsia="de-DE"/>
              </w:rPr>
              <w:t>Peripheral neuropathy</w:t>
            </w:r>
            <w:r w:rsidR="00042B08" w:rsidRPr="00D63C9E">
              <w:rPr>
                <w:rFonts w:ascii="Arial" w:hAnsi="Arial" w:cs="Arial"/>
                <w:sz w:val="20"/>
                <w:vertAlign w:val="superscript"/>
                <w:lang w:val="en-US" w:eastAsia="de-DE"/>
              </w:rPr>
              <w:t>1</w:t>
            </w:r>
          </w:p>
        </w:tc>
        <w:tc>
          <w:tcPr>
            <w:tcW w:w="2303" w:type="dxa"/>
          </w:tcPr>
          <w:p w:rsidR="006D3A9D" w:rsidRPr="0074190C" w:rsidRDefault="006D3A9D" w:rsidP="00B44310">
            <w:pPr>
              <w:jc w:val="both"/>
              <w:rPr>
                <w:rFonts w:ascii="Arial" w:hAnsi="Arial" w:cs="Arial"/>
                <w:sz w:val="20"/>
                <w:lang w:val="en-US" w:eastAsia="de-DE"/>
              </w:rPr>
            </w:pPr>
          </w:p>
        </w:tc>
        <w:tc>
          <w:tcPr>
            <w:tcW w:w="2170" w:type="dxa"/>
          </w:tcPr>
          <w:p w:rsidR="006D3A9D" w:rsidRPr="0074190C" w:rsidRDefault="006D3A9D" w:rsidP="00B44310">
            <w:pPr>
              <w:jc w:val="both"/>
              <w:rPr>
                <w:rFonts w:ascii="Arial" w:hAnsi="Arial" w:cs="Arial"/>
                <w:sz w:val="20"/>
                <w:lang w:val="en-US" w:eastAsia="de-DE"/>
              </w:rPr>
            </w:pPr>
          </w:p>
        </w:tc>
      </w:tr>
      <w:tr w:rsidR="00B44310" w:rsidRPr="00B44310" w:rsidTr="00F134F7">
        <w:tc>
          <w:tcPr>
            <w:tcW w:w="2410" w:type="dxa"/>
          </w:tcPr>
          <w:p w:rsidR="00B44310" w:rsidRPr="0074190C" w:rsidRDefault="00B44310" w:rsidP="006C379E">
            <w:pPr>
              <w:rPr>
                <w:rFonts w:ascii="Arial" w:hAnsi="Arial" w:cs="Arial"/>
                <w:sz w:val="20"/>
                <w:lang w:val="en-US" w:eastAsia="de-DE"/>
              </w:rPr>
            </w:pPr>
            <w:r w:rsidRPr="0074190C">
              <w:rPr>
                <w:rFonts w:ascii="Arial" w:hAnsi="Arial" w:cs="Arial"/>
                <w:sz w:val="20"/>
                <w:lang w:val="en-US" w:eastAsia="de-DE"/>
              </w:rPr>
              <w:t>Vascular disorders</w:t>
            </w:r>
          </w:p>
        </w:tc>
        <w:tc>
          <w:tcPr>
            <w:tcW w:w="2268" w:type="dxa"/>
          </w:tcPr>
          <w:p w:rsidR="00B44310" w:rsidRPr="00D63C9E" w:rsidRDefault="006D3A9D" w:rsidP="00042B08">
            <w:pPr>
              <w:jc w:val="both"/>
              <w:rPr>
                <w:rFonts w:ascii="Arial" w:hAnsi="Arial" w:cs="Arial"/>
                <w:sz w:val="20"/>
                <w:lang w:val="en-US" w:eastAsia="de-DE"/>
              </w:rPr>
            </w:pPr>
            <w:r w:rsidRPr="00D63C9E">
              <w:rPr>
                <w:rFonts w:ascii="Arial" w:hAnsi="Arial" w:cs="Arial"/>
                <w:sz w:val="20"/>
                <w:lang w:val="en-US" w:eastAsia="de-DE"/>
              </w:rPr>
              <w:t>Bleeding</w:t>
            </w:r>
            <w:r w:rsidR="00042B08" w:rsidRPr="00D63C9E">
              <w:rPr>
                <w:rFonts w:ascii="Arial" w:hAnsi="Arial" w:cs="Arial"/>
                <w:sz w:val="20"/>
                <w:vertAlign w:val="superscript"/>
                <w:lang w:val="en-US" w:eastAsia="de-DE"/>
              </w:rPr>
              <w:t>2</w:t>
            </w:r>
            <w:r w:rsidRPr="00D63C9E">
              <w:rPr>
                <w:rFonts w:ascii="Arial" w:hAnsi="Arial" w:cs="Arial"/>
                <w:sz w:val="20"/>
                <w:lang w:val="en-US" w:eastAsia="de-DE"/>
              </w:rPr>
              <w:t xml:space="preserve"> </w:t>
            </w:r>
          </w:p>
        </w:tc>
        <w:tc>
          <w:tcPr>
            <w:tcW w:w="2303" w:type="dxa"/>
          </w:tcPr>
          <w:p w:rsidR="00B44310" w:rsidRDefault="006D3A9D" w:rsidP="00B44310">
            <w:pPr>
              <w:jc w:val="both"/>
              <w:rPr>
                <w:rFonts w:ascii="Arial" w:hAnsi="Arial" w:cs="Arial"/>
                <w:sz w:val="20"/>
                <w:lang w:val="en-US" w:eastAsia="de-DE"/>
              </w:rPr>
            </w:pPr>
            <w:r w:rsidRPr="0074190C">
              <w:rPr>
                <w:rFonts w:ascii="Arial" w:hAnsi="Arial" w:cs="Arial"/>
                <w:sz w:val="20"/>
                <w:lang w:val="en-US" w:eastAsia="de-DE"/>
              </w:rPr>
              <w:t>Venous thromboembolism</w:t>
            </w:r>
            <w:r>
              <w:rPr>
                <w:rFonts w:ascii="Arial" w:hAnsi="Arial" w:cs="Arial"/>
                <w:sz w:val="20"/>
                <w:lang w:val="en-US" w:eastAsia="de-DE"/>
              </w:rPr>
              <w:t>,</w:t>
            </w:r>
          </w:p>
          <w:p w:rsidR="006D3A9D" w:rsidRPr="0074190C" w:rsidRDefault="006D3A9D" w:rsidP="00B44310">
            <w:pPr>
              <w:jc w:val="both"/>
              <w:rPr>
                <w:rFonts w:ascii="Arial" w:hAnsi="Arial" w:cs="Arial"/>
                <w:sz w:val="20"/>
                <w:lang w:val="en-US" w:eastAsia="de-DE"/>
              </w:rPr>
            </w:pPr>
            <w:r w:rsidRPr="0074190C">
              <w:rPr>
                <w:rFonts w:ascii="Arial" w:hAnsi="Arial" w:cs="Arial"/>
                <w:sz w:val="20"/>
                <w:lang w:val="en-US" w:eastAsia="de-DE"/>
              </w:rPr>
              <w:t>Hypertension</w:t>
            </w:r>
          </w:p>
        </w:tc>
        <w:tc>
          <w:tcPr>
            <w:tcW w:w="2170" w:type="dxa"/>
          </w:tcPr>
          <w:p w:rsidR="00B44310" w:rsidRPr="0074190C" w:rsidRDefault="00B44310" w:rsidP="00B44310">
            <w:pPr>
              <w:jc w:val="both"/>
              <w:rPr>
                <w:rFonts w:ascii="Arial" w:hAnsi="Arial" w:cs="Arial"/>
                <w:sz w:val="20"/>
                <w:lang w:val="en-US" w:eastAsia="de-DE"/>
              </w:rPr>
            </w:pPr>
          </w:p>
          <w:p w:rsidR="00B44310" w:rsidRPr="0074190C" w:rsidRDefault="00B44310" w:rsidP="00B44310">
            <w:pPr>
              <w:jc w:val="both"/>
              <w:rPr>
                <w:rFonts w:ascii="Arial" w:hAnsi="Arial" w:cs="Arial"/>
                <w:sz w:val="20"/>
                <w:lang w:val="en-US" w:eastAsia="de-DE"/>
              </w:rPr>
            </w:pPr>
          </w:p>
        </w:tc>
      </w:tr>
      <w:tr w:rsidR="00B44310" w:rsidRPr="00B44310" w:rsidTr="00F134F7">
        <w:trPr>
          <w:trHeight w:val="280"/>
        </w:trPr>
        <w:tc>
          <w:tcPr>
            <w:tcW w:w="2410" w:type="dxa"/>
          </w:tcPr>
          <w:p w:rsidR="00B44310" w:rsidRPr="0074190C" w:rsidRDefault="00B44310" w:rsidP="006D3A9D">
            <w:pPr>
              <w:rPr>
                <w:rFonts w:ascii="Arial" w:hAnsi="Arial" w:cs="Arial"/>
                <w:sz w:val="20"/>
                <w:lang w:val="en-US" w:eastAsia="de-DE"/>
              </w:rPr>
            </w:pPr>
            <w:r w:rsidRPr="0074190C">
              <w:rPr>
                <w:rFonts w:ascii="Arial" w:hAnsi="Arial" w:cs="Arial"/>
                <w:sz w:val="20"/>
                <w:lang w:val="en-US" w:eastAsia="de-DE"/>
              </w:rPr>
              <w:t>Gastrointestinal</w:t>
            </w:r>
            <w:r w:rsidR="006D3A9D">
              <w:rPr>
                <w:rFonts w:ascii="Arial" w:hAnsi="Arial" w:cs="Arial"/>
                <w:sz w:val="20"/>
                <w:lang w:val="en-US" w:eastAsia="de-DE"/>
              </w:rPr>
              <w:t xml:space="preserve"> d</w:t>
            </w:r>
            <w:r w:rsidRPr="0074190C">
              <w:rPr>
                <w:rFonts w:ascii="Arial" w:hAnsi="Arial" w:cs="Arial"/>
                <w:sz w:val="20"/>
                <w:lang w:val="en-US" w:eastAsia="de-DE"/>
              </w:rPr>
              <w:t>isorder</w:t>
            </w:r>
            <w:r w:rsidR="006D3A9D">
              <w:rPr>
                <w:rFonts w:ascii="Arial" w:hAnsi="Arial" w:cs="Arial"/>
                <w:sz w:val="20"/>
                <w:lang w:val="en-US" w:eastAsia="de-DE"/>
              </w:rPr>
              <w:t>s</w:t>
            </w:r>
          </w:p>
        </w:tc>
        <w:tc>
          <w:tcPr>
            <w:tcW w:w="2268" w:type="dxa"/>
          </w:tcPr>
          <w:p w:rsidR="00B44310" w:rsidRPr="0074190C" w:rsidRDefault="00B44310" w:rsidP="00B44310">
            <w:pPr>
              <w:tabs>
                <w:tab w:val="left" w:pos="567"/>
              </w:tabs>
              <w:jc w:val="both"/>
              <w:rPr>
                <w:rFonts w:ascii="Arial" w:hAnsi="Arial" w:cs="Arial"/>
                <w:sz w:val="20"/>
                <w:lang w:val="en-GB"/>
              </w:rPr>
            </w:pPr>
            <w:r w:rsidRPr="0074190C">
              <w:rPr>
                <w:rFonts w:ascii="Arial" w:hAnsi="Arial" w:cs="Arial"/>
                <w:sz w:val="20"/>
                <w:lang w:val="en-GB"/>
              </w:rPr>
              <w:t>Diarrhoea,</w:t>
            </w:r>
          </w:p>
          <w:p w:rsidR="00B44310" w:rsidRPr="0074190C" w:rsidRDefault="00B44310" w:rsidP="00B44310">
            <w:pPr>
              <w:tabs>
                <w:tab w:val="left" w:pos="567"/>
              </w:tabs>
              <w:jc w:val="both"/>
              <w:rPr>
                <w:rFonts w:ascii="Arial" w:hAnsi="Arial" w:cs="Arial"/>
                <w:sz w:val="20"/>
                <w:lang w:val="en-GB"/>
              </w:rPr>
            </w:pPr>
            <w:r w:rsidRPr="0074190C">
              <w:rPr>
                <w:rFonts w:ascii="Arial" w:hAnsi="Arial" w:cs="Arial"/>
                <w:sz w:val="20"/>
                <w:lang w:val="en-GB"/>
              </w:rPr>
              <w:t>Vomiting,</w:t>
            </w:r>
          </w:p>
          <w:p w:rsidR="00B44310" w:rsidRDefault="00B44310" w:rsidP="00B44310">
            <w:pPr>
              <w:tabs>
                <w:tab w:val="left" w:pos="567"/>
              </w:tabs>
              <w:jc w:val="both"/>
              <w:rPr>
                <w:rFonts w:ascii="Arial" w:hAnsi="Arial" w:cs="Arial"/>
                <w:sz w:val="20"/>
                <w:lang w:val="en-GB"/>
              </w:rPr>
            </w:pPr>
            <w:r w:rsidRPr="0074190C">
              <w:rPr>
                <w:rFonts w:ascii="Arial" w:hAnsi="Arial" w:cs="Arial"/>
                <w:sz w:val="20"/>
                <w:lang w:val="en-GB"/>
              </w:rPr>
              <w:t>Nausea</w:t>
            </w:r>
            <w:r w:rsidR="006D3A9D">
              <w:rPr>
                <w:rFonts w:ascii="Arial" w:hAnsi="Arial" w:cs="Arial"/>
                <w:sz w:val="20"/>
                <w:lang w:val="en-GB"/>
              </w:rPr>
              <w:t>,</w:t>
            </w:r>
          </w:p>
          <w:p w:rsidR="006D3A9D" w:rsidRPr="0074190C" w:rsidRDefault="006D3A9D" w:rsidP="00B44310">
            <w:pPr>
              <w:tabs>
                <w:tab w:val="left" w:pos="567"/>
              </w:tabs>
              <w:jc w:val="both"/>
              <w:rPr>
                <w:rFonts w:ascii="Arial" w:hAnsi="Arial" w:cs="Arial"/>
                <w:sz w:val="20"/>
                <w:lang w:val="en-GB"/>
              </w:rPr>
            </w:pPr>
            <w:r>
              <w:rPr>
                <w:rFonts w:ascii="Arial" w:hAnsi="Arial" w:cs="Arial"/>
                <w:sz w:val="20"/>
                <w:lang w:val="en-GB"/>
              </w:rPr>
              <w:t>Abdominal pain</w:t>
            </w:r>
          </w:p>
        </w:tc>
        <w:tc>
          <w:tcPr>
            <w:tcW w:w="2303" w:type="dxa"/>
          </w:tcPr>
          <w:p w:rsidR="00B44310" w:rsidRPr="0074190C" w:rsidRDefault="00B44310" w:rsidP="00B44310">
            <w:pPr>
              <w:jc w:val="both"/>
              <w:rPr>
                <w:rFonts w:ascii="Arial" w:hAnsi="Arial" w:cs="Arial"/>
                <w:sz w:val="20"/>
                <w:lang w:val="en-US" w:eastAsia="de-DE"/>
              </w:rPr>
            </w:pPr>
          </w:p>
        </w:tc>
        <w:tc>
          <w:tcPr>
            <w:tcW w:w="2170" w:type="dxa"/>
          </w:tcPr>
          <w:p w:rsidR="00B44310" w:rsidRPr="00D63C9E" w:rsidRDefault="006D3A9D" w:rsidP="00042B08">
            <w:pPr>
              <w:jc w:val="both"/>
              <w:rPr>
                <w:rFonts w:ascii="Arial" w:hAnsi="Arial" w:cs="Arial"/>
                <w:sz w:val="20"/>
                <w:lang w:val="en-US" w:eastAsia="de-DE"/>
              </w:rPr>
            </w:pPr>
            <w:r w:rsidRPr="00D63C9E">
              <w:rPr>
                <w:rFonts w:ascii="Arial" w:hAnsi="Arial" w:cs="Arial"/>
                <w:sz w:val="20"/>
                <w:lang w:val="en-US" w:eastAsia="de-DE"/>
              </w:rPr>
              <w:t>Perforation</w:t>
            </w:r>
            <w:r w:rsidR="00042B08" w:rsidRPr="00D63C9E">
              <w:rPr>
                <w:rFonts w:ascii="Arial" w:hAnsi="Arial" w:cs="Arial"/>
                <w:sz w:val="20"/>
                <w:vertAlign w:val="superscript"/>
                <w:lang w:val="en-US" w:eastAsia="de-DE"/>
              </w:rPr>
              <w:t>2</w:t>
            </w:r>
          </w:p>
        </w:tc>
      </w:tr>
      <w:tr w:rsidR="00B44310" w:rsidRPr="00B44310" w:rsidTr="00F134F7">
        <w:tc>
          <w:tcPr>
            <w:tcW w:w="2410" w:type="dxa"/>
          </w:tcPr>
          <w:p w:rsidR="00B44310" w:rsidRPr="0074190C" w:rsidRDefault="00B44310" w:rsidP="006C379E">
            <w:pPr>
              <w:rPr>
                <w:rFonts w:ascii="Arial" w:hAnsi="Arial" w:cs="Arial"/>
                <w:sz w:val="20"/>
                <w:lang w:val="en-US" w:eastAsia="de-DE"/>
              </w:rPr>
            </w:pPr>
            <w:r w:rsidRPr="0074190C">
              <w:rPr>
                <w:rFonts w:ascii="Arial" w:hAnsi="Arial" w:cs="Arial"/>
                <w:sz w:val="20"/>
                <w:lang w:val="en-GB" w:eastAsia="de-DE"/>
              </w:rPr>
              <w:t>Hepatobiliary disorders</w:t>
            </w:r>
          </w:p>
        </w:tc>
        <w:tc>
          <w:tcPr>
            <w:tcW w:w="2268" w:type="dxa"/>
          </w:tcPr>
          <w:p w:rsidR="00B44310" w:rsidRPr="0074190C" w:rsidRDefault="00B44310" w:rsidP="006C379E">
            <w:pPr>
              <w:tabs>
                <w:tab w:val="left" w:pos="567"/>
              </w:tabs>
              <w:rPr>
                <w:rFonts w:ascii="Arial" w:hAnsi="Arial" w:cs="Arial"/>
                <w:sz w:val="20"/>
                <w:lang w:val="en-GB"/>
              </w:rPr>
            </w:pPr>
            <w:r w:rsidRPr="0074190C">
              <w:rPr>
                <w:rFonts w:ascii="Arial" w:hAnsi="Arial" w:cs="Arial"/>
                <w:sz w:val="20"/>
                <w:lang w:val="en-GB"/>
              </w:rPr>
              <w:t>Alanine aminotransferase increased,</w:t>
            </w:r>
          </w:p>
          <w:p w:rsidR="00B44310" w:rsidRDefault="00B44310" w:rsidP="0074190C">
            <w:pPr>
              <w:tabs>
                <w:tab w:val="left" w:pos="567"/>
              </w:tabs>
              <w:jc w:val="both"/>
              <w:rPr>
                <w:rFonts w:ascii="Arial" w:hAnsi="Arial" w:cs="Arial"/>
                <w:sz w:val="20"/>
                <w:lang w:val="en-GB"/>
              </w:rPr>
            </w:pPr>
            <w:r w:rsidRPr="0074190C">
              <w:rPr>
                <w:rFonts w:ascii="Arial" w:hAnsi="Arial" w:cs="Arial"/>
                <w:sz w:val="20"/>
                <w:lang w:val="en-GB"/>
              </w:rPr>
              <w:t>Aspartate aminotransferase</w:t>
            </w:r>
            <w:r w:rsidR="0074190C" w:rsidRPr="0074190C">
              <w:rPr>
                <w:rFonts w:ascii="Arial" w:hAnsi="Arial" w:cs="Arial"/>
                <w:sz w:val="20"/>
                <w:lang w:val="en-GB"/>
              </w:rPr>
              <w:t xml:space="preserve"> </w:t>
            </w:r>
            <w:r w:rsidRPr="0074190C">
              <w:rPr>
                <w:rFonts w:ascii="Arial" w:hAnsi="Arial" w:cs="Arial"/>
                <w:sz w:val="20"/>
                <w:lang w:val="en-GB"/>
              </w:rPr>
              <w:t>increased</w:t>
            </w:r>
            <w:r w:rsidR="006D3A9D">
              <w:rPr>
                <w:rFonts w:ascii="Arial" w:hAnsi="Arial" w:cs="Arial"/>
                <w:sz w:val="20"/>
                <w:lang w:val="en-GB"/>
              </w:rPr>
              <w:t>,</w:t>
            </w:r>
          </w:p>
          <w:p w:rsidR="006D3A9D" w:rsidRPr="0074190C" w:rsidRDefault="006D3A9D" w:rsidP="006D3A9D">
            <w:pPr>
              <w:tabs>
                <w:tab w:val="left" w:pos="567"/>
              </w:tabs>
              <w:rPr>
                <w:rFonts w:ascii="Arial" w:hAnsi="Arial" w:cs="Arial"/>
                <w:sz w:val="20"/>
                <w:lang w:val="en-GB"/>
              </w:rPr>
            </w:pPr>
            <w:r w:rsidRPr="0074190C">
              <w:rPr>
                <w:rFonts w:ascii="Arial" w:hAnsi="Arial" w:cs="Arial"/>
                <w:sz w:val="20"/>
                <w:lang w:val="en-GB" w:eastAsia="de-DE"/>
              </w:rPr>
              <w:t>Blood alkaline phosphatase increase</w:t>
            </w:r>
            <w:r>
              <w:rPr>
                <w:rFonts w:ascii="Arial" w:hAnsi="Arial" w:cs="Arial"/>
                <w:sz w:val="20"/>
                <w:lang w:val="en-GB" w:eastAsia="de-DE"/>
              </w:rPr>
              <w:t>d</w:t>
            </w:r>
          </w:p>
        </w:tc>
        <w:tc>
          <w:tcPr>
            <w:tcW w:w="2303" w:type="dxa"/>
          </w:tcPr>
          <w:p w:rsidR="00B44310" w:rsidRPr="0074190C" w:rsidRDefault="00B44310" w:rsidP="006C379E">
            <w:pPr>
              <w:rPr>
                <w:rFonts w:ascii="Arial" w:hAnsi="Arial" w:cs="Arial"/>
                <w:sz w:val="20"/>
                <w:lang w:val="en-GB" w:eastAsia="de-DE"/>
              </w:rPr>
            </w:pPr>
          </w:p>
          <w:p w:rsidR="00B44310" w:rsidRPr="0074190C" w:rsidRDefault="00B44310" w:rsidP="00B44310">
            <w:pPr>
              <w:jc w:val="both"/>
              <w:rPr>
                <w:rFonts w:ascii="Arial" w:hAnsi="Arial" w:cs="Arial"/>
                <w:sz w:val="20"/>
                <w:lang w:val="en-GB" w:eastAsia="de-DE"/>
              </w:rPr>
            </w:pPr>
            <w:r w:rsidRPr="0074190C">
              <w:rPr>
                <w:rFonts w:ascii="Arial" w:hAnsi="Arial" w:cs="Arial"/>
                <w:sz w:val="20"/>
                <w:lang w:val="en-GB" w:eastAsia="de-DE"/>
              </w:rPr>
              <w:t>Hyperbilirubinaemia</w:t>
            </w:r>
          </w:p>
        </w:tc>
        <w:tc>
          <w:tcPr>
            <w:tcW w:w="2170" w:type="dxa"/>
          </w:tcPr>
          <w:p w:rsidR="00B44310" w:rsidRPr="0074190C" w:rsidRDefault="00B44310" w:rsidP="00B44310">
            <w:pPr>
              <w:jc w:val="both"/>
              <w:rPr>
                <w:rFonts w:ascii="Arial" w:hAnsi="Arial" w:cs="Arial"/>
                <w:sz w:val="20"/>
                <w:lang w:val="en-US" w:eastAsia="de-DE"/>
              </w:rPr>
            </w:pPr>
          </w:p>
        </w:tc>
      </w:tr>
      <w:tr w:rsidR="006D3A9D" w:rsidRPr="00B44310" w:rsidTr="00F134F7">
        <w:tc>
          <w:tcPr>
            <w:tcW w:w="2410" w:type="dxa"/>
          </w:tcPr>
          <w:p w:rsidR="006D3A9D" w:rsidRPr="0074190C" w:rsidRDefault="006D3A9D" w:rsidP="006C379E">
            <w:pPr>
              <w:rPr>
                <w:rFonts w:ascii="Arial" w:hAnsi="Arial" w:cs="Arial"/>
                <w:sz w:val="20"/>
                <w:lang w:val="en-GB" w:eastAsia="de-DE"/>
              </w:rPr>
            </w:pPr>
            <w:r>
              <w:rPr>
                <w:rFonts w:ascii="Arial" w:hAnsi="Arial" w:cs="Arial"/>
                <w:sz w:val="20"/>
                <w:lang w:val="en-GB" w:eastAsia="de-DE"/>
              </w:rPr>
              <w:t>Skin and subcutaneous tissue disorders</w:t>
            </w:r>
          </w:p>
        </w:tc>
        <w:tc>
          <w:tcPr>
            <w:tcW w:w="2268" w:type="dxa"/>
          </w:tcPr>
          <w:p w:rsidR="006D3A9D" w:rsidRPr="00D63C9E" w:rsidRDefault="006D3A9D" w:rsidP="006C379E">
            <w:pPr>
              <w:tabs>
                <w:tab w:val="left" w:pos="567"/>
              </w:tabs>
              <w:rPr>
                <w:rFonts w:ascii="Arial" w:hAnsi="Arial" w:cs="Arial"/>
                <w:sz w:val="20"/>
                <w:lang w:val="en-GB"/>
              </w:rPr>
            </w:pPr>
            <w:r w:rsidRPr="00D63C9E">
              <w:rPr>
                <w:rFonts w:ascii="Arial" w:hAnsi="Arial" w:cs="Arial"/>
                <w:sz w:val="20"/>
                <w:lang w:val="en-GB"/>
              </w:rPr>
              <w:t>Mucositis</w:t>
            </w:r>
            <w:r w:rsidR="00042B08" w:rsidRPr="00D63C9E">
              <w:rPr>
                <w:rFonts w:ascii="Arial" w:hAnsi="Arial" w:cs="Arial"/>
                <w:sz w:val="20"/>
                <w:vertAlign w:val="superscript"/>
                <w:lang w:val="en-US" w:eastAsia="de-DE"/>
              </w:rPr>
              <w:t>1</w:t>
            </w:r>
            <w:r w:rsidRPr="00D63C9E">
              <w:rPr>
                <w:rFonts w:ascii="Arial" w:hAnsi="Arial" w:cs="Arial"/>
                <w:sz w:val="20"/>
                <w:lang w:val="en-GB"/>
              </w:rPr>
              <w:t xml:space="preserve"> (including stomatitis), </w:t>
            </w:r>
          </w:p>
          <w:p w:rsidR="006D3A9D" w:rsidRPr="00D63C9E" w:rsidRDefault="006D3A9D" w:rsidP="006C379E">
            <w:pPr>
              <w:tabs>
                <w:tab w:val="left" w:pos="567"/>
              </w:tabs>
              <w:rPr>
                <w:rFonts w:ascii="Arial" w:hAnsi="Arial" w:cs="Arial"/>
                <w:sz w:val="20"/>
                <w:lang w:val="en-GB"/>
              </w:rPr>
            </w:pPr>
            <w:r w:rsidRPr="00D63C9E">
              <w:rPr>
                <w:rFonts w:ascii="Arial" w:hAnsi="Arial" w:cs="Arial"/>
                <w:sz w:val="20"/>
                <w:lang w:val="en-GB"/>
              </w:rPr>
              <w:t>Rash</w:t>
            </w:r>
          </w:p>
        </w:tc>
        <w:tc>
          <w:tcPr>
            <w:tcW w:w="2303" w:type="dxa"/>
          </w:tcPr>
          <w:p w:rsidR="006D3A9D" w:rsidRPr="0074190C" w:rsidRDefault="006D3A9D" w:rsidP="006C379E">
            <w:pPr>
              <w:rPr>
                <w:rFonts w:ascii="Arial" w:hAnsi="Arial" w:cs="Arial"/>
                <w:sz w:val="20"/>
                <w:lang w:val="en-GB" w:eastAsia="de-DE"/>
              </w:rPr>
            </w:pPr>
          </w:p>
        </w:tc>
        <w:tc>
          <w:tcPr>
            <w:tcW w:w="2170" w:type="dxa"/>
          </w:tcPr>
          <w:p w:rsidR="006D3A9D" w:rsidRPr="0074190C" w:rsidRDefault="006D3A9D" w:rsidP="00B44310">
            <w:pPr>
              <w:jc w:val="both"/>
              <w:rPr>
                <w:rFonts w:ascii="Arial" w:hAnsi="Arial" w:cs="Arial"/>
                <w:sz w:val="20"/>
                <w:lang w:val="en-US" w:eastAsia="de-DE"/>
              </w:rPr>
            </w:pPr>
          </w:p>
        </w:tc>
      </w:tr>
    </w:tbl>
    <w:p w:rsidR="00042B08" w:rsidRPr="00764C4D" w:rsidRDefault="000A038A" w:rsidP="000A038A">
      <w:pPr>
        <w:tabs>
          <w:tab w:val="left" w:pos="709"/>
        </w:tabs>
        <w:autoSpaceDE w:val="0"/>
        <w:autoSpaceDN w:val="0"/>
        <w:adjustRightInd w:val="0"/>
        <w:spacing w:before="60"/>
        <w:ind w:left="284" w:hanging="284"/>
        <w:rPr>
          <w:rFonts w:ascii="Arial" w:hAnsi="Arial" w:cs="Arial"/>
          <w:b/>
          <w:bCs/>
          <w:sz w:val="18"/>
          <w:szCs w:val="18"/>
          <w:lang w:val="en-GB" w:eastAsia="de-DE"/>
        </w:rPr>
      </w:pPr>
      <w:r w:rsidRPr="00764C4D">
        <w:rPr>
          <w:rFonts w:ascii="Arial" w:hAnsi="Arial" w:cs="Arial"/>
          <w:b/>
          <w:bCs/>
          <w:sz w:val="18"/>
          <w:szCs w:val="18"/>
          <w:vertAlign w:val="superscript"/>
          <w:lang w:val="en-GB" w:eastAsia="de-DE"/>
        </w:rPr>
        <w:t>1</w:t>
      </w:r>
      <w:r w:rsidRPr="00764C4D">
        <w:rPr>
          <w:rFonts w:ascii="Arial" w:hAnsi="Arial" w:cs="Arial"/>
          <w:b/>
          <w:bCs/>
          <w:sz w:val="18"/>
          <w:szCs w:val="18"/>
          <w:vertAlign w:val="superscript"/>
          <w:lang w:val="en-GB" w:eastAsia="de-DE"/>
        </w:rPr>
        <w:tab/>
      </w:r>
      <w:r w:rsidR="00042B08" w:rsidRPr="00764C4D">
        <w:rPr>
          <w:rFonts w:ascii="Arial" w:hAnsi="Arial" w:cs="Arial"/>
          <w:sz w:val="18"/>
          <w:szCs w:val="18"/>
          <w:lang w:val="en-GB"/>
        </w:rPr>
        <w:t>Please also refer to the product information for docetaxel</w:t>
      </w:r>
    </w:p>
    <w:p w:rsidR="000A038A" w:rsidRPr="00764C4D" w:rsidRDefault="00042B08" w:rsidP="000A038A">
      <w:pPr>
        <w:tabs>
          <w:tab w:val="left" w:pos="709"/>
        </w:tabs>
        <w:autoSpaceDE w:val="0"/>
        <w:autoSpaceDN w:val="0"/>
        <w:adjustRightInd w:val="0"/>
        <w:spacing w:before="60"/>
        <w:ind w:left="284" w:hanging="284"/>
        <w:rPr>
          <w:rFonts w:ascii="Arial" w:hAnsi="Arial" w:cs="Arial"/>
          <w:sz w:val="18"/>
          <w:szCs w:val="18"/>
        </w:rPr>
      </w:pPr>
      <w:r w:rsidRPr="00764C4D">
        <w:rPr>
          <w:rFonts w:ascii="Arial" w:hAnsi="Arial" w:cs="Arial"/>
          <w:b/>
          <w:bCs/>
          <w:sz w:val="18"/>
          <w:szCs w:val="18"/>
          <w:vertAlign w:val="superscript"/>
          <w:lang w:val="en-GB" w:eastAsia="de-DE"/>
        </w:rPr>
        <w:t>2</w:t>
      </w:r>
      <w:r w:rsidRPr="00764C4D">
        <w:rPr>
          <w:rFonts w:ascii="Arial" w:hAnsi="Arial" w:cs="Arial"/>
          <w:b/>
          <w:bCs/>
          <w:sz w:val="18"/>
          <w:szCs w:val="18"/>
          <w:vertAlign w:val="superscript"/>
          <w:lang w:val="en-GB" w:eastAsia="de-DE"/>
        </w:rPr>
        <w:tab/>
      </w:r>
      <w:r w:rsidR="000A038A" w:rsidRPr="00764C4D">
        <w:rPr>
          <w:rFonts w:ascii="Arial" w:hAnsi="Arial" w:cs="Arial"/>
          <w:sz w:val="18"/>
          <w:szCs w:val="18"/>
          <w:lang w:val="en-GB"/>
        </w:rPr>
        <w:t>Frequency was not increased in patients treated with nintedanib plus docetaxel as compared to</w:t>
      </w:r>
      <w:r w:rsidR="00764C4D">
        <w:rPr>
          <w:rFonts w:ascii="Arial" w:hAnsi="Arial" w:cs="Arial"/>
          <w:sz w:val="18"/>
          <w:szCs w:val="18"/>
          <w:lang w:val="en-GB"/>
        </w:rPr>
        <w:t xml:space="preserve"> placebo </w:t>
      </w:r>
      <w:r w:rsidR="000A038A" w:rsidRPr="00764C4D">
        <w:rPr>
          <w:rFonts w:ascii="Arial" w:hAnsi="Arial" w:cs="Arial"/>
          <w:sz w:val="18"/>
          <w:szCs w:val="18"/>
          <w:lang w:val="en-GB"/>
        </w:rPr>
        <w:t>plus docetaxel.</w:t>
      </w:r>
      <w:r w:rsidR="002F45F5" w:rsidRPr="00764C4D">
        <w:rPr>
          <w:rFonts w:ascii="Arial" w:hAnsi="Arial" w:cs="Arial"/>
          <w:sz w:val="18"/>
          <w:szCs w:val="18"/>
          <w:lang w:val="en-GB"/>
        </w:rPr>
        <w:t xml:space="preserve"> </w:t>
      </w:r>
      <w:r w:rsidR="002F45F5" w:rsidRPr="00764C4D">
        <w:rPr>
          <w:rFonts w:ascii="Arial" w:hAnsi="Arial" w:cs="Arial"/>
          <w:sz w:val="18"/>
          <w:szCs w:val="18"/>
          <w:lang w:eastAsia="zh-CN" w:bidi="th-TH"/>
        </w:rPr>
        <w:t>For all other ADRs, the frequency was higher in patients treated with nintedanib plus docetaxel compared to placebo plus docetaxel.</w:t>
      </w:r>
    </w:p>
    <w:p w:rsidR="003329F1" w:rsidRPr="000A038A" w:rsidRDefault="003329F1" w:rsidP="00B44310">
      <w:pPr>
        <w:tabs>
          <w:tab w:val="left" w:pos="567"/>
        </w:tabs>
        <w:autoSpaceDE w:val="0"/>
        <w:autoSpaceDN w:val="0"/>
        <w:adjustRightInd w:val="0"/>
        <w:jc w:val="both"/>
        <w:rPr>
          <w:rFonts w:ascii="Arial" w:hAnsi="Arial" w:cs="Arial"/>
          <w:sz w:val="22"/>
          <w:szCs w:val="24"/>
          <w:u w:val="single"/>
          <w:lang w:val="en-GB"/>
        </w:rPr>
      </w:pPr>
    </w:p>
    <w:p w:rsidR="006149A5" w:rsidRPr="00930B9E" w:rsidRDefault="006149A5" w:rsidP="00B44310">
      <w:pPr>
        <w:tabs>
          <w:tab w:val="left" w:pos="567"/>
        </w:tabs>
        <w:autoSpaceDE w:val="0"/>
        <w:autoSpaceDN w:val="0"/>
        <w:adjustRightInd w:val="0"/>
        <w:jc w:val="both"/>
        <w:rPr>
          <w:rFonts w:ascii="Arial" w:hAnsi="Arial" w:cs="Arial"/>
          <w:b/>
          <w:bCs/>
          <w:i/>
          <w:iCs/>
          <w:sz w:val="22"/>
          <w:szCs w:val="24"/>
          <w:lang w:val="en-US"/>
        </w:rPr>
      </w:pPr>
      <w:r w:rsidRPr="00930B9E">
        <w:rPr>
          <w:rFonts w:ascii="Arial" w:hAnsi="Arial" w:cs="Arial"/>
          <w:b/>
          <w:bCs/>
          <w:i/>
          <w:iCs/>
          <w:sz w:val="22"/>
          <w:szCs w:val="24"/>
          <w:lang w:val="en-US"/>
        </w:rPr>
        <w:t>IPF:</w:t>
      </w:r>
    </w:p>
    <w:p w:rsidR="006149A5" w:rsidRPr="006149A5" w:rsidRDefault="006149A5" w:rsidP="006149A5">
      <w:pPr>
        <w:pStyle w:val="TextPI"/>
        <w:rPr>
          <w:rFonts w:eastAsia="MS Mincho"/>
          <w:bCs/>
          <w:iCs/>
          <w:lang w:val="en-GB" w:eastAsia="de-DE"/>
        </w:rPr>
      </w:pPr>
      <w:r w:rsidRPr="006149A5">
        <w:rPr>
          <w:rFonts w:eastAsia="MS Mincho"/>
          <w:bCs/>
          <w:iCs/>
          <w:lang w:val="en-GB" w:eastAsia="de-DE"/>
        </w:rPr>
        <w:t>Nintedanib has been studied in clinical trials of 1529 patients suffering from IPF.</w:t>
      </w:r>
    </w:p>
    <w:p w:rsidR="006149A5" w:rsidRDefault="006149A5" w:rsidP="006149A5">
      <w:pPr>
        <w:pStyle w:val="TextPI"/>
        <w:rPr>
          <w:rFonts w:cs="Arial"/>
          <w:szCs w:val="24"/>
          <w:u w:val="single"/>
          <w:lang w:val="en-US"/>
        </w:rPr>
      </w:pPr>
      <w:r w:rsidRPr="006149A5">
        <w:rPr>
          <w:rFonts w:eastAsia="MS Mincho"/>
          <w:bCs/>
          <w:iCs/>
          <w:lang w:val="en-GB" w:eastAsia="de-DE"/>
        </w:rPr>
        <w:t>The safety data provided in the following are based on the two Phase 3, randomised, double-blind, placebo-controlled studies in 1061 patients comparing treatment with</w:t>
      </w:r>
      <w:r w:rsidRPr="006149A5">
        <w:rPr>
          <w:rFonts w:cs="Arial"/>
          <w:szCs w:val="24"/>
          <w:u w:val="single"/>
          <w:lang w:val="en-US"/>
        </w:rPr>
        <w:t xml:space="preserve"> </w:t>
      </w:r>
      <w:r w:rsidRPr="00A32C40">
        <w:rPr>
          <w:rFonts w:cs="Arial"/>
          <w:szCs w:val="24"/>
          <w:lang w:val="en-US"/>
        </w:rPr>
        <w:t>nintedanib 150 mg twice daily to placebo for 52 weeks (INPULSIS-1 and INPULSIS-2).</w:t>
      </w:r>
      <w:r w:rsidRPr="006149A5">
        <w:rPr>
          <w:rFonts w:cs="Arial"/>
          <w:szCs w:val="24"/>
          <w:u w:val="single"/>
          <w:lang w:val="en-US"/>
        </w:rPr>
        <w:t xml:space="preserve"> </w:t>
      </w:r>
    </w:p>
    <w:p w:rsidR="00CD6C93" w:rsidRPr="002309E5" w:rsidRDefault="00CD6C93" w:rsidP="00CD6C93">
      <w:pPr>
        <w:pStyle w:val="TextPI"/>
        <w:rPr>
          <w:rFonts w:eastAsia="MS Mincho"/>
          <w:bCs/>
          <w:iCs/>
          <w:lang w:val="en-GB" w:eastAsia="de-DE"/>
        </w:rPr>
      </w:pPr>
      <w:r w:rsidRPr="002309E5">
        <w:rPr>
          <w:rFonts w:eastAsia="MS Mincho"/>
          <w:bCs/>
          <w:iCs/>
          <w:lang w:val="en-GB" w:eastAsia="de-DE"/>
        </w:rPr>
        <w:t>The most frequently reported adverse events associated with the use of nintedanib included diarrhoea, nausea and vomiting, abdominal pain, decreased appetite, weight decreased and hepatic enzyme increased.</w:t>
      </w:r>
    </w:p>
    <w:p w:rsidR="00B42488" w:rsidRDefault="00B42488" w:rsidP="006149A5">
      <w:pPr>
        <w:pStyle w:val="TextPI"/>
        <w:rPr>
          <w:noProof/>
          <w:lang w:val="en-US"/>
        </w:rPr>
      </w:pPr>
      <w:r w:rsidRPr="006149A5">
        <w:rPr>
          <w:noProof/>
          <w:lang w:val="en-US"/>
        </w:rPr>
        <w:t xml:space="preserve">Adverse events </w:t>
      </w:r>
      <w:r>
        <w:rPr>
          <w:noProof/>
          <w:lang w:val="en-US"/>
        </w:rPr>
        <w:t>occuring in at le</w:t>
      </w:r>
      <w:r w:rsidRPr="006149A5">
        <w:rPr>
          <w:noProof/>
          <w:lang w:val="en-US"/>
        </w:rPr>
        <w:t xml:space="preserve">ast </w:t>
      </w:r>
      <w:r>
        <w:rPr>
          <w:noProof/>
          <w:lang w:val="en-US"/>
        </w:rPr>
        <w:t>5</w:t>
      </w:r>
      <w:r w:rsidRPr="006149A5">
        <w:rPr>
          <w:noProof/>
          <w:lang w:val="en-US"/>
        </w:rPr>
        <w:t xml:space="preserve">% of patients in either treatment </w:t>
      </w:r>
      <w:r>
        <w:rPr>
          <w:noProof/>
          <w:lang w:val="en-US"/>
        </w:rPr>
        <w:t xml:space="preserve">arm in </w:t>
      </w:r>
      <w:r w:rsidRPr="006149A5">
        <w:rPr>
          <w:noProof/>
          <w:lang w:val="en-US"/>
        </w:rPr>
        <w:t>the pivotal trial</w:t>
      </w:r>
      <w:r>
        <w:rPr>
          <w:noProof/>
          <w:lang w:val="en-US"/>
        </w:rPr>
        <w:t>s INPULSIS-1 and INPULSIS-2</w:t>
      </w:r>
      <w:r w:rsidRPr="006149A5">
        <w:rPr>
          <w:noProof/>
          <w:lang w:val="en-US"/>
        </w:rPr>
        <w:t xml:space="preserve"> are summarised in Table </w:t>
      </w:r>
      <w:r>
        <w:rPr>
          <w:noProof/>
          <w:lang w:val="en-US"/>
        </w:rPr>
        <w:t>7.</w:t>
      </w:r>
    </w:p>
    <w:p w:rsidR="008A0B54" w:rsidRDefault="008A0B54">
      <w:pPr>
        <w:rPr>
          <w:rFonts w:ascii="Arial" w:hAnsi="Arial"/>
          <w:b/>
          <w:sz w:val="20"/>
          <w:lang w:val="en-GB"/>
        </w:rPr>
      </w:pPr>
      <w:r>
        <w:rPr>
          <w:b/>
          <w:sz w:val="20"/>
          <w:lang w:val="en-GB"/>
        </w:rPr>
        <w:br w:type="page"/>
      </w:r>
    </w:p>
    <w:p w:rsidR="00B42488" w:rsidRDefault="00B42488" w:rsidP="00B42488">
      <w:pPr>
        <w:pStyle w:val="TextPI"/>
        <w:tabs>
          <w:tab w:val="left" w:pos="1134"/>
        </w:tabs>
        <w:ind w:left="1122" w:hanging="1122"/>
        <w:rPr>
          <w:b/>
          <w:sz w:val="20"/>
          <w:szCs w:val="20"/>
          <w:lang w:val="en-GB"/>
        </w:rPr>
      </w:pPr>
      <w:r w:rsidRPr="004E11D0">
        <w:rPr>
          <w:b/>
          <w:sz w:val="20"/>
          <w:szCs w:val="20"/>
          <w:lang w:val="en-GB"/>
        </w:rPr>
        <w:lastRenderedPageBreak/>
        <w:t xml:space="preserve">Table </w:t>
      </w:r>
      <w:r>
        <w:rPr>
          <w:b/>
          <w:sz w:val="20"/>
          <w:szCs w:val="20"/>
          <w:lang w:val="en-GB"/>
        </w:rPr>
        <w:t>7:</w:t>
      </w:r>
      <w:r>
        <w:rPr>
          <w:b/>
          <w:sz w:val="20"/>
          <w:szCs w:val="20"/>
          <w:lang w:val="en-GB"/>
        </w:rPr>
        <w:tab/>
        <w:t xml:space="preserve">Adverse events occurring in at least 5% of patients in either treatment arm in </w:t>
      </w:r>
      <w:r w:rsidRPr="006149A5">
        <w:rPr>
          <w:b/>
          <w:sz w:val="20"/>
          <w:szCs w:val="20"/>
          <w:lang w:val="en-GB"/>
        </w:rPr>
        <w:t>INPULSIS-1 and INPULSIS-2</w:t>
      </w:r>
      <w:r>
        <w:rPr>
          <w:b/>
          <w:sz w:val="20"/>
          <w:szCs w:val="20"/>
          <w:lang w:val="en-GB"/>
        </w:rPr>
        <w:t xml:space="preserve"> – by SOC and preferred term – TS</w:t>
      </w:r>
    </w:p>
    <w:tbl>
      <w:tblPr>
        <w:tblStyle w:val="TableGrid"/>
        <w:tblW w:w="9214" w:type="dxa"/>
        <w:tblInd w:w="108" w:type="dxa"/>
        <w:tblLook w:val="04A0" w:firstRow="1" w:lastRow="0" w:firstColumn="1" w:lastColumn="0" w:noHBand="0" w:noVBand="1"/>
      </w:tblPr>
      <w:tblGrid>
        <w:gridCol w:w="4820"/>
        <w:gridCol w:w="1984"/>
        <w:gridCol w:w="2410"/>
      </w:tblGrid>
      <w:tr w:rsidR="00B42488" w:rsidTr="004F1936">
        <w:tc>
          <w:tcPr>
            <w:tcW w:w="4820" w:type="dxa"/>
          </w:tcPr>
          <w:p w:rsidR="00B42488" w:rsidRDefault="00B42488" w:rsidP="004F1936">
            <w:pPr>
              <w:pStyle w:val="TextPI"/>
              <w:tabs>
                <w:tab w:val="left" w:pos="1134"/>
              </w:tabs>
              <w:spacing w:before="0" w:after="0" w:line="240" w:lineRule="auto"/>
              <w:rPr>
                <w:b/>
                <w:sz w:val="20"/>
                <w:szCs w:val="20"/>
                <w:lang w:val="en-GB"/>
              </w:rPr>
            </w:pPr>
          </w:p>
        </w:tc>
        <w:tc>
          <w:tcPr>
            <w:tcW w:w="1984" w:type="dxa"/>
          </w:tcPr>
          <w:p w:rsidR="00B42488" w:rsidRDefault="004F1936" w:rsidP="004F1936">
            <w:pPr>
              <w:pStyle w:val="TextPI"/>
              <w:tabs>
                <w:tab w:val="left" w:pos="1134"/>
              </w:tabs>
              <w:spacing w:before="0" w:after="0" w:line="240" w:lineRule="auto"/>
              <w:jc w:val="center"/>
              <w:rPr>
                <w:b/>
                <w:sz w:val="20"/>
                <w:szCs w:val="20"/>
                <w:lang w:val="en-GB"/>
              </w:rPr>
            </w:pPr>
            <w:r>
              <w:rPr>
                <w:b/>
                <w:sz w:val="20"/>
                <w:szCs w:val="20"/>
                <w:lang w:val="en-GB"/>
              </w:rPr>
              <w:t>Placebo</w:t>
            </w:r>
          </w:p>
          <w:p w:rsidR="004F1936" w:rsidRDefault="004F1936" w:rsidP="004F1936">
            <w:pPr>
              <w:pStyle w:val="TextPI"/>
              <w:tabs>
                <w:tab w:val="left" w:pos="1134"/>
              </w:tabs>
              <w:spacing w:before="0" w:after="0" w:line="240" w:lineRule="auto"/>
              <w:jc w:val="center"/>
              <w:rPr>
                <w:b/>
                <w:sz w:val="20"/>
                <w:szCs w:val="20"/>
                <w:lang w:val="en-GB"/>
              </w:rPr>
            </w:pPr>
            <w:r>
              <w:rPr>
                <w:b/>
                <w:sz w:val="20"/>
                <w:szCs w:val="20"/>
                <w:lang w:val="en-GB"/>
              </w:rPr>
              <w:t>n (%)</w:t>
            </w:r>
          </w:p>
        </w:tc>
        <w:tc>
          <w:tcPr>
            <w:tcW w:w="2410" w:type="dxa"/>
          </w:tcPr>
          <w:p w:rsidR="00B42488" w:rsidRDefault="004F1936" w:rsidP="004F1936">
            <w:pPr>
              <w:pStyle w:val="TextPI"/>
              <w:tabs>
                <w:tab w:val="left" w:pos="1134"/>
              </w:tabs>
              <w:spacing w:before="0" w:after="0" w:line="240" w:lineRule="auto"/>
              <w:jc w:val="center"/>
              <w:rPr>
                <w:b/>
                <w:sz w:val="20"/>
                <w:szCs w:val="20"/>
                <w:lang w:val="en-GB"/>
              </w:rPr>
            </w:pPr>
            <w:r>
              <w:rPr>
                <w:b/>
                <w:sz w:val="20"/>
                <w:szCs w:val="20"/>
                <w:lang w:val="en-GB"/>
              </w:rPr>
              <w:t>Nintedanib 150 mg twice daily</w:t>
            </w:r>
          </w:p>
          <w:p w:rsidR="004F1936" w:rsidRDefault="004F1936" w:rsidP="004F1936">
            <w:pPr>
              <w:pStyle w:val="TextPI"/>
              <w:tabs>
                <w:tab w:val="left" w:pos="1134"/>
              </w:tabs>
              <w:spacing w:before="0" w:after="0" w:line="240" w:lineRule="auto"/>
              <w:jc w:val="center"/>
              <w:rPr>
                <w:b/>
                <w:sz w:val="20"/>
                <w:szCs w:val="20"/>
                <w:lang w:val="en-GB"/>
              </w:rPr>
            </w:pPr>
            <w:r>
              <w:rPr>
                <w:b/>
                <w:sz w:val="20"/>
                <w:szCs w:val="20"/>
                <w:lang w:val="en-GB"/>
              </w:rPr>
              <w:t>n (%)</w:t>
            </w:r>
          </w:p>
        </w:tc>
      </w:tr>
      <w:tr w:rsidR="00B42488" w:rsidTr="004F1936">
        <w:tc>
          <w:tcPr>
            <w:tcW w:w="4820" w:type="dxa"/>
          </w:tcPr>
          <w:p w:rsidR="00B42488"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Patients</w:t>
            </w:r>
          </w:p>
        </w:tc>
        <w:tc>
          <w:tcPr>
            <w:tcW w:w="1984" w:type="dxa"/>
          </w:tcPr>
          <w:p w:rsidR="00B42488" w:rsidRPr="004F1936" w:rsidRDefault="004F1936" w:rsidP="004F1936">
            <w:pPr>
              <w:pStyle w:val="TextPI"/>
              <w:tabs>
                <w:tab w:val="left" w:pos="1134"/>
              </w:tabs>
              <w:spacing w:before="0" w:after="0" w:line="240" w:lineRule="auto"/>
              <w:jc w:val="center"/>
              <w:rPr>
                <w:b/>
                <w:sz w:val="20"/>
                <w:szCs w:val="20"/>
                <w:lang w:val="en-GB"/>
              </w:rPr>
            </w:pPr>
            <w:r w:rsidRPr="004F1936">
              <w:rPr>
                <w:sz w:val="20"/>
                <w:szCs w:val="20"/>
                <w:lang w:eastAsia="en-AU" w:bidi="th-TH"/>
              </w:rPr>
              <w:t>423 (100.0)</w:t>
            </w:r>
          </w:p>
        </w:tc>
        <w:tc>
          <w:tcPr>
            <w:tcW w:w="2410" w:type="dxa"/>
          </w:tcPr>
          <w:p w:rsidR="00B42488"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638 (100.0)</w:t>
            </w:r>
          </w:p>
        </w:tc>
      </w:tr>
      <w:tr w:rsidR="00B42488" w:rsidTr="004F1936">
        <w:tc>
          <w:tcPr>
            <w:tcW w:w="4820" w:type="dxa"/>
          </w:tcPr>
          <w:p w:rsidR="00B42488"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Patients with any AE</w:t>
            </w:r>
          </w:p>
        </w:tc>
        <w:tc>
          <w:tcPr>
            <w:tcW w:w="1984" w:type="dxa"/>
          </w:tcPr>
          <w:p w:rsidR="00B42488" w:rsidRPr="004F1936" w:rsidRDefault="004F1936" w:rsidP="004F1936">
            <w:pPr>
              <w:pStyle w:val="TextPI"/>
              <w:tabs>
                <w:tab w:val="left" w:pos="1134"/>
              </w:tabs>
              <w:spacing w:before="0" w:after="0" w:line="240" w:lineRule="auto"/>
              <w:jc w:val="center"/>
              <w:rPr>
                <w:b/>
                <w:sz w:val="20"/>
                <w:szCs w:val="20"/>
                <w:lang w:val="en-GB"/>
              </w:rPr>
            </w:pPr>
            <w:r w:rsidRPr="004F1936">
              <w:rPr>
                <w:sz w:val="20"/>
                <w:szCs w:val="20"/>
                <w:lang w:eastAsia="en-AU" w:bidi="th-TH"/>
              </w:rPr>
              <w:t>379 (89.6)</w:t>
            </w:r>
          </w:p>
        </w:tc>
        <w:tc>
          <w:tcPr>
            <w:tcW w:w="2410" w:type="dxa"/>
          </w:tcPr>
          <w:p w:rsidR="00B42488"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609 (95.5)</w:t>
            </w:r>
          </w:p>
        </w:tc>
      </w:tr>
      <w:tr w:rsidR="00B42488" w:rsidTr="004F1936">
        <w:tc>
          <w:tcPr>
            <w:tcW w:w="4820" w:type="dxa"/>
          </w:tcPr>
          <w:p w:rsidR="00B42488"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Gastrointestinal disorders</w:t>
            </w:r>
          </w:p>
          <w:p w:rsidR="004F1936"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 xml:space="preserve">   Diarrhoea</w:t>
            </w:r>
          </w:p>
          <w:p w:rsidR="004F1936"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 xml:space="preserve">   Nausea</w:t>
            </w:r>
          </w:p>
          <w:p w:rsidR="004F1936"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 xml:space="preserve">   Vomiting</w:t>
            </w:r>
          </w:p>
          <w:p w:rsidR="004F1936"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 xml:space="preserve">   Abdominal pain</w:t>
            </w:r>
          </w:p>
          <w:p w:rsidR="004F1936"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 xml:space="preserve">   Abdominal pain upper</w:t>
            </w:r>
          </w:p>
          <w:p w:rsidR="004F1936"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 xml:space="preserve">   Constipation</w:t>
            </w:r>
          </w:p>
        </w:tc>
        <w:tc>
          <w:tcPr>
            <w:tcW w:w="1984" w:type="dxa"/>
          </w:tcPr>
          <w:p w:rsidR="00B42488"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168 (39.7)</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78 (18.4)</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28 (6.6)</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11 (2.6)</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10 (2.4)</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15 (3.5)</w:t>
            </w:r>
          </w:p>
          <w:p w:rsidR="004F1936" w:rsidRPr="004F1936" w:rsidRDefault="004F1936" w:rsidP="004F1936">
            <w:pPr>
              <w:pStyle w:val="TextPI"/>
              <w:tabs>
                <w:tab w:val="left" w:pos="1134"/>
              </w:tabs>
              <w:spacing w:before="0" w:after="0" w:line="240" w:lineRule="auto"/>
              <w:jc w:val="center"/>
              <w:rPr>
                <w:b/>
                <w:sz w:val="20"/>
                <w:szCs w:val="20"/>
                <w:lang w:val="en-GB"/>
              </w:rPr>
            </w:pPr>
            <w:r w:rsidRPr="004F1936">
              <w:rPr>
                <w:sz w:val="20"/>
                <w:szCs w:val="20"/>
                <w:lang w:eastAsia="en-AU" w:bidi="th-TH"/>
              </w:rPr>
              <w:t>17 (4.0)</w:t>
            </w:r>
          </w:p>
        </w:tc>
        <w:tc>
          <w:tcPr>
            <w:tcW w:w="2410" w:type="dxa"/>
          </w:tcPr>
          <w:p w:rsidR="00B42488"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488 (76.5)</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398 (62.4)</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156 (24.5)</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74 (11.6)</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56 (8.8)</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41 (6.4)</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38 (6.0)</w:t>
            </w:r>
          </w:p>
        </w:tc>
      </w:tr>
      <w:tr w:rsidR="00B42488" w:rsidTr="004F1936">
        <w:tc>
          <w:tcPr>
            <w:tcW w:w="4820" w:type="dxa"/>
          </w:tcPr>
          <w:p w:rsidR="00B42488" w:rsidRPr="004F1936" w:rsidRDefault="004F1936" w:rsidP="004F1936">
            <w:pPr>
              <w:pStyle w:val="TextPI"/>
              <w:tabs>
                <w:tab w:val="left" w:pos="1134"/>
              </w:tabs>
              <w:spacing w:before="0" w:after="0" w:line="240" w:lineRule="auto"/>
              <w:jc w:val="left"/>
              <w:rPr>
                <w:bCs/>
                <w:sz w:val="20"/>
                <w:szCs w:val="20"/>
                <w:lang w:val="en-GB"/>
              </w:rPr>
            </w:pPr>
            <w:r w:rsidRPr="004F1936">
              <w:rPr>
                <w:bCs/>
                <w:sz w:val="20"/>
                <w:szCs w:val="20"/>
                <w:lang w:val="en-GB"/>
              </w:rPr>
              <w:t>Infections and infestations</w:t>
            </w:r>
          </w:p>
          <w:p w:rsidR="004F1936" w:rsidRPr="004F1936" w:rsidRDefault="004F1936" w:rsidP="004F1936">
            <w:pPr>
              <w:pStyle w:val="TextPI"/>
              <w:tabs>
                <w:tab w:val="left" w:pos="1134"/>
              </w:tabs>
              <w:spacing w:before="0" w:after="0" w:line="240" w:lineRule="auto"/>
              <w:jc w:val="left"/>
              <w:rPr>
                <w:bCs/>
                <w:sz w:val="20"/>
                <w:szCs w:val="20"/>
                <w:lang w:val="en-GB"/>
              </w:rPr>
            </w:pPr>
            <w:r w:rsidRPr="004F1936">
              <w:rPr>
                <w:bCs/>
                <w:sz w:val="20"/>
                <w:szCs w:val="20"/>
                <w:lang w:val="en-GB"/>
              </w:rPr>
              <w:t xml:space="preserve">   Nasopharyngitis</w:t>
            </w:r>
          </w:p>
          <w:p w:rsidR="004F1936" w:rsidRPr="004F1936" w:rsidRDefault="004F1936" w:rsidP="004F1936">
            <w:pPr>
              <w:pStyle w:val="TextPI"/>
              <w:tabs>
                <w:tab w:val="left" w:pos="1134"/>
              </w:tabs>
              <w:spacing w:before="0" w:after="0" w:line="240" w:lineRule="auto"/>
              <w:jc w:val="left"/>
              <w:rPr>
                <w:bCs/>
                <w:sz w:val="20"/>
                <w:szCs w:val="20"/>
                <w:lang w:val="en-GB"/>
              </w:rPr>
            </w:pPr>
            <w:r w:rsidRPr="004F1936">
              <w:rPr>
                <w:bCs/>
                <w:sz w:val="20"/>
                <w:szCs w:val="20"/>
                <w:lang w:val="en-GB"/>
              </w:rPr>
              <w:t xml:space="preserve">   Bronchitis</w:t>
            </w:r>
          </w:p>
          <w:p w:rsidR="004F1936" w:rsidRPr="004F1936" w:rsidRDefault="004F1936" w:rsidP="004F1936">
            <w:pPr>
              <w:pStyle w:val="TextPI"/>
              <w:tabs>
                <w:tab w:val="left" w:pos="1134"/>
              </w:tabs>
              <w:spacing w:before="0" w:after="0" w:line="240" w:lineRule="auto"/>
              <w:jc w:val="left"/>
              <w:rPr>
                <w:bCs/>
                <w:sz w:val="20"/>
                <w:szCs w:val="20"/>
                <w:lang w:val="en-GB"/>
              </w:rPr>
            </w:pPr>
            <w:r w:rsidRPr="004F1936">
              <w:rPr>
                <w:bCs/>
                <w:sz w:val="20"/>
                <w:szCs w:val="20"/>
                <w:lang w:val="en-GB"/>
              </w:rPr>
              <w:t xml:space="preserve">   Upper respiratory tract infection</w:t>
            </w:r>
          </w:p>
          <w:p w:rsidR="004F1936" w:rsidRPr="004F1936" w:rsidRDefault="004F1936" w:rsidP="004F1936">
            <w:pPr>
              <w:pStyle w:val="TextPI"/>
              <w:tabs>
                <w:tab w:val="left" w:pos="1134"/>
              </w:tabs>
              <w:spacing w:before="0" w:after="0" w:line="240" w:lineRule="auto"/>
              <w:jc w:val="left"/>
              <w:rPr>
                <w:bCs/>
                <w:sz w:val="20"/>
                <w:szCs w:val="20"/>
                <w:lang w:val="en-GB"/>
              </w:rPr>
            </w:pPr>
            <w:r w:rsidRPr="004F1936">
              <w:rPr>
                <w:bCs/>
                <w:sz w:val="20"/>
                <w:szCs w:val="20"/>
                <w:lang w:val="en-GB"/>
              </w:rPr>
              <w:t xml:space="preserve">   Pneumonia</w:t>
            </w:r>
          </w:p>
        </w:tc>
        <w:tc>
          <w:tcPr>
            <w:tcW w:w="1984" w:type="dxa"/>
          </w:tcPr>
          <w:p w:rsidR="00B42488"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228 (53.9)</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68 (16.1)</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45 (10.6)</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42 (9.9)</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24 (5.7)</w:t>
            </w:r>
          </w:p>
        </w:tc>
        <w:tc>
          <w:tcPr>
            <w:tcW w:w="2410" w:type="dxa"/>
          </w:tcPr>
          <w:p w:rsidR="00B42488"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359 (56.3)</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87 (13.6)</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67 (10.5)</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58 (9.1)</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29 (4.5)</w:t>
            </w:r>
          </w:p>
        </w:tc>
      </w:tr>
      <w:tr w:rsidR="00B42488" w:rsidTr="004F1936">
        <w:tc>
          <w:tcPr>
            <w:tcW w:w="4820" w:type="dxa"/>
          </w:tcPr>
          <w:p w:rsidR="00B42488" w:rsidRPr="004F1936" w:rsidRDefault="004F1936" w:rsidP="004F1936">
            <w:pPr>
              <w:pStyle w:val="TextPI"/>
              <w:tabs>
                <w:tab w:val="left" w:pos="1134"/>
              </w:tabs>
              <w:spacing w:before="0" w:after="0" w:line="240" w:lineRule="auto"/>
              <w:jc w:val="left"/>
              <w:rPr>
                <w:bCs/>
                <w:sz w:val="20"/>
                <w:szCs w:val="20"/>
                <w:lang w:val="en-GB"/>
              </w:rPr>
            </w:pPr>
            <w:r w:rsidRPr="004F1936">
              <w:rPr>
                <w:bCs/>
                <w:sz w:val="20"/>
                <w:szCs w:val="20"/>
                <w:lang w:val="en-GB"/>
              </w:rPr>
              <w:t>Respiratory, thoracic and mediastinal disorders</w:t>
            </w:r>
          </w:p>
          <w:p w:rsidR="004F1936" w:rsidRPr="004F1936" w:rsidRDefault="004F1936" w:rsidP="004F1936">
            <w:pPr>
              <w:pStyle w:val="TextPI"/>
              <w:tabs>
                <w:tab w:val="left" w:pos="1134"/>
              </w:tabs>
              <w:spacing w:before="0" w:after="0" w:line="240" w:lineRule="auto"/>
              <w:jc w:val="left"/>
              <w:rPr>
                <w:bCs/>
                <w:sz w:val="20"/>
                <w:szCs w:val="20"/>
                <w:lang w:val="en-GB"/>
              </w:rPr>
            </w:pPr>
            <w:r w:rsidRPr="004F1936">
              <w:rPr>
                <w:bCs/>
                <w:sz w:val="20"/>
                <w:szCs w:val="20"/>
                <w:lang w:val="en-GB"/>
              </w:rPr>
              <w:t xml:space="preserve">   Cough</w:t>
            </w:r>
          </w:p>
          <w:p w:rsidR="004F1936" w:rsidRPr="004F1936" w:rsidRDefault="004F1936" w:rsidP="004F1936">
            <w:pPr>
              <w:pStyle w:val="TextPI"/>
              <w:tabs>
                <w:tab w:val="left" w:pos="1134"/>
              </w:tabs>
              <w:spacing w:before="0" w:after="0" w:line="240" w:lineRule="auto"/>
              <w:jc w:val="left"/>
              <w:rPr>
                <w:bCs/>
                <w:sz w:val="20"/>
                <w:szCs w:val="20"/>
                <w:lang w:val="en-GB"/>
              </w:rPr>
            </w:pPr>
            <w:r w:rsidRPr="004F1936">
              <w:rPr>
                <w:bCs/>
                <w:sz w:val="20"/>
                <w:szCs w:val="20"/>
                <w:lang w:val="en-GB"/>
              </w:rPr>
              <w:t xml:space="preserve">   Idiopathic pulmonary fibrosis</w:t>
            </w:r>
          </w:p>
          <w:p w:rsidR="004F1936" w:rsidRPr="004F1936" w:rsidRDefault="004F1936" w:rsidP="004F1936">
            <w:pPr>
              <w:pStyle w:val="TextPI"/>
              <w:tabs>
                <w:tab w:val="left" w:pos="1134"/>
              </w:tabs>
              <w:spacing w:before="0" w:after="0" w:line="240" w:lineRule="auto"/>
              <w:jc w:val="left"/>
              <w:rPr>
                <w:bCs/>
                <w:sz w:val="20"/>
                <w:szCs w:val="20"/>
                <w:lang w:val="en-GB"/>
              </w:rPr>
            </w:pPr>
            <w:r w:rsidRPr="004F1936">
              <w:rPr>
                <w:bCs/>
                <w:sz w:val="20"/>
                <w:szCs w:val="20"/>
                <w:lang w:val="en-GB"/>
              </w:rPr>
              <w:t xml:space="preserve">   Dyspnoea</w:t>
            </w:r>
          </w:p>
        </w:tc>
        <w:tc>
          <w:tcPr>
            <w:tcW w:w="1984" w:type="dxa"/>
          </w:tcPr>
          <w:p w:rsidR="00B42488"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177 (41.8)</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57 (13.5)</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61 (14.4)</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48 (11.3)</w:t>
            </w:r>
          </w:p>
        </w:tc>
        <w:tc>
          <w:tcPr>
            <w:tcW w:w="2410" w:type="dxa"/>
          </w:tcPr>
          <w:p w:rsidR="00B42488"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254 (39.8)</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85 (13.3)</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64 (10.0)</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49 (7.7)</w:t>
            </w:r>
          </w:p>
        </w:tc>
      </w:tr>
      <w:tr w:rsidR="00B42488" w:rsidTr="004F1936">
        <w:tc>
          <w:tcPr>
            <w:tcW w:w="4820" w:type="dxa"/>
          </w:tcPr>
          <w:p w:rsidR="00B42488"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Investigations</w:t>
            </w:r>
          </w:p>
          <w:p w:rsidR="004F1936"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 xml:space="preserve">   Weight decreased</w:t>
            </w:r>
          </w:p>
        </w:tc>
        <w:tc>
          <w:tcPr>
            <w:tcW w:w="1984" w:type="dxa"/>
          </w:tcPr>
          <w:p w:rsidR="00B42488"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69 (16.3)</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15 (3.5)</w:t>
            </w:r>
          </w:p>
        </w:tc>
        <w:tc>
          <w:tcPr>
            <w:tcW w:w="2410" w:type="dxa"/>
          </w:tcPr>
          <w:p w:rsidR="00B42488"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185 (29.0)</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62 (9.7)</w:t>
            </w:r>
          </w:p>
        </w:tc>
      </w:tr>
      <w:tr w:rsidR="00B42488" w:rsidTr="004F1936">
        <w:tc>
          <w:tcPr>
            <w:tcW w:w="4820" w:type="dxa"/>
          </w:tcPr>
          <w:p w:rsidR="00B42488" w:rsidRPr="004F1936" w:rsidRDefault="004F1936" w:rsidP="004F1936">
            <w:pPr>
              <w:pStyle w:val="TextPI"/>
              <w:tabs>
                <w:tab w:val="left" w:pos="1134"/>
              </w:tabs>
              <w:spacing w:before="0" w:after="0" w:line="240" w:lineRule="auto"/>
              <w:jc w:val="left"/>
              <w:rPr>
                <w:bCs/>
                <w:sz w:val="20"/>
                <w:szCs w:val="20"/>
                <w:lang w:val="en-GB"/>
              </w:rPr>
            </w:pPr>
            <w:r w:rsidRPr="004F1936">
              <w:rPr>
                <w:bCs/>
                <w:sz w:val="20"/>
                <w:szCs w:val="20"/>
                <w:lang w:val="en-GB"/>
              </w:rPr>
              <w:t>General disorders and administration site conditions</w:t>
            </w:r>
          </w:p>
          <w:p w:rsidR="004F1936" w:rsidRPr="004F1936" w:rsidRDefault="004F1936" w:rsidP="004F1936">
            <w:pPr>
              <w:pStyle w:val="TextPI"/>
              <w:tabs>
                <w:tab w:val="left" w:pos="1134"/>
              </w:tabs>
              <w:spacing w:before="0" w:after="0" w:line="240" w:lineRule="auto"/>
              <w:jc w:val="left"/>
              <w:rPr>
                <w:bCs/>
                <w:sz w:val="20"/>
                <w:szCs w:val="20"/>
                <w:lang w:val="en-GB"/>
              </w:rPr>
            </w:pPr>
            <w:r w:rsidRPr="004F1936">
              <w:rPr>
                <w:bCs/>
                <w:sz w:val="20"/>
                <w:szCs w:val="20"/>
                <w:lang w:val="en-GB"/>
              </w:rPr>
              <w:t xml:space="preserve">   Fatigue</w:t>
            </w:r>
          </w:p>
          <w:p w:rsidR="004F1936" w:rsidRPr="004F1936" w:rsidRDefault="004F1936" w:rsidP="004F1936">
            <w:pPr>
              <w:pStyle w:val="TextPI"/>
              <w:tabs>
                <w:tab w:val="left" w:pos="1134"/>
              </w:tabs>
              <w:spacing w:before="0" w:after="0" w:line="240" w:lineRule="auto"/>
              <w:jc w:val="left"/>
              <w:rPr>
                <w:bCs/>
                <w:sz w:val="20"/>
                <w:szCs w:val="20"/>
                <w:lang w:val="en-GB"/>
              </w:rPr>
            </w:pPr>
            <w:r w:rsidRPr="004F1936">
              <w:rPr>
                <w:bCs/>
                <w:sz w:val="20"/>
                <w:szCs w:val="20"/>
                <w:lang w:val="en-GB"/>
              </w:rPr>
              <w:t xml:space="preserve">   Chest pain</w:t>
            </w:r>
          </w:p>
        </w:tc>
        <w:tc>
          <w:tcPr>
            <w:tcW w:w="1984" w:type="dxa"/>
          </w:tcPr>
          <w:p w:rsidR="00B42488"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106 (25.1)</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33 (7.8)</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22 (5.2)</w:t>
            </w:r>
          </w:p>
        </w:tc>
        <w:tc>
          <w:tcPr>
            <w:tcW w:w="2410" w:type="dxa"/>
          </w:tcPr>
          <w:p w:rsidR="00B42488"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152 (23.8)</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40 (6.3)</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34 (5.3)</w:t>
            </w:r>
          </w:p>
        </w:tc>
      </w:tr>
      <w:tr w:rsidR="004F1936" w:rsidTr="004F1936">
        <w:tc>
          <w:tcPr>
            <w:tcW w:w="4820" w:type="dxa"/>
          </w:tcPr>
          <w:p w:rsidR="004F1936"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Musculoskeletal and connective tissue disorders</w:t>
            </w:r>
          </w:p>
          <w:p w:rsidR="004F1936"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 xml:space="preserve">   Back pain</w:t>
            </w:r>
          </w:p>
          <w:p w:rsidR="004F1936"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 xml:space="preserve">   Arthralgia</w:t>
            </w:r>
          </w:p>
        </w:tc>
        <w:tc>
          <w:tcPr>
            <w:tcW w:w="1984" w:type="dxa"/>
          </w:tcPr>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95 (22.5)</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29 (6.9)</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21 (5.0)</w:t>
            </w:r>
          </w:p>
        </w:tc>
        <w:tc>
          <w:tcPr>
            <w:tcW w:w="2410" w:type="dxa"/>
          </w:tcPr>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118 (18.5)</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37 (5.8)</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14 (2.2)</w:t>
            </w:r>
          </w:p>
        </w:tc>
      </w:tr>
      <w:tr w:rsidR="004F1936" w:rsidTr="004F1936">
        <w:tc>
          <w:tcPr>
            <w:tcW w:w="4820" w:type="dxa"/>
          </w:tcPr>
          <w:p w:rsidR="004F1936"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Metabolism and nutrition disorders</w:t>
            </w:r>
          </w:p>
          <w:p w:rsidR="004F1936"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 xml:space="preserve">   Decreased appetite</w:t>
            </w:r>
          </w:p>
        </w:tc>
        <w:tc>
          <w:tcPr>
            <w:tcW w:w="1984" w:type="dxa"/>
          </w:tcPr>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60 (14.2)</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24 (5.7)</w:t>
            </w:r>
          </w:p>
        </w:tc>
        <w:tc>
          <w:tcPr>
            <w:tcW w:w="2410" w:type="dxa"/>
          </w:tcPr>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115 (18.0)</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68 (10.7)</w:t>
            </w:r>
          </w:p>
        </w:tc>
      </w:tr>
      <w:tr w:rsidR="004F1936" w:rsidTr="004F1936">
        <w:tc>
          <w:tcPr>
            <w:tcW w:w="4820" w:type="dxa"/>
          </w:tcPr>
          <w:p w:rsidR="004F1936"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Nervous system disorders</w:t>
            </w:r>
          </w:p>
          <w:p w:rsidR="004F1936" w:rsidRPr="004F1936" w:rsidRDefault="004F1936" w:rsidP="004F1936">
            <w:pPr>
              <w:pStyle w:val="TextPI"/>
              <w:tabs>
                <w:tab w:val="left" w:pos="1134"/>
              </w:tabs>
              <w:spacing w:before="0" w:after="0" w:line="240" w:lineRule="auto"/>
              <w:rPr>
                <w:bCs/>
                <w:sz w:val="20"/>
                <w:szCs w:val="20"/>
                <w:lang w:val="en-GB"/>
              </w:rPr>
            </w:pPr>
            <w:r w:rsidRPr="004F1936">
              <w:rPr>
                <w:bCs/>
                <w:sz w:val="20"/>
                <w:szCs w:val="20"/>
                <w:lang w:val="en-GB"/>
              </w:rPr>
              <w:t xml:space="preserve">   Headache</w:t>
            </w:r>
          </w:p>
        </w:tc>
        <w:tc>
          <w:tcPr>
            <w:tcW w:w="1984" w:type="dxa"/>
          </w:tcPr>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65 (15.4)</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19 (4.5)</w:t>
            </w:r>
          </w:p>
        </w:tc>
        <w:tc>
          <w:tcPr>
            <w:tcW w:w="2410" w:type="dxa"/>
          </w:tcPr>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105 (16.5)</w:t>
            </w:r>
          </w:p>
          <w:p w:rsidR="004F1936" w:rsidRPr="004F1936" w:rsidRDefault="004F1936" w:rsidP="004F1936">
            <w:pPr>
              <w:pStyle w:val="TextPI"/>
              <w:tabs>
                <w:tab w:val="left" w:pos="1134"/>
              </w:tabs>
              <w:spacing w:before="0" w:after="0" w:line="240" w:lineRule="auto"/>
              <w:jc w:val="center"/>
              <w:rPr>
                <w:sz w:val="20"/>
                <w:szCs w:val="20"/>
                <w:lang w:eastAsia="en-AU" w:bidi="th-TH"/>
              </w:rPr>
            </w:pPr>
            <w:r w:rsidRPr="004F1936">
              <w:rPr>
                <w:sz w:val="20"/>
                <w:szCs w:val="20"/>
                <w:lang w:eastAsia="en-AU" w:bidi="th-TH"/>
              </w:rPr>
              <w:t>43 (6.7)</w:t>
            </w:r>
          </w:p>
        </w:tc>
      </w:tr>
    </w:tbl>
    <w:p w:rsidR="00CD6C93" w:rsidRPr="00DA68D9" w:rsidRDefault="00CD6C93" w:rsidP="00CD6C93">
      <w:pPr>
        <w:pStyle w:val="CS-FootnoteText"/>
        <w:rPr>
          <w:rFonts w:ascii="Arial" w:hAnsi="Arial" w:cs="Arial"/>
        </w:rPr>
      </w:pPr>
      <w:r w:rsidRPr="00CD6C93">
        <w:rPr>
          <w:rFonts w:ascii="Arial" w:hAnsi="Arial" w:cs="Arial"/>
        </w:rPr>
        <w:t xml:space="preserve"> </w:t>
      </w:r>
      <w:r w:rsidRPr="00DA68D9">
        <w:rPr>
          <w:rFonts w:ascii="Arial" w:hAnsi="Arial" w:cs="Arial"/>
        </w:rPr>
        <w:t>Preferred terms are sorted by frequency in the nintedanib</w:t>
      </w:r>
      <w:r>
        <w:rPr>
          <w:rFonts w:ascii="Arial" w:hAnsi="Arial" w:cs="Arial"/>
        </w:rPr>
        <w:t xml:space="preserve"> 150 mg twice daily</w:t>
      </w:r>
      <w:r w:rsidRPr="00DA68D9">
        <w:rPr>
          <w:rFonts w:ascii="Arial" w:hAnsi="Arial" w:cs="Arial"/>
        </w:rPr>
        <w:t xml:space="preserve"> arm </w:t>
      </w:r>
    </w:p>
    <w:p w:rsidR="00CD6C93" w:rsidRDefault="00CD6C93" w:rsidP="002309E5">
      <w:pPr>
        <w:pStyle w:val="TextPI"/>
        <w:rPr>
          <w:rFonts w:eastAsia="MS Mincho"/>
          <w:bCs/>
          <w:iCs/>
          <w:lang w:val="en-GB" w:eastAsia="de-DE"/>
        </w:rPr>
      </w:pPr>
    </w:p>
    <w:p w:rsidR="002309E5" w:rsidRPr="00A32C40" w:rsidRDefault="002309E5" w:rsidP="002309E5">
      <w:pPr>
        <w:pStyle w:val="TextPI"/>
        <w:rPr>
          <w:rFonts w:cs="Arial"/>
          <w:szCs w:val="24"/>
        </w:rPr>
      </w:pPr>
      <w:r w:rsidRPr="00A32C40">
        <w:rPr>
          <w:rFonts w:cs="Arial"/>
          <w:szCs w:val="24"/>
        </w:rPr>
        <w:t xml:space="preserve">Table </w:t>
      </w:r>
      <w:r w:rsidR="00CD6C93" w:rsidRPr="00A32C40">
        <w:rPr>
          <w:rFonts w:cs="Arial"/>
          <w:szCs w:val="24"/>
        </w:rPr>
        <w:t>8</w:t>
      </w:r>
      <w:r w:rsidRPr="00A32C40">
        <w:rPr>
          <w:rFonts w:cs="Arial"/>
          <w:szCs w:val="24"/>
        </w:rPr>
        <w:t xml:space="preserve"> summarises the frequencies of ADRs</w:t>
      </w:r>
      <w:r w:rsidR="00CD6C93" w:rsidRPr="00A32C40">
        <w:rPr>
          <w:rFonts w:cs="Arial"/>
          <w:szCs w:val="24"/>
        </w:rPr>
        <w:t xml:space="preserve"> by MedDRA SOC</w:t>
      </w:r>
      <w:r w:rsidRPr="00A32C40">
        <w:rPr>
          <w:rFonts w:cs="Arial"/>
          <w:szCs w:val="24"/>
        </w:rPr>
        <w:t xml:space="preserve"> that were reported in the nintedanib group (638 patients) pooled from the two placebo-controlled Phase 3 clinical trials of 52 weeks duration.</w:t>
      </w:r>
    </w:p>
    <w:p w:rsidR="002309E5" w:rsidRPr="00A32C40" w:rsidRDefault="002309E5" w:rsidP="002309E5">
      <w:pPr>
        <w:pStyle w:val="TextPI"/>
        <w:rPr>
          <w:rFonts w:cs="Arial"/>
          <w:szCs w:val="24"/>
        </w:rPr>
      </w:pPr>
      <w:r w:rsidRPr="00A32C40">
        <w:rPr>
          <w:rFonts w:cs="Arial"/>
          <w:szCs w:val="24"/>
        </w:rPr>
        <w:t xml:space="preserve">Frequency categories are defined using the following convention: </w:t>
      </w:r>
    </w:p>
    <w:p w:rsidR="002309E5" w:rsidRPr="00A32C40" w:rsidRDefault="002309E5" w:rsidP="002309E5">
      <w:pPr>
        <w:pStyle w:val="TextPI"/>
        <w:rPr>
          <w:rFonts w:cs="Arial"/>
          <w:szCs w:val="24"/>
        </w:rPr>
      </w:pPr>
      <w:r w:rsidRPr="00A32C40">
        <w:rPr>
          <w:rFonts w:cs="Arial"/>
          <w:szCs w:val="24"/>
        </w:rPr>
        <w:t>very common (≥ 1/10), common (≥ 1/100 to &lt; 1/10), uncommon (≥ 1/1,000 to &lt; 1/100), rare (≥ 1/10,000 to &lt; 1/1,000), very rare (&lt; 1/10,000), not known (cannot be estimated from the available data).</w:t>
      </w:r>
    </w:p>
    <w:p w:rsidR="002309E5" w:rsidRPr="00A32C40" w:rsidRDefault="002309E5" w:rsidP="002309E5">
      <w:pPr>
        <w:pStyle w:val="TextPI"/>
        <w:rPr>
          <w:rFonts w:cs="Arial"/>
          <w:szCs w:val="24"/>
        </w:rPr>
      </w:pPr>
      <w:r w:rsidRPr="00A32C40">
        <w:rPr>
          <w:rFonts w:cs="Arial"/>
          <w:szCs w:val="24"/>
        </w:rPr>
        <w:t>Within each frequency grouping adverse reactions are presented in order of decreasing seriousness.</w:t>
      </w:r>
    </w:p>
    <w:p w:rsidR="008A0B54" w:rsidRDefault="008A0B54">
      <w:pPr>
        <w:rPr>
          <w:rFonts w:ascii="Arial" w:hAnsi="Arial"/>
          <w:b/>
          <w:sz w:val="20"/>
          <w:lang w:val="en-GB"/>
        </w:rPr>
      </w:pPr>
      <w:r>
        <w:rPr>
          <w:b/>
          <w:sz w:val="20"/>
          <w:lang w:val="en-GB"/>
        </w:rPr>
        <w:br w:type="page"/>
      </w:r>
    </w:p>
    <w:p w:rsidR="006149A5" w:rsidRPr="004E11D0" w:rsidRDefault="006149A5" w:rsidP="00564C2E">
      <w:pPr>
        <w:pStyle w:val="TextPI"/>
        <w:tabs>
          <w:tab w:val="left" w:pos="1134"/>
        </w:tabs>
        <w:ind w:left="1122" w:hanging="1122"/>
        <w:rPr>
          <w:b/>
          <w:sz w:val="20"/>
          <w:szCs w:val="20"/>
          <w:lang w:val="en-GB"/>
        </w:rPr>
      </w:pPr>
      <w:r w:rsidRPr="004E11D0">
        <w:rPr>
          <w:b/>
          <w:sz w:val="20"/>
          <w:szCs w:val="20"/>
          <w:lang w:val="en-GB"/>
        </w:rPr>
        <w:lastRenderedPageBreak/>
        <w:t xml:space="preserve">Table </w:t>
      </w:r>
      <w:r w:rsidR="00CD6C93">
        <w:rPr>
          <w:b/>
          <w:sz w:val="20"/>
          <w:szCs w:val="20"/>
          <w:lang w:val="en-GB"/>
        </w:rPr>
        <w:t>8</w:t>
      </w:r>
      <w:r>
        <w:rPr>
          <w:b/>
          <w:sz w:val="20"/>
          <w:szCs w:val="20"/>
          <w:lang w:val="en-GB"/>
        </w:rPr>
        <w:t>:</w:t>
      </w:r>
      <w:r>
        <w:rPr>
          <w:b/>
          <w:sz w:val="20"/>
          <w:szCs w:val="20"/>
          <w:lang w:val="en-GB"/>
        </w:rPr>
        <w:tab/>
      </w:r>
      <w:r w:rsidRPr="004E11D0">
        <w:rPr>
          <w:b/>
          <w:sz w:val="20"/>
          <w:szCs w:val="20"/>
          <w:lang w:val="en-GB"/>
        </w:rPr>
        <w:t>Summary of ADRs per frequency category from pivotal Stud</w:t>
      </w:r>
      <w:r>
        <w:rPr>
          <w:b/>
          <w:sz w:val="20"/>
          <w:szCs w:val="20"/>
          <w:lang w:val="en-GB"/>
        </w:rPr>
        <w:t>ies</w:t>
      </w:r>
      <w:r w:rsidRPr="004E11D0">
        <w:rPr>
          <w:b/>
          <w:sz w:val="20"/>
          <w:szCs w:val="20"/>
          <w:lang w:val="en-GB"/>
        </w:rPr>
        <w:t xml:space="preserve"> </w:t>
      </w:r>
      <w:r w:rsidRPr="006149A5">
        <w:rPr>
          <w:b/>
          <w:sz w:val="20"/>
          <w:szCs w:val="20"/>
          <w:lang w:val="en-GB"/>
        </w:rPr>
        <w:t>INPULSIS-1 and INPULSIS-2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8"/>
        <w:gridCol w:w="2303"/>
        <w:gridCol w:w="2170"/>
      </w:tblGrid>
      <w:tr w:rsidR="006149A5" w:rsidRPr="0074190C" w:rsidTr="002E39AC">
        <w:trPr>
          <w:trHeight w:val="293"/>
          <w:tblHeader/>
        </w:trPr>
        <w:tc>
          <w:tcPr>
            <w:tcW w:w="2410" w:type="dxa"/>
          </w:tcPr>
          <w:p w:rsidR="006149A5" w:rsidRPr="0074190C" w:rsidRDefault="006149A5" w:rsidP="002E39AC">
            <w:pPr>
              <w:keepNext/>
              <w:keepLines/>
              <w:rPr>
                <w:rFonts w:ascii="Arial" w:hAnsi="Arial" w:cs="Arial"/>
                <w:b/>
                <w:sz w:val="20"/>
                <w:lang w:val="en-US" w:eastAsia="de-DE"/>
              </w:rPr>
            </w:pPr>
            <w:r w:rsidRPr="0074190C">
              <w:rPr>
                <w:rFonts w:ascii="Arial" w:hAnsi="Arial" w:cs="Arial"/>
                <w:b/>
                <w:sz w:val="20"/>
                <w:lang w:val="en-US" w:eastAsia="de-DE"/>
              </w:rPr>
              <w:t>System Organ Class</w:t>
            </w:r>
          </w:p>
          <w:p w:rsidR="006149A5" w:rsidRPr="0074190C" w:rsidRDefault="006149A5" w:rsidP="002E39AC">
            <w:pPr>
              <w:keepNext/>
              <w:keepLines/>
              <w:jc w:val="both"/>
              <w:rPr>
                <w:rFonts w:ascii="Arial" w:hAnsi="Arial" w:cs="Arial"/>
                <w:b/>
                <w:sz w:val="20"/>
                <w:lang w:val="en-US" w:eastAsia="de-DE"/>
              </w:rPr>
            </w:pPr>
          </w:p>
        </w:tc>
        <w:tc>
          <w:tcPr>
            <w:tcW w:w="2268" w:type="dxa"/>
          </w:tcPr>
          <w:p w:rsidR="006149A5" w:rsidRPr="0074190C" w:rsidRDefault="006149A5" w:rsidP="002E39AC">
            <w:pPr>
              <w:keepNext/>
              <w:keepLines/>
              <w:tabs>
                <w:tab w:val="left" w:pos="270"/>
              </w:tabs>
              <w:rPr>
                <w:rFonts w:ascii="Arial" w:hAnsi="Arial" w:cs="Arial"/>
                <w:b/>
                <w:sz w:val="20"/>
                <w:lang w:val="en-GB" w:eastAsia="de-DE"/>
              </w:rPr>
            </w:pPr>
            <w:r w:rsidRPr="0074190C">
              <w:rPr>
                <w:rFonts w:ascii="Arial" w:hAnsi="Arial" w:cs="Arial"/>
                <w:b/>
                <w:sz w:val="20"/>
                <w:lang w:val="en-GB" w:eastAsia="de-DE"/>
              </w:rPr>
              <w:t xml:space="preserve">Very common </w:t>
            </w:r>
            <w:r w:rsidRPr="0074190C">
              <w:rPr>
                <w:rFonts w:ascii="Arial" w:hAnsi="Arial" w:cs="Arial"/>
                <w:b/>
                <w:sz w:val="20"/>
                <w:lang w:val="en-GB" w:eastAsia="de-DE"/>
              </w:rPr>
              <w:br/>
              <w:t>(≥ 1/10)</w:t>
            </w:r>
          </w:p>
        </w:tc>
        <w:tc>
          <w:tcPr>
            <w:tcW w:w="2303" w:type="dxa"/>
          </w:tcPr>
          <w:p w:rsidR="006149A5" w:rsidRPr="0074190C" w:rsidRDefault="006149A5" w:rsidP="002E39AC">
            <w:pPr>
              <w:keepNext/>
              <w:keepLines/>
              <w:jc w:val="both"/>
              <w:rPr>
                <w:rFonts w:ascii="Arial" w:hAnsi="Arial" w:cs="Arial"/>
                <w:b/>
                <w:sz w:val="20"/>
                <w:lang w:val="en-US" w:eastAsia="de-DE"/>
              </w:rPr>
            </w:pPr>
            <w:r w:rsidRPr="0074190C">
              <w:rPr>
                <w:rFonts w:ascii="Arial" w:hAnsi="Arial" w:cs="Arial"/>
                <w:b/>
                <w:sz w:val="20"/>
                <w:lang w:val="en-GB" w:eastAsia="de-DE"/>
              </w:rPr>
              <w:t xml:space="preserve">Common </w:t>
            </w:r>
            <w:r w:rsidRPr="0074190C">
              <w:rPr>
                <w:rFonts w:ascii="Arial" w:hAnsi="Arial" w:cs="Arial"/>
                <w:b/>
                <w:sz w:val="20"/>
                <w:lang w:val="en-GB" w:eastAsia="de-DE"/>
              </w:rPr>
              <w:br/>
              <w:t>(≥ 1/100 &lt; 1/10)</w:t>
            </w:r>
          </w:p>
        </w:tc>
        <w:tc>
          <w:tcPr>
            <w:tcW w:w="2170" w:type="dxa"/>
          </w:tcPr>
          <w:p w:rsidR="006149A5" w:rsidRPr="0074190C" w:rsidRDefault="006149A5" w:rsidP="002E39AC">
            <w:pPr>
              <w:keepNext/>
              <w:keepLines/>
              <w:tabs>
                <w:tab w:val="left" w:pos="270"/>
              </w:tabs>
              <w:jc w:val="both"/>
              <w:rPr>
                <w:rFonts w:ascii="Arial" w:hAnsi="Arial" w:cs="Arial"/>
                <w:b/>
                <w:sz w:val="20"/>
                <w:lang w:val="en-GB" w:eastAsia="de-DE"/>
              </w:rPr>
            </w:pPr>
            <w:r w:rsidRPr="0074190C">
              <w:rPr>
                <w:rFonts w:ascii="Arial" w:hAnsi="Arial" w:cs="Arial"/>
                <w:b/>
                <w:sz w:val="20"/>
                <w:lang w:val="en-GB" w:eastAsia="de-DE"/>
              </w:rPr>
              <w:t xml:space="preserve">Uncommon </w:t>
            </w:r>
            <w:r w:rsidRPr="0074190C">
              <w:rPr>
                <w:rFonts w:ascii="Arial" w:hAnsi="Arial" w:cs="Arial"/>
                <w:b/>
                <w:sz w:val="20"/>
                <w:lang w:val="en-GB" w:eastAsia="de-DE"/>
              </w:rPr>
              <w:br/>
              <w:t>(≥ 1/1,000 &lt; 1/100)</w:t>
            </w:r>
          </w:p>
        </w:tc>
      </w:tr>
      <w:tr w:rsidR="00F16FAC" w:rsidRPr="0074190C" w:rsidTr="002E39AC">
        <w:tc>
          <w:tcPr>
            <w:tcW w:w="2410" w:type="dxa"/>
          </w:tcPr>
          <w:p w:rsidR="00F16FAC" w:rsidRPr="0074190C" w:rsidRDefault="00F16FAC" w:rsidP="002E39AC">
            <w:pPr>
              <w:rPr>
                <w:rFonts w:ascii="Arial" w:hAnsi="Arial" w:cs="Arial"/>
                <w:sz w:val="20"/>
                <w:lang w:val="en-US" w:eastAsia="de-DE"/>
              </w:rPr>
            </w:pPr>
            <w:r w:rsidRPr="0074190C">
              <w:rPr>
                <w:rFonts w:ascii="Arial" w:hAnsi="Arial" w:cs="Arial"/>
                <w:sz w:val="20"/>
                <w:lang w:val="en-US" w:eastAsia="de-DE"/>
              </w:rPr>
              <w:t>Metabolism and nutrition disorders</w:t>
            </w:r>
          </w:p>
        </w:tc>
        <w:tc>
          <w:tcPr>
            <w:tcW w:w="2268" w:type="dxa"/>
          </w:tcPr>
          <w:p w:rsidR="00F16FAC" w:rsidRPr="0074190C" w:rsidRDefault="00F16FAC" w:rsidP="002E39AC">
            <w:pPr>
              <w:jc w:val="both"/>
              <w:rPr>
                <w:rFonts w:ascii="Arial" w:hAnsi="Arial" w:cs="Arial"/>
                <w:sz w:val="20"/>
                <w:lang w:val="en-US" w:eastAsia="de-DE"/>
              </w:rPr>
            </w:pPr>
          </w:p>
        </w:tc>
        <w:tc>
          <w:tcPr>
            <w:tcW w:w="2303" w:type="dxa"/>
          </w:tcPr>
          <w:p w:rsidR="00F16FAC" w:rsidRDefault="002309E5" w:rsidP="002309E5">
            <w:pPr>
              <w:jc w:val="both"/>
              <w:rPr>
                <w:rFonts w:ascii="Arial" w:hAnsi="Arial" w:cs="Arial"/>
                <w:sz w:val="20"/>
                <w:lang w:val="en-US" w:eastAsia="de-DE"/>
              </w:rPr>
            </w:pPr>
            <w:r>
              <w:rPr>
                <w:rFonts w:ascii="Arial" w:hAnsi="Arial" w:cs="Arial"/>
                <w:sz w:val="20"/>
                <w:lang w:val="en-US" w:eastAsia="de-DE"/>
              </w:rPr>
              <w:t xml:space="preserve">Decreased appetite, </w:t>
            </w:r>
          </w:p>
          <w:p w:rsidR="002309E5" w:rsidRPr="0074190C" w:rsidRDefault="002309E5" w:rsidP="002309E5">
            <w:pPr>
              <w:jc w:val="both"/>
              <w:rPr>
                <w:rFonts w:ascii="Arial" w:hAnsi="Arial" w:cs="Arial"/>
                <w:sz w:val="20"/>
                <w:lang w:val="en-US" w:eastAsia="de-DE"/>
              </w:rPr>
            </w:pPr>
            <w:r>
              <w:rPr>
                <w:rFonts w:ascii="Arial" w:hAnsi="Arial" w:cs="Arial"/>
                <w:sz w:val="20"/>
                <w:lang w:val="en-US" w:eastAsia="de-DE"/>
              </w:rPr>
              <w:t>Weight decreased</w:t>
            </w:r>
          </w:p>
        </w:tc>
        <w:tc>
          <w:tcPr>
            <w:tcW w:w="2170" w:type="dxa"/>
          </w:tcPr>
          <w:p w:rsidR="00F16FAC" w:rsidRPr="0074190C" w:rsidRDefault="00F16FAC" w:rsidP="002E39AC">
            <w:pPr>
              <w:jc w:val="both"/>
              <w:rPr>
                <w:rFonts w:ascii="Arial" w:hAnsi="Arial" w:cs="Arial"/>
                <w:sz w:val="20"/>
                <w:lang w:val="en-US" w:eastAsia="de-DE"/>
              </w:rPr>
            </w:pPr>
          </w:p>
        </w:tc>
      </w:tr>
      <w:tr w:rsidR="00F16FAC" w:rsidRPr="0074190C" w:rsidTr="002E39AC">
        <w:tc>
          <w:tcPr>
            <w:tcW w:w="2410" w:type="dxa"/>
          </w:tcPr>
          <w:p w:rsidR="00F16FAC" w:rsidRPr="0074190C" w:rsidRDefault="00F16FAC" w:rsidP="002E39AC">
            <w:pPr>
              <w:rPr>
                <w:rFonts w:ascii="Arial" w:hAnsi="Arial" w:cs="Arial"/>
                <w:sz w:val="20"/>
                <w:lang w:val="en-US" w:eastAsia="de-DE"/>
              </w:rPr>
            </w:pPr>
            <w:r w:rsidRPr="0074190C">
              <w:rPr>
                <w:rFonts w:ascii="Arial" w:hAnsi="Arial" w:cs="Arial"/>
                <w:sz w:val="20"/>
                <w:lang w:val="en-US" w:eastAsia="de-DE"/>
              </w:rPr>
              <w:t>Vascular disorders</w:t>
            </w:r>
          </w:p>
        </w:tc>
        <w:tc>
          <w:tcPr>
            <w:tcW w:w="2268" w:type="dxa"/>
          </w:tcPr>
          <w:p w:rsidR="00F16FAC" w:rsidRPr="0074190C" w:rsidRDefault="00F16FAC" w:rsidP="002E39AC">
            <w:pPr>
              <w:jc w:val="both"/>
              <w:rPr>
                <w:rFonts w:ascii="Arial" w:hAnsi="Arial" w:cs="Arial"/>
                <w:sz w:val="20"/>
                <w:lang w:val="en-US" w:eastAsia="de-DE"/>
              </w:rPr>
            </w:pPr>
          </w:p>
        </w:tc>
        <w:tc>
          <w:tcPr>
            <w:tcW w:w="2303" w:type="dxa"/>
          </w:tcPr>
          <w:p w:rsidR="00F16FAC" w:rsidRPr="0074190C" w:rsidRDefault="00F16FAC" w:rsidP="002E39AC">
            <w:pPr>
              <w:jc w:val="both"/>
              <w:rPr>
                <w:rFonts w:ascii="Arial" w:hAnsi="Arial" w:cs="Arial"/>
                <w:sz w:val="20"/>
                <w:lang w:val="en-US" w:eastAsia="de-DE"/>
              </w:rPr>
            </w:pPr>
          </w:p>
        </w:tc>
        <w:tc>
          <w:tcPr>
            <w:tcW w:w="2170" w:type="dxa"/>
          </w:tcPr>
          <w:p w:rsidR="00F16FAC" w:rsidRPr="0074190C" w:rsidRDefault="002309E5" w:rsidP="002E39AC">
            <w:pPr>
              <w:jc w:val="both"/>
              <w:rPr>
                <w:rFonts w:ascii="Arial" w:hAnsi="Arial" w:cs="Arial"/>
                <w:sz w:val="20"/>
                <w:lang w:val="en-US" w:eastAsia="de-DE"/>
              </w:rPr>
            </w:pPr>
            <w:r w:rsidRPr="002309E5">
              <w:rPr>
                <w:rFonts w:ascii="Arial" w:hAnsi="Arial" w:cs="Arial"/>
                <w:sz w:val="20"/>
                <w:lang w:val="en-US" w:eastAsia="de-DE"/>
              </w:rPr>
              <w:t>Hypertension</w:t>
            </w:r>
          </w:p>
        </w:tc>
      </w:tr>
      <w:tr w:rsidR="002309E5" w:rsidRPr="0074190C" w:rsidTr="002E39AC">
        <w:trPr>
          <w:trHeight w:val="280"/>
        </w:trPr>
        <w:tc>
          <w:tcPr>
            <w:tcW w:w="2410" w:type="dxa"/>
          </w:tcPr>
          <w:p w:rsidR="002309E5" w:rsidRPr="0074190C" w:rsidRDefault="002309E5" w:rsidP="002E39AC">
            <w:pPr>
              <w:rPr>
                <w:rFonts w:ascii="Arial" w:hAnsi="Arial" w:cs="Arial"/>
                <w:sz w:val="20"/>
                <w:lang w:val="en-US" w:eastAsia="de-DE"/>
              </w:rPr>
            </w:pPr>
            <w:r w:rsidRPr="0074190C">
              <w:rPr>
                <w:rFonts w:ascii="Arial" w:hAnsi="Arial" w:cs="Arial"/>
                <w:sz w:val="20"/>
                <w:lang w:val="en-US" w:eastAsia="de-DE"/>
              </w:rPr>
              <w:t>Gastrointestinal Disorder</w:t>
            </w:r>
          </w:p>
        </w:tc>
        <w:tc>
          <w:tcPr>
            <w:tcW w:w="2268" w:type="dxa"/>
          </w:tcPr>
          <w:p w:rsidR="002309E5" w:rsidRPr="001D5A70" w:rsidRDefault="002309E5" w:rsidP="004F1936">
            <w:pPr>
              <w:rPr>
                <w:rFonts w:ascii="Arial" w:hAnsi="Arial" w:cs="Arial"/>
                <w:sz w:val="20"/>
                <w:lang w:val="en-US" w:eastAsia="de-DE"/>
              </w:rPr>
            </w:pPr>
            <w:r w:rsidRPr="001D5A70">
              <w:rPr>
                <w:rFonts w:ascii="Arial" w:hAnsi="Arial" w:cs="Arial"/>
                <w:sz w:val="20"/>
                <w:lang w:val="en-US" w:eastAsia="de-DE"/>
              </w:rPr>
              <w:t>Diarrhoea,</w:t>
            </w:r>
          </w:p>
          <w:p w:rsidR="002309E5" w:rsidRPr="001D5A70" w:rsidRDefault="002309E5" w:rsidP="002E39AC">
            <w:pPr>
              <w:tabs>
                <w:tab w:val="left" w:pos="567"/>
              </w:tabs>
              <w:jc w:val="both"/>
              <w:rPr>
                <w:rFonts w:ascii="Arial" w:hAnsi="Arial" w:cs="Arial"/>
                <w:sz w:val="20"/>
                <w:lang w:val="en-US" w:eastAsia="de-DE"/>
              </w:rPr>
            </w:pPr>
            <w:r w:rsidRPr="001D5A70">
              <w:rPr>
                <w:rFonts w:ascii="Arial" w:hAnsi="Arial" w:cs="Arial"/>
                <w:sz w:val="20"/>
                <w:lang w:val="en-US" w:eastAsia="de-DE"/>
              </w:rPr>
              <w:t>Nausea,</w:t>
            </w:r>
            <w:r w:rsidRPr="001D5A70">
              <w:rPr>
                <w:rFonts w:ascii="Arial" w:hAnsi="Arial" w:cs="Arial"/>
                <w:sz w:val="20"/>
                <w:lang w:val="en-US" w:eastAsia="de-DE"/>
              </w:rPr>
              <w:br/>
              <w:t>Abdominal pain</w:t>
            </w:r>
          </w:p>
        </w:tc>
        <w:tc>
          <w:tcPr>
            <w:tcW w:w="2303" w:type="dxa"/>
          </w:tcPr>
          <w:p w:rsidR="002309E5" w:rsidRPr="001D5A70" w:rsidRDefault="002309E5" w:rsidP="004F1936">
            <w:pPr>
              <w:rPr>
                <w:rFonts w:ascii="Arial" w:hAnsi="Arial" w:cs="Arial"/>
                <w:sz w:val="20"/>
                <w:lang w:val="en-US" w:eastAsia="de-DE"/>
              </w:rPr>
            </w:pPr>
            <w:r w:rsidRPr="001D5A70">
              <w:rPr>
                <w:rFonts w:ascii="Arial" w:hAnsi="Arial" w:cs="Arial"/>
                <w:sz w:val="20"/>
                <w:lang w:val="en-US" w:eastAsia="de-DE"/>
              </w:rPr>
              <w:t>Vomiting</w:t>
            </w:r>
          </w:p>
          <w:p w:rsidR="002309E5" w:rsidRPr="0074190C" w:rsidRDefault="002309E5" w:rsidP="002E39AC">
            <w:pPr>
              <w:jc w:val="both"/>
              <w:rPr>
                <w:rFonts w:ascii="Arial" w:hAnsi="Arial" w:cs="Arial"/>
                <w:sz w:val="20"/>
                <w:lang w:val="en-US" w:eastAsia="de-DE"/>
              </w:rPr>
            </w:pPr>
          </w:p>
        </w:tc>
        <w:tc>
          <w:tcPr>
            <w:tcW w:w="2170" w:type="dxa"/>
          </w:tcPr>
          <w:p w:rsidR="002309E5" w:rsidRPr="0074190C" w:rsidRDefault="002309E5" w:rsidP="002E39AC">
            <w:pPr>
              <w:jc w:val="both"/>
              <w:rPr>
                <w:rFonts w:ascii="Arial" w:hAnsi="Arial" w:cs="Arial"/>
                <w:sz w:val="20"/>
                <w:lang w:val="en-US" w:eastAsia="de-DE"/>
              </w:rPr>
            </w:pPr>
          </w:p>
        </w:tc>
      </w:tr>
      <w:tr w:rsidR="002309E5" w:rsidRPr="0074190C" w:rsidTr="002E39AC">
        <w:tc>
          <w:tcPr>
            <w:tcW w:w="2410" w:type="dxa"/>
          </w:tcPr>
          <w:p w:rsidR="002309E5" w:rsidRPr="0074190C" w:rsidRDefault="002309E5" w:rsidP="002E39AC">
            <w:pPr>
              <w:rPr>
                <w:rFonts w:ascii="Arial" w:hAnsi="Arial" w:cs="Arial"/>
                <w:sz w:val="20"/>
                <w:lang w:val="en-US" w:eastAsia="de-DE"/>
              </w:rPr>
            </w:pPr>
            <w:r w:rsidRPr="001D5A70">
              <w:rPr>
                <w:rFonts w:ascii="Arial" w:hAnsi="Arial" w:cs="Arial"/>
                <w:sz w:val="20"/>
                <w:lang w:val="en-US" w:eastAsia="de-DE"/>
              </w:rPr>
              <w:t>Hepatobiliary disorders</w:t>
            </w:r>
          </w:p>
        </w:tc>
        <w:tc>
          <w:tcPr>
            <w:tcW w:w="2268" w:type="dxa"/>
          </w:tcPr>
          <w:p w:rsidR="002309E5" w:rsidRPr="001D5A70" w:rsidRDefault="002309E5" w:rsidP="001D5A70">
            <w:pPr>
              <w:rPr>
                <w:rFonts w:ascii="Arial" w:hAnsi="Arial" w:cs="Arial"/>
                <w:sz w:val="20"/>
                <w:lang w:val="en-US" w:eastAsia="de-DE"/>
              </w:rPr>
            </w:pPr>
            <w:r w:rsidRPr="001D5A70">
              <w:rPr>
                <w:rFonts w:ascii="Arial" w:hAnsi="Arial" w:cs="Arial"/>
                <w:sz w:val="20"/>
                <w:lang w:val="en-US" w:eastAsia="de-DE"/>
              </w:rPr>
              <w:t>Hepatic enzyme</w:t>
            </w:r>
            <w:r w:rsidR="001D5A70">
              <w:rPr>
                <w:rFonts w:ascii="Arial" w:hAnsi="Arial" w:cs="Arial"/>
                <w:sz w:val="20"/>
                <w:lang w:val="en-US" w:eastAsia="de-DE"/>
              </w:rPr>
              <w:t xml:space="preserve"> </w:t>
            </w:r>
            <w:r w:rsidRPr="001D5A70">
              <w:rPr>
                <w:rFonts w:ascii="Arial" w:hAnsi="Arial" w:cs="Arial"/>
                <w:sz w:val="20"/>
                <w:lang w:val="en-US" w:eastAsia="de-DE"/>
              </w:rPr>
              <w:t>increased</w:t>
            </w:r>
            <w:r w:rsidRPr="001D5A70">
              <w:rPr>
                <w:rFonts w:ascii="Arial" w:hAnsi="Arial" w:cs="Arial"/>
                <w:sz w:val="20"/>
                <w:lang w:val="en-US" w:eastAsia="de-DE"/>
              </w:rPr>
              <w:br/>
            </w:r>
          </w:p>
        </w:tc>
        <w:tc>
          <w:tcPr>
            <w:tcW w:w="2303" w:type="dxa"/>
          </w:tcPr>
          <w:p w:rsidR="002309E5" w:rsidRPr="001D5A70" w:rsidRDefault="002309E5" w:rsidP="002309E5">
            <w:pPr>
              <w:rPr>
                <w:rFonts w:ascii="Arial" w:hAnsi="Arial" w:cs="Arial"/>
                <w:sz w:val="20"/>
                <w:lang w:val="en-US" w:eastAsia="de-DE"/>
              </w:rPr>
            </w:pPr>
            <w:r w:rsidRPr="001D5A70">
              <w:rPr>
                <w:rFonts w:ascii="Arial" w:hAnsi="Arial" w:cs="Arial"/>
                <w:sz w:val="20"/>
                <w:lang w:val="en-US" w:eastAsia="de-DE"/>
              </w:rPr>
              <w:t>Alanine</w:t>
            </w:r>
            <w:r w:rsidR="001D5A70">
              <w:rPr>
                <w:rFonts w:ascii="Arial" w:hAnsi="Arial" w:cs="Arial"/>
                <w:sz w:val="20"/>
                <w:lang w:val="en-US" w:eastAsia="de-DE"/>
              </w:rPr>
              <w:t xml:space="preserve"> </w:t>
            </w:r>
            <w:r w:rsidRPr="001D5A70">
              <w:rPr>
                <w:rFonts w:ascii="Arial" w:hAnsi="Arial" w:cs="Arial"/>
                <w:sz w:val="20"/>
                <w:lang w:val="en-US" w:eastAsia="de-DE"/>
              </w:rPr>
              <w:t>aminotransferase (ALT) increased,</w:t>
            </w:r>
          </w:p>
          <w:p w:rsidR="002309E5" w:rsidRPr="001D5A70" w:rsidRDefault="002309E5" w:rsidP="002309E5">
            <w:pPr>
              <w:rPr>
                <w:rFonts w:ascii="Arial" w:hAnsi="Arial" w:cs="Arial"/>
                <w:sz w:val="20"/>
                <w:lang w:val="en-US" w:eastAsia="de-DE"/>
              </w:rPr>
            </w:pPr>
            <w:r w:rsidRPr="001D5A70">
              <w:rPr>
                <w:rFonts w:ascii="Arial" w:hAnsi="Arial" w:cs="Arial"/>
                <w:sz w:val="20"/>
                <w:lang w:val="en-US" w:eastAsia="de-DE"/>
              </w:rPr>
              <w:t>Aspartate aminotransferase (AST) increased,</w:t>
            </w:r>
            <w:r w:rsidRPr="001D5A70">
              <w:rPr>
                <w:rFonts w:ascii="Arial" w:hAnsi="Arial" w:cs="Arial"/>
                <w:sz w:val="20"/>
                <w:lang w:val="en-US" w:eastAsia="de-DE"/>
              </w:rPr>
              <w:br/>
              <w:t>Gamma glutamyl transferase (GGT) increased</w:t>
            </w:r>
          </w:p>
        </w:tc>
        <w:tc>
          <w:tcPr>
            <w:tcW w:w="2170" w:type="dxa"/>
          </w:tcPr>
          <w:p w:rsidR="002309E5" w:rsidRPr="001D5A70" w:rsidRDefault="002309E5" w:rsidP="002309E5">
            <w:pPr>
              <w:spacing w:before="20" w:after="20"/>
              <w:rPr>
                <w:rFonts w:ascii="Arial" w:hAnsi="Arial" w:cs="Arial"/>
                <w:sz w:val="20"/>
                <w:lang w:val="en-US" w:eastAsia="de-DE"/>
              </w:rPr>
            </w:pPr>
            <w:r w:rsidRPr="001D5A70">
              <w:rPr>
                <w:rFonts w:ascii="Arial" w:hAnsi="Arial" w:cs="Arial"/>
                <w:sz w:val="20"/>
                <w:lang w:val="en-US" w:eastAsia="de-DE"/>
              </w:rPr>
              <w:t>Hyperbilirubinaemia,</w:t>
            </w:r>
          </w:p>
          <w:p w:rsidR="002309E5" w:rsidRPr="0074190C" w:rsidRDefault="002309E5" w:rsidP="002309E5">
            <w:pPr>
              <w:rPr>
                <w:rFonts w:ascii="Arial" w:hAnsi="Arial" w:cs="Arial"/>
                <w:sz w:val="20"/>
                <w:lang w:val="en-US" w:eastAsia="de-DE"/>
              </w:rPr>
            </w:pPr>
            <w:r w:rsidRPr="001D5A70">
              <w:rPr>
                <w:rFonts w:ascii="Arial" w:hAnsi="Arial" w:cs="Arial"/>
                <w:sz w:val="20"/>
                <w:lang w:val="en-US" w:eastAsia="de-DE"/>
              </w:rPr>
              <w:t>Blood alkaline phosphatase (ALP) increased</w:t>
            </w:r>
            <w:r w:rsidRPr="001D5A70">
              <w:rPr>
                <w:rFonts w:ascii="Arial" w:hAnsi="Arial" w:cs="Arial"/>
                <w:sz w:val="20"/>
                <w:lang w:val="en-US" w:eastAsia="de-DE"/>
              </w:rPr>
              <w:br/>
            </w:r>
          </w:p>
        </w:tc>
      </w:tr>
    </w:tbl>
    <w:p w:rsidR="006149A5" w:rsidRPr="00B44310" w:rsidRDefault="006149A5" w:rsidP="006149A5">
      <w:pPr>
        <w:pStyle w:val="TextPI"/>
        <w:rPr>
          <w:noProof/>
          <w:lang w:val="en-US"/>
        </w:rPr>
      </w:pPr>
      <w:r w:rsidRPr="006149A5">
        <w:rPr>
          <w:noProof/>
          <w:lang w:val="en-US"/>
        </w:rPr>
        <w:t>For the management</w:t>
      </w:r>
      <w:r w:rsidRPr="00B44310">
        <w:rPr>
          <w:noProof/>
          <w:lang w:val="en-US"/>
        </w:rPr>
        <w:t xml:space="preserve"> of selected adverse reactions please </w:t>
      </w:r>
      <w:r>
        <w:rPr>
          <w:noProof/>
          <w:lang w:val="en-US"/>
        </w:rPr>
        <w:t>also refer to PRECAUTIONS</w:t>
      </w:r>
      <w:r w:rsidRPr="00B44310">
        <w:rPr>
          <w:noProof/>
          <w:lang w:val="en-US"/>
        </w:rPr>
        <w:t>.</w:t>
      </w:r>
    </w:p>
    <w:p w:rsidR="00014579" w:rsidRDefault="00014579" w:rsidP="000A1804">
      <w:pPr>
        <w:pStyle w:val="PIHeading1"/>
      </w:pPr>
      <w:r w:rsidRPr="0042370A">
        <w:t>DOSAGE AND ADMINISTRATION</w:t>
      </w:r>
    </w:p>
    <w:p w:rsidR="00D656D0" w:rsidRDefault="007501C4" w:rsidP="00D656D0">
      <w:pPr>
        <w:pStyle w:val="TextPI"/>
      </w:pPr>
      <w:r>
        <w:t>VARGATEF</w:t>
      </w:r>
      <w:r w:rsidR="00D656D0" w:rsidRPr="005E52EF">
        <w:t xml:space="preserve"> capsules should be taken </w:t>
      </w:r>
      <w:r w:rsidR="00F934C6">
        <w:t xml:space="preserve">orally </w:t>
      </w:r>
      <w:r w:rsidR="00D656D0" w:rsidRPr="005E52EF">
        <w:t>with food, swallowed whole with water, and should not be chewed or crushed.</w:t>
      </w:r>
    </w:p>
    <w:p w:rsidR="00F934C6" w:rsidRPr="005E52EF" w:rsidRDefault="00F934C6" w:rsidP="00D656D0">
      <w:pPr>
        <w:pStyle w:val="TextPI"/>
      </w:pPr>
      <w:r>
        <w:t>If a dose is missed, administration should resume at the next scheduled time at the recommended dose. If a dose is missed, the patient should not be given an additional dose.</w:t>
      </w:r>
    </w:p>
    <w:p w:rsidR="00D656D0" w:rsidRPr="004B3131" w:rsidRDefault="00D656D0" w:rsidP="00D656D0">
      <w:pPr>
        <w:pStyle w:val="PIheading2"/>
        <w:rPr>
          <w:rFonts w:eastAsia="MS Mincho"/>
          <w:i/>
          <w:iCs/>
          <w:lang w:val="en-GB" w:eastAsia="de-DE"/>
        </w:rPr>
      </w:pPr>
      <w:r w:rsidRPr="004B3131">
        <w:rPr>
          <w:rFonts w:eastAsia="MS Mincho"/>
          <w:i/>
          <w:iCs/>
          <w:lang w:val="en-GB" w:eastAsia="de-DE"/>
        </w:rPr>
        <w:t xml:space="preserve">NSCLC: </w:t>
      </w:r>
    </w:p>
    <w:p w:rsidR="00C968DE" w:rsidRPr="00071E32" w:rsidRDefault="00C968DE" w:rsidP="00071E32">
      <w:pPr>
        <w:pStyle w:val="TextPI"/>
        <w:rPr>
          <w:rFonts w:eastAsia="MS Mincho"/>
          <w:bCs/>
          <w:iCs/>
          <w:lang w:val="en-GB" w:eastAsia="de-DE"/>
        </w:rPr>
      </w:pPr>
      <w:r w:rsidRPr="00071E32">
        <w:rPr>
          <w:rFonts w:eastAsia="MS Mincho"/>
          <w:bCs/>
          <w:iCs/>
          <w:lang w:val="en-GB" w:eastAsia="de-DE"/>
        </w:rPr>
        <w:t xml:space="preserve">Treatment with </w:t>
      </w:r>
      <w:r w:rsidR="007501C4">
        <w:rPr>
          <w:rFonts w:eastAsia="MS Mincho"/>
          <w:bCs/>
          <w:iCs/>
          <w:lang w:val="en-GB" w:eastAsia="de-DE"/>
        </w:rPr>
        <w:t>VARGATEF</w:t>
      </w:r>
      <w:r w:rsidRPr="00071E32">
        <w:rPr>
          <w:rFonts w:eastAsia="MS Mincho"/>
          <w:bCs/>
          <w:iCs/>
          <w:lang w:val="en-GB" w:eastAsia="de-DE"/>
        </w:rPr>
        <w:t xml:space="preserve"> should be initiated and supervised by a physician experienced in the use of anticancer therapies.</w:t>
      </w:r>
    </w:p>
    <w:p w:rsidR="00C968DE" w:rsidRPr="00071E32" w:rsidRDefault="00C968DE" w:rsidP="00071E32">
      <w:pPr>
        <w:pStyle w:val="TextPI"/>
        <w:rPr>
          <w:rFonts w:eastAsia="MS Mincho"/>
          <w:bCs/>
          <w:iCs/>
          <w:lang w:val="en-GB" w:eastAsia="de-DE"/>
        </w:rPr>
      </w:pPr>
      <w:r w:rsidRPr="00071E32">
        <w:rPr>
          <w:rFonts w:eastAsia="MS Mincho"/>
          <w:bCs/>
          <w:iCs/>
          <w:lang w:val="en-GB" w:eastAsia="de-DE"/>
        </w:rPr>
        <w:t xml:space="preserve">The recommended dose of </w:t>
      </w:r>
      <w:r w:rsidR="007501C4">
        <w:rPr>
          <w:rFonts w:eastAsia="MS Mincho"/>
          <w:bCs/>
          <w:iCs/>
          <w:lang w:val="en-GB" w:eastAsia="de-DE"/>
        </w:rPr>
        <w:t>VARGATEF</w:t>
      </w:r>
      <w:r w:rsidRPr="00071E32">
        <w:rPr>
          <w:rFonts w:eastAsia="MS Mincho"/>
          <w:bCs/>
          <w:iCs/>
          <w:lang w:val="en-GB" w:eastAsia="de-DE"/>
        </w:rPr>
        <w:t xml:space="preserve"> is 200 mg twice daily administered approximately 12 hours apart, on days 2 to 21 of a standard 21</w:t>
      </w:r>
      <w:r w:rsidR="00071E32">
        <w:rPr>
          <w:rFonts w:eastAsia="MS Mincho"/>
          <w:bCs/>
          <w:iCs/>
          <w:lang w:val="en-GB" w:eastAsia="de-DE"/>
        </w:rPr>
        <w:t>-day docetaxel treatment cycle.</w:t>
      </w:r>
    </w:p>
    <w:p w:rsidR="00A32C40" w:rsidRDefault="007501C4" w:rsidP="005E52EF">
      <w:pPr>
        <w:pStyle w:val="TextPI"/>
        <w:rPr>
          <w:rFonts w:eastAsia="MS Mincho"/>
          <w:bCs/>
          <w:iCs/>
          <w:lang w:val="en-GB" w:eastAsia="de-DE"/>
        </w:rPr>
      </w:pPr>
      <w:r>
        <w:rPr>
          <w:rFonts w:eastAsia="MS Mincho"/>
          <w:bCs/>
          <w:iCs/>
          <w:lang w:val="en-GB" w:eastAsia="de-DE"/>
        </w:rPr>
        <w:t>VARGATEF</w:t>
      </w:r>
      <w:r w:rsidR="00C968DE" w:rsidRPr="00071E32">
        <w:rPr>
          <w:rFonts w:eastAsia="MS Mincho"/>
          <w:bCs/>
          <w:iCs/>
          <w:lang w:val="en-GB" w:eastAsia="de-DE"/>
        </w:rPr>
        <w:t xml:space="preserve"> must not be taken </w:t>
      </w:r>
      <w:r w:rsidR="00C968DE" w:rsidRPr="00071E32">
        <w:rPr>
          <w:rFonts w:eastAsia="MS Mincho"/>
          <w:bCs/>
          <w:iCs/>
          <w:noProof/>
          <w:lang w:val="en-GB" w:eastAsia="de-DE"/>
        </w:rPr>
        <w:t>o</w:t>
      </w:r>
      <w:r w:rsidR="00C968DE" w:rsidRPr="00071E32">
        <w:rPr>
          <w:rFonts w:eastAsia="MS Mincho"/>
          <w:bCs/>
          <w:iCs/>
          <w:lang w:val="en-GB" w:eastAsia="de-DE"/>
        </w:rPr>
        <w:t>n the same day of docetaxel chemotherapy administration (= day 1).</w:t>
      </w:r>
    </w:p>
    <w:p w:rsidR="00C968DE" w:rsidRPr="00C968DE" w:rsidRDefault="00C968DE" w:rsidP="005E52EF">
      <w:pPr>
        <w:pStyle w:val="TextPI"/>
        <w:rPr>
          <w:lang w:val="en-GB" w:eastAsia="de-DE"/>
        </w:rPr>
      </w:pPr>
      <w:r w:rsidRPr="00C968DE">
        <w:rPr>
          <w:lang w:val="en-GB" w:eastAsia="de-DE"/>
        </w:rPr>
        <w:t>The recommended maximum daily dose of 400 mg should not be exceeded.</w:t>
      </w:r>
    </w:p>
    <w:p w:rsidR="00C968DE" w:rsidRDefault="00C968DE" w:rsidP="005E52EF">
      <w:pPr>
        <w:pStyle w:val="TextPI"/>
        <w:rPr>
          <w:lang w:val="en-GB" w:eastAsia="de-DE"/>
        </w:rPr>
      </w:pPr>
      <w:r w:rsidRPr="00C968DE">
        <w:rPr>
          <w:lang w:val="en-GB" w:eastAsia="de-DE"/>
        </w:rPr>
        <w:t xml:space="preserve">Patients may continue therapy with </w:t>
      </w:r>
      <w:r w:rsidR="007501C4">
        <w:rPr>
          <w:bCs/>
          <w:iCs/>
          <w:lang w:val="en-GB" w:eastAsia="de-DE"/>
        </w:rPr>
        <w:t>VARGATEF</w:t>
      </w:r>
      <w:r w:rsidRPr="00C968DE">
        <w:rPr>
          <w:b/>
          <w:i/>
          <w:iCs/>
          <w:vertAlign w:val="superscript"/>
          <w:lang w:val="en-GB" w:eastAsia="de-DE"/>
        </w:rPr>
        <w:t xml:space="preserve"> </w:t>
      </w:r>
      <w:r w:rsidRPr="00C968DE">
        <w:rPr>
          <w:lang w:val="en-GB" w:eastAsia="de-DE"/>
        </w:rPr>
        <w:t>after discontinuation of docetaxel for as long as clinical benefit is observed or until unacceptable toxicity occurs.</w:t>
      </w:r>
    </w:p>
    <w:p w:rsidR="005E52EF" w:rsidRPr="005E52EF" w:rsidRDefault="005E52EF" w:rsidP="005E52EF">
      <w:pPr>
        <w:pStyle w:val="TextPI"/>
        <w:rPr>
          <w:lang w:eastAsia="de-DE"/>
        </w:rPr>
      </w:pPr>
      <w:r w:rsidRPr="00515ABC">
        <w:t xml:space="preserve">For </w:t>
      </w:r>
      <w:r w:rsidR="002213AE">
        <w:t>dosage</w:t>
      </w:r>
      <w:r w:rsidRPr="00515ABC">
        <w:t>, method of administration and dose modifications of docetaxel, please refer to the corresponding product information for docetaxel.</w:t>
      </w:r>
    </w:p>
    <w:p w:rsidR="00D656D0" w:rsidRPr="004B3131" w:rsidRDefault="00D656D0" w:rsidP="00D656D0">
      <w:pPr>
        <w:pStyle w:val="PIheading2"/>
        <w:rPr>
          <w:i/>
          <w:iCs/>
        </w:rPr>
      </w:pPr>
      <w:r w:rsidRPr="004B3131">
        <w:rPr>
          <w:i/>
          <w:iCs/>
        </w:rPr>
        <w:t xml:space="preserve">IPF: </w:t>
      </w:r>
    </w:p>
    <w:p w:rsidR="00D656D0" w:rsidRDefault="00D656D0" w:rsidP="00D656D0">
      <w:pPr>
        <w:pStyle w:val="TextPI"/>
      </w:pPr>
      <w:r>
        <w:t xml:space="preserve">Treatment with </w:t>
      </w:r>
      <w:r w:rsidR="007501C4">
        <w:t>VARGATEF</w:t>
      </w:r>
      <w:r>
        <w:t xml:space="preserve"> should be initiated by physicians experienced in the diagnosis and treatment of IPF. </w:t>
      </w:r>
    </w:p>
    <w:p w:rsidR="00D656D0" w:rsidRDefault="00D656D0" w:rsidP="00D656D0">
      <w:pPr>
        <w:pStyle w:val="TextPI"/>
      </w:pPr>
      <w:r>
        <w:t xml:space="preserve">The recommended dose of </w:t>
      </w:r>
      <w:r w:rsidR="007501C4">
        <w:t>VARGATEF</w:t>
      </w:r>
      <w:r>
        <w:t xml:space="preserve"> is 150 mg twice daily administered approximately 12 hours apart.</w:t>
      </w:r>
    </w:p>
    <w:p w:rsidR="00D656D0" w:rsidRDefault="00D656D0" w:rsidP="00D656D0">
      <w:pPr>
        <w:pStyle w:val="TextPI"/>
      </w:pPr>
      <w:r w:rsidRPr="00D656D0">
        <w:t>The recommended maximum daily dose of 300 mg should not be exceeded.</w:t>
      </w:r>
    </w:p>
    <w:p w:rsidR="002C4BBC" w:rsidRDefault="002C4BBC" w:rsidP="00B61CB1">
      <w:pPr>
        <w:pStyle w:val="PIheading2"/>
      </w:pPr>
      <w:r>
        <w:lastRenderedPageBreak/>
        <w:t>Dose adjustments</w:t>
      </w:r>
    </w:p>
    <w:p w:rsidR="00D656D0" w:rsidRPr="004B3131" w:rsidRDefault="00D656D0" w:rsidP="00D656D0">
      <w:pPr>
        <w:pStyle w:val="PIheading2"/>
        <w:rPr>
          <w:i/>
          <w:iCs/>
          <w:lang w:val="en-GB" w:eastAsia="de-DE"/>
        </w:rPr>
      </w:pPr>
      <w:r w:rsidRPr="004B3131">
        <w:rPr>
          <w:i/>
          <w:iCs/>
          <w:lang w:val="en-GB" w:eastAsia="de-DE"/>
        </w:rPr>
        <w:t>NSCLC:</w:t>
      </w:r>
    </w:p>
    <w:p w:rsidR="009A6F7E" w:rsidRDefault="001E7CD1" w:rsidP="00BA3740">
      <w:pPr>
        <w:pStyle w:val="TextPI"/>
        <w:rPr>
          <w:lang w:val="en-GB" w:eastAsia="de-DE"/>
        </w:rPr>
      </w:pPr>
      <w:r w:rsidRPr="00182861">
        <w:rPr>
          <w:lang w:val="en-GB" w:eastAsia="de-DE"/>
        </w:rPr>
        <w:t xml:space="preserve">As initial measure for the management of </w:t>
      </w:r>
      <w:r w:rsidR="009A6F7E" w:rsidRPr="00182861">
        <w:rPr>
          <w:lang w:val="en-GB" w:eastAsia="de-DE"/>
        </w:rPr>
        <w:t>adverse reactions</w:t>
      </w:r>
      <w:r w:rsidRPr="00182861">
        <w:rPr>
          <w:lang w:val="en-GB" w:eastAsia="de-DE"/>
        </w:rPr>
        <w:t xml:space="preserve"> (see </w:t>
      </w:r>
      <w:r w:rsidR="00CC7030" w:rsidRPr="00182861">
        <w:rPr>
          <w:bCs/>
          <w:iCs/>
          <w:lang w:val="en-GB" w:eastAsia="de-DE"/>
        </w:rPr>
        <w:t>ADVERSE EFFECTS</w:t>
      </w:r>
      <w:r w:rsidRPr="00182861">
        <w:rPr>
          <w:i/>
          <w:lang w:val="en-GB" w:eastAsia="de-DE"/>
        </w:rPr>
        <w:t>)</w:t>
      </w:r>
      <w:r w:rsidRPr="00182861">
        <w:rPr>
          <w:lang w:val="en-GB" w:eastAsia="de-DE"/>
        </w:rPr>
        <w:t xml:space="preserve"> treatment with </w:t>
      </w:r>
      <w:r w:rsidR="007501C4">
        <w:rPr>
          <w:bCs/>
          <w:iCs/>
          <w:lang w:val="en-GB" w:eastAsia="de-DE"/>
        </w:rPr>
        <w:t>VARGATEF</w:t>
      </w:r>
      <w:r w:rsidRPr="00182861">
        <w:rPr>
          <w:b/>
          <w:i/>
          <w:iCs/>
          <w:vertAlign w:val="superscript"/>
          <w:lang w:val="en-GB" w:eastAsia="de-DE"/>
        </w:rPr>
        <w:t xml:space="preserve"> </w:t>
      </w:r>
      <w:r w:rsidRPr="00182861">
        <w:rPr>
          <w:lang w:val="en-GB" w:eastAsia="de-DE"/>
        </w:rPr>
        <w:t xml:space="preserve">should be temporarily interrupted until the specific adverse reaction has resolved to levels that allow continuation of </w:t>
      </w:r>
      <w:r w:rsidRPr="00645B1C">
        <w:rPr>
          <w:lang w:val="en-GB" w:eastAsia="de-DE"/>
        </w:rPr>
        <w:t>therapy.</w:t>
      </w:r>
      <w:r w:rsidRPr="001E7CD1">
        <w:rPr>
          <w:lang w:val="en-GB" w:eastAsia="de-DE"/>
        </w:rPr>
        <w:t xml:space="preserve"> </w:t>
      </w:r>
      <w:r w:rsidR="00CC7030">
        <w:rPr>
          <w:lang w:val="en-GB" w:eastAsia="de-DE"/>
        </w:rPr>
        <w:t xml:space="preserve"> </w:t>
      </w:r>
      <w:r w:rsidR="007501C4">
        <w:rPr>
          <w:bCs/>
          <w:iCs/>
          <w:lang w:val="en-GB" w:eastAsia="de-DE"/>
        </w:rPr>
        <w:t>VARGATEF</w:t>
      </w:r>
      <w:r w:rsidRPr="001E7CD1">
        <w:rPr>
          <w:b/>
          <w:i/>
          <w:iCs/>
          <w:vertAlign w:val="superscript"/>
          <w:lang w:val="en-GB" w:eastAsia="de-DE"/>
        </w:rPr>
        <w:t xml:space="preserve"> </w:t>
      </w:r>
      <w:r w:rsidRPr="001E7CD1">
        <w:rPr>
          <w:lang w:val="en-GB" w:eastAsia="de-DE"/>
        </w:rPr>
        <w:t>treatment may be resumed at a reduced dose.</w:t>
      </w:r>
      <w:r w:rsidR="00213BEE">
        <w:rPr>
          <w:lang w:val="en-GB" w:eastAsia="de-DE"/>
        </w:rPr>
        <w:t xml:space="preserve"> </w:t>
      </w:r>
      <w:r w:rsidRPr="001E7CD1">
        <w:rPr>
          <w:lang w:val="en-GB" w:eastAsia="de-DE"/>
        </w:rPr>
        <w:t xml:space="preserve"> Dose adjustments in 100 mg steps per day (i.e. a 50 mg reduction per dosing) based on individual safety and tolerability are recommended as described in </w:t>
      </w:r>
      <w:r w:rsidRPr="00645B1C">
        <w:rPr>
          <w:bCs/>
          <w:lang w:val="en-GB" w:eastAsia="de-DE"/>
        </w:rPr>
        <w:t xml:space="preserve">Table </w:t>
      </w:r>
      <w:r w:rsidR="00BC1B62" w:rsidRPr="00645B1C">
        <w:rPr>
          <w:bCs/>
          <w:lang w:val="en-GB" w:eastAsia="de-DE"/>
        </w:rPr>
        <w:t>9</w:t>
      </w:r>
      <w:r w:rsidRPr="00645B1C">
        <w:rPr>
          <w:lang w:val="en-GB" w:eastAsia="de-DE"/>
        </w:rPr>
        <w:t>.</w:t>
      </w:r>
      <w:r w:rsidR="00213BEE">
        <w:rPr>
          <w:lang w:val="en-GB" w:eastAsia="de-DE"/>
        </w:rPr>
        <w:t xml:space="preserve"> </w:t>
      </w:r>
      <w:r w:rsidRPr="001E7CD1">
        <w:rPr>
          <w:lang w:val="en-GB" w:eastAsia="de-DE"/>
        </w:rPr>
        <w:t xml:space="preserve"> </w:t>
      </w:r>
    </w:p>
    <w:p w:rsidR="009A6F7E" w:rsidRPr="00645B1C" w:rsidRDefault="001E7CD1" w:rsidP="00BA3740">
      <w:pPr>
        <w:pStyle w:val="TextPI"/>
        <w:rPr>
          <w:highlight w:val="yellow"/>
          <w:lang w:val="en-GB" w:eastAsia="de-DE"/>
        </w:rPr>
      </w:pPr>
      <w:r w:rsidRPr="001E7CD1">
        <w:rPr>
          <w:lang w:val="en-GB" w:eastAsia="de-DE"/>
        </w:rPr>
        <w:t xml:space="preserve">In case of further persistence of the adverse reaction(s), i.e. if a patient does not tolerate 100 mg twice daily, treatment with </w:t>
      </w:r>
      <w:r w:rsidR="007501C4">
        <w:rPr>
          <w:bCs/>
          <w:iCs/>
          <w:lang w:val="en-GB" w:eastAsia="de-DE"/>
        </w:rPr>
        <w:t>VARGATEF</w:t>
      </w:r>
      <w:r w:rsidRPr="001E7CD1">
        <w:rPr>
          <w:b/>
          <w:i/>
          <w:iCs/>
          <w:vertAlign w:val="superscript"/>
          <w:lang w:val="en-GB" w:eastAsia="de-DE"/>
        </w:rPr>
        <w:t xml:space="preserve"> </w:t>
      </w:r>
      <w:r w:rsidRPr="00645B1C">
        <w:rPr>
          <w:lang w:val="en-GB" w:eastAsia="de-DE"/>
        </w:rPr>
        <w:t xml:space="preserve">should be </w:t>
      </w:r>
      <w:r w:rsidR="009A6F7E" w:rsidRPr="00645B1C">
        <w:rPr>
          <w:lang w:val="en-GB" w:eastAsia="de-DE"/>
        </w:rPr>
        <w:t>permanently</w:t>
      </w:r>
      <w:r w:rsidR="009A6F7E">
        <w:rPr>
          <w:lang w:val="en-GB" w:eastAsia="de-DE"/>
        </w:rPr>
        <w:t xml:space="preserve"> </w:t>
      </w:r>
      <w:r w:rsidRPr="001E7CD1">
        <w:rPr>
          <w:lang w:val="en-GB" w:eastAsia="de-DE"/>
        </w:rPr>
        <w:t>discontinued.</w:t>
      </w:r>
    </w:p>
    <w:p w:rsidR="001E7CD1" w:rsidRPr="003D0546" w:rsidRDefault="00213BEE" w:rsidP="008B36FC">
      <w:pPr>
        <w:keepNext/>
        <w:keepLines/>
        <w:tabs>
          <w:tab w:val="num" w:pos="1134"/>
        </w:tabs>
        <w:spacing w:before="180" w:after="180"/>
        <w:ind w:left="1122" w:hanging="1122"/>
        <w:jc w:val="both"/>
        <w:outlineLvl w:val="5"/>
        <w:rPr>
          <w:rFonts w:ascii="Arial" w:hAnsi="Arial" w:cs="Arial"/>
          <w:b/>
          <w:bCs/>
          <w:sz w:val="20"/>
          <w:lang w:val="en-US"/>
        </w:rPr>
      </w:pPr>
      <w:r w:rsidRPr="003D0546">
        <w:rPr>
          <w:rFonts w:ascii="Arial" w:hAnsi="Arial" w:cs="Arial"/>
          <w:b/>
          <w:bCs/>
          <w:sz w:val="20"/>
          <w:lang w:val="en-US"/>
        </w:rPr>
        <w:t xml:space="preserve">Table </w:t>
      </w:r>
      <w:r w:rsidR="00BC1B62">
        <w:rPr>
          <w:rFonts w:ascii="Arial" w:hAnsi="Arial" w:cs="Arial"/>
          <w:b/>
          <w:bCs/>
          <w:sz w:val="20"/>
          <w:lang w:val="en-US"/>
        </w:rPr>
        <w:t>9</w:t>
      </w:r>
      <w:r w:rsidR="008C28BB" w:rsidRPr="003D0546">
        <w:rPr>
          <w:rFonts w:ascii="Arial" w:hAnsi="Arial" w:cs="Arial"/>
          <w:b/>
          <w:bCs/>
          <w:sz w:val="20"/>
          <w:lang w:val="en-US"/>
        </w:rPr>
        <w:t>:</w:t>
      </w:r>
      <w:r w:rsidR="008C28BB" w:rsidRPr="003D0546">
        <w:rPr>
          <w:rFonts w:ascii="Arial" w:hAnsi="Arial" w:cs="Arial"/>
          <w:b/>
          <w:bCs/>
          <w:sz w:val="20"/>
          <w:lang w:val="en-US"/>
        </w:rPr>
        <w:tab/>
      </w:r>
      <w:r w:rsidR="001E7CD1" w:rsidRPr="003D0546">
        <w:rPr>
          <w:rFonts w:ascii="Arial" w:hAnsi="Arial" w:cs="Arial"/>
          <w:b/>
          <w:bCs/>
          <w:sz w:val="20"/>
          <w:lang w:val="en-US"/>
        </w:rPr>
        <w:t xml:space="preserve">Recommended dose adjustments for </w:t>
      </w:r>
      <w:r w:rsidR="007501C4">
        <w:rPr>
          <w:rFonts w:ascii="Arial" w:hAnsi="Arial" w:cs="Arial"/>
          <w:b/>
          <w:bCs/>
          <w:iCs/>
          <w:sz w:val="20"/>
          <w:lang w:val="en-US"/>
        </w:rPr>
        <w:t>VARGATEF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1E7CD1" w:rsidRPr="003D0546" w:rsidTr="007E556F">
        <w:tc>
          <w:tcPr>
            <w:tcW w:w="4606" w:type="dxa"/>
            <w:shd w:val="clear" w:color="auto" w:fill="auto"/>
          </w:tcPr>
          <w:p w:rsidR="001E7CD1" w:rsidRPr="003D0546" w:rsidRDefault="001E7CD1" w:rsidP="003D0546">
            <w:pPr>
              <w:spacing w:before="60" w:after="60"/>
              <w:jc w:val="center"/>
              <w:rPr>
                <w:rFonts w:ascii="Arial" w:hAnsi="Arial" w:cs="Arial"/>
                <w:b/>
                <w:sz w:val="20"/>
                <w:lang w:val="en-GB" w:eastAsia="de-DE"/>
              </w:rPr>
            </w:pPr>
            <w:r w:rsidRPr="003D0546">
              <w:rPr>
                <w:rFonts w:ascii="Arial" w:hAnsi="Arial" w:cs="Arial"/>
                <w:b/>
                <w:sz w:val="20"/>
                <w:lang w:val="en-GB" w:eastAsia="de-DE"/>
              </w:rPr>
              <w:t>CTCAE* Adverse reaction</w:t>
            </w:r>
          </w:p>
        </w:tc>
        <w:tc>
          <w:tcPr>
            <w:tcW w:w="4606" w:type="dxa"/>
            <w:shd w:val="clear" w:color="auto" w:fill="auto"/>
          </w:tcPr>
          <w:p w:rsidR="001E7CD1" w:rsidRPr="003D0546" w:rsidRDefault="001E7CD1" w:rsidP="003D0546">
            <w:pPr>
              <w:spacing w:before="60" w:after="60"/>
              <w:jc w:val="center"/>
              <w:rPr>
                <w:rFonts w:ascii="Arial" w:hAnsi="Arial" w:cs="Arial"/>
                <w:b/>
                <w:sz w:val="20"/>
                <w:lang w:val="en-GB" w:eastAsia="de-DE"/>
              </w:rPr>
            </w:pPr>
            <w:r w:rsidRPr="003D0546">
              <w:rPr>
                <w:rFonts w:ascii="Arial" w:hAnsi="Arial" w:cs="Arial"/>
                <w:b/>
                <w:sz w:val="20"/>
                <w:lang w:val="en-GB" w:eastAsia="de-DE"/>
              </w:rPr>
              <w:t>Dose adjustment</w:t>
            </w:r>
          </w:p>
        </w:tc>
      </w:tr>
      <w:tr w:rsidR="001E7CD1" w:rsidRPr="003D0546" w:rsidTr="007E556F">
        <w:tc>
          <w:tcPr>
            <w:tcW w:w="4606" w:type="dxa"/>
            <w:shd w:val="clear" w:color="auto" w:fill="auto"/>
          </w:tcPr>
          <w:p w:rsidR="001E7CD1" w:rsidRPr="003D0546" w:rsidRDefault="001E7CD1" w:rsidP="001E7CD1">
            <w:pPr>
              <w:autoSpaceDE w:val="0"/>
              <w:autoSpaceDN w:val="0"/>
              <w:adjustRightInd w:val="0"/>
              <w:spacing w:beforeLines="40" w:before="96" w:afterLines="20" w:after="48"/>
              <w:jc w:val="both"/>
              <w:rPr>
                <w:rFonts w:ascii="Arial" w:eastAsia="MS Mincho" w:hAnsi="Arial" w:cs="Arial"/>
                <w:sz w:val="20"/>
                <w:lang w:val="en-GB" w:eastAsia="ja-JP"/>
              </w:rPr>
            </w:pPr>
            <w:r w:rsidRPr="003D0546">
              <w:rPr>
                <w:rFonts w:ascii="Arial" w:eastAsia="MS Mincho" w:hAnsi="Arial" w:cs="Arial"/>
                <w:sz w:val="20"/>
                <w:lang w:val="en-GB" w:eastAsia="ja-JP"/>
              </w:rPr>
              <w:t xml:space="preserve">Diarrhoea </w:t>
            </w:r>
            <w:r w:rsidR="008B36FC" w:rsidRPr="004279BC">
              <w:rPr>
                <w:rFonts w:ascii="Arial" w:eastAsia="MS Mincho" w:hAnsi="Arial" w:cs="Arial"/>
                <w:sz w:val="20"/>
                <w:lang w:val="en-GB" w:eastAsia="ja-JP"/>
              </w:rPr>
              <w:t>equal to</w:t>
            </w:r>
            <w:r w:rsidR="008B36FC" w:rsidRPr="003D0546">
              <w:rPr>
                <w:rFonts w:ascii="Arial" w:eastAsia="MS Mincho" w:hAnsi="Arial" w:cs="Arial"/>
                <w:sz w:val="20"/>
                <w:lang w:val="en-GB" w:eastAsia="ja-JP"/>
              </w:rPr>
              <w:t xml:space="preserve"> </w:t>
            </w:r>
            <w:r w:rsidRPr="003D0546">
              <w:rPr>
                <w:rFonts w:ascii="Arial" w:eastAsia="MS Mincho" w:hAnsi="Arial" w:cs="Arial"/>
                <w:sz w:val="20"/>
                <w:lang w:val="en-GB" w:eastAsia="ja-JP"/>
              </w:rPr>
              <w:t>grade 2 for more than 7 consecutive days despi</w:t>
            </w:r>
            <w:r w:rsidR="003D0546">
              <w:rPr>
                <w:rFonts w:ascii="Arial" w:eastAsia="MS Mincho" w:hAnsi="Arial" w:cs="Arial"/>
                <w:sz w:val="20"/>
                <w:lang w:val="en-GB" w:eastAsia="ja-JP"/>
              </w:rPr>
              <w:t>te anti-diarrhoeal treatment**</w:t>
            </w:r>
          </w:p>
          <w:p w:rsidR="001E7CD1" w:rsidRPr="003D0546" w:rsidRDefault="001E7CD1" w:rsidP="001E7CD1">
            <w:pPr>
              <w:autoSpaceDE w:val="0"/>
              <w:autoSpaceDN w:val="0"/>
              <w:adjustRightInd w:val="0"/>
              <w:spacing w:beforeLines="40" w:before="96" w:afterLines="20" w:after="48"/>
              <w:jc w:val="both"/>
              <w:rPr>
                <w:rFonts w:ascii="Arial" w:eastAsia="MS Mincho" w:hAnsi="Arial" w:cs="Arial"/>
                <w:b/>
                <w:i/>
                <w:sz w:val="20"/>
                <w:lang w:val="en-GB" w:eastAsia="ja-JP"/>
              </w:rPr>
            </w:pPr>
            <w:r w:rsidRPr="003D0546">
              <w:rPr>
                <w:rFonts w:ascii="Arial" w:eastAsia="MS Mincho" w:hAnsi="Arial" w:cs="Arial"/>
                <w:b/>
                <w:i/>
                <w:sz w:val="20"/>
                <w:lang w:val="en-GB" w:eastAsia="ja-JP"/>
              </w:rPr>
              <w:t>OR</w:t>
            </w:r>
          </w:p>
          <w:p w:rsidR="001E7CD1" w:rsidRPr="003D0546" w:rsidRDefault="008B36FC" w:rsidP="001E7CD1">
            <w:pPr>
              <w:jc w:val="both"/>
              <w:rPr>
                <w:rFonts w:ascii="Arial" w:eastAsia="MS Mincho" w:hAnsi="Arial" w:cs="Arial"/>
                <w:sz w:val="20"/>
                <w:lang w:val="en-GB" w:eastAsia="ja-JP"/>
              </w:rPr>
            </w:pPr>
            <w:r>
              <w:rPr>
                <w:rFonts w:ascii="Arial" w:eastAsia="MS Mincho" w:hAnsi="Arial" w:cs="Arial"/>
                <w:sz w:val="20"/>
                <w:lang w:val="en-GB" w:eastAsia="ja-JP"/>
              </w:rPr>
              <w:t>D</w:t>
            </w:r>
            <w:r w:rsidR="001E7CD1" w:rsidRPr="003D0546">
              <w:rPr>
                <w:rFonts w:ascii="Arial" w:eastAsia="MS Mincho" w:hAnsi="Arial" w:cs="Arial"/>
                <w:sz w:val="20"/>
                <w:lang w:val="en-GB" w:eastAsia="ja-JP"/>
              </w:rPr>
              <w:t xml:space="preserve">iarrhoea </w:t>
            </w:r>
            <w:r w:rsidR="001E7CD1" w:rsidRPr="003D0546">
              <w:rPr>
                <w:rFonts w:ascii="Arial" w:eastAsia="MS Mincho" w:hAnsi="Arial" w:cs="Arial"/>
                <w:sz w:val="20"/>
                <w:u w:val="single"/>
                <w:lang w:val="en-GB" w:eastAsia="ja-JP"/>
              </w:rPr>
              <w:t>&gt;</w:t>
            </w:r>
            <w:r w:rsidR="001E7CD1" w:rsidRPr="003D0546">
              <w:rPr>
                <w:rFonts w:ascii="Arial" w:eastAsia="MS Mincho" w:hAnsi="Arial" w:cs="Arial"/>
                <w:sz w:val="20"/>
                <w:lang w:val="en-GB" w:eastAsia="ja-JP"/>
              </w:rPr>
              <w:t xml:space="preserve"> grade 3</w:t>
            </w:r>
          </w:p>
          <w:p w:rsidR="001E7CD1" w:rsidRPr="003D0546" w:rsidRDefault="001E7CD1" w:rsidP="001E7CD1">
            <w:pPr>
              <w:spacing w:after="120"/>
              <w:jc w:val="both"/>
              <w:rPr>
                <w:rFonts w:ascii="Arial" w:hAnsi="Arial" w:cs="Arial"/>
                <w:sz w:val="20"/>
                <w:lang w:val="en-GB" w:eastAsia="de-DE"/>
              </w:rPr>
            </w:pPr>
            <w:r w:rsidRPr="003D0546">
              <w:rPr>
                <w:rFonts w:ascii="Arial" w:eastAsia="MS Mincho" w:hAnsi="Arial" w:cs="Arial"/>
                <w:sz w:val="20"/>
                <w:lang w:val="en-GB" w:eastAsia="ja-JP"/>
              </w:rPr>
              <w:t>despite anti-diarrhoeal treatment**</w:t>
            </w:r>
          </w:p>
        </w:tc>
        <w:tc>
          <w:tcPr>
            <w:tcW w:w="4606" w:type="dxa"/>
            <w:vMerge w:val="restart"/>
            <w:shd w:val="clear" w:color="auto" w:fill="auto"/>
          </w:tcPr>
          <w:p w:rsidR="001E7CD1" w:rsidRPr="003D0546" w:rsidRDefault="001E7CD1" w:rsidP="001E7CD1">
            <w:pPr>
              <w:jc w:val="both"/>
              <w:rPr>
                <w:rFonts w:ascii="Arial" w:hAnsi="Arial" w:cs="Arial"/>
                <w:sz w:val="20"/>
                <w:lang w:val="en-GB" w:eastAsia="de-DE"/>
              </w:rPr>
            </w:pPr>
          </w:p>
          <w:p w:rsidR="001E7CD1" w:rsidRPr="003D0546" w:rsidRDefault="001E7CD1" w:rsidP="001E7CD1">
            <w:pPr>
              <w:jc w:val="both"/>
              <w:rPr>
                <w:rFonts w:ascii="Arial" w:hAnsi="Arial" w:cs="Arial"/>
                <w:sz w:val="20"/>
                <w:lang w:val="en-GB" w:eastAsia="de-DE"/>
              </w:rPr>
            </w:pPr>
          </w:p>
          <w:p w:rsidR="001E7CD1" w:rsidRPr="003D0546" w:rsidRDefault="001E7CD1" w:rsidP="001E7CD1">
            <w:pPr>
              <w:jc w:val="both"/>
              <w:rPr>
                <w:rFonts w:ascii="Arial" w:hAnsi="Arial" w:cs="Arial"/>
                <w:sz w:val="20"/>
                <w:lang w:val="en-GB" w:eastAsia="de-DE"/>
              </w:rPr>
            </w:pPr>
          </w:p>
          <w:p w:rsidR="001E7CD1" w:rsidRPr="003D0546" w:rsidRDefault="001E7CD1" w:rsidP="001E7CD1">
            <w:pPr>
              <w:jc w:val="both"/>
              <w:rPr>
                <w:rFonts w:ascii="Arial" w:hAnsi="Arial" w:cs="Arial"/>
                <w:sz w:val="20"/>
                <w:lang w:val="en-GB" w:eastAsia="de-DE"/>
              </w:rPr>
            </w:pPr>
          </w:p>
          <w:p w:rsidR="001E7CD1" w:rsidRPr="003D0546" w:rsidRDefault="001E7CD1" w:rsidP="001E7CD1">
            <w:pPr>
              <w:jc w:val="both"/>
              <w:rPr>
                <w:rFonts w:ascii="Arial" w:hAnsi="Arial" w:cs="Arial"/>
                <w:sz w:val="20"/>
                <w:lang w:val="en-GB" w:eastAsia="de-DE"/>
              </w:rPr>
            </w:pPr>
          </w:p>
          <w:p w:rsidR="001E7CD1" w:rsidRPr="003D0546" w:rsidRDefault="001E7CD1" w:rsidP="001E7CD1">
            <w:pPr>
              <w:jc w:val="both"/>
              <w:rPr>
                <w:rFonts w:ascii="Arial" w:hAnsi="Arial" w:cs="Arial"/>
                <w:sz w:val="20"/>
                <w:lang w:val="en-GB" w:eastAsia="de-DE"/>
              </w:rPr>
            </w:pPr>
          </w:p>
          <w:p w:rsidR="001E7CD1" w:rsidRPr="003D0546" w:rsidRDefault="001E7CD1" w:rsidP="001E7CD1">
            <w:pPr>
              <w:jc w:val="both"/>
              <w:rPr>
                <w:rFonts w:ascii="Arial" w:hAnsi="Arial" w:cs="Arial"/>
                <w:sz w:val="20"/>
                <w:lang w:val="en-GB" w:eastAsia="de-DE"/>
              </w:rPr>
            </w:pPr>
          </w:p>
          <w:p w:rsidR="001E7CD1" w:rsidRPr="003D0546" w:rsidRDefault="001E7CD1" w:rsidP="001E7CD1">
            <w:pPr>
              <w:jc w:val="both"/>
              <w:rPr>
                <w:rFonts w:ascii="Arial" w:hAnsi="Arial" w:cs="Arial"/>
                <w:sz w:val="20"/>
                <w:lang w:val="en-GB" w:eastAsia="de-DE"/>
              </w:rPr>
            </w:pPr>
          </w:p>
          <w:p w:rsidR="001E7CD1" w:rsidRPr="003D0546" w:rsidRDefault="001E7CD1" w:rsidP="008B36FC">
            <w:pPr>
              <w:ind w:left="72"/>
              <w:jc w:val="both"/>
              <w:rPr>
                <w:rFonts w:ascii="Arial" w:hAnsi="Arial" w:cs="Arial"/>
                <w:sz w:val="20"/>
                <w:lang w:val="en-GB" w:eastAsia="de-DE"/>
              </w:rPr>
            </w:pPr>
            <w:r w:rsidRPr="0018275E">
              <w:rPr>
                <w:rFonts w:ascii="Arial" w:hAnsi="Arial" w:cs="Arial"/>
                <w:sz w:val="20"/>
                <w:lang w:val="en-GB" w:eastAsia="de-DE"/>
              </w:rPr>
              <w:t>Reduce dose</w:t>
            </w:r>
            <w:r w:rsidRPr="003D0546">
              <w:rPr>
                <w:rFonts w:ascii="Arial" w:hAnsi="Arial" w:cs="Arial"/>
                <w:sz w:val="20"/>
                <w:lang w:val="en-GB" w:eastAsia="de-DE"/>
              </w:rPr>
              <w:t xml:space="preserve"> from 200 mg twice daily to 150 mg twice daily and – if a 2</w:t>
            </w:r>
            <w:r w:rsidRPr="003D0546">
              <w:rPr>
                <w:rFonts w:ascii="Arial" w:hAnsi="Arial" w:cs="Arial"/>
                <w:sz w:val="20"/>
                <w:vertAlign w:val="superscript"/>
                <w:lang w:val="en-GB" w:eastAsia="de-DE"/>
              </w:rPr>
              <w:t>nd</w:t>
            </w:r>
            <w:r w:rsidRPr="003D0546">
              <w:rPr>
                <w:rFonts w:ascii="Arial" w:hAnsi="Arial" w:cs="Arial"/>
                <w:sz w:val="20"/>
                <w:lang w:val="en-GB" w:eastAsia="de-DE"/>
              </w:rPr>
              <w:t xml:space="preserve"> dose reduction is considered necessary - from 150 mg twice daily to 100 mg twice daily.</w:t>
            </w:r>
          </w:p>
        </w:tc>
      </w:tr>
      <w:tr w:rsidR="001E7CD1" w:rsidRPr="003D0546" w:rsidTr="007E556F">
        <w:tc>
          <w:tcPr>
            <w:tcW w:w="4606" w:type="dxa"/>
            <w:shd w:val="clear" w:color="auto" w:fill="auto"/>
          </w:tcPr>
          <w:p w:rsidR="001E7CD1" w:rsidRPr="003D0546" w:rsidRDefault="001E7CD1" w:rsidP="001E7CD1">
            <w:pPr>
              <w:autoSpaceDE w:val="0"/>
              <w:autoSpaceDN w:val="0"/>
              <w:adjustRightInd w:val="0"/>
              <w:spacing w:beforeLines="40" w:before="96" w:afterLines="20" w:after="48"/>
              <w:jc w:val="both"/>
              <w:rPr>
                <w:rFonts w:ascii="Arial" w:eastAsia="MS Mincho" w:hAnsi="Arial" w:cs="Arial"/>
                <w:sz w:val="20"/>
                <w:lang w:val="en-GB" w:eastAsia="ja-JP"/>
              </w:rPr>
            </w:pPr>
            <w:r w:rsidRPr="003D0546">
              <w:rPr>
                <w:rFonts w:ascii="Arial" w:eastAsia="MS Mincho" w:hAnsi="Arial" w:cs="Arial"/>
                <w:sz w:val="20"/>
                <w:lang w:val="en-GB" w:eastAsia="ja-JP"/>
              </w:rPr>
              <w:t xml:space="preserve">Vomiting ** </w:t>
            </w:r>
            <w:r w:rsidRPr="003D0546">
              <w:rPr>
                <w:rFonts w:ascii="Arial" w:eastAsia="MS Mincho" w:hAnsi="Arial" w:cs="Arial"/>
                <w:sz w:val="20"/>
                <w:u w:val="single"/>
                <w:lang w:val="en-GB" w:eastAsia="ja-JP"/>
              </w:rPr>
              <w:t>&gt;</w:t>
            </w:r>
            <w:r w:rsidR="003D0546">
              <w:rPr>
                <w:rFonts w:ascii="Arial" w:eastAsia="MS Mincho" w:hAnsi="Arial" w:cs="Arial"/>
                <w:sz w:val="20"/>
                <w:lang w:val="en-GB" w:eastAsia="ja-JP"/>
              </w:rPr>
              <w:t xml:space="preserve"> grade 2</w:t>
            </w:r>
          </w:p>
          <w:p w:rsidR="001E7CD1" w:rsidRPr="003D0546" w:rsidRDefault="001E7CD1" w:rsidP="001E7CD1">
            <w:pPr>
              <w:autoSpaceDE w:val="0"/>
              <w:autoSpaceDN w:val="0"/>
              <w:adjustRightInd w:val="0"/>
              <w:spacing w:beforeLines="40" w:before="96" w:afterLines="20" w:after="48"/>
              <w:jc w:val="both"/>
              <w:rPr>
                <w:rFonts w:ascii="Arial" w:eastAsia="MS Mincho" w:hAnsi="Arial" w:cs="Arial"/>
                <w:b/>
                <w:i/>
                <w:sz w:val="20"/>
                <w:lang w:val="en-GB" w:eastAsia="ja-JP"/>
              </w:rPr>
            </w:pPr>
            <w:r w:rsidRPr="003D0546">
              <w:rPr>
                <w:rFonts w:ascii="Arial" w:eastAsia="MS Mincho" w:hAnsi="Arial" w:cs="Arial"/>
                <w:b/>
                <w:i/>
                <w:sz w:val="20"/>
                <w:lang w:val="en-GB" w:eastAsia="ja-JP"/>
              </w:rPr>
              <w:t>AND/OR</w:t>
            </w:r>
          </w:p>
          <w:p w:rsidR="001E7CD1" w:rsidRPr="003D0546" w:rsidRDefault="001E7CD1" w:rsidP="001E7CD1">
            <w:pPr>
              <w:jc w:val="both"/>
              <w:rPr>
                <w:rFonts w:ascii="Arial" w:eastAsia="MS Mincho" w:hAnsi="Arial" w:cs="Arial"/>
                <w:sz w:val="20"/>
                <w:lang w:val="en-GB" w:eastAsia="ja-JP"/>
              </w:rPr>
            </w:pPr>
            <w:r w:rsidRPr="003D0546">
              <w:rPr>
                <w:rFonts w:ascii="Arial" w:eastAsia="MS Mincho" w:hAnsi="Arial" w:cs="Arial"/>
                <w:sz w:val="20"/>
                <w:lang w:val="en-GB" w:eastAsia="ja-JP"/>
              </w:rPr>
              <w:t xml:space="preserve">Nausea </w:t>
            </w:r>
            <w:r w:rsidRPr="003D0546">
              <w:rPr>
                <w:rFonts w:ascii="Arial" w:eastAsia="MS Mincho" w:hAnsi="Arial" w:cs="Arial"/>
                <w:sz w:val="20"/>
                <w:u w:val="single"/>
                <w:lang w:val="en-GB" w:eastAsia="ja-JP"/>
              </w:rPr>
              <w:t>&gt;</w:t>
            </w:r>
            <w:r w:rsidR="003D0546">
              <w:rPr>
                <w:rFonts w:ascii="Arial" w:eastAsia="MS Mincho" w:hAnsi="Arial" w:cs="Arial"/>
                <w:sz w:val="20"/>
                <w:lang w:val="en-GB" w:eastAsia="ja-JP"/>
              </w:rPr>
              <w:t xml:space="preserve"> grade 3</w:t>
            </w:r>
          </w:p>
          <w:p w:rsidR="001E7CD1" w:rsidRPr="003D0546" w:rsidRDefault="001E7CD1" w:rsidP="001E7CD1">
            <w:pPr>
              <w:spacing w:after="120"/>
              <w:jc w:val="both"/>
              <w:rPr>
                <w:rFonts w:ascii="Arial" w:eastAsia="MS Mincho" w:hAnsi="Arial" w:cs="Arial"/>
                <w:sz w:val="20"/>
                <w:lang w:val="en-GB" w:eastAsia="ja-JP"/>
              </w:rPr>
            </w:pPr>
            <w:r w:rsidRPr="003D0546">
              <w:rPr>
                <w:rFonts w:ascii="Arial" w:eastAsia="MS Mincho" w:hAnsi="Arial" w:cs="Arial"/>
                <w:sz w:val="20"/>
                <w:lang w:val="en-GB" w:eastAsia="ja-JP"/>
              </w:rPr>
              <w:t>despite anti-emetic treatment**</w:t>
            </w:r>
          </w:p>
        </w:tc>
        <w:tc>
          <w:tcPr>
            <w:tcW w:w="4606" w:type="dxa"/>
            <w:vMerge/>
            <w:shd w:val="clear" w:color="auto" w:fill="auto"/>
          </w:tcPr>
          <w:p w:rsidR="001E7CD1" w:rsidRPr="003D0546" w:rsidRDefault="001E7CD1" w:rsidP="001E7CD1">
            <w:pPr>
              <w:jc w:val="both"/>
              <w:rPr>
                <w:rFonts w:ascii="Arial" w:hAnsi="Arial" w:cs="Arial"/>
                <w:sz w:val="20"/>
                <w:lang w:val="en-GB" w:eastAsia="de-DE"/>
              </w:rPr>
            </w:pPr>
          </w:p>
        </w:tc>
      </w:tr>
      <w:tr w:rsidR="001E7CD1" w:rsidRPr="003D0546" w:rsidTr="007E556F">
        <w:tc>
          <w:tcPr>
            <w:tcW w:w="4606" w:type="dxa"/>
            <w:shd w:val="clear" w:color="auto" w:fill="auto"/>
          </w:tcPr>
          <w:p w:rsidR="001E7CD1" w:rsidRPr="00FA24AE" w:rsidRDefault="001E7CD1" w:rsidP="001E7CD1">
            <w:pPr>
              <w:spacing w:before="120"/>
              <w:jc w:val="both"/>
              <w:rPr>
                <w:rFonts w:ascii="Arial" w:eastAsia="MS Mincho" w:hAnsi="Arial" w:cs="Arial"/>
                <w:sz w:val="20"/>
                <w:lang w:val="en-GB" w:eastAsia="ja-JP"/>
              </w:rPr>
            </w:pPr>
            <w:r w:rsidRPr="00FA24AE">
              <w:rPr>
                <w:rFonts w:ascii="Arial" w:eastAsia="MS Mincho" w:hAnsi="Arial" w:cs="Arial"/>
                <w:sz w:val="20"/>
                <w:lang w:val="en-GB" w:eastAsia="ja-JP"/>
              </w:rPr>
              <w:t xml:space="preserve">AST and/or ALT elevations grade 2 in conjunction with bilirubin of  </w:t>
            </w:r>
            <w:r w:rsidRPr="00FA24AE">
              <w:rPr>
                <w:rFonts w:ascii="Arial" w:eastAsia="MS Mincho" w:hAnsi="Arial" w:cs="Arial"/>
                <w:sz w:val="20"/>
                <w:u w:val="single"/>
                <w:lang w:val="en-GB" w:eastAsia="ja-JP"/>
              </w:rPr>
              <w:t>&gt;</w:t>
            </w:r>
            <w:r w:rsidRPr="00FA24AE">
              <w:rPr>
                <w:rFonts w:ascii="Arial" w:eastAsia="MS Mincho" w:hAnsi="Arial" w:cs="Arial"/>
                <w:sz w:val="20"/>
                <w:lang w:val="en-GB" w:eastAsia="ja-JP"/>
              </w:rPr>
              <w:t xml:space="preserve"> grade 1</w:t>
            </w:r>
          </w:p>
          <w:p w:rsidR="001E7CD1" w:rsidRPr="00FA24AE" w:rsidRDefault="001E7CD1" w:rsidP="00FA24AE">
            <w:pPr>
              <w:tabs>
                <w:tab w:val="center" w:pos="2195"/>
              </w:tabs>
              <w:autoSpaceDE w:val="0"/>
              <w:autoSpaceDN w:val="0"/>
              <w:adjustRightInd w:val="0"/>
              <w:spacing w:beforeLines="40" w:before="96" w:afterLines="20" w:after="48"/>
              <w:jc w:val="both"/>
              <w:rPr>
                <w:rFonts w:ascii="Arial" w:eastAsia="MS Mincho" w:hAnsi="Arial" w:cs="Arial"/>
                <w:b/>
                <w:i/>
                <w:sz w:val="20"/>
                <w:lang w:val="en-GB" w:eastAsia="ja-JP"/>
              </w:rPr>
            </w:pPr>
            <w:r w:rsidRPr="00FA24AE">
              <w:rPr>
                <w:rFonts w:ascii="Arial" w:eastAsia="MS Mincho" w:hAnsi="Arial" w:cs="Arial"/>
                <w:b/>
                <w:i/>
                <w:sz w:val="20"/>
                <w:lang w:val="en-GB" w:eastAsia="ja-JP"/>
              </w:rPr>
              <w:t>OR</w:t>
            </w:r>
          </w:p>
          <w:p w:rsidR="001E7CD1" w:rsidRPr="00FA24AE" w:rsidRDefault="001E7CD1" w:rsidP="001E7CD1">
            <w:pPr>
              <w:spacing w:after="120"/>
              <w:jc w:val="both"/>
              <w:rPr>
                <w:rFonts w:ascii="Arial" w:eastAsia="MS Mincho" w:hAnsi="Arial" w:cs="Arial"/>
                <w:sz w:val="20"/>
                <w:lang w:val="en-GB" w:eastAsia="ja-JP"/>
              </w:rPr>
            </w:pPr>
            <w:r w:rsidRPr="00FA24AE">
              <w:rPr>
                <w:rFonts w:ascii="Arial" w:eastAsia="MS Mincho" w:hAnsi="Arial" w:cs="Arial"/>
                <w:sz w:val="20"/>
                <w:lang w:val="en-GB" w:eastAsia="ja-JP"/>
              </w:rPr>
              <w:t xml:space="preserve">AST and/or ALT elevations of </w:t>
            </w:r>
            <w:r w:rsidRPr="00FA24AE">
              <w:rPr>
                <w:rFonts w:ascii="Arial" w:eastAsia="MS Mincho" w:hAnsi="Arial" w:cs="Arial"/>
                <w:sz w:val="20"/>
                <w:u w:val="single"/>
                <w:lang w:val="en-GB" w:eastAsia="ja-JP"/>
              </w:rPr>
              <w:t>&gt;</w:t>
            </w:r>
            <w:r w:rsidRPr="00FA24AE">
              <w:rPr>
                <w:rFonts w:ascii="Arial" w:eastAsia="MS Mincho" w:hAnsi="Arial" w:cs="Arial"/>
                <w:sz w:val="20"/>
                <w:lang w:val="en-GB" w:eastAsia="ja-JP"/>
              </w:rPr>
              <w:t xml:space="preserve"> grade 3</w:t>
            </w:r>
          </w:p>
        </w:tc>
        <w:tc>
          <w:tcPr>
            <w:tcW w:w="4606" w:type="dxa"/>
            <w:vMerge/>
            <w:shd w:val="clear" w:color="auto" w:fill="auto"/>
          </w:tcPr>
          <w:p w:rsidR="001E7CD1" w:rsidRPr="003D0546" w:rsidRDefault="001E7CD1" w:rsidP="001E7CD1">
            <w:pPr>
              <w:jc w:val="both"/>
              <w:rPr>
                <w:rFonts w:ascii="Arial" w:hAnsi="Arial" w:cs="Arial"/>
                <w:sz w:val="20"/>
                <w:lang w:val="en-GB" w:eastAsia="de-DE"/>
              </w:rPr>
            </w:pPr>
          </w:p>
        </w:tc>
      </w:tr>
      <w:tr w:rsidR="001E7CD1" w:rsidRPr="003D0546" w:rsidTr="007E556F">
        <w:tc>
          <w:tcPr>
            <w:tcW w:w="4606" w:type="dxa"/>
            <w:shd w:val="clear" w:color="auto" w:fill="auto"/>
          </w:tcPr>
          <w:p w:rsidR="001E7CD1" w:rsidRPr="003D0546" w:rsidRDefault="001E7CD1" w:rsidP="001E7CD1">
            <w:pPr>
              <w:spacing w:before="120" w:after="120"/>
              <w:jc w:val="both"/>
              <w:rPr>
                <w:rFonts w:ascii="Arial" w:hAnsi="Arial" w:cs="Arial"/>
                <w:sz w:val="20"/>
                <w:lang w:val="en-GB" w:eastAsia="de-DE"/>
              </w:rPr>
            </w:pPr>
            <w:r w:rsidRPr="003D0546">
              <w:rPr>
                <w:rFonts w:ascii="Arial" w:hAnsi="Arial" w:cs="Arial"/>
                <w:sz w:val="20"/>
                <w:lang w:val="en-GB" w:eastAsia="de-DE"/>
              </w:rPr>
              <w:t xml:space="preserve">Other non-haematological or haematological adverse reaction of </w:t>
            </w:r>
            <w:r w:rsidRPr="003D0546">
              <w:rPr>
                <w:rFonts w:ascii="Arial" w:hAnsi="Arial" w:cs="Arial"/>
                <w:sz w:val="20"/>
                <w:u w:val="single"/>
                <w:lang w:val="en-GB" w:eastAsia="de-DE"/>
              </w:rPr>
              <w:t>&gt;</w:t>
            </w:r>
            <w:r w:rsidRPr="003D0546">
              <w:rPr>
                <w:rFonts w:ascii="Arial" w:hAnsi="Arial" w:cs="Arial"/>
                <w:sz w:val="20"/>
                <w:lang w:val="en-GB" w:eastAsia="de-DE"/>
              </w:rPr>
              <w:t xml:space="preserve"> grade 3</w:t>
            </w:r>
          </w:p>
        </w:tc>
        <w:tc>
          <w:tcPr>
            <w:tcW w:w="4606" w:type="dxa"/>
            <w:vMerge/>
            <w:shd w:val="clear" w:color="auto" w:fill="auto"/>
          </w:tcPr>
          <w:p w:rsidR="001E7CD1" w:rsidRPr="003D0546" w:rsidRDefault="001E7CD1" w:rsidP="001E7CD1">
            <w:pPr>
              <w:jc w:val="both"/>
              <w:rPr>
                <w:rFonts w:ascii="Arial" w:hAnsi="Arial" w:cs="Arial"/>
                <w:sz w:val="20"/>
                <w:lang w:val="en-GB" w:eastAsia="de-DE"/>
              </w:rPr>
            </w:pPr>
          </w:p>
        </w:tc>
      </w:tr>
    </w:tbl>
    <w:p w:rsidR="001E7CD1" w:rsidRPr="003D0546" w:rsidRDefault="001E7CD1" w:rsidP="001E7CD1">
      <w:pPr>
        <w:spacing w:before="120"/>
        <w:jc w:val="both"/>
        <w:rPr>
          <w:rFonts w:ascii="Arial" w:hAnsi="Arial" w:cs="Arial"/>
          <w:sz w:val="20"/>
          <w:lang w:val="en-GB" w:eastAsia="de-DE"/>
        </w:rPr>
      </w:pPr>
      <w:r w:rsidRPr="003D0546">
        <w:rPr>
          <w:rFonts w:ascii="Arial" w:hAnsi="Arial" w:cs="Arial"/>
          <w:sz w:val="20"/>
          <w:lang w:val="en-GB" w:eastAsia="de-DE"/>
        </w:rPr>
        <w:t>*CTCAE: Common Terminology Criteria for Adverse Events</w:t>
      </w:r>
    </w:p>
    <w:p w:rsidR="008B36FC" w:rsidRDefault="001E7CD1" w:rsidP="008B36FC">
      <w:pPr>
        <w:ind w:left="1122" w:hanging="1122"/>
        <w:jc w:val="both"/>
        <w:rPr>
          <w:rFonts w:ascii="Arial" w:eastAsia="MS Mincho" w:hAnsi="Arial" w:cs="Arial"/>
          <w:b/>
          <w:iCs/>
          <w:sz w:val="20"/>
          <w:lang w:val="en-GB" w:eastAsia="ja-JP"/>
        </w:rPr>
      </w:pPr>
      <w:r w:rsidRPr="003D0546">
        <w:rPr>
          <w:rFonts w:ascii="Arial" w:hAnsi="Arial" w:cs="Arial"/>
          <w:sz w:val="20"/>
          <w:lang w:val="en-GB" w:eastAsia="de-DE"/>
        </w:rPr>
        <w:t xml:space="preserve">** </w:t>
      </w:r>
      <w:r w:rsidRPr="003D0546">
        <w:rPr>
          <w:rFonts w:ascii="Arial" w:eastAsia="MS Mincho" w:hAnsi="Arial" w:cs="Arial"/>
          <w:sz w:val="20"/>
          <w:lang w:val="en-GB" w:eastAsia="ja-JP"/>
        </w:rPr>
        <w:t xml:space="preserve">see </w:t>
      </w:r>
      <w:r w:rsidR="003D0546" w:rsidRPr="003D0546">
        <w:rPr>
          <w:rFonts w:ascii="Arial" w:eastAsia="MS Mincho" w:hAnsi="Arial" w:cs="Arial"/>
          <w:sz w:val="20"/>
          <w:lang w:val="en-GB" w:eastAsia="ja-JP"/>
        </w:rPr>
        <w:t xml:space="preserve">also </w:t>
      </w:r>
      <w:r w:rsidRPr="003D0546">
        <w:rPr>
          <w:rFonts w:ascii="Arial" w:eastAsia="MS Mincho" w:hAnsi="Arial" w:cs="Arial"/>
          <w:bCs/>
          <w:iCs/>
          <w:sz w:val="20"/>
          <w:lang w:val="en-GB" w:eastAsia="ja-JP"/>
        </w:rPr>
        <w:t>PRECAUTIONS</w:t>
      </w:r>
    </w:p>
    <w:p w:rsidR="008B36FC" w:rsidRPr="008B36FC" w:rsidRDefault="008B36FC" w:rsidP="00BB0716">
      <w:pPr>
        <w:jc w:val="both"/>
        <w:rPr>
          <w:rFonts w:ascii="Arial" w:eastAsia="MS Mincho" w:hAnsi="Arial" w:cs="Arial"/>
          <w:b/>
          <w:i/>
          <w:sz w:val="20"/>
          <w:lang w:val="en-GB" w:eastAsia="ja-JP"/>
        </w:rPr>
      </w:pPr>
    </w:p>
    <w:p w:rsidR="00D656D0" w:rsidRPr="004B3131" w:rsidRDefault="00D656D0" w:rsidP="00C60487">
      <w:pPr>
        <w:pStyle w:val="PIheading2"/>
        <w:rPr>
          <w:i/>
          <w:iCs/>
        </w:rPr>
      </w:pPr>
      <w:r w:rsidRPr="004B3131">
        <w:rPr>
          <w:i/>
          <w:iCs/>
        </w:rPr>
        <w:t>IPF:</w:t>
      </w:r>
    </w:p>
    <w:p w:rsidR="00D656D0" w:rsidRPr="00D656D0" w:rsidRDefault="00D656D0" w:rsidP="00D656D0">
      <w:pPr>
        <w:pStyle w:val="TextPI"/>
        <w:rPr>
          <w:lang w:val="en-GB"/>
        </w:rPr>
      </w:pPr>
      <w:r w:rsidRPr="00D656D0">
        <w:rPr>
          <w:lang w:val="en-GB"/>
        </w:rPr>
        <w:t>In addition to symptomatic treatment if applicable, the managem</w:t>
      </w:r>
      <w:r w:rsidR="004B6F4C">
        <w:rPr>
          <w:lang w:val="en-GB"/>
        </w:rPr>
        <w:t xml:space="preserve">ent of side effects (see </w:t>
      </w:r>
      <w:r>
        <w:rPr>
          <w:lang w:val="en-GB"/>
        </w:rPr>
        <w:t>PRECAUTIONS and ADVERSE EFFECTS</w:t>
      </w:r>
      <w:r w:rsidRPr="00D656D0">
        <w:rPr>
          <w:lang w:val="en-GB"/>
        </w:rPr>
        <w:t xml:space="preserve">) of </w:t>
      </w:r>
      <w:r w:rsidR="007501C4">
        <w:rPr>
          <w:lang w:val="en-GB"/>
        </w:rPr>
        <w:t>VARGATEF</w:t>
      </w:r>
      <w:r w:rsidRPr="00D656D0">
        <w:rPr>
          <w:lang w:val="en-GB"/>
        </w:rPr>
        <w:t xml:space="preserve"> could include dose reduction and temporary interruption until the specific adverse reaction has resolved to levels that allow continuation of therapy. </w:t>
      </w:r>
      <w:r w:rsidR="007501C4">
        <w:rPr>
          <w:lang w:val="en-GB"/>
        </w:rPr>
        <w:t>VARGATEF</w:t>
      </w:r>
      <w:r w:rsidRPr="00D656D0">
        <w:rPr>
          <w:lang w:val="en-GB"/>
        </w:rPr>
        <w:t xml:space="preserve"> treatment may be resumed at the full dose (150 mg twice daily) or a reduced dose (100 mg twice daily). If a patient does not tolerate 100 mg twice daily, treatment with </w:t>
      </w:r>
      <w:r w:rsidR="007501C4">
        <w:rPr>
          <w:lang w:val="en-GB"/>
        </w:rPr>
        <w:t>VARGATEF</w:t>
      </w:r>
      <w:r w:rsidRPr="00D656D0">
        <w:rPr>
          <w:lang w:val="en-GB"/>
        </w:rPr>
        <w:t xml:space="preserve"> should </w:t>
      </w:r>
      <w:r w:rsidR="00D172EB">
        <w:rPr>
          <w:lang w:val="en-GB"/>
        </w:rPr>
        <w:t xml:space="preserve">permanently </w:t>
      </w:r>
      <w:r w:rsidRPr="00D656D0">
        <w:rPr>
          <w:lang w:val="en-GB"/>
        </w:rPr>
        <w:t xml:space="preserve">be discontinued. </w:t>
      </w:r>
    </w:p>
    <w:p w:rsidR="00D656D0" w:rsidRPr="00D656D0" w:rsidRDefault="00D656D0" w:rsidP="00D656D0">
      <w:pPr>
        <w:pStyle w:val="TextPI"/>
        <w:rPr>
          <w:lang w:val="en-GB"/>
        </w:rPr>
      </w:pPr>
      <w:r w:rsidRPr="00D656D0">
        <w:rPr>
          <w:lang w:val="en-GB"/>
        </w:rPr>
        <w:t xml:space="preserve">In case of interruptions due to transaminase (AST or ALT) elevations &gt; </w:t>
      </w:r>
      <w:r w:rsidR="00C652BF">
        <w:rPr>
          <w:lang w:val="en-GB"/>
        </w:rPr>
        <w:t>3</w:t>
      </w:r>
      <w:r w:rsidRPr="00D656D0">
        <w:rPr>
          <w:lang w:val="en-GB"/>
        </w:rPr>
        <w:t xml:space="preserve">x upper limit of normal (ULN), once transaminases have returned to baseline values, treatment with </w:t>
      </w:r>
      <w:r w:rsidR="007501C4">
        <w:rPr>
          <w:lang w:val="en-GB"/>
        </w:rPr>
        <w:t>VARGATEF</w:t>
      </w:r>
      <w:r w:rsidRPr="00D656D0">
        <w:rPr>
          <w:lang w:val="en-GB"/>
        </w:rPr>
        <w:t xml:space="preserve"> may be reintroduced at a reduced dose (100 mg twice daily) which subsequently may be increased to the full dose (150 mg twice daily) (see </w:t>
      </w:r>
      <w:r w:rsidR="004B6F4C">
        <w:rPr>
          <w:lang w:val="en-GB"/>
        </w:rPr>
        <w:t>PRECAUTIONS and ADVERSE EFFECTS)</w:t>
      </w:r>
      <w:r w:rsidRPr="00D656D0">
        <w:rPr>
          <w:lang w:val="en-GB"/>
        </w:rPr>
        <w:t>.</w:t>
      </w:r>
    </w:p>
    <w:p w:rsidR="00C60487" w:rsidRDefault="00C60487" w:rsidP="00C60487">
      <w:pPr>
        <w:pStyle w:val="PIheading2"/>
      </w:pPr>
      <w:r>
        <w:lastRenderedPageBreak/>
        <w:t>Special populations</w:t>
      </w:r>
    </w:p>
    <w:p w:rsidR="001E7CD1" w:rsidRDefault="001E7CD1" w:rsidP="00C60487">
      <w:pPr>
        <w:pStyle w:val="PIHeading3"/>
      </w:pPr>
      <w:r>
        <w:t>Paediatric population</w:t>
      </w:r>
    </w:p>
    <w:p w:rsidR="00EF1EB0" w:rsidRPr="00EF1EB0" w:rsidRDefault="00EF1EB0" w:rsidP="00C60487">
      <w:pPr>
        <w:pStyle w:val="TextPI"/>
        <w:rPr>
          <w:lang w:val="en-GB"/>
        </w:rPr>
      </w:pPr>
      <w:r w:rsidRPr="00EF1EB0">
        <w:rPr>
          <w:lang w:val="en-GB"/>
        </w:rPr>
        <w:t xml:space="preserve">The safety and efficacy of </w:t>
      </w:r>
      <w:r w:rsidR="007501C4">
        <w:rPr>
          <w:bCs/>
          <w:iCs/>
          <w:lang w:val="en-GB"/>
        </w:rPr>
        <w:t>VARGATEF</w:t>
      </w:r>
      <w:r w:rsidRPr="00EF1EB0">
        <w:rPr>
          <w:b/>
          <w:i/>
          <w:iCs/>
          <w:vertAlign w:val="superscript"/>
          <w:lang w:val="en-GB"/>
        </w:rPr>
        <w:t xml:space="preserve"> </w:t>
      </w:r>
      <w:r w:rsidRPr="00EF1EB0">
        <w:rPr>
          <w:lang w:val="en-GB"/>
        </w:rPr>
        <w:t>in paediatric patients have not been studied in clinical trials.</w:t>
      </w:r>
    </w:p>
    <w:p w:rsidR="00910460" w:rsidRDefault="001E7CD1" w:rsidP="00C60487">
      <w:pPr>
        <w:pStyle w:val="PIHeading3"/>
        <w:keepNext/>
        <w:keepLines/>
      </w:pPr>
      <w:r>
        <w:t>Elderly patients</w:t>
      </w:r>
      <w:r w:rsidR="00EF1EB0">
        <w:t xml:space="preserve"> (</w:t>
      </w:r>
      <w:r w:rsidR="00EF1EB0">
        <w:rPr>
          <w:rFonts w:cs="Arial"/>
        </w:rPr>
        <w:t>≥</w:t>
      </w:r>
      <w:r w:rsidR="00EF1EB0">
        <w:t xml:space="preserve"> 65 years)</w:t>
      </w:r>
    </w:p>
    <w:p w:rsidR="00EF1EB0" w:rsidRPr="00EF1EB0" w:rsidRDefault="00EF1EB0" w:rsidP="00C60487">
      <w:pPr>
        <w:pStyle w:val="TextPI"/>
        <w:keepNext/>
        <w:keepLines/>
        <w:rPr>
          <w:color w:val="000000"/>
          <w:lang w:val="en-GB" w:eastAsia="de-DE"/>
        </w:rPr>
      </w:pPr>
      <w:r w:rsidRPr="00EF1EB0">
        <w:rPr>
          <w:lang w:val="en-GB"/>
        </w:rPr>
        <w:t>No overall differences in safety and efficacy were observed for elderly patients compared to patients aged below 65 years.</w:t>
      </w:r>
      <w:r w:rsidRPr="00EF1EB0">
        <w:rPr>
          <w:color w:val="000000"/>
          <w:lang w:val="en-GB" w:eastAsia="de-DE"/>
        </w:rPr>
        <w:t xml:space="preserve"> No adjustment</w:t>
      </w:r>
      <w:r w:rsidR="0008236D">
        <w:rPr>
          <w:color w:val="000000"/>
          <w:lang w:val="en-GB" w:eastAsia="de-DE"/>
        </w:rPr>
        <w:t xml:space="preserve"> of the initial dosing</w:t>
      </w:r>
      <w:r w:rsidRPr="00EF1EB0">
        <w:rPr>
          <w:color w:val="000000"/>
          <w:lang w:val="en-GB" w:eastAsia="de-DE"/>
        </w:rPr>
        <w:t xml:space="preserve"> is required on the basis of a patient’s age (see</w:t>
      </w:r>
      <w:r w:rsidRPr="00EF1EB0">
        <w:rPr>
          <w:b/>
          <w:i/>
          <w:color w:val="000000"/>
          <w:lang w:val="en-GB" w:eastAsia="de-DE"/>
        </w:rPr>
        <w:t xml:space="preserve"> </w:t>
      </w:r>
      <w:r w:rsidR="00C60487" w:rsidRPr="00C60487">
        <w:rPr>
          <w:bCs/>
          <w:iCs/>
          <w:color w:val="000000"/>
          <w:lang w:val="en-GB" w:eastAsia="de-DE"/>
        </w:rPr>
        <w:t xml:space="preserve">PHARMACOLOGY, </w:t>
      </w:r>
      <w:r w:rsidRPr="00EF1EB0">
        <w:rPr>
          <w:bCs/>
          <w:iCs/>
          <w:color w:val="000000"/>
          <w:lang w:val="en-GB" w:eastAsia="de-DE"/>
        </w:rPr>
        <w:t>Pharmacokinetics</w:t>
      </w:r>
      <w:r w:rsidRPr="00EF1EB0">
        <w:rPr>
          <w:color w:val="000000"/>
          <w:lang w:val="en-GB" w:eastAsia="de-DE"/>
        </w:rPr>
        <w:t>).</w:t>
      </w:r>
    </w:p>
    <w:p w:rsidR="001448C9" w:rsidRDefault="001448C9" w:rsidP="00C60487">
      <w:pPr>
        <w:pStyle w:val="PIHeading3"/>
        <w:rPr>
          <w:lang w:val="en-GB"/>
        </w:rPr>
      </w:pPr>
      <w:r>
        <w:rPr>
          <w:lang w:val="en-GB"/>
        </w:rPr>
        <w:t xml:space="preserve">Race </w:t>
      </w:r>
    </w:p>
    <w:p w:rsidR="001448C9" w:rsidRPr="001448C9" w:rsidRDefault="001448C9" w:rsidP="00C60487">
      <w:pPr>
        <w:pStyle w:val="TextPI"/>
        <w:rPr>
          <w:lang w:val="en-GB"/>
        </w:rPr>
      </w:pPr>
      <w:r w:rsidRPr="00992426">
        <w:rPr>
          <w:lang w:val="en-GB"/>
        </w:rPr>
        <w:t xml:space="preserve">Based on population PK analyses, no </w:t>
      </w:r>
      <w:r w:rsidRPr="00992426">
        <w:rPr>
          <w:i/>
          <w:lang w:val="en-GB"/>
        </w:rPr>
        <w:t>a priori</w:t>
      </w:r>
      <w:r w:rsidRPr="00992426">
        <w:rPr>
          <w:lang w:val="en-GB"/>
        </w:rPr>
        <w:t xml:space="preserve"> dose adjustments of </w:t>
      </w:r>
      <w:r w:rsidR="007501C4">
        <w:rPr>
          <w:bCs/>
          <w:lang w:val="en-GB"/>
        </w:rPr>
        <w:t>VARGATEF</w:t>
      </w:r>
      <w:r w:rsidRPr="00992426">
        <w:rPr>
          <w:b/>
          <w:i/>
          <w:vertAlign w:val="superscript"/>
          <w:lang w:val="en-GB"/>
        </w:rPr>
        <w:t xml:space="preserve"> </w:t>
      </w:r>
      <w:r w:rsidRPr="00992426">
        <w:rPr>
          <w:lang w:val="en-GB"/>
        </w:rPr>
        <w:t xml:space="preserve">are necessary (see </w:t>
      </w:r>
      <w:r w:rsidR="009C18D3" w:rsidRPr="00992426">
        <w:rPr>
          <w:lang w:val="en-GB"/>
        </w:rPr>
        <w:t xml:space="preserve">PRECAUTIONS, Special populations and </w:t>
      </w:r>
      <w:r w:rsidR="00C60487" w:rsidRPr="00992426">
        <w:rPr>
          <w:bCs/>
          <w:iCs/>
          <w:color w:val="000000"/>
          <w:lang w:val="en-GB" w:eastAsia="de-DE"/>
        </w:rPr>
        <w:t xml:space="preserve">PHARMACOLOGY, </w:t>
      </w:r>
      <w:r w:rsidRPr="00992426">
        <w:rPr>
          <w:bCs/>
          <w:lang w:val="en-GB"/>
        </w:rPr>
        <w:t>Pharmacokinetics</w:t>
      </w:r>
      <w:r w:rsidRPr="00992426">
        <w:rPr>
          <w:lang w:val="en-GB"/>
        </w:rPr>
        <w:t>).</w:t>
      </w:r>
      <w:r w:rsidR="009C18D3" w:rsidRPr="00992426">
        <w:rPr>
          <w:lang w:val="en-GB"/>
        </w:rPr>
        <w:t xml:space="preserve">  Safety data for Black patients are limited.</w:t>
      </w:r>
    </w:p>
    <w:p w:rsidR="006E77A3" w:rsidRPr="00992426" w:rsidRDefault="006E77A3" w:rsidP="004D760A">
      <w:pPr>
        <w:pStyle w:val="PIHeading3"/>
        <w:keepNext/>
        <w:keepLines/>
      </w:pPr>
      <w:r w:rsidRPr="00992426">
        <w:t>Body weight</w:t>
      </w:r>
    </w:p>
    <w:p w:rsidR="006E77A3" w:rsidRPr="004279BC" w:rsidRDefault="006E77A3" w:rsidP="004D760A">
      <w:pPr>
        <w:pStyle w:val="PIHeading3"/>
        <w:keepNext/>
        <w:keepLines/>
        <w:rPr>
          <w:u w:val="none"/>
        </w:rPr>
      </w:pPr>
      <w:r w:rsidRPr="004279BC">
        <w:rPr>
          <w:u w:val="none"/>
        </w:rPr>
        <w:t xml:space="preserve">Based on population PK analyses, no </w:t>
      </w:r>
      <w:r w:rsidRPr="004279BC">
        <w:rPr>
          <w:i/>
          <w:iCs/>
          <w:u w:val="none"/>
        </w:rPr>
        <w:t>a priori</w:t>
      </w:r>
      <w:r w:rsidRPr="004279BC">
        <w:rPr>
          <w:u w:val="none"/>
        </w:rPr>
        <w:t xml:space="preserve"> dose adjustments of </w:t>
      </w:r>
      <w:r w:rsidR="007501C4">
        <w:rPr>
          <w:u w:val="none"/>
        </w:rPr>
        <w:t>VARGATEF</w:t>
      </w:r>
      <w:r w:rsidRPr="004279BC">
        <w:rPr>
          <w:u w:val="none"/>
        </w:rPr>
        <w:t xml:space="preserve"> are necessary (see </w:t>
      </w:r>
      <w:r w:rsidRPr="004279BC">
        <w:rPr>
          <w:bCs/>
          <w:iCs/>
          <w:color w:val="000000"/>
          <w:u w:val="none"/>
          <w:lang w:val="en-GB" w:eastAsia="de-DE"/>
        </w:rPr>
        <w:t xml:space="preserve">PHARMACOLOGY, </w:t>
      </w:r>
      <w:r w:rsidRPr="004279BC">
        <w:rPr>
          <w:bCs/>
          <w:u w:val="none"/>
          <w:lang w:val="en-GB"/>
        </w:rPr>
        <w:t>Pharmacokinetics).</w:t>
      </w:r>
      <w:r w:rsidRPr="004279BC">
        <w:rPr>
          <w:u w:val="none"/>
        </w:rPr>
        <w:t xml:space="preserve"> </w:t>
      </w:r>
    </w:p>
    <w:p w:rsidR="001448C9" w:rsidRPr="00B61CB1" w:rsidRDefault="00C60487" w:rsidP="004D760A">
      <w:pPr>
        <w:pStyle w:val="PIHeading3"/>
        <w:keepNext/>
        <w:keepLines/>
      </w:pPr>
      <w:r>
        <w:t>R</w:t>
      </w:r>
      <w:r w:rsidR="001448C9" w:rsidRPr="00B61CB1">
        <w:t>enal impairment</w:t>
      </w:r>
    </w:p>
    <w:p w:rsidR="001448C9" w:rsidRPr="001448C9" w:rsidRDefault="001448C9" w:rsidP="004D760A">
      <w:pPr>
        <w:pStyle w:val="TextPI"/>
        <w:keepNext/>
        <w:keepLines/>
        <w:rPr>
          <w:lang w:val="en-GB" w:eastAsia="de-DE"/>
        </w:rPr>
      </w:pPr>
      <w:r w:rsidRPr="001448C9">
        <w:rPr>
          <w:lang w:val="en-GB" w:eastAsia="de-DE"/>
        </w:rPr>
        <w:t xml:space="preserve">Less than 1% of a single dose of </w:t>
      </w:r>
      <w:r w:rsidRPr="001448C9">
        <w:rPr>
          <w:iCs/>
          <w:lang w:val="en-GB" w:eastAsia="de-DE"/>
        </w:rPr>
        <w:t>nintedanib</w:t>
      </w:r>
      <w:r w:rsidRPr="001448C9">
        <w:rPr>
          <w:iCs/>
          <w:vertAlign w:val="superscript"/>
          <w:lang w:val="en-GB" w:eastAsia="de-DE"/>
        </w:rPr>
        <w:t xml:space="preserve"> </w:t>
      </w:r>
      <w:r w:rsidRPr="001448C9">
        <w:rPr>
          <w:lang w:val="en-GB" w:eastAsia="de-DE"/>
        </w:rPr>
        <w:t xml:space="preserve">is excreted via the kidney (see </w:t>
      </w:r>
      <w:r w:rsidR="00C60487" w:rsidRPr="00C60487">
        <w:rPr>
          <w:bCs/>
          <w:iCs/>
          <w:color w:val="000000"/>
          <w:lang w:val="en-GB" w:eastAsia="de-DE"/>
        </w:rPr>
        <w:t xml:space="preserve">PHARMACOLOGY, </w:t>
      </w:r>
      <w:r w:rsidRPr="001448C9">
        <w:rPr>
          <w:bCs/>
          <w:iCs/>
          <w:lang w:val="en-GB" w:eastAsia="de-DE"/>
        </w:rPr>
        <w:t>Pharmacokinetics</w:t>
      </w:r>
      <w:r w:rsidRPr="001448C9">
        <w:rPr>
          <w:lang w:val="en-GB" w:eastAsia="de-DE"/>
        </w:rPr>
        <w:t xml:space="preserve">). Adjustment of the starting dose in patients with mild to moderate renal impairment is not required. </w:t>
      </w:r>
      <w:r w:rsidRPr="001448C9">
        <w:rPr>
          <w:color w:val="000000"/>
          <w:lang w:val="en-GB" w:eastAsia="de-DE"/>
        </w:rPr>
        <w:t xml:space="preserve">The safety, efficacy, and pharmacokinetics of </w:t>
      </w:r>
      <w:r w:rsidRPr="001448C9">
        <w:rPr>
          <w:iCs/>
          <w:color w:val="000000"/>
          <w:lang w:val="en-GB" w:eastAsia="de-DE"/>
        </w:rPr>
        <w:t>nintedanib</w:t>
      </w:r>
      <w:r w:rsidRPr="001448C9">
        <w:rPr>
          <w:bCs/>
          <w:iCs/>
          <w:color w:val="000000"/>
          <w:lang w:val="en-GB" w:eastAsia="de-DE"/>
        </w:rPr>
        <w:t xml:space="preserve"> </w:t>
      </w:r>
      <w:r w:rsidRPr="001448C9">
        <w:rPr>
          <w:color w:val="000000"/>
          <w:lang w:val="en-GB" w:eastAsia="de-DE"/>
        </w:rPr>
        <w:t xml:space="preserve">have not been studied in patients </w:t>
      </w:r>
      <w:r w:rsidRPr="001448C9">
        <w:rPr>
          <w:lang w:val="en-GB" w:eastAsia="de-DE"/>
        </w:rPr>
        <w:t xml:space="preserve">with severe renal impairment (&lt;30 </w:t>
      </w:r>
      <w:r w:rsidR="00C60487" w:rsidRPr="001448C9">
        <w:rPr>
          <w:lang w:val="en-GB" w:eastAsia="de-DE"/>
        </w:rPr>
        <w:t>m</w:t>
      </w:r>
      <w:r w:rsidR="00C60487">
        <w:rPr>
          <w:lang w:val="en-GB" w:eastAsia="de-DE"/>
        </w:rPr>
        <w:t>L</w:t>
      </w:r>
      <w:r w:rsidRPr="001448C9">
        <w:rPr>
          <w:lang w:val="en-GB" w:eastAsia="de-DE"/>
        </w:rPr>
        <w:t>/min CrCL).</w:t>
      </w:r>
    </w:p>
    <w:p w:rsidR="001E7CD1" w:rsidRDefault="00C60487" w:rsidP="00C60487">
      <w:pPr>
        <w:pStyle w:val="PIHeading3"/>
      </w:pPr>
      <w:r>
        <w:t>H</w:t>
      </w:r>
      <w:r w:rsidR="001E7CD1" w:rsidRPr="00B61CB1">
        <w:t xml:space="preserve">epatic impairment </w:t>
      </w:r>
    </w:p>
    <w:p w:rsidR="001448C9" w:rsidRPr="001448C9" w:rsidRDefault="001448C9" w:rsidP="00C60487">
      <w:pPr>
        <w:pStyle w:val="TextPI"/>
        <w:rPr>
          <w:lang w:val="en-GB" w:eastAsia="de-DE"/>
        </w:rPr>
      </w:pPr>
      <w:r w:rsidRPr="001448C9">
        <w:rPr>
          <w:lang w:val="en-GB" w:eastAsia="de-DE"/>
        </w:rPr>
        <w:t>Nintedanib</w:t>
      </w:r>
      <w:r w:rsidRPr="001448C9">
        <w:rPr>
          <w:b/>
          <w:lang w:val="en-GB" w:eastAsia="de-DE"/>
        </w:rPr>
        <w:t xml:space="preserve"> </w:t>
      </w:r>
      <w:r w:rsidRPr="001448C9">
        <w:rPr>
          <w:lang w:val="en-GB" w:eastAsia="de-DE"/>
        </w:rPr>
        <w:t xml:space="preserve">is predominantly eliminated via biliary/faecal excretion (&gt;90%; see </w:t>
      </w:r>
      <w:r w:rsidR="00CE6929" w:rsidRPr="00C60487">
        <w:rPr>
          <w:bCs/>
          <w:iCs/>
          <w:color w:val="000000"/>
          <w:lang w:val="en-GB" w:eastAsia="de-DE"/>
        </w:rPr>
        <w:t xml:space="preserve">PHARMACOLOGY, </w:t>
      </w:r>
      <w:r w:rsidRPr="001448C9">
        <w:rPr>
          <w:bCs/>
          <w:iCs/>
          <w:lang w:val="en-GB" w:eastAsia="de-DE"/>
        </w:rPr>
        <w:t>Pharmacokinetics</w:t>
      </w:r>
      <w:r w:rsidRPr="001448C9">
        <w:rPr>
          <w:b/>
          <w:lang w:val="en-GB" w:eastAsia="de-DE"/>
        </w:rPr>
        <w:t>)</w:t>
      </w:r>
      <w:r w:rsidRPr="001448C9">
        <w:rPr>
          <w:lang w:val="en-GB" w:eastAsia="de-DE"/>
        </w:rPr>
        <w:t>.</w:t>
      </w:r>
      <w:r>
        <w:rPr>
          <w:lang w:val="en-GB" w:eastAsia="de-DE"/>
        </w:rPr>
        <w:t xml:space="preserve"> </w:t>
      </w:r>
      <w:r w:rsidRPr="001448C9">
        <w:rPr>
          <w:lang w:val="en-GB" w:eastAsia="de-DE"/>
        </w:rPr>
        <w:t xml:space="preserve"> No adjustment of the starting dose is needed for patients with mild hepatic impairment based on clinical data (Child Pugh A, see </w:t>
      </w:r>
      <w:r w:rsidRPr="001448C9">
        <w:rPr>
          <w:bCs/>
          <w:iCs/>
          <w:lang w:val="en-GB" w:eastAsia="de-DE"/>
        </w:rPr>
        <w:t>PRECAUTIONS</w:t>
      </w:r>
      <w:r w:rsidRPr="001448C9">
        <w:rPr>
          <w:lang w:val="en-GB" w:eastAsia="de-DE"/>
        </w:rPr>
        <w:t>).</w:t>
      </w:r>
      <w:r>
        <w:rPr>
          <w:lang w:val="en-GB" w:eastAsia="de-DE"/>
        </w:rPr>
        <w:t xml:space="preserve"> </w:t>
      </w:r>
      <w:r w:rsidRPr="001448C9">
        <w:rPr>
          <w:lang w:val="en-GB" w:eastAsia="de-DE"/>
        </w:rPr>
        <w:t xml:space="preserve"> The </w:t>
      </w:r>
      <w:r w:rsidRPr="00992426">
        <w:rPr>
          <w:lang w:val="en-GB" w:eastAsia="de-DE"/>
        </w:rPr>
        <w:t>safety and efficacy</w:t>
      </w:r>
      <w:r w:rsidRPr="001448C9">
        <w:rPr>
          <w:lang w:val="en-GB" w:eastAsia="de-DE"/>
        </w:rPr>
        <w:t xml:space="preserve"> of </w:t>
      </w:r>
      <w:r w:rsidRPr="001448C9">
        <w:rPr>
          <w:iCs/>
          <w:lang w:val="en-GB" w:eastAsia="de-DE"/>
        </w:rPr>
        <w:t>nintedanib</w:t>
      </w:r>
      <w:r w:rsidRPr="001448C9">
        <w:rPr>
          <w:b/>
          <w:bCs/>
          <w:iCs/>
          <w:lang w:val="en-GB" w:eastAsia="de-DE"/>
        </w:rPr>
        <w:t xml:space="preserve"> </w:t>
      </w:r>
      <w:r w:rsidRPr="001448C9">
        <w:rPr>
          <w:lang w:val="en-GB" w:eastAsia="de-DE"/>
        </w:rPr>
        <w:t xml:space="preserve">have not been investigated in patients with hepatic impairment classified as Child Pugh B and C. </w:t>
      </w:r>
      <w:r>
        <w:rPr>
          <w:lang w:val="en-GB" w:eastAsia="de-DE"/>
        </w:rPr>
        <w:t xml:space="preserve"> </w:t>
      </w:r>
      <w:r w:rsidRPr="001448C9">
        <w:rPr>
          <w:lang w:val="en-GB" w:eastAsia="de-DE"/>
        </w:rPr>
        <w:t xml:space="preserve">Therefore, treatment of patients with moderate (Child Pugh B) and severe (Child Pugh C) hepatic impairment with </w:t>
      </w:r>
      <w:r w:rsidR="007501C4">
        <w:rPr>
          <w:bCs/>
          <w:iCs/>
          <w:lang w:val="en-GB" w:eastAsia="de-DE"/>
        </w:rPr>
        <w:t>VARGATEF</w:t>
      </w:r>
      <w:r w:rsidRPr="001448C9">
        <w:rPr>
          <w:b/>
          <w:i/>
          <w:iCs/>
          <w:vertAlign w:val="superscript"/>
          <w:lang w:val="en-GB" w:eastAsia="de-DE"/>
        </w:rPr>
        <w:t xml:space="preserve"> </w:t>
      </w:r>
      <w:r w:rsidRPr="001448C9">
        <w:rPr>
          <w:lang w:val="en-GB" w:eastAsia="de-DE"/>
        </w:rPr>
        <w:t>is not recommende</w:t>
      </w:r>
      <w:r w:rsidR="00CE6929">
        <w:rPr>
          <w:lang w:val="en-GB" w:eastAsia="de-DE"/>
        </w:rPr>
        <w:t>d.</w:t>
      </w:r>
    </w:p>
    <w:p w:rsidR="00014579" w:rsidRPr="0042370A" w:rsidRDefault="00014579" w:rsidP="000A1804">
      <w:pPr>
        <w:pStyle w:val="PIHeading1"/>
      </w:pPr>
      <w:r w:rsidRPr="0042370A">
        <w:t>OVERDOSAGE</w:t>
      </w:r>
    </w:p>
    <w:p w:rsidR="00C27A4B" w:rsidRPr="00362DF0" w:rsidRDefault="00C27A4B" w:rsidP="00CE6929">
      <w:pPr>
        <w:pStyle w:val="TextPI"/>
      </w:pPr>
      <w:r w:rsidRPr="00362DF0">
        <w:t>For information on the management of overdose, contact the Poison Information Centre on 13</w:t>
      </w:r>
      <w:r w:rsidR="00CE6929">
        <w:t xml:space="preserve"> </w:t>
      </w:r>
      <w:r w:rsidRPr="00362DF0">
        <w:t>11</w:t>
      </w:r>
      <w:r w:rsidR="00CE6929">
        <w:t xml:space="preserve"> </w:t>
      </w:r>
      <w:r w:rsidRPr="00362DF0">
        <w:t>26 (Australia).</w:t>
      </w:r>
    </w:p>
    <w:p w:rsidR="00F16FAC" w:rsidRDefault="00954076" w:rsidP="00CE6929">
      <w:pPr>
        <w:pStyle w:val="TextPI"/>
        <w:rPr>
          <w:rFonts w:cs="Arial"/>
          <w:lang w:val="en-GB"/>
        </w:rPr>
      </w:pPr>
      <w:r w:rsidRPr="00954076">
        <w:rPr>
          <w:rFonts w:eastAsia="MS Mincho" w:cs="Arial"/>
          <w:lang w:val="en-GB" w:eastAsia="ja-JP"/>
        </w:rPr>
        <w:t xml:space="preserve">There is no specific antidote or treatment for </w:t>
      </w:r>
      <w:r w:rsidR="007501C4">
        <w:rPr>
          <w:rFonts w:eastAsia="MS Mincho" w:cs="Arial"/>
          <w:bCs/>
          <w:iCs/>
          <w:lang w:val="en-GB" w:eastAsia="ja-JP"/>
        </w:rPr>
        <w:t>VARGATEF</w:t>
      </w:r>
      <w:r w:rsidRPr="00954076">
        <w:rPr>
          <w:rFonts w:eastAsia="MS Mincho" w:cs="Arial"/>
          <w:b/>
          <w:i/>
          <w:iCs/>
          <w:vertAlign w:val="superscript"/>
          <w:lang w:val="en-GB" w:eastAsia="ja-JP"/>
        </w:rPr>
        <w:t xml:space="preserve"> </w:t>
      </w:r>
      <w:r w:rsidRPr="00954076">
        <w:rPr>
          <w:rFonts w:eastAsia="MS Mincho" w:cs="Arial"/>
          <w:lang w:val="en-GB" w:eastAsia="ja-JP"/>
        </w:rPr>
        <w:t xml:space="preserve">overdose. </w:t>
      </w:r>
      <w:r>
        <w:rPr>
          <w:rFonts w:eastAsia="MS Mincho" w:cs="Arial"/>
          <w:lang w:val="en-GB" w:eastAsia="ja-JP"/>
        </w:rPr>
        <w:t xml:space="preserve"> </w:t>
      </w:r>
      <w:r w:rsidRPr="00954076">
        <w:rPr>
          <w:rFonts w:eastAsia="MS Mincho" w:cs="Arial"/>
          <w:lang w:val="en-GB" w:eastAsia="ja-JP"/>
        </w:rPr>
        <w:t xml:space="preserve">The highest single dose of nintedanib administered in phase I studies was 450 mg once daily. In addition, 2 patients had an overdose of maximum 600 mg </w:t>
      </w:r>
      <w:r w:rsidR="00CC7030">
        <w:rPr>
          <w:rFonts w:eastAsia="MS Mincho" w:cs="Arial"/>
          <w:lang w:val="en-GB" w:eastAsia="ja-JP"/>
        </w:rPr>
        <w:t>twice daily</w:t>
      </w:r>
      <w:r w:rsidRPr="00954076">
        <w:rPr>
          <w:rFonts w:eastAsia="MS Mincho" w:cs="Arial"/>
          <w:lang w:val="en-GB" w:eastAsia="ja-JP"/>
        </w:rPr>
        <w:t xml:space="preserve"> up to eight days. </w:t>
      </w:r>
      <w:r>
        <w:rPr>
          <w:rFonts w:eastAsia="MS Mincho" w:cs="Arial"/>
          <w:lang w:val="en-GB" w:eastAsia="ja-JP"/>
        </w:rPr>
        <w:t xml:space="preserve"> </w:t>
      </w:r>
      <w:r w:rsidRPr="00954076">
        <w:rPr>
          <w:rFonts w:eastAsia="MS Mincho" w:cs="Arial"/>
          <w:lang w:val="en-GB" w:eastAsia="ja-JP"/>
        </w:rPr>
        <w:t xml:space="preserve">Observed </w:t>
      </w:r>
      <w:r w:rsidRPr="00954076">
        <w:rPr>
          <w:rFonts w:cs="Arial"/>
          <w:lang w:val="en-GB"/>
        </w:rPr>
        <w:t xml:space="preserve">adverse events were consistent with the known safety profile of nintedanib, i.e. increased liver enzymes and gastrointestinal symptoms. </w:t>
      </w:r>
      <w:r>
        <w:rPr>
          <w:rFonts w:cs="Arial"/>
          <w:lang w:val="en-GB"/>
        </w:rPr>
        <w:t xml:space="preserve"> </w:t>
      </w:r>
      <w:r w:rsidRPr="00954076">
        <w:rPr>
          <w:rFonts w:cs="Arial"/>
          <w:lang w:val="en-GB"/>
        </w:rPr>
        <w:t xml:space="preserve">Both patients recovered from these adverse reactions. </w:t>
      </w:r>
      <w:r>
        <w:rPr>
          <w:rFonts w:cs="Arial"/>
          <w:lang w:val="en-GB"/>
        </w:rPr>
        <w:t xml:space="preserve"> </w:t>
      </w:r>
    </w:p>
    <w:p w:rsidR="00F16FAC" w:rsidRDefault="00F16FAC" w:rsidP="00CE6929">
      <w:pPr>
        <w:pStyle w:val="TextPI"/>
        <w:rPr>
          <w:rFonts w:cs="Arial"/>
          <w:lang w:val="en-GB"/>
        </w:rPr>
      </w:pPr>
      <w:r w:rsidRPr="00F16FAC">
        <w:rPr>
          <w:rFonts w:cs="Arial"/>
          <w:i/>
          <w:iCs/>
          <w:lang w:val="en-GB"/>
        </w:rPr>
        <w:t>IPF</w:t>
      </w:r>
      <w:r>
        <w:rPr>
          <w:rFonts w:cs="Arial"/>
          <w:lang w:val="en-GB"/>
        </w:rPr>
        <w:t xml:space="preserve">: </w:t>
      </w:r>
      <w:r w:rsidRPr="00F16FAC">
        <w:rPr>
          <w:rFonts w:cs="Arial"/>
          <w:lang w:val="en-GB"/>
        </w:rPr>
        <w:t>In the INPULSIS trials, one patient was inadvertently exposed to a dose of 600 mg daily for a total of 21 days. A non-serious adverse event (nasopharyngitis) occurred and resolved during the period of incorrect dosing, with no onset of other reported events</w:t>
      </w:r>
    </w:p>
    <w:p w:rsidR="00954076" w:rsidRPr="00954076" w:rsidRDefault="00954076" w:rsidP="00CE6929">
      <w:pPr>
        <w:pStyle w:val="TextPI"/>
        <w:rPr>
          <w:rFonts w:eastAsia="MS Mincho" w:cs="Arial"/>
          <w:lang w:val="en-GB" w:eastAsia="ja-JP"/>
        </w:rPr>
      </w:pPr>
      <w:r w:rsidRPr="00954076">
        <w:rPr>
          <w:rFonts w:eastAsia="MS Mincho" w:cs="Arial"/>
          <w:lang w:val="en-GB" w:eastAsia="ja-JP"/>
        </w:rPr>
        <w:t>In case of overdose, treatment should be interrupted and general supportive measures initiated as appropriate</w:t>
      </w:r>
      <w:r>
        <w:rPr>
          <w:rFonts w:eastAsia="MS Mincho" w:cs="Arial"/>
          <w:lang w:val="en-GB" w:eastAsia="ja-JP"/>
        </w:rPr>
        <w:t>.</w:t>
      </w:r>
    </w:p>
    <w:p w:rsidR="00014579" w:rsidRPr="0042370A" w:rsidRDefault="00014579" w:rsidP="000A1804">
      <w:pPr>
        <w:pStyle w:val="PIHeading1"/>
      </w:pPr>
      <w:r w:rsidRPr="0042370A">
        <w:lastRenderedPageBreak/>
        <w:t>PRESENTATION</w:t>
      </w:r>
      <w:r w:rsidR="00694409" w:rsidRPr="0042370A">
        <w:t xml:space="preserve"> and storage conditions</w:t>
      </w:r>
    </w:p>
    <w:p w:rsidR="00F964D9" w:rsidRPr="00CE6929" w:rsidRDefault="007501C4" w:rsidP="00CE6929">
      <w:pPr>
        <w:pStyle w:val="TextPI"/>
      </w:pPr>
      <w:r>
        <w:t>VARGATEF</w:t>
      </w:r>
      <w:r w:rsidR="00F964D9" w:rsidRPr="00CE6929">
        <w:t xml:space="preserve"> </w:t>
      </w:r>
      <w:r w:rsidR="009D18D6" w:rsidRPr="00CE6929">
        <w:t>100</w:t>
      </w:r>
      <w:r w:rsidR="00F964D9" w:rsidRPr="00CE6929">
        <w:t xml:space="preserve"> mg capsules are </w:t>
      </w:r>
      <w:r w:rsidR="009D18D6" w:rsidRPr="00CE6929">
        <w:t>peach-coloured,</w:t>
      </w:r>
      <w:r w:rsidR="00F964D9" w:rsidRPr="00CE6929">
        <w:t xml:space="preserve"> opaque, oblong, soft gelatin capsules imprinted in black</w:t>
      </w:r>
      <w:r w:rsidR="009D18D6" w:rsidRPr="00CE6929">
        <w:t xml:space="preserve"> on one side</w:t>
      </w:r>
      <w:r w:rsidR="00F964D9" w:rsidRPr="00CE6929">
        <w:t xml:space="preserve"> with </w:t>
      </w:r>
      <w:r w:rsidR="009D18D6" w:rsidRPr="00CE6929">
        <w:t>the</w:t>
      </w:r>
      <w:r w:rsidR="00F964D9" w:rsidRPr="00CE6929">
        <w:t xml:space="preserve"> Boehringe</w:t>
      </w:r>
      <w:r w:rsidR="009D18D6" w:rsidRPr="00CE6929">
        <w:t>r Ingelheim company logo and “10</w:t>
      </w:r>
      <w:r w:rsidR="00F964D9" w:rsidRPr="00CE6929">
        <w:t xml:space="preserve">0”. The capsules </w:t>
      </w:r>
      <w:r w:rsidR="009D18D6" w:rsidRPr="00CE6929">
        <w:t xml:space="preserve">contain a bright yellow viscous suspension.  The capsules are packaged in aluminium/aluminium blisters containing 10 capsules per blister.  </w:t>
      </w:r>
      <w:r>
        <w:t>VARGATEF</w:t>
      </w:r>
      <w:r w:rsidR="009D18D6" w:rsidRPr="00CE6929">
        <w:t xml:space="preserve"> 100 mg are supplied in packs of 60 capsules</w:t>
      </w:r>
      <w:r w:rsidR="00D60474" w:rsidRPr="00CE6929">
        <w:t>.</w:t>
      </w:r>
    </w:p>
    <w:p w:rsidR="00D60474" w:rsidRPr="00CE6929" w:rsidRDefault="007501C4" w:rsidP="00CE6929">
      <w:pPr>
        <w:pStyle w:val="TextPI"/>
      </w:pPr>
      <w:r>
        <w:t>VARGATEF</w:t>
      </w:r>
      <w:r w:rsidR="00D60474" w:rsidRPr="00CE6929">
        <w:t xml:space="preserve"> 150 mg capsules are brown-coloured, opaque, oblong, soft gelatin capsules imprinted in black on one side with the Boehringer Ingelheim company logo and “150”. The capsules contain a bright yellow viscous suspension.  The capsules are packaged in aluminium/aluminium blisters containing 10 capsules per blister.  </w:t>
      </w:r>
      <w:r>
        <w:t>VARGATEF</w:t>
      </w:r>
      <w:r w:rsidR="00D60474" w:rsidRPr="00CE6929">
        <w:t xml:space="preserve"> 150 mg are supplied in packs of 60 capsules.</w:t>
      </w:r>
    </w:p>
    <w:p w:rsidR="00D60474" w:rsidRPr="00CE6929" w:rsidRDefault="00B43EEA" w:rsidP="00CE6929">
      <w:pPr>
        <w:pStyle w:val="TextPI"/>
      </w:pPr>
      <w:r w:rsidRPr="00CE6929">
        <w:t>Store below 25°C.</w:t>
      </w:r>
      <w:r>
        <w:t xml:space="preserve"> </w:t>
      </w:r>
      <w:r w:rsidR="00D60474" w:rsidRPr="00CE6929">
        <w:t xml:space="preserve">Store in </w:t>
      </w:r>
      <w:r>
        <w:t xml:space="preserve">the </w:t>
      </w:r>
      <w:r w:rsidR="00D60474" w:rsidRPr="00CE6929">
        <w:t xml:space="preserve">original </w:t>
      </w:r>
      <w:r w:rsidR="002F45F5">
        <w:t>package</w:t>
      </w:r>
      <w:r w:rsidR="00D60474" w:rsidRPr="00CE6929">
        <w:t xml:space="preserve"> in order to protect from moisture.</w:t>
      </w:r>
    </w:p>
    <w:p w:rsidR="000A1804" w:rsidRPr="0042370A" w:rsidRDefault="000A1804" w:rsidP="000A1804">
      <w:pPr>
        <w:pStyle w:val="PIHeading1"/>
      </w:pPr>
      <w:r w:rsidRPr="0042370A">
        <w:t>NAME AND ADDRESS OF THE SPONSOR</w:t>
      </w:r>
    </w:p>
    <w:p w:rsidR="00E84BD9" w:rsidRPr="00B43EEA" w:rsidRDefault="000A1804" w:rsidP="00B43EEA">
      <w:pPr>
        <w:pStyle w:val="TextPI"/>
      </w:pPr>
      <w:r w:rsidRPr="00B43EEA">
        <w:t>Boehringer Ingelheim Pty Limited</w:t>
      </w:r>
    </w:p>
    <w:p w:rsidR="00E84BD9" w:rsidRPr="00B43EEA" w:rsidRDefault="000A1804" w:rsidP="00B43EEA">
      <w:pPr>
        <w:pStyle w:val="TextPI"/>
      </w:pPr>
      <w:r w:rsidRPr="00B43EEA">
        <w:t>ABN 52 000 452 308</w:t>
      </w:r>
    </w:p>
    <w:p w:rsidR="00E84BD9" w:rsidRPr="00B43EEA" w:rsidRDefault="000A1804" w:rsidP="00B43EEA">
      <w:pPr>
        <w:pStyle w:val="TextPI"/>
      </w:pPr>
      <w:r w:rsidRPr="00B43EEA">
        <w:t>78 Waterloo Road</w:t>
      </w:r>
    </w:p>
    <w:p w:rsidR="000A1804" w:rsidRPr="00B43EEA" w:rsidRDefault="000A1804" w:rsidP="00B43EEA">
      <w:pPr>
        <w:pStyle w:val="TextPI"/>
      </w:pPr>
      <w:r w:rsidRPr="00B43EEA">
        <w:t>North Ryde NSW 2113</w:t>
      </w:r>
    </w:p>
    <w:p w:rsidR="000A1804" w:rsidRPr="0042370A" w:rsidRDefault="000A1804" w:rsidP="000A1804">
      <w:pPr>
        <w:pStyle w:val="PIHeading1"/>
      </w:pPr>
      <w:r w:rsidRPr="0042370A">
        <w:t>POISON SCHEDULE OF THE MEDICINE</w:t>
      </w:r>
    </w:p>
    <w:p w:rsidR="000A1804" w:rsidRPr="00B43EEA" w:rsidRDefault="000A1804" w:rsidP="00B43EEA">
      <w:pPr>
        <w:pStyle w:val="TextPI"/>
      </w:pPr>
      <w:r w:rsidRPr="00B43EEA">
        <w:t>S4 – Prescription Only Medicine</w:t>
      </w:r>
    </w:p>
    <w:p w:rsidR="00694409" w:rsidRDefault="00694409" w:rsidP="00B43EEA">
      <w:pPr>
        <w:pStyle w:val="PIHeading1"/>
        <w:tabs>
          <w:tab w:val="clear" w:pos="1418"/>
          <w:tab w:val="left" w:pos="0"/>
        </w:tabs>
        <w:ind w:left="0" w:firstLine="0"/>
      </w:pPr>
      <w:r w:rsidRPr="00B43EEA">
        <w:t>Date of first inclusion in the Australian Register of Therapeutic Goods (the ARTG)</w:t>
      </w:r>
      <w:r w:rsidR="00923E19" w:rsidRPr="00B43EEA">
        <w:t>:</w:t>
      </w:r>
    </w:p>
    <w:p w:rsidR="006D17A1" w:rsidRPr="00B43EEA" w:rsidRDefault="009F0A55" w:rsidP="006D17A1">
      <w:pPr>
        <w:pStyle w:val="TextPI"/>
      </w:pPr>
      <w:r>
        <w:t>1</w:t>
      </w:r>
      <w:r w:rsidR="006D17A1" w:rsidRPr="006D17A1">
        <w:t xml:space="preserve"> </w:t>
      </w:r>
      <w:r w:rsidR="00AE5808">
        <w:t>September 2015</w:t>
      </w:r>
    </w:p>
    <w:sectPr w:rsidR="006D17A1" w:rsidRPr="00B43EEA" w:rsidSect="006C379E">
      <w:headerReference w:type="default" r:id="rId13"/>
      <w:footerReference w:type="default" r:id="rId14"/>
      <w:pgSz w:w="11923" w:h="16834" w:code="9"/>
      <w:pgMar w:top="1440" w:right="1440" w:bottom="156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75" w:rsidRDefault="00101E75" w:rsidP="00287F58">
      <w:r>
        <w:separator/>
      </w:r>
    </w:p>
  </w:endnote>
  <w:endnote w:type="continuationSeparator" w:id="0">
    <w:p w:rsidR="00101E75" w:rsidRDefault="00101E75" w:rsidP="0028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abon">
    <w:altName w:val="Constantia"/>
    <w:charset w:val="00"/>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2"/>
      </w:rPr>
      <w:id w:val="1984030203"/>
      <w:docPartObj>
        <w:docPartGallery w:val="Page Numbers (Bottom of Page)"/>
        <w:docPartUnique/>
      </w:docPartObj>
    </w:sdtPr>
    <w:sdtEndPr/>
    <w:sdtContent>
      <w:p w:rsidR="00505980" w:rsidRPr="004D760A" w:rsidRDefault="00505980">
        <w:pPr>
          <w:pStyle w:val="Footer"/>
          <w:rPr>
            <w:rFonts w:ascii="Arial" w:hAnsi="Arial" w:cs="Arial"/>
            <w:sz w:val="18"/>
            <w:szCs w:val="12"/>
          </w:rPr>
        </w:pPr>
        <w:r>
          <w:rPr>
            <w:rFonts w:ascii="Arial" w:hAnsi="Arial" w:cs="Arial"/>
            <w:sz w:val="18"/>
            <w:szCs w:val="12"/>
          </w:rPr>
          <w:t xml:space="preserve">VARGATEF </w:t>
        </w:r>
        <w:r w:rsidRPr="004D760A">
          <w:rPr>
            <w:rFonts w:ascii="Arial" w:hAnsi="Arial" w:cs="Arial"/>
            <w:sz w:val="18"/>
            <w:szCs w:val="12"/>
          </w:rPr>
          <w:t>PI015</w:t>
        </w:r>
        <w:r>
          <w:rPr>
            <w:rFonts w:ascii="Arial" w:hAnsi="Arial" w:cs="Arial"/>
            <w:sz w:val="18"/>
            <w:szCs w:val="12"/>
          </w:rPr>
          <w:t>9</w:t>
        </w:r>
        <w:r w:rsidRPr="004D760A">
          <w:rPr>
            <w:rFonts w:ascii="Arial" w:hAnsi="Arial" w:cs="Arial"/>
            <w:sz w:val="18"/>
            <w:szCs w:val="12"/>
          </w:rPr>
          <w:t xml:space="preserve">-01 </w:t>
        </w:r>
        <w:r w:rsidRPr="004D760A">
          <w:rPr>
            <w:rFonts w:ascii="Arial" w:hAnsi="Arial" w:cs="Arial"/>
            <w:sz w:val="18"/>
            <w:szCs w:val="12"/>
          </w:rPr>
          <w:tab/>
        </w:r>
        <w:r w:rsidRPr="004D760A">
          <w:rPr>
            <w:rFonts w:ascii="Arial" w:hAnsi="Arial" w:cs="Arial"/>
            <w:sz w:val="18"/>
            <w:szCs w:val="12"/>
          </w:rPr>
          <w:tab/>
        </w:r>
        <w:r w:rsidRPr="004D760A">
          <w:rPr>
            <w:rFonts w:ascii="Arial" w:hAnsi="Arial" w:cs="Arial"/>
            <w:sz w:val="18"/>
            <w:szCs w:val="12"/>
          </w:rPr>
          <w:fldChar w:fldCharType="begin"/>
        </w:r>
        <w:r w:rsidRPr="004D760A">
          <w:rPr>
            <w:rFonts w:ascii="Arial" w:hAnsi="Arial" w:cs="Arial"/>
            <w:sz w:val="18"/>
            <w:szCs w:val="12"/>
          </w:rPr>
          <w:instrText xml:space="preserve"> PAGE   \* MERGEFORMAT </w:instrText>
        </w:r>
        <w:r w:rsidRPr="004D760A">
          <w:rPr>
            <w:rFonts w:ascii="Arial" w:hAnsi="Arial" w:cs="Arial"/>
            <w:sz w:val="18"/>
            <w:szCs w:val="12"/>
          </w:rPr>
          <w:fldChar w:fldCharType="separate"/>
        </w:r>
        <w:r w:rsidR="00406FD1">
          <w:rPr>
            <w:rFonts w:ascii="Arial" w:hAnsi="Arial" w:cs="Arial"/>
            <w:noProof/>
            <w:sz w:val="18"/>
            <w:szCs w:val="12"/>
          </w:rPr>
          <w:t>27</w:t>
        </w:r>
        <w:r w:rsidRPr="004D760A">
          <w:rPr>
            <w:rFonts w:ascii="Arial" w:hAnsi="Arial" w:cs="Arial"/>
            <w:noProof/>
            <w:sz w:val="18"/>
            <w:szCs w:val="1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75" w:rsidRDefault="00101E75" w:rsidP="00287F58">
      <w:r>
        <w:separator/>
      </w:r>
    </w:p>
  </w:footnote>
  <w:footnote w:type="continuationSeparator" w:id="0">
    <w:p w:rsidR="00101E75" w:rsidRDefault="00101E75" w:rsidP="00287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406FD1" w:rsidRPr="00EF0DAF" w:rsidTr="00900692">
      <w:tc>
        <w:tcPr>
          <w:tcW w:w="8720" w:type="dxa"/>
          <w:shd w:val="clear" w:color="auto" w:fill="E4F2E0"/>
        </w:tcPr>
        <w:p w:rsidR="00406FD1" w:rsidRPr="00EF0DAF" w:rsidRDefault="00406FD1" w:rsidP="00900692">
          <w:pPr>
            <w:spacing w:before="40" w:after="40"/>
            <w:rPr>
              <w:b/>
              <w:sz w:val="20"/>
            </w:rPr>
          </w:pPr>
          <w:r w:rsidRPr="00EF0DAF">
            <w:rPr>
              <w:b/>
              <w:sz w:val="20"/>
            </w:rPr>
            <w:t xml:space="preserve">Attachment 1: Product information for </w:t>
          </w:r>
          <w:proofErr w:type="spellStart"/>
          <w:r w:rsidRPr="00EF0DAF">
            <w:rPr>
              <w:b/>
              <w:sz w:val="20"/>
            </w:rPr>
            <w:t>AusPAR</w:t>
          </w:r>
          <w:proofErr w:type="spellEnd"/>
          <w:r w:rsidRPr="00EF0DAF">
            <w:rPr>
              <w:b/>
              <w:sz w:val="20"/>
            </w:rPr>
            <w:t xml:space="preserve"> </w:t>
          </w:r>
          <w:proofErr w:type="spellStart"/>
          <w:r w:rsidRPr="00EF0DAF">
            <w:rPr>
              <w:b/>
              <w:sz w:val="20"/>
            </w:rPr>
            <w:t>Ofev</w:t>
          </w:r>
          <w:proofErr w:type="spellEnd"/>
          <w:r w:rsidRPr="00EF0DAF">
            <w:rPr>
              <w:b/>
              <w:sz w:val="20"/>
            </w:rPr>
            <w:t>/</w:t>
          </w:r>
          <w:proofErr w:type="spellStart"/>
          <w:proofErr w:type="gramStart"/>
          <w:r w:rsidRPr="00EF0DAF">
            <w:rPr>
              <w:b/>
              <w:sz w:val="20"/>
            </w:rPr>
            <w:t>Vargatef</w:t>
          </w:r>
          <w:proofErr w:type="spellEnd"/>
          <w:r w:rsidRPr="00EF0DAF">
            <w:rPr>
              <w:b/>
              <w:sz w:val="20"/>
            </w:rPr>
            <w:t xml:space="preserve">  </w:t>
          </w:r>
          <w:proofErr w:type="spellStart"/>
          <w:r w:rsidRPr="00EF0DAF">
            <w:rPr>
              <w:b/>
              <w:sz w:val="20"/>
            </w:rPr>
            <w:t>Boehringer</w:t>
          </w:r>
          <w:proofErr w:type="spellEnd"/>
          <w:proofErr w:type="gramEnd"/>
          <w:r w:rsidRPr="00EF0DAF">
            <w:rPr>
              <w:b/>
              <w:sz w:val="20"/>
            </w:rPr>
            <w:t xml:space="preserve"> </w:t>
          </w:r>
          <w:proofErr w:type="spellStart"/>
          <w:r w:rsidRPr="00EF0DAF">
            <w:rPr>
              <w:b/>
              <w:sz w:val="20"/>
            </w:rPr>
            <w:t>Ingelheim</w:t>
          </w:r>
          <w:proofErr w:type="spellEnd"/>
          <w:r w:rsidRPr="00EF0DAF">
            <w:rPr>
              <w:b/>
              <w:sz w:val="20"/>
            </w:rPr>
            <w:t xml:space="preserve"> Pty Ltd PM-2014-01847-1-4 Final 8 February 2016. This Product Information was approved at the time this </w:t>
          </w:r>
          <w:proofErr w:type="spellStart"/>
          <w:r w:rsidRPr="00EF0DAF">
            <w:rPr>
              <w:b/>
              <w:sz w:val="20"/>
            </w:rPr>
            <w:t>AusPAR</w:t>
          </w:r>
          <w:proofErr w:type="spellEnd"/>
          <w:r w:rsidRPr="00EF0DAF">
            <w:rPr>
              <w:b/>
              <w:sz w:val="20"/>
            </w:rPr>
            <w:t xml:space="preserve"> was published.</w:t>
          </w:r>
        </w:p>
      </w:tc>
    </w:tr>
  </w:tbl>
  <w:p w:rsidR="00505980" w:rsidRDefault="00505980">
    <w:pPr>
      <w:tabs>
        <w:tab w:val="left" w:pos="3403"/>
        <w:tab w:val="center" w:pos="79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7DA"/>
    <w:multiLevelType w:val="hybridMultilevel"/>
    <w:tmpl w:val="CCD82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4E43E3"/>
    <w:multiLevelType w:val="hybridMultilevel"/>
    <w:tmpl w:val="2A72D160"/>
    <w:lvl w:ilvl="0" w:tplc="200CB6AA">
      <w:start w:val="1"/>
      <w:numFmt w:val="bullet"/>
      <w:lvlText w:val="o"/>
      <w:lvlJc w:val="left"/>
      <w:pPr>
        <w:ind w:left="720" w:hanging="360"/>
      </w:pPr>
      <w:rPr>
        <w:rFonts w:ascii="Courier New" w:hAnsi="Courier New" w:hint="default"/>
        <w:sz w:val="18"/>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6E1E54"/>
    <w:multiLevelType w:val="hybridMultilevel"/>
    <w:tmpl w:val="EE6C5A5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E97574D"/>
    <w:multiLevelType w:val="hybridMultilevel"/>
    <w:tmpl w:val="FA16A60E"/>
    <w:lvl w:ilvl="0" w:tplc="0C09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041AEC"/>
    <w:multiLevelType w:val="multilevel"/>
    <w:tmpl w:val="28E4065A"/>
    <w:lvl w:ilvl="0">
      <w:start w:val="1"/>
      <w:numFmt w:val="decimal"/>
      <w:pStyle w:val="TableLabel"/>
      <w:lvlText w:val="Table %1"/>
      <w:lvlJc w:val="left"/>
      <w:pPr>
        <w:tabs>
          <w:tab w:val="num" w:pos="2410"/>
        </w:tabs>
        <w:ind w:left="2410" w:hanging="2268"/>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TableLabelcont"/>
      <w:lvlText w:val="%2Table %1 (cont'd)"/>
      <w:lvlJc w:val="left"/>
      <w:pPr>
        <w:tabs>
          <w:tab w:val="num" w:pos="2268"/>
        </w:tabs>
        <w:ind w:left="2268" w:hanging="22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F066889"/>
    <w:multiLevelType w:val="hybridMultilevel"/>
    <w:tmpl w:val="1CBCC704"/>
    <w:lvl w:ilvl="0" w:tplc="1ACEC3B2">
      <w:start w:val="1"/>
      <w:numFmt w:val="bullet"/>
      <w:pStyle w:val="TextPI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3D73AA2"/>
    <w:multiLevelType w:val="hybridMultilevel"/>
    <w:tmpl w:val="3FECAD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ADE314E"/>
    <w:multiLevelType w:val="multilevel"/>
    <w:tmpl w:val="9F448354"/>
    <w:lvl w:ilvl="0">
      <w:start w:val="1"/>
      <w:numFmt w:val="decimal"/>
      <w:pStyle w:val="FigureLabel"/>
      <w:lvlText w:val="Figure %1"/>
      <w:lvlJc w:val="left"/>
      <w:pPr>
        <w:tabs>
          <w:tab w:val="num" w:pos="2268"/>
        </w:tabs>
        <w:ind w:left="2268" w:hanging="2268"/>
      </w:pPr>
      <w:rPr>
        <w:rFonts w:hint="default"/>
        <w:sz w:val="24"/>
        <w:szCs w:val="24"/>
      </w:rPr>
    </w:lvl>
    <w:lvl w:ilvl="1">
      <w:start w:val="1"/>
      <w:numFmt w:val="none"/>
      <w:pStyle w:val="FigureLabelcont"/>
      <w:lvlText w:val="Figure %1 (cont'd)"/>
      <w:lvlJc w:val="left"/>
      <w:pPr>
        <w:tabs>
          <w:tab w:val="num" w:pos="2268"/>
        </w:tabs>
        <w:ind w:left="2268" w:hanging="2268"/>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209725B"/>
    <w:multiLevelType w:val="singleLevel"/>
    <w:tmpl w:val="CC126DBC"/>
    <w:lvl w:ilvl="0">
      <w:start w:val="1"/>
      <w:numFmt w:val="decimal"/>
      <w:pStyle w:val="bullet1"/>
      <w:lvlText w:val="%1."/>
      <w:lvlJc w:val="left"/>
      <w:pPr>
        <w:tabs>
          <w:tab w:val="num" w:pos="1134"/>
        </w:tabs>
        <w:ind w:left="1134" w:hanging="1134"/>
      </w:pPr>
    </w:lvl>
  </w:abstractNum>
  <w:abstractNum w:abstractNumId="9">
    <w:nsid w:val="6C3039D8"/>
    <w:multiLevelType w:val="hybridMultilevel"/>
    <w:tmpl w:val="CB482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3"/>
  </w:num>
  <w:num w:numId="6">
    <w:abstractNumId w:val="1"/>
  </w:num>
  <w:num w:numId="7">
    <w:abstractNumId w:val="9"/>
  </w:num>
  <w:num w:numId="8">
    <w:abstractNumId w:val="7"/>
  </w:num>
  <w:num w:numId="9">
    <w:abstractNumId w:val="4"/>
  </w:num>
  <w:num w:numId="10">
    <w:abstractNumId w:val="7"/>
  </w:num>
  <w:num w:numId="11">
    <w:abstractNumId w:val="7"/>
  </w:num>
  <w:num w:numId="12">
    <w:abstractNumId w:val="7"/>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1"/>
  <w:doNotHyphenateCaps/>
  <w:displayHorizontalDrawingGridEvery w:val="0"/>
  <w:displayVerticalDrawingGridEvery w:val="0"/>
  <w:doNotUseMarginsForDrawingGridOrigin/>
  <w:doNotShadeFormData/>
  <w:noPunctuationKerning/>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54"/>
    <w:rsid w:val="000005D4"/>
    <w:rsid w:val="000041B9"/>
    <w:rsid w:val="00004BBE"/>
    <w:rsid w:val="00005C30"/>
    <w:rsid w:val="00005FD5"/>
    <w:rsid w:val="00014579"/>
    <w:rsid w:val="000211D8"/>
    <w:rsid w:val="00025FCB"/>
    <w:rsid w:val="0003121B"/>
    <w:rsid w:val="00031854"/>
    <w:rsid w:val="0003332A"/>
    <w:rsid w:val="00035FE8"/>
    <w:rsid w:val="00040AE0"/>
    <w:rsid w:val="00042540"/>
    <w:rsid w:val="00042B08"/>
    <w:rsid w:val="00042BA6"/>
    <w:rsid w:val="00047718"/>
    <w:rsid w:val="00050E10"/>
    <w:rsid w:val="00057F06"/>
    <w:rsid w:val="000611B6"/>
    <w:rsid w:val="0006227F"/>
    <w:rsid w:val="00065629"/>
    <w:rsid w:val="0006756F"/>
    <w:rsid w:val="00071E32"/>
    <w:rsid w:val="00072596"/>
    <w:rsid w:val="0007321E"/>
    <w:rsid w:val="0008236D"/>
    <w:rsid w:val="00085D70"/>
    <w:rsid w:val="00092CC4"/>
    <w:rsid w:val="000933C4"/>
    <w:rsid w:val="0009466F"/>
    <w:rsid w:val="000A038A"/>
    <w:rsid w:val="000A1804"/>
    <w:rsid w:val="000A1EBE"/>
    <w:rsid w:val="000A341D"/>
    <w:rsid w:val="000B42F4"/>
    <w:rsid w:val="000B4EFC"/>
    <w:rsid w:val="000B6A21"/>
    <w:rsid w:val="000C4DC4"/>
    <w:rsid w:val="000C75F9"/>
    <w:rsid w:val="000D09B9"/>
    <w:rsid w:val="000D1AD9"/>
    <w:rsid w:val="000D3585"/>
    <w:rsid w:val="000D4451"/>
    <w:rsid w:val="000E1693"/>
    <w:rsid w:val="000E49AB"/>
    <w:rsid w:val="000E6EB5"/>
    <w:rsid w:val="000F3385"/>
    <w:rsid w:val="000F4CE5"/>
    <w:rsid w:val="00101B6C"/>
    <w:rsid w:val="00101E75"/>
    <w:rsid w:val="00106AEB"/>
    <w:rsid w:val="00113B1C"/>
    <w:rsid w:val="00116C37"/>
    <w:rsid w:val="0012105E"/>
    <w:rsid w:val="00122245"/>
    <w:rsid w:val="00123167"/>
    <w:rsid w:val="00130871"/>
    <w:rsid w:val="00130E4B"/>
    <w:rsid w:val="00131047"/>
    <w:rsid w:val="00131CDD"/>
    <w:rsid w:val="00132933"/>
    <w:rsid w:val="00134151"/>
    <w:rsid w:val="001343F2"/>
    <w:rsid w:val="001448C9"/>
    <w:rsid w:val="00145E66"/>
    <w:rsid w:val="0014683A"/>
    <w:rsid w:val="001470B1"/>
    <w:rsid w:val="00152260"/>
    <w:rsid w:val="00152A19"/>
    <w:rsid w:val="00153CD6"/>
    <w:rsid w:val="0016572E"/>
    <w:rsid w:val="00170614"/>
    <w:rsid w:val="00171945"/>
    <w:rsid w:val="0017580A"/>
    <w:rsid w:val="0018275E"/>
    <w:rsid w:val="00182861"/>
    <w:rsid w:val="0018627A"/>
    <w:rsid w:val="00187960"/>
    <w:rsid w:val="0019009E"/>
    <w:rsid w:val="001902FA"/>
    <w:rsid w:val="00194DC6"/>
    <w:rsid w:val="0019560F"/>
    <w:rsid w:val="001962D2"/>
    <w:rsid w:val="001A7050"/>
    <w:rsid w:val="001B205F"/>
    <w:rsid w:val="001B3F62"/>
    <w:rsid w:val="001B3FC0"/>
    <w:rsid w:val="001B59F1"/>
    <w:rsid w:val="001B6E0D"/>
    <w:rsid w:val="001C0404"/>
    <w:rsid w:val="001C42D1"/>
    <w:rsid w:val="001C541E"/>
    <w:rsid w:val="001D0017"/>
    <w:rsid w:val="001D1C54"/>
    <w:rsid w:val="001D29FA"/>
    <w:rsid w:val="001D38DC"/>
    <w:rsid w:val="001D5A70"/>
    <w:rsid w:val="001D647F"/>
    <w:rsid w:val="001E3FA4"/>
    <w:rsid w:val="001E5F36"/>
    <w:rsid w:val="001E7CD1"/>
    <w:rsid w:val="001F368B"/>
    <w:rsid w:val="001F6036"/>
    <w:rsid w:val="00200208"/>
    <w:rsid w:val="0020404D"/>
    <w:rsid w:val="00205321"/>
    <w:rsid w:val="00211FC2"/>
    <w:rsid w:val="002128F3"/>
    <w:rsid w:val="00213207"/>
    <w:rsid w:val="00213BEE"/>
    <w:rsid w:val="002213AE"/>
    <w:rsid w:val="00223FA3"/>
    <w:rsid w:val="00225556"/>
    <w:rsid w:val="002259A4"/>
    <w:rsid w:val="002260F2"/>
    <w:rsid w:val="002309E5"/>
    <w:rsid w:val="00232A64"/>
    <w:rsid w:val="002331E8"/>
    <w:rsid w:val="00234108"/>
    <w:rsid w:val="00234E24"/>
    <w:rsid w:val="00235750"/>
    <w:rsid w:val="00241DEA"/>
    <w:rsid w:val="00245108"/>
    <w:rsid w:val="002544F0"/>
    <w:rsid w:val="002549D9"/>
    <w:rsid w:val="002565B9"/>
    <w:rsid w:val="00256C1C"/>
    <w:rsid w:val="00261848"/>
    <w:rsid w:val="00261A62"/>
    <w:rsid w:val="00266B38"/>
    <w:rsid w:val="002712D4"/>
    <w:rsid w:val="00275E23"/>
    <w:rsid w:val="00281438"/>
    <w:rsid w:val="00287D5D"/>
    <w:rsid w:val="00287F58"/>
    <w:rsid w:val="0029020D"/>
    <w:rsid w:val="00292497"/>
    <w:rsid w:val="00292D90"/>
    <w:rsid w:val="002A2EC4"/>
    <w:rsid w:val="002A55F0"/>
    <w:rsid w:val="002B2869"/>
    <w:rsid w:val="002B5396"/>
    <w:rsid w:val="002B5AC0"/>
    <w:rsid w:val="002B5DDA"/>
    <w:rsid w:val="002B5E4F"/>
    <w:rsid w:val="002C4443"/>
    <w:rsid w:val="002C4BBC"/>
    <w:rsid w:val="002D1035"/>
    <w:rsid w:val="002D17F5"/>
    <w:rsid w:val="002D3509"/>
    <w:rsid w:val="002D667D"/>
    <w:rsid w:val="002D6A70"/>
    <w:rsid w:val="002E289C"/>
    <w:rsid w:val="002E3015"/>
    <w:rsid w:val="002E39AC"/>
    <w:rsid w:val="002E461D"/>
    <w:rsid w:val="002E69FC"/>
    <w:rsid w:val="002F021D"/>
    <w:rsid w:val="002F33AA"/>
    <w:rsid w:val="002F3BDA"/>
    <w:rsid w:val="002F45F5"/>
    <w:rsid w:val="002F7684"/>
    <w:rsid w:val="00300289"/>
    <w:rsid w:val="003011F3"/>
    <w:rsid w:val="00301B0F"/>
    <w:rsid w:val="00301F6D"/>
    <w:rsid w:val="00301FCF"/>
    <w:rsid w:val="0030477C"/>
    <w:rsid w:val="00304A34"/>
    <w:rsid w:val="00305373"/>
    <w:rsid w:val="003054F8"/>
    <w:rsid w:val="00305C96"/>
    <w:rsid w:val="003124EB"/>
    <w:rsid w:val="00313FB7"/>
    <w:rsid w:val="0032121C"/>
    <w:rsid w:val="00321FBF"/>
    <w:rsid w:val="00322600"/>
    <w:rsid w:val="00323522"/>
    <w:rsid w:val="00324403"/>
    <w:rsid w:val="0032527A"/>
    <w:rsid w:val="00331357"/>
    <w:rsid w:val="0033290D"/>
    <w:rsid w:val="003329F1"/>
    <w:rsid w:val="00336DF7"/>
    <w:rsid w:val="00342ACA"/>
    <w:rsid w:val="00345686"/>
    <w:rsid w:val="00346A77"/>
    <w:rsid w:val="00360554"/>
    <w:rsid w:val="00360FCD"/>
    <w:rsid w:val="00362DF0"/>
    <w:rsid w:val="003706D1"/>
    <w:rsid w:val="00371E00"/>
    <w:rsid w:val="0037266E"/>
    <w:rsid w:val="00372DC1"/>
    <w:rsid w:val="00374232"/>
    <w:rsid w:val="003773BA"/>
    <w:rsid w:val="00390A6C"/>
    <w:rsid w:val="00392B62"/>
    <w:rsid w:val="00392C09"/>
    <w:rsid w:val="003937B8"/>
    <w:rsid w:val="00397C5A"/>
    <w:rsid w:val="003A37F2"/>
    <w:rsid w:val="003A3A6A"/>
    <w:rsid w:val="003A5380"/>
    <w:rsid w:val="003A623A"/>
    <w:rsid w:val="003B2190"/>
    <w:rsid w:val="003B5D3B"/>
    <w:rsid w:val="003C109C"/>
    <w:rsid w:val="003D041C"/>
    <w:rsid w:val="003D0546"/>
    <w:rsid w:val="003D4CB3"/>
    <w:rsid w:val="003F0772"/>
    <w:rsid w:val="003F7916"/>
    <w:rsid w:val="00406FD1"/>
    <w:rsid w:val="00407C12"/>
    <w:rsid w:val="00411172"/>
    <w:rsid w:val="00412E34"/>
    <w:rsid w:val="00413A88"/>
    <w:rsid w:val="00414A79"/>
    <w:rsid w:val="004200C4"/>
    <w:rsid w:val="0042370A"/>
    <w:rsid w:val="004244D1"/>
    <w:rsid w:val="00425EC5"/>
    <w:rsid w:val="00426CFA"/>
    <w:rsid w:val="00427020"/>
    <w:rsid w:val="004279BC"/>
    <w:rsid w:val="00432A28"/>
    <w:rsid w:val="00433FAC"/>
    <w:rsid w:val="00433FF3"/>
    <w:rsid w:val="00437C7A"/>
    <w:rsid w:val="00437D17"/>
    <w:rsid w:val="004431AB"/>
    <w:rsid w:val="004547B4"/>
    <w:rsid w:val="00456CDF"/>
    <w:rsid w:val="004615CD"/>
    <w:rsid w:val="00461FD0"/>
    <w:rsid w:val="00462506"/>
    <w:rsid w:val="004865D7"/>
    <w:rsid w:val="00486C70"/>
    <w:rsid w:val="00491142"/>
    <w:rsid w:val="00494788"/>
    <w:rsid w:val="004B3131"/>
    <w:rsid w:val="004B52A2"/>
    <w:rsid w:val="004B5B6A"/>
    <w:rsid w:val="004B6F4C"/>
    <w:rsid w:val="004C2D8D"/>
    <w:rsid w:val="004C48D2"/>
    <w:rsid w:val="004D1CBE"/>
    <w:rsid w:val="004D3AB6"/>
    <w:rsid w:val="004D760A"/>
    <w:rsid w:val="004D7C50"/>
    <w:rsid w:val="004E0F71"/>
    <w:rsid w:val="004E11D0"/>
    <w:rsid w:val="004E39B8"/>
    <w:rsid w:val="004E6BC7"/>
    <w:rsid w:val="004F0B5D"/>
    <w:rsid w:val="004F1936"/>
    <w:rsid w:val="004F2A43"/>
    <w:rsid w:val="004F3E58"/>
    <w:rsid w:val="004F734A"/>
    <w:rsid w:val="00504E2D"/>
    <w:rsid w:val="00505980"/>
    <w:rsid w:val="00505DFA"/>
    <w:rsid w:val="005137B5"/>
    <w:rsid w:val="0051793A"/>
    <w:rsid w:val="00520522"/>
    <w:rsid w:val="00520E96"/>
    <w:rsid w:val="0052557A"/>
    <w:rsid w:val="00525816"/>
    <w:rsid w:val="00525CDC"/>
    <w:rsid w:val="00531AAF"/>
    <w:rsid w:val="00534183"/>
    <w:rsid w:val="0053699A"/>
    <w:rsid w:val="00537E99"/>
    <w:rsid w:val="005400DF"/>
    <w:rsid w:val="00540888"/>
    <w:rsid w:val="00540C1C"/>
    <w:rsid w:val="005451D7"/>
    <w:rsid w:val="00547B98"/>
    <w:rsid w:val="005634EA"/>
    <w:rsid w:val="00564C2E"/>
    <w:rsid w:val="00567AEF"/>
    <w:rsid w:val="00572521"/>
    <w:rsid w:val="00573500"/>
    <w:rsid w:val="005808D4"/>
    <w:rsid w:val="005811AF"/>
    <w:rsid w:val="005812DE"/>
    <w:rsid w:val="005848B6"/>
    <w:rsid w:val="00586264"/>
    <w:rsid w:val="00591419"/>
    <w:rsid w:val="0059634F"/>
    <w:rsid w:val="005A086D"/>
    <w:rsid w:val="005B17C1"/>
    <w:rsid w:val="005B1D5D"/>
    <w:rsid w:val="005B2A3F"/>
    <w:rsid w:val="005C4873"/>
    <w:rsid w:val="005D05B9"/>
    <w:rsid w:val="005D6F47"/>
    <w:rsid w:val="005D758C"/>
    <w:rsid w:val="005E1F63"/>
    <w:rsid w:val="005E3E22"/>
    <w:rsid w:val="005E52EF"/>
    <w:rsid w:val="005F2B8D"/>
    <w:rsid w:val="005F3246"/>
    <w:rsid w:val="005F3BE9"/>
    <w:rsid w:val="00601C68"/>
    <w:rsid w:val="00610EA9"/>
    <w:rsid w:val="0061101C"/>
    <w:rsid w:val="006128F4"/>
    <w:rsid w:val="006130A2"/>
    <w:rsid w:val="006149A5"/>
    <w:rsid w:val="006158D4"/>
    <w:rsid w:val="006172B4"/>
    <w:rsid w:val="00617B9B"/>
    <w:rsid w:val="006202BE"/>
    <w:rsid w:val="00622F9F"/>
    <w:rsid w:val="00635D87"/>
    <w:rsid w:val="00637F0F"/>
    <w:rsid w:val="00641457"/>
    <w:rsid w:val="00643EFE"/>
    <w:rsid w:val="00644543"/>
    <w:rsid w:val="00645B1C"/>
    <w:rsid w:val="00651D64"/>
    <w:rsid w:val="00660479"/>
    <w:rsid w:val="00663BDF"/>
    <w:rsid w:val="00674513"/>
    <w:rsid w:val="00676ED5"/>
    <w:rsid w:val="006771AC"/>
    <w:rsid w:val="00682720"/>
    <w:rsid w:val="00683F86"/>
    <w:rsid w:val="006907DA"/>
    <w:rsid w:val="00691492"/>
    <w:rsid w:val="00692426"/>
    <w:rsid w:val="00694409"/>
    <w:rsid w:val="006A38D8"/>
    <w:rsid w:val="006A7D87"/>
    <w:rsid w:val="006C1A3A"/>
    <w:rsid w:val="006C25EC"/>
    <w:rsid w:val="006C2788"/>
    <w:rsid w:val="006C379E"/>
    <w:rsid w:val="006D0A62"/>
    <w:rsid w:val="006D17A1"/>
    <w:rsid w:val="006D3A9D"/>
    <w:rsid w:val="006D4DE2"/>
    <w:rsid w:val="006D6016"/>
    <w:rsid w:val="006D62BB"/>
    <w:rsid w:val="006E1339"/>
    <w:rsid w:val="006E77A3"/>
    <w:rsid w:val="006F0189"/>
    <w:rsid w:val="006F1270"/>
    <w:rsid w:val="006F3132"/>
    <w:rsid w:val="006F4319"/>
    <w:rsid w:val="006F4BE4"/>
    <w:rsid w:val="006F5DDE"/>
    <w:rsid w:val="00703A33"/>
    <w:rsid w:val="0071007A"/>
    <w:rsid w:val="007148C2"/>
    <w:rsid w:val="0071766C"/>
    <w:rsid w:val="00722896"/>
    <w:rsid w:val="0072391C"/>
    <w:rsid w:val="00724CF0"/>
    <w:rsid w:val="00733A2C"/>
    <w:rsid w:val="007353AE"/>
    <w:rsid w:val="007359A5"/>
    <w:rsid w:val="00736326"/>
    <w:rsid w:val="0074122A"/>
    <w:rsid w:val="0074190C"/>
    <w:rsid w:val="007501C4"/>
    <w:rsid w:val="00755549"/>
    <w:rsid w:val="007609BA"/>
    <w:rsid w:val="007615D1"/>
    <w:rsid w:val="00762DB6"/>
    <w:rsid w:val="0076317D"/>
    <w:rsid w:val="00764374"/>
    <w:rsid w:val="00764B7F"/>
    <w:rsid w:val="00764C4D"/>
    <w:rsid w:val="00776941"/>
    <w:rsid w:val="007820CF"/>
    <w:rsid w:val="00786B36"/>
    <w:rsid w:val="00787FF9"/>
    <w:rsid w:val="007961BD"/>
    <w:rsid w:val="00797910"/>
    <w:rsid w:val="007A6321"/>
    <w:rsid w:val="007A7C3F"/>
    <w:rsid w:val="007B16E1"/>
    <w:rsid w:val="007B610A"/>
    <w:rsid w:val="007C30A5"/>
    <w:rsid w:val="007D0666"/>
    <w:rsid w:val="007D0AA9"/>
    <w:rsid w:val="007D74D7"/>
    <w:rsid w:val="007D7781"/>
    <w:rsid w:val="007E12C8"/>
    <w:rsid w:val="007E556F"/>
    <w:rsid w:val="007E6696"/>
    <w:rsid w:val="007F29F2"/>
    <w:rsid w:val="007F6244"/>
    <w:rsid w:val="008040E0"/>
    <w:rsid w:val="0081488A"/>
    <w:rsid w:val="00822960"/>
    <w:rsid w:val="00823D32"/>
    <w:rsid w:val="00827EE9"/>
    <w:rsid w:val="0083306C"/>
    <w:rsid w:val="00833F8F"/>
    <w:rsid w:val="00835E1F"/>
    <w:rsid w:val="00837E92"/>
    <w:rsid w:val="0084172B"/>
    <w:rsid w:val="0084444B"/>
    <w:rsid w:val="00844729"/>
    <w:rsid w:val="0084722A"/>
    <w:rsid w:val="008547A3"/>
    <w:rsid w:val="008549CB"/>
    <w:rsid w:val="00856604"/>
    <w:rsid w:val="00860C03"/>
    <w:rsid w:val="00860FA6"/>
    <w:rsid w:val="00860FDA"/>
    <w:rsid w:val="00861B5E"/>
    <w:rsid w:val="00865D99"/>
    <w:rsid w:val="0086633C"/>
    <w:rsid w:val="00870C60"/>
    <w:rsid w:val="00875C61"/>
    <w:rsid w:val="00876463"/>
    <w:rsid w:val="00877F12"/>
    <w:rsid w:val="00882247"/>
    <w:rsid w:val="008878FA"/>
    <w:rsid w:val="008961FC"/>
    <w:rsid w:val="00896284"/>
    <w:rsid w:val="008A0B54"/>
    <w:rsid w:val="008A1997"/>
    <w:rsid w:val="008A3D38"/>
    <w:rsid w:val="008A4F84"/>
    <w:rsid w:val="008A534D"/>
    <w:rsid w:val="008A5610"/>
    <w:rsid w:val="008A69C6"/>
    <w:rsid w:val="008B36FC"/>
    <w:rsid w:val="008B3882"/>
    <w:rsid w:val="008B4DFD"/>
    <w:rsid w:val="008C169A"/>
    <w:rsid w:val="008C28BB"/>
    <w:rsid w:val="008C3B77"/>
    <w:rsid w:val="008C416A"/>
    <w:rsid w:val="008C42B3"/>
    <w:rsid w:val="008C5199"/>
    <w:rsid w:val="008D763A"/>
    <w:rsid w:val="008E1E8A"/>
    <w:rsid w:val="008E2024"/>
    <w:rsid w:val="008F0BB8"/>
    <w:rsid w:val="008F21C6"/>
    <w:rsid w:val="008F2289"/>
    <w:rsid w:val="008F3C67"/>
    <w:rsid w:val="008F4485"/>
    <w:rsid w:val="0090124B"/>
    <w:rsid w:val="00904E3C"/>
    <w:rsid w:val="00907003"/>
    <w:rsid w:val="0090729D"/>
    <w:rsid w:val="00910460"/>
    <w:rsid w:val="00913BD8"/>
    <w:rsid w:val="00917013"/>
    <w:rsid w:val="009233A9"/>
    <w:rsid w:val="00923E19"/>
    <w:rsid w:val="0092600A"/>
    <w:rsid w:val="00926F80"/>
    <w:rsid w:val="00930B9E"/>
    <w:rsid w:val="00931B60"/>
    <w:rsid w:val="00935679"/>
    <w:rsid w:val="009368E8"/>
    <w:rsid w:val="009432C5"/>
    <w:rsid w:val="009436FB"/>
    <w:rsid w:val="00944490"/>
    <w:rsid w:val="00954076"/>
    <w:rsid w:val="00955F15"/>
    <w:rsid w:val="0095623A"/>
    <w:rsid w:val="009602A1"/>
    <w:rsid w:val="00961E54"/>
    <w:rsid w:val="00962F51"/>
    <w:rsid w:val="009642F2"/>
    <w:rsid w:val="009652D7"/>
    <w:rsid w:val="009656E2"/>
    <w:rsid w:val="00966416"/>
    <w:rsid w:val="00966717"/>
    <w:rsid w:val="00970FE3"/>
    <w:rsid w:val="00971E2D"/>
    <w:rsid w:val="00982116"/>
    <w:rsid w:val="00983F71"/>
    <w:rsid w:val="00985C9F"/>
    <w:rsid w:val="00986D63"/>
    <w:rsid w:val="00992426"/>
    <w:rsid w:val="00994215"/>
    <w:rsid w:val="009956D8"/>
    <w:rsid w:val="009971CE"/>
    <w:rsid w:val="009A1C57"/>
    <w:rsid w:val="009A6F7E"/>
    <w:rsid w:val="009B63D1"/>
    <w:rsid w:val="009B6C78"/>
    <w:rsid w:val="009C104C"/>
    <w:rsid w:val="009C18D3"/>
    <w:rsid w:val="009C2FB5"/>
    <w:rsid w:val="009C49A3"/>
    <w:rsid w:val="009C4C77"/>
    <w:rsid w:val="009C5B31"/>
    <w:rsid w:val="009C69A2"/>
    <w:rsid w:val="009C77A9"/>
    <w:rsid w:val="009D1126"/>
    <w:rsid w:val="009D1299"/>
    <w:rsid w:val="009D18D6"/>
    <w:rsid w:val="009E19AA"/>
    <w:rsid w:val="009E2A3C"/>
    <w:rsid w:val="009F0A55"/>
    <w:rsid w:val="009F370D"/>
    <w:rsid w:val="00A0670D"/>
    <w:rsid w:val="00A24210"/>
    <w:rsid w:val="00A24338"/>
    <w:rsid w:val="00A272B5"/>
    <w:rsid w:val="00A32C40"/>
    <w:rsid w:val="00A35C51"/>
    <w:rsid w:val="00A4217D"/>
    <w:rsid w:val="00A5347F"/>
    <w:rsid w:val="00A53FA0"/>
    <w:rsid w:val="00A543C9"/>
    <w:rsid w:val="00A54BC4"/>
    <w:rsid w:val="00A61E60"/>
    <w:rsid w:val="00A65AEF"/>
    <w:rsid w:val="00A75A75"/>
    <w:rsid w:val="00A75C6D"/>
    <w:rsid w:val="00A77A61"/>
    <w:rsid w:val="00A813AB"/>
    <w:rsid w:val="00A83D28"/>
    <w:rsid w:val="00A865D8"/>
    <w:rsid w:val="00A9394E"/>
    <w:rsid w:val="00A94C8F"/>
    <w:rsid w:val="00AA53E5"/>
    <w:rsid w:val="00AB150A"/>
    <w:rsid w:val="00AB2033"/>
    <w:rsid w:val="00AB4E0E"/>
    <w:rsid w:val="00AC2ABA"/>
    <w:rsid w:val="00AC56C3"/>
    <w:rsid w:val="00AC76DF"/>
    <w:rsid w:val="00AD15D0"/>
    <w:rsid w:val="00AD1AB9"/>
    <w:rsid w:val="00AD1AE7"/>
    <w:rsid w:val="00AD1C14"/>
    <w:rsid w:val="00AD1CDA"/>
    <w:rsid w:val="00AD4864"/>
    <w:rsid w:val="00AD64F7"/>
    <w:rsid w:val="00AD7874"/>
    <w:rsid w:val="00AE0D0C"/>
    <w:rsid w:val="00AE4580"/>
    <w:rsid w:val="00AE5808"/>
    <w:rsid w:val="00AE5B28"/>
    <w:rsid w:val="00AE7C96"/>
    <w:rsid w:val="00AF2C26"/>
    <w:rsid w:val="00B0295E"/>
    <w:rsid w:val="00B07132"/>
    <w:rsid w:val="00B107C9"/>
    <w:rsid w:val="00B12652"/>
    <w:rsid w:val="00B20C64"/>
    <w:rsid w:val="00B20DDB"/>
    <w:rsid w:val="00B24E40"/>
    <w:rsid w:val="00B267B8"/>
    <w:rsid w:val="00B35876"/>
    <w:rsid w:val="00B422AB"/>
    <w:rsid w:val="00B42488"/>
    <w:rsid w:val="00B43EEA"/>
    <w:rsid w:val="00B44310"/>
    <w:rsid w:val="00B60D4B"/>
    <w:rsid w:val="00B61CB1"/>
    <w:rsid w:val="00B646A4"/>
    <w:rsid w:val="00B67B79"/>
    <w:rsid w:val="00B70079"/>
    <w:rsid w:val="00B75C60"/>
    <w:rsid w:val="00B75CEF"/>
    <w:rsid w:val="00B77478"/>
    <w:rsid w:val="00B80000"/>
    <w:rsid w:val="00B80F94"/>
    <w:rsid w:val="00B81F31"/>
    <w:rsid w:val="00B8359B"/>
    <w:rsid w:val="00B935D6"/>
    <w:rsid w:val="00B93A04"/>
    <w:rsid w:val="00BA3740"/>
    <w:rsid w:val="00BA6BA0"/>
    <w:rsid w:val="00BB0716"/>
    <w:rsid w:val="00BB4164"/>
    <w:rsid w:val="00BC1B62"/>
    <w:rsid w:val="00BC2379"/>
    <w:rsid w:val="00BC237C"/>
    <w:rsid w:val="00BD15A2"/>
    <w:rsid w:val="00BD2259"/>
    <w:rsid w:val="00BD56DD"/>
    <w:rsid w:val="00BD5C57"/>
    <w:rsid w:val="00BD6F7A"/>
    <w:rsid w:val="00BD7E97"/>
    <w:rsid w:val="00BE1BA2"/>
    <w:rsid w:val="00BE6714"/>
    <w:rsid w:val="00BE7CA5"/>
    <w:rsid w:val="00BF112E"/>
    <w:rsid w:val="00BF21E9"/>
    <w:rsid w:val="00BF2BDC"/>
    <w:rsid w:val="00BF6144"/>
    <w:rsid w:val="00BF6DAB"/>
    <w:rsid w:val="00BF6F5F"/>
    <w:rsid w:val="00C02FFA"/>
    <w:rsid w:val="00C06153"/>
    <w:rsid w:val="00C16254"/>
    <w:rsid w:val="00C16EF3"/>
    <w:rsid w:val="00C223ED"/>
    <w:rsid w:val="00C24228"/>
    <w:rsid w:val="00C27A4B"/>
    <w:rsid w:val="00C30F29"/>
    <w:rsid w:val="00C3419E"/>
    <w:rsid w:val="00C34899"/>
    <w:rsid w:val="00C4632A"/>
    <w:rsid w:val="00C4738E"/>
    <w:rsid w:val="00C47EC0"/>
    <w:rsid w:val="00C53CA0"/>
    <w:rsid w:val="00C53E9D"/>
    <w:rsid w:val="00C541C4"/>
    <w:rsid w:val="00C56239"/>
    <w:rsid w:val="00C5690E"/>
    <w:rsid w:val="00C571B1"/>
    <w:rsid w:val="00C60487"/>
    <w:rsid w:val="00C62B09"/>
    <w:rsid w:val="00C652BF"/>
    <w:rsid w:val="00C74A7C"/>
    <w:rsid w:val="00C74E39"/>
    <w:rsid w:val="00C7589D"/>
    <w:rsid w:val="00C77A20"/>
    <w:rsid w:val="00C804FA"/>
    <w:rsid w:val="00C82E52"/>
    <w:rsid w:val="00C83159"/>
    <w:rsid w:val="00C87E67"/>
    <w:rsid w:val="00C9022D"/>
    <w:rsid w:val="00C921BA"/>
    <w:rsid w:val="00C93445"/>
    <w:rsid w:val="00C9510E"/>
    <w:rsid w:val="00C968DE"/>
    <w:rsid w:val="00CA05B1"/>
    <w:rsid w:val="00CA2F79"/>
    <w:rsid w:val="00CA66D6"/>
    <w:rsid w:val="00CA691F"/>
    <w:rsid w:val="00CB10EE"/>
    <w:rsid w:val="00CB350B"/>
    <w:rsid w:val="00CC1250"/>
    <w:rsid w:val="00CC6E46"/>
    <w:rsid w:val="00CC7030"/>
    <w:rsid w:val="00CD26CD"/>
    <w:rsid w:val="00CD2B71"/>
    <w:rsid w:val="00CD33B5"/>
    <w:rsid w:val="00CD3ABC"/>
    <w:rsid w:val="00CD3D09"/>
    <w:rsid w:val="00CD4953"/>
    <w:rsid w:val="00CD5674"/>
    <w:rsid w:val="00CD6318"/>
    <w:rsid w:val="00CD6C93"/>
    <w:rsid w:val="00CE6929"/>
    <w:rsid w:val="00CE6DCF"/>
    <w:rsid w:val="00CE7F05"/>
    <w:rsid w:val="00CF0572"/>
    <w:rsid w:val="00CF07F6"/>
    <w:rsid w:val="00CF39D0"/>
    <w:rsid w:val="00D0597C"/>
    <w:rsid w:val="00D10FA8"/>
    <w:rsid w:val="00D1105D"/>
    <w:rsid w:val="00D11950"/>
    <w:rsid w:val="00D16833"/>
    <w:rsid w:val="00D172EB"/>
    <w:rsid w:val="00D21E2F"/>
    <w:rsid w:val="00D23B7B"/>
    <w:rsid w:val="00D27034"/>
    <w:rsid w:val="00D3177F"/>
    <w:rsid w:val="00D3594D"/>
    <w:rsid w:val="00D411C7"/>
    <w:rsid w:val="00D415E4"/>
    <w:rsid w:val="00D50AFD"/>
    <w:rsid w:val="00D538FA"/>
    <w:rsid w:val="00D60474"/>
    <w:rsid w:val="00D605C3"/>
    <w:rsid w:val="00D6399C"/>
    <w:rsid w:val="00D63C9E"/>
    <w:rsid w:val="00D656D0"/>
    <w:rsid w:val="00D717FB"/>
    <w:rsid w:val="00D748B6"/>
    <w:rsid w:val="00D771A1"/>
    <w:rsid w:val="00D77A87"/>
    <w:rsid w:val="00D84ACE"/>
    <w:rsid w:val="00D85174"/>
    <w:rsid w:val="00D85CE5"/>
    <w:rsid w:val="00D906C1"/>
    <w:rsid w:val="00D952B5"/>
    <w:rsid w:val="00DA4B2F"/>
    <w:rsid w:val="00DA5575"/>
    <w:rsid w:val="00DA68D9"/>
    <w:rsid w:val="00DA7A33"/>
    <w:rsid w:val="00DB1588"/>
    <w:rsid w:val="00DB18EC"/>
    <w:rsid w:val="00DB4252"/>
    <w:rsid w:val="00DB48E6"/>
    <w:rsid w:val="00DC1F73"/>
    <w:rsid w:val="00DC3945"/>
    <w:rsid w:val="00DC767E"/>
    <w:rsid w:val="00DD3D72"/>
    <w:rsid w:val="00DD5AE1"/>
    <w:rsid w:val="00DE099F"/>
    <w:rsid w:val="00DE2C88"/>
    <w:rsid w:val="00DE71E1"/>
    <w:rsid w:val="00DE729E"/>
    <w:rsid w:val="00DF0C1A"/>
    <w:rsid w:val="00DF40DB"/>
    <w:rsid w:val="00DF4410"/>
    <w:rsid w:val="00DF7E88"/>
    <w:rsid w:val="00E072DB"/>
    <w:rsid w:val="00E23FEE"/>
    <w:rsid w:val="00E277AE"/>
    <w:rsid w:val="00E3043E"/>
    <w:rsid w:val="00E34AFC"/>
    <w:rsid w:val="00E35B23"/>
    <w:rsid w:val="00E37488"/>
    <w:rsid w:val="00E4031A"/>
    <w:rsid w:val="00E41BEE"/>
    <w:rsid w:val="00E42379"/>
    <w:rsid w:val="00E43A55"/>
    <w:rsid w:val="00E456E3"/>
    <w:rsid w:val="00E47435"/>
    <w:rsid w:val="00E507F3"/>
    <w:rsid w:val="00E50A8F"/>
    <w:rsid w:val="00E50C5E"/>
    <w:rsid w:val="00E53E60"/>
    <w:rsid w:val="00E5562B"/>
    <w:rsid w:val="00E61485"/>
    <w:rsid w:val="00E67835"/>
    <w:rsid w:val="00E67F1D"/>
    <w:rsid w:val="00E71E95"/>
    <w:rsid w:val="00E82C81"/>
    <w:rsid w:val="00E844EA"/>
    <w:rsid w:val="00E84BD9"/>
    <w:rsid w:val="00E9121D"/>
    <w:rsid w:val="00E9405F"/>
    <w:rsid w:val="00EA0ACC"/>
    <w:rsid w:val="00EA6F7A"/>
    <w:rsid w:val="00EB09F2"/>
    <w:rsid w:val="00EB2A06"/>
    <w:rsid w:val="00EB484C"/>
    <w:rsid w:val="00EC11C2"/>
    <w:rsid w:val="00EC5D20"/>
    <w:rsid w:val="00ED1562"/>
    <w:rsid w:val="00EE197A"/>
    <w:rsid w:val="00EE2D53"/>
    <w:rsid w:val="00EE5C33"/>
    <w:rsid w:val="00EF1EB0"/>
    <w:rsid w:val="00EF330A"/>
    <w:rsid w:val="00EF41B0"/>
    <w:rsid w:val="00EF440F"/>
    <w:rsid w:val="00EF4E7F"/>
    <w:rsid w:val="00EF6939"/>
    <w:rsid w:val="00F12656"/>
    <w:rsid w:val="00F134F7"/>
    <w:rsid w:val="00F13621"/>
    <w:rsid w:val="00F15D90"/>
    <w:rsid w:val="00F16FAC"/>
    <w:rsid w:val="00F20F0F"/>
    <w:rsid w:val="00F223BC"/>
    <w:rsid w:val="00F2486A"/>
    <w:rsid w:val="00F300F5"/>
    <w:rsid w:val="00F35B09"/>
    <w:rsid w:val="00F41769"/>
    <w:rsid w:val="00F4455D"/>
    <w:rsid w:val="00F45567"/>
    <w:rsid w:val="00F476A1"/>
    <w:rsid w:val="00F501B8"/>
    <w:rsid w:val="00F50912"/>
    <w:rsid w:val="00F51DD2"/>
    <w:rsid w:val="00F525B5"/>
    <w:rsid w:val="00F545A1"/>
    <w:rsid w:val="00F54ED0"/>
    <w:rsid w:val="00F5562A"/>
    <w:rsid w:val="00F56CCD"/>
    <w:rsid w:val="00F56DFC"/>
    <w:rsid w:val="00F614FC"/>
    <w:rsid w:val="00F7694D"/>
    <w:rsid w:val="00F76ABF"/>
    <w:rsid w:val="00F77308"/>
    <w:rsid w:val="00F776B2"/>
    <w:rsid w:val="00F80F2B"/>
    <w:rsid w:val="00F816DE"/>
    <w:rsid w:val="00F833FE"/>
    <w:rsid w:val="00F8399B"/>
    <w:rsid w:val="00F84FCD"/>
    <w:rsid w:val="00F87682"/>
    <w:rsid w:val="00F87B6F"/>
    <w:rsid w:val="00F934C6"/>
    <w:rsid w:val="00F95E7A"/>
    <w:rsid w:val="00F964D9"/>
    <w:rsid w:val="00FA1437"/>
    <w:rsid w:val="00FA24AE"/>
    <w:rsid w:val="00FA31E9"/>
    <w:rsid w:val="00FA3C5C"/>
    <w:rsid w:val="00FA3E8B"/>
    <w:rsid w:val="00FB52D3"/>
    <w:rsid w:val="00FC2627"/>
    <w:rsid w:val="00FC4847"/>
    <w:rsid w:val="00FD75AE"/>
    <w:rsid w:val="00FE0558"/>
    <w:rsid w:val="00FF180F"/>
    <w:rsid w:val="00FF207C"/>
    <w:rsid w:val="00FF4C63"/>
    <w:rsid w:val="00FF6FA4"/>
    <w:rsid w:val="00FF719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5A"/>
    <w:rPr>
      <w:sz w:val="24"/>
      <w:lang w:eastAsia="en-US"/>
    </w:rPr>
  </w:style>
  <w:style w:type="paragraph" w:styleId="Heading1">
    <w:name w:val="heading 1"/>
    <w:basedOn w:val="Normal"/>
    <w:next w:val="Normal"/>
    <w:qFormat/>
    <w:rsid w:val="00397C5A"/>
    <w:pPr>
      <w:keepNext/>
      <w:keepLines/>
      <w:spacing w:before="720"/>
      <w:ind w:left="907" w:right="567" w:hanging="907"/>
      <w:outlineLvl w:val="0"/>
    </w:pPr>
    <w:rPr>
      <w:rFonts w:ascii="Arial" w:hAnsi="Arial"/>
      <w:b/>
      <w:sz w:val="32"/>
    </w:rPr>
  </w:style>
  <w:style w:type="paragraph" w:styleId="Heading2">
    <w:name w:val="heading 2"/>
    <w:basedOn w:val="Normal"/>
    <w:next w:val="Normal"/>
    <w:qFormat/>
    <w:rsid w:val="00397C5A"/>
    <w:pPr>
      <w:keepNext/>
      <w:keepLines/>
      <w:spacing w:before="480"/>
      <w:ind w:left="907" w:right="567" w:hanging="907"/>
      <w:outlineLvl w:val="1"/>
    </w:pPr>
    <w:rPr>
      <w:rFonts w:ascii="Arial" w:hAnsi="Arial"/>
      <w:b/>
      <w:sz w:val="28"/>
    </w:rPr>
  </w:style>
  <w:style w:type="paragraph" w:styleId="Heading3">
    <w:name w:val="heading 3"/>
    <w:basedOn w:val="Normal"/>
    <w:next w:val="Normal"/>
    <w:link w:val="Heading3Char"/>
    <w:qFormat/>
    <w:rsid w:val="00397C5A"/>
    <w:pPr>
      <w:keepNext/>
      <w:keepLines/>
      <w:spacing w:before="240"/>
      <w:ind w:left="907" w:right="567" w:hanging="907"/>
      <w:outlineLvl w:val="2"/>
    </w:pPr>
    <w:rPr>
      <w:rFonts w:ascii="Arial" w:hAnsi="Arial"/>
      <w:b/>
    </w:rPr>
  </w:style>
  <w:style w:type="paragraph" w:styleId="Heading4">
    <w:name w:val="heading 4"/>
    <w:basedOn w:val="Normal"/>
    <w:next w:val="Normal"/>
    <w:link w:val="Heading4Char"/>
    <w:qFormat/>
    <w:rsid w:val="00397C5A"/>
    <w:pPr>
      <w:keepNext/>
      <w:keepLines/>
      <w:spacing w:before="240"/>
      <w:outlineLvl w:val="3"/>
    </w:pPr>
    <w:rPr>
      <w:rFonts w:ascii="Arial" w:hAnsi="Arial"/>
      <w:b/>
      <w:sz w:val="22"/>
    </w:rPr>
  </w:style>
  <w:style w:type="paragraph" w:styleId="Heading5">
    <w:name w:val="heading 5"/>
    <w:basedOn w:val="Heading4"/>
    <w:next w:val="Normal"/>
    <w:qFormat/>
    <w:rsid w:val="00397C5A"/>
    <w:pPr>
      <w:outlineLvl w:val="4"/>
    </w:pPr>
    <w:rPr>
      <w:b w:val="0"/>
    </w:rPr>
  </w:style>
  <w:style w:type="paragraph" w:styleId="Heading6">
    <w:name w:val="heading 6"/>
    <w:basedOn w:val="Normal"/>
    <w:next w:val="Normal"/>
    <w:qFormat/>
    <w:rsid w:val="00835E1F"/>
    <w:pPr>
      <w:keepNext/>
      <w:keepLines/>
      <w:spacing w:before="240" w:after="120"/>
      <w:ind w:left="1701" w:hanging="1701"/>
      <w:outlineLvl w:val="5"/>
    </w:pPr>
    <w:rPr>
      <w:rFonts w:ascii="Arial" w:hAnsi="Arial"/>
      <w:b/>
    </w:rPr>
  </w:style>
  <w:style w:type="paragraph" w:styleId="Heading7">
    <w:name w:val="heading 7"/>
    <w:basedOn w:val="Normal"/>
    <w:next w:val="Normal"/>
    <w:qFormat/>
    <w:rsid w:val="00835E1F"/>
    <w:pPr>
      <w:keepNext/>
      <w:keepLines/>
      <w:spacing w:before="240" w:after="120"/>
      <w:ind w:left="1701" w:hanging="1701"/>
      <w:outlineLvl w:val="6"/>
    </w:pPr>
    <w:rPr>
      <w:rFonts w:ascii="Arial" w:hAnsi="Arial"/>
      <w:b/>
    </w:rPr>
  </w:style>
  <w:style w:type="paragraph" w:styleId="Heading8">
    <w:name w:val="heading 8"/>
    <w:basedOn w:val="Normal"/>
    <w:qFormat/>
    <w:rsid w:val="00397C5A"/>
    <w:pPr>
      <w:ind w:left="720"/>
      <w:outlineLvl w:val="7"/>
    </w:pPr>
    <w:rPr>
      <w:i/>
      <w:sz w:val="20"/>
    </w:rPr>
  </w:style>
  <w:style w:type="paragraph" w:styleId="Heading9">
    <w:name w:val="heading 9"/>
    <w:basedOn w:val="Normal"/>
    <w:next w:val="Normal"/>
    <w:qFormat/>
    <w:rsid w:val="00397C5A"/>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1FD0"/>
    <w:rPr>
      <w:rFonts w:ascii="Arial" w:hAnsi="Arial"/>
      <w:b/>
      <w:sz w:val="24"/>
      <w:lang w:val="en-US" w:eastAsia="en-US" w:bidi="ar-SA"/>
    </w:rPr>
  </w:style>
  <w:style w:type="character" w:customStyle="1" w:styleId="Heading4Char">
    <w:name w:val="Heading 4 Char"/>
    <w:basedOn w:val="DefaultParagraphFont"/>
    <w:link w:val="Heading4"/>
    <w:rsid w:val="00DF4410"/>
    <w:rPr>
      <w:rFonts w:ascii="Arial" w:hAnsi="Arial"/>
      <w:b/>
      <w:sz w:val="22"/>
      <w:lang w:val="en-US" w:eastAsia="en-US" w:bidi="ar-SA"/>
    </w:rPr>
  </w:style>
  <w:style w:type="character" w:styleId="CommentReference">
    <w:name w:val="annotation reference"/>
    <w:basedOn w:val="DefaultParagraphFont"/>
    <w:semiHidden/>
    <w:rsid w:val="00397C5A"/>
    <w:rPr>
      <w:sz w:val="16"/>
    </w:rPr>
  </w:style>
  <w:style w:type="paragraph" w:styleId="CommentText">
    <w:name w:val="annotation text"/>
    <w:basedOn w:val="Normal"/>
    <w:link w:val="CommentTextChar"/>
    <w:semiHidden/>
    <w:rsid w:val="00397C5A"/>
    <w:rPr>
      <w:sz w:val="20"/>
    </w:rPr>
  </w:style>
  <w:style w:type="paragraph" w:styleId="TOC8">
    <w:name w:val="toc 8"/>
    <w:basedOn w:val="Normal"/>
    <w:next w:val="Normal"/>
    <w:semiHidden/>
    <w:rsid w:val="00397C5A"/>
    <w:pPr>
      <w:tabs>
        <w:tab w:val="left" w:leader="dot" w:pos="8280"/>
        <w:tab w:val="right" w:pos="8640"/>
      </w:tabs>
      <w:ind w:left="5040" w:right="720"/>
    </w:pPr>
  </w:style>
  <w:style w:type="paragraph" w:styleId="TOC7">
    <w:name w:val="toc 7"/>
    <w:basedOn w:val="Normal"/>
    <w:semiHidden/>
    <w:rsid w:val="00397C5A"/>
    <w:pPr>
      <w:tabs>
        <w:tab w:val="right" w:leader="dot" w:pos="9072"/>
      </w:tabs>
      <w:spacing w:after="72"/>
      <w:ind w:left="1701" w:hanging="1701"/>
    </w:pPr>
  </w:style>
  <w:style w:type="paragraph" w:styleId="TOC6">
    <w:name w:val="toc 6"/>
    <w:basedOn w:val="Normal"/>
    <w:semiHidden/>
    <w:rsid w:val="00397C5A"/>
    <w:pPr>
      <w:tabs>
        <w:tab w:val="right" w:leader="dot" w:pos="9072"/>
      </w:tabs>
      <w:spacing w:after="72"/>
      <w:ind w:left="1701" w:hanging="1701"/>
    </w:pPr>
  </w:style>
  <w:style w:type="paragraph" w:styleId="TOC5">
    <w:name w:val="toc 5"/>
    <w:basedOn w:val="Normal"/>
    <w:next w:val="Normal"/>
    <w:semiHidden/>
    <w:rsid w:val="00397C5A"/>
    <w:pPr>
      <w:tabs>
        <w:tab w:val="left" w:leader="dot" w:pos="8280"/>
        <w:tab w:val="right" w:pos="8640"/>
      </w:tabs>
      <w:ind w:left="2880" w:right="720"/>
    </w:pPr>
  </w:style>
  <w:style w:type="paragraph" w:styleId="TOC4">
    <w:name w:val="toc 4"/>
    <w:basedOn w:val="Normal"/>
    <w:next w:val="Normal"/>
    <w:semiHidden/>
    <w:rsid w:val="00397C5A"/>
    <w:pPr>
      <w:tabs>
        <w:tab w:val="left" w:leader="dot" w:pos="8280"/>
        <w:tab w:val="right" w:pos="8640"/>
      </w:tabs>
      <w:ind w:left="2160" w:right="720"/>
    </w:pPr>
  </w:style>
  <w:style w:type="paragraph" w:styleId="TOC3">
    <w:name w:val="toc 3"/>
    <w:basedOn w:val="TOC2"/>
    <w:semiHidden/>
    <w:rsid w:val="00397C5A"/>
    <w:pPr>
      <w:ind w:left="2127" w:hanging="993"/>
    </w:pPr>
  </w:style>
  <w:style w:type="paragraph" w:styleId="TOC2">
    <w:name w:val="toc 2"/>
    <w:basedOn w:val="TOC1"/>
    <w:semiHidden/>
    <w:rsid w:val="00397C5A"/>
    <w:pPr>
      <w:ind w:left="1134" w:hanging="709"/>
    </w:pPr>
  </w:style>
  <w:style w:type="paragraph" w:styleId="TOC1">
    <w:name w:val="toc 1"/>
    <w:basedOn w:val="Normal"/>
    <w:semiHidden/>
    <w:rsid w:val="00397C5A"/>
    <w:pPr>
      <w:tabs>
        <w:tab w:val="right" w:leader="dot" w:pos="9073"/>
      </w:tabs>
      <w:spacing w:after="72"/>
      <w:ind w:left="426" w:hanging="426"/>
    </w:pPr>
  </w:style>
  <w:style w:type="paragraph" w:styleId="Index7">
    <w:name w:val="index 7"/>
    <w:basedOn w:val="Normal"/>
    <w:next w:val="Normal"/>
    <w:semiHidden/>
    <w:rsid w:val="00397C5A"/>
    <w:pPr>
      <w:ind w:left="2160"/>
    </w:pPr>
  </w:style>
  <w:style w:type="paragraph" w:styleId="Index6">
    <w:name w:val="index 6"/>
    <w:basedOn w:val="Normal"/>
    <w:next w:val="Normal"/>
    <w:semiHidden/>
    <w:rsid w:val="00397C5A"/>
    <w:pPr>
      <w:ind w:left="1800"/>
    </w:pPr>
  </w:style>
  <w:style w:type="paragraph" w:styleId="Index5">
    <w:name w:val="index 5"/>
    <w:basedOn w:val="Normal"/>
    <w:next w:val="Normal"/>
    <w:semiHidden/>
    <w:rsid w:val="00397C5A"/>
    <w:pPr>
      <w:ind w:left="1440"/>
    </w:pPr>
  </w:style>
  <w:style w:type="paragraph" w:styleId="Index4">
    <w:name w:val="index 4"/>
    <w:basedOn w:val="Normal"/>
    <w:next w:val="Normal"/>
    <w:semiHidden/>
    <w:rsid w:val="00397C5A"/>
    <w:pPr>
      <w:ind w:left="1080"/>
    </w:pPr>
  </w:style>
  <w:style w:type="paragraph" w:styleId="Index3">
    <w:name w:val="index 3"/>
    <w:basedOn w:val="Normal"/>
    <w:next w:val="Normal"/>
    <w:semiHidden/>
    <w:rsid w:val="00397C5A"/>
    <w:pPr>
      <w:ind w:left="720"/>
    </w:pPr>
  </w:style>
  <w:style w:type="paragraph" w:styleId="Index2">
    <w:name w:val="index 2"/>
    <w:basedOn w:val="Normal"/>
    <w:next w:val="Normal"/>
    <w:semiHidden/>
    <w:rsid w:val="00397C5A"/>
    <w:pPr>
      <w:ind w:left="360"/>
    </w:pPr>
  </w:style>
  <w:style w:type="paragraph" w:styleId="Index1">
    <w:name w:val="index 1"/>
    <w:basedOn w:val="Normal"/>
    <w:next w:val="Normal"/>
    <w:semiHidden/>
    <w:rsid w:val="00397C5A"/>
  </w:style>
  <w:style w:type="paragraph" w:styleId="IndexHeading">
    <w:name w:val="index heading"/>
    <w:basedOn w:val="Normal"/>
    <w:next w:val="Index1"/>
    <w:semiHidden/>
    <w:rsid w:val="00397C5A"/>
  </w:style>
  <w:style w:type="character" w:styleId="FootnoteReference">
    <w:name w:val="footnote reference"/>
    <w:basedOn w:val="DefaultParagraphFont"/>
    <w:semiHidden/>
    <w:rsid w:val="00397C5A"/>
    <w:rPr>
      <w:position w:val="6"/>
      <w:sz w:val="16"/>
    </w:rPr>
  </w:style>
  <w:style w:type="paragraph" w:styleId="FootnoteText">
    <w:name w:val="footnote text"/>
    <w:basedOn w:val="Normal"/>
    <w:semiHidden/>
    <w:rsid w:val="00397C5A"/>
    <w:rPr>
      <w:sz w:val="20"/>
    </w:rPr>
  </w:style>
  <w:style w:type="paragraph" w:customStyle="1" w:styleId="ActiveIngredientPI">
    <w:name w:val="Active Ingredient PI"/>
    <w:basedOn w:val="Normal"/>
    <w:rsid w:val="00292D90"/>
    <w:pPr>
      <w:shd w:val="pct10" w:color="auto" w:fill="auto"/>
      <w:spacing w:after="60"/>
      <w:jc w:val="center"/>
    </w:pPr>
    <w:rPr>
      <w:rFonts w:ascii="Arial" w:hAnsi="Arial"/>
      <w:b/>
    </w:rPr>
  </w:style>
  <w:style w:type="paragraph" w:customStyle="1" w:styleId="PIHeading1">
    <w:name w:val="PI Heading 1"/>
    <w:basedOn w:val="Heading1"/>
    <w:rsid w:val="00287F58"/>
    <w:pPr>
      <w:keepLines w:val="0"/>
      <w:tabs>
        <w:tab w:val="left" w:pos="1418"/>
      </w:tabs>
      <w:spacing w:before="240" w:after="240"/>
      <w:ind w:left="1418" w:right="0" w:hanging="1418"/>
      <w:jc w:val="both"/>
    </w:pPr>
    <w:rPr>
      <w:caps/>
      <w:sz w:val="22"/>
      <w:szCs w:val="22"/>
    </w:rPr>
  </w:style>
  <w:style w:type="paragraph" w:customStyle="1" w:styleId="PIheading2">
    <w:name w:val="PI heading 2"/>
    <w:basedOn w:val="Heading2"/>
    <w:rsid w:val="00292D90"/>
    <w:pPr>
      <w:keepLines w:val="0"/>
      <w:tabs>
        <w:tab w:val="left" w:pos="1418"/>
      </w:tabs>
      <w:spacing w:before="120" w:after="240"/>
      <w:ind w:left="0" w:right="0" w:firstLine="0"/>
    </w:pPr>
    <w:rPr>
      <w:sz w:val="22"/>
      <w:szCs w:val="22"/>
    </w:rPr>
  </w:style>
  <w:style w:type="paragraph" w:customStyle="1" w:styleId="PIHeading3">
    <w:name w:val="PI Heading 3"/>
    <w:basedOn w:val="Normal"/>
    <w:rsid w:val="00292D90"/>
    <w:pPr>
      <w:tabs>
        <w:tab w:val="left" w:pos="1418"/>
      </w:tabs>
      <w:spacing w:before="120" w:after="60"/>
      <w:jc w:val="both"/>
    </w:pPr>
    <w:rPr>
      <w:rFonts w:ascii="Arial" w:hAnsi="Arial"/>
      <w:sz w:val="22"/>
      <w:szCs w:val="22"/>
      <w:u w:val="single"/>
    </w:rPr>
  </w:style>
  <w:style w:type="paragraph" w:styleId="EndnoteText">
    <w:name w:val="endnote text"/>
    <w:basedOn w:val="Normal"/>
    <w:semiHidden/>
    <w:rsid w:val="00397C5A"/>
    <w:pPr>
      <w:spacing w:before="80" w:after="60"/>
      <w:ind w:left="907" w:hanging="907"/>
    </w:pPr>
    <w:rPr>
      <w:lang w:val="en-GB"/>
    </w:rPr>
  </w:style>
  <w:style w:type="paragraph" w:styleId="BalloonText">
    <w:name w:val="Balloon Text"/>
    <w:basedOn w:val="Normal"/>
    <w:semiHidden/>
    <w:rsid w:val="000041B9"/>
    <w:rPr>
      <w:rFonts w:ascii="Tahoma" w:hAnsi="Tahoma" w:cs="Tahoma"/>
      <w:sz w:val="16"/>
      <w:szCs w:val="16"/>
    </w:rPr>
  </w:style>
  <w:style w:type="paragraph" w:customStyle="1" w:styleId="BrandNamePI">
    <w:name w:val="Brand Name PI"/>
    <w:basedOn w:val="ActiveIngredientPI"/>
    <w:rsid w:val="00DB18EC"/>
    <w:rPr>
      <w:sz w:val="28"/>
      <w:szCs w:val="28"/>
    </w:rPr>
  </w:style>
  <w:style w:type="paragraph" w:customStyle="1" w:styleId="PItextbolditalic">
    <w:name w:val="PI text bold  italic"/>
    <w:basedOn w:val="Normal"/>
    <w:rsid w:val="00292D90"/>
    <w:pPr>
      <w:tabs>
        <w:tab w:val="left" w:pos="1418"/>
      </w:tabs>
      <w:spacing w:before="120" w:after="120"/>
      <w:jc w:val="both"/>
    </w:pPr>
    <w:rPr>
      <w:rFonts w:ascii="Arial" w:hAnsi="Arial"/>
      <w:b/>
      <w:i/>
      <w:sz w:val="22"/>
      <w:szCs w:val="22"/>
    </w:rPr>
  </w:style>
  <w:style w:type="paragraph" w:customStyle="1" w:styleId="TextPI">
    <w:name w:val="Text PI"/>
    <w:basedOn w:val="Normal"/>
    <w:link w:val="TextPIChar"/>
    <w:rsid w:val="00292D90"/>
    <w:pPr>
      <w:spacing w:before="120" w:after="120" w:line="240" w:lineRule="atLeast"/>
      <w:jc w:val="both"/>
    </w:pPr>
    <w:rPr>
      <w:rFonts w:ascii="Arial" w:hAnsi="Arial"/>
      <w:sz w:val="22"/>
      <w:szCs w:val="22"/>
    </w:rPr>
  </w:style>
  <w:style w:type="character" w:customStyle="1" w:styleId="TextPIChar">
    <w:name w:val="Text PI Char"/>
    <w:basedOn w:val="DefaultParagraphFont"/>
    <w:link w:val="TextPI"/>
    <w:rsid w:val="000A1804"/>
    <w:rPr>
      <w:rFonts w:ascii="Arial" w:hAnsi="Arial"/>
      <w:sz w:val="22"/>
      <w:szCs w:val="22"/>
      <w:lang w:val="en-US" w:eastAsia="en-US" w:bidi="ar-SA"/>
    </w:rPr>
  </w:style>
  <w:style w:type="paragraph" w:customStyle="1" w:styleId="TextPIBullet">
    <w:name w:val="Text PI Bullet"/>
    <w:basedOn w:val="TextPI"/>
    <w:rsid w:val="00292D90"/>
    <w:pPr>
      <w:numPr>
        <w:numId w:val="1"/>
      </w:numPr>
      <w:tabs>
        <w:tab w:val="clear" w:pos="720"/>
        <w:tab w:val="num" w:pos="360"/>
      </w:tabs>
      <w:spacing w:before="0" w:after="0"/>
      <w:ind w:left="0" w:firstLine="0"/>
    </w:pPr>
  </w:style>
  <w:style w:type="paragraph" w:customStyle="1" w:styleId="TextPItable">
    <w:name w:val="Text PI table"/>
    <w:basedOn w:val="Normal"/>
    <w:rsid w:val="00292D90"/>
    <w:pPr>
      <w:tabs>
        <w:tab w:val="left" w:pos="1418"/>
      </w:tabs>
      <w:jc w:val="both"/>
    </w:pPr>
    <w:rPr>
      <w:rFonts w:ascii="Arial" w:hAnsi="Arial"/>
      <w:sz w:val="22"/>
      <w:szCs w:val="22"/>
    </w:rPr>
  </w:style>
  <w:style w:type="paragraph" w:customStyle="1" w:styleId="TextPIunderline">
    <w:name w:val="Text PI underline"/>
    <w:basedOn w:val="Normal"/>
    <w:rsid w:val="00292D90"/>
    <w:pPr>
      <w:tabs>
        <w:tab w:val="left" w:pos="1418"/>
      </w:tabs>
      <w:jc w:val="both"/>
    </w:pPr>
    <w:rPr>
      <w:rFonts w:ascii="Arial" w:hAnsi="Arial"/>
      <w:iCs/>
      <w:sz w:val="22"/>
      <w:szCs w:val="22"/>
      <w:u w:val="single"/>
    </w:rPr>
  </w:style>
  <w:style w:type="paragraph" w:styleId="Header">
    <w:name w:val="header"/>
    <w:basedOn w:val="Normal"/>
    <w:link w:val="HeaderChar"/>
    <w:unhideWhenUsed/>
    <w:rsid w:val="00E9121D"/>
    <w:pPr>
      <w:tabs>
        <w:tab w:val="center" w:pos="4513"/>
        <w:tab w:val="right" w:pos="9026"/>
      </w:tabs>
    </w:pPr>
  </w:style>
  <w:style w:type="character" w:customStyle="1" w:styleId="HeaderChar">
    <w:name w:val="Header Char"/>
    <w:basedOn w:val="DefaultParagraphFont"/>
    <w:link w:val="Header"/>
    <w:uiPriority w:val="99"/>
    <w:semiHidden/>
    <w:rsid w:val="00E9121D"/>
    <w:rPr>
      <w:sz w:val="24"/>
      <w:lang w:val="en-US" w:eastAsia="en-US"/>
    </w:rPr>
  </w:style>
  <w:style w:type="paragraph" w:styleId="Footer">
    <w:name w:val="footer"/>
    <w:basedOn w:val="Normal"/>
    <w:link w:val="FooterChar"/>
    <w:unhideWhenUsed/>
    <w:rsid w:val="00E9121D"/>
    <w:pPr>
      <w:tabs>
        <w:tab w:val="center" w:pos="4513"/>
        <w:tab w:val="right" w:pos="9026"/>
      </w:tabs>
    </w:pPr>
  </w:style>
  <w:style w:type="character" w:customStyle="1" w:styleId="FooterChar">
    <w:name w:val="Footer Char"/>
    <w:basedOn w:val="DefaultParagraphFont"/>
    <w:link w:val="Footer"/>
    <w:rsid w:val="00E9121D"/>
    <w:rPr>
      <w:sz w:val="24"/>
      <w:lang w:val="en-US" w:eastAsia="en-US"/>
    </w:rPr>
  </w:style>
  <w:style w:type="paragraph" w:customStyle="1" w:styleId="bullet1">
    <w:name w:val="bullet 1"/>
    <w:basedOn w:val="Normal"/>
    <w:rsid w:val="00E9121D"/>
    <w:pPr>
      <w:widowControl w:val="0"/>
      <w:numPr>
        <w:numId w:val="2"/>
      </w:numPr>
      <w:tabs>
        <w:tab w:val="left" w:pos="680"/>
      </w:tabs>
      <w:spacing w:after="240"/>
      <w:ind w:left="680" w:hanging="680"/>
      <w:jc w:val="both"/>
    </w:pPr>
    <w:rPr>
      <w:snapToGrid w:val="0"/>
    </w:rPr>
  </w:style>
  <w:style w:type="character" w:styleId="PageNumber">
    <w:name w:val="page number"/>
    <w:basedOn w:val="DefaultParagraphFont"/>
    <w:rsid w:val="00E9121D"/>
  </w:style>
  <w:style w:type="paragraph" w:styleId="CommentSubject">
    <w:name w:val="annotation subject"/>
    <w:basedOn w:val="CommentText"/>
    <w:next w:val="CommentText"/>
    <w:link w:val="CommentSubjectChar"/>
    <w:uiPriority w:val="99"/>
    <w:semiHidden/>
    <w:unhideWhenUsed/>
    <w:rsid w:val="005137B5"/>
    <w:rPr>
      <w:b/>
      <w:bCs/>
    </w:rPr>
  </w:style>
  <w:style w:type="character" w:customStyle="1" w:styleId="CommentTextChar">
    <w:name w:val="Comment Text Char"/>
    <w:basedOn w:val="DefaultParagraphFont"/>
    <w:link w:val="CommentText"/>
    <w:semiHidden/>
    <w:rsid w:val="005137B5"/>
    <w:rPr>
      <w:lang w:val="en-US" w:eastAsia="en-US"/>
    </w:rPr>
  </w:style>
  <w:style w:type="character" w:customStyle="1" w:styleId="CommentSubjectChar">
    <w:name w:val="Comment Subject Char"/>
    <w:basedOn w:val="CommentTextChar"/>
    <w:link w:val="CommentSubject"/>
    <w:rsid w:val="005137B5"/>
    <w:rPr>
      <w:lang w:val="en-US" w:eastAsia="en-US"/>
    </w:rPr>
  </w:style>
  <w:style w:type="table" w:styleId="TableGrid">
    <w:name w:val="Table Grid"/>
    <w:basedOn w:val="TableNormal"/>
    <w:uiPriority w:val="59"/>
    <w:rsid w:val="00F5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STableText">
    <w:name w:val="BMS Table Text"/>
    <w:link w:val="BMSTableTextChar"/>
    <w:rsid w:val="000E1693"/>
    <w:pPr>
      <w:tabs>
        <w:tab w:val="left" w:pos="360"/>
      </w:tabs>
      <w:spacing w:before="60" w:after="60"/>
      <w:jc w:val="center"/>
    </w:pPr>
    <w:rPr>
      <w:lang w:val="en-US" w:eastAsia="en-US"/>
    </w:rPr>
  </w:style>
  <w:style w:type="character" w:customStyle="1" w:styleId="BMSTableTextChar">
    <w:name w:val="BMS Table Text Char"/>
    <w:basedOn w:val="DefaultParagraphFont"/>
    <w:link w:val="BMSTableText"/>
    <w:locked/>
    <w:rsid w:val="000E1693"/>
    <w:rPr>
      <w:lang w:val="en-US" w:eastAsia="en-US"/>
    </w:rPr>
  </w:style>
  <w:style w:type="character" w:customStyle="1" w:styleId="apple-converted-space">
    <w:name w:val="apple-converted-space"/>
    <w:basedOn w:val="DefaultParagraphFont"/>
    <w:rsid w:val="00C27A4B"/>
  </w:style>
  <w:style w:type="paragraph" w:customStyle="1" w:styleId="JSText">
    <w:name w:val="JS Text"/>
    <w:basedOn w:val="Normal"/>
    <w:link w:val="JSTextChar"/>
    <w:rsid w:val="00910460"/>
    <w:pPr>
      <w:jc w:val="both"/>
    </w:pPr>
    <w:rPr>
      <w:rFonts w:ascii="Century" w:eastAsia="MS Mincho" w:hAnsi="Century"/>
      <w:kern w:val="2"/>
      <w:sz w:val="21"/>
      <w:szCs w:val="21"/>
      <w:lang w:val="x-none" w:eastAsia="ja-JP"/>
    </w:rPr>
  </w:style>
  <w:style w:type="character" w:customStyle="1" w:styleId="JSTextChar">
    <w:name w:val="JS Text Char"/>
    <w:link w:val="JSText"/>
    <w:locked/>
    <w:rsid w:val="00910460"/>
    <w:rPr>
      <w:rFonts w:ascii="Century" w:eastAsia="MS Mincho" w:hAnsi="Century"/>
      <w:kern w:val="2"/>
      <w:sz w:val="21"/>
      <w:szCs w:val="21"/>
      <w:lang w:val="x-none" w:eastAsia="ja-JP"/>
    </w:rPr>
  </w:style>
  <w:style w:type="paragraph" w:styleId="ListParagraph">
    <w:name w:val="List Paragraph"/>
    <w:basedOn w:val="Normal"/>
    <w:uiPriority w:val="34"/>
    <w:qFormat/>
    <w:rsid w:val="00910460"/>
    <w:pPr>
      <w:ind w:left="720"/>
      <w:contextualSpacing/>
    </w:pPr>
  </w:style>
  <w:style w:type="paragraph" w:styleId="NormalWeb">
    <w:name w:val="Normal (Web)"/>
    <w:basedOn w:val="Normal"/>
    <w:uiPriority w:val="99"/>
    <w:unhideWhenUsed/>
    <w:rsid w:val="00910460"/>
    <w:pPr>
      <w:spacing w:before="100" w:beforeAutospacing="1" w:after="100" w:afterAutospacing="1"/>
    </w:pPr>
    <w:rPr>
      <w:szCs w:val="24"/>
      <w:lang w:val="en-US"/>
    </w:rPr>
  </w:style>
  <w:style w:type="paragraph" w:customStyle="1" w:styleId="Default">
    <w:name w:val="Default"/>
    <w:rsid w:val="00910460"/>
    <w:pPr>
      <w:autoSpaceDE w:val="0"/>
      <w:autoSpaceDN w:val="0"/>
      <w:adjustRightInd w:val="0"/>
    </w:pPr>
    <w:rPr>
      <w:rFonts w:eastAsia="MS Mincho"/>
      <w:color w:val="000000"/>
      <w:sz w:val="24"/>
      <w:szCs w:val="24"/>
      <w:lang w:val="de-DE" w:eastAsia="ja-JP" w:bidi="hi-IN"/>
    </w:rPr>
  </w:style>
  <w:style w:type="paragraph" w:customStyle="1" w:styleId="Style">
    <w:name w:val="Style"/>
    <w:rsid w:val="00910460"/>
    <w:pPr>
      <w:widowControl w:val="0"/>
      <w:autoSpaceDE w:val="0"/>
      <w:autoSpaceDN w:val="0"/>
      <w:adjustRightInd w:val="0"/>
    </w:pPr>
    <w:rPr>
      <w:sz w:val="24"/>
      <w:szCs w:val="24"/>
      <w:lang w:val="en-US" w:eastAsia="en-US"/>
    </w:rPr>
  </w:style>
  <w:style w:type="paragraph" w:customStyle="1" w:styleId="FDAText">
    <w:name w:val="FDA:Text"/>
    <w:basedOn w:val="Normal"/>
    <w:rsid w:val="00910460"/>
    <w:pPr>
      <w:spacing w:before="180" w:after="180" w:line="360" w:lineRule="atLeast"/>
    </w:pPr>
    <w:rPr>
      <w:lang w:val="en-US" w:eastAsia="de-DE"/>
    </w:rPr>
  </w:style>
  <w:style w:type="paragraph" w:customStyle="1" w:styleId="Pa16">
    <w:name w:val="Pa16"/>
    <w:basedOn w:val="Normal"/>
    <w:next w:val="Normal"/>
    <w:uiPriority w:val="99"/>
    <w:rsid w:val="00AD1AE7"/>
    <w:pPr>
      <w:autoSpaceDE w:val="0"/>
      <w:autoSpaceDN w:val="0"/>
      <w:adjustRightInd w:val="0"/>
      <w:spacing w:before="40" w:after="40" w:line="161" w:lineRule="atLeast"/>
    </w:pPr>
    <w:rPr>
      <w:rFonts w:ascii="HelveticaNeueLT Std Cn" w:eastAsia="Calibri" w:hAnsi="HelveticaNeueLT Std Cn"/>
      <w:szCs w:val="24"/>
      <w:lang w:val="en-US"/>
    </w:rPr>
  </w:style>
  <w:style w:type="paragraph" w:customStyle="1" w:styleId="Pa9">
    <w:name w:val="Pa9"/>
    <w:basedOn w:val="Normal"/>
    <w:next w:val="Normal"/>
    <w:uiPriority w:val="99"/>
    <w:rsid w:val="00AD1AE7"/>
    <w:pPr>
      <w:autoSpaceDE w:val="0"/>
      <w:autoSpaceDN w:val="0"/>
      <w:adjustRightInd w:val="0"/>
      <w:spacing w:before="20" w:after="40" w:line="161" w:lineRule="atLeast"/>
    </w:pPr>
    <w:rPr>
      <w:rFonts w:ascii="HelveticaNeueLT Std Cn" w:eastAsia="Calibri" w:hAnsi="HelveticaNeueLT Std Cn"/>
      <w:szCs w:val="24"/>
      <w:lang w:val="en-US"/>
    </w:rPr>
  </w:style>
  <w:style w:type="paragraph" w:styleId="Revision">
    <w:name w:val="Revision"/>
    <w:hidden/>
    <w:uiPriority w:val="99"/>
    <w:semiHidden/>
    <w:rsid w:val="00211FC2"/>
    <w:rPr>
      <w:sz w:val="24"/>
      <w:lang w:eastAsia="en-US"/>
    </w:rPr>
  </w:style>
  <w:style w:type="paragraph" w:styleId="BodyText">
    <w:name w:val="Body Text"/>
    <w:basedOn w:val="Normal"/>
    <w:link w:val="BodyTextChar"/>
    <w:uiPriority w:val="99"/>
    <w:semiHidden/>
    <w:unhideWhenUsed/>
    <w:rsid w:val="00D50AFD"/>
    <w:pPr>
      <w:spacing w:after="120"/>
    </w:pPr>
  </w:style>
  <w:style w:type="character" w:customStyle="1" w:styleId="BodyTextChar">
    <w:name w:val="Body Text Char"/>
    <w:basedOn w:val="DefaultParagraphFont"/>
    <w:link w:val="BodyText"/>
    <w:uiPriority w:val="99"/>
    <w:semiHidden/>
    <w:rsid w:val="00D50AFD"/>
    <w:rPr>
      <w:sz w:val="24"/>
      <w:lang w:eastAsia="en-US"/>
    </w:rPr>
  </w:style>
  <w:style w:type="character" w:customStyle="1" w:styleId="defaultlabelstyle1">
    <w:name w:val="defaultlabelstyle1"/>
    <w:rsid w:val="00D50AFD"/>
    <w:rPr>
      <w:rFonts w:ascii="Trebuchet MS" w:hAnsi="Trebuchet MS" w:hint="default"/>
      <w:color w:val="333333"/>
    </w:rPr>
  </w:style>
  <w:style w:type="character" w:styleId="Hyperlink">
    <w:name w:val="Hyperlink"/>
    <w:uiPriority w:val="99"/>
    <w:unhideWhenUsed/>
    <w:rsid w:val="00C74A7C"/>
    <w:rPr>
      <w:color w:val="0000FF"/>
      <w:u w:val="single"/>
    </w:rPr>
  </w:style>
  <w:style w:type="paragraph" w:styleId="BodyText2">
    <w:name w:val="Body Text 2"/>
    <w:basedOn w:val="Normal"/>
    <w:link w:val="BodyText2Char"/>
    <w:uiPriority w:val="99"/>
    <w:semiHidden/>
    <w:unhideWhenUsed/>
    <w:rsid w:val="00B44310"/>
    <w:pPr>
      <w:spacing w:after="120" w:line="480" w:lineRule="auto"/>
    </w:pPr>
  </w:style>
  <w:style w:type="character" w:customStyle="1" w:styleId="BodyText2Char">
    <w:name w:val="Body Text 2 Char"/>
    <w:basedOn w:val="DefaultParagraphFont"/>
    <w:link w:val="BodyText2"/>
    <w:uiPriority w:val="99"/>
    <w:semiHidden/>
    <w:rsid w:val="00B44310"/>
    <w:rPr>
      <w:sz w:val="24"/>
      <w:lang w:eastAsia="en-US"/>
    </w:rPr>
  </w:style>
  <w:style w:type="paragraph" w:customStyle="1" w:styleId="CS-FootnoteText">
    <w:name w:val="CS-Footnote Text"/>
    <w:basedOn w:val="Normal"/>
    <w:link w:val="CS-FootnoteTextChar"/>
    <w:rsid w:val="00983F71"/>
    <w:pPr>
      <w:keepLines/>
      <w:ind w:left="720" w:hanging="720"/>
    </w:pPr>
    <w:rPr>
      <w:sz w:val="18"/>
      <w:lang w:val="en-GB" w:eastAsia="de-DE"/>
    </w:rPr>
  </w:style>
  <w:style w:type="character" w:customStyle="1" w:styleId="CS-FootnoteTextChar">
    <w:name w:val="CS-Footnote Text Char"/>
    <w:link w:val="CS-FootnoteText"/>
    <w:rsid w:val="00983F71"/>
    <w:rPr>
      <w:sz w:val="18"/>
      <w:lang w:val="en-GB" w:eastAsia="de-DE"/>
    </w:rPr>
  </w:style>
  <w:style w:type="paragraph" w:customStyle="1" w:styleId="CS-TextinTable10pt">
    <w:name w:val="CS-Text_in_Table:10pt"/>
    <w:basedOn w:val="Normal"/>
    <w:qFormat/>
    <w:rsid w:val="00983F71"/>
    <w:pPr>
      <w:keepNext/>
      <w:keepLines/>
      <w:tabs>
        <w:tab w:val="left" w:pos="144"/>
      </w:tabs>
      <w:spacing w:before="120" w:after="120"/>
    </w:pPr>
    <w:rPr>
      <w:sz w:val="20"/>
      <w:lang w:val="en-GB"/>
    </w:rPr>
  </w:style>
  <w:style w:type="paragraph" w:customStyle="1" w:styleId="CaptionTable">
    <w:name w:val="Caption_Table"/>
    <w:basedOn w:val="Caption"/>
    <w:next w:val="Normal"/>
    <w:rsid w:val="00983F71"/>
    <w:pPr>
      <w:keepNext/>
      <w:keepLines/>
      <w:spacing w:after="180"/>
      <w:ind w:left="1588" w:hanging="1588"/>
    </w:pPr>
    <w:rPr>
      <w:b w:val="0"/>
      <w:bCs w:val="0"/>
      <w:color w:val="auto"/>
      <w:sz w:val="24"/>
      <w:szCs w:val="20"/>
      <w:lang w:val="en-US" w:eastAsia="de-DE"/>
    </w:rPr>
  </w:style>
  <w:style w:type="paragraph" w:styleId="Caption">
    <w:name w:val="caption"/>
    <w:basedOn w:val="Normal"/>
    <w:next w:val="Normal"/>
    <w:uiPriority w:val="35"/>
    <w:unhideWhenUsed/>
    <w:qFormat/>
    <w:rsid w:val="00983F71"/>
    <w:pPr>
      <w:spacing w:after="200"/>
    </w:pPr>
    <w:rPr>
      <w:b/>
      <w:bCs/>
      <w:color w:val="4F81BD" w:themeColor="accent1"/>
      <w:sz w:val="18"/>
      <w:szCs w:val="18"/>
    </w:rPr>
  </w:style>
  <w:style w:type="paragraph" w:customStyle="1" w:styleId="IBText">
    <w:name w:val="IB:Text"/>
    <w:link w:val="IBTextChar"/>
    <w:rsid w:val="00AC56C3"/>
    <w:pPr>
      <w:spacing w:before="120" w:after="240"/>
    </w:pPr>
    <w:rPr>
      <w:noProof/>
      <w:sz w:val="24"/>
      <w:lang w:val="de-DE" w:eastAsia="ja-JP"/>
    </w:rPr>
  </w:style>
  <w:style w:type="character" w:customStyle="1" w:styleId="IBTextChar">
    <w:name w:val="IB:Text Char"/>
    <w:link w:val="IBText"/>
    <w:rsid w:val="00AC56C3"/>
    <w:rPr>
      <w:noProof/>
      <w:sz w:val="24"/>
      <w:lang w:val="de-DE" w:eastAsia="ja-JP"/>
    </w:rPr>
  </w:style>
  <w:style w:type="paragraph" w:customStyle="1" w:styleId="4thlevel">
    <w:name w:val="4th level"/>
    <w:basedOn w:val="Normal"/>
    <w:next w:val="Normal"/>
    <w:rsid w:val="008D763A"/>
    <w:pPr>
      <w:keepNext/>
      <w:keepLines/>
      <w:tabs>
        <w:tab w:val="left" w:pos="1134"/>
      </w:tabs>
      <w:spacing w:before="240" w:after="240"/>
      <w:ind w:left="1134" w:hanging="1134"/>
      <w:outlineLvl w:val="3"/>
    </w:pPr>
    <w:rPr>
      <w:lang w:val="en-US" w:eastAsia="de-DE"/>
    </w:rPr>
  </w:style>
  <w:style w:type="paragraph" w:customStyle="1" w:styleId="FigureLabel">
    <w:name w:val="Figure Label"/>
    <w:basedOn w:val="Normal"/>
    <w:next w:val="Normal"/>
    <w:rsid w:val="00223FA3"/>
    <w:pPr>
      <w:numPr>
        <w:numId w:val="8"/>
      </w:numPr>
      <w:spacing w:before="180" w:after="180"/>
      <w:outlineLvl w:val="5"/>
    </w:pPr>
    <w:rPr>
      <w:lang w:val="en-US" w:eastAsia="de-DE"/>
    </w:rPr>
  </w:style>
  <w:style w:type="paragraph" w:customStyle="1" w:styleId="FigureLabelcont">
    <w:name w:val="Figure Label cont"/>
    <w:basedOn w:val="FigureLabel"/>
    <w:next w:val="Normal"/>
    <w:rsid w:val="00223FA3"/>
    <w:pPr>
      <w:numPr>
        <w:ilvl w:val="1"/>
      </w:numPr>
      <w:outlineLvl w:val="9"/>
    </w:pPr>
    <w:rPr>
      <w:lang w:val="en-GB"/>
    </w:rPr>
  </w:style>
  <w:style w:type="paragraph" w:customStyle="1" w:styleId="TableLabel">
    <w:name w:val="Table Label"/>
    <w:basedOn w:val="Normal"/>
    <w:next w:val="Normal"/>
    <w:rsid w:val="00223FA3"/>
    <w:pPr>
      <w:keepNext/>
      <w:keepLines/>
      <w:numPr>
        <w:numId w:val="9"/>
      </w:numPr>
      <w:spacing w:before="180" w:after="180"/>
      <w:outlineLvl w:val="5"/>
    </w:pPr>
    <w:rPr>
      <w:szCs w:val="24"/>
      <w:lang w:val="en-US"/>
    </w:rPr>
  </w:style>
  <w:style w:type="paragraph" w:customStyle="1" w:styleId="TableLabelcont">
    <w:name w:val="Table Label cont"/>
    <w:basedOn w:val="TableLabel"/>
    <w:next w:val="Normal"/>
    <w:rsid w:val="00223FA3"/>
    <w:pPr>
      <w:numPr>
        <w:ilvl w:val="1"/>
      </w:numPr>
      <w:outlineLvl w:val="9"/>
    </w:pPr>
  </w:style>
  <w:style w:type="paragraph" w:customStyle="1" w:styleId="CSTextinTable10pt">
    <w:name w:val="CS Text_in_Table:10pt"/>
    <w:basedOn w:val="Normal"/>
    <w:rsid w:val="00223FA3"/>
    <w:pPr>
      <w:keepNext/>
      <w:keepLines/>
      <w:tabs>
        <w:tab w:val="left" w:pos="144"/>
      </w:tabs>
      <w:spacing w:before="60" w:after="60"/>
    </w:pPr>
    <w:rPr>
      <w:sz w:val="20"/>
      <w:szCs w:val="24"/>
      <w:lang w:val="en-US" w:eastAsia="de-DE"/>
    </w:rPr>
  </w:style>
  <w:style w:type="paragraph" w:customStyle="1" w:styleId="CS-FootnoteReference">
    <w:name w:val="CS-Footnote Reference"/>
    <w:basedOn w:val="Normal"/>
    <w:link w:val="CS-FootnoteReferenceChar"/>
    <w:qFormat/>
    <w:rsid w:val="00223FA3"/>
    <w:rPr>
      <w:rFonts w:eastAsia="PMingLiU"/>
      <w:position w:val="4"/>
      <w:sz w:val="18"/>
      <w:lang w:val="en-GB"/>
    </w:rPr>
  </w:style>
  <w:style w:type="character" w:customStyle="1" w:styleId="CS-FootnoteReferenceChar">
    <w:name w:val="CS-Footnote Reference Char"/>
    <w:link w:val="CS-FootnoteReference"/>
    <w:rsid w:val="00223FA3"/>
    <w:rPr>
      <w:rFonts w:eastAsia="PMingLiU"/>
      <w:position w:val="4"/>
      <w:sz w:val="18"/>
      <w:lang w:val="en-GB" w:eastAsia="en-US"/>
    </w:rPr>
  </w:style>
  <w:style w:type="paragraph" w:customStyle="1" w:styleId="CS4thlevel">
    <w:name w:val="CS 4th level"/>
    <w:basedOn w:val="Normal"/>
    <w:next w:val="Normal"/>
    <w:rsid w:val="006E1339"/>
    <w:pPr>
      <w:keepNext/>
      <w:keepLines/>
      <w:tabs>
        <w:tab w:val="left" w:pos="1134"/>
      </w:tabs>
      <w:spacing w:before="240" w:after="240"/>
      <w:ind w:left="1134" w:hanging="1134"/>
      <w:outlineLvl w:val="3"/>
    </w:pPr>
    <w:rPr>
      <w:szCs w:val="24"/>
      <w:lang w:val="en-US" w:eastAsia="de-DE"/>
    </w:rPr>
  </w:style>
  <w:style w:type="paragraph" w:customStyle="1" w:styleId="Text">
    <w:name w:val="Text"/>
    <w:basedOn w:val="Normal"/>
    <w:link w:val="TextChar1"/>
    <w:rsid w:val="00985C9F"/>
    <w:pPr>
      <w:spacing w:before="120"/>
      <w:jc w:val="both"/>
    </w:pPr>
    <w:rPr>
      <w:rFonts w:ascii="Sabon" w:hAnsi="Sabon"/>
      <w:lang w:val="en-US"/>
    </w:rPr>
  </w:style>
  <w:style w:type="character" w:customStyle="1" w:styleId="TextChar1">
    <w:name w:val="Text Char1"/>
    <w:link w:val="Text"/>
    <w:rsid w:val="00985C9F"/>
    <w:rPr>
      <w:rFonts w:ascii="Sabon" w:hAnsi="Sabon"/>
      <w:sz w:val="24"/>
      <w:lang w:val="en-US" w:eastAsia="en-US"/>
    </w:rPr>
  </w:style>
  <w:style w:type="paragraph" w:customStyle="1" w:styleId="Bullet">
    <w:name w:val="Bullet"/>
    <w:basedOn w:val="Normal"/>
    <w:rsid w:val="00505980"/>
    <w:pPr>
      <w:spacing w:after="240" w:line="276" w:lineRule="auto"/>
    </w:pPr>
    <w:rPr>
      <w:rFonts w:ascii="Calibri" w:eastAsia="Calibri" w:hAnsi="Calibri"/>
      <w:sz w:val="22"/>
      <w:szCs w:val="22"/>
    </w:rPr>
  </w:style>
  <w:style w:type="paragraph" w:styleId="NoSpacing">
    <w:name w:val="No Spacing"/>
    <w:uiPriority w:val="1"/>
    <w:qFormat/>
    <w:rsid w:val="0050598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5A"/>
    <w:rPr>
      <w:sz w:val="24"/>
      <w:lang w:eastAsia="en-US"/>
    </w:rPr>
  </w:style>
  <w:style w:type="paragraph" w:styleId="Heading1">
    <w:name w:val="heading 1"/>
    <w:basedOn w:val="Normal"/>
    <w:next w:val="Normal"/>
    <w:qFormat/>
    <w:rsid w:val="00397C5A"/>
    <w:pPr>
      <w:keepNext/>
      <w:keepLines/>
      <w:spacing w:before="720"/>
      <w:ind w:left="907" w:right="567" w:hanging="907"/>
      <w:outlineLvl w:val="0"/>
    </w:pPr>
    <w:rPr>
      <w:rFonts w:ascii="Arial" w:hAnsi="Arial"/>
      <w:b/>
      <w:sz w:val="32"/>
    </w:rPr>
  </w:style>
  <w:style w:type="paragraph" w:styleId="Heading2">
    <w:name w:val="heading 2"/>
    <w:basedOn w:val="Normal"/>
    <w:next w:val="Normal"/>
    <w:qFormat/>
    <w:rsid w:val="00397C5A"/>
    <w:pPr>
      <w:keepNext/>
      <w:keepLines/>
      <w:spacing w:before="480"/>
      <w:ind w:left="907" w:right="567" w:hanging="907"/>
      <w:outlineLvl w:val="1"/>
    </w:pPr>
    <w:rPr>
      <w:rFonts w:ascii="Arial" w:hAnsi="Arial"/>
      <w:b/>
      <w:sz w:val="28"/>
    </w:rPr>
  </w:style>
  <w:style w:type="paragraph" w:styleId="Heading3">
    <w:name w:val="heading 3"/>
    <w:basedOn w:val="Normal"/>
    <w:next w:val="Normal"/>
    <w:link w:val="Heading3Char"/>
    <w:qFormat/>
    <w:rsid w:val="00397C5A"/>
    <w:pPr>
      <w:keepNext/>
      <w:keepLines/>
      <w:spacing w:before="240"/>
      <w:ind w:left="907" w:right="567" w:hanging="907"/>
      <w:outlineLvl w:val="2"/>
    </w:pPr>
    <w:rPr>
      <w:rFonts w:ascii="Arial" w:hAnsi="Arial"/>
      <w:b/>
    </w:rPr>
  </w:style>
  <w:style w:type="paragraph" w:styleId="Heading4">
    <w:name w:val="heading 4"/>
    <w:basedOn w:val="Normal"/>
    <w:next w:val="Normal"/>
    <w:link w:val="Heading4Char"/>
    <w:qFormat/>
    <w:rsid w:val="00397C5A"/>
    <w:pPr>
      <w:keepNext/>
      <w:keepLines/>
      <w:spacing w:before="240"/>
      <w:outlineLvl w:val="3"/>
    </w:pPr>
    <w:rPr>
      <w:rFonts w:ascii="Arial" w:hAnsi="Arial"/>
      <w:b/>
      <w:sz w:val="22"/>
    </w:rPr>
  </w:style>
  <w:style w:type="paragraph" w:styleId="Heading5">
    <w:name w:val="heading 5"/>
    <w:basedOn w:val="Heading4"/>
    <w:next w:val="Normal"/>
    <w:qFormat/>
    <w:rsid w:val="00397C5A"/>
    <w:pPr>
      <w:outlineLvl w:val="4"/>
    </w:pPr>
    <w:rPr>
      <w:b w:val="0"/>
    </w:rPr>
  </w:style>
  <w:style w:type="paragraph" w:styleId="Heading6">
    <w:name w:val="heading 6"/>
    <w:basedOn w:val="Normal"/>
    <w:next w:val="Normal"/>
    <w:qFormat/>
    <w:rsid w:val="00835E1F"/>
    <w:pPr>
      <w:keepNext/>
      <w:keepLines/>
      <w:spacing w:before="240" w:after="120"/>
      <w:ind w:left="1701" w:hanging="1701"/>
      <w:outlineLvl w:val="5"/>
    </w:pPr>
    <w:rPr>
      <w:rFonts w:ascii="Arial" w:hAnsi="Arial"/>
      <w:b/>
    </w:rPr>
  </w:style>
  <w:style w:type="paragraph" w:styleId="Heading7">
    <w:name w:val="heading 7"/>
    <w:basedOn w:val="Normal"/>
    <w:next w:val="Normal"/>
    <w:qFormat/>
    <w:rsid w:val="00835E1F"/>
    <w:pPr>
      <w:keepNext/>
      <w:keepLines/>
      <w:spacing w:before="240" w:after="120"/>
      <w:ind w:left="1701" w:hanging="1701"/>
      <w:outlineLvl w:val="6"/>
    </w:pPr>
    <w:rPr>
      <w:rFonts w:ascii="Arial" w:hAnsi="Arial"/>
      <w:b/>
    </w:rPr>
  </w:style>
  <w:style w:type="paragraph" w:styleId="Heading8">
    <w:name w:val="heading 8"/>
    <w:basedOn w:val="Normal"/>
    <w:qFormat/>
    <w:rsid w:val="00397C5A"/>
    <w:pPr>
      <w:ind w:left="720"/>
      <w:outlineLvl w:val="7"/>
    </w:pPr>
    <w:rPr>
      <w:i/>
      <w:sz w:val="20"/>
    </w:rPr>
  </w:style>
  <w:style w:type="paragraph" w:styleId="Heading9">
    <w:name w:val="heading 9"/>
    <w:basedOn w:val="Normal"/>
    <w:next w:val="Normal"/>
    <w:qFormat/>
    <w:rsid w:val="00397C5A"/>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1FD0"/>
    <w:rPr>
      <w:rFonts w:ascii="Arial" w:hAnsi="Arial"/>
      <w:b/>
      <w:sz w:val="24"/>
      <w:lang w:val="en-US" w:eastAsia="en-US" w:bidi="ar-SA"/>
    </w:rPr>
  </w:style>
  <w:style w:type="character" w:customStyle="1" w:styleId="Heading4Char">
    <w:name w:val="Heading 4 Char"/>
    <w:basedOn w:val="DefaultParagraphFont"/>
    <w:link w:val="Heading4"/>
    <w:rsid w:val="00DF4410"/>
    <w:rPr>
      <w:rFonts w:ascii="Arial" w:hAnsi="Arial"/>
      <w:b/>
      <w:sz w:val="22"/>
      <w:lang w:val="en-US" w:eastAsia="en-US" w:bidi="ar-SA"/>
    </w:rPr>
  </w:style>
  <w:style w:type="character" w:styleId="CommentReference">
    <w:name w:val="annotation reference"/>
    <w:basedOn w:val="DefaultParagraphFont"/>
    <w:semiHidden/>
    <w:rsid w:val="00397C5A"/>
    <w:rPr>
      <w:sz w:val="16"/>
    </w:rPr>
  </w:style>
  <w:style w:type="paragraph" w:styleId="CommentText">
    <w:name w:val="annotation text"/>
    <w:basedOn w:val="Normal"/>
    <w:link w:val="CommentTextChar"/>
    <w:semiHidden/>
    <w:rsid w:val="00397C5A"/>
    <w:rPr>
      <w:sz w:val="20"/>
    </w:rPr>
  </w:style>
  <w:style w:type="paragraph" w:styleId="TOC8">
    <w:name w:val="toc 8"/>
    <w:basedOn w:val="Normal"/>
    <w:next w:val="Normal"/>
    <w:semiHidden/>
    <w:rsid w:val="00397C5A"/>
    <w:pPr>
      <w:tabs>
        <w:tab w:val="left" w:leader="dot" w:pos="8280"/>
        <w:tab w:val="right" w:pos="8640"/>
      </w:tabs>
      <w:ind w:left="5040" w:right="720"/>
    </w:pPr>
  </w:style>
  <w:style w:type="paragraph" w:styleId="TOC7">
    <w:name w:val="toc 7"/>
    <w:basedOn w:val="Normal"/>
    <w:semiHidden/>
    <w:rsid w:val="00397C5A"/>
    <w:pPr>
      <w:tabs>
        <w:tab w:val="right" w:leader="dot" w:pos="9072"/>
      </w:tabs>
      <w:spacing w:after="72"/>
      <w:ind w:left="1701" w:hanging="1701"/>
    </w:pPr>
  </w:style>
  <w:style w:type="paragraph" w:styleId="TOC6">
    <w:name w:val="toc 6"/>
    <w:basedOn w:val="Normal"/>
    <w:semiHidden/>
    <w:rsid w:val="00397C5A"/>
    <w:pPr>
      <w:tabs>
        <w:tab w:val="right" w:leader="dot" w:pos="9072"/>
      </w:tabs>
      <w:spacing w:after="72"/>
      <w:ind w:left="1701" w:hanging="1701"/>
    </w:pPr>
  </w:style>
  <w:style w:type="paragraph" w:styleId="TOC5">
    <w:name w:val="toc 5"/>
    <w:basedOn w:val="Normal"/>
    <w:next w:val="Normal"/>
    <w:semiHidden/>
    <w:rsid w:val="00397C5A"/>
    <w:pPr>
      <w:tabs>
        <w:tab w:val="left" w:leader="dot" w:pos="8280"/>
        <w:tab w:val="right" w:pos="8640"/>
      </w:tabs>
      <w:ind w:left="2880" w:right="720"/>
    </w:pPr>
  </w:style>
  <w:style w:type="paragraph" w:styleId="TOC4">
    <w:name w:val="toc 4"/>
    <w:basedOn w:val="Normal"/>
    <w:next w:val="Normal"/>
    <w:semiHidden/>
    <w:rsid w:val="00397C5A"/>
    <w:pPr>
      <w:tabs>
        <w:tab w:val="left" w:leader="dot" w:pos="8280"/>
        <w:tab w:val="right" w:pos="8640"/>
      </w:tabs>
      <w:ind w:left="2160" w:right="720"/>
    </w:pPr>
  </w:style>
  <w:style w:type="paragraph" w:styleId="TOC3">
    <w:name w:val="toc 3"/>
    <w:basedOn w:val="TOC2"/>
    <w:semiHidden/>
    <w:rsid w:val="00397C5A"/>
    <w:pPr>
      <w:ind w:left="2127" w:hanging="993"/>
    </w:pPr>
  </w:style>
  <w:style w:type="paragraph" w:styleId="TOC2">
    <w:name w:val="toc 2"/>
    <w:basedOn w:val="TOC1"/>
    <w:semiHidden/>
    <w:rsid w:val="00397C5A"/>
    <w:pPr>
      <w:ind w:left="1134" w:hanging="709"/>
    </w:pPr>
  </w:style>
  <w:style w:type="paragraph" w:styleId="TOC1">
    <w:name w:val="toc 1"/>
    <w:basedOn w:val="Normal"/>
    <w:semiHidden/>
    <w:rsid w:val="00397C5A"/>
    <w:pPr>
      <w:tabs>
        <w:tab w:val="right" w:leader="dot" w:pos="9073"/>
      </w:tabs>
      <w:spacing w:after="72"/>
      <w:ind w:left="426" w:hanging="426"/>
    </w:pPr>
  </w:style>
  <w:style w:type="paragraph" w:styleId="Index7">
    <w:name w:val="index 7"/>
    <w:basedOn w:val="Normal"/>
    <w:next w:val="Normal"/>
    <w:semiHidden/>
    <w:rsid w:val="00397C5A"/>
    <w:pPr>
      <w:ind w:left="2160"/>
    </w:pPr>
  </w:style>
  <w:style w:type="paragraph" w:styleId="Index6">
    <w:name w:val="index 6"/>
    <w:basedOn w:val="Normal"/>
    <w:next w:val="Normal"/>
    <w:semiHidden/>
    <w:rsid w:val="00397C5A"/>
    <w:pPr>
      <w:ind w:left="1800"/>
    </w:pPr>
  </w:style>
  <w:style w:type="paragraph" w:styleId="Index5">
    <w:name w:val="index 5"/>
    <w:basedOn w:val="Normal"/>
    <w:next w:val="Normal"/>
    <w:semiHidden/>
    <w:rsid w:val="00397C5A"/>
    <w:pPr>
      <w:ind w:left="1440"/>
    </w:pPr>
  </w:style>
  <w:style w:type="paragraph" w:styleId="Index4">
    <w:name w:val="index 4"/>
    <w:basedOn w:val="Normal"/>
    <w:next w:val="Normal"/>
    <w:semiHidden/>
    <w:rsid w:val="00397C5A"/>
    <w:pPr>
      <w:ind w:left="1080"/>
    </w:pPr>
  </w:style>
  <w:style w:type="paragraph" w:styleId="Index3">
    <w:name w:val="index 3"/>
    <w:basedOn w:val="Normal"/>
    <w:next w:val="Normal"/>
    <w:semiHidden/>
    <w:rsid w:val="00397C5A"/>
    <w:pPr>
      <w:ind w:left="720"/>
    </w:pPr>
  </w:style>
  <w:style w:type="paragraph" w:styleId="Index2">
    <w:name w:val="index 2"/>
    <w:basedOn w:val="Normal"/>
    <w:next w:val="Normal"/>
    <w:semiHidden/>
    <w:rsid w:val="00397C5A"/>
    <w:pPr>
      <w:ind w:left="360"/>
    </w:pPr>
  </w:style>
  <w:style w:type="paragraph" w:styleId="Index1">
    <w:name w:val="index 1"/>
    <w:basedOn w:val="Normal"/>
    <w:next w:val="Normal"/>
    <w:semiHidden/>
    <w:rsid w:val="00397C5A"/>
  </w:style>
  <w:style w:type="paragraph" w:styleId="IndexHeading">
    <w:name w:val="index heading"/>
    <w:basedOn w:val="Normal"/>
    <w:next w:val="Index1"/>
    <w:semiHidden/>
    <w:rsid w:val="00397C5A"/>
  </w:style>
  <w:style w:type="character" w:styleId="FootnoteReference">
    <w:name w:val="footnote reference"/>
    <w:basedOn w:val="DefaultParagraphFont"/>
    <w:semiHidden/>
    <w:rsid w:val="00397C5A"/>
    <w:rPr>
      <w:position w:val="6"/>
      <w:sz w:val="16"/>
    </w:rPr>
  </w:style>
  <w:style w:type="paragraph" w:styleId="FootnoteText">
    <w:name w:val="footnote text"/>
    <w:basedOn w:val="Normal"/>
    <w:semiHidden/>
    <w:rsid w:val="00397C5A"/>
    <w:rPr>
      <w:sz w:val="20"/>
    </w:rPr>
  </w:style>
  <w:style w:type="paragraph" w:customStyle="1" w:styleId="ActiveIngredientPI">
    <w:name w:val="Active Ingredient PI"/>
    <w:basedOn w:val="Normal"/>
    <w:rsid w:val="00292D90"/>
    <w:pPr>
      <w:shd w:val="pct10" w:color="auto" w:fill="auto"/>
      <w:spacing w:after="60"/>
      <w:jc w:val="center"/>
    </w:pPr>
    <w:rPr>
      <w:rFonts w:ascii="Arial" w:hAnsi="Arial"/>
      <w:b/>
    </w:rPr>
  </w:style>
  <w:style w:type="paragraph" w:customStyle="1" w:styleId="PIHeading1">
    <w:name w:val="PI Heading 1"/>
    <w:basedOn w:val="Heading1"/>
    <w:rsid w:val="00287F58"/>
    <w:pPr>
      <w:keepLines w:val="0"/>
      <w:tabs>
        <w:tab w:val="left" w:pos="1418"/>
      </w:tabs>
      <w:spacing w:before="240" w:after="240"/>
      <w:ind w:left="1418" w:right="0" w:hanging="1418"/>
      <w:jc w:val="both"/>
    </w:pPr>
    <w:rPr>
      <w:caps/>
      <w:sz w:val="22"/>
      <w:szCs w:val="22"/>
    </w:rPr>
  </w:style>
  <w:style w:type="paragraph" w:customStyle="1" w:styleId="PIheading2">
    <w:name w:val="PI heading 2"/>
    <w:basedOn w:val="Heading2"/>
    <w:rsid w:val="00292D90"/>
    <w:pPr>
      <w:keepLines w:val="0"/>
      <w:tabs>
        <w:tab w:val="left" w:pos="1418"/>
      </w:tabs>
      <w:spacing w:before="120" w:after="240"/>
      <w:ind w:left="0" w:right="0" w:firstLine="0"/>
    </w:pPr>
    <w:rPr>
      <w:sz w:val="22"/>
      <w:szCs w:val="22"/>
    </w:rPr>
  </w:style>
  <w:style w:type="paragraph" w:customStyle="1" w:styleId="PIHeading3">
    <w:name w:val="PI Heading 3"/>
    <w:basedOn w:val="Normal"/>
    <w:rsid w:val="00292D90"/>
    <w:pPr>
      <w:tabs>
        <w:tab w:val="left" w:pos="1418"/>
      </w:tabs>
      <w:spacing w:before="120" w:after="60"/>
      <w:jc w:val="both"/>
    </w:pPr>
    <w:rPr>
      <w:rFonts w:ascii="Arial" w:hAnsi="Arial"/>
      <w:sz w:val="22"/>
      <w:szCs w:val="22"/>
      <w:u w:val="single"/>
    </w:rPr>
  </w:style>
  <w:style w:type="paragraph" w:styleId="EndnoteText">
    <w:name w:val="endnote text"/>
    <w:basedOn w:val="Normal"/>
    <w:semiHidden/>
    <w:rsid w:val="00397C5A"/>
    <w:pPr>
      <w:spacing w:before="80" w:after="60"/>
      <w:ind w:left="907" w:hanging="907"/>
    </w:pPr>
    <w:rPr>
      <w:lang w:val="en-GB"/>
    </w:rPr>
  </w:style>
  <w:style w:type="paragraph" w:styleId="BalloonText">
    <w:name w:val="Balloon Text"/>
    <w:basedOn w:val="Normal"/>
    <w:semiHidden/>
    <w:rsid w:val="000041B9"/>
    <w:rPr>
      <w:rFonts w:ascii="Tahoma" w:hAnsi="Tahoma" w:cs="Tahoma"/>
      <w:sz w:val="16"/>
      <w:szCs w:val="16"/>
    </w:rPr>
  </w:style>
  <w:style w:type="paragraph" w:customStyle="1" w:styleId="BrandNamePI">
    <w:name w:val="Brand Name PI"/>
    <w:basedOn w:val="ActiveIngredientPI"/>
    <w:rsid w:val="00DB18EC"/>
    <w:rPr>
      <w:sz w:val="28"/>
      <w:szCs w:val="28"/>
    </w:rPr>
  </w:style>
  <w:style w:type="paragraph" w:customStyle="1" w:styleId="PItextbolditalic">
    <w:name w:val="PI text bold  italic"/>
    <w:basedOn w:val="Normal"/>
    <w:rsid w:val="00292D90"/>
    <w:pPr>
      <w:tabs>
        <w:tab w:val="left" w:pos="1418"/>
      </w:tabs>
      <w:spacing w:before="120" w:after="120"/>
      <w:jc w:val="both"/>
    </w:pPr>
    <w:rPr>
      <w:rFonts w:ascii="Arial" w:hAnsi="Arial"/>
      <w:b/>
      <w:i/>
      <w:sz w:val="22"/>
      <w:szCs w:val="22"/>
    </w:rPr>
  </w:style>
  <w:style w:type="paragraph" w:customStyle="1" w:styleId="TextPI">
    <w:name w:val="Text PI"/>
    <w:basedOn w:val="Normal"/>
    <w:link w:val="TextPIChar"/>
    <w:rsid w:val="00292D90"/>
    <w:pPr>
      <w:spacing w:before="120" w:after="120" w:line="240" w:lineRule="atLeast"/>
      <w:jc w:val="both"/>
    </w:pPr>
    <w:rPr>
      <w:rFonts w:ascii="Arial" w:hAnsi="Arial"/>
      <w:sz w:val="22"/>
      <w:szCs w:val="22"/>
    </w:rPr>
  </w:style>
  <w:style w:type="character" w:customStyle="1" w:styleId="TextPIChar">
    <w:name w:val="Text PI Char"/>
    <w:basedOn w:val="DefaultParagraphFont"/>
    <w:link w:val="TextPI"/>
    <w:rsid w:val="000A1804"/>
    <w:rPr>
      <w:rFonts w:ascii="Arial" w:hAnsi="Arial"/>
      <w:sz w:val="22"/>
      <w:szCs w:val="22"/>
      <w:lang w:val="en-US" w:eastAsia="en-US" w:bidi="ar-SA"/>
    </w:rPr>
  </w:style>
  <w:style w:type="paragraph" w:customStyle="1" w:styleId="TextPIBullet">
    <w:name w:val="Text PI Bullet"/>
    <w:basedOn w:val="TextPI"/>
    <w:rsid w:val="00292D90"/>
    <w:pPr>
      <w:numPr>
        <w:numId w:val="1"/>
      </w:numPr>
      <w:tabs>
        <w:tab w:val="clear" w:pos="720"/>
        <w:tab w:val="num" w:pos="360"/>
      </w:tabs>
      <w:spacing w:before="0" w:after="0"/>
      <w:ind w:left="0" w:firstLine="0"/>
    </w:pPr>
  </w:style>
  <w:style w:type="paragraph" w:customStyle="1" w:styleId="TextPItable">
    <w:name w:val="Text PI table"/>
    <w:basedOn w:val="Normal"/>
    <w:rsid w:val="00292D90"/>
    <w:pPr>
      <w:tabs>
        <w:tab w:val="left" w:pos="1418"/>
      </w:tabs>
      <w:jc w:val="both"/>
    </w:pPr>
    <w:rPr>
      <w:rFonts w:ascii="Arial" w:hAnsi="Arial"/>
      <w:sz w:val="22"/>
      <w:szCs w:val="22"/>
    </w:rPr>
  </w:style>
  <w:style w:type="paragraph" w:customStyle="1" w:styleId="TextPIunderline">
    <w:name w:val="Text PI underline"/>
    <w:basedOn w:val="Normal"/>
    <w:rsid w:val="00292D90"/>
    <w:pPr>
      <w:tabs>
        <w:tab w:val="left" w:pos="1418"/>
      </w:tabs>
      <w:jc w:val="both"/>
    </w:pPr>
    <w:rPr>
      <w:rFonts w:ascii="Arial" w:hAnsi="Arial"/>
      <w:iCs/>
      <w:sz w:val="22"/>
      <w:szCs w:val="22"/>
      <w:u w:val="single"/>
    </w:rPr>
  </w:style>
  <w:style w:type="paragraph" w:styleId="Header">
    <w:name w:val="header"/>
    <w:basedOn w:val="Normal"/>
    <w:link w:val="HeaderChar"/>
    <w:unhideWhenUsed/>
    <w:rsid w:val="00E9121D"/>
    <w:pPr>
      <w:tabs>
        <w:tab w:val="center" w:pos="4513"/>
        <w:tab w:val="right" w:pos="9026"/>
      </w:tabs>
    </w:pPr>
  </w:style>
  <w:style w:type="character" w:customStyle="1" w:styleId="HeaderChar">
    <w:name w:val="Header Char"/>
    <w:basedOn w:val="DefaultParagraphFont"/>
    <w:link w:val="Header"/>
    <w:uiPriority w:val="99"/>
    <w:semiHidden/>
    <w:rsid w:val="00E9121D"/>
    <w:rPr>
      <w:sz w:val="24"/>
      <w:lang w:val="en-US" w:eastAsia="en-US"/>
    </w:rPr>
  </w:style>
  <w:style w:type="paragraph" w:styleId="Footer">
    <w:name w:val="footer"/>
    <w:basedOn w:val="Normal"/>
    <w:link w:val="FooterChar"/>
    <w:unhideWhenUsed/>
    <w:rsid w:val="00E9121D"/>
    <w:pPr>
      <w:tabs>
        <w:tab w:val="center" w:pos="4513"/>
        <w:tab w:val="right" w:pos="9026"/>
      </w:tabs>
    </w:pPr>
  </w:style>
  <w:style w:type="character" w:customStyle="1" w:styleId="FooterChar">
    <w:name w:val="Footer Char"/>
    <w:basedOn w:val="DefaultParagraphFont"/>
    <w:link w:val="Footer"/>
    <w:rsid w:val="00E9121D"/>
    <w:rPr>
      <w:sz w:val="24"/>
      <w:lang w:val="en-US" w:eastAsia="en-US"/>
    </w:rPr>
  </w:style>
  <w:style w:type="paragraph" w:customStyle="1" w:styleId="bullet1">
    <w:name w:val="bullet 1"/>
    <w:basedOn w:val="Normal"/>
    <w:rsid w:val="00E9121D"/>
    <w:pPr>
      <w:widowControl w:val="0"/>
      <w:numPr>
        <w:numId w:val="2"/>
      </w:numPr>
      <w:tabs>
        <w:tab w:val="left" w:pos="680"/>
      </w:tabs>
      <w:spacing w:after="240"/>
      <w:ind w:left="680" w:hanging="680"/>
      <w:jc w:val="both"/>
    </w:pPr>
    <w:rPr>
      <w:snapToGrid w:val="0"/>
    </w:rPr>
  </w:style>
  <w:style w:type="character" w:styleId="PageNumber">
    <w:name w:val="page number"/>
    <w:basedOn w:val="DefaultParagraphFont"/>
    <w:rsid w:val="00E9121D"/>
  </w:style>
  <w:style w:type="paragraph" w:styleId="CommentSubject">
    <w:name w:val="annotation subject"/>
    <w:basedOn w:val="CommentText"/>
    <w:next w:val="CommentText"/>
    <w:link w:val="CommentSubjectChar"/>
    <w:uiPriority w:val="99"/>
    <w:semiHidden/>
    <w:unhideWhenUsed/>
    <w:rsid w:val="005137B5"/>
    <w:rPr>
      <w:b/>
      <w:bCs/>
    </w:rPr>
  </w:style>
  <w:style w:type="character" w:customStyle="1" w:styleId="CommentTextChar">
    <w:name w:val="Comment Text Char"/>
    <w:basedOn w:val="DefaultParagraphFont"/>
    <w:link w:val="CommentText"/>
    <w:semiHidden/>
    <w:rsid w:val="005137B5"/>
    <w:rPr>
      <w:lang w:val="en-US" w:eastAsia="en-US"/>
    </w:rPr>
  </w:style>
  <w:style w:type="character" w:customStyle="1" w:styleId="CommentSubjectChar">
    <w:name w:val="Comment Subject Char"/>
    <w:basedOn w:val="CommentTextChar"/>
    <w:link w:val="CommentSubject"/>
    <w:rsid w:val="005137B5"/>
    <w:rPr>
      <w:lang w:val="en-US" w:eastAsia="en-US"/>
    </w:rPr>
  </w:style>
  <w:style w:type="table" w:styleId="TableGrid">
    <w:name w:val="Table Grid"/>
    <w:basedOn w:val="TableNormal"/>
    <w:uiPriority w:val="59"/>
    <w:rsid w:val="00F5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STableText">
    <w:name w:val="BMS Table Text"/>
    <w:link w:val="BMSTableTextChar"/>
    <w:rsid w:val="000E1693"/>
    <w:pPr>
      <w:tabs>
        <w:tab w:val="left" w:pos="360"/>
      </w:tabs>
      <w:spacing w:before="60" w:after="60"/>
      <w:jc w:val="center"/>
    </w:pPr>
    <w:rPr>
      <w:lang w:val="en-US" w:eastAsia="en-US"/>
    </w:rPr>
  </w:style>
  <w:style w:type="character" w:customStyle="1" w:styleId="BMSTableTextChar">
    <w:name w:val="BMS Table Text Char"/>
    <w:basedOn w:val="DefaultParagraphFont"/>
    <w:link w:val="BMSTableText"/>
    <w:locked/>
    <w:rsid w:val="000E1693"/>
    <w:rPr>
      <w:lang w:val="en-US" w:eastAsia="en-US"/>
    </w:rPr>
  </w:style>
  <w:style w:type="character" w:customStyle="1" w:styleId="apple-converted-space">
    <w:name w:val="apple-converted-space"/>
    <w:basedOn w:val="DefaultParagraphFont"/>
    <w:rsid w:val="00C27A4B"/>
  </w:style>
  <w:style w:type="paragraph" w:customStyle="1" w:styleId="JSText">
    <w:name w:val="JS Text"/>
    <w:basedOn w:val="Normal"/>
    <w:link w:val="JSTextChar"/>
    <w:rsid w:val="00910460"/>
    <w:pPr>
      <w:jc w:val="both"/>
    </w:pPr>
    <w:rPr>
      <w:rFonts w:ascii="Century" w:eastAsia="MS Mincho" w:hAnsi="Century"/>
      <w:kern w:val="2"/>
      <w:sz w:val="21"/>
      <w:szCs w:val="21"/>
      <w:lang w:val="x-none" w:eastAsia="ja-JP"/>
    </w:rPr>
  </w:style>
  <w:style w:type="character" w:customStyle="1" w:styleId="JSTextChar">
    <w:name w:val="JS Text Char"/>
    <w:link w:val="JSText"/>
    <w:locked/>
    <w:rsid w:val="00910460"/>
    <w:rPr>
      <w:rFonts w:ascii="Century" w:eastAsia="MS Mincho" w:hAnsi="Century"/>
      <w:kern w:val="2"/>
      <w:sz w:val="21"/>
      <w:szCs w:val="21"/>
      <w:lang w:val="x-none" w:eastAsia="ja-JP"/>
    </w:rPr>
  </w:style>
  <w:style w:type="paragraph" w:styleId="ListParagraph">
    <w:name w:val="List Paragraph"/>
    <w:basedOn w:val="Normal"/>
    <w:uiPriority w:val="34"/>
    <w:qFormat/>
    <w:rsid w:val="00910460"/>
    <w:pPr>
      <w:ind w:left="720"/>
      <w:contextualSpacing/>
    </w:pPr>
  </w:style>
  <w:style w:type="paragraph" w:styleId="NormalWeb">
    <w:name w:val="Normal (Web)"/>
    <w:basedOn w:val="Normal"/>
    <w:uiPriority w:val="99"/>
    <w:unhideWhenUsed/>
    <w:rsid w:val="00910460"/>
    <w:pPr>
      <w:spacing w:before="100" w:beforeAutospacing="1" w:after="100" w:afterAutospacing="1"/>
    </w:pPr>
    <w:rPr>
      <w:szCs w:val="24"/>
      <w:lang w:val="en-US"/>
    </w:rPr>
  </w:style>
  <w:style w:type="paragraph" w:customStyle="1" w:styleId="Default">
    <w:name w:val="Default"/>
    <w:rsid w:val="00910460"/>
    <w:pPr>
      <w:autoSpaceDE w:val="0"/>
      <w:autoSpaceDN w:val="0"/>
      <w:adjustRightInd w:val="0"/>
    </w:pPr>
    <w:rPr>
      <w:rFonts w:eastAsia="MS Mincho"/>
      <w:color w:val="000000"/>
      <w:sz w:val="24"/>
      <w:szCs w:val="24"/>
      <w:lang w:val="de-DE" w:eastAsia="ja-JP" w:bidi="hi-IN"/>
    </w:rPr>
  </w:style>
  <w:style w:type="paragraph" w:customStyle="1" w:styleId="Style">
    <w:name w:val="Style"/>
    <w:rsid w:val="00910460"/>
    <w:pPr>
      <w:widowControl w:val="0"/>
      <w:autoSpaceDE w:val="0"/>
      <w:autoSpaceDN w:val="0"/>
      <w:adjustRightInd w:val="0"/>
    </w:pPr>
    <w:rPr>
      <w:sz w:val="24"/>
      <w:szCs w:val="24"/>
      <w:lang w:val="en-US" w:eastAsia="en-US"/>
    </w:rPr>
  </w:style>
  <w:style w:type="paragraph" w:customStyle="1" w:styleId="FDAText">
    <w:name w:val="FDA:Text"/>
    <w:basedOn w:val="Normal"/>
    <w:rsid w:val="00910460"/>
    <w:pPr>
      <w:spacing w:before="180" w:after="180" w:line="360" w:lineRule="atLeast"/>
    </w:pPr>
    <w:rPr>
      <w:lang w:val="en-US" w:eastAsia="de-DE"/>
    </w:rPr>
  </w:style>
  <w:style w:type="paragraph" w:customStyle="1" w:styleId="Pa16">
    <w:name w:val="Pa16"/>
    <w:basedOn w:val="Normal"/>
    <w:next w:val="Normal"/>
    <w:uiPriority w:val="99"/>
    <w:rsid w:val="00AD1AE7"/>
    <w:pPr>
      <w:autoSpaceDE w:val="0"/>
      <w:autoSpaceDN w:val="0"/>
      <w:adjustRightInd w:val="0"/>
      <w:spacing w:before="40" w:after="40" w:line="161" w:lineRule="atLeast"/>
    </w:pPr>
    <w:rPr>
      <w:rFonts w:ascii="HelveticaNeueLT Std Cn" w:eastAsia="Calibri" w:hAnsi="HelveticaNeueLT Std Cn"/>
      <w:szCs w:val="24"/>
      <w:lang w:val="en-US"/>
    </w:rPr>
  </w:style>
  <w:style w:type="paragraph" w:customStyle="1" w:styleId="Pa9">
    <w:name w:val="Pa9"/>
    <w:basedOn w:val="Normal"/>
    <w:next w:val="Normal"/>
    <w:uiPriority w:val="99"/>
    <w:rsid w:val="00AD1AE7"/>
    <w:pPr>
      <w:autoSpaceDE w:val="0"/>
      <w:autoSpaceDN w:val="0"/>
      <w:adjustRightInd w:val="0"/>
      <w:spacing w:before="20" w:after="40" w:line="161" w:lineRule="atLeast"/>
    </w:pPr>
    <w:rPr>
      <w:rFonts w:ascii="HelveticaNeueLT Std Cn" w:eastAsia="Calibri" w:hAnsi="HelveticaNeueLT Std Cn"/>
      <w:szCs w:val="24"/>
      <w:lang w:val="en-US"/>
    </w:rPr>
  </w:style>
  <w:style w:type="paragraph" w:styleId="Revision">
    <w:name w:val="Revision"/>
    <w:hidden/>
    <w:uiPriority w:val="99"/>
    <w:semiHidden/>
    <w:rsid w:val="00211FC2"/>
    <w:rPr>
      <w:sz w:val="24"/>
      <w:lang w:eastAsia="en-US"/>
    </w:rPr>
  </w:style>
  <w:style w:type="paragraph" w:styleId="BodyText">
    <w:name w:val="Body Text"/>
    <w:basedOn w:val="Normal"/>
    <w:link w:val="BodyTextChar"/>
    <w:uiPriority w:val="99"/>
    <w:semiHidden/>
    <w:unhideWhenUsed/>
    <w:rsid w:val="00D50AFD"/>
    <w:pPr>
      <w:spacing w:after="120"/>
    </w:pPr>
  </w:style>
  <w:style w:type="character" w:customStyle="1" w:styleId="BodyTextChar">
    <w:name w:val="Body Text Char"/>
    <w:basedOn w:val="DefaultParagraphFont"/>
    <w:link w:val="BodyText"/>
    <w:uiPriority w:val="99"/>
    <w:semiHidden/>
    <w:rsid w:val="00D50AFD"/>
    <w:rPr>
      <w:sz w:val="24"/>
      <w:lang w:eastAsia="en-US"/>
    </w:rPr>
  </w:style>
  <w:style w:type="character" w:customStyle="1" w:styleId="defaultlabelstyle1">
    <w:name w:val="defaultlabelstyle1"/>
    <w:rsid w:val="00D50AFD"/>
    <w:rPr>
      <w:rFonts w:ascii="Trebuchet MS" w:hAnsi="Trebuchet MS" w:hint="default"/>
      <w:color w:val="333333"/>
    </w:rPr>
  </w:style>
  <w:style w:type="character" w:styleId="Hyperlink">
    <w:name w:val="Hyperlink"/>
    <w:uiPriority w:val="99"/>
    <w:unhideWhenUsed/>
    <w:rsid w:val="00C74A7C"/>
    <w:rPr>
      <w:color w:val="0000FF"/>
      <w:u w:val="single"/>
    </w:rPr>
  </w:style>
  <w:style w:type="paragraph" w:styleId="BodyText2">
    <w:name w:val="Body Text 2"/>
    <w:basedOn w:val="Normal"/>
    <w:link w:val="BodyText2Char"/>
    <w:uiPriority w:val="99"/>
    <w:semiHidden/>
    <w:unhideWhenUsed/>
    <w:rsid w:val="00B44310"/>
    <w:pPr>
      <w:spacing w:after="120" w:line="480" w:lineRule="auto"/>
    </w:pPr>
  </w:style>
  <w:style w:type="character" w:customStyle="1" w:styleId="BodyText2Char">
    <w:name w:val="Body Text 2 Char"/>
    <w:basedOn w:val="DefaultParagraphFont"/>
    <w:link w:val="BodyText2"/>
    <w:uiPriority w:val="99"/>
    <w:semiHidden/>
    <w:rsid w:val="00B44310"/>
    <w:rPr>
      <w:sz w:val="24"/>
      <w:lang w:eastAsia="en-US"/>
    </w:rPr>
  </w:style>
  <w:style w:type="paragraph" w:customStyle="1" w:styleId="CS-FootnoteText">
    <w:name w:val="CS-Footnote Text"/>
    <w:basedOn w:val="Normal"/>
    <w:link w:val="CS-FootnoteTextChar"/>
    <w:rsid w:val="00983F71"/>
    <w:pPr>
      <w:keepLines/>
      <w:ind w:left="720" w:hanging="720"/>
    </w:pPr>
    <w:rPr>
      <w:sz w:val="18"/>
      <w:lang w:val="en-GB" w:eastAsia="de-DE"/>
    </w:rPr>
  </w:style>
  <w:style w:type="character" w:customStyle="1" w:styleId="CS-FootnoteTextChar">
    <w:name w:val="CS-Footnote Text Char"/>
    <w:link w:val="CS-FootnoteText"/>
    <w:rsid w:val="00983F71"/>
    <w:rPr>
      <w:sz w:val="18"/>
      <w:lang w:val="en-GB" w:eastAsia="de-DE"/>
    </w:rPr>
  </w:style>
  <w:style w:type="paragraph" w:customStyle="1" w:styleId="CS-TextinTable10pt">
    <w:name w:val="CS-Text_in_Table:10pt"/>
    <w:basedOn w:val="Normal"/>
    <w:qFormat/>
    <w:rsid w:val="00983F71"/>
    <w:pPr>
      <w:keepNext/>
      <w:keepLines/>
      <w:tabs>
        <w:tab w:val="left" w:pos="144"/>
      </w:tabs>
      <w:spacing w:before="120" w:after="120"/>
    </w:pPr>
    <w:rPr>
      <w:sz w:val="20"/>
      <w:lang w:val="en-GB"/>
    </w:rPr>
  </w:style>
  <w:style w:type="paragraph" w:customStyle="1" w:styleId="CaptionTable">
    <w:name w:val="Caption_Table"/>
    <w:basedOn w:val="Caption"/>
    <w:next w:val="Normal"/>
    <w:rsid w:val="00983F71"/>
    <w:pPr>
      <w:keepNext/>
      <w:keepLines/>
      <w:spacing w:after="180"/>
      <w:ind w:left="1588" w:hanging="1588"/>
    </w:pPr>
    <w:rPr>
      <w:b w:val="0"/>
      <w:bCs w:val="0"/>
      <w:color w:val="auto"/>
      <w:sz w:val="24"/>
      <w:szCs w:val="20"/>
      <w:lang w:val="en-US" w:eastAsia="de-DE"/>
    </w:rPr>
  </w:style>
  <w:style w:type="paragraph" w:styleId="Caption">
    <w:name w:val="caption"/>
    <w:basedOn w:val="Normal"/>
    <w:next w:val="Normal"/>
    <w:uiPriority w:val="35"/>
    <w:unhideWhenUsed/>
    <w:qFormat/>
    <w:rsid w:val="00983F71"/>
    <w:pPr>
      <w:spacing w:after="200"/>
    </w:pPr>
    <w:rPr>
      <w:b/>
      <w:bCs/>
      <w:color w:val="4F81BD" w:themeColor="accent1"/>
      <w:sz w:val="18"/>
      <w:szCs w:val="18"/>
    </w:rPr>
  </w:style>
  <w:style w:type="paragraph" w:customStyle="1" w:styleId="IBText">
    <w:name w:val="IB:Text"/>
    <w:link w:val="IBTextChar"/>
    <w:rsid w:val="00AC56C3"/>
    <w:pPr>
      <w:spacing w:before="120" w:after="240"/>
    </w:pPr>
    <w:rPr>
      <w:noProof/>
      <w:sz w:val="24"/>
      <w:lang w:val="de-DE" w:eastAsia="ja-JP"/>
    </w:rPr>
  </w:style>
  <w:style w:type="character" w:customStyle="1" w:styleId="IBTextChar">
    <w:name w:val="IB:Text Char"/>
    <w:link w:val="IBText"/>
    <w:rsid w:val="00AC56C3"/>
    <w:rPr>
      <w:noProof/>
      <w:sz w:val="24"/>
      <w:lang w:val="de-DE" w:eastAsia="ja-JP"/>
    </w:rPr>
  </w:style>
  <w:style w:type="paragraph" w:customStyle="1" w:styleId="4thlevel">
    <w:name w:val="4th level"/>
    <w:basedOn w:val="Normal"/>
    <w:next w:val="Normal"/>
    <w:rsid w:val="008D763A"/>
    <w:pPr>
      <w:keepNext/>
      <w:keepLines/>
      <w:tabs>
        <w:tab w:val="left" w:pos="1134"/>
      </w:tabs>
      <w:spacing w:before="240" w:after="240"/>
      <w:ind w:left="1134" w:hanging="1134"/>
      <w:outlineLvl w:val="3"/>
    </w:pPr>
    <w:rPr>
      <w:lang w:val="en-US" w:eastAsia="de-DE"/>
    </w:rPr>
  </w:style>
  <w:style w:type="paragraph" w:customStyle="1" w:styleId="FigureLabel">
    <w:name w:val="Figure Label"/>
    <w:basedOn w:val="Normal"/>
    <w:next w:val="Normal"/>
    <w:rsid w:val="00223FA3"/>
    <w:pPr>
      <w:numPr>
        <w:numId w:val="8"/>
      </w:numPr>
      <w:spacing w:before="180" w:after="180"/>
      <w:outlineLvl w:val="5"/>
    </w:pPr>
    <w:rPr>
      <w:lang w:val="en-US" w:eastAsia="de-DE"/>
    </w:rPr>
  </w:style>
  <w:style w:type="paragraph" w:customStyle="1" w:styleId="FigureLabelcont">
    <w:name w:val="Figure Label cont"/>
    <w:basedOn w:val="FigureLabel"/>
    <w:next w:val="Normal"/>
    <w:rsid w:val="00223FA3"/>
    <w:pPr>
      <w:numPr>
        <w:ilvl w:val="1"/>
      </w:numPr>
      <w:outlineLvl w:val="9"/>
    </w:pPr>
    <w:rPr>
      <w:lang w:val="en-GB"/>
    </w:rPr>
  </w:style>
  <w:style w:type="paragraph" w:customStyle="1" w:styleId="TableLabel">
    <w:name w:val="Table Label"/>
    <w:basedOn w:val="Normal"/>
    <w:next w:val="Normal"/>
    <w:rsid w:val="00223FA3"/>
    <w:pPr>
      <w:keepNext/>
      <w:keepLines/>
      <w:numPr>
        <w:numId w:val="9"/>
      </w:numPr>
      <w:spacing w:before="180" w:after="180"/>
      <w:outlineLvl w:val="5"/>
    </w:pPr>
    <w:rPr>
      <w:szCs w:val="24"/>
      <w:lang w:val="en-US"/>
    </w:rPr>
  </w:style>
  <w:style w:type="paragraph" w:customStyle="1" w:styleId="TableLabelcont">
    <w:name w:val="Table Label cont"/>
    <w:basedOn w:val="TableLabel"/>
    <w:next w:val="Normal"/>
    <w:rsid w:val="00223FA3"/>
    <w:pPr>
      <w:numPr>
        <w:ilvl w:val="1"/>
      </w:numPr>
      <w:outlineLvl w:val="9"/>
    </w:pPr>
  </w:style>
  <w:style w:type="paragraph" w:customStyle="1" w:styleId="CSTextinTable10pt">
    <w:name w:val="CS Text_in_Table:10pt"/>
    <w:basedOn w:val="Normal"/>
    <w:rsid w:val="00223FA3"/>
    <w:pPr>
      <w:keepNext/>
      <w:keepLines/>
      <w:tabs>
        <w:tab w:val="left" w:pos="144"/>
      </w:tabs>
      <w:spacing w:before="60" w:after="60"/>
    </w:pPr>
    <w:rPr>
      <w:sz w:val="20"/>
      <w:szCs w:val="24"/>
      <w:lang w:val="en-US" w:eastAsia="de-DE"/>
    </w:rPr>
  </w:style>
  <w:style w:type="paragraph" w:customStyle="1" w:styleId="CS-FootnoteReference">
    <w:name w:val="CS-Footnote Reference"/>
    <w:basedOn w:val="Normal"/>
    <w:link w:val="CS-FootnoteReferenceChar"/>
    <w:qFormat/>
    <w:rsid w:val="00223FA3"/>
    <w:rPr>
      <w:rFonts w:eastAsia="PMingLiU"/>
      <w:position w:val="4"/>
      <w:sz w:val="18"/>
      <w:lang w:val="en-GB"/>
    </w:rPr>
  </w:style>
  <w:style w:type="character" w:customStyle="1" w:styleId="CS-FootnoteReferenceChar">
    <w:name w:val="CS-Footnote Reference Char"/>
    <w:link w:val="CS-FootnoteReference"/>
    <w:rsid w:val="00223FA3"/>
    <w:rPr>
      <w:rFonts w:eastAsia="PMingLiU"/>
      <w:position w:val="4"/>
      <w:sz w:val="18"/>
      <w:lang w:val="en-GB" w:eastAsia="en-US"/>
    </w:rPr>
  </w:style>
  <w:style w:type="paragraph" w:customStyle="1" w:styleId="CS4thlevel">
    <w:name w:val="CS 4th level"/>
    <w:basedOn w:val="Normal"/>
    <w:next w:val="Normal"/>
    <w:rsid w:val="006E1339"/>
    <w:pPr>
      <w:keepNext/>
      <w:keepLines/>
      <w:tabs>
        <w:tab w:val="left" w:pos="1134"/>
      </w:tabs>
      <w:spacing w:before="240" w:after="240"/>
      <w:ind w:left="1134" w:hanging="1134"/>
      <w:outlineLvl w:val="3"/>
    </w:pPr>
    <w:rPr>
      <w:szCs w:val="24"/>
      <w:lang w:val="en-US" w:eastAsia="de-DE"/>
    </w:rPr>
  </w:style>
  <w:style w:type="paragraph" w:customStyle="1" w:styleId="Text">
    <w:name w:val="Text"/>
    <w:basedOn w:val="Normal"/>
    <w:link w:val="TextChar1"/>
    <w:rsid w:val="00985C9F"/>
    <w:pPr>
      <w:spacing w:before="120"/>
      <w:jc w:val="both"/>
    </w:pPr>
    <w:rPr>
      <w:rFonts w:ascii="Sabon" w:hAnsi="Sabon"/>
      <w:lang w:val="en-US"/>
    </w:rPr>
  </w:style>
  <w:style w:type="character" w:customStyle="1" w:styleId="TextChar1">
    <w:name w:val="Text Char1"/>
    <w:link w:val="Text"/>
    <w:rsid w:val="00985C9F"/>
    <w:rPr>
      <w:rFonts w:ascii="Sabon" w:hAnsi="Sabon"/>
      <w:sz w:val="24"/>
      <w:lang w:val="en-US" w:eastAsia="en-US"/>
    </w:rPr>
  </w:style>
  <w:style w:type="paragraph" w:customStyle="1" w:styleId="Bullet">
    <w:name w:val="Bullet"/>
    <w:basedOn w:val="Normal"/>
    <w:rsid w:val="00505980"/>
    <w:pPr>
      <w:spacing w:after="240" w:line="276" w:lineRule="auto"/>
    </w:pPr>
    <w:rPr>
      <w:rFonts w:ascii="Calibri" w:eastAsia="Calibri" w:hAnsi="Calibri"/>
      <w:sz w:val="22"/>
      <w:szCs w:val="22"/>
    </w:rPr>
  </w:style>
  <w:style w:type="paragraph" w:styleId="NoSpacing">
    <w:name w:val="No Spacing"/>
    <w:uiPriority w:val="1"/>
    <w:qFormat/>
    <w:rsid w:val="0050598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5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D59E3-2791-4628-8F92-162E4B05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9709</Words>
  <Characters>56551</Characters>
  <Application>Microsoft Office Word</Application>
  <DocSecurity>0</DocSecurity>
  <Lines>1663</Lines>
  <Paragraphs>960</Paragraphs>
  <ScaleCrop>false</ScaleCrop>
  <HeadingPairs>
    <vt:vector size="2" baseType="variant">
      <vt:variant>
        <vt:lpstr>Title</vt:lpstr>
      </vt:variant>
      <vt:variant>
        <vt:i4>1</vt:i4>
      </vt:variant>
    </vt:vector>
  </HeadingPairs>
  <TitlesOfParts>
    <vt:vector size="1" baseType="lpstr">
      <vt:lpstr>Core PI template</vt:lpstr>
    </vt:vector>
  </TitlesOfParts>
  <Company>Boehringer Ingelheim</Company>
  <LinksUpToDate>false</LinksUpToDate>
  <CharactersWithSpaces>65300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Nintedanib esilate</dc:title>
  <dc:subject>Prescription medicines</dc:subject>
  <dc:creator>Seeto</dc:creator>
  <cp:keywords>AusPARs</cp:keywords>
  <cp:lastModifiedBy>Lack, Janet</cp:lastModifiedBy>
  <cp:revision>4</cp:revision>
  <cp:lastPrinted>2015-09-02T06:24:00Z</cp:lastPrinted>
  <dcterms:created xsi:type="dcterms:W3CDTF">2016-02-11T05:20:00Z</dcterms:created>
  <dcterms:modified xsi:type="dcterms:W3CDTF">2016-02-11T23:00:00Z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