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A7" w:rsidRDefault="00F4609F" w:rsidP="0013391A">
      <w:pPr>
        <w:pStyle w:val="Heading1"/>
      </w:pPr>
      <w:r w:rsidRPr="00CB6338">
        <w:t>PRODUCT INFORMATION</w:t>
      </w:r>
    </w:p>
    <w:p w:rsidR="00F4609F" w:rsidRPr="0013391A" w:rsidRDefault="00F4609F" w:rsidP="00604FD7">
      <w:pPr>
        <w:pStyle w:val="Heading2"/>
      </w:pPr>
      <w:r w:rsidRPr="0013391A">
        <w:t xml:space="preserve">Name of the </w:t>
      </w:r>
      <w:r w:rsidR="00E62059" w:rsidRPr="0013391A">
        <w:t>Medicine</w:t>
      </w:r>
    </w:p>
    <w:p w:rsidR="00FB2B15" w:rsidRPr="00F94450" w:rsidRDefault="00E7129E" w:rsidP="00FD5EA7">
      <w:proofErr w:type="spellStart"/>
      <w:r>
        <w:t>VasoKINOX</w:t>
      </w:r>
      <w:proofErr w:type="spellEnd"/>
      <w:r w:rsidR="00F4609F" w:rsidRPr="00F94450">
        <w:t xml:space="preserve">® </w:t>
      </w:r>
      <w:r w:rsidR="008165D2" w:rsidRPr="00F94450">
        <w:t xml:space="preserve">450ppm </w:t>
      </w:r>
      <w:r w:rsidR="00F4609F" w:rsidRPr="00F94450">
        <w:t>(</w:t>
      </w:r>
      <w:r w:rsidR="00F4609F" w:rsidRPr="00F94450">
        <w:rPr>
          <w:spacing w:val="1"/>
        </w:rPr>
        <w:t>n</w:t>
      </w:r>
      <w:r w:rsidR="00F4609F" w:rsidRPr="00F94450">
        <w:t>itric o</w:t>
      </w:r>
      <w:r w:rsidR="00F4609F" w:rsidRPr="00F94450">
        <w:rPr>
          <w:spacing w:val="1"/>
        </w:rPr>
        <w:t>x</w:t>
      </w:r>
      <w:r w:rsidR="00F4609F" w:rsidRPr="00F94450">
        <w:t>i</w:t>
      </w:r>
      <w:r w:rsidR="00F4609F" w:rsidRPr="00F94450">
        <w:rPr>
          <w:spacing w:val="1"/>
        </w:rPr>
        <w:t>d</w:t>
      </w:r>
      <w:r w:rsidR="00F4609F" w:rsidRPr="00F94450">
        <w:t>e f</w:t>
      </w:r>
      <w:r w:rsidR="00F4609F" w:rsidRPr="00F94450">
        <w:rPr>
          <w:spacing w:val="1"/>
        </w:rPr>
        <w:t>o</w:t>
      </w:r>
      <w:r w:rsidR="00F4609F" w:rsidRPr="00F94450">
        <w:t>r in</w:t>
      </w:r>
      <w:r w:rsidR="00F4609F" w:rsidRPr="00F94450">
        <w:rPr>
          <w:spacing w:val="1"/>
        </w:rPr>
        <w:t>h</w:t>
      </w:r>
      <w:r w:rsidR="00F4609F" w:rsidRPr="00F94450">
        <w:t>alati</w:t>
      </w:r>
      <w:r w:rsidR="00F4609F" w:rsidRPr="00F94450">
        <w:rPr>
          <w:spacing w:val="1"/>
        </w:rPr>
        <w:t>o</w:t>
      </w:r>
      <w:r w:rsidR="00F4609F" w:rsidRPr="00F94450">
        <w:t>n)</w:t>
      </w:r>
      <w:r w:rsidR="00F05D02" w:rsidRPr="00F94450">
        <w:t>, medicinal gas compressed</w:t>
      </w:r>
    </w:p>
    <w:p w:rsidR="00FD5EA7" w:rsidRDefault="005A49A3" w:rsidP="00FD5EA7">
      <w:proofErr w:type="spellStart"/>
      <w:r w:rsidRPr="00F94450">
        <w:t>Pharmacotherapeutic</w:t>
      </w:r>
      <w:proofErr w:type="spellEnd"/>
      <w:r w:rsidRPr="00F94450">
        <w:t xml:space="preserve"> class: Pulmonary vasod</w:t>
      </w:r>
      <w:r w:rsidR="00F24A6A" w:rsidRPr="00F94450">
        <w:t>ilator</w:t>
      </w:r>
    </w:p>
    <w:p w:rsidR="00484149" w:rsidRPr="00F94450" w:rsidRDefault="00484149" w:rsidP="00FD5EA7">
      <w:r w:rsidRPr="00F94450">
        <w:t>Str</w:t>
      </w:r>
      <w:r w:rsidRPr="00F94450">
        <w:rPr>
          <w:spacing w:val="1"/>
        </w:rPr>
        <w:t>u</w:t>
      </w:r>
      <w:r w:rsidRPr="00F94450">
        <w:t>c</w:t>
      </w:r>
      <w:r w:rsidRPr="00F94450">
        <w:rPr>
          <w:spacing w:val="-2"/>
        </w:rPr>
        <w:t>t</w:t>
      </w:r>
      <w:r w:rsidRPr="00F94450">
        <w:rPr>
          <w:spacing w:val="1"/>
        </w:rPr>
        <w:t>u</w:t>
      </w:r>
      <w:r w:rsidRPr="00F94450">
        <w:t>ral</w:t>
      </w:r>
      <w:r w:rsidRPr="00F94450">
        <w:rPr>
          <w:spacing w:val="-1"/>
        </w:rPr>
        <w:t xml:space="preserve"> </w:t>
      </w:r>
      <w:r w:rsidRPr="00F94450">
        <w:t>form</w:t>
      </w:r>
      <w:r w:rsidRPr="00F94450">
        <w:rPr>
          <w:spacing w:val="1"/>
        </w:rPr>
        <w:t>u</w:t>
      </w:r>
      <w:r w:rsidRPr="00F94450">
        <w:t>la, i</w:t>
      </w:r>
      <w:r w:rsidRPr="00F94450">
        <w:rPr>
          <w:spacing w:val="1"/>
        </w:rPr>
        <w:t>n</w:t>
      </w:r>
      <w:r w:rsidRPr="00F94450">
        <w:t>c</w:t>
      </w:r>
      <w:r w:rsidRPr="00F94450">
        <w:rPr>
          <w:spacing w:val="-2"/>
        </w:rPr>
        <w:t>l</w:t>
      </w:r>
      <w:r w:rsidRPr="00F94450">
        <w:rPr>
          <w:spacing w:val="1"/>
        </w:rPr>
        <w:t>ud</w:t>
      </w:r>
      <w:r w:rsidRPr="00F94450">
        <w:rPr>
          <w:spacing w:val="-2"/>
        </w:rPr>
        <w:t>i</w:t>
      </w:r>
      <w:r w:rsidRPr="00F94450">
        <w:t>ng</w:t>
      </w:r>
      <w:r w:rsidRPr="00F94450">
        <w:rPr>
          <w:spacing w:val="1"/>
        </w:rPr>
        <w:t xml:space="preserve"> </w:t>
      </w:r>
      <w:r w:rsidRPr="00F94450">
        <w:t>relati</w:t>
      </w:r>
      <w:r w:rsidRPr="00F94450">
        <w:rPr>
          <w:spacing w:val="1"/>
        </w:rPr>
        <w:t>v</w:t>
      </w:r>
      <w:r w:rsidRPr="00F94450">
        <w:t>e and</w:t>
      </w:r>
      <w:r w:rsidRPr="00F94450">
        <w:rPr>
          <w:spacing w:val="1"/>
        </w:rPr>
        <w:t xml:space="preserve"> </w:t>
      </w:r>
      <w:r w:rsidRPr="00F94450">
        <w:t>a</w:t>
      </w:r>
      <w:r w:rsidRPr="00F94450">
        <w:rPr>
          <w:spacing w:val="1"/>
        </w:rPr>
        <w:t>b</w:t>
      </w:r>
      <w:r w:rsidRPr="00F94450">
        <w:t>s</w:t>
      </w:r>
      <w:r w:rsidRPr="00F94450">
        <w:rPr>
          <w:spacing w:val="1"/>
        </w:rPr>
        <w:t>o</w:t>
      </w:r>
      <w:r w:rsidRPr="00F94450">
        <w:t>l</w:t>
      </w:r>
      <w:r w:rsidRPr="00F94450">
        <w:rPr>
          <w:spacing w:val="1"/>
        </w:rPr>
        <w:t>u</w:t>
      </w:r>
      <w:r w:rsidRPr="00F94450">
        <w:t>te stere</w:t>
      </w:r>
      <w:r w:rsidRPr="00F94450">
        <w:rPr>
          <w:spacing w:val="1"/>
        </w:rPr>
        <w:t>o</w:t>
      </w:r>
      <w:r w:rsidRPr="00F94450">
        <w:t>c</w:t>
      </w:r>
      <w:r w:rsidRPr="00F94450">
        <w:rPr>
          <w:spacing w:val="1"/>
        </w:rPr>
        <w:t>h</w:t>
      </w:r>
      <w:r w:rsidRPr="00F94450">
        <w:t>emistry:</w:t>
      </w:r>
    </w:p>
    <w:p w:rsidR="00484149" w:rsidRPr="00F94450" w:rsidRDefault="00484149" w:rsidP="00484149">
      <w:pPr>
        <w:widowControl w:val="0"/>
        <w:autoSpaceDE w:val="0"/>
        <w:autoSpaceDN w:val="0"/>
        <w:adjustRightInd w:val="0"/>
        <w:spacing w:after="0"/>
        <w:ind w:left="120"/>
        <w:rPr>
          <w:rFonts w:cs="Calibri"/>
        </w:rPr>
      </w:pPr>
      <w:r>
        <w:rPr>
          <w:rFonts w:cs="Calibri"/>
          <w:noProof/>
        </w:rPr>
        <w:drawing>
          <wp:inline distT="0" distB="0" distL="0" distR="0" wp14:anchorId="04B295A5" wp14:editId="522386EC">
            <wp:extent cx="1295400" cy="800100"/>
            <wp:effectExtent l="0" t="0" r="0" b="0"/>
            <wp:docPr id="2" name="Picture 2" descr="image of the Structural formula, including relative and absolute stereo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5400" cy="800100"/>
                    </a:xfrm>
                    <a:prstGeom prst="rect">
                      <a:avLst/>
                    </a:prstGeom>
                    <a:noFill/>
                    <a:ln w="9525">
                      <a:noFill/>
                      <a:miter lim="800000"/>
                      <a:headEnd/>
                      <a:tailEnd/>
                    </a:ln>
                  </pic:spPr>
                </pic:pic>
              </a:graphicData>
            </a:graphic>
          </wp:inline>
        </w:drawing>
      </w:r>
    </w:p>
    <w:p w:rsidR="00FD5EA7" w:rsidRDefault="00484149" w:rsidP="00FD5EA7">
      <w:r w:rsidRPr="00F94450">
        <w:t>Molecular formula:</w:t>
      </w:r>
    </w:p>
    <w:p w:rsidR="00484149" w:rsidRPr="00F94450" w:rsidRDefault="00484149" w:rsidP="00FD5EA7">
      <w:r w:rsidRPr="00F94450">
        <w:t>NO</w:t>
      </w:r>
    </w:p>
    <w:p w:rsidR="00FD5EA7" w:rsidRDefault="00484149" w:rsidP="00FD5EA7">
      <w:r w:rsidRPr="00F94450">
        <w:t>Che</w:t>
      </w:r>
      <w:r w:rsidRPr="00F94450">
        <w:rPr>
          <w:spacing w:val="-2"/>
        </w:rPr>
        <w:t>m</w:t>
      </w:r>
      <w:r w:rsidRPr="00F94450">
        <w:t>ical</w:t>
      </w:r>
      <w:r w:rsidRPr="00F94450">
        <w:rPr>
          <w:spacing w:val="1"/>
        </w:rPr>
        <w:t xml:space="preserve"> </w:t>
      </w:r>
      <w:r w:rsidRPr="00F94450">
        <w:t>Abs</w:t>
      </w:r>
      <w:r w:rsidRPr="00F94450">
        <w:rPr>
          <w:spacing w:val="-2"/>
        </w:rPr>
        <w:t>t</w:t>
      </w:r>
      <w:r w:rsidRPr="00F94450">
        <w:t>racts</w:t>
      </w:r>
      <w:r w:rsidRPr="00F94450">
        <w:rPr>
          <w:spacing w:val="1"/>
        </w:rPr>
        <w:t xml:space="preserve"> </w:t>
      </w:r>
      <w:r w:rsidRPr="00F94450">
        <w:t>S</w:t>
      </w:r>
      <w:r w:rsidRPr="00F94450">
        <w:rPr>
          <w:spacing w:val="-1"/>
        </w:rPr>
        <w:t>e</w:t>
      </w:r>
      <w:r w:rsidRPr="00F94450">
        <w:t>rvice</w:t>
      </w:r>
      <w:r w:rsidRPr="00F94450">
        <w:rPr>
          <w:spacing w:val="-1"/>
        </w:rPr>
        <w:t xml:space="preserve"> (</w:t>
      </w:r>
      <w:r w:rsidRPr="00F94450">
        <w:t>CAS) r</w:t>
      </w:r>
      <w:r w:rsidRPr="00F94450">
        <w:rPr>
          <w:spacing w:val="-1"/>
        </w:rPr>
        <w:t>e</w:t>
      </w:r>
      <w:r w:rsidRPr="00F94450">
        <w:t>gistry</w:t>
      </w:r>
      <w:r w:rsidRPr="00F94450">
        <w:rPr>
          <w:spacing w:val="-1"/>
        </w:rPr>
        <w:t xml:space="preserve"> </w:t>
      </w:r>
      <w:r w:rsidRPr="00F94450">
        <w:t>nu</w:t>
      </w:r>
      <w:r w:rsidRPr="00F94450">
        <w:rPr>
          <w:spacing w:val="-2"/>
        </w:rPr>
        <w:t>m</w:t>
      </w:r>
      <w:r w:rsidRPr="00F94450">
        <w:t>ber:</w:t>
      </w:r>
    </w:p>
    <w:p w:rsidR="00484149" w:rsidRPr="000E3C97" w:rsidRDefault="00484149" w:rsidP="00FD5EA7">
      <w:r w:rsidRPr="00F94450">
        <w:t>[</w:t>
      </w:r>
      <w:r w:rsidRPr="00F94450">
        <w:rPr>
          <w:spacing w:val="-1"/>
        </w:rPr>
        <w:t>10</w:t>
      </w:r>
      <w:r w:rsidRPr="00F94450">
        <w:rPr>
          <w:spacing w:val="1"/>
        </w:rPr>
        <w:t>1</w:t>
      </w:r>
      <w:r w:rsidRPr="00F94450">
        <w:rPr>
          <w:spacing w:val="-1"/>
        </w:rPr>
        <w:t>0</w:t>
      </w:r>
      <w:r w:rsidRPr="00F94450">
        <w:rPr>
          <w:spacing w:val="1"/>
        </w:rPr>
        <w:t>2</w:t>
      </w:r>
      <w:r w:rsidRPr="00F94450">
        <w:rPr>
          <w:spacing w:val="-1"/>
        </w:rPr>
        <w:t>-4</w:t>
      </w:r>
      <w:r w:rsidRPr="00F94450">
        <w:rPr>
          <w:spacing w:val="1"/>
        </w:rPr>
        <w:t>3</w:t>
      </w:r>
      <w:r w:rsidRPr="00F94450">
        <w:rPr>
          <w:spacing w:val="-1"/>
        </w:rPr>
        <w:t>-</w:t>
      </w:r>
      <w:r w:rsidRPr="00F94450">
        <w:rPr>
          <w:spacing w:val="1"/>
        </w:rPr>
        <w:t>9</w:t>
      </w:r>
      <w:r w:rsidRPr="00F94450">
        <w:t>]</w:t>
      </w:r>
    </w:p>
    <w:p w:rsidR="00F4609F" w:rsidRPr="000E3C97" w:rsidRDefault="00F4609F" w:rsidP="0013391A">
      <w:pPr>
        <w:pStyle w:val="Heading2"/>
      </w:pPr>
      <w:r w:rsidRPr="000E3C97">
        <w:rPr>
          <w:bCs/>
        </w:rPr>
        <w:t>DESCRIPTION</w:t>
      </w:r>
    </w:p>
    <w:p w:rsidR="00073D06" w:rsidRDefault="00E7129E" w:rsidP="00FD5EA7">
      <w:proofErr w:type="spellStart"/>
      <w:r>
        <w:rPr>
          <w:rFonts w:cs="Calibri"/>
        </w:rPr>
        <w:t>VasoKINOX</w:t>
      </w:r>
      <w:proofErr w:type="spellEnd"/>
      <w:r w:rsidR="00EB3339" w:rsidRPr="000E3C97">
        <w:rPr>
          <w:rFonts w:cs="Calibri"/>
        </w:rPr>
        <w:t xml:space="preserve"> </w:t>
      </w:r>
      <w:r w:rsidR="00EB3339">
        <w:t xml:space="preserve">is a colourless and odourless medicinal </w:t>
      </w:r>
      <w:r w:rsidR="00EB3339" w:rsidRPr="00E639A5">
        <w:t xml:space="preserve">gas.  </w:t>
      </w:r>
      <w:r w:rsidR="00EB3339">
        <w:t>Nitric oxide</w:t>
      </w:r>
      <w:r w:rsidR="00484149">
        <w:t xml:space="preserve"> (NO)</w:t>
      </w:r>
      <w:r w:rsidR="00EB3339">
        <w:t xml:space="preserve">, the </w:t>
      </w:r>
      <w:r w:rsidR="00EB3339" w:rsidRPr="00E639A5">
        <w:t xml:space="preserve">active ingredient of </w:t>
      </w:r>
      <w:proofErr w:type="spellStart"/>
      <w:r>
        <w:rPr>
          <w:rFonts w:cs="Calibri"/>
        </w:rPr>
        <w:t>VasoKINOX</w:t>
      </w:r>
      <w:proofErr w:type="spellEnd"/>
      <w:r w:rsidR="00EB3339" w:rsidRPr="00E639A5">
        <w:t xml:space="preserve">, is </w:t>
      </w:r>
      <w:r w:rsidR="00EB3339">
        <w:t xml:space="preserve">a </w:t>
      </w:r>
      <w:r w:rsidR="00EB3339" w:rsidRPr="00E639A5">
        <w:rPr>
          <w:rFonts w:eastAsia="SimSun"/>
        </w:rPr>
        <w:t>pulmonary vasodilator.</w:t>
      </w:r>
      <w:r w:rsidR="00EB3339">
        <w:rPr>
          <w:rFonts w:eastAsia="SimSun"/>
        </w:rPr>
        <w:t xml:space="preserve">  </w:t>
      </w:r>
      <w:proofErr w:type="spellStart"/>
      <w:r>
        <w:rPr>
          <w:rFonts w:cs="Calibri"/>
        </w:rPr>
        <w:t>VasoKINOX</w:t>
      </w:r>
      <w:proofErr w:type="spellEnd"/>
      <w:r w:rsidR="00EB3339" w:rsidRPr="000E3C97">
        <w:rPr>
          <w:rFonts w:cs="Calibri"/>
        </w:rPr>
        <w:t xml:space="preserve"> </w:t>
      </w:r>
      <w:r w:rsidR="00EB3339">
        <w:t>is supplied in aluminium alloy gas cylinders (of 5</w:t>
      </w:r>
      <w:r w:rsidR="00371007">
        <w:t>L</w:t>
      </w:r>
      <w:r w:rsidR="00EB3339">
        <w:t xml:space="preserve"> or </w:t>
      </w:r>
      <w:r w:rsidR="001053B6" w:rsidRPr="006B1D52">
        <w:t>11L or</w:t>
      </w:r>
      <w:r w:rsidR="004A3983">
        <w:t xml:space="preserve"> </w:t>
      </w:r>
      <w:r w:rsidR="00EB3339">
        <w:t>20</w:t>
      </w:r>
      <w:r w:rsidR="00371007">
        <w:t>L</w:t>
      </w:r>
      <w:r w:rsidR="00EB3339">
        <w:t xml:space="preserve"> capacity) with a </w:t>
      </w:r>
      <w:r w:rsidR="00484149">
        <w:t>NO</w:t>
      </w:r>
      <w:r w:rsidR="00EB3339">
        <w:t xml:space="preserve"> concentration of 450ppm </w:t>
      </w:r>
      <w:proofErr w:type="spellStart"/>
      <w:r w:rsidR="00EB3339">
        <w:t>mol</w:t>
      </w:r>
      <w:proofErr w:type="spellEnd"/>
      <w:r w:rsidR="00EB3339" w:rsidRPr="00C1088F">
        <w:t>/</w:t>
      </w:r>
      <w:proofErr w:type="spellStart"/>
      <w:r w:rsidR="00EB3339" w:rsidRPr="00C1088F">
        <w:t>mol</w:t>
      </w:r>
      <w:proofErr w:type="spellEnd"/>
      <w:r w:rsidR="00EB3339">
        <w:t xml:space="preserve"> (NO 0.450 m</w:t>
      </w:r>
      <w:r w:rsidR="00632321">
        <w:t>l</w:t>
      </w:r>
      <w:r w:rsidR="00EB3339">
        <w:t xml:space="preserve"> in Nitrogen (N</w:t>
      </w:r>
      <w:r w:rsidR="00EB3339" w:rsidRPr="00ED04D2">
        <w:rPr>
          <w:vertAlign w:val="subscript"/>
        </w:rPr>
        <w:t>2</w:t>
      </w:r>
      <w:r w:rsidR="00EB3339">
        <w:t>) 999.55 ml</w:t>
      </w:r>
      <w:r w:rsidR="00A31767">
        <w:t>)</w:t>
      </w:r>
      <w:r w:rsidR="00EB3339">
        <w:t>.</w:t>
      </w:r>
    </w:p>
    <w:p w:rsidR="00073D06" w:rsidRDefault="00EB3339" w:rsidP="00FD5EA7">
      <w:r w:rsidRPr="00C1088F">
        <w:t>A</w:t>
      </w:r>
      <w:r w:rsidRPr="006204F5">
        <w:t xml:space="preserve"> 5-</w:t>
      </w:r>
      <w:r w:rsidR="000B1E17" w:rsidRPr="006204F5">
        <w:t>lit</w:t>
      </w:r>
      <w:r w:rsidR="000B1E17">
        <w:t>re</w:t>
      </w:r>
      <w:r w:rsidR="000B1E17" w:rsidRPr="006204F5">
        <w:t xml:space="preserve"> </w:t>
      </w:r>
      <w:r w:rsidRPr="006204F5">
        <w:t>cylinder filled to 200 bar</w:t>
      </w:r>
      <w:r w:rsidR="00ED719D">
        <w:t xml:space="preserve"> (</w:t>
      </w:r>
      <w:r w:rsidR="00835B99">
        <w:t xml:space="preserve">20,000 </w:t>
      </w:r>
      <w:proofErr w:type="spellStart"/>
      <w:r w:rsidR="001056F9">
        <w:t>kP</w:t>
      </w:r>
      <w:r w:rsidR="00ED719D">
        <w:t>a</w:t>
      </w:r>
      <w:proofErr w:type="spellEnd"/>
      <w:r w:rsidR="00ED719D">
        <w:t>)</w:t>
      </w:r>
      <w:r w:rsidRPr="006204F5">
        <w:t xml:space="preserve"> supplies </w:t>
      </w:r>
      <w:r w:rsidR="00BC7923">
        <w:t>0</w:t>
      </w:r>
      <w:r w:rsidR="00BC7923" w:rsidRPr="00CB6338">
        <w:t>.94</w:t>
      </w:r>
      <w:r w:rsidRPr="00CB6338">
        <w:t>m</w:t>
      </w:r>
      <w:r w:rsidRPr="00CB6338">
        <w:rPr>
          <w:vertAlign w:val="superscript"/>
        </w:rPr>
        <w:t>3</w:t>
      </w:r>
      <w:r w:rsidRPr="006204F5">
        <w:rPr>
          <w:vertAlign w:val="superscript"/>
        </w:rPr>
        <w:t xml:space="preserve"> </w:t>
      </w:r>
      <w:r w:rsidRPr="006204F5">
        <w:t>of gas</w:t>
      </w:r>
      <w:r>
        <w:t xml:space="preserve"> at a pressure of 1 bar</w:t>
      </w:r>
      <w:r w:rsidR="00ED719D">
        <w:t xml:space="preserve"> (</w:t>
      </w:r>
      <w:r w:rsidR="009739A8">
        <w:t>101.3kPa</w:t>
      </w:r>
      <w:r w:rsidR="00ED719D">
        <w:t>)</w:t>
      </w:r>
      <w:r w:rsidR="00024026">
        <w:t xml:space="preserve"> </w:t>
      </w:r>
      <w:r w:rsidR="0013391A">
        <w:t>at 15°C</w:t>
      </w:r>
    </w:p>
    <w:p w:rsidR="00FD5EA7" w:rsidRDefault="004A2483" w:rsidP="00FD5EA7">
      <w:r w:rsidRPr="002111C3">
        <w:t>A 11-</w:t>
      </w:r>
      <w:r w:rsidR="000B1E17" w:rsidRPr="002111C3">
        <w:t>lit</w:t>
      </w:r>
      <w:r w:rsidR="000B1E17">
        <w:t>re</w:t>
      </w:r>
      <w:r w:rsidR="000B1E17" w:rsidRPr="002111C3">
        <w:t xml:space="preserve"> </w:t>
      </w:r>
      <w:r w:rsidRPr="002111C3">
        <w:t xml:space="preserve">cylinder filled to 200 bar </w:t>
      </w:r>
      <w:r w:rsidR="00ED719D">
        <w:t>(</w:t>
      </w:r>
      <w:r w:rsidR="00835B99">
        <w:t>20,000</w:t>
      </w:r>
      <w:r w:rsidR="00ED719D">
        <w:t xml:space="preserve"> </w:t>
      </w:r>
      <w:proofErr w:type="spellStart"/>
      <w:r w:rsidR="00ED719D">
        <w:t>k</w:t>
      </w:r>
      <w:r w:rsidR="00484149">
        <w:t>P</w:t>
      </w:r>
      <w:r w:rsidR="00ED719D">
        <w:t>a</w:t>
      </w:r>
      <w:proofErr w:type="spellEnd"/>
      <w:r w:rsidR="00ED719D">
        <w:t>)</w:t>
      </w:r>
      <w:r w:rsidR="00ED719D" w:rsidRPr="006204F5">
        <w:t xml:space="preserve"> </w:t>
      </w:r>
      <w:r w:rsidRPr="002111C3">
        <w:t>supplies 2.1m</w:t>
      </w:r>
      <w:r w:rsidRPr="002111C3">
        <w:rPr>
          <w:vertAlign w:val="superscript"/>
        </w:rPr>
        <w:t xml:space="preserve">3 </w:t>
      </w:r>
      <w:r w:rsidRPr="002111C3">
        <w:t xml:space="preserve">of gas at a pressure of 1 bar </w:t>
      </w:r>
      <w:r w:rsidR="00ED719D">
        <w:t>(</w:t>
      </w:r>
      <w:r w:rsidR="009739A8">
        <w:t>101.3kPa</w:t>
      </w:r>
      <w:r w:rsidR="00ED719D">
        <w:t>)</w:t>
      </w:r>
      <w:r w:rsidR="009739A8">
        <w:t xml:space="preserve"> </w:t>
      </w:r>
      <w:r w:rsidRPr="002111C3">
        <w:t>at 15°C</w:t>
      </w:r>
    </w:p>
    <w:p w:rsidR="00EB3339" w:rsidRPr="006204F5" w:rsidRDefault="00024026" w:rsidP="00FD5EA7">
      <w:r>
        <w:t>A</w:t>
      </w:r>
      <w:r w:rsidR="00EB3339" w:rsidRPr="006204F5">
        <w:t xml:space="preserve"> 20-</w:t>
      </w:r>
      <w:r w:rsidR="000B1E17" w:rsidRPr="006204F5">
        <w:t>lit</w:t>
      </w:r>
      <w:r w:rsidR="000B1E17">
        <w:t>re</w:t>
      </w:r>
      <w:r w:rsidR="000B1E17" w:rsidRPr="006204F5">
        <w:t xml:space="preserve"> </w:t>
      </w:r>
      <w:r w:rsidR="00EB3339" w:rsidRPr="006204F5">
        <w:t xml:space="preserve">cylinder filled to 200 bar </w:t>
      </w:r>
      <w:r w:rsidR="00ED719D">
        <w:t>(</w:t>
      </w:r>
      <w:r w:rsidR="00835B99">
        <w:t xml:space="preserve">20,000 </w:t>
      </w:r>
      <w:proofErr w:type="spellStart"/>
      <w:r w:rsidR="00ED719D">
        <w:t>k</w:t>
      </w:r>
      <w:r w:rsidR="00484149">
        <w:t>P</w:t>
      </w:r>
      <w:r w:rsidR="00ED719D">
        <w:t>a</w:t>
      </w:r>
      <w:proofErr w:type="spellEnd"/>
      <w:r w:rsidR="00ED719D">
        <w:t>)</w:t>
      </w:r>
      <w:r w:rsidR="00ED719D" w:rsidRPr="006204F5">
        <w:t xml:space="preserve"> </w:t>
      </w:r>
      <w:r w:rsidR="00EB3339" w:rsidRPr="006204F5">
        <w:t xml:space="preserve">supplies </w:t>
      </w:r>
      <w:r w:rsidR="00BC7923" w:rsidRPr="00CB6338">
        <w:t>3.8</w:t>
      </w:r>
      <w:r w:rsidR="00EB3339" w:rsidRPr="006204F5">
        <w:t>m</w:t>
      </w:r>
      <w:r w:rsidR="00EB3339" w:rsidRPr="006204F5">
        <w:rPr>
          <w:vertAlign w:val="superscript"/>
        </w:rPr>
        <w:t xml:space="preserve">3 </w:t>
      </w:r>
      <w:r w:rsidR="00EB3339" w:rsidRPr="006204F5">
        <w:t>of gas at a pressure of 1 bar</w:t>
      </w:r>
      <w:r w:rsidR="00ED719D">
        <w:t xml:space="preserve"> (101.3kPa)</w:t>
      </w:r>
      <w:r w:rsidR="00EB3339" w:rsidRPr="006204F5">
        <w:t xml:space="preserve"> at 15°C.</w:t>
      </w:r>
    </w:p>
    <w:p w:rsidR="00FD5EA7" w:rsidRDefault="00F4609F" w:rsidP="0013391A">
      <w:pPr>
        <w:pStyle w:val="Heading2"/>
      </w:pPr>
      <w:r w:rsidRPr="000E3C97">
        <w:rPr>
          <w:bCs/>
        </w:rPr>
        <w:t>PHARMACOLOGY</w:t>
      </w:r>
    </w:p>
    <w:p w:rsidR="00F4609F" w:rsidRPr="000E3C97" w:rsidRDefault="00F4609F" w:rsidP="0013391A">
      <w:pPr>
        <w:pStyle w:val="Heading3"/>
      </w:pPr>
      <w:r w:rsidRPr="000E3C97">
        <w:t>Mechanism of action</w:t>
      </w:r>
    </w:p>
    <w:p w:rsidR="00AE2093" w:rsidRDefault="00AE2093" w:rsidP="00FD5EA7">
      <w:pPr>
        <w:rPr>
          <w:spacing w:val="-4"/>
          <w:w w:val="105"/>
          <w:lang w:val="en-GB"/>
        </w:rPr>
      </w:pPr>
      <w:r w:rsidRPr="0023388B">
        <w:rPr>
          <w:w w:val="105"/>
          <w:lang w:val="en-GB"/>
        </w:rPr>
        <w:t xml:space="preserve">Nitric oxide is produced endogenously by numerous cells within the organism, including those in the </w:t>
      </w:r>
      <w:r w:rsidRPr="0023388B">
        <w:rPr>
          <w:spacing w:val="-4"/>
          <w:w w:val="105"/>
          <w:lang w:val="en-GB"/>
        </w:rPr>
        <w:t>vascular endothelium.</w:t>
      </w:r>
    </w:p>
    <w:p w:rsidR="00AE2093" w:rsidRPr="0023388B" w:rsidRDefault="0073692D" w:rsidP="00FD5EA7">
      <w:pPr>
        <w:rPr>
          <w:spacing w:val="-3"/>
          <w:w w:val="105"/>
          <w:lang w:val="en-GB"/>
        </w:rPr>
      </w:pPr>
      <w:r w:rsidRPr="0023388B">
        <w:rPr>
          <w:w w:val="105"/>
          <w:lang w:val="en-GB"/>
        </w:rPr>
        <w:t xml:space="preserve">Nitric oxide </w:t>
      </w:r>
      <w:r w:rsidR="00AE2093" w:rsidRPr="0023388B">
        <w:rPr>
          <w:spacing w:val="-2"/>
          <w:w w:val="105"/>
          <w:lang w:val="en-GB"/>
        </w:rPr>
        <w:t xml:space="preserve">induces the relaxation of </w:t>
      </w:r>
      <w:r w:rsidR="00753147" w:rsidRPr="0023388B">
        <w:rPr>
          <w:spacing w:val="-2"/>
          <w:w w:val="105"/>
          <w:lang w:val="en-GB"/>
        </w:rPr>
        <w:t xml:space="preserve">vascular </w:t>
      </w:r>
      <w:r w:rsidR="00AE2093" w:rsidRPr="0023388B">
        <w:rPr>
          <w:spacing w:val="-2"/>
          <w:w w:val="105"/>
          <w:lang w:val="en-GB"/>
        </w:rPr>
        <w:t xml:space="preserve">smooth muscles thus resulting in vasodilation by combining with </w:t>
      </w:r>
      <w:r w:rsidR="00AE2093" w:rsidRPr="0023388B">
        <w:rPr>
          <w:w w:val="105"/>
          <w:lang w:val="en-GB"/>
        </w:rPr>
        <w:t xml:space="preserve">cytosolic guanylate cyclase </w:t>
      </w:r>
      <w:proofErr w:type="spellStart"/>
      <w:r w:rsidR="00AE2093" w:rsidRPr="0023388B">
        <w:rPr>
          <w:w w:val="105"/>
          <w:lang w:val="en-GB"/>
        </w:rPr>
        <w:t>haeminic</w:t>
      </w:r>
      <w:proofErr w:type="spellEnd"/>
      <w:r w:rsidR="00AE2093" w:rsidRPr="0023388B">
        <w:rPr>
          <w:w w:val="105"/>
          <w:lang w:val="en-GB"/>
        </w:rPr>
        <w:t xml:space="preserve"> iron. This activates the guanylate-cyclase and increases intracellular </w:t>
      </w:r>
      <w:r w:rsidR="00AE2093" w:rsidRPr="0023388B">
        <w:rPr>
          <w:spacing w:val="-8"/>
          <w:w w:val="105"/>
          <w:lang w:val="en-GB"/>
        </w:rPr>
        <w:t>concentrations of cyclic guanosine 3'</w:t>
      </w:r>
      <w:proofErr w:type="gramStart"/>
      <w:r w:rsidR="00AE2093" w:rsidRPr="0023388B">
        <w:rPr>
          <w:spacing w:val="-8"/>
          <w:w w:val="105"/>
          <w:lang w:val="en-GB"/>
        </w:rPr>
        <w:t>,5'</w:t>
      </w:r>
      <w:proofErr w:type="gramEnd"/>
      <w:r w:rsidR="00AE2093" w:rsidRPr="0023388B">
        <w:rPr>
          <w:spacing w:val="-8"/>
          <w:w w:val="105"/>
          <w:lang w:val="en-GB"/>
        </w:rPr>
        <w:t>-monophosphate (</w:t>
      </w:r>
      <w:proofErr w:type="spellStart"/>
      <w:r w:rsidR="00AE2093" w:rsidRPr="0023388B">
        <w:rPr>
          <w:spacing w:val="-8"/>
          <w:w w:val="105"/>
          <w:lang w:val="en-GB"/>
        </w:rPr>
        <w:t>GMPc</w:t>
      </w:r>
      <w:proofErr w:type="spellEnd"/>
      <w:r w:rsidR="00AE2093" w:rsidRPr="0023388B">
        <w:rPr>
          <w:spacing w:val="-8"/>
          <w:w w:val="105"/>
          <w:lang w:val="en-GB"/>
        </w:rPr>
        <w:t xml:space="preserve">). An increase in intra-platelet </w:t>
      </w:r>
      <w:proofErr w:type="spellStart"/>
      <w:r w:rsidR="00AE2093" w:rsidRPr="0023388B">
        <w:rPr>
          <w:spacing w:val="-8"/>
          <w:w w:val="105"/>
          <w:lang w:val="en-GB"/>
        </w:rPr>
        <w:t>GMPc</w:t>
      </w:r>
      <w:proofErr w:type="spellEnd"/>
      <w:r w:rsidR="00AE2093" w:rsidRPr="0023388B">
        <w:rPr>
          <w:spacing w:val="-8"/>
          <w:w w:val="105"/>
          <w:lang w:val="en-GB"/>
        </w:rPr>
        <w:t xml:space="preserve"> may be </w:t>
      </w:r>
      <w:r w:rsidR="00AE2093" w:rsidRPr="0023388B">
        <w:rPr>
          <w:spacing w:val="-3"/>
          <w:w w:val="105"/>
          <w:lang w:val="en-GB"/>
        </w:rPr>
        <w:t>responsible for platelet aggregation inhibition.</w:t>
      </w:r>
    </w:p>
    <w:p w:rsidR="00FD5EA7" w:rsidRDefault="00AE2093" w:rsidP="00FD5EA7">
      <w:pPr>
        <w:rPr>
          <w:spacing w:val="-3"/>
          <w:w w:val="105"/>
          <w:lang w:val="en-GB"/>
        </w:rPr>
      </w:pPr>
      <w:r w:rsidRPr="0023388B">
        <w:rPr>
          <w:spacing w:val="-3"/>
          <w:w w:val="105"/>
          <w:lang w:val="en-GB"/>
        </w:rPr>
        <w:t xml:space="preserve">Inhaled </w:t>
      </w:r>
      <w:r w:rsidR="00ED3839">
        <w:rPr>
          <w:spacing w:val="-3"/>
          <w:w w:val="105"/>
          <w:lang w:val="en-GB"/>
        </w:rPr>
        <w:t>NO</w:t>
      </w:r>
      <w:r w:rsidR="006D66A5">
        <w:rPr>
          <w:spacing w:val="-3"/>
          <w:w w:val="105"/>
          <w:lang w:val="en-GB"/>
        </w:rPr>
        <w:t xml:space="preserve"> </w:t>
      </w:r>
      <w:r w:rsidR="000B1E17">
        <w:rPr>
          <w:spacing w:val="-3"/>
          <w:w w:val="105"/>
          <w:lang w:val="en-GB"/>
        </w:rPr>
        <w:t>(</w:t>
      </w:r>
      <w:proofErr w:type="spellStart"/>
      <w:r w:rsidR="000B1E17">
        <w:rPr>
          <w:spacing w:val="-3"/>
          <w:w w:val="105"/>
          <w:lang w:val="en-GB"/>
        </w:rPr>
        <w:t>iNO</w:t>
      </w:r>
      <w:proofErr w:type="spellEnd"/>
      <w:r w:rsidR="000B1E17">
        <w:rPr>
          <w:spacing w:val="-3"/>
          <w:w w:val="105"/>
          <w:lang w:val="en-GB"/>
        </w:rPr>
        <w:t xml:space="preserve">) </w:t>
      </w:r>
      <w:r w:rsidRPr="0023388B">
        <w:rPr>
          <w:spacing w:val="-3"/>
          <w:w w:val="105"/>
          <w:lang w:val="en-GB"/>
        </w:rPr>
        <w:t xml:space="preserve">exerts a selective action on pulmonary arterial circulation due to its very short </w:t>
      </w:r>
      <w:r w:rsidR="00484149">
        <w:rPr>
          <w:spacing w:val="-3"/>
          <w:w w:val="105"/>
          <w:lang w:val="en-GB"/>
        </w:rPr>
        <w:t>half-life and inhalation route</w:t>
      </w:r>
      <w:r w:rsidRPr="0023388B">
        <w:rPr>
          <w:spacing w:val="-3"/>
          <w:w w:val="105"/>
          <w:lang w:val="en-GB"/>
        </w:rPr>
        <w:t>.</w:t>
      </w:r>
    </w:p>
    <w:p w:rsidR="00F4609F" w:rsidRPr="000E3C97" w:rsidRDefault="00F4609F" w:rsidP="0013391A">
      <w:pPr>
        <w:pStyle w:val="Heading3"/>
      </w:pPr>
      <w:r w:rsidRPr="000E3C97">
        <w:t>Ph</w:t>
      </w:r>
      <w:r w:rsidRPr="000E3C97">
        <w:rPr>
          <w:spacing w:val="1"/>
        </w:rPr>
        <w:t>a</w:t>
      </w:r>
      <w:r w:rsidRPr="000E3C97">
        <w:t>rm</w:t>
      </w:r>
      <w:r w:rsidRPr="000E3C97">
        <w:rPr>
          <w:spacing w:val="1"/>
        </w:rPr>
        <w:t>a</w:t>
      </w:r>
      <w:r w:rsidRPr="000E3C97">
        <w:t>c</w:t>
      </w:r>
      <w:r w:rsidRPr="000E3C97">
        <w:rPr>
          <w:spacing w:val="1"/>
        </w:rPr>
        <w:t>o</w:t>
      </w:r>
      <w:r w:rsidRPr="000E3C97">
        <w:t>d</w:t>
      </w:r>
      <w:r w:rsidRPr="000E3C97">
        <w:rPr>
          <w:spacing w:val="1"/>
        </w:rPr>
        <w:t>y</w:t>
      </w:r>
      <w:r w:rsidRPr="000E3C97">
        <w:t>n</w:t>
      </w:r>
      <w:r w:rsidRPr="000E3C97">
        <w:rPr>
          <w:spacing w:val="1"/>
        </w:rPr>
        <w:t>a</w:t>
      </w:r>
      <w:r w:rsidRPr="000E3C97">
        <w:t>mics</w:t>
      </w:r>
    </w:p>
    <w:p w:rsidR="006B7E31" w:rsidRDefault="00E7129E" w:rsidP="00FD5EA7">
      <w:pPr>
        <w:spacing w:after="0"/>
        <w:ind w:right="72"/>
        <w:jc w:val="both"/>
        <w:rPr>
          <w:spacing w:val="-4"/>
          <w:w w:val="105"/>
          <w:lang w:val="en-GB"/>
        </w:rPr>
      </w:pPr>
      <w:proofErr w:type="spellStart"/>
      <w:r w:rsidRPr="00FD5EA7">
        <w:t>VasoKINOX</w:t>
      </w:r>
      <w:proofErr w:type="spellEnd"/>
      <w:r w:rsidR="006B7E31" w:rsidRPr="00FD5EA7">
        <w:t xml:space="preserve"> induces a reduction in pulmonary vascular resistance</w:t>
      </w:r>
      <w:r w:rsidR="00484149" w:rsidRPr="00FD5EA7">
        <w:t xml:space="preserve"> (PVR)</w:t>
      </w:r>
      <w:r w:rsidR="006B7E31" w:rsidRPr="00FD5EA7">
        <w:t xml:space="preserve"> and is effective only in the presence of existing vasoconstriction in the ventilated area of the lung. It improves arterial oxygenation by re-distributing pulmonary blood flow from the unventilated areas of the lung with a low ventilation/perfusion ratio (V/Q) to the ventilated areas, consequently reducing the shunt effect. The effect of </w:t>
      </w:r>
      <w:proofErr w:type="spellStart"/>
      <w:r w:rsidR="00694CA2" w:rsidRPr="00FD5EA7">
        <w:t>i</w:t>
      </w:r>
      <w:r w:rsidR="00A31767" w:rsidRPr="00FD5EA7">
        <w:t>NO</w:t>
      </w:r>
      <w:proofErr w:type="spellEnd"/>
      <w:r w:rsidR="006B7E31" w:rsidRPr="0023388B">
        <w:rPr>
          <w:spacing w:val="-1"/>
          <w:w w:val="105"/>
          <w:lang w:val="en-GB"/>
        </w:rPr>
        <w:t xml:space="preserve"> is dependent on </w:t>
      </w:r>
      <w:r w:rsidR="006B7E31" w:rsidRPr="0023388B">
        <w:rPr>
          <w:spacing w:val="-4"/>
          <w:w w:val="105"/>
          <w:lang w:val="en-GB"/>
        </w:rPr>
        <w:t>alveolar recruitment.</w:t>
      </w:r>
    </w:p>
    <w:p w:rsidR="00F4609F" w:rsidRPr="000E3C97" w:rsidRDefault="00F4609F" w:rsidP="0013391A">
      <w:pPr>
        <w:pStyle w:val="Heading3"/>
      </w:pPr>
      <w:r w:rsidRPr="000E3C97">
        <w:t>Ph</w:t>
      </w:r>
      <w:r w:rsidRPr="000E3C97">
        <w:rPr>
          <w:spacing w:val="1"/>
        </w:rPr>
        <w:t>a</w:t>
      </w:r>
      <w:r w:rsidRPr="000E3C97">
        <w:t>rm</w:t>
      </w:r>
      <w:r w:rsidRPr="000E3C97">
        <w:rPr>
          <w:spacing w:val="1"/>
        </w:rPr>
        <w:t>a</w:t>
      </w:r>
      <w:r w:rsidRPr="000E3C97">
        <w:t>c</w:t>
      </w:r>
      <w:r w:rsidRPr="000E3C97">
        <w:rPr>
          <w:spacing w:val="1"/>
        </w:rPr>
        <w:t>o</w:t>
      </w:r>
      <w:r w:rsidRPr="000E3C97">
        <w:t>kinetics</w:t>
      </w:r>
    </w:p>
    <w:p w:rsidR="00F4609F" w:rsidRPr="000E3C97" w:rsidRDefault="00F4609F" w:rsidP="0013391A">
      <w:pPr>
        <w:pStyle w:val="Heading4"/>
      </w:pPr>
      <w:r w:rsidRPr="000E3C97">
        <w:lastRenderedPageBreak/>
        <w:t>Abs</w:t>
      </w:r>
      <w:r w:rsidRPr="000E3C97">
        <w:rPr>
          <w:spacing w:val="1"/>
        </w:rPr>
        <w:t>o</w:t>
      </w:r>
      <w:r w:rsidRPr="000E3C97">
        <w:t>rption and Distribut</w:t>
      </w:r>
      <w:r w:rsidRPr="000E3C97">
        <w:rPr>
          <w:spacing w:val="-2"/>
        </w:rPr>
        <w:t>i</w:t>
      </w:r>
      <w:r w:rsidRPr="000E3C97">
        <w:rPr>
          <w:spacing w:val="1"/>
        </w:rPr>
        <w:t>o</w:t>
      </w:r>
      <w:r w:rsidRPr="000E3C97">
        <w:t>n:</w:t>
      </w:r>
    </w:p>
    <w:p w:rsidR="00FD5EA7" w:rsidRDefault="000E4CB3" w:rsidP="0013391A">
      <w:pPr>
        <w:rPr>
          <w:spacing w:val="-1"/>
          <w:w w:val="105"/>
          <w:lang w:val="en-GB"/>
        </w:rPr>
      </w:pPr>
      <w:r w:rsidRPr="0023388B">
        <w:rPr>
          <w:w w:val="105"/>
          <w:lang w:val="en-GB"/>
        </w:rPr>
        <w:t xml:space="preserve">Inhaled </w:t>
      </w:r>
      <w:r w:rsidR="00694CA2">
        <w:rPr>
          <w:w w:val="105"/>
          <w:lang w:val="en-GB"/>
        </w:rPr>
        <w:t>NO</w:t>
      </w:r>
      <w:r w:rsidRPr="0023388B">
        <w:rPr>
          <w:w w:val="105"/>
          <w:lang w:val="en-GB"/>
        </w:rPr>
        <w:t xml:space="preserve"> is diffused via a systemic pathway. The largest part crosses the </w:t>
      </w:r>
      <w:proofErr w:type="spellStart"/>
      <w:r w:rsidRPr="0023388B">
        <w:rPr>
          <w:w w:val="105"/>
          <w:lang w:val="en-GB"/>
        </w:rPr>
        <w:t>alveolocapillary</w:t>
      </w:r>
      <w:proofErr w:type="spellEnd"/>
      <w:r w:rsidRPr="0023388B">
        <w:rPr>
          <w:w w:val="105"/>
          <w:lang w:val="en-GB"/>
        </w:rPr>
        <w:t xml:space="preserve"> </w:t>
      </w:r>
      <w:r w:rsidRPr="0023388B">
        <w:rPr>
          <w:spacing w:val="-6"/>
          <w:w w:val="105"/>
          <w:lang w:val="en-GB"/>
        </w:rPr>
        <w:t xml:space="preserve">membrane and combines with haemoglobin presenting oxygen </w:t>
      </w:r>
      <w:r w:rsidR="00694CA2">
        <w:rPr>
          <w:spacing w:val="-4"/>
          <w:w w:val="105"/>
          <w:lang w:val="en-GB"/>
        </w:rPr>
        <w:t>(</w:t>
      </w:r>
      <w:r w:rsidR="00694CA2">
        <w:rPr>
          <w:spacing w:val="-1"/>
          <w:w w:val="105"/>
          <w:lang w:val="en-GB"/>
        </w:rPr>
        <w:t>O</w:t>
      </w:r>
      <w:r w:rsidR="00694CA2" w:rsidRPr="00597184">
        <w:rPr>
          <w:spacing w:val="-1"/>
          <w:w w:val="105"/>
          <w:vertAlign w:val="subscript"/>
          <w:lang w:val="en-GB"/>
        </w:rPr>
        <w:t>2</w:t>
      </w:r>
      <w:r w:rsidR="00694CA2">
        <w:rPr>
          <w:spacing w:val="-1"/>
          <w:w w:val="105"/>
          <w:lang w:val="en-GB"/>
        </w:rPr>
        <w:t xml:space="preserve">) </w:t>
      </w:r>
      <w:r w:rsidRPr="0023388B">
        <w:rPr>
          <w:spacing w:val="-6"/>
          <w:w w:val="105"/>
          <w:lang w:val="en-GB"/>
        </w:rPr>
        <w:t>saturation of between 60% and 100%.</w:t>
      </w:r>
      <w:r w:rsidR="00D518F0">
        <w:rPr>
          <w:spacing w:val="-6"/>
          <w:w w:val="105"/>
          <w:lang w:val="en-GB"/>
        </w:rPr>
        <w:t xml:space="preserve"> </w:t>
      </w:r>
      <w:r w:rsidR="001E3D90">
        <w:rPr>
          <w:lang w:val="en-GB"/>
        </w:rPr>
        <w:t xml:space="preserve">At this level of </w:t>
      </w:r>
      <w:r w:rsidR="00484149">
        <w:rPr>
          <w:spacing w:val="-1"/>
          <w:w w:val="105"/>
          <w:lang w:val="en-GB"/>
        </w:rPr>
        <w:t>O</w:t>
      </w:r>
      <w:r w:rsidR="00484149" w:rsidRPr="00597184">
        <w:rPr>
          <w:spacing w:val="-1"/>
          <w:w w:val="105"/>
          <w:vertAlign w:val="subscript"/>
          <w:lang w:val="en-GB"/>
        </w:rPr>
        <w:t>2</w:t>
      </w:r>
      <w:r w:rsidR="00484149">
        <w:rPr>
          <w:spacing w:val="-1"/>
          <w:w w:val="105"/>
          <w:lang w:val="en-GB"/>
        </w:rPr>
        <w:t xml:space="preserve"> </w:t>
      </w:r>
      <w:r w:rsidRPr="0023388B">
        <w:rPr>
          <w:spacing w:val="-4"/>
          <w:w w:val="105"/>
          <w:lang w:val="en-GB"/>
        </w:rPr>
        <w:t>saturation</w:t>
      </w:r>
      <w:r w:rsidR="001C3B6F">
        <w:rPr>
          <w:spacing w:val="-4"/>
          <w:w w:val="105"/>
          <w:lang w:val="en-GB"/>
        </w:rPr>
        <w:t>,</w:t>
      </w:r>
      <w:r w:rsidRPr="0023388B">
        <w:rPr>
          <w:spacing w:val="-4"/>
          <w:w w:val="105"/>
          <w:lang w:val="en-GB"/>
        </w:rPr>
        <w:t xml:space="preserve"> </w:t>
      </w:r>
      <w:proofErr w:type="spellStart"/>
      <w:r w:rsidR="001C3B6F">
        <w:rPr>
          <w:spacing w:val="-4"/>
          <w:w w:val="105"/>
          <w:lang w:val="en-GB"/>
        </w:rPr>
        <w:t>i</w:t>
      </w:r>
      <w:r w:rsidR="00484149">
        <w:rPr>
          <w:spacing w:val="-4"/>
          <w:w w:val="105"/>
          <w:lang w:val="en-GB"/>
        </w:rPr>
        <w:t>NO</w:t>
      </w:r>
      <w:proofErr w:type="spellEnd"/>
      <w:r w:rsidRPr="0023388B">
        <w:rPr>
          <w:spacing w:val="-4"/>
          <w:w w:val="105"/>
          <w:lang w:val="en-GB"/>
        </w:rPr>
        <w:t xml:space="preserve"> mainly fixes to the </w:t>
      </w:r>
      <w:proofErr w:type="spellStart"/>
      <w:r w:rsidRPr="0023388B">
        <w:rPr>
          <w:spacing w:val="-4"/>
          <w:w w:val="105"/>
          <w:lang w:val="en-GB"/>
        </w:rPr>
        <w:t>oxyh</w:t>
      </w:r>
      <w:r w:rsidR="001E3D90">
        <w:rPr>
          <w:spacing w:val="-4"/>
          <w:w w:val="105"/>
          <w:lang w:val="en-GB"/>
        </w:rPr>
        <w:t>a</w:t>
      </w:r>
      <w:r w:rsidRPr="0023388B">
        <w:rPr>
          <w:spacing w:val="-4"/>
          <w:w w:val="105"/>
          <w:lang w:val="en-GB"/>
        </w:rPr>
        <w:t>emoglobin</w:t>
      </w:r>
      <w:proofErr w:type="spellEnd"/>
      <w:r w:rsidRPr="0023388B">
        <w:rPr>
          <w:spacing w:val="-4"/>
          <w:w w:val="105"/>
          <w:lang w:val="en-GB"/>
        </w:rPr>
        <w:t>, which transforms into meth</w:t>
      </w:r>
      <w:r w:rsidR="001E3D90">
        <w:rPr>
          <w:spacing w:val="-4"/>
          <w:w w:val="105"/>
          <w:lang w:val="en-GB"/>
        </w:rPr>
        <w:t>a</w:t>
      </w:r>
      <w:r w:rsidRPr="0023388B">
        <w:rPr>
          <w:spacing w:val="-4"/>
          <w:w w:val="105"/>
          <w:lang w:val="en-GB"/>
        </w:rPr>
        <w:t xml:space="preserve">emoglobin </w:t>
      </w:r>
      <w:r w:rsidRPr="0023388B">
        <w:rPr>
          <w:spacing w:val="-2"/>
          <w:w w:val="105"/>
          <w:lang w:val="en-GB"/>
        </w:rPr>
        <w:t xml:space="preserve">and nitrates. When </w:t>
      </w:r>
      <w:r w:rsidR="00484149">
        <w:rPr>
          <w:spacing w:val="-1"/>
          <w:w w:val="105"/>
          <w:lang w:val="en-GB"/>
        </w:rPr>
        <w:t>O</w:t>
      </w:r>
      <w:r w:rsidR="00484149" w:rsidRPr="00597184">
        <w:rPr>
          <w:spacing w:val="-1"/>
          <w:w w:val="105"/>
          <w:vertAlign w:val="subscript"/>
          <w:lang w:val="en-GB"/>
        </w:rPr>
        <w:t>2</w:t>
      </w:r>
      <w:r w:rsidRPr="0023388B">
        <w:rPr>
          <w:spacing w:val="-2"/>
          <w:w w:val="105"/>
          <w:lang w:val="en-GB"/>
        </w:rPr>
        <w:t xml:space="preserve"> saturation is low</w:t>
      </w:r>
      <w:proofErr w:type="gramStart"/>
      <w:r w:rsidRPr="0023388B">
        <w:rPr>
          <w:spacing w:val="-2"/>
          <w:w w:val="105"/>
          <w:lang w:val="en-GB"/>
        </w:rPr>
        <w:t xml:space="preserve">,  </w:t>
      </w:r>
      <w:proofErr w:type="spellStart"/>
      <w:r w:rsidR="00E31F18">
        <w:rPr>
          <w:spacing w:val="-2"/>
          <w:w w:val="105"/>
          <w:lang w:val="en-GB"/>
        </w:rPr>
        <w:t>i</w:t>
      </w:r>
      <w:r w:rsidR="00043C1F">
        <w:rPr>
          <w:spacing w:val="-2"/>
          <w:w w:val="105"/>
          <w:lang w:val="en-GB"/>
        </w:rPr>
        <w:t>NO</w:t>
      </w:r>
      <w:proofErr w:type="spellEnd"/>
      <w:proofErr w:type="gramEnd"/>
      <w:r w:rsidRPr="0023388B">
        <w:rPr>
          <w:spacing w:val="-2"/>
          <w:w w:val="105"/>
          <w:lang w:val="en-GB"/>
        </w:rPr>
        <w:t xml:space="preserve"> fixes onto deoxy</w:t>
      </w:r>
      <w:r w:rsidR="00EC4C02">
        <w:rPr>
          <w:spacing w:val="-2"/>
          <w:w w:val="105"/>
          <w:lang w:val="en-GB"/>
        </w:rPr>
        <w:t>haem</w:t>
      </w:r>
      <w:r w:rsidRPr="0023388B">
        <w:rPr>
          <w:spacing w:val="-2"/>
          <w:w w:val="105"/>
          <w:lang w:val="en-GB"/>
        </w:rPr>
        <w:t xml:space="preserve">oglobin to form an </w:t>
      </w:r>
      <w:r w:rsidRPr="0023388B">
        <w:rPr>
          <w:spacing w:val="5"/>
          <w:w w:val="105"/>
          <w:lang w:val="en-GB"/>
        </w:rPr>
        <w:t xml:space="preserve">intermediate compound, </w:t>
      </w:r>
      <w:proofErr w:type="spellStart"/>
      <w:r w:rsidRPr="0023388B">
        <w:rPr>
          <w:spacing w:val="5"/>
          <w:w w:val="105"/>
          <w:lang w:val="en-GB"/>
        </w:rPr>
        <w:t>nitrosylh</w:t>
      </w:r>
      <w:r w:rsidR="00EC4C02">
        <w:rPr>
          <w:spacing w:val="5"/>
          <w:w w:val="105"/>
          <w:lang w:val="en-GB"/>
        </w:rPr>
        <w:t>a</w:t>
      </w:r>
      <w:r w:rsidRPr="0023388B">
        <w:rPr>
          <w:spacing w:val="5"/>
          <w:w w:val="105"/>
          <w:lang w:val="en-GB"/>
        </w:rPr>
        <w:t>emoglobin</w:t>
      </w:r>
      <w:proofErr w:type="spellEnd"/>
      <w:r w:rsidRPr="0023388B">
        <w:rPr>
          <w:spacing w:val="5"/>
          <w:w w:val="105"/>
          <w:lang w:val="en-GB"/>
        </w:rPr>
        <w:t xml:space="preserve">, which then decomposes into nitrogen oxides and </w:t>
      </w:r>
      <w:r w:rsidRPr="0023388B">
        <w:rPr>
          <w:spacing w:val="-1"/>
          <w:w w:val="105"/>
          <w:lang w:val="en-GB"/>
        </w:rPr>
        <w:t>meth</w:t>
      </w:r>
      <w:r w:rsidR="00EC4C02">
        <w:rPr>
          <w:spacing w:val="-1"/>
          <w:w w:val="105"/>
          <w:lang w:val="en-GB"/>
        </w:rPr>
        <w:t>a</w:t>
      </w:r>
      <w:r w:rsidRPr="0023388B">
        <w:rPr>
          <w:spacing w:val="-1"/>
          <w:w w:val="105"/>
          <w:lang w:val="en-GB"/>
        </w:rPr>
        <w:t xml:space="preserve">emoglobin in the presence of </w:t>
      </w:r>
      <w:r w:rsidR="00043C1F">
        <w:rPr>
          <w:spacing w:val="-1"/>
          <w:w w:val="105"/>
          <w:lang w:val="en-GB"/>
        </w:rPr>
        <w:t>O</w:t>
      </w:r>
      <w:r w:rsidR="00043C1F" w:rsidRPr="00597184">
        <w:rPr>
          <w:spacing w:val="-1"/>
          <w:w w:val="105"/>
          <w:vertAlign w:val="subscript"/>
          <w:lang w:val="en-GB"/>
        </w:rPr>
        <w:t>2</w:t>
      </w:r>
      <w:r w:rsidRPr="0023388B">
        <w:rPr>
          <w:spacing w:val="-1"/>
          <w:w w:val="105"/>
          <w:lang w:val="en-GB"/>
        </w:rPr>
        <w:t>.</w:t>
      </w:r>
    </w:p>
    <w:p w:rsidR="0019006D" w:rsidRDefault="00F4609F" w:rsidP="0013391A">
      <w:pPr>
        <w:pStyle w:val="Heading4"/>
        <w:rPr>
          <w:bCs/>
        </w:rPr>
      </w:pPr>
      <w:r w:rsidRPr="000E3C97">
        <w:rPr>
          <w:bCs/>
        </w:rPr>
        <w:t>Met</w:t>
      </w:r>
      <w:r w:rsidRPr="000E3C97">
        <w:rPr>
          <w:bCs/>
          <w:spacing w:val="1"/>
        </w:rPr>
        <w:t>a</w:t>
      </w:r>
      <w:r w:rsidRPr="000E3C97">
        <w:rPr>
          <w:bCs/>
        </w:rPr>
        <w:t>b</w:t>
      </w:r>
      <w:r w:rsidRPr="000E3C97">
        <w:rPr>
          <w:bCs/>
          <w:spacing w:val="1"/>
        </w:rPr>
        <w:t>o</w:t>
      </w:r>
      <w:r w:rsidR="0013391A">
        <w:rPr>
          <w:bCs/>
        </w:rPr>
        <w:t>lism:</w:t>
      </w:r>
    </w:p>
    <w:p w:rsidR="0005588E" w:rsidRPr="0013391A" w:rsidRDefault="0005588E" w:rsidP="0013391A">
      <w:pPr>
        <w:rPr>
          <w:spacing w:val="-4"/>
          <w:w w:val="105"/>
          <w:lang w:val="en-GB"/>
        </w:rPr>
      </w:pPr>
      <w:r w:rsidRPr="0023388B">
        <w:rPr>
          <w:spacing w:val="-1"/>
          <w:w w:val="105"/>
          <w:lang w:val="en-GB"/>
        </w:rPr>
        <w:t xml:space="preserve">Nitric oxide reacts with </w:t>
      </w:r>
      <w:r w:rsidR="00043C1F">
        <w:rPr>
          <w:spacing w:val="-1"/>
          <w:w w:val="105"/>
          <w:lang w:val="en-GB"/>
        </w:rPr>
        <w:t>O</w:t>
      </w:r>
      <w:r w:rsidR="00043C1F" w:rsidRPr="00597184">
        <w:rPr>
          <w:spacing w:val="-1"/>
          <w:w w:val="105"/>
          <w:vertAlign w:val="subscript"/>
          <w:lang w:val="en-GB"/>
        </w:rPr>
        <w:t>2</w:t>
      </w:r>
      <w:r w:rsidRPr="0023388B">
        <w:rPr>
          <w:spacing w:val="-1"/>
          <w:w w:val="105"/>
          <w:lang w:val="en-GB"/>
        </w:rPr>
        <w:t xml:space="preserve"> and water to form nitrogen </w:t>
      </w:r>
      <w:r w:rsidRPr="0023388B">
        <w:rPr>
          <w:w w:val="105"/>
          <w:lang w:val="en-GB"/>
        </w:rPr>
        <w:t>dioxide</w:t>
      </w:r>
      <w:r w:rsidR="00043C1F">
        <w:rPr>
          <w:w w:val="105"/>
          <w:lang w:val="en-GB"/>
        </w:rPr>
        <w:t xml:space="preserve"> (NO</w:t>
      </w:r>
      <w:r w:rsidR="00043C1F" w:rsidRPr="00043C1F">
        <w:rPr>
          <w:w w:val="105"/>
          <w:vertAlign w:val="subscript"/>
          <w:lang w:val="en-GB"/>
        </w:rPr>
        <w:t>2</w:t>
      </w:r>
      <w:r w:rsidR="00043C1F">
        <w:rPr>
          <w:w w:val="105"/>
          <w:lang w:val="en-GB"/>
        </w:rPr>
        <w:t>)</w:t>
      </w:r>
      <w:r w:rsidRPr="0023388B">
        <w:rPr>
          <w:w w:val="105"/>
          <w:lang w:val="en-GB"/>
        </w:rPr>
        <w:t xml:space="preserve"> and nitrites, which react with </w:t>
      </w:r>
      <w:proofErr w:type="spellStart"/>
      <w:r w:rsidRPr="0023388B">
        <w:rPr>
          <w:w w:val="105"/>
          <w:lang w:val="en-GB"/>
        </w:rPr>
        <w:t>oxyh</w:t>
      </w:r>
      <w:r w:rsidR="001E3D90">
        <w:rPr>
          <w:w w:val="105"/>
          <w:lang w:val="en-GB"/>
        </w:rPr>
        <w:t>a</w:t>
      </w:r>
      <w:r w:rsidRPr="0023388B">
        <w:rPr>
          <w:w w:val="105"/>
          <w:lang w:val="en-GB"/>
        </w:rPr>
        <w:t>emoglobin</w:t>
      </w:r>
      <w:proofErr w:type="spellEnd"/>
      <w:r w:rsidRPr="0023388B">
        <w:rPr>
          <w:w w:val="105"/>
          <w:lang w:val="en-GB"/>
        </w:rPr>
        <w:t xml:space="preserve"> to produce meth</w:t>
      </w:r>
      <w:r w:rsidR="001E3D90">
        <w:rPr>
          <w:w w:val="105"/>
          <w:lang w:val="en-GB"/>
        </w:rPr>
        <w:t>a</w:t>
      </w:r>
      <w:r w:rsidRPr="0023388B">
        <w:rPr>
          <w:w w:val="105"/>
          <w:lang w:val="en-GB"/>
        </w:rPr>
        <w:t xml:space="preserve">emoglobin and nitrates. Thus, the </w:t>
      </w:r>
      <w:r w:rsidRPr="0023388B">
        <w:rPr>
          <w:spacing w:val="-4"/>
          <w:w w:val="105"/>
          <w:lang w:val="en-GB"/>
        </w:rPr>
        <w:t xml:space="preserve">principal metabolites of </w:t>
      </w:r>
      <w:proofErr w:type="spellStart"/>
      <w:r w:rsidR="003F7170">
        <w:rPr>
          <w:spacing w:val="-4"/>
          <w:w w:val="105"/>
          <w:lang w:val="en-GB"/>
        </w:rPr>
        <w:t>i</w:t>
      </w:r>
      <w:r w:rsidR="00043C1F">
        <w:rPr>
          <w:spacing w:val="-4"/>
          <w:w w:val="105"/>
          <w:lang w:val="en-GB"/>
        </w:rPr>
        <w:t>NO</w:t>
      </w:r>
      <w:proofErr w:type="spellEnd"/>
      <w:r w:rsidRPr="0023388B">
        <w:rPr>
          <w:spacing w:val="-4"/>
          <w:w w:val="105"/>
          <w:lang w:val="en-GB"/>
        </w:rPr>
        <w:t xml:space="preserve"> found in the systemic circulation are meth</w:t>
      </w:r>
      <w:r w:rsidR="00357236">
        <w:rPr>
          <w:spacing w:val="-4"/>
          <w:w w:val="105"/>
          <w:lang w:val="en-GB"/>
        </w:rPr>
        <w:t>a</w:t>
      </w:r>
      <w:r w:rsidRPr="0023388B">
        <w:rPr>
          <w:spacing w:val="-4"/>
          <w:w w:val="105"/>
          <w:lang w:val="en-GB"/>
        </w:rPr>
        <w:t>emoglobin and nitrates.</w:t>
      </w:r>
      <w:r w:rsidR="00043C1F">
        <w:rPr>
          <w:spacing w:val="-4"/>
          <w:w w:val="105"/>
          <w:lang w:val="en-GB"/>
        </w:rPr>
        <w:t xml:space="preserve">  The very short half-life of </w:t>
      </w:r>
      <w:proofErr w:type="spellStart"/>
      <w:r w:rsidR="00043C1F">
        <w:rPr>
          <w:spacing w:val="-4"/>
          <w:w w:val="105"/>
          <w:lang w:val="en-GB"/>
        </w:rPr>
        <w:t>iNO</w:t>
      </w:r>
      <w:proofErr w:type="spellEnd"/>
      <w:r w:rsidR="00043C1F">
        <w:rPr>
          <w:spacing w:val="-4"/>
          <w:w w:val="105"/>
          <w:lang w:val="en-GB"/>
        </w:rPr>
        <w:t xml:space="preserve"> is due to the haemoglobin circulating in the vicinity of its points of diffusion through the </w:t>
      </w:r>
      <w:proofErr w:type="spellStart"/>
      <w:r w:rsidR="00043C1F">
        <w:rPr>
          <w:spacing w:val="-4"/>
          <w:w w:val="105"/>
          <w:lang w:val="en-GB"/>
        </w:rPr>
        <w:t>alveolocapillary</w:t>
      </w:r>
      <w:proofErr w:type="spellEnd"/>
      <w:r w:rsidR="00043C1F">
        <w:rPr>
          <w:spacing w:val="-4"/>
          <w:w w:val="105"/>
          <w:lang w:val="en-GB"/>
        </w:rPr>
        <w:t xml:space="preserve"> membrane which is responsible for its deactivation.</w:t>
      </w:r>
    </w:p>
    <w:p w:rsidR="0005588E" w:rsidRPr="0005588E" w:rsidRDefault="0005588E" w:rsidP="0013391A">
      <w:pPr>
        <w:pStyle w:val="Heading4"/>
        <w:rPr>
          <w:w w:val="105"/>
          <w:lang w:val="en-GB"/>
        </w:rPr>
      </w:pPr>
      <w:r w:rsidRPr="0005588E">
        <w:rPr>
          <w:w w:val="105"/>
          <w:lang w:val="en-GB"/>
        </w:rPr>
        <w:t>Excretion:</w:t>
      </w:r>
    </w:p>
    <w:p w:rsidR="00AE5DA9" w:rsidRDefault="00AE5DA9" w:rsidP="0013391A">
      <w:pPr>
        <w:rPr>
          <w:spacing w:val="-6"/>
          <w:w w:val="105"/>
          <w:lang w:val="en-GB"/>
        </w:rPr>
      </w:pPr>
      <w:r w:rsidRPr="0023388B">
        <w:rPr>
          <w:w w:val="105"/>
          <w:lang w:val="en-GB"/>
        </w:rPr>
        <w:t>Nitrates are eliminated mainly in urine whereas meth</w:t>
      </w:r>
      <w:r w:rsidR="001E3D90">
        <w:rPr>
          <w:w w:val="105"/>
          <w:lang w:val="en-GB"/>
        </w:rPr>
        <w:t>a</w:t>
      </w:r>
      <w:r w:rsidRPr="0023388B">
        <w:rPr>
          <w:w w:val="105"/>
          <w:lang w:val="en-GB"/>
        </w:rPr>
        <w:t>emoglobin is metaboli</w:t>
      </w:r>
      <w:r w:rsidR="00043C1F">
        <w:rPr>
          <w:w w:val="105"/>
          <w:lang w:val="en-GB"/>
        </w:rPr>
        <w:t>s</w:t>
      </w:r>
      <w:r w:rsidRPr="0023388B">
        <w:rPr>
          <w:w w:val="105"/>
          <w:lang w:val="en-GB"/>
        </w:rPr>
        <w:t xml:space="preserve">ed in several hours into </w:t>
      </w:r>
      <w:r w:rsidR="0019006D" w:rsidRPr="0023388B">
        <w:rPr>
          <w:spacing w:val="-4"/>
          <w:w w:val="105"/>
          <w:lang w:val="en-GB"/>
        </w:rPr>
        <w:t>haemoglobin</w:t>
      </w:r>
      <w:r w:rsidRPr="0023388B">
        <w:rPr>
          <w:spacing w:val="-4"/>
          <w:w w:val="105"/>
          <w:lang w:val="en-GB"/>
        </w:rPr>
        <w:t xml:space="preserve"> by endogenic reductases. The nitrates excreted in urine represent over 70% of the </w:t>
      </w:r>
      <w:proofErr w:type="spellStart"/>
      <w:r w:rsidR="00043C1F">
        <w:rPr>
          <w:spacing w:val="-4"/>
          <w:w w:val="105"/>
          <w:lang w:val="en-GB"/>
        </w:rPr>
        <w:t>iNO</w:t>
      </w:r>
      <w:proofErr w:type="spellEnd"/>
      <w:r w:rsidRPr="0023388B">
        <w:rPr>
          <w:spacing w:val="-6"/>
          <w:w w:val="105"/>
          <w:lang w:val="en-GB"/>
        </w:rPr>
        <w:t xml:space="preserve"> dosage</w:t>
      </w:r>
      <w:r w:rsidR="00270347">
        <w:rPr>
          <w:spacing w:val="-6"/>
          <w:w w:val="105"/>
          <w:lang w:val="en-GB"/>
        </w:rPr>
        <w:t>.</w:t>
      </w:r>
    </w:p>
    <w:p w:rsidR="00784110" w:rsidRPr="005E1EE9" w:rsidRDefault="002F7F46" w:rsidP="0013391A">
      <w:pPr>
        <w:pStyle w:val="Heading2"/>
        <w:rPr>
          <w:w w:val="105"/>
          <w:lang w:val="en-GB"/>
        </w:rPr>
      </w:pPr>
      <w:r w:rsidRPr="005E1EE9">
        <w:rPr>
          <w:w w:val="105"/>
          <w:lang w:val="en-GB"/>
        </w:rPr>
        <w:t>CLINICAL TRIALS</w:t>
      </w:r>
    </w:p>
    <w:p w:rsidR="00A01DFA" w:rsidRPr="00A01DFA" w:rsidRDefault="00A01DFA" w:rsidP="0013391A">
      <w:pPr>
        <w:rPr>
          <w:w w:val="105"/>
          <w:lang w:val="en-GB"/>
        </w:rPr>
      </w:pPr>
      <w:r w:rsidRPr="00A01DFA">
        <w:rPr>
          <w:w w:val="105"/>
          <w:lang w:val="en-GB"/>
        </w:rPr>
        <w:t xml:space="preserve">A review of published literature was conducted studying the efficacy of </w:t>
      </w:r>
      <w:proofErr w:type="spellStart"/>
      <w:r w:rsidRPr="00A01DFA">
        <w:rPr>
          <w:w w:val="105"/>
          <w:lang w:val="en-GB"/>
        </w:rPr>
        <w:t>iNO</w:t>
      </w:r>
      <w:proofErr w:type="spellEnd"/>
      <w:r w:rsidRPr="00A01DFA">
        <w:rPr>
          <w:w w:val="105"/>
          <w:lang w:val="en-GB"/>
        </w:rPr>
        <w:t xml:space="preserve"> in the treatment of </w:t>
      </w:r>
      <w:r w:rsidR="00E80137">
        <w:rPr>
          <w:w w:val="105"/>
          <w:lang w:val="en-GB"/>
        </w:rPr>
        <w:t>peri</w:t>
      </w:r>
      <w:r w:rsidRPr="00A01DFA">
        <w:rPr>
          <w:w w:val="105"/>
          <w:lang w:val="en-GB"/>
        </w:rPr>
        <w:t xml:space="preserve">operative </w:t>
      </w:r>
      <w:r w:rsidR="00043C1F">
        <w:rPr>
          <w:w w:val="105"/>
          <w:lang w:val="en-GB"/>
        </w:rPr>
        <w:t>pulmonary hypertension (</w:t>
      </w:r>
      <w:r w:rsidRPr="00A01DFA">
        <w:rPr>
          <w:w w:val="105"/>
          <w:lang w:val="en-GB"/>
        </w:rPr>
        <w:t>PHT</w:t>
      </w:r>
      <w:r w:rsidR="00043C1F">
        <w:rPr>
          <w:w w:val="105"/>
          <w:lang w:val="en-GB"/>
        </w:rPr>
        <w:t>)</w:t>
      </w:r>
      <w:r w:rsidRPr="00A01DFA">
        <w:rPr>
          <w:w w:val="105"/>
          <w:lang w:val="en-GB"/>
        </w:rPr>
        <w:t xml:space="preserve"> in both paediatric and adult patients</w:t>
      </w:r>
      <w:r w:rsidR="000E02EA">
        <w:rPr>
          <w:w w:val="105"/>
          <w:lang w:val="en-GB"/>
        </w:rPr>
        <w:t xml:space="preserve"> in the context of cardiac surgery</w:t>
      </w:r>
      <w:r w:rsidRPr="00A01DFA">
        <w:rPr>
          <w:w w:val="105"/>
          <w:lang w:val="en-GB"/>
        </w:rPr>
        <w:t>.</w:t>
      </w:r>
    </w:p>
    <w:p w:rsidR="00A01DFA" w:rsidRPr="00FC10FC" w:rsidRDefault="00A01DFA" w:rsidP="0013391A">
      <w:pPr>
        <w:pStyle w:val="Heading3"/>
        <w:rPr>
          <w:w w:val="105"/>
          <w:lang w:val="en-GB"/>
        </w:rPr>
      </w:pPr>
      <w:r w:rsidRPr="00FC10FC">
        <w:rPr>
          <w:w w:val="105"/>
          <w:lang w:val="en-GB"/>
        </w:rPr>
        <w:t>Paediatric Populations</w:t>
      </w:r>
    </w:p>
    <w:p w:rsidR="00CE3F93" w:rsidRDefault="00CE3F93" w:rsidP="0013391A">
      <w:pPr>
        <w:rPr>
          <w:w w:val="105"/>
          <w:lang w:val="en-GB"/>
        </w:rPr>
      </w:pPr>
      <w:r>
        <w:rPr>
          <w:w w:val="105"/>
          <w:lang w:val="en-GB"/>
        </w:rPr>
        <w:t>T</w:t>
      </w:r>
      <w:r w:rsidR="00A01DFA" w:rsidRPr="00A01DFA">
        <w:rPr>
          <w:w w:val="105"/>
          <w:lang w:val="en-GB"/>
        </w:rPr>
        <w:t xml:space="preserve">he selective pulmonary anti-hypertensive effect of </w:t>
      </w:r>
      <w:proofErr w:type="spellStart"/>
      <w:r w:rsidR="00A01DFA" w:rsidRPr="00A01DFA">
        <w:rPr>
          <w:w w:val="105"/>
          <w:lang w:val="en-GB"/>
        </w:rPr>
        <w:t>iNO</w:t>
      </w:r>
      <w:proofErr w:type="spellEnd"/>
      <w:r w:rsidR="00A01DFA" w:rsidRPr="00A01DFA">
        <w:rPr>
          <w:w w:val="105"/>
          <w:lang w:val="en-GB"/>
        </w:rPr>
        <w:t xml:space="preserve"> </w:t>
      </w:r>
      <w:r w:rsidR="00A31767">
        <w:rPr>
          <w:w w:val="105"/>
          <w:lang w:val="en-GB"/>
        </w:rPr>
        <w:t xml:space="preserve">in this population </w:t>
      </w:r>
      <w:r w:rsidR="00A01DFA" w:rsidRPr="00A01DFA">
        <w:rPr>
          <w:w w:val="105"/>
          <w:lang w:val="en-GB"/>
        </w:rPr>
        <w:t xml:space="preserve">has been demonstrated in randomised studies comparing </w:t>
      </w:r>
      <w:proofErr w:type="spellStart"/>
      <w:r w:rsidR="00A01DFA" w:rsidRPr="00A01DFA">
        <w:rPr>
          <w:w w:val="105"/>
          <w:lang w:val="en-GB"/>
        </w:rPr>
        <w:t>iNO</w:t>
      </w:r>
      <w:proofErr w:type="spellEnd"/>
      <w:r w:rsidR="00A01DFA" w:rsidRPr="00A01DFA">
        <w:rPr>
          <w:w w:val="105"/>
          <w:lang w:val="en-GB"/>
        </w:rPr>
        <w:t xml:space="preserve"> with </w:t>
      </w:r>
      <w:r w:rsidR="003F7170">
        <w:rPr>
          <w:w w:val="105"/>
          <w:lang w:val="en-GB"/>
        </w:rPr>
        <w:t>nitrogen</w:t>
      </w:r>
      <w:r w:rsidR="00AD010C">
        <w:rPr>
          <w:w w:val="105"/>
          <w:lang w:val="en-GB"/>
        </w:rPr>
        <w:t xml:space="preserve"> (</w:t>
      </w:r>
      <w:r w:rsidR="00A01DFA" w:rsidRPr="00A01DFA">
        <w:rPr>
          <w:w w:val="105"/>
          <w:lang w:val="en-GB"/>
        </w:rPr>
        <w:t>N</w:t>
      </w:r>
      <w:r w:rsidR="00A01DFA" w:rsidRPr="00FC10FC">
        <w:rPr>
          <w:w w:val="105"/>
          <w:vertAlign w:val="subscript"/>
          <w:lang w:val="en-GB"/>
        </w:rPr>
        <w:t>2</w:t>
      </w:r>
      <w:r w:rsidR="00AD010C">
        <w:rPr>
          <w:w w:val="105"/>
          <w:lang w:val="en-GB"/>
        </w:rPr>
        <w:t>),</w:t>
      </w:r>
      <w:r w:rsidR="00A01DFA" w:rsidRPr="00A01DFA">
        <w:rPr>
          <w:w w:val="105"/>
          <w:lang w:val="en-GB"/>
        </w:rPr>
        <w:t xml:space="preserve"> conventional treatment, hyperventilation, </w:t>
      </w:r>
      <w:proofErr w:type="spellStart"/>
      <w:r w:rsidR="00A01DFA" w:rsidRPr="00A01DFA">
        <w:rPr>
          <w:w w:val="105"/>
          <w:lang w:val="en-GB"/>
        </w:rPr>
        <w:t>milrinone</w:t>
      </w:r>
      <w:proofErr w:type="spellEnd"/>
      <w:r w:rsidR="00A01DFA" w:rsidRPr="00A01DFA">
        <w:rPr>
          <w:w w:val="105"/>
          <w:lang w:val="en-GB"/>
        </w:rPr>
        <w:t xml:space="preserve">, sildenafil, </w:t>
      </w:r>
      <w:r w:rsidR="006545C5" w:rsidRPr="00A01DFA">
        <w:rPr>
          <w:w w:val="105"/>
          <w:lang w:val="en-GB"/>
        </w:rPr>
        <w:t>prostacyclin</w:t>
      </w:r>
      <w:r w:rsidR="00A01DFA" w:rsidRPr="00A01DFA">
        <w:rPr>
          <w:w w:val="105"/>
          <w:lang w:val="en-GB"/>
        </w:rPr>
        <w:t xml:space="preserve"> and </w:t>
      </w:r>
      <w:proofErr w:type="spellStart"/>
      <w:r w:rsidR="00A01DFA" w:rsidRPr="00A01DFA">
        <w:rPr>
          <w:w w:val="105"/>
          <w:lang w:val="en-GB"/>
        </w:rPr>
        <w:t>iloprost</w:t>
      </w:r>
      <w:proofErr w:type="spellEnd"/>
      <w:r w:rsidR="00A01DFA" w:rsidRPr="00A01DFA">
        <w:rPr>
          <w:w w:val="105"/>
          <w:lang w:val="en-GB"/>
        </w:rPr>
        <w:t>. The main efficacy results are seen in pulmonary arterial pressure</w:t>
      </w:r>
      <w:r w:rsidR="00043C1F">
        <w:rPr>
          <w:w w:val="105"/>
          <w:lang w:val="en-GB"/>
        </w:rPr>
        <w:t xml:space="preserve"> (PAP)</w:t>
      </w:r>
      <w:r w:rsidR="00A00150">
        <w:rPr>
          <w:w w:val="105"/>
          <w:lang w:val="en-GB"/>
        </w:rPr>
        <w:t>,</w:t>
      </w:r>
      <w:r w:rsidR="00184612">
        <w:rPr>
          <w:w w:val="105"/>
          <w:lang w:val="en-GB"/>
        </w:rPr>
        <w:t xml:space="preserve"> pulmonary</w:t>
      </w:r>
      <w:r w:rsidR="00A01DFA" w:rsidRPr="00A01DFA">
        <w:rPr>
          <w:w w:val="105"/>
          <w:lang w:val="en-GB"/>
        </w:rPr>
        <w:t xml:space="preserve"> vascular resistance</w:t>
      </w:r>
      <w:r w:rsidR="00184612">
        <w:rPr>
          <w:w w:val="105"/>
          <w:lang w:val="en-GB"/>
        </w:rPr>
        <w:t xml:space="preserve"> (</w:t>
      </w:r>
      <w:r w:rsidR="00043C1F">
        <w:rPr>
          <w:w w:val="105"/>
          <w:lang w:val="en-GB"/>
        </w:rPr>
        <w:t>PVR</w:t>
      </w:r>
      <w:r w:rsidR="00184612">
        <w:rPr>
          <w:w w:val="105"/>
          <w:lang w:val="en-GB"/>
        </w:rPr>
        <w:t>)</w:t>
      </w:r>
      <w:r w:rsidR="00043C1F">
        <w:rPr>
          <w:w w:val="105"/>
          <w:lang w:val="en-GB"/>
        </w:rPr>
        <w:t xml:space="preserve"> </w:t>
      </w:r>
      <w:r w:rsidR="00A01DFA" w:rsidRPr="00A01DFA">
        <w:rPr>
          <w:w w:val="105"/>
          <w:lang w:val="en-GB"/>
        </w:rPr>
        <w:t>and PHT crisis</w:t>
      </w:r>
      <w:r w:rsidR="00A07879">
        <w:rPr>
          <w:w w:val="105"/>
          <w:lang w:val="en-GB"/>
        </w:rPr>
        <w:t>.</w:t>
      </w:r>
    </w:p>
    <w:p w:rsidR="00043C1F" w:rsidRPr="00043C1F" w:rsidRDefault="00043C1F" w:rsidP="0013391A">
      <w:pPr>
        <w:rPr>
          <w:w w:val="105"/>
          <w:lang w:val="en-GB"/>
        </w:rPr>
      </w:pPr>
      <w:r w:rsidRPr="00043C1F">
        <w:rPr>
          <w:w w:val="105"/>
          <w:lang w:val="en-GB"/>
        </w:rPr>
        <w:t xml:space="preserve">A total of 12 randomised controlled trials involving a total of 456 paediatric patients </w:t>
      </w:r>
      <w:r w:rsidR="00A31767">
        <w:rPr>
          <w:w w:val="105"/>
          <w:lang w:val="en-GB"/>
        </w:rPr>
        <w:t xml:space="preserve">(238 treated with </w:t>
      </w:r>
      <w:proofErr w:type="spellStart"/>
      <w:r w:rsidR="00A31767">
        <w:rPr>
          <w:w w:val="105"/>
          <w:lang w:val="en-GB"/>
        </w:rPr>
        <w:t>iNO</w:t>
      </w:r>
      <w:proofErr w:type="spellEnd"/>
      <w:r w:rsidR="00A31767">
        <w:rPr>
          <w:w w:val="105"/>
          <w:lang w:val="en-GB"/>
        </w:rPr>
        <w:t xml:space="preserve">) </w:t>
      </w:r>
      <w:r w:rsidRPr="00043C1F">
        <w:rPr>
          <w:w w:val="105"/>
          <w:lang w:val="en-GB"/>
        </w:rPr>
        <w:t xml:space="preserve">were assessed as published study reports for the indication of perioperative PHT in conjunction with cardiac surgery. Four of these were considered key studies: Miller </w:t>
      </w:r>
      <w:r w:rsidRPr="00043C1F">
        <w:rPr>
          <w:i/>
          <w:w w:val="105"/>
          <w:lang w:val="en-GB"/>
        </w:rPr>
        <w:t>et al</w:t>
      </w:r>
      <w:r w:rsidRPr="00043C1F">
        <w:rPr>
          <w:w w:val="105"/>
          <w:lang w:val="en-GB"/>
        </w:rPr>
        <w:t xml:space="preserve"> (2000) and Russell </w:t>
      </w:r>
      <w:r w:rsidRPr="00043C1F">
        <w:rPr>
          <w:i/>
          <w:w w:val="105"/>
          <w:lang w:val="en-GB"/>
        </w:rPr>
        <w:t>et al</w:t>
      </w:r>
      <w:r w:rsidRPr="00043C1F">
        <w:rPr>
          <w:w w:val="105"/>
          <w:lang w:val="en-GB"/>
        </w:rPr>
        <w:t xml:space="preserve"> (1998) which were placebo-controlled double blind studies and Day </w:t>
      </w:r>
      <w:r w:rsidRPr="00043C1F">
        <w:rPr>
          <w:i/>
          <w:w w:val="105"/>
          <w:lang w:val="en-GB"/>
        </w:rPr>
        <w:t>et al</w:t>
      </w:r>
      <w:r w:rsidRPr="00043C1F">
        <w:rPr>
          <w:w w:val="105"/>
          <w:lang w:val="en-GB"/>
        </w:rPr>
        <w:t xml:space="preserve"> (2000) and Morris </w:t>
      </w:r>
      <w:r w:rsidRPr="00043C1F">
        <w:rPr>
          <w:i/>
          <w:w w:val="105"/>
          <w:lang w:val="en-GB"/>
        </w:rPr>
        <w:t>et a</w:t>
      </w:r>
      <w:r w:rsidR="00A31767">
        <w:rPr>
          <w:i/>
          <w:w w:val="105"/>
          <w:lang w:val="en-GB"/>
        </w:rPr>
        <w:t>l</w:t>
      </w:r>
      <w:r w:rsidRPr="00043C1F">
        <w:rPr>
          <w:w w:val="105"/>
          <w:lang w:val="en-GB"/>
        </w:rPr>
        <w:t xml:space="preserve"> (2000) which were controlled against conventional therapy. Their designs and results are detailed below.</w:t>
      </w:r>
    </w:p>
    <w:p w:rsidR="00FD5EA7" w:rsidRDefault="00043C1F" w:rsidP="0013391A">
      <w:pPr>
        <w:rPr>
          <w:w w:val="105"/>
          <w:lang w:val="en-GB"/>
        </w:rPr>
      </w:pPr>
      <w:r w:rsidRPr="00043C1F">
        <w:rPr>
          <w:b/>
          <w:w w:val="105"/>
          <w:lang w:val="en-GB"/>
        </w:rPr>
        <w:t xml:space="preserve">Miller </w:t>
      </w:r>
      <w:r w:rsidRPr="00043C1F">
        <w:rPr>
          <w:b/>
          <w:i/>
          <w:w w:val="105"/>
          <w:lang w:val="en-GB"/>
        </w:rPr>
        <w:t>et al</w:t>
      </w:r>
      <w:r w:rsidRPr="00043C1F">
        <w:rPr>
          <w:b/>
          <w:w w:val="105"/>
          <w:lang w:val="en-GB"/>
        </w:rPr>
        <w:t xml:space="preserve"> (2000)</w:t>
      </w:r>
      <w:r w:rsidRPr="00043C1F">
        <w:rPr>
          <w:w w:val="105"/>
          <w:lang w:val="en-GB"/>
        </w:rPr>
        <w:t xml:space="preserve"> was the largest of the key studies. This double-blind study included 124 children with a median age of 3 months (range 1 to 5 months). Patients were randomised to </w:t>
      </w:r>
      <w:proofErr w:type="spellStart"/>
      <w:r w:rsidRPr="00043C1F">
        <w:rPr>
          <w:w w:val="105"/>
          <w:lang w:val="en-GB"/>
        </w:rPr>
        <w:t>iNO</w:t>
      </w:r>
      <w:proofErr w:type="spellEnd"/>
      <w:r w:rsidRPr="00043C1F">
        <w:rPr>
          <w:w w:val="105"/>
          <w:lang w:val="en-GB"/>
        </w:rPr>
        <w:t xml:space="preserve"> </w:t>
      </w:r>
      <w:r w:rsidR="004C3DF8">
        <w:rPr>
          <w:w w:val="105"/>
          <w:lang w:val="en-GB"/>
        </w:rPr>
        <w:t>(</w:t>
      </w:r>
      <w:r w:rsidRPr="00043C1F">
        <w:rPr>
          <w:w w:val="105"/>
          <w:lang w:val="en-GB"/>
        </w:rPr>
        <w:t>10 ppm</w:t>
      </w:r>
      <w:r w:rsidR="004C3DF8">
        <w:rPr>
          <w:w w:val="105"/>
          <w:lang w:val="en-GB"/>
        </w:rPr>
        <w:t xml:space="preserve">, </w:t>
      </w:r>
      <w:r w:rsidRPr="00043C1F">
        <w:rPr>
          <w:w w:val="105"/>
          <w:lang w:val="en-GB"/>
        </w:rPr>
        <w:t>n=63) or placebo (N</w:t>
      </w:r>
      <w:r w:rsidRPr="00043C1F">
        <w:rPr>
          <w:w w:val="105"/>
          <w:vertAlign w:val="subscript"/>
          <w:lang w:val="en-GB"/>
        </w:rPr>
        <w:t>2</w:t>
      </w:r>
      <w:r w:rsidRPr="00043C1F">
        <w:rPr>
          <w:w w:val="105"/>
          <w:lang w:val="en-GB"/>
        </w:rPr>
        <w:t xml:space="preserve">, n=61).  Treatment was started in a time period from “after surgery” to “just before </w:t>
      </w:r>
      <w:proofErr w:type="spellStart"/>
      <w:r w:rsidRPr="00043C1F">
        <w:rPr>
          <w:w w:val="105"/>
          <w:lang w:val="en-GB"/>
        </w:rPr>
        <w:t>extubation</w:t>
      </w:r>
      <w:proofErr w:type="spellEnd"/>
      <w:r w:rsidRPr="00043C1F">
        <w:rPr>
          <w:w w:val="105"/>
          <w:lang w:val="en-GB"/>
        </w:rPr>
        <w:t xml:space="preserve">”. The primary endpoint was the number of PHT crises during treatment. </w:t>
      </w:r>
      <w:r w:rsidR="00BE1268">
        <w:rPr>
          <w:w w:val="105"/>
          <w:lang w:val="en-GB"/>
        </w:rPr>
        <w:t xml:space="preserve"> </w:t>
      </w:r>
      <w:r w:rsidRPr="00043C1F">
        <w:rPr>
          <w:w w:val="105"/>
          <w:lang w:val="en-GB"/>
        </w:rPr>
        <w:t xml:space="preserve">Infants receiving </w:t>
      </w:r>
      <w:proofErr w:type="spellStart"/>
      <w:r w:rsidRPr="00043C1F">
        <w:rPr>
          <w:w w:val="105"/>
          <w:lang w:val="en-GB"/>
        </w:rPr>
        <w:t>iNO</w:t>
      </w:r>
      <w:proofErr w:type="spellEnd"/>
      <w:r w:rsidRPr="00043C1F">
        <w:rPr>
          <w:w w:val="105"/>
          <w:lang w:val="en-GB"/>
        </w:rPr>
        <w:t xml:space="preserve"> showed significantly fewer PHT</w:t>
      </w:r>
      <w:r w:rsidR="00D23B9B">
        <w:rPr>
          <w:w w:val="105"/>
          <w:lang w:val="en-GB"/>
        </w:rPr>
        <w:t xml:space="preserve"> crises</w:t>
      </w:r>
      <w:r w:rsidRPr="00043C1F">
        <w:rPr>
          <w:w w:val="105"/>
          <w:lang w:val="en-GB"/>
        </w:rPr>
        <w:t xml:space="preserve"> than those receiving the placebo (median of 4 [interquartile ranges-(IQR): 0</w:t>
      </w:r>
      <w:r w:rsidR="004C3DF8" w:rsidRPr="00043C1F">
        <w:rPr>
          <w:w w:val="105"/>
          <w:lang w:val="en-GB"/>
        </w:rPr>
        <w:t>‐</w:t>
      </w:r>
      <w:r w:rsidRPr="00043C1F">
        <w:rPr>
          <w:w w:val="105"/>
          <w:lang w:val="en-GB"/>
        </w:rPr>
        <w:t>12] versus 7 [IQR: 1</w:t>
      </w:r>
      <w:r w:rsidR="004C3DF8" w:rsidRPr="00043C1F">
        <w:rPr>
          <w:w w:val="105"/>
          <w:lang w:val="en-GB"/>
        </w:rPr>
        <w:t>‐</w:t>
      </w:r>
      <w:r w:rsidRPr="00043C1F">
        <w:rPr>
          <w:w w:val="105"/>
          <w:lang w:val="en-GB"/>
        </w:rPr>
        <w:t xml:space="preserve">19]). Unadjusted relative risk was 0.66 [95% Confidence Intervals-(95%CI): 0.59–0.74], p&lt;0.001. Relative risk adjusted for dispersion was 0.65 [95%CI: 0.43–0.99], p=0.045. Most of secondary endpoints also demonstrated better outcomes with </w:t>
      </w:r>
      <w:proofErr w:type="spellStart"/>
      <w:r w:rsidRPr="00043C1F">
        <w:rPr>
          <w:w w:val="105"/>
          <w:lang w:val="en-GB"/>
        </w:rPr>
        <w:t>iNO</w:t>
      </w:r>
      <w:proofErr w:type="spellEnd"/>
      <w:r w:rsidRPr="00043C1F">
        <w:rPr>
          <w:w w:val="105"/>
          <w:lang w:val="en-GB"/>
        </w:rPr>
        <w:t xml:space="preserve">: the PVR index measured every 12 hours during study gas administration was significantly lower in the </w:t>
      </w:r>
      <w:proofErr w:type="spellStart"/>
      <w:r w:rsidRPr="00043C1F">
        <w:rPr>
          <w:w w:val="105"/>
          <w:lang w:val="en-GB"/>
        </w:rPr>
        <w:t>iNO</w:t>
      </w:r>
      <w:proofErr w:type="spellEnd"/>
      <w:r w:rsidRPr="00043C1F">
        <w:rPr>
          <w:w w:val="105"/>
          <w:lang w:val="en-GB"/>
        </w:rPr>
        <w:t xml:space="preserve"> group (p&lt;0.001) and patients treated with </w:t>
      </w:r>
      <w:proofErr w:type="spellStart"/>
      <w:r w:rsidRPr="00043C1F">
        <w:rPr>
          <w:w w:val="105"/>
          <w:lang w:val="en-GB"/>
        </w:rPr>
        <w:t>iNO</w:t>
      </w:r>
      <w:proofErr w:type="spellEnd"/>
      <w:r w:rsidRPr="00043C1F">
        <w:rPr>
          <w:w w:val="105"/>
          <w:lang w:val="en-GB"/>
        </w:rPr>
        <w:t xml:space="preserve"> reached </w:t>
      </w:r>
      <w:proofErr w:type="spellStart"/>
      <w:r w:rsidRPr="00043C1F">
        <w:rPr>
          <w:w w:val="105"/>
          <w:lang w:val="en-GB"/>
        </w:rPr>
        <w:t>extubation</w:t>
      </w:r>
      <w:proofErr w:type="spellEnd"/>
      <w:r w:rsidRPr="00043C1F">
        <w:rPr>
          <w:w w:val="105"/>
          <w:lang w:val="en-GB"/>
        </w:rPr>
        <w:t xml:space="preserve"> criteria significantly sooner than patients receiving the placebo (80 h</w:t>
      </w:r>
      <w:r w:rsidR="00A31767">
        <w:rPr>
          <w:w w:val="105"/>
          <w:lang w:val="en-GB"/>
        </w:rPr>
        <w:t>ou</w:t>
      </w:r>
      <w:r w:rsidRPr="00043C1F">
        <w:rPr>
          <w:w w:val="105"/>
          <w:lang w:val="en-GB"/>
        </w:rPr>
        <w:t>rs [IQR</w:t>
      </w:r>
      <w:r w:rsidR="00A35760">
        <w:rPr>
          <w:w w:val="105"/>
          <w:lang w:val="en-GB"/>
        </w:rPr>
        <w:t>:</w:t>
      </w:r>
      <w:r w:rsidRPr="00043C1F">
        <w:rPr>
          <w:w w:val="105"/>
          <w:lang w:val="en-GB"/>
        </w:rPr>
        <w:t xml:space="preserve"> 38‐121] versus 122 h</w:t>
      </w:r>
      <w:r w:rsidR="00A31767">
        <w:rPr>
          <w:w w:val="105"/>
          <w:lang w:val="en-GB"/>
        </w:rPr>
        <w:t>ou</w:t>
      </w:r>
      <w:r w:rsidRPr="00043C1F">
        <w:rPr>
          <w:w w:val="105"/>
          <w:lang w:val="en-GB"/>
        </w:rPr>
        <w:t>rs [</w:t>
      </w:r>
      <w:r w:rsidR="00A35760">
        <w:rPr>
          <w:w w:val="105"/>
          <w:lang w:val="en-GB"/>
        </w:rPr>
        <w:t xml:space="preserve">IQR: </w:t>
      </w:r>
      <w:r w:rsidRPr="00043C1F">
        <w:rPr>
          <w:w w:val="105"/>
          <w:lang w:val="en-GB"/>
        </w:rPr>
        <w:t>63‐164], p=0.019).</w:t>
      </w:r>
    </w:p>
    <w:p w:rsidR="00FD5EA7" w:rsidRDefault="00043C1F" w:rsidP="0013391A">
      <w:pPr>
        <w:rPr>
          <w:w w:val="105"/>
          <w:lang w:val="en-GB"/>
        </w:rPr>
      </w:pPr>
      <w:r w:rsidRPr="00043C1F">
        <w:rPr>
          <w:b/>
          <w:w w:val="105"/>
          <w:lang w:val="en-GB"/>
        </w:rPr>
        <w:t xml:space="preserve">Russell </w:t>
      </w:r>
      <w:r w:rsidRPr="00043C1F">
        <w:rPr>
          <w:b/>
          <w:i/>
          <w:w w:val="105"/>
          <w:lang w:val="en-GB"/>
        </w:rPr>
        <w:t>et al</w:t>
      </w:r>
      <w:r w:rsidRPr="00043C1F">
        <w:rPr>
          <w:b/>
          <w:w w:val="105"/>
          <w:lang w:val="en-GB"/>
        </w:rPr>
        <w:t xml:space="preserve"> (1998)</w:t>
      </w:r>
      <w:r w:rsidRPr="00043C1F">
        <w:rPr>
          <w:w w:val="105"/>
          <w:lang w:val="en-GB"/>
        </w:rPr>
        <w:t xml:space="preserve"> was a double blind study that included 40 children (age range 2 days to 6.5 years) with pre‐operative PHT (mean PAP (</w:t>
      </w:r>
      <w:proofErr w:type="spellStart"/>
      <w:r w:rsidRPr="00043C1F">
        <w:rPr>
          <w:w w:val="105"/>
          <w:lang w:val="en-GB"/>
        </w:rPr>
        <w:t>mPAP</w:t>
      </w:r>
      <w:proofErr w:type="spellEnd"/>
      <w:r w:rsidRPr="00043C1F">
        <w:rPr>
          <w:w w:val="105"/>
          <w:lang w:val="en-GB"/>
        </w:rPr>
        <w:t>) &gt;</w:t>
      </w:r>
      <w:r w:rsidR="00A31767">
        <w:rPr>
          <w:w w:val="105"/>
          <w:lang w:val="en-GB"/>
        </w:rPr>
        <w:t xml:space="preserve"> </w:t>
      </w:r>
      <w:r w:rsidRPr="00043C1F">
        <w:rPr>
          <w:w w:val="105"/>
          <w:lang w:val="en-GB"/>
        </w:rPr>
        <w:t>50% of mean systemic arterial pressure (</w:t>
      </w:r>
      <w:proofErr w:type="spellStart"/>
      <w:r w:rsidRPr="00043C1F">
        <w:rPr>
          <w:w w:val="105"/>
          <w:lang w:val="en-GB"/>
        </w:rPr>
        <w:t>mSAP</w:t>
      </w:r>
      <w:proofErr w:type="spellEnd"/>
      <w:r w:rsidRPr="00043C1F">
        <w:rPr>
          <w:w w:val="105"/>
          <w:lang w:val="en-GB"/>
        </w:rPr>
        <w:t xml:space="preserve">)) undergoing cardiac surgery for congenital heart defects. Patients were randomised to receive </w:t>
      </w:r>
      <w:proofErr w:type="spellStart"/>
      <w:r w:rsidRPr="00043C1F">
        <w:rPr>
          <w:w w:val="105"/>
          <w:lang w:val="en-GB"/>
        </w:rPr>
        <w:t>iNO</w:t>
      </w:r>
      <w:proofErr w:type="spellEnd"/>
      <w:r w:rsidRPr="00043C1F">
        <w:rPr>
          <w:w w:val="105"/>
          <w:lang w:val="en-GB"/>
        </w:rPr>
        <w:t xml:space="preserve"> 80 </w:t>
      </w:r>
      <w:r w:rsidRPr="00043C1F">
        <w:rPr>
          <w:w w:val="105"/>
          <w:lang w:val="en-GB"/>
        </w:rPr>
        <w:lastRenderedPageBreak/>
        <w:t xml:space="preserve">ppm or placebo over 20 minutes after weaning from cardiopulmonary bypass. </w:t>
      </w:r>
      <w:r w:rsidR="00E14A7D">
        <w:rPr>
          <w:w w:val="105"/>
          <w:lang w:val="en-GB"/>
        </w:rPr>
        <w:t xml:space="preserve">  </w:t>
      </w:r>
      <w:r w:rsidRPr="00043C1F">
        <w:rPr>
          <w:w w:val="105"/>
          <w:lang w:val="en-GB"/>
        </w:rPr>
        <w:t xml:space="preserve">A significant haemodynamic effect was seen with </w:t>
      </w:r>
      <w:proofErr w:type="spellStart"/>
      <w:r w:rsidRPr="00043C1F">
        <w:rPr>
          <w:w w:val="105"/>
          <w:lang w:val="en-GB"/>
        </w:rPr>
        <w:t>iNO</w:t>
      </w:r>
      <w:proofErr w:type="spellEnd"/>
      <w:r w:rsidRPr="00043C1F">
        <w:rPr>
          <w:w w:val="105"/>
          <w:lang w:val="en-GB"/>
        </w:rPr>
        <w:t xml:space="preserve"> in the subset of 13 patients with elevated PAP:  </w:t>
      </w:r>
      <w:r w:rsidR="009015D0">
        <w:rPr>
          <w:w w:val="105"/>
          <w:lang w:val="en-GB"/>
        </w:rPr>
        <w:t>m</w:t>
      </w:r>
      <w:r w:rsidR="009015D0" w:rsidRPr="00043C1F">
        <w:rPr>
          <w:w w:val="105"/>
          <w:lang w:val="en-GB"/>
        </w:rPr>
        <w:t xml:space="preserve">ean </w:t>
      </w:r>
      <w:r w:rsidRPr="00043C1F">
        <w:rPr>
          <w:w w:val="105"/>
          <w:lang w:val="en-GB"/>
        </w:rPr>
        <w:t xml:space="preserve">PAP was reduced by 19% (range 8‐35% at 20 minutes) with </w:t>
      </w:r>
      <w:proofErr w:type="spellStart"/>
      <w:r w:rsidRPr="00043C1F">
        <w:rPr>
          <w:w w:val="105"/>
          <w:lang w:val="en-GB"/>
        </w:rPr>
        <w:t>iNO</w:t>
      </w:r>
      <w:proofErr w:type="spellEnd"/>
      <w:r w:rsidRPr="00043C1F">
        <w:rPr>
          <w:w w:val="105"/>
          <w:lang w:val="en-GB"/>
        </w:rPr>
        <w:t xml:space="preserve"> (n=5, p=0.008) and increased by 9% with placebo (n=8).</w:t>
      </w:r>
    </w:p>
    <w:p w:rsidR="00043C1F" w:rsidRDefault="00043C1F" w:rsidP="0013391A">
      <w:pPr>
        <w:rPr>
          <w:w w:val="105"/>
          <w:lang w:val="en-GB"/>
        </w:rPr>
      </w:pPr>
      <w:r w:rsidRPr="00043C1F">
        <w:rPr>
          <w:b/>
          <w:w w:val="105"/>
          <w:lang w:val="en-GB"/>
        </w:rPr>
        <w:t xml:space="preserve">Day </w:t>
      </w:r>
      <w:r w:rsidRPr="00043C1F">
        <w:rPr>
          <w:b/>
          <w:i/>
          <w:w w:val="105"/>
          <w:lang w:val="en-GB"/>
        </w:rPr>
        <w:t>et al</w:t>
      </w:r>
      <w:r w:rsidRPr="00043C1F">
        <w:rPr>
          <w:b/>
          <w:w w:val="105"/>
          <w:lang w:val="en-GB"/>
        </w:rPr>
        <w:t xml:space="preserve"> (2000)</w:t>
      </w:r>
      <w:r w:rsidRPr="00043C1F">
        <w:rPr>
          <w:w w:val="105"/>
          <w:lang w:val="en-GB"/>
        </w:rPr>
        <w:t xml:space="preserve"> </w:t>
      </w:r>
      <w:r w:rsidR="005408CB">
        <w:rPr>
          <w:w w:val="105"/>
          <w:lang w:val="en-GB"/>
        </w:rPr>
        <w:t xml:space="preserve">was an open study </w:t>
      </w:r>
      <w:r w:rsidRPr="00043C1F">
        <w:rPr>
          <w:w w:val="105"/>
          <w:lang w:val="en-GB"/>
        </w:rPr>
        <w:t>includ</w:t>
      </w:r>
      <w:r w:rsidR="005408CB">
        <w:rPr>
          <w:w w:val="105"/>
          <w:lang w:val="en-GB"/>
        </w:rPr>
        <w:t>ing</w:t>
      </w:r>
      <w:r w:rsidRPr="00043C1F">
        <w:rPr>
          <w:w w:val="105"/>
          <w:lang w:val="en-GB"/>
        </w:rPr>
        <w:t xml:space="preserve"> 38 children undergoing corrective surgery or heart transplantation due to congenital heart disease. Patients were randomised to either conventional therapy (n=19; age range 1 day to 3 years) or </w:t>
      </w:r>
      <w:proofErr w:type="spellStart"/>
      <w:r w:rsidRPr="00043C1F">
        <w:rPr>
          <w:w w:val="105"/>
          <w:lang w:val="en-GB"/>
        </w:rPr>
        <w:t>iNO</w:t>
      </w:r>
      <w:proofErr w:type="spellEnd"/>
      <w:r w:rsidRPr="00043C1F">
        <w:rPr>
          <w:w w:val="105"/>
          <w:lang w:val="en-GB"/>
        </w:rPr>
        <w:t xml:space="preserve"> at 20 ppm (n=19; age range 1 day to 20 years).  The primary endpoint was the number of patient with PHT crises during treatment. </w:t>
      </w:r>
      <w:r w:rsidR="00E14A7D">
        <w:rPr>
          <w:w w:val="105"/>
          <w:lang w:val="en-GB"/>
        </w:rPr>
        <w:t xml:space="preserve"> </w:t>
      </w:r>
      <w:r w:rsidRPr="00043C1F">
        <w:rPr>
          <w:w w:val="105"/>
          <w:lang w:val="en-GB"/>
        </w:rPr>
        <w:t xml:space="preserve">There was no significant difference in the </w:t>
      </w:r>
      <w:r w:rsidR="00310B4E">
        <w:rPr>
          <w:w w:val="105"/>
          <w:lang w:val="en-GB"/>
        </w:rPr>
        <w:t xml:space="preserve">number of patients presenting </w:t>
      </w:r>
      <w:r w:rsidR="00A9211A">
        <w:rPr>
          <w:w w:val="105"/>
          <w:lang w:val="en-GB"/>
        </w:rPr>
        <w:t xml:space="preserve">PHT crises between the two treatment </w:t>
      </w:r>
      <w:r w:rsidRPr="00043C1F">
        <w:rPr>
          <w:w w:val="105"/>
          <w:lang w:val="en-GB"/>
        </w:rPr>
        <w:t xml:space="preserve">groups. </w:t>
      </w:r>
      <w:r w:rsidR="002F7F46" w:rsidRPr="005E1EE9">
        <w:rPr>
          <w:w w:val="105"/>
          <w:lang w:val="en-GB"/>
        </w:rPr>
        <w:t xml:space="preserve">In comparison </w:t>
      </w:r>
      <w:r w:rsidR="002F7F46">
        <w:rPr>
          <w:w w:val="105"/>
          <w:lang w:val="en-GB"/>
        </w:rPr>
        <w:t xml:space="preserve">to baseline, significant </w:t>
      </w:r>
      <w:r w:rsidR="003878AA">
        <w:rPr>
          <w:w w:val="105"/>
          <w:lang w:val="en-GB"/>
        </w:rPr>
        <w:t>reduction</w:t>
      </w:r>
      <w:r w:rsidR="002F7F46" w:rsidRPr="005E1EE9">
        <w:rPr>
          <w:w w:val="105"/>
          <w:lang w:val="en-GB"/>
        </w:rPr>
        <w:t xml:space="preserve"> in </w:t>
      </w:r>
      <w:r w:rsidR="003878AA">
        <w:rPr>
          <w:w w:val="105"/>
          <w:lang w:val="en-GB"/>
        </w:rPr>
        <w:t xml:space="preserve">systolic </w:t>
      </w:r>
      <w:r w:rsidR="002F7F46" w:rsidRPr="005E1EE9">
        <w:rPr>
          <w:w w:val="105"/>
          <w:lang w:val="en-GB"/>
        </w:rPr>
        <w:t>PAP</w:t>
      </w:r>
      <w:r w:rsidR="003878AA">
        <w:rPr>
          <w:w w:val="105"/>
          <w:lang w:val="en-GB"/>
        </w:rPr>
        <w:t xml:space="preserve"> (from 52</w:t>
      </w:r>
      <w:r w:rsidR="003878AA">
        <w:rPr>
          <w:lang w:val="en-GB"/>
        </w:rPr>
        <w:sym w:font="Symbol" w:char="F0B1"/>
      </w:r>
      <w:r w:rsidR="003878AA">
        <w:rPr>
          <w:lang w:val="en-GB"/>
        </w:rPr>
        <w:t>3 mmHg to 47</w:t>
      </w:r>
      <w:r w:rsidR="003878AA">
        <w:rPr>
          <w:lang w:val="en-GB"/>
        </w:rPr>
        <w:sym w:font="Symbol" w:char="F0B1"/>
      </w:r>
      <w:r w:rsidR="003878AA">
        <w:rPr>
          <w:lang w:val="en-GB"/>
        </w:rPr>
        <w:t>2 mmHg</w:t>
      </w:r>
      <w:proofErr w:type="gramStart"/>
      <w:r w:rsidR="003878AA">
        <w:rPr>
          <w:lang w:val="en-GB"/>
        </w:rPr>
        <w:t>,</w:t>
      </w:r>
      <w:r w:rsidR="003878AA">
        <w:rPr>
          <w:vertAlign w:val="superscript"/>
          <w:lang w:val="en-GB"/>
        </w:rPr>
        <w:t xml:space="preserve"> </w:t>
      </w:r>
      <w:r w:rsidR="003878AA">
        <w:rPr>
          <w:lang w:val="en-GB"/>
        </w:rPr>
        <w:t xml:space="preserve"> </w:t>
      </w:r>
      <w:r w:rsidR="003878AA">
        <w:rPr>
          <w:w w:val="105"/>
          <w:lang w:val="en-GB"/>
        </w:rPr>
        <w:t>p</w:t>
      </w:r>
      <w:proofErr w:type="gramEnd"/>
      <w:r w:rsidR="003878AA">
        <w:rPr>
          <w:w w:val="105"/>
          <w:lang w:val="en-GB"/>
        </w:rPr>
        <w:t>&lt;0.05)</w:t>
      </w:r>
      <w:r w:rsidR="002F7F46">
        <w:rPr>
          <w:w w:val="105"/>
          <w:lang w:val="en-GB"/>
        </w:rPr>
        <w:t xml:space="preserve"> w</w:t>
      </w:r>
      <w:r w:rsidR="003878AA">
        <w:rPr>
          <w:w w:val="105"/>
          <w:lang w:val="en-GB"/>
        </w:rPr>
        <w:t>as</w:t>
      </w:r>
      <w:r w:rsidR="002F7F46" w:rsidRPr="005E1EE9">
        <w:rPr>
          <w:w w:val="105"/>
          <w:lang w:val="en-GB"/>
        </w:rPr>
        <w:t xml:space="preserve"> observed</w:t>
      </w:r>
      <w:r w:rsidR="00EB4F86">
        <w:rPr>
          <w:w w:val="105"/>
          <w:lang w:val="en-GB"/>
        </w:rPr>
        <w:t xml:space="preserve"> only in patients receiving </w:t>
      </w:r>
      <w:proofErr w:type="spellStart"/>
      <w:r w:rsidR="00EB4F86">
        <w:rPr>
          <w:w w:val="105"/>
          <w:lang w:val="en-GB"/>
        </w:rPr>
        <w:t>iNO</w:t>
      </w:r>
      <w:proofErr w:type="spellEnd"/>
      <w:r w:rsidR="00EB4F86">
        <w:rPr>
          <w:w w:val="105"/>
          <w:lang w:val="en-GB"/>
        </w:rPr>
        <w:t>.</w:t>
      </w:r>
    </w:p>
    <w:p w:rsidR="00FD5EA7" w:rsidRDefault="00C14009" w:rsidP="0013391A">
      <w:pPr>
        <w:rPr>
          <w:w w:val="105"/>
          <w:lang w:val="en-GB"/>
        </w:rPr>
      </w:pPr>
      <w:r>
        <w:rPr>
          <w:b/>
          <w:w w:val="105"/>
          <w:lang w:val="en-GB"/>
        </w:rPr>
        <w:t>M</w:t>
      </w:r>
      <w:r w:rsidR="00043C1F" w:rsidRPr="00043C1F">
        <w:rPr>
          <w:b/>
          <w:w w:val="105"/>
          <w:lang w:val="en-GB"/>
        </w:rPr>
        <w:t xml:space="preserve">orris </w:t>
      </w:r>
      <w:r w:rsidR="00043C1F" w:rsidRPr="00043C1F">
        <w:rPr>
          <w:b/>
          <w:i/>
          <w:w w:val="105"/>
          <w:lang w:val="en-GB"/>
        </w:rPr>
        <w:t>et al</w:t>
      </w:r>
      <w:r w:rsidR="00043C1F" w:rsidRPr="00043C1F">
        <w:rPr>
          <w:b/>
          <w:w w:val="105"/>
          <w:lang w:val="en-GB"/>
        </w:rPr>
        <w:t xml:space="preserve"> (2000) </w:t>
      </w:r>
      <w:r w:rsidR="00043C1F" w:rsidRPr="00043C1F">
        <w:rPr>
          <w:w w:val="105"/>
          <w:lang w:val="en-GB"/>
        </w:rPr>
        <w:t xml:space="preserve">was a crossover study that included 12 children presenting postoperative PHT (PAP&gt;25mmHg) after biventricular repair surgery (age range 0.1 to 17.7 years).  In this prospective, randomised crossover study, the patients received </w:t>
      </w:r>
      <w:proofErr w:type="spellStart"/>
      <w:r w:rsidR="00043C1F" w:rsidRPr="00043C1F">
        <w:rPr>
          <w:w w:val="105"/>
          <w:lang w:val="en-GB"/>
        </w:rPr>
        <w:t>iNO</w:t>
      </w:r>
      <w:proofErr w:type="spellEnd"/>
      <w:r w:rsidR="00043C1F" w:rsidRPr="00043C1F">
        <w:rPr>
          <w:w w:val="105"/>
          <w:lang w:val="en-GB"/>
        </w:rPr>
        <w:t xml:space="preserve"> (5 ppm for 15 minutes then 40 ppm for 15 minutes) versus</w:t>
      </w:r>
      <w:r w:rsidR="00043C1F" w:rsidRPr="00043C1F">
        <w:rPr>
          <w:i/>
          <w:w w:val="105"/>
          <w:lang w:val="en-GB"/>
        </w:rPr>
        <w:t xml:space="preserve"> </w:t>
      </w:r>
      <w:r w:rsidR="00043C1F" w:rsidRPr="00043C1F">
        <w:rPr>
          <w:w w:val="105"/>
          <w:lang w:val="en-GB"/>
        </w:rPr>
        <w:t xml:space="preserve">control therapy </w:t>
      </w:r>
      <w:r w:rsidR="00310B4E">
        <w:rPr>
          <w:w w:val="105"/>
          <w:lang w:val="en-GB"/>
        </w:rPr>
        <w:t>(mild</w:t>
      </w:r>
      <w:r w:rsidR="00043C1F" w:rsidRPr="00043C1F">
        <w:rPr>
          <w:w w:val="105"/>
          <w:lang w:val="en-GB"/>
        </w:rPr>
        <w:t xml:space="preserve"> alkalosis (pH 7.5) induced by hyperventilation</w:t>
      </w:r>
      <w:r w:rsidR="00310B4E">
        <w:rPr>
          <w:w w:val="105"/>
          <w:lang w:val="en-GB"/>
        </w:rPr>
        <w:t>)</w:t>
      </w:r>
      <w:r w:rsidR="00043C1F" w:rsidRPr="00043C1F">
        <w:rPr>
          <w:w w:val="105"/>
          <w:lang w:val="en-GB"/>
        </w:rPr>
        <w:t>. The efficacy endpoints were cardiac output and other haemodynamic parameters.</w:t>
      </w:r>
      <w:r w:rsidR="00E14A7D">
        <w:rPr>
          <w:w w:val="105"/>
          <w:lang w:val="en-GB"/>
        </w:rPr>
        <w:t xml:space="preserve"> </w:t>
      </w:r>
      <w:r w:rsidR="00043C1F" w:rsidRPr="00043C1F">
        <w:rPr>
          <w:w w:val="105"/>
          <w:lang w:val="en-GB"/>
        </w:rPr>
        <w:t>Inhaled NO and hyperventilation</w:t>
      </w:r>
      <w:r w:rsidR="00043C1F" w:rsidRPr="00043C1F" w:rsidDel="00A928B6">
        <w:rPr>
          <w:w w:val="105"/>
          <w:lang w:val="en-GB"/>
        </w:rPr>
        <w:t xml:space="preserve"> </w:t>
      </w:r>
      <w:r w:rsidR="00043C1F" w:rsidRPr="00043C1F">
        <w:rPr>
          <w:w w:val="105"/>
          <w:lang w:val="en-GB"/>
        </w:rPr>
        <w:t>were both effective at lowering PAP and PVR, producing significant changes compared to baseline, but there were no significant differences between the two treatments. Compared to baseline, hyperventilation</w:t>
      </w:r>
      <w:r w:rsidR="00043C1F" w:rsidRPr="00043C1F" w:rsidDel="00A928B6">
        <w:rPr>
          <w:w w:val="105"/>
          <w:lang w:val="en-GB"/>
        </w:rPr>
        <w:t xml:space="preserve"> </w:t>
      </w:r>
      <w:r w:rsidR="00043C1F" w:rsidRPr="00043C1F">
        <w:rPr>
          <w:w w:val="105"/>
          <w:lang w:val="en-GB"/>
        </w:rPr>
        <w:t xml:space="preserve">resulted in a significant increase in the mean systemic vascular resistance (SVR) index and in a significant reduction in cardiac index, and </w:t>
      </w:r>
      <w:proofErr w:type="spellStart"/>
      <w:r w:rsidR="00043C1F" w:rsidRPr="00043C1F">
        <w:rPr>
          <w:w w:val="105"/>
          <w:lang w:val="en-GB"/>
        </w:rPr>
        <w:t>iNO</w:t>
      </w:r>
      <w:proofErr w:type="spellEnd"/>
      <w:r w:rsidR="00043C1F" w:rsidRPr="00043C1F">
        <w:rPr>
          <w:w w:val="105"/>
          <w:lang w:val="en-GB"/>
        </w:rPr>
        <w:t xml:space="preserve"> did not have significant effects on systemic </w:t>
      </w:r>
      <w:proofErr w:type="spellStart"/>
      <w:r w:rsidR="00043C1F" w:rsidRPr="00043C1F">
        <w:rPr>
          <w:w w:val="105"/>
          <w:lang w:val="en-GB"/>
        </w:rPr>
        <w:t>haemodynamics</w:t>
      </w:r>
      <w:proofErr w:type="spellEnd"/>
      <w:r w:rsidR="00043C1F" w:rsidRPr="00043C1F">
        <w:rPr>
          <w:w w:val="105"/>
          <w:lang w:val="en-GB"/>
        </w:rPr>
        <w:t>. The differences between the two treatments for SVR Index and cardiac index</w:t>
      </w:r>
      <w:r w:rsidR="00043C1F" w:rsidRPr="00043C1F" w:rsidDel="00525250">
        <w:rPr>
          <w:w w:val="105"/>
          <w:lang w:val="en-GB"/>
        </w:rPr>
        <w:t xml:space="preserve"> </w:t>
      </w:r>
      <w:r w:rsidR="00043C1F" w:rsidRPr="00043C1F">
        <w:rPr>
          <w:w w:val="105"/>
          <w:lang w:val="en-GB"/>
        </w:rPr>
        <w:t>were not statistically significant.</w:t>
      </w:r>
    </w:p>
    <w:p w:rsidR="00FD5EA7" w:rsidRDefault="004D3D43" w:rsidP="0013391A">
      <w:pPr>
        <w:rPr>
          <w:w w:val="105"/>
          <w:lang w:val="en-GB"/>
        </w:rPr>
      </w:pPr>
      <w:r w:rsidRPr="004D3D43">
        <w:rPr>
          <w:b/>
          <w:w w:val="105"/>
          <w:lang w:val="en-GB"/>
        </w:rPr>
        <w:t xml:space="preserve">In summary for the 12 randomised controlled </w:t>
      </w:r>
      <w:r w:rsidR="00273A6B">
        <w:rPr>
          <w:b/>
          <w:w w:val="105"/>
          <w:lang w:val="en-GB"/>
        </w:rPr>
        <w:t xml:space="preserve">paediatric </w:t>
      </w:r>
      <w:r w:rsidRPr="004D3D43">
        <w:rPr>
          <w:b/>
          <w:w w:val="105"/>
          <w:lang w:val="en-GB"/>
        </w:rPr>
        <w:t>trials</w:t>
      </w:r>
      <w:r w:rsidRPr="004D3D43">
        <w:rPr>
          <w:w w:val="105"/>
          <w:lang w:val="en-GB"/>
        </w:rPr>
        <w:t xml:space="preserve">, </w:t>
      </w:r>
      <w:proofErr w:type="spellStart"/>
      <w:r w:rsidRPr="004D3D43">
        <w:rPr>
          <w:w w:val="105"/>
          <w:lang w:val="en-GB"/>
        </w:rPr>
        <w:t>iNO</w:t>
      </w:r>
      <w:proofErr w:type="spellEnd"/>
      <w:r w:rsidRPr="004D3D43">
        <w:rPr>
          <w:w w:val="105"/>
          <w:lang w:val="en-GB"/>
        </w:rPr>
        <w:t xml:space="preserve"> was effective in reducing PAP </w:t>
      </w:r>
      <w:r w:rsidRPr="004D3D43">
        <w:rPr>
          <w:lang w:val="en-GB"/>
        </w:rPr>
        <w:t xml:space="preserve">(expressed either directly as PAP or indirectly by </w:t>
      </w:r>
      <w:r w:rsidRPr="004D3D43">
        <w:rPr>
          <w:w w:val="105"/>
          <w:lang w:val="en-GB"/>
        </w:rPr>
        <w:t>PVR measurement</w:t>
      </w:r>
      <w:r w:rsidR="00691461">
        <w:rPr>
          <w:w w:val="105"/>
          <w:lang w:val="en-GB"/>
        </w:rPr>
        <w:t>)</w:t>
      </w:r>
      <w:r w:rsidRPr="004D3D43">
        <w:rPr>
          <w:w w:val="105"/>
          <w:lang w:val="en-GB"/>
        </w:rPr>
        <w:t xml:space="preserve"> </w:t>
      </w:r>
      <w:r w:rsidR="00273A6B" w:rsidRPr="004D3D43">
        <w:rPr>
          <w:w w:val="105"/>
          <w:lang w:val="en-GB"/>
        </w:rPr>
        <w:t xml:space="preserve">in children with PHT </w:t>
      </w:r>
      <w:r w:rsidR="00273A6B">
        <w:rPr>
          <w:w w:val="105"/>
          <w:lang w:val="en-GB"/>
        </w:rPr>
        <w:t>in conjunction with</w:t>
      </w:r>
      <w:r w:rsidR="00273A6B" w:rsidRPr="004D3D43">
        <w:rPr>
          <w:w w:val="105"/>
          <w:lang w:val="en-GB"/>
        </w:rPr>
        <w:t xml:space="preserve"> cardiac surgery</w:t>
      </w:r>
      <w:r w:rsidR="00273A6B">
        <w:rPr>
          <w:w w:val="105"/>
          <w:lang w:val="en-GB"/>
        </w:rPr>
        <w:t>.</w:t>
      </w:r>
      <w:r w:rsidR="005E1EE9">
        <w:rPr>
          <w:w w:val="105"/>
          <w:lang w:val="en-GB"/>
        </w:rPr>
        <w:t xml:space="preserve">  </w:t>
      </w:r>
      <w:r w:rsidR="002F7F46" w:rsidRPr="00F95A05">
        <w:rPr>
          <w:w w:val="105"/>
          <w:lang w:val="en-GB"/>
        </w:rPr>
        <w:t xml:space="preserve">In all studies that reported changes in PAP, the reduction of PAP was approximately 10% to 30%. </w:t>
      </w:r>
      <w:r w:rsidR="00BE1268">
        <w:rPr>
          <w:w w:val="105"/>
          <w:lang w:val="en-GB"/>
        </w:rPr>
        <w:t xml:space="preserve">  </w:t>
      </w:r>
      <w:r w:rsidR="002F7F46" w:rsidRPr="005E1EE9">
        <w:rPr>
          <w:w w:val="105"/>
          <w:lang w:val="en-GB"/>
        </w:rPr>
        <w:t xml:space="preserve">In the studies that reported changes in PVR, </w:t>
      </w:r>
      <w:proofErr w:type="spellStart"/>
      <w:r w:rsidR="002F7F46" w:rsidRPr="005E1EE9">
        <w:rPr>
          <w:w w:val="105"/>
          <w:lang w:val="en-GB"/>
        </w:rPr>
        <w:t>iNO</w:t>
      </w:r>
      <w:proofErr w:type="spellEnd"/>
      <w:r w:rsidR="002F7F46" w:rsidRPr="005E1EE9">
        <w:rPr>
          <w:w w:val="105"/>
          <w:lang w:val="en-GB"/>
        </w:rPr>
        <w:t xml:space="preserve"> reduced the PVR index by approximately 15% to 25% and had no significant effect on SVR index. In the studies that assessed the PHT crises, </w:t>
      </w:r>
      <w:proofErr w:type="spellStart"/>
      <w:r w:rsidR="002F7F46" w:rsidRPr="005E1EE9">
        <w:rPr>
          <w:w w:val="105"/>
          <w:lang w:val="en-GB"/>
        </w:rPr>
        <w:t>iNO</w:t>
      </w:r>
      <w:proofErr w:type="spellEnd"/>
      <w:r w:rsidR="002F7F46" w:rsidRPr="005E1EE9">
        <w:rPr>
          <w:w w:val="105"/>
          <w:lang w:val="en-GB"/>
        </w:rPr>
        <w:t xml:space="preserve"> reduced the number of PHT crises.</w:t>
      </w:r>
    </w:p>
    <w:p w:rsidR="00A01DFA" w:rsidRPr="00FC10FC" w:rsidRDefault="00A01DFA" w:rsidP="0013391A">
      <w:pPr>
        <w:pStyle w:val="Heading3"/>
        <w:rPr>
          <w:w w:val="105"/>
          <w:lang w:val="en-GB"/>
        </w:rPr>
      </w:pPr>
      <w:r w:rsidRPr="00FC10FC">
        <w:rPr>
          <w:w w:val="105"/>
          <w:lang w:val="en-GB"/>
        </w:rPr>
        <w:t>Adult populations</w:t>
      </w:r>
    </w:p>
    <w:p w:rsidR="004D3D43" w:rsidRDefault="00703099" w:rsidP="0013391A">
      <w:pPr>
        <w:rPr>
          <w:w w:val="105"/>
          <w:lang w:val="en-GB"/>
        </w:rPr>
      </w:pPr>
      <w:r>
        <w:rPr>
          <w:w w:val="105"/>
          <w:lang w:val="en-GB"/>
        </w:rPr>
        <w:t>T</w:t>
      </w:r>
      <w:r w:rsidRPr="00A01DFA">
        <w:rPr>
          <w:w w:val="105"/>
          <w:lang w:val="en-GB"/>
        </w:rPr>
        <w:t xml:space="preserve">he selective pulmonary anti-hypertensive effect of </w:t>
      </w:r>
      <w:proofErr w:type="spellStart"/>
      <w:r w:rsidRPr="00A01DFA">
        <w:rPr>
          <w:w w:val="105"/>
          <w:lang w:val="en-GB"/>
        </w:rPr>
        <w:t>iNO</w:t>
      </w:r>
      <w:proofErr w:type="spellEnd"/>
      <w:r w:rsidRPr="00A01DFA">
        <w:rPr>
          <w:w w:val="105"/>
          <w:lang w:val="en-GB"/>
        </w:rPr>
        <w:t xml:space="preserve"> </w:t>
      </w:r>
      <w:r>
        <w:rPr>
          <w:w w:val="105"/>
          <w:lang w:val="en-GB"/>
        </w:rPr>
        <w:t xml:space="preserve">in this population </w:t>
      </w:r>
      <w:r w:rsidRPr="00A01DFA">
        <w:rPr>
          <w:w w:val="105"/>
          <w:lang w:val="en-GB"/>
        </w:rPr>
        <w:t xml:space="preserve">has been demonstrated in randomised studies comparing </w:t>
      </w:r>
      <w:proofErr w:type="spellStart"/>
      <w:r w:rsidRPr="00A01DFA">
        <w:rPr>
          <w:w w:val="105"/>
          <w:lang w:val="en-GB"/>
        </w:rPr>
        <w:t>iNO</w:t>
      </w:r>
      <w:proofErr w:type="spellEnd"/>
      <w:r w:rsidRPr="00A01DFA">
        <w:rPr>
          <w:w w:val="105"/>
          <w:lang w:val="en-GB"/>
        </w:rPr>
        <w:t xml:space="preserve"> with </w:t>
      </w:r>
      <w:r>
        <w:rPr>
          <w:w w:val="105"/>
          <w:lang w:val="en-GB"/>
        </w:rPr>
        <w:t>placebo</w:t>
      </w:r>
      <w:r w:rsidRPr="00A01DFA">
        <w:rPr>
          <w:w w:val="105"/>
          <w:lang w:val="en-GB"/>
        </w:rPr>
        <w:t xml:space="preserve">, </w:t>
      </w:r>
      <w:r>
        <w:rPr>
          <w:w w:val="105"/>
          <w:lang w:val="en-GB"/>
        </w:rPr>
        <w:t>conventional therapy,</w:t>
      </w:r>
      <w:r w:rsidRPr="00A01DFA">
        <w:rPr>
          <w:w w:val="105"/>
          <w:lang w:val="en-GB"/>
        </w:rPr>
        <w:t xml:space="preserve"> </w:t>
      </w:r>
      <w:r>
        <w:rPr>
          <w:w w:val="105"/>
          <w:lang w:val="en-GB"/>
        </w:rPr>
        <w:t xml:space="preserve">prostaglandin, </w:t>
      </w:r>
      <w:r w:rsidRPr="002109CB">
        <w:rPr>
          <w:w w:val="105"/>
          <w:lang w:val="en-GB"/>
        </w:rPr>
        <w:t>nitroprusside</w:t>
      </w:r>
      <w:r w:rsidR="002F7F46" w:rsidRPr="005E1EE9">
        <w:rPr>
          <w:w w:val="105"/>
          <w:lang w:val="en-GB"/>
        </w:rPr>
        <w:t>/</w:t>
      </w:r>
      <w:proofErr w:type="spellStart"/>
      <w:r w:rsidRPr="002109CB">
        <w:rPr>
          <w:w w:val="105"/>
          <w:lang w:val="en-GB"/>
        </w:rPr>
        <w:t>nitroglycerin</w:t>
      </w:r>
      <w:proofErr w:type="spellEnd"/>
      <w:r w:rsidRPr="0021127B">
        <w:rPr>
          <w:w w:val="105"/>
          <w:lang w:val="en-GB"/>
        </w:rPr>
        <w:t>,</w:t>
      </w:r>
      <w:r>
        <w:rPr>
          <w:w w:val="105"/>
          <w:lang w:val="en-GB"/>
        </w:rPr>
        <w:t xml:space="preserve"> prostacyclin, </w:t>
      </w:r>
      <w:proofErr w:type="spellStart"/>
      <w:r>
        <w:rPr>
          <w:w w:val="105"/>
          <w:lang w:val="en-GB"/>
        </w:rPr>
        <w:t>milrinone</w:t>
      </w:r>
      <w:proofErr w:type="spellEnd"/>
      <w:r>
        <w:rPr>
          <w:w w:val="105"/>
          <w:lang w:val="en-GB"/>
        </w:rPr>
        <w:t>, and sildenafil</w:t>
      </w:r>
      <w:r w:rsidRPr="00A01DFA">
        <w:rPr>
          <w:w w:val="105"/>
          <w:lang w:val="en-GB"/>
        </w:rPr>
        <w:t xml:space="preserve">. </w:t>
      </w:r>
      <w:r w:rsidR="00A01DFA" w:rsidRPr="00A01DFA">
        <w:rPr>
          <w:w w:val="105"/>
          <w:lang w:val="en-GB"/>
        </w:rPr>
        <w:t xml:space="preserve">The main efficacy results are seen in </w:t>
      </w:r>
      <w:r w:rsidR="004D3D43">
        <w:rPr>
          <w:w w:val="105"/>
          <w:lang w:val="en-GB"/>
        </w:rPr>
        <w:t>PAP and PVR.</w:t>
      </w:r>
    </w:p>
    <w:p w:rsidR="004D3D43" w:rsidRDefault="004D3D43" w:rsidP="0013391A">
      <w:pPr>
        <w:rPr>
          <w:w w:val="105"/>
          <w:lang w:val="en-GB"/>
        </w:rPr>
      </w:pPr>
      <w:r w:rsidRPr="004D3D43">
        <w:rPr>
          <w:w w:val="105"/>
          <w:lang w:val="en-GB"/>
        </w:rPr>
        <w:t xml:space="preserve">A total of </w:t>
      </w:r>
      <w:r w:rsidR="003E605C">
        <w:rPr>
          <w:w w:val="105"/>
          <w:lang w:val="en-GB"/>
        </w:rPr>
        <w:t xml:space="preserve">10 </w:t>
      </w:r>
      <w:r w:rsidRPr="004D3D43">
        <w:rPr>
          <w:w w:val="105"/>
          <w:lang w:val="en-GB"/>
        </w:rPr>
        <w:t xml:space="preserve">prospective randomised controlled trials involving </w:t>
      </w:r>
      <w:r w:rsidR="003D639E">
        <w:rPr>
          <w:w w:val="105"/>
          <w:lang w:val="en-GB"/>
        </w:rPr>
        <w:t>3</w:t>
      </w:r>
      <w:r w:rsidR="00BA1A96">
        <w:rPr>
          <w:w w:val="105"/>
          <w:lang w:val="en-GB"/>
        </w:rPr>
        <w:t>3</w:t>
      </w:r>
      <w:r w:rsidR="003D639E">
        <w:rPr>
          <w:w w:val="105"/>
          <w:lang w:val="en-GB"/>
        </w:rPr>
        <w:t>6</w:t>
      </w:r>
      <w:r w:rsidR="00780824">
        <w:rPr>
          <w:w w:val="105"/>
          <w:lang w:val="en-GB"/>
        </w:rPr>
        <w:t xml:space="preserve"> </w:t>
      </w:r>
      <w:r w:rsidRPr="004D3D43">
        <w:rPr>
          <w:w w:val="105"/>
          <w:lang w:val="en-GB"/>
        </w:rPr>
        <w:t xml:space="preserve">adult patients </w:t>
      </w:r>
      <w:r w:rsidR="008369DF">
        <w:rPr>
          <w:w w:val="105"/>
          <w:lang w:val="en-GB"/>
        </w:rPr>
        <w:t>(</w:t>
      </w:r>
      <w:r w:rsidR="003D639E">
        <w:rPr>
          <w:w w:val="105"/>
          <w:lang w:val="en-GB"/>
        </w:rPr>
        <w:t>1</w:t>
      </w:r>
      <w:r w:rsidR="00BA1A96">
        <w:rPr>
          <w:w w:val="105"/>
          <w:lang w:val="en-GB"/>
        </w:rPr>
        <w:t>98</w:t>
      </w:r>
      <w:r w:rsidR="003D639E">
        <w:rPr>
          <w:w w:val="105"/>
          <w:lang w:val="en-GB"/>
        </w:rPr>
        <w:t xml:space="preserve"> </w:t>
      </w:r>
      <w:r w:rsidR="00703099">
        <w:rPr>
          <w:w w:val="105"/>
          <w:lang w:val="en-GB"/>
        </w:rPr>
        <w:t xml:space="preserve">treated with </w:t>
      </w:r>
      <w:proofErr w:type="spellStart"/>
      <w:r w:rsidR="00703099">
        <w:rPr>
          <w:w w:val="105"/>
          <w:lang w:val="en-GB"/>
        </w:rPr>
        <w:t>iNO</w:t>
      </w:r>
      <w:proofErr w:type="spellEnd"/>
      <w:r w:rsidR="003D639E">
        <w:rPr>
          <w:w w:val="105"/>
          <w:lang w:val="en-GB"/>
        </w:rPr>
        <w:t>)</w:t>
      </w:r>
      <w:r w:rsidR="00703099">
        <w:rPr>
          <w:w w:val="105"/>
          <w:lang w:val="en-GB"/>
        </w:rPr>
        <w:t xml:space="preserve"> </w:t>
      </w:r>
      <w:r w:rsidRPr="004D3D43">
        <w:rPr>
          <w:w w:val="105"/>
          <w:lang w:val="en-GB"/>
        </w:rPr>
        <w:t xml:space="preserve">were assessed as published study reports for the indication of perioperative PHT </w:t>
      </w:r>
      <w:r w:rsidR="00703099">
        <w:rPr>
          <w:w w:val="105"/>
          <w:lang w:val="en-GB"/>
        </w:rPr>
        <w:t xml:space="preserve">in conjunction with </w:t>
      </w:r>
      <w:r w:rsidRPr="004D3D43">
        <w:rPr>
          <w:w w:val="105"/>
          <w:lang w:val="en-GB"/>
        </w:rPr>
        <w:t>cardiac surgery</w:t>
      </w:r>
      <w:r w:rsidR="00703099">
        <w:rPr>
          <w:w w:val="105"/>
          <w:lang w:val="en-GB"/>
        </w:rPr>
        <w:t xml:space="preserve">. </w:t>
      </w:r>
      <w:r w:rsidR="002F7F46" w:rsidRPr="005E1EE9">
        <w:rPr>
          <w:w w:val="105"/>
          <w:lang w:val="en-GB"/>
        </w:rPr>
        <w:t xml:space="preserve">Four of these were considered key studies: </w:t>
      </w:r>
      <w:proofErr w:type="spellStart"/>
      <w:r w:rsidR="00AE4DA7">
        <w:rPr>
          <w:w w:val="105"/>
          <w:lang w:val="en-GB"/>
        </w:rPr>
        <w:t>Argenziano</w:t>
      </w:r>
      <w:proofErr w:type="spellEnd"/>
      <w:r w:rsidR="00AE4DA7" w:rsidRPr="00043C1F">
        <w:rPr>
          <w:w w:val="105"/>
          <w:lang w:val="en-GB"/>
        </w:rPr>
        <w:t xml:space="preserve"> </w:t>
      </w:r>
      <w:r w:rsidR="00AE4DA7" w:rsidRPr="00043C1F">
        <w:rPr>
          <w:i/>
          <w:w w:val="105"/>
          <w:lang w:val="en-GB"/>
        </w:rPr>
        <w:t>et al</w:t>
      </w:r>
      <w:r w:rsidR="00AE4DA7" w:rsidRPr="00043C1F">
        <w:rPr>
          <w:w w:val="105"/>
          <w:lang w:val="en-GB"/>
        </w:rPr>
        <w:t xml:space="preserve"> (</w:t>
      </w:r>
      <w:r w:rsidR="00AE4DA7">
        <w:rPr>
          <w:w w:val="105"/>
          <w:lang w:val="en-GB"/>
        </w:rPr>
        <w:t>1998</w:t>
      </w:r>
      <w:r w:rsidR="00AE4DA7" w:rsidRPr="00043C1F">
        <w:rPr>
          <w:w w:val="105"/>
          <w:lang w:val="en-GB"/>
        </w:rPr>
        <w:t xml:space="preserve">) </w:t>
      </w:r>
      <w:r w:rsidR="00AE4DA7">
        <w:rPr>
          <w:w w:val="105"/>
          <w:lang w:val="en-GB"/>
        </w:rPr>
        <w:t xml:space="preserve">which was a </w:t>
      </w:r>
      <w:r w:rsidR="00AE4DA7" w:rsidRPr="00043C1F">
        <w:rPr>
          <w:w w:val="105"/>
          <w:lang w:val="en-GB"/>
        </w:rPr>
        <w:t>place</w:t>
      </w:r>
      <w:r w:rsidR="00AE4DA7">
        <w:rPr>
          <w:w w:val="105"/>
          <w:lang w:val="en-GB"/>
        </w:rPr>
        <w:t xml:space="preserve">bo-controlled double blind study </w:t>
      </w:r>
      <w:r w:rsidR="00AE4DA7" w:rsidRPr="00043C1F">
        <w:rPr>
          <w:w w:val="105"/>
          <w:lang w:val="en-GB"/>
        </w:rPr>
        <w:t xml:space="preserve">and </w:t>
      </w:r>
      <w:proofErr w:type="spellStart"/>
      <w:r w:rsidR="00AE4DA7">
        <w:rPr>
          <w:w w:val="105"/>
          <w:lang w:val="en-GB"/>
        </w:rPr>
        <w:t>Knothe</w:t>
      </w:r>
      <w:proofErr w:type="spellEnd"/>
      <w:r w:rsidR="00AE4DA7" w:rsidRPr="00043C1F">
        <w:rPr>
          <w:w w:val="105"/>
          <w:lang w:val="en-GB"/>
        </w:rPr>
        <w:t xml:space="preserve"> </w:t>
      </w:r>
      <w:r w:rsidR="00AE4DA7" w:rsidRPr="00043C1F">
        <w:rPr>
          <w:i/>
          <w:w w:val="105"/>
          <w:lang w:val="en-GB"/>
        </w:rPr>
        <w:t>et al</w:t>
      </w:r>
      <w:r w:rsidR="00AE4DA7" w:rsidRPr="00043C1F">
        <w:rPr>
          <w:w w:val="105"/>
          <w:lang w:val="en-GB"/>
        </w:rPr>
        <w:t xml:space="preserve"> (</w:t>
      </w:r>
      <w:r w:rsidR="00AE4DA7">
        <w:rPr>
          <w:w w:val="105"/>
          <w:lang w:val="en-GB"/>
        </w:rPr>
        <w:t>1996</w:t>
      </w:r>
      <w:r w:rsidR="00AE4DA7" w:rsidRPr="00043C1F">
        <w:rPr>
          <w:w w:val="105"/>
          <w:lang w:val="en-GB"/>
        </w:rPr>
        <w:t>)</w:t>
      </w:r>
      <w:r w:rsidR="00AE4DA7">
        <w:rPr>
          <w:w w:val="105"/>
          <w:lang w:val="en-GB"/>
        </w:rPr>
        <w:t xml:space="preserve">, </w:t>
      </w:r>
      <w:proofErr w:type="spellStart"/>
      <w:r w:rsidR="00AE4DA7">
        <w:rPr>
          <w:w w:val="105"/>
          <w:lang w:val="en-GB"/>
        </w:rPr>
        <w:t>Fernandes</w:t>
      </w:r>
      <w:proofErr w:type="spellEnd"/>
      <w:r w:rsidR="00AE4DA7" w:rsidRPr="00043C1F">
        <w:rPr>
          <w:w w:val="105"/>
          <w:lang w:val="en-GB"/>
        </w:rPr>
        <w:t xml:space="preserve"> </w:t>
      </w:r>
      <w:r w:rsidR="00AE4DA7" w:rsidRPr="00043C1F">
        <w:rPr>
          <w:i/>
          <w:w w:val="105"/>
          <w:lang w:val="en-GB"/>
        </w:rPr>
        <w:t>et a</w:t>
      </w:r>
      <w:r w:rsidR="00AE4DA7">
        <w:rPr>
          <w:i/>
          <w:w w:val="105"/>
          <w:lang w:val="en-GB"/>
        </w:rPr>
        <w:t>l</w:t>
      </w:r>
      <w:r w:rsidR="00AE4DA7" w:rsidRPr="00043C1F">
        <w:rPr>
          <w:w w:val="105"/>
          <w:lang w:val="en-GB"/>
        </w:rPr>
        <w:t xml:space="preserve"> (20</w:t>
      </w:r>
      <w:r w:rsidR="00AE4DA7">
        <w:rPr>
          <w:w w:val="105"/>
          <w:lang w:val="en-GB"/>
        </w:rPr>
        <w:t>11</w:t>
      </w:r>
      <w:r w:rsidR="00D5697E" w:rsidRPr="005E1EE9">
        <w:rPr>
          <w:w w:val="105"/>
          <w:lang w:val="en-GB"/>
        </w:rPr>
        <w:t>)</w:t>
      </w:r>
      <w:r w:rsidR="00AE4DA7" w:rsidRPr="005E1EE9">
        <w:rPr>
          <w:w w:val="105"/>
          <w:lang w:val="en-GB"/>
        </w:rPr>
        <w:t xml:space="preserve"> </w:t>
      </w:r>
      <w:r w:rsidR="00D5697E" w:rsidRPr="005E1EE9">
        <w:rPr>
          <w:w w:val="105"/>
          <w:lang w:val="en-GB"/>
        </w:rPr>
        <w:t xml:space="preserve">and </w:t>
      </w:r>
      <w:proofErr w:type="spellStart"/>
      <w:r w:rsidR="00AE4DA7" w:rsidRPr="005E1EE9">
        <w:rPr>
          <w:w w:val="105"/>
          <w:lang w:val="en-GB"/>
        </w:rPr>
        <w:t>Rajek</w:t>
      </w:r>
      <w:proofErr w:type="spellEnd"/>
      <w:r w:rsidR="00AE4DA7" w:rsidRPr="005E1EE9">
        <w:rPr>
          <w:w w:val="105"/>
          <w:lang w:val="en-GB"/>
        </w:rPr>
        <w:t xml:space="preserve"> </w:t>
      </w:r>
      <w:r w:rsidR="00AE4DA7" w:rsidRPr="005E1EE9">
        <w:rPr>
          <w:i/>
          <w:w w:val="105"/>
          <w:lang w:val="en-GB"/>
        </w:rPr>
        <w:t>et al</w:t>
      </w:r>
      <w:r w:rsidR="00D5697E" w:rsidRPr="005E1EE9">
        <w:rPr>
          <w:w w:val="105"/>
          <w:lang w:val="en-GB"/>
        </w:rPr>
        <w:t xml:space="preserve"> (2000)</w:t>
      </w:r>
      <w:r w:rsidR="00AE4DA7" w:rsidRPr="005E1EE9">
        <w:rPr>
          <w:w w:val="105"/>
          <w:lang w:val="en-GB"/>
        </w:rPr>
        <w:t xml:space="preserve"> </w:t>
      </w:r>
      <w:r w:rsidR="00AE4DA7">
        <w:rPr>
          <w:w w:val="105"/>
          <w:lang w:val="en-GB"/>
        </w:rPr>
        <w:t xml:space="preserve">which </w:t>
      </w:r>
      <w:r w:rsidR="00AE4DA7" w:rsidRPr="00043C1F">
        <w:rPr>
          <w:w w:val="105"/>
          <w:lang w:val="en-GB"/>
        </w:rPr>
        <w:t>were controlled against conventional therapy</w:t>
      </w:r>
      <w:r w:rsidR="00AE4DA7">
        <w:rPr>
          <w:w w:val="105"/>
          <w:lang w:val="en-GB"/>
        </w:rPr>
        <w:t>.</w:t>
      </w:r>
      <w:r w:rsidR="00AE4DA7" w:rsidRPr="005E1EE9">
        <w:rPr>
          <w:w w:val="105"/>
          <w:lang w:val="en-GB"/>
        </w:rPr>
        <w:t xml:space="preserve"> </w:t>
      </w:r>
      <w:r w:rsidRPr="004D3D43">
        <w:rPr>
          <w:w w:val="105"/>
          <w:lang w:val="en-GB"/>
        </w:rPr>
        <w:t>Their designs and results are detailed below.</w:t>
      </w:r>
    </w:p>
    <w:p w:rsidR="00FD5EA7" w:rsidRDefault="00823A2A" w:rsidP="0013391A">
      <w:pPr>
        <w:rPr>
          <w:color w:val="000000"/>
          <w:lang w:val="en-GB"/>
        </w:rPr>
      </w:pPr>
      <w:proofErr w:type="spellStart"/>
      <w:r w:rsidRPr="00C47629">
        <w:rPr>
          <w:b/>
          <w:w w:val="105"/>
          <w:lang w:val="en-GB"/>
        </w:rPr>
        <w:t>Argenziano</w:t>
      </w:r>
      <w:proofErr w:type="spellEnd"/>
      <w:r w:rsidRPr="00C47629">
        <w:rPr>
          <w:b/>
          <w:w w:val="105"/>
          <w:lang w:val="en-GB"/>
        </w:rPr>
        <w:t xml:space="preserve"> </w:t>
      </w:r>
      <w:r w:rsidRPr="00C47629">
        <w:rPr>
          <w:b/>
          <w:i/>
          <w:w w:val="105"/>
          <w:lang w:val="en-GB"/>
        </w:rPr>
        <w:t>et al</w:t>
      </w:r>
      <w:r>
        <w:rPr>
          <w:w w:val="105"/>
          <w:lang w:val="en-GB"/>
        </w:rPr>
        <w:t xml:space="preserve"> (1998) was a placebo-controlled, double blind </w:t>
      </w:r>
      <w:r w:rsidR="006B31B2">
        <w:rPr>
          <w:w w:val="105"/>
          <w:lang w:val="en-GB"/>
        </w:rPr>
        <w:t xml:space="preserve">randomised </w:t>
      </w:r>
      <w:r>
        <w:rPr>
          <w:w w:val="105"/>
          <w:lang w:val="en-GB"/>
        </w:rPr>
        <w:t xml:space="preserve">study investigating the effects of </w:t>
      </w:r>
      <w:proofErr w:type="spellStart"/>
      <w:r>
        <w:rPr>
          <w:w w:val="105"/>
          <w:lang w:val="en-GB"/>
        </w:rPr>
        <w:t>iNO</w:t>
      </w:r>
      <w:proofErr w:type="spellEnd"/>
      <w:r>
        <w:rPr>
          <w:w w:val="105"/>
          <w:lang w:val="en-GB"/>
        </w:rPr>
        <w:t xml:space="preserve"> </w:t>
      </w:r>
      <w:r w:rsidR="002F7EB3">
        <w:rPr>
          <w:w w:val="105"/>
          <w:lang w:val="en-GB"/>
        </w:rPr>
        <w:t>(20ppm) versus placebo (N</w:t>
      </w:r>
      <w:r w:rsidR="002F7EB3" w:rsidRPr="003F4417">
        <w:rPr>
          <w:w w:val="105"/>
          <w:vertAlign w:val="subscript"/>
          <w:lang w:val="en-GB"/>
        </w:rPr>
        <w:t>2</w:t>
      </w:r>
      <w:r w:rsidR="002F7EB3">
        <w:rPr>
          <w:w w:val="105"/>
          <w:lang w:val="en-GB"/>
        </w:rPr>
        <w:t xml:space="preserve">) </w:t>
      </w:r>
      <w:r>
        <w:rPr>
          <w:w w:val="105"/>
          <w:lang w:val="en-GB"/>
        </w:rPr>
        <w:t xml:space="preserve">in </w:t>
      </w:r>
      <w:r w:rsidR="00B8237A">
        <w:rPr>
          <w:w w:val="105"/>
          <w:lang w:val="en-GB"/>
        </w:rPr>
        <w:t xml:space="preserve">11 </w:t>
      </w:r>
      <w:r>
        <w:rPr>
          <w:w w:val="105"/>
          <w:lang w:val="en-GB"/>
        </w:rPr>
        <w:t xml:space="preserve">patients </w:t>
      </w:r>
      <w:r w:rsidR="00B8237A">
        <w:rPr>
          <w:w w:val="105"/>
          <w:lang w:val="en-GB"/>
        </w:rPr>
        <w:t xml:space="preserve">(mean age: </w:t>
      </w:r>
      <w:r w:rsidR="00B8237A">
        <w:rPr>
          <w:color w:val="000000"/>
          <w:lang w:val="en-GB"/>
        </w:rPr>
        <w:t>55</w:t>
      </w:r>
      <w:r w:rsidR="00B8237A">
        <w:rPr>
          <w:color w:val="000000"/>
          <w:lang w:val="en-GB"/>
        </w:rPr>
        <w:sym w:font="Symbol" w:char="F0B1"/>
      </w:r>
      <w:r w:rsidR="00B8237A">
        <w:rPr>
          <w:color w:val="000000"/>
          <w:lang w:val="en-GB"/>
        </w:rPr>
        <w:t>3 years)</w:t>
      </w:r>
      <w:r w:rsidR="00B8237A">
        <w:rPr>
          <w:w w:val="105"/>
          <w:lang w:val="en-GB"/>
        </w:rPr>
        <w:t xml:space="preserve"> with PHT (</w:t>
      </w:r>
      <w:proofErr w:type="spellStart"/>
      <w:r w:rsidR="00B8237A">
        <w:rPr>
          <w:color w:val="000000"/>
          <w:lang w:val="en-GB"/>
        </w:rPr>
        <w:t>mPAP</w:t>
      </w:r>
      <w:proofErr w:type="spellEnd"/>
      <w:r w:rsidR="00B8237A">
        <w:rPr>
          <w:color w:val="000000"/>
          <w:lang w:val="en-GB"/>
        </w:rPr>
        <w:t xml:space="preserve">&gt;25 mmHg) </w:t>
      </w:r>
      <w:r>
        <w:rPr>
          <w:w w:val="105"/>
          <w:lang w:val="en-GB"/>
        </w:rPr>
        <w:t xml:space="preserve">implanted with a left ventricular assist device </w:t>
      </w:r>
      <w:r w:rsidR="00B8237A">
        <w:rPr>
          <w:w w:val="105"/>
          <w:lang w:val="en-GB"/>
        </w:rPr>
        <w:t xml:space="preserve">(LVAD) </w:t>
      </w:r>
      <w:r>
        <w:rPr>
          <w:w w:val="105"/>
          <w:lang w:val="en-GB"/>
        </w:rPr>
        <w:t xml:space="preserve">for advanced heart failure.  </w:t>
      </w:r>
      <w:r w:rsidR="00B8237A">
        <w:rPr>
          <w:w w:val="105"/>
          <w:lang w:val="en-GB"/>
        </w:rPr>
        <w:t>P</w:t>
      </w:r>
      <w:r>
        <w:rPr>
          <w:w w:val="105"/>
          <w:lang w:val="en-GB"/>
        </w:rPr>
        <w:t xml:space="preserve">atients   </w:t>
      </w:r>
      <w:proofErr w:type="spellStart"/>
      <w:r w:rsidR="007349D4">
        <w:rPr>
          <w:w w:val="105"/>
          <w:lang w:val="en-GB"/>
        </w:rPr>
        <w:t>Patients</w:t>
      </w:r>
      <w:proofErr w:type="spellEnd"/>
      <w:r w:rsidR="007349D4">
        <w:rPr>
          <w:w w:val="105"/>
          <w:lang w:val="en-GB"/>
        </w:rPr>
        <w:t xml:space="preserve"> randomised to placebo</w:t>
      </w:r>
      <w:r w:rsidR="007349D4" w:rsidRPr="00A01DFA">
        <w:rPr>
          <w:w w:val="105"/>
          <w:lang w:val="en-GB"/>
        </w:rPr>
        <w:t xml:space="preserve"> </w:t>
      </w:r>
      <w:r w:rsidR="007349D4">
        <w:rPr>
          <w:w w:val="105"/>
          <w:lang w:val="en-GB"/>
        </w:rPr>
        <w:t xml:space="preserve">where to be crossed over to receive </w:t>
      </w:r>
      <w:proofErr w:type="spellStart"/>
      <w:r w:rsidR="007349D4">
        <w:rPr>
          <w:w w:val="105"/>
          <w:lang w:val="en-GB"/>
        </w:rPr>
        <w:t>iNO</w:t>
      </w:r>
      <w:proofErr w:type="spellEnd"/>
      <w:r w:rsidR="007349D4">
        <w:rPr>
          <w:w w:val="105"/>
          <w:lang w:val="en-GB"/>
        </w:rPr>
        <w:t xml:space="preserve"> if no clinical response was obtained after 15 minutes.</w:t>
      </w:r>
      <w:r w:rsidR="00C14009">
        <w:rPr>
          <w:w w:val="105"/>
          <w:lang w:val="en-GB"/>
        </w:rPr>
        <w:t xml:space="preserve">  </w:t>
      </w:r>
      <w:r>
        <w:rPr>
          <w:color w:val="000000"/>
          <w:lang w:val="en-GB"/>
        </w:rPr>
        <w:t xml:space="preserve">In the </w:t>
      </w:r>
      <w:proofErr w:type="spellStart"/>
      <w:r>
        <w:rPr>
          <w:color w:val="000000"/>
          <w:lang w:val="en-GB"/>
        </w:rPr>
        <w:t>iNO</w:t>
      </w:r>
      <w:proofErr w:type="spellEnd"/>
      <w:r w:rsidR="000163F3">
        <w:rPr>
          <w:color w:val="000000"/>
          <w:lang w:val="en-GB"/>
        </w:rPr>
        <w:t xml:space="preserve"> group</w:t>
      </w:r>
      <w:r>
        <w:rPr>
          <w:color w:val="000000"/>
          <w:lang w:val="en-GB"/>
        </w:rPr>
        <w:t xml:space="preserve">, PAP decreased rapidly </w:t>
      </w:r>
      <w:r w:rsidR="00F95A05" w:rsidRPr="005E1EE9">
        <w:rPr>
          <w:color w:val="000000"/>
          <w:lang w:val="en-GB"/>
        </w:rPr>
        <w:t>from 35±6 mmHg</w:t>
      </w:r>
      <w:r w:rsidR="00F95A05">
        <w:rPr>
          <w:rFonts w:ascii="Arial" w:hAnsi="Arial" w:cs="Arial"/>
          <w:color w:val="000000"/>
          <w:sz w:val="16"/>
          <w:szCs w:val="16"/>
          <w:shd w:val="clear" w:color="auto" w:fill="FFFFFF"/>
          <w:lang w:val="en-GB"/>
        </w:rPr>
        <w:t xml:space="preserve"> </w:t>
      </w:r>
      <w:r>
        <w:rPr>
          <w:color w:val="000000"/>
          <w:lang w:val="en-GB"/>
        </w:rPr>
        <w:t>to 24</w:t>
      </w:r>
      <w:r>
        <w:rPr>
          <w:color w:val="000000"/>
          <w:lang w:val="en-GB"/>
        </w:rPr>
        <w:sym w:font="Symbol" w:char="F0B1"/>
      </w:r>
      <w:r>
        <w:rPr>
          <w:color w:val="000000"/>
          <w:lang w:val="en-GB"/>
        </w:rPr>
        <w:t>4 mmHg (</w:t>
      </w:r>
      <w:r>
        <w:rPr>
          <w:i/>
          <w:color w:val="000000"/>
          <w:lang w:val="en-GB"/>
        </w:rPr>
        <w:t>p</w:t>
      </w:r>
      <w:r>
        <w:rPr>
          <w:color w:val="000000"/>
          <w:lang w:val="en-GB"/>
        </w:rPr>
        <w:t xml:space="preserve">=0.02) and the </w:t>
      </w:r>
      <w:r w:rsidR="000163F3">
        <w:rPr>
          <w:color w:val="000000"/>
          <w:lang w:val="en-GB"/>
        </w:rPr>
        <w:t>LVAD</w:t>
      </w:r>
      <w:r>
        <w:rPr>
          <w:color w:val="000000"/>
          <w:lang w:val="en-GB"/>
        </w:rPr>
        <w:t xml:space="preserve"> flow index increased </w:t>
      </w:r>
      <w:r w:rsidR="00F95A05" w:rsidRPr="005E1EE9">
        <w:rPr>
          <w:color w:val="000000"/>
          <w:lang w:val="en-GB"/>
        </w:rPr>
        <w:t>from 1.9±0.2</w:t>
      </w:r>
      <w:r w:rsidR="00FC0900">
        <w:rPr>
          <w:color w:val="000000"/>
          <w:lang w:val="en-GB"/>
        </w:rPr>
        <w:t xml:space="preserve"> </w:t>
      </w:r>
      <w:r w:rsidR="00F95A05" w:rsidRPr="005E1EE9">
        <w:rPr>
          <w:color w:val="000000"/>
          <w:lang w:val="en-GB"/>
        </w:rPr>
        <w:t>L/min/m</w:t>
      </w:r>
      <w:r w:rsidR="00F95A05" w:rsidRPr="005E1EE9">
        <w:rPr>
          <w:color w:val="000000"/>
          <w:vertAlign w:val="superscript"/>
          <w:lang w:val="en-GB"/>
        </w:rPr>
        <w:t>2</w:t>
      </w:r>
      <w:r w:rsidR="00F95A05">
        <w:rPr>
          <w:color w:val="000000"/>
          <w:lang w:val="en-GB"/>
        </w:rPr>
        <w:t xml:space="preserve"> </w:t>
      </w:r>
      <w:r>
        <w:rPr>
          <w:color w:val="000000"/>
          <w:lang w:val="en-GB"/>
        </w:rPr>
        <w:t>to 2.7</w:t>
      </w:r>
      <w:r>
        <w:rPr>
          <w:color w:val="000000"/>
          <w:lang w:val="en-GB"/>
        </w:rPr>
        <w:sym w:font="Symbol" w:char="F0B1"/>
      </w:r>
      <w:r>
        <w:rPr>
          <w:color w:val="000000"/>
          <w:lang w:val="en-GB"/>
        </w:rPr>
        <w:t>0.3 L</w:t>
      </w:r>
      <w:r w:rsidR="00725B10">
        <w:rPr>
          <w:color w:val="000000"/>
          <w:lang w:val="en-GB"/>
        </w:rPr>
        <w:t>/</w:t>
      </w:r>
      <w:r>
        <w:rPr>
          <w:color w:val="000000"/>
          <w:lang w:val="en-GB"/>
        </w:rPr>
        <w:t>min</w:t>
      </w:r>
      <w:r w:rsidR="00725B10">
        <w:rPr>
          <w:color w:val="000000"/>
          <w:lang w:val="en-GB"/>
        </w:rPr>
        <w:t>/</w:t>
      </w:r>
      <w:r>
        <w:rPr>
          <w:color w:val="000000"/>
          <w:lang w:val="en-GB"/>
        </w:rPr>
        <w:t>m</w:t>
      </w:r>
      <w:r>
        <w:rPr>
          <w:color w:val="000000"/>
          <w:vertAlign w:val="superscript"/>
          <w:lang w:val="en-GB"/>
        </w:rPr>
        <w:t>2</w:t>
      </w:r>
      <w:r>
        <w:rPr>
          <w:color w:val="000000"/>
          <w:lang w:val="en-GB"/>
        </w:rPr>
        <w:t xml:space="preserve"> (</w:t>
      </w:r>
      <w:r>
        <w:rPr>
          <w:i/>
          <w:color w:val="000000"/>
          <w:lang w:val="en-GB"/>
        </w:rPr>
        <w:t>p</w:t>
      </w:r>
      <w:r>
        <w:rPr>
          <w:color w:val="000000"/>
          <w:lang w:val="en-GB"/>
        </w:rPr>
        <w:t xml:space="preserve">=0.02). In the </w:t>
      </w:r>
      <w:r w:rsidR="00965807">
        <w:rPr>
          <w:color w:val="000000"/>
          <w:lang w:val="en-GB"/>
        </w:rPr>
        <w:t>placebo</w:t>
      </w:r>
      <w:r w:rsidR="000163F3">
        <w:rPr>
          <w:color w:val="000000"/>
          <w:lang w:val="en-GB"/>
        </w:rPr>
        <w:t xml:space="preserve"> group</w:t>
      </w:r>
      <w:r>
        <w:rPr>
          <w:color w:val="000000"/>
          <w:lang w:val="en-GB"/>
        </w:rPr>
        <w:t>, no significant change</w:t>
      </w:r>
      <w:r w:rsidR="000163F3">
        <w:rPr>
          <w:color w:val="000000"/>
          <w:lang w:val="en-GB"/>
        </w:rPr>
        <w:t xml:space="preserve"> was</w:t>
      </w:r>
      <w:r>
        <w:rPr>
          <w:color w:val="000000"/>
          <w:lang w:val="en-GB"/>
        </w:rPr>
        <w:t xml:space="preserve"> seen in PAP or </w:t>
      </w:r>
      <w:r w:rsidR="006254DC">
        <w:rPr>
          <w:color w:val="000000"/>
          <w:lang w:val="en-GB"/>
        </w:rPr>
        <w:t>LVAD</w:t>
      </w:r>
      <w:r>
        <w:rPr>
          <w:color w:val="000000"/>
          <w:lang w:val="en-GB"/>
        </w:rPr>
        <w:t xml:space="preserve"> flow index.</w:t>
      </w:r>
    </w:p>
    <w:p w:rsidR="00FD5EA7" w:rsidRDefault="003A40CF" w:rsidP="0013391A">
      <w:proofErr w:type="spellStart"/>
      <w:r w:rsidRPr="00C47629">
        <w:rPr>
          <w:b/>
          <w:w w:val="105"/>
          <w:lang w:val="en-GB"/>
        </w:rPr>
        <w:t>Knothe</w:t>
      </w:r>
      <w:proofErr w:type="spellEnd"/>
      <w:r w:rsidRPr="00C47629">
        <w:rPr>
          <w:b/>
          <w:w w:val="105"/>
          <w:lang w:val="en-GB"/>
        </w:rPr>
        <w:t xml:space="preserve"> </w:t>
      </w:r>
      <w:r w:rsidRPr="00C47629">
        <w:rPr>
          <w:b/>
          <w:i/>
          <w:w w:val="105"/>
          <w:lang w:val="en-GB"/>
        </w:rPr>
        <w:t>et al</w:t>
      </w:r>
      <w:r>
        <w:rPr>
          <w:w w:val="105"/>
          <w:lang w:val="en-GB"/>
        </w:rPr>
        <w:t xml:space="preserve"> (1996) was a</w:t>
      </w:r>
      <w:r w:rsidR="006B31B2">
        <w:rPr>
          <w:w w:val="105"/>
          <w:lang w:val="en-GB"/>
        </w:rPr>
        <w:t xml:space="preserve"> randomised</w:t>
      </w:r>
      <w:r>
        <w:rPr>
          <w:w w:val="105"/>
          <w:lang w:val="en-GB"/>
        </w:rPr>
        <w:t xml:space="preserve"> open study </w:t>
      </w:r>
      <w:r w:rsidR="006B31B2">
        <w:rPr>
          <w:w w:val="105"/>
          <w:lang w:val="en-GB"/>
        </w:rPr>
        <w:t>investigating</w:t>
      </w:r>
      <w:r>
        <w:rPr>
          <w:w w:val="105"/>
          <w:lang w:val="en-GB"/>
        </w:rPr>
        <w:t xml:space="preserve"> the effect of </w:t>
      </w:r>
      <w:proofErr w:type="spellStart"/>
      <w:r>
        <w:rPr>
          <w:w w:val="105"/>
          <w:lang w:val="en-GB"/>
        </w:rPr>
        <w:t>iNO</w:t>
      </w:r>
      <w:proofErr w:type="spellEnd"/>
      <w:r w:rsidR="00EF2EA4">
        <w:rPr>
          <w:w w:val="105"/>
          <w:lang w:val="en-GB"/>
        </w:rPr>
        <w:t xml:space="preserve"> (30 ppm)</w:t>
      </w:r>
      <w:r w:rsidR="00D56334">
        <w:rPr>
          <w:w w:val="105"/>
          <w:lang w:val="en-GB"/>
        </w:rPr>
        <w:t xml:space="preserve"> versus conventional therapy </w:t>
      </w:r>
      <w:r>
        <w:rPr>
          <w:w w:val="105"/>
          <w:lang w:val="en-GB"/>
        </w:rPr>
        <w:t xml:space="preserve">in </w:t>
      </w:r>
      <w:r w:rsidR="00EF2EA4">
        <w:rPr>
          <w:w w:val="105"/>
          <w:lang w:val="en-GB"/>
        </w:rPr>
        <w:t>20 patients</w:t>
      </w:r>
      <w:r>
        <w:rPr>
          <w:w w:val="105"/>
          <w:lang w:val="en-GB"/>
        </w:rPr>
        <w:t xml:space="preserve"> </w:t>
      </w:r>
      <w:r w:rsidR="00EF2EA4">
        <w:rPr>
          <w:w w:val="105"/>
          <w:lang w:val="en-GB"/>
        </w:rPr>
        <w:t xml:space="preserve">(age range 46 to 80 years) </w:t>
      </w:r>
      <w:r>
        <w:rPr>
          <w:w w:val="105"/>
          <w:lang w:val="en-GB"/>
        </w:rPr>
        <w:t>w</w:t>
      </w:r>
      <w:r w:rsidR="00EF2EA4">
        <w:rPr>
          <w:w w:val="105"/>
          <w:lang w:val="en-GB"/>
        </w:rPr>
        <w:t>ith</w:t>
      </w:r>
      <w:r>
        <w:rPr>
          <w:w w:val="105"/>
          <w:lang w:val="en-GB"/>
        </w:rPr>
        <w:t xml:space="preserve"> PHT (PAP&gt;25 mmHg) before valve replacement surgery.  </w:t>
      </w:r>
      <w:r w:rsidR="006B31B2">
        <w:t>In the</w:t>
      </w:r>
      <w:r>
        <w:rPr>
          <w:w w:val="105"/>
          <w:lang w:val="en-GB"/>
        </w:rPr>
        <w:t xml:space="preserve"> </w:t>
      </w:r>
      <w:proofErr w:type="spellStart"/>
      <w:r>
        <w:rPr>
          <w:w w:val="105"/>
          <w:lang w:val="en-GB"/>
        </w:rPr>
        <w:t>iNO</w:t>
      </w:r>
      <w:proofErr w:type="spellEnd"/>
      <w:r w:rsidR="006B31B2">
        <w:rPr>
          <w:w w:val="105"/>
          <w:lang w:val="en-GB"/>
        </w:rPr>
        <w:t xml:space="preserve"> group,</w:t>
      </w:r>
      <w:r>
        <w:rPr>
          <w:w w:val="105"/>
          <w:lang w:val="en-GB"/>
        </w:rPr>
        <w:t xml:space="preserve"> PAP and PVR </w:t>
      </w:r>
      <w:r w:rsidR="006B31B2">
        <w:rPr>
          <w:w w:val="105"/>
          <w:lang w:val="en-GB"/>
        </w:rPr>
        <w:t xml:space="preserve">were significantly reduced </w:t>
      </w:r>
      <w:r>
        <w:rPr>
          <w:w w:val="105"/>
          <w:lang w:val="en-GB"/>
        </w:rPr>
        <w:t>(p&lt;0.05)</w:t>
      </w:r>
      <w:r w:rsidR="00D56334">
        <w:rPr>
          <w:w w:val="105"/>
          <w:lang w:val="en-GB"/>
        </w:rPr>
        <w:t xml:space="preserve"> and </w:t>
      </w:r>
      <w:r w:rsidRPr="000C21DA">
        <w:t xml:space="preserve">returned to </w:t>
      </w:r>
      <w:r>
        <w:t xml:space="preserve">their </w:t>
      </w:r>
      <w:r w:rsidRPr="000C21DA">
        <w:t xml:space="preserve">baseline </w:t>
      </w:r>
      <w:r>
        <w:t xml:space="preserve">value </w:t>
      </w:r>
      <w:r w:rsidRPr="000C21DA">
        <w:t xml:space="preserve">after </w:t>
      </w:r>
      <w:proofErr w:type="spellStart"/>
      <w:r w:rsidRPr="000C21DA">
        <w:t>iNO</w:t>
      </w:r>
      <w:proofErr w:type="spellEnd"/>
      <w:r w:rsidRPr="000C21DA">
        <w:t xml:space="preserve"> was stopped.</w:t>
      </w:r>
      <w:r>
        <w:t xml:space="preserve"> </w:t>
      </w:r>
      <w:r w:rsidR="00D56334">
        <w:t>In the conventional therapy group, changes in</w:t>
      </w:r>
      <w:r w:rsidRPr="000C21DA">
        <w:t xml:space="preserve"> PAP </w:t>
      </w:r>
      <w:r w:rsidRPr="000C21DA">
        <w:lastRenderedPageBreak/>
        <w:t>and PVR were not statistically significant.</w:t>
      </w:r>
      <w:r>
        <w:t xml:space="preserve"> </w:t>
      </w:r>
      <w:r w:rsidRPr="000C21DA">
        <w:t xml:space="preserve">Treatment with </w:t>
      </w:r>
      <w:proofErr w:type="spellStart"/>
      <w:r w:rsidRPr="000C21DA">
        <w:t>iNO</w:t>
      </w:r>
      <w:proofErr w:type="spellEnd"/>
      <w:r w:rsidRPr="000C21DA">
        <w:t xml:space="preserve"> significantly increased SVR, which remained elevated after </w:t>
      </w:r>
      <w:proofErr w:type="spellStart"/>
      <w:r w:rsidRPr="000C21DA">
        <w:t>iNO</w:t>
      </w:r>
      <w:proofErr w:type="spellEnd"/>
      <w:r w:rsidRPr="000C21DA">
        <w:t xml:space="preserve"> was stopped.</w:t>
      </w:r>
    </w:p>
    <w:p w:rsidR="003568F6" w:rsidRDefault="003A40CF" w:rsidP="0013391A">
      <w:pPr>
        <w:rPr>
          <w:spacing w:val="5"/>
          <w:lang w:val="en-US"/>
        </w:rPr>
      </w:pPr>
      <w:proofErr w:type="spellStart"/>
      <w:r w:rsidRPr="00C47629">
        <w:rPr>
          <w:b/>
        </w:rPr>
        <w:t>Fernandes</w:t>
      </w:r>
      <w:proofErr w:type="spellEnd"/>
      <w:r w:rsidRPr="00C47629">
        <w:rPr>
          <w:b/>
        </w:rPr>
        <w:t xml:space="preserve"> </w:t>
      </w:r>
      <w:r w:rsidRPr="00C47629">
        <w:rPr>
          <w:b/>
          <w:i/>
        </w:rPr>
        <w:t>et al</w:t>
      </w:r>
      <w:r>
        <w:t xml:space="preserve"> (2011) </w:t>
      </w:r>
      <w:r>
        <w:rPr>
          <w:w w:val="105"/>
          <w:lang w:val="en-GB"/>
        </w:rPr>
        <w:t xml:space="preserve">was an open </w:t>
      </w:r>
      <w:r w:rsidR="00D56334">
        <w:rPr>
          <w:w w:val="105"/>
          <w:lang w:val="en-GB"/>
        </w:rPr>
        <w:t xml:space="preserve">randomised </w:t>
      </w:r>
      <w:r>
        <w:rPr>
          <w:w w:val="105"/>
          <w:lang w:val="en-GB"/>
        </w:rPr>
        <w:t xml:space="preserve">study </w:t>
      </w:r>
      <w:r w:rsidR="00D56334">
        <w:rPr>
          <w:w w:val="105"/>
          <w:lang w:val="en-GB"/>
        </w:rPr>
        <w:t>investigating</w:t>
      </w:r>
      <w:r w:rsidRPr="000C21DA">
        <w:rPr>
          <w:spacing w:val="5"/>
        </w:rPr>
        <w:t xml:space="preserve"> the effect of </w:t>
      </w:r>
      <w:proofErr w:type="spellStart"/>
      <w:r w:rsidRPr="000C21DA">
        <w:rPr>
          <w:spacing w:val="5"/>
        </w:rPr>
        <w:t>iNO</w:t>
      </w:r>
      <w:proofErr w:type="spellEnd"/>
      <w:r w:rsidR="00D56334">
        <w:rPr>
          <w:spacing w:val="5"/>
        </w:rPr>
        <w:t xml:space="preserve"> (10 ppm) versus </w:t>
      </w:r>
      <w:r>
        <w:rPr>
          <w:w w:val="105"/>
          <w:lang w:val="en-GB"/>
        </w:rPr>
        <w:t>O</w:t>
      </w:r>
      <w:r w:rsidRPr="00597184">
        <w:rPr>
          <w:w w:val="105"/>
          <w:vertAlign w:val="subscript"/>
          <w:lang w:val="en-GB"/>
        </w:rPr>
        <w:t>2</w:t>
      </w:r>
      <w:r w:rsidRPr="000C21DA">
        <w:rPr>
          <w:spacing w:val="5"/>
        </w:rPr>
        <w:t xml:space="preserve"> in </w:t>
      </w:r>
      <w:r w:rsidR="00D56334">
        <w:rPr>
          <w:spacing w:val="5"/>
        </w:rPr>
        <w:t xml:space="preserve">29 patients (mean age 46±2 years) with </w:t>
      </w:r>
      <w:r w:rsidRPr="000C21DA">
        <w:rPr>
          <w:spacing w:val="5"/>
        </w:rPr>
        <w:t xml:space="preserve">severe PHT (systolic PAP&gt;60 </w:t>
      </w:r>
      <w:r>
        <w:rPr>
          <w:spacing w:val="5"/>
        </w:rPr>
        <w:t>mmHg</w:t>
      </w:r>
      <w:r w:rsidRPr="000C21DA">
        <w:rPr>
          <w:spacing w:val="5"/>
        </w:rPr>
        <w:t xml:space="preserve">) </w:t>
      </w:r>
      <w:r>
        <w:rPr>
          <w:spacing w:val="5"/>
        </w:rPr>
        <w:t xml:space="preserve">undergoing </w:t>
      </w:r>
      <w:r w:rsidRPr="000C21DA">
        <w:rPr>
          <w:spacing w:val="5"/>
        </w:rPr>
        <w:t>mitral valve stenosis</w:t>
      </w:r>
      <w:r w:rsidRPr="003B1FD6">
        <w:rPr>
          <w:spacing w:val="5"/>
        </w:rPr>
        <w:t xml:space="preserve"> </w:t>
      </w:r>
      <w:r w:rsidRPr="000C21DA">
        <w:rPr>
          <w:spacing w:val="5"/>
        </w:rPr>
        <w:t>surgery</w:t>
      </w:r>
      <w:r>
        <w:rPr>
          <w:spacing w:val="5"/>
        </w:rPr>
        <w:t xml:space="preserve">.  </w:t>
      </w:r>
      <w:r>
        <w:rPr>
          <w:spacing w:val="5"/>
          <w:lang w:val="en-US"/>
        </w:rPr>
        <w:t>T</w:t>
      </w:r>
      <w:r w:rsidRPr="00E508E0">
        <w:rPr>
          <w:spacing w:val="5"/>
          <w:lang w:val="en-US"/>
        </w:rPr>
        <w:t>he increase in cardiac index was significantly greater (</w:t>
      </w:r>
      <w:r>
        <w:rPr>
          <w:i/>
          <w:spacing w:val="5"/>
          <w:lang w:val="en-US"/>
        </w:rPr>
        <w:t>p</w:t>
      </w:r>
      <w:r w:rsidRPr="00E508E0">
        <w:rPr>
          <w:spacing w:val="5"/>
          <w:lang w:val="en-US"/>
        </w:rPr>
        <w:t xml:space="preserve">&lt;0.0001) in patients receiving </w:t>
      </w:r>
      <w:proofErr w:type="spellStart"/>
      <w:r w:rsidRPr="00E508E0">
        <w:rPr>
          <w:spacing w:val="5"/>
          <w:lang w:val="en-US"/>
        </w:rPr>
        <w:t>iNO</w:t>
      </w:r>
      <w:proofErr w:type="spellEnd"/>
      <w:r w:rsidRPr="00E508E0">
        <w:rPr>
          <w:spacing w:val="5"/>
          <w:lang w:val="en-US"/>
        </w:rPr>
        <w:t xml:space="preserve"> than in those receiving </w:t>
      </w:r>
      <w:r>
        <w:rPr>
          <w:w w:val="105"/>
          <w:lang w:val="en-GB"/>
        </w:rPr>
        <w:t>O</w:t>
      </w:r>
      <w:r w:rsidRPr="00597184">
        <w:rPr>
          <w:w w:val="105"/>
          <w:vertAlign w:val="subscript"/>
          <w:lang w:val="en-GB"/>
        </w:rPr>
        <w:t>2</w:t>
      </w:r>
      <w:r w:rsidR="00D56334">
        <w:rPr>
          <w:w w:val="105"/>
          <w:vertAlign w:val="subscript"/>
          <w:lang w:val="en-GB"/>
        </w:rPr>
        <w:t xml:space="preserve"> </w:t>
      </w:r>
      <w:r w:rsidRPr="00E508E0">
        <w:rPr>
          <w:spacing w:val="5"/>
          <w:lang w:val="en-US"/>
        </w:rPr>
        <w:t>at both 24 and 48 hours. The decrease in PVR was also significantly greater (</w:t>
      </w:r>
      <w:r>
        <w:rPr>
          <w:i/>
          <w:spacing w:val="5"/>
          <w:lang w:val="en-US"/>
        </w:rPr>
        <w:t>p</w:t>
      </w:r>
      <w:r w:rsidRPr="00E508E0">
        <w:rPr>
          <w:spacing w:val="5"/>
          <w:lang w:val="en-US"/>
        </w:rPr>
        <w:t xml:space="preserve">=0.005) in the </w:t>
      </w:r>
      <w:proofErr w:type="spellStart"/>
      <w:r w:rsidRPr="00E508E0">
        <w:rPr>
          <w:spacing w:val="5"/>
          <w:lang w:val="en-US"/>
        </w:rPr>
        <w:t>iNO</w:t>
      </w:r>
      <w:proofErr w:type="spellEnd"/>
      <w:r w:rsidRPr="00E508E0">
        <w:rPr>
          <w:spacing w:val="5"/>
          <w:lang w:val="en-US"/>
        </w:rPr>
        <w:t xml:space="preserve"> group than in the </w:t>
      </w:r>
      <w:r>
        <w:rPr>
          <w:w w:val="105"/>
          <w:lang w:val="en-GB"/>
        </w:rPr>
        <w:t>O</w:t>
      </w:r>
      <w:r w:rsidRPr="00597184">
        <w:rPr>
          <w:w w:val="105"/>
          <w:vertAlign w:val="subscript"/>
          <w:lang w:val="en-GB"/>
        </w:rPr>
        <w:t>2</w:t>
      </w:r>
      <w:r w:rsidRPr="00E508E0">
        <w:rPr>
          <w:spacing w:val="5"/>
          <w:lang w:val="en-US"/>
        </w:rPr>
        <w:t xml:space="preserve"> group, but only at 48 hours. Pulmonary capillary wedge pressure and systolic PAP were significantly reduced in both groups, but the difference between groups was not significant.</w:t>
      </w:r>
    </w:p>
    <w:p w:rsidR="00FD5EA7" w:rsidRDefault="008F6390" w:rsidP="0013391A">
      <w:pPr>
        <w:rPr>
          <w:lang w:val="en-US"/>
        </w:rPr>
      </w:pPr>
      <w:proofErr w:type="spellStart"/>
      <w:r w:rsidRPr="00C47629">
        <w:rPr>
          <w:b/>
          <w:lang w:val="en-US"/>
        </w:rPr>
        <w:t>Rajek</w:t>
      </w:r>
      <w:proofErr w:type="spellEnd"/>
      <w:r w:rsidRPr="00C47629">
        <w:rPr>
          <w:b/>
          <w:lang w:val="en-US"/>
        </w:rPr>
        <w:t xml:space="preserve"> </w:t>
      </w:r>
      <w:r w:rsidRPr="00C47629">
        <w:rPr>
          <w:b/>
          <w:i/>
          <w:lang w:val="en-US"/>
        </w:rPr>
        <w:t>et al</w:t>
      </w:r>
      <w:r w:rsidRPr="00C47629">
        <w:rPr>
          <w:lang w:val="en-US"/>
        </w:rPr>
        <w:t xml:space="preserve"> (2000) was a </w:t>
      </w:r>
      <w:r w:rsidRPr="00A265B9">
        <w:rPr>
          <w:lang w:val="en-US"/>
        </w:rPr>
        <w:t xml:space="preserve">double-blind </w:t>
      </w:r>
      <w:proofErr w:type="spellStart"/>
      <w:r w:rsidR="00B952A7">
        <w:rPr>
          <w:lang w:val="en-US"/>
        </w:rPr>
        <w:t>randomi</w:t>
      </w:r>
      <w:r w:rsidR="001D39E0">
        <w:rPr>
          <w:lang w:val="en-US"/>
        </w:rPr>
        <w:t>s</w:t>
      </w:r>
      <w:r w:rsidR="00B952A7">
        <w:rPr>
          <w:lang w:val="en-US"/>
        </w:rPr>
        <w:t>ed</w:t>
      </w:r>
      <w:proofErr w:type="spellEnd"/>
      <w:r w:rsidR="00B952A7">
        <w:rPr>
          <w:lang w:val="en-US"/>
        </w:rPr>
        <w:t xml:space="preserve"> </w:t>
      </w:r>
      <w:r w:rsidRPr="00A265B9">
        <w:rPr>
          <w:lang w:val="en-US"/>
        </w:rPr>
        <w:t xml:space="preserve">study investigating the efficacy of </w:t>
      </w:r>
      <w:proofErr w:type="spellStart"/>
      <w:r w:rsidRPr="00A265B9">
        <w:rPr>
          <w:lang w:val="en-US"/>
        </w:rPr>
        <w:t>iNO</w:t>
      </w:r>
      <w:proofErr w:type="spellEnd"/>
      <w:r>
        <w:rPr>
          <w:lang w:val="en-US"/>
        </w:rPr>
        <w:t xml:space="preserve"> </w:t>
      </w:r>
      <w:r w:rsidR="00165F60">
        <w:rPr>
          <w:lang w:val="en-US"/>
        </w:rPr>
        <w:t xml:space="preserve">(34 patients, mean age: </w:t>
      </w:r>
      <w:r w:rsidR="00165F60">
        <w:rPr>
          <w:color w:val="000000"/>
          <w:lang w:val="en-GB"/>
        </w:rPr>
        <w:t>54</w:t>
      </w:r>
      <w:r w:rsidR="00165F60">
        <w:rPr>
          <w:color w:val="000000"/>
          <w:lang w:val="en-GB"/>
        </w:rPr>
        <w:sym w:font="Symbol" w:char="F0B1"/>
      </w:r>
      <w:r w:rsidR="00165F60">
        <w:rPr>
          <w:color w:val="000000"/>
          <w:lang w:val="en-GB"/>
        </w:rPr>
        <w:t>11 years</w:t>
      </w:r>
      <w:r w:rsidR="00165F60">
        <w:rPr>
          <w:lang w:val="en-US"/>
        </w:rPr>
        <w:t>) versus</w:t>
      </w:r>
      <w:r w:rsidRPr="00A265B9">
        <w:rPr>
          <w:lang w:val="en-US"/>
        </w:rPr>
        <w:t xml:space="preserve"> </w:t>
      </w:r>
      <w:r w:rsidR="00B952A7">
        <w:rPr>
          <w:lang w:val="en-US"/>
        </w:rPr>
        <w:t xml:space="preserve">intravenous </w:t>
      </w:r>
      <w:r>
        <w:rPr>
          <w:lang w:val="en-US"/>
        </w:rPr>
        <w:t>prostaglandin E1 (P</w:t>
      </w:r>
      <w:r w:rsidRPr="00A265B9">
        <w:rPr>
          <w:lang w:val="en-US"/>
        </w:rPr>
        <w:t>GE1</w:t>
      </w:r>
      <w:proofErr w:type="gramStart"/>
      <w:r>
        <w:rPr>
          <w:lang w:val="en-US"/>
        </w:rPr>
        <w:t>)</w:t>
      </w:r>
      <w:r w:rsidR="00165F60">
        <w:rPr>
          <w:lang w:val="en-US"/>
        </w:rPr>
        <w:t>(</w:t>
      </w:r>
      <w:proofErr w:type="gramEnd"/>
      <w:r w:rsidR="00165F60">
        <w:rPr>
          <w:lang w:val="en-US"/>
        </w:rPr>
        <w:t xml:space="preserve">34 patients, mean age: </w:t>
      </w:r>
      <w:r w:rsidR="00165F60">
        <w:rPr>
          <w:color w:val="000000"/>
          <w:lang w:val="en-GB"/>
        </w:rPr>
        <w:t>55</w:t>
      </w:r>
      <w:r w:rsidR="00165F60">
        <w:rPr>
          <w:color w:val="000000"/>
          <w:lang w:val="en-GB"/>
        </w:rPr>
        <w:sym w:font="Symbol" w:char="F0B1"/>
      </w:r>
      <w:r w:rsidR="00165F60">
        <w:rPr>
          <w:color w:val="000000"/>
          <w:lang w:val="en-GB"/>
        </w:rPr>
        <w:t>9 years</w:t>
      </w:r>
      <w:r w:rsidR="00165F60">
        <w:rPr>
          <w:lang w:val="en-US"/>
        </w:rPr>
        <w:t>)</w:t>
      </w:r>
      <w:r w:rsidRPr="00A265B9">
        <w:rPr>
          <w:lang w:val="en-US"/>
        </w:rPr>
        <w:t xml:space="preserve"> </w:t>
      </w:r>
      <w:r w:rsidRPr="00185D03">
        <w:rPr>
          <w:lang w:val="en-US"/>
        </w:rPr>
        <w:t xml:space="preserve">in </w:t>
      </w:r>
      <w:r w:rsidR="00165F60">
        <w:rPr>
          <w:lang w:val="en-US"/>
        </w:rPr>
        <w:t xml:space="preserve"> </w:t>
      </w:r>
      <w:r w:rsidR="00B952A7">
        <w:rPr>
          <w:lang w:val="en-US"/>
        </w:rPr>
        <w:t>patients with</w:t>
      </w:r>
      <w:r w:rsidRPr="00185D03">
        <w:rPr>
          <w:lang w:val="en-US"/>
        </w:rPr>
        <w:t xml:space="preserve"> PHT </w:t>
      </w:r>
      <w:r>
        <w:rPr>
          <w:lang w:val="en-US"/>
        </w:rPr>
        <w:t xml:space="preserve">(mean PVR &gt;250 </w:t>
      </w:r>
      <w:proofErr w:type="spellStart"/>
      <w:r w:rsidRPr="00A418CB">
        <w:rPr>
          <w:lang w:val="en-GB"/>
        </w:rPr>
        <w:t>dyn</w:t>
      </w:r>
      <w:proofErr w:type="spellEnd"/>
      <w:r w:rsidR="00743426">
        <w:rPr>
          <w:lang w:val="en-GB"/>
        </w:rPr>
        <w:t>/</w:t>
      </w:r>
      <w:r w:rsidRPr="00A418CB">
        <w:rPr>
          <w:lang w:val="en-GB"/>
        </w:rPr>
        <w:t>sec</w:t>
      </w:r>
      <w:r w:rsidR="00743426">
        <w:rPr>
          <w:lang w:val="en-GB"/>
        </w:rPr>
        <w:t>/</w:t>
      </w:r>
      <w:r w:rsidRPr="00A418CB">
        <w:rPr>
          <w:lang w:val="en-GB"/>
        </w:rPr>
        <w:t>cm</w:t>
      </w:r>
      <w:r w:rsidRPr="00A418CB">
        <w:rPr>
          <w:vertAlign w:val="superscript"/>
          <w:lang w:val="en-GB"/>
        </w:rPr>
        <w:t>5</w:t>
      </w:r>
      <w:r>
        <w:rPr>
          <w:vertAlign w:val="superscript"/>
          <w:lang w:val="en-GB"/>
        </w:rPr>
        <w:t xml:space="preserve"> </w:t>
      </w:r>
      <w:r w:rsidR="00B952A7">
        <w:rPr>
          <w:lang w:val="en-US"/>
        </w:rPr>
        <w:t xml:space="preserve">, </w:t>
      </w:r>
      <w:proofErr w:type="spellStart"/>
      <w:r>
        <w:rPr>
          <w:lang w:val="en-US"/>
        </w:rPr>
        <w:t>mPAP</w:t>
      </w:r>
      <w:proofErr w:type="spellEnd"/>
      <w:r>
        <w:rPr>
          <w:lang w:val="en-US"/>
        </w:rPr>
        <w:t xml:space="preserve">&gt;30 mmHg) </w:t>
      </w:r>
      <w:r w:rsidRPr="00185D03">
        <w:rPr>
          <w:lang w:val="en-US"/>
        </w:rPr>
        <w:t xml:space="preserve">undergoing </w:t>
      </w:r>
      <w:r w:rsidRPr="00A265B9">
        <w:rPr>
          <w:lang w:val="en-US"/>
        </w:rPr>
        <w:t>heart transplant</w:t>
      </w:r>
      <w:r>
        <w:rPr>
          <w:lang w:val="en-US"/>
        </w:rPr>
        <w:t>ation</w:t>
      </w:r>
      <w:r w:rsidRPr="00A265B9">
        <w:rPr>
          <w:lang w:val="en-US"/>
        </w:rPr>
        <w:t xml:space="preserve">.  </w:t>
      </w:r>
      <w:r w:rsidRPr="00A9548F">
        <w:rPr>
          <w:lang w:val="en-US"/>
        </w:rPr>
        <w:t>Patients were switched to the alternative study drug</w:t>
      </w:r>
      <w:r w:rsidR="00165F60">
        <w:rPr>
          <w:lang w:val="en-US"/>
        </w:rPr>
        <w:t xml:space="preserve"> </w:t>
      </w:r>
      <w:r w:rsidRPr="00A9548F">
        <w:rPr>
          <w:lang w:val="en-US"/>
        </w:rPr>
        <w:t xml:space="preserve">when </w:t>
      </w:r>
      <w:r>
        <w:rPr>
          <w:lang w:val="en-US"/>
        </w:rPr>
        <w:t xml:space="preserve">PAP </w:t>
      </w:r>
      <w:r w:rsidRPr="00A9548F">
        <w:rPr>
          <w:lang w:val="en-US"/>
        </w:rPr>
        <w:t xml:space="preserve">was consistently elevated and </w:t>
      </w:r>
      <w:r w:rsidR="004C3DF8">
        <w:rPr>
          <w:lang w:val="en-US"/>
        </w:rPr>
        <w:t xml:space="preserve">when </w:t>
      </w:r>
      <w:r w:rsidRPr="00A9548F">
        <w:rPr>
          <w:lang w:val="en-US"/>
        </w:rPr>
        <w:t>weaning</w:t>
      </w:r>
      <w:r>
        <w:rPr>
          <w:lang w:val="en-US"/>
        </w:rPr>
        <w:t xml:space="preserve"> </w:t>
      </w:r>
      <w:r w:rsidRPr="00A9548F">
        <w:rPr>
          <w:lang w:val="en-US"/>
        </w:rPr>
        <w:t xml:space="preserve">from </w:t>
      </w:r>
      <w:r>
        <w:rPr>
          <w:lang w:val="en-US"/>
        </w:rPr>
        <w:t xml:space="preserve">cardiopulmonary </w:t>
      </w:r>
      <w:r w:rsidRPr="002F4A4A">
        <w:rPr>
          <w:lang w:val="en-US"/>
        </w:rPr>
        <w:t xml:space="preserve">bypass was </w:t>
      </w:r>
      <w:r w:rsidRPr="00A9548F">
        <w:rPr>
          <w:lang w:val="en-US"/>
        </w:rPr>
        <w:t>difficult because of right heart</w:t>
      </w:r>
      <w:r>
        <w:rPr>
          <w:lang w:val="en-US"/>
        </w:rPr>
        <w:t xml:space="preserve"> </w:t>
      </w:r>
      <w:r w:rsidRPr="00A9548F">
        <w:rPr>
          <w:lang w:val="en-US"/>
        </w:rPr>
        <w:t>failure.</w:t>
      </w:r>
      <w:r>
        <w:rPr>
          <w:lang w:val="en-US"/>
        </w:rPr>
        <w:t xml:space="preserve">  </w:t>
      </w:r>
      <w:r w:rsidR="001D39E0">
        <w:rPr>
          <w:lang w:val="en-US"/>
        </w:rPr>
        <w:t>P</w:t>
      </w:r>
      <w:r w:rsidR="00AD010C">
        <w:rPr>
          <w:lang w:val="en-US"/>
        </w:rPr>
        <w:t>ulmonary arterial pressure</w:t>
      </w:r>
      <w:r w:rsidR="001D39E0" w:rsidRPr="00C47629">
        <w:rPr>
          <w:lang w:val="en-US"/>
        </w:rPr>
        <w:t xml:space="preserve"> was decreased </w:t>
      </w:r>
      <w:r w:rsidR="001D39E0">
        <w:rPr>
          <w:lang w:val="en-US"/>
        </w:rPr>
        <w:t xml:space="preserve">by </w:t>
      </w:r>
      <w:r w:rsidR="001D39E0" w:rsidRPr="00185D03">
        <w:rPr>
          <w:lang w:val="en-US"/>
        </w:rPr>
        <w:t xml:space="preserve">approximately 30% </w:t>
      </w:r>
      <w:r w:rsidR="001D39E0">
        <w:rPr>
          <w:lang w:val="en-US"/>
        </w:rPr>
        <w:t>with</w:t>
      </w:r>
      <w:r w:rsidR="001D39E0" w:rsidRPr="00185D03">
        <w:rPr>
          <w:lang w:val="en-US"/>
        </w:rPr>
        <w:t xml:space="preserve"> </w:t>
      </w:r>
      <w:proofErr w:type="spellStart"/>
      <w:r w:rsidR="001D39E0" w:rsidRPr="00185D03">
        <w:rPr>
          <w:lang w:val="en-US"/>
        </w:rPr>
        <w:t>iNO</w:t>
      </w:r>
      <w:proofErr w:type="spellEnd"/>
      <w:r w:rsidR="00B72BF4">
        <w:rPr>
          <w:lang w:val="en-US"/>
        </w:rPr>
        <w:t xml:space="preserve"> (p</w:t>
      </w:r>
      <w:r w:rsidR="00B72BF4" w:rsidRPr="005E1EE9">
        <w:rPr>
          <w:lang w:val="en-US"/>
        </w:rPr>
        <w:t>&lt;0.0001</w:t>
      </w:r>
      <w:r w:rsidR="00B72BF4">
        <w:rPr>
          <w:lang w:val="en-US"/>
        </w:rPr>
        <w:t>)</w:t>
      </w:r>
      <w:r w:rsidR="001D39E0" w:rsidRPr="00185D03">
        <w:rPr>
          <w:lang w:val="en-US"/>
        </w:rPr>
        <w:t xml:space="preserve">, but only </w:t>
      </w:r>
      <w:r w:rsidR="001D39E0">
        <w:rPr>
          <w:lang w:val="en-US"/>
        </w:rPr>
        <w:t xml:space="preserve">by </w:t>
      </w:r>
      <w:r w:rsidR="001D39E0" w:rsidRPr="00185D03">
        <w:rPr>
          <w:lang w:val="en-US"/>
        </w:rPr>
        <w:t xml:space="preserve">approximately 16% </w:t>
      </w:r>
      <w:r w:rsidR="001D39E0">
        <w:rPr>
          <w:lang w:val="en-US"/>
        </w:rPr>
        <w:t>with</w:t>
      </w:r>
      <w:r w:rsidR="001D39E0" w:rsidRPr="00185D03">
        <w:rPr>
          <w:lang w:val="en-US"/>
        </w:rPr>
        <w:t xml:space="preserve"> PGE1</w:t>
      </w:r>
      <w:r w:rsidR="002F7F46" w:rsidRPr="005E1EE9">
        <w:rPr>
          <w:lang w:val="en-US"/>
        </w:rPr>
        <w:t>.</w:t>
      </w:r>
      <w:r w:rsidR="001D39E0" w:rsidRPr="001134BE">
        <w:rPr>
          <w:lang w:val="en-US"/>
        </w:rPr>
        <w:t xml:space="preserve"> </w:t>
      </w:r>
      <w:r w:rsidRPr="00A265B9">
        <w:rPr>
          <w:lang w:val="en-US"/>
        </w:rPr>
        <w:t xml:space="preserve">PVR was nearly halved in the </w:t>
      </w:r>
      <w:proofErr w:type="spellStart"/>
      <w:r w:rsidRPr="00A265B9">
        <w:rPr>
          <w:lang w:val="en-US"/>
        </w:rPr>
        <w:t>iNO</w:t>
      </w:r>
      <w:proofErr w:type="spellEnd"/>
      <w:r w:rsidRPr="00A265B9">
        <w:rPr>
          <w:lang w:val="en-US"/>
        </w:rPr>
        <w:t xml:space="preserve"> group </w:t>
      </w:r>
      <w:r w:rsidR="00B72BF4">
        <w:rPr>
          <w:lang w:val="en-US"/>
        </w:rPr>
        <w:t>(p&lt;0.0001)</w:t>
      </w:r>
      <w:r w:rsidR="008D20EE">
        <w:rPr>
          <w:lang w:val="en-US"/>
        </w:rPr>
        <w:t xml:space="preserve"> </w:t>
      </w:r>
      <w:r w:rsidRPr="00A265B9">
        <w:rPr>
          <w:lang w:val="en-US"/>
        </w:rPr>
        <w:t xml:space="preserve">but </w:t>
      </w:r>
      <w:r w:rsidRPr="00C47629">
        <w:rPr>
          <w:lang w:val="en-US"/>
        </w:rPr>
        <w:t>reduced by only 10% in the PGE1 group</w:t>
      </w:r>
      <w:r w:rsidR="002F7F46" w:rsidRPr="005E1EE9">
        <w:rPr>
          <w:lang w:val="en-US"/>
        </w:rPr>
        <w:t>.</w:t>
      </w:r>
      <w:r w:rsidRPr="001134BE">
        <w:rPr>
          <w:lang w:val="en-US"/>
        </w:rPr>
        <w:t xml:space="preserve"> </w:t>
      </w:r>
      <w:r w:rsidRPr="00185D03">
        <w:rPr>
          <w:lang w:val="en-US"/>
        </w:rPr>
        <w:t xml:space="preserve">Weaning </w:t>
      </w:r>
      <w:r w:rsidRPr="00CE1425">
        <w:rPr>
          <w:lang w:val="en-US"/>
        </w:rPr>
        <w:t xml:space="preserve">from </w:t>
      </w:r>
      <w:r>
        <w:rPr>
          <w:lang w:val="en-US"/>
        </w:rPr>
        <w:t>cardiopulmonary bypass</w:t>
      </w:r>
      <w:r w:rsidRPr="002552ED">
        <w:rPr>
          <w:lang w:val="en-US"/>
        </w:rPr>
        <w:t xml:space="preserve"> </w:t>
      </w:r>
      <w:r w:rsidRPr="00185D03">
        <w:rPr>
          <w:lang w:val="en-US"/>
        </w:rPr>
        <w:t xml:space="preserve">was successful in all patients </w:t>
      </w:r>
      <w:r>
        <w:rPr>
          <w:lang w:val="en-US"/>
        </w:rPr>
        <w:t xml:space="preserve">in the </w:t>
      </w:r>
      <w:proofErr w:type="spellStart"/>
      <w:r w:rsidRPr="00185D03">
        <w:rPr>
          <w:lang w:val="en-US"/>
        </w:rPr>
        <w:t>iNO</w:t>
      </w:r>
      <w:proofErr w:type="spellEnd"/>
      <w:r>
        <w:rPr>
          <w:lang w:val="en-US"/>
        </w:rPr>
        <w:t xml:space="preserve"> group</w:t>
      </w:r>
      <w:r w:rsidRPr="00185D03">
        <w:rPr>
          <w:lang w:val="en-US"/>
        </w:rPr>
        <w:t xml:space="preserve"> </w:t>
      </w:r>
      <w:r w:rsidR="001D39E0">
        <w:rPr>
          <w:lang w:val="en-US"/>
        </w:rPr>
        <w:t>and</w:t>
      </w:r>
      <w:r w:rsidR="001D39E0" w:rsidRPr="00185D03">
        <w:rPr>
          <w:lang w:val="en-US"/>
        </w:rPr>
        <w:t xml:space="preserve"> </w:t>
      </w:r>
      <w:r w:rsidRPr="00185D03">
        <w:rPr>
          <w:lang w:val="en-US"/>
        </w:rPr>
        <w:t xml:space="preserve">failed in six patients </w:t>
      </w:r>
      <w:r>
        <w:rPr>
          <w:lang w:val="en-US"/>
        </w:rPr>
        <w:t>in the</w:t>
      </w:r>
      <w:r w:rsidRPr="00185D03">
        <w:rPr>
          <w:lang w:val="en-US"/>
        </w:rPr>
        <w:t xml:space="preserve"> PGE1</w:t>
      </w:r>
      <w:r w:rsidRPr="00F20479">
        <w:rPr>
          <w:lang w:val="en-US"/>
        </w:rPr>
        <w:t xml:space="preserve"> </w:t>
      </w:r>
      <w:r>
        <w:rPr>
          <w:lang w:val="en-US"/>
        </w:rPr>
        <w:t>group</w:t>
      </w:r>
      <w:r w:rsidRPr="00185D03">
        <w:rPr>
          <w:lang w:val="en-US"/>
        </w:rPr>
        <w:t>.</w:t>
      </w:r>
    </w:p>
    <w:p w:rsidR="008D20EE" w:rsidRDefault="00CB475C" w:rsidP="0013391A">
      <w:pPr>
        <w:rPr>
          <w:spacing w:val="-1"/>
          <w:w w:val="105"/>
          <w:lang w:val="en-GB"/>
        </w:rPr>
      </w:pPr>
      <w:r>
        <w:rPr>
          <w:b/>
          <w:spacing w:val="-1"/>
          <w:w w:val="105"/>
          <w:lang w:val="en-GB"/>
        </w:rPr>
        <w:t>In summary for the 10</w:t>
      </w:r>
      <w:r w:rsidRPr="004D3D43">
        <w:rPr>
          <w:b/>
          <w:spacing w:val="-1"/>
          <w:w w:val="105"/>
          <w:lang w:val="en-GB"/>
        </w:rPr>
        <w:t xml:space="preserve"> randomised controlled </w:t>
      </w:r>
      <w:r>
        <w:rPr>
          <w:b/>
          <w:spacing w:val="-1"/>
          <w:w w:val="105"/>
          <w:lang w:val="en-GB"/>
        </w:rPr>
        <w:t xml:space="preserve">adult </w:t>
      </w:r>
      <w:r w:rsidRPr="004D3D43">
        <w:rPr>
          <w:b/>
          <w:spacing w:val="-1"/>
          <w:w w:val="105"/>
          <w:lang w:val="en-GB"/>
        </w:rPr>
        <w:t>trials</w:t>
      </w:r>
      <w:r w:rsidRPr="004D3D43">
        <w:rPr>
          <w:spacing w:val="-1"/>
          <w:w w:val="105"/>
          <w:lang w:val="en-GB"/>
        </w:rPr>
        <w:t xml:space="preserve">, </w:t>
      </w:r>
      <w:proofErr w:type="spellStart"/>
      <w:r w:rsidRPr="004D3D43">
        <w:rPr>
          <w:spacing w:val="-1"/>
          <w:w w:val="105"/>
          <w:lang w:val="en-GB"/>
        </w:rPr>
        <w:t>iNO</w:t>
      </w:r>
      <w:proofErr w:type="spellEnd"/>
      <w:r w:rsidRPr="004D3D43">
        <w:rPr>
          <w:spacing w:val="-1"/>
          <w:w w:val="105"/>
          <w:lang w:val="en-GB"/>
        </w:rPr>
        <w:t xml:space="preserve"> was effective in reducing PAP </w:t>
      </w:r>
      <w:r w:rsidRPr="004D3D43">
        <w:rPr>
          <w:lang w:val="en-GB"/>
        </w:rPr>
        <w:t xml:space="preserve">(expressed either directly as PAP or indirectly by </w:t>
      </w:r>
      <w:r w:rsidRPr="004D3D43">
        <w:rPr>
          <w:spacing w:val="-1"/>
          <w:w w:val="105"/>
          <w:lang w:val="en-GB"/>
        </w:rPr>
        <w:t>PVR measurement</w:t>
      </w:r>
      <w:r>
        <w:rPr>
          <w:spacing w:val="-1"/>
          <w:w w:val="105"/>
          <w:lang w:val="en-GB"/>
        </w:rPr>
        <w:t>)</w:t>
      </w:r>
      <w:r w:rsidRPr="004D3D43">
        <w:rPr>
          <w:spacing w:val="-1"/>
          <w:w w:val="105"/>
          <w:lang w:val="en-GB"/>
        </w:rPr>
        <w:t xml:space="preserve"> in </w:t>
      </w:r>
      <w:r>
        <w:rPr>
          <w:spacing w:val="-1"/>
          <w:w w:val="105"/>
          <w:lang w:val="en-GB"/>
        </w:rPr>
        <w:t>adults</w:t>
      </w:r>
      <w:r w:rsidRPr="004D3D43">
        <w:rPr>
          <w:spacing w:val="-1"/>
          <w:w w:val="105"/>
          <w:lang w:val="en-GB"/>
        </w:rPr>
        <w:t xml:space="preserve"> with PHT </w:t>
      </w:r>
      <w:r>
        <w:rPr>
          <w:spacing w:val="-1"/>
          <w:w w:val="105"/>
          <w:lang w:val="en-GB"/>
        </w:rPr>
        <w:t>in conjunction with</w:t>
      </w:r>
      <w:r w:rsidRPr="004D3D43">
        <w:rPr>
          <w:spacing w:val="-1"/>
          <w:w w:val="105"/>
          <w:lang w:val="en-GB"/>
        </w:rPr>
        <w:t xml:space="preserve"> cardiac surgery</w:t>
      </w:r>
      <w:r>
        <w:rPr>
          <w:spacing w:val="-1"/>
          <w:w w:val="105"/>
          <w:lang w:val="en-GB"/>
        </w:rPr>
        <w:t xml:space="preserve">. </w:t>
      </w:r>
      <w:r w:rsidR="002F7F46" w:rsidRPr="005E1EE9">
        <w:rPr>
          <w:spacing w:val="-1"/>
          <w:w w:val="105"/>
          <w:lang w:val="en-GB"/>
        </w:rPr>
        <w:t xml:space="preserve">In </w:t>
      </w:r>
      <w:r w:rsidR="00FB387E">
        <w:rPr>
          <w:spacing w:val="-1"/>
          <w:w w:val="105"/>
          <w:lang w:val="en-GB"/>
        </w:rPr>
        <w:t>the</w:t>
      </w:r>
      <w:r w:rsidR="002F7F46" w:rsidRPr="005E1EE9">
        <w:rPr>
          <w:spacing w:val="-1"/>
          <w:w w:val="105"/>
          <w:lang w:val="en-GB"/>
        </w:rPr>
        <w:t xml:space="preserve"> studies that reported changes in PAP, the reduction of PAP was approximately </w:t>
      </w:r>
      <w:r w:rsidR="00AD010C">
        <w:rPr>
          <w:spacing w:val="-1"/>
          <w:w w:val="105"/>
          <w:lang w:val="en-GB"/>
        </w:rPr>
        <w:t xml:space="preserve">from </w:t>
      </w:r>
      <w:r w:rsidR="008D20EE" w:rsidRPr="005E1EE9">
        <w:rPr>
          <w:spacing w:val="-1"/>
          <w:w w:val="105"/>
          <w:lang w:val="en-GB"/>
        </w:rPr>
        <w:t>15% to 40%</w:t>
      </w:r>
      <w:r w:rsidRPr="005E1EE9">
        <w:rPr>
          <w:spacing w:val="-1"/>
          <w:w w:val="105"/>
          <w:lang w:val="en-GB"/>
        </w:rPr>
        <w:t xml:space="preserve">. </w:t>
      </w:r>
      <w:r w:rsidR="002F7F46" w:rsidRPr="005E1EE9">
        <w:rPr>
          <w:spacing w:val="-1"/>
          <w:w w:val="105"/>
          <w:lang w:val="en-GB"/>
        </w:rPr>
        <w:t xml:space="preserve">In the studies that reported changes in vascular resistance, </w:t>
      </w:r>
      <w:proofErr w:type="spellStart"/>
      <w:r w:rsidR="002F7F46" w:rsidRPr="005E1EE9">
        <w:rPr>
          <w:spacing w:val="-1"/>
          <w:w w:val="105"/>
          <w:lang w:val="en-GB"/>
        </w:rPr>
        <w:t>iNO</w:t>
      </w:r>
      <w:proofErr w:type="spellEnd"/>
      <w:r w:rsidR="002F7F46" w:rsidRPr="005E1EE9">
        <w:rPr>
          <w:spacing w:val="-1"/>
          <w:w w:val="105"/>
          <w:lang w:val="en-GB"/>
        </w:rPr>
        <w:t xml:space="preserve"> reduced the PVR by approximately 35% to 65% and had no significant effect on SVR (where reported). In all studies, </w:t>
      </w:r>
      <w:proofErr w:type="spellStart"/>
      <w:r w:rsidR="002F7F46" w:rsidRPr="005E1EE9">
        <w:rPr>
          <w:spacing w:val="-1"/>
          <w:w w:val="105"/>
          <w:lang w:val="en-GB"/>
        </w:rPr>
        <w:t>iNO</w:t>
      </w:r>
      <w:proofErr w:type="spellEnd"/>
      <w:r w:rsidR="002F7F46" w:rsidRPr="005E1EE9">
        <w:rPr>
          <w:spacing w:val="-1"/>
          <w:w w:val="105"/>
          <w:lang w:val="en-GB"/>
        </w:rPr>
        <w:t xml:space="preserve"> treatment maintained or improved car</w:t>
      </w:r>
      <w:r w:rsidR="001D39E0" w:rsidRPr="00A01DFA">
        <w:rPr>
          <w:spacing w:val="-1"/>
          <w:w w:val="105"/>
          <w:lang w:val="en-GB"/>
        </w:rPr>
        <w:t xml:space="preserve">diac function. </w:t>
      </w:r>
      <w:r w:rsidR="004B02BC">
        <w:rPr>
          <w:spacing w:val="-1"/>
          <w:w w:val="105"/>
          <w:lang w:val="en-GB"/>
        </w:rPr>
        <w:t xml:space="preserve">It </w:t>
      </w:r>
      <w:r w:rsidR="00196253">
        <w:rPr>
          <w:spacing w:val="-1"/>
          <w:w w:val="105"/>
          <w:lang w:val="en-GB"/>
        </w:rPr>
        <w:t>should be noted</w:t>
      </w:r>
      <w:r w:rsidR="004B02BC">
        <w:rPr>
          <w:spacing w:val="-1"/>
          <w:w w:val="105"/>
          <w:lang w:val="en-GB"/>
        </w:rPr>
        <w:t xml:space="preserve"> that </w:t>
      </w:r>
      <w:r w:rsidR="00196253">
        <w:rPr>
          <w:spacing w:val="-1"/>
          <w:w w:val="105"/>
          <w:lang w:val="en-GB"/>
        </w:rPr>
        <w:t xml:space="preserve">the </w:t>
      </w:r>
      <w:r w:rsidR="004B02BC">
        <w:rPr>
          <w:spacing w:val="-1"/>
          <w:w w:val="105"/>
          <w:lang w:val="en-GB"/>
        </w:rPr>
        <w:t>adult studies have</w:t>
      </w:r>
      <w:r w:rsidR="00113830">
        <w:rPr>
          <w:spacing w:val="-1"/>
          <w:w w:val="105"/>
          <w:lang w:val="en-GB"/>
        </w:rPr>
        <w:t xml:space="preserve"> some</w:t>
      </w:r>
      <w:r w:rsidR="004B02BC">
        <w:rPr>
          <w:spacing w:val="-1"/>
          <w:w w:val="105"/>
          <w:lang w:val="en-GB"/>
        </w:rPr>
        <w:t xml:space="preserve"> methodological</w:t>
      </w:r>
      <w:r w:rsidR="00113830">
        <w:rPr>
          <w:spacing w:val="-1"/>
          <w:w w:val="105"/>
          <w:lang w:val="en-GB"/>
        </w:rPr>
        <w:t xml:space="preserve"> limitations such as </w:t>
      </w:r>
      <w:r w:rsidR="00D22037">
        <w:rPr>
          <w:spacing w:val="-1"/>
          <w:w w:val="105"/>
          <w:lang w:val="en-GB"/>
        </w:rPr>
        <w:t xml:space="preserve">the </w:t>
      </w:r>
      <w:r w:rsidR="00D22037">
        <w:rPr>
          <w:lang w:val="en-GB"/>
        </w:rPr>
        <w:t>relatively low total number of patients included in the trials and the heterogeneity of the trials</w:t>
      </w:r>
      <w:r w:rsidR="00D22037">
        <w:rPr>
          <w:spacing w:val="-1"/>
          <w:w w:val="105"/>
          <w:lang w:val="en-GB"/>
        </w:rPr>
        <w:t>.</w:t>
      </w:r>
    </w:p>
    <w:p w:rsidR="00FE6653" w:rsidRDefault="00F4609F" w:rsidP="0013391A">
      <w:pPr>
        <w:pStyle w:val="Heading2"/>
      </w:pPr>
      <w:r w:rsidRPr="007E401D">
        <w:rPr>
          <w:bCs/>
        </w:rPr>
        <w:t>INDICATIONS</w:t>
      </w:r>
    </w:p>
    <w:p w:rsidR="000E3C97" w:rsidRPr="00E03DEE" w:rsidRDefault="00E7129E" w:rsidP="00375DED">
      <w:pPr>
        <w:spacing w:after="0"/>
        <w:ind w:left="142" w:right="6"/>
        <w:jc w:val="both"/>
        <w:rPr>
          <w:rFonts w:cs="Calibri"/>
          <w:spacing w:val="-4"/>
          <w:w w:val="105"/>
          <w:lang w:val="en-GB"/>
        </w:rPr>
      </w:pPr>
      <w:proofErr w:type="spellStart"/>
      <w:r>
        <w:rPr>
          <w:rFonts w:cs="Calibri"/>
          <w:spacing w:val="-4"/>
          <w:w w:val="105"/>
          <w:lang w:val="en-GB"/>
        </w:rPr>
        <w:t>VasoKINOX</w:t>
      </w:r>
      <w:proofErr w:type="spellEnd"/>
      <w:r w:rsidR="00F94450">
        <w:rPr>
          <w:rFonts w:cs="Calibri"/>
          <w:spacing w:val="-4"/>
          <w:w w:val="105"/>
          <w:lang w:val="en-GB"/>
        </w:rPr>
        <w:t xml:space="preserve"> is indicated</w:t>
      </w:r>
      <w:r w:rsidR="000B0FC2">
        <w:rPr>
          <w:rFonts w:cs="Calibri"/>
          <w:spacing w:val="-4"/>
          <w:w w:val="105"/>
          <w:lang w:val="en-GB"/>
        </w:rPr>
        <w:t xml:space="preserve"> </w:t>
      </w:r>
      <w:r w:rsidR="000E3C97" w:rsidRPr="000E3C97">
        <w:rPr>
          <w:rFonts w:cs="Calibri"/>
          <w:spacing w:val="-4"/>
          <w:w w:val="105"/>
          <w:lang w:val="en-GB"/>
        </w:rPr>
        <w:t>in conjunction with ventilator support and other appropriate active substances</w:t>
      </w:r>
      <w:r w:rsidR="00F94450">
        <w:rPr>
          <w:rFonts w:cs="Calibri"/>
          <w:spacing w:val="-4"/>
          <w:w w:val="105"/>
          <w:lang w:val="en-GB"/>
        </w:rPr>
        <w:t xml:space="preserve"> </w:t>
      </w:r>
      <w:r w:rsidR="003568F6">
        <w:rPr>
          <w:rFonts w:cs="Calibri"/>
          <w:spacing w:val="-4"/>
          <w:w w:val="105"/>
          <w:lang w:val="en-GB"/>
        </w:rPr>
        <w:t>to selectively decrease pulmonary arterial pressure in patients with</w:t>
      </w:r>
      <w:r w:rsidR="000E3C97" w:rsidRPr="000E3C97">
        <w:rPr>
          <w:rFonts w:cs="Calibri"/>
          <w:spacing w:val="-5"/>
          <w:w w:val="105"/>
          <w:lang w:val="en-GB"/>
        </w:rPr>
        <w:t xml:space="preserve"> </w:t>
      </w:r>
      <w:r w:rsidR="000E3C97" w:rsidRPr="006D2F27">
        <w:rPr>
          <w:rFonts w:cs="Calibri"/>
          <w:spacing w:val="-5"/>
          <w:w w:val="105"/>
          <w:lang w:val="en-GB"/>
        </w:rPr>
        <w:t>perioperative</w:t>
      </w:r>
      <w:r w:rsidR="000E3C97" w:rsidRPr="000E3C97">
        <w:rPr>
          <w:rFonts w:cs="Calibri"/>
          <w:spacing w:val="-5"/>
          <w:w w:val="105"/>
          <w:lang w:val="en-GB"/>
        </w:rPr>
        <w:t xml:space="preserve"> pulmonary hypertension</w:t>
      </w:r>
      <w:r w:rsidR="003568F6">
        <w:rPr>
          <w:rFonts w:cs="Calibri"/>
          <w:spacing w:val="-5"/>
          <w:w w:val="105"/>
          <w:lang w:val="en-GB"/>
        </w:rPr>
        <w:t xml:space="preserve"> in conjunction with heart surgery</w:t>
      </w:r>
    </w:p>
    <w:p w:rsidR="00F4609F" w:rsidRPr="000E3C97" w:rsidRDefault="00F4609F" w:rsidP="0013391A">
      <w:pPr>
        <w:pStyle w:val="Heading2"/>
      </w:pPr>
      <w:r w:rsidRPr="000E3C97">
        <w:rPr>
          <w:bCs/>
        </w:rPr>
        <w:t>CONTRAINDICATIONS</w:t>
      </w:r>
    </w:p>
    <w:p w:rsidR="006D2F27" w:rsidRPr="00FF3E85" w:rsidRDefault="006D2F27" w:rsidP="00F94450">
      <w:pPr>
        <w:widowControl w:val="0"/>
        <w:numPr>
          <w:ilvl w:val="0"/>
          <w:numId w:val="12"/>
        </w:numPr>
        <w:autoSpaceDE w:val="0"/>
        <w:autoSpaceDN w:val="0"/>
        <w:adjustRightInd w:val="0"/>
        <w:spacing w:after="0" w:line="288" w:lineRule="exact"/>
        <w:ind w:right="378"/>
        <w:jc w:val="both"/>
        <w:rPr>
          <w:strike/>
          <w:spacing w:val="-1"/>
          <w:w w:val="105"/>
          <w:lang w:val="en-GB"/>
        </w:rPr>
      </w:pPr>
      <w:r w:rsidRPr="007E401D">
        <w:rPr>
          <w:spacing w:val="-1"/>
          <w:w w:val="105"/>
          <w:lang w:val="en-GB"/>
        </w:rPr>
        <w:t>Hypersensitivity to the active substance or any of the excipients.</w:t>
      </w:r>
    </w:p>
    <w:p w:rsidR="00FD5EA7" w:rsidRDefault="00F4609F" w:rsidP="00E03DEE">
      <w:pPr>
        <w:widowControl w:val="0"/>
        <w:numPr>
          <w:ilvl w:val="0"/>
          <w:numId w:val="12"/>
        </w:numPr>
        <w:autoSpaceDE w:val="0"/>
        <w:autoSpaceDN w:val="0"/>
        <w:adjustRightInd w:val="0"/>
        <w:spacing w:after="0" w:line="288" w:lineRule="exact"/>
        <w:ind w:right="6"/>
        <w:rPr>
          <w:spacing w:val="-1"/>
          <w:w w:val="105"/>
          <w:lang w:val="en-GB"/>
        </w:rPr>
      </w:pPr>
      <w:proofErr w:type="spellStart"/>
      <w:r w:rsidRPr="007E401D">
        <w:rPr>
          <w:spacing w:val="-1"/>
          <w:w w:val="105"/>
          <w:lang w:val="en-GB"/>
        </w:rPr>
        <w:t>Ne</w:t>
      </w:r>
      <w:r w:rsidR="006D2F27">
        <w:rPr>
          <w:spacing w:val="-1"/>
          <w:w w:val="105"/>
          <w:lang w:val="en-GB"/>
        </w:rPr>
        <w:t>wborns</w:t>
      </w:r>
      <w:proofErr w:type="spellEnd"/>
      <w:r w:rsidR="006D2F27">
        <w:rPr>
          <w:spacing w:val="-1"/>
          <w:w w:val="105"/>
          <w:lang w:val="en-GB"/>
        </w:rPr>
        <w:t xml:space="preserve"> dependent on a </w:t>
      </w:r>
      <w:r w:rsidRPr="007E401D">
        <w:rPr>
          <w:spacing w:val="-1"/>
          <w:w w:val="105"/>
          <w:lang w:val="en-GB"/>
        </w:rPr>
        <w:t xml:space="preserve">right-to-left </w:t>
      </w:r>
      <w:r w:rsidR="006D2F27">
        <w:rPr>
          <w:spacing w:val="-1"/>
          <w:w w:val="105"/>
          <w:lang w:val="en-GB"/>
        </w:rPr>
        <w:t xml:space="preserve">shunt </w:t>
      </w:r>
      <w:r w:rsidRPr="007E401D">
        <w:rPr>
          <w:spacing w:val="-1"/>
          <w:w w:val="105"/>
          <w:lang w:val="en-GB"/>
        </w:rPr>
        <w:t xml:space="preserve">or </w:t>
      </w:r>
      <w:r w:rsidR="006D2F27">
        <w:rPr>
          <w:spacing w:val="-1"/>
          <w:w w:val="105"/>
          <w:lang w:val="en-GB"/>
        </w:rPr>
        <w:t>with a ‘malignant’ left-right arterial canal.</w:t>
      </w:r>
    </w:p>
    <w:p w:rsidR="00F4609F" w:rsidRDefault="00F4609F" w:rsidP="0013391A">
      <w:pPr>
        <w:pStyle w:val="Heading2"/>
        <w:rPr>
          <w:bCs/>
        </w:rPr>
      </w:pPr>
      <w:r w:rsidRPr="000E3C97">
        <w:rPr>
          <w:bCs/>
        </w:rPr>
        <w:t>PRECAUTIONS</w:t>
      </w:r>
    </w:p>
    <w:p w:rsidR="00D53C37" w:rsidRPr="00604FD7" w:rsidRDefault="00D53C37" w:rsidP="00604FD7">
      <w:pPr>
        <w:pStyle w:val="Heading3"/>
      </w:pPr>
      <w:r w:rsidRPr="00604FD7">
        <w:t xml:space="preserve">DO NOT USE </w:t>
      </w:r>
      <w:proofErr w:type="spellStart"/>
      <w:r w:rsidRPr="00604FD7">
        <w:t>VasoKINOX</w:t>
      </w:r>
      <w:proofErr w:type="spellEnd"/>
      <w:r w:rsidRPr="00604FD7">
        <w:t xml:space="preserve"> undiluted.</w:t>
      </w:r>
    </w:p>
    <w:p w:rsidR="009739A8" w:rsidRPr="00604FD7" w:rsidRDefault="00E7129E" w:rsidP="0013391A">
      <w:pPr>
        <w:widowControl w:val="0"/>
        <w:autoSpaceDE w:val="0"/>
        <w:autoSpaceDN w:val="0"/>
        <w:adjustRightInd w:val="0"/>
        <w:spacing w:after="0"/>
        <w:ind w:right="6"/>
        <w:jc w:val="both"/>
        <w:rPr>
          <w:rFonts w:cs="Calibri"/>
          <w:bCs/>
          <w:i/>
        </w:rPr>
      </w:pPr>
      <w:proofErr w:type="spellStart"/>
      <w:r w:rsidRPr="00604FD7">
        <w:rPr>
          <w:rFonts w:cs="Calibri"/>
          <w:bCs/>
          <w:i/>
        </w:rPr>
        <w:t>VasoKINOX</w:t>
      </w:r>
      <w:proofErr w:type="spellEnd"/>
      <w:r w:rsidR="00756486" w:rsidRPr="00604FD7">
        <w:rPr>
          <w:rFonts w:cs="Calibri"/>
          <w:bCs/>
          <w:i/>
        </w:rPr>
        <w:t xml:space="preserve"> is delivered to the patient via mechanical ventilation after dilution with an oxygen/air mixture using an approved </w:t>
      </w:r>
      <w:r w:rsidR="00E03DEE" w:rsidRPr="00604FD7">
        <w:rPr>
          <w:rFonts w:cs="Calibri"/>
          <w:bCs/>
          <w:i/>
        </w:rPr>
        <w:t>NO</w:t>
      </w:r>
      <w:r w:rsidR="00756486" w:rsidRPr="00604FD7">
        <w:rPr>
          <w:rFonts w:cs="Calibri"/>
          <w:bCs/>
          <w:i/>
        </w:rPr>
        <w:t xml:space="preserve"> gas delivery system provided by the sponsor that meets the criteria specified in the Dosage and Administration Section.  The controlled flow of 450ppm </w:t>
      </w:r>
      <w:proofErr w:type="spellStart"/>
      <w:r w:rsidRPr="00604FD7">
        <w:rPr>
          <w:rFonts w:cs="Calibri"/>
          <w:bCs/>
          <w:i/>
        </w:rPr>
        <w:t>VasoKINOX</w:t>
      </w:r>
      <w:proofErr w:type="spellEnd"/>
      <w:r w:rsidR="00756486" w:rsidRPr="00604FD7">
        <w:rPr>
          <w:rFonts w:cs="Calibri"/>
          <w:bCs/>
          <w:i/>
        </w:rPr>
        <w:t xml:space="preserve"> is delivered to the ventilator circuit via the injector tube where it is diluted by the ventilator gas flow to the concentration set by the operator.  This concentration must not exceed </w:t>
      </w:r>
      <w:r w:rsidR="00E03DEE" w:rsidRPr="00604FD7">
        <w:rPr>
          <w:rFonts w:cs="Calibri"/>
          <w:bCs/>
          <w:i/>
        </w:rPr>
        <w:t>2</w:t>
      </w:r>
      <w:r w:rsidR="00756486" w:rsidRPr="00604FD7">
        <w:rPr>
          <w:rFonts w:cs="Calibri"/>
          <w:bCs/>
          <w:i/>
        </w:rPr>
        <w:t>0 ppm.  The delivery system must provide a constant inhaled nitric oxide concentration irrespective of the ventilator.</w:t>
      </w:r>
    </w:p>
    <w:p w:rsidR="00B4621F" w:rsidRPr="00B4621F" w:rsidRDefault="00E03DEE" w:rsidP="00604FD7">
      <w:pPr>
        <w:pStyle w:val="Heading3"/>
        <w:keepNext/>
        <w:rPr>
          <w:w w:val="105"/>
          <w:lang w:val="en-GB"/>
        </w:rPr>
      </w:pPr>
      <w:r>
        <w:rPr>
          <w:w w:val="105"/>
          <w:lang w:val="en-GB"/>
        </w:rPr>
        <w:t>Rebound pulmonary hypertension syndrome following abrupt discontinuation</w:t>
      </w:r>
    </w:p>
    <w:p w:rsidR="00FD5EA7" w:rsidRDefault="00E7129E" w:rsidP="0013391A">
      <w:pPr>
        <w:rPr>
          <w:rFonts w:cs="Calibri"/>
        </w:rPr>
      </w:pPr>
      <w:proofErr w:type="spellStart"/>
      <w:r>
        <w:rPr>
          <w:w w:val="105"/>
          <w:lang w:val="en-GB"/>
        </w:rPr>
        <w:t>VasoKINOX</w:t>
      </w:r>
      <w:proofErr w:type="spellEnd"/>
      <w:r w:rsidR="00B4621F" w:rsidRPr="0023388B">
        <w:rPr>
          <w:w w:val="105"/>
          <w:lang w:val="en-GB"/>
        </w:rPr>
        <w:t xml:space="preserve"> treatment must not be stopped abruptly to avoid the risk of increasing </w:t>
      </w:r>
      <w:r w:rsidR="00B4621F" w:rsidRPr="00B4621F">
        <w:rPr>
          <w:w w:val="105"/>
          <w:lang w:val="en-GB"/>
        </w:rPr>
        <w:t>PAP and/or inducing rebound hypox</w:t>
      </w:r>
      <w:r w:rsidR="00A675EF">
        <w:rPr>
          <w:w w:val="105"/>
          <w:lang w:val="en-GB"/>
        </w:rPr>
        <w:t>a</w:t>
      </w:r>
      <w:r w:rsidR="00B4621F" w:rsidRPr="00B4621F">
        <w:rPr>
          <w:w w:val="105"/>
          <w:lang w:val="en-GB"/>
        </w:rPr>
        <w:t>emia (reduction in PaO</w:t>
      </w:r>
      <w:r w:rsidR="00B4621F" w:rsidRPr="00B85F7C">
        <w:rPr>
          <w:w w:val="105"/>
          <w:vertAlign w:val="subscript"/>
          <w:lang w:val="en-GB"/>
        </w:rPr>
        <w:t>2</w:t>
      </w:r>
      <w:r w:rsidR="00B4621F" w:rsidRPr="00B4621F">
        <w:rPr>
          <w:w w:val="105"/>
          <w:lang w:val="en-GB"/>
        </w:rPr>
        <w:t xml:space="preserve">). </w:t>
      </w:r>
      <w:r w:rsidR="00183114" w:rsidRPr="00183114">
        <w:rPr>
          <w:w w:val="105"/>
          <w:lang w:val="en-GB"/>
        </w:rPr>
        <w:t xml:space="preserve"> </w:t>
      </w:r>
      <w:r w:rsidR="00183114" w:rsidRPr="00B4621F">
        <w:rPr>
          <w:w w:val="105"/>
          <w:lang w:val="en-GB"/>
        </w:rPr>
        <w:t>Whe</w:t>
      </w:r>
      <w:r w:rsidR="00183114">
        <w:rPr>
          <w:w w:val="105"/>
          <w:lang w:val="en-GB"/>
        </w:rPr>
        <w:t>n</w:t>
      </w:r>
      <w:r w:rsidR="00183114" w:rsidRPr="00B4621F">
        <w:rPr>
          <w:w w:val="105"/>
          <w:lang w:val="en-GB"/>
        </w:rPr>
        <w:t xml:space="preserve"> patients treated with </w:t>
      </w:r>
      <w:proofErr w:type="spellStart"/>
      <w:r w:rsidR="00183114" w:rsidRPr="00B4621F">
        <w:rPr>
          <w:w w:val="105"/>
          <w:lang w:val="en-GB"/>
        </w:rPr>
        <w:t>i</w:t>
      </w:r>
      <w:r w:rsidR="00183114">
        <w:rPr>
          <w:w w:val="105"/>
          <w:lang w:val="en-GB"/>
        </w:rPr>
        <w:t>NO</w:t>
      </w:r>
      <w:proofErr w:type="spellEnd"/>
      <w:r w:rsidR="00183114" w:rsidRPr="00B4621F">
        <w:rPr>
          <w:w w:val="105"/>
          <w:lang w:val="en-GB"/>
        </w:rPr>
        <w:t xml:space="preserve"> are to be trans</w:t>
      </w:r>
      <w:r w:rsidR="00183114">
        <w:rPr>
          <w:w w:val="105"/>
          <w:lang w:val="en-GB"/>
        </w:rPr>
        <w:t>port</w:t>
      </w:r>
      <w:r w:rsidR="00183114" w:rsidRPr="00B4621F">
        <w:rPr>
          <w:w w:val="105"/>
          <w:lang w:val="en-GB"/>
        </w:rPr>
        <w:t xml:space="preserve">ed, continuous administration of </w:t>
      </w:r>
      <w:proofErr w:type="spellStart"/>
      <w:r w:rsidR="00183114" w:rsidRPr="00B4621F">
        <w:rPr>
          <w:w w:val="105"/>
          <w:lang w:val="en-GB"/>
        </w:rPr>
        <w:t>i</w:t>
      </w:r>
      <w:r w:rsidR="00183114">
        <w:rPr>
          <w:w w:val="105"/>
          <w:lang w:val="en-GB"/>
        </w:rPr>
        <w:t>NO</w:t>
      </w:r>
      <w:proofErr w:type="spellEnd"/>
      <w:r w:rsidR="00183114" w:rsidRPr="00B4621F">
        <w:rPr>
          <w:w w:val="105"/>
          <w:lang w:val="en-GB"/>
        </w:rPr>
        <w:t xml:space="preserve"> should be ensured throughout the </w:t>
      </w:r>
      <w:r w:rsidR="00183114">
        <w:rPr>
          <w:w w:val="105"/>
          <w:lang w:val="en-GB"/>
        </w:rPr>
        <w:t>transport</w:t>
      </w:r>
      <w:r w:rsidR="00183114" w:rsidRPr="00B4621F">
        <w:rPr>
          <w:w w:val="105"/>
          <w:lang w:val="en-GB"/>
        </w:rPr>
        <w:t>.</w:t>
      </w:r>
      <w:r w:rsidR="00183114">
        <w:rPr>
          <w:w w:val="105"/>
          <w:lang w:val="en-GB"/>
        </w:rPr>
        <w:t xml:space="preserve"> </w:t>
      </w:r>
      <w:r w:rsidR="0095722B" w:rsidRPr="00B4621F">
        <w:rPr>
          <w:w w:val="105"/>
          <w:lang w:val="en-GB"/>
        </w:rPr>
        <w:lastRenderedPageBreak/>
        <w:t xml:space="preserve">Weaning from </w:t>
      </w:r>
      <w:proofErr w:type="spellStart"/>
      <w:r w:rsidR="0095722B" w:rsidRPr="00B4621F">
        <w:rPr>
          <w:w w:val="105"/>
          <w:lang w:val="en-GB"/>
        </w:rPr>
        <w:t>i</w:t>
      </w:r>
      <w:r w:rsidR="0095722B">
        <w:rPr>
          <w:w w:val="105"/>
          <w:lang w:val="en-GB"/>
        </w:rPr>
        <w:t>NO</w:t>
      </w:r>
      <w:proofErr w:type="spellEnd"/>
      <w:r w:rsidR="0095722B" w:rsidRPr="00B4621F">
        <w:rPr>
          <w:w w:val="105"/>
          <w:lang w:val="en-GB"/>
        </w:rPr>
        <w:t xml:space="preserve"> must be progressive and carried out with precaution. </w:t>
      </w:r>
      <w:r w:rsidR="00183114">
        <w:rPr>
          <w:w w:val="105"/>
          <w:lang w:val="en-GB"/>
        </w:rPr>
        <w:t xml:space="preserve">Inhaled NO therapy should be </w:t>
      </w:r>
      <w:r w:rsidR="00183114">
        <w:t>re-instated if rebound PHT occurs</w:t>
      </w:r>
      <w:r w:rsidR="00183114">
        <w:rPr>
          <w:rFonts w:cs="Calibri"/>
        </w:rPr>
        <w:t xml:space="preserve"> </w:t>
      </w:r>
      <w:r w:rsidR="00686002" w:rsidRPr="00B4621F">
        <w:rPr>
          <w:w w:val="105"/>
          <w:lang w:val="en-GB"/>
        </w:rPr>
        <w:t xml:space="preserve">(see </w:t>
      </w:r>
      <w:r w:rsidR="00686002">
        <w:rPr>
          <w:w w:val="105"/>
          <w:lang w:val="en-GB"/>
        </w:rPr>
        <w:t>DOSAGE AND ADMINISTRATION</w:t>
      </w:r>
      <w:r w:rsidR="00686002" w:rsidRPr="00B4621F">
        <w:rPr>
          <w:w w:val="105"/>
          <w:lang w:val="en-GB"/>
        </w:rPr>
        <w:t>)</w:t>
      </w:r>
      <w:r w:rsidR="00686002" w:rsidRPr="009E7D18">
        <w:rPr>
          <w:rFonts w:cs="Calibri"/>
        </w:rPr>
        <w:t>.</w:t>
      </w:r>
    </w:p>
    <w:p w:rsidR="00B85F7C" w:rsidRPr="00B85F7C" w:rsidRDefault="00B85F7C" w:rsidP="0013391A">
      <w:pPr>
        <w:rPr>
          <w:w w:val="105"/>
          <w:lang w:val="en-GB"/>
        </w:rPr>
      </w:pPr>
      <w:r w:rsidRPr="00B85F7C">
        <w:rPr>
          <w:w w:val="105"/>
          <w:lang w:val="en-GB"/>
        </w:rPr>
        <w:t xml:space="preserve">Deterioration in oxygenation and elevation in PAP may also occur in patients who are not responsive to </w:t>
      </w:r>
      <w:proofErr w:type="spellStart"/>
      <w:r w:rsidR="00E7129E">
        <w:rPr>
          <w:w w:val="105"/>
          <w:lang w:val="en-GB"/>
        </w:rPr>
        <w:t>VasoKINOX</w:t>
      </w:r>
      <w:proofErr w:type="spellEnd"/>
      <w:r w:rsidRPr="00B85F7C">
        <w:rPr>
          <w:w w:val="105"/>
          <w:lang w:val="en-GB"/>
        </w:rPr>
        <w:t>.</w:t>
      </w:r>
    </w:p>
    <w:p w:rsidR="00FD5EA7" w:rsidRDefault="00590B0A" w:rsidP="0013391A">
      <w:pPr>
        <w:pStyle w:val="Heading3"/>
        <w:rPr>
          <w:w w:val="105"/>
          <w:lang w:val="en-GB"/>
        </w:rPr>
      </w:pPr>
      <w:r w:rsidRPr="00B4621F">
        <w:rPr>
          <w:w w:val="105"/>
          <w:lang w:val="en-GB"/>
        </w:rPr>
        <w:t>Meth</w:t>
      </w:r>
      <w:r>
        <w:rPr>
          <w:w w:val="105"/>
          <w:lang w:val="en-GB"/>
        </w:rPr>
        <w:t>a</w:t>
      </w:r>
      <w:r w:rsidRPr="00B4621F">
        <w:rPr>
          <w:w w:val="105"/>
          <w:lang w:val="en-GB"/>
        </w:rPr>
        <w:t>emoglobin production:</w:t>
      </w:r>
    </w:p>
    <w:p w:rsidR="00590B0A" w:rsidRPr="00B4621F" w:rsidRDefault="00590B0A" w:rsidP="0013391A">
      <w:pPr>
        <w:rPr>
          <w:w w:val="105"/>
          <w:lang w:val="en-GB"/>
        </w:rPr>
      </w:pPr>
      <w:r w:rsidRPr="0023388B">
        <w:rPr>
          <w:w w:val="105"/>
          <w:lang w:val="en-GB"/>
        </w:rPr>
        <w:t xml:space="preserve">After inhalation, the terminal compounds of nitric oxide found in the systemic circulation are mainly </w:t>
      </w:r>
      <w:r w:rsidRPr="00B4621F">
        <w:rPr>
          <w:w w:val="105"/>
          <w:lang w:val="en-GB"/>
        </w:rPr>
        <w:t>meth</w:t>
      </w:r>
      <w:r>
        <w:rPr>
          <w:w w:val="105"/>
          <w:lang w:val="en-GB"/>
        </w:rPr>
        <w:t>a</w:t>
      </w:r>
      <w:r w:rsidRPr="00B4621F">
        <w:rPr>
          <w:w w:val="105"/>
          <w:lang w:val="en-GB"/>
        </w:rPr>
        <w:t>emoglobin and nitrate. Meth</w:t>
      </w:r>
      <w:r>
        <w:rPr>
          <w:w w:val="105"/>
          <w:lang w:val="en-GB"/>
        </w:rPr>
        <w:t>a</w:t>
      </w:r>
      <w:r w:rsidRPr="00B4621F">
        <w:rPr>
          <w:w w:val="105"/>
          <w:lang w:val="en-GB"/>
        </w:rPr>
        <w:t>emoglobin concentration in the blood should be monitored in all patients.</w:t>
      </w:r>
    </w:p>
    <w:p w:rsidR="00590B0A" w:rsidRPr="00B4621F" w:rsidRDefault="00590B0A" w:rsidP="0013391A">
      <w:pPr>
        <w:rPr>
          <w:w w:val="105"/>
          <w:lang w:val="en-GB"/>
        </w:rPr>
      </w:pPr>
      <w:r w:rsidRPr="00B4621F">
        <w:rPr>
          <w:w w:val="105"/>
          <w:lang w:val="en-GB"/>
        </w:rPr>
        <w:t>Although a significant increase in meth</w:t>
      </w:r>
      <w:r>
        <w:rPr>
          <w:w w:val="105"/>
          <w:lang w:val="en-GB"/>
        </w:rPr>
        <w:t>a</w:t>
      </w:r>
      <w:r w:rsidRPr="00B4621F">
        <w:rPr>
          <w:w w:val="105"/>
          <w:lang w:val="en-GB"/>
        </w:rPr>
        <w:t>emoglobin is uncommon where its initial level is low, this should be tested prior to treatment, then regularly throughout administration. If the meth</w:t>
      </w:r>
      <w:r>
        <w:rPr>
          <w:w w:val="105"/>
          <w:lang w:val="en-GB"/>
        </w:rPr>
        <w:t>a</w:t>
      </w:r>
      <w:r w:rsidRPr="00B4621F">
        <w:rPr>
          <w:w w:val="105"/>
          <w:lang w:val="en-GB"/>
        </w:rPr>
        <w:t xml:space="preserve">emoglobin level exceeds 2.5%, the </w:t>
      </w:r>
      <w:r>
        <w:rPr>
          <w:w w:val="105"/>
          <w:lang w:val="en-GB"/>
        </w:rPr>
        <w:t>NO</w:t>
      </w:r>
      <w:r w:rsidRPr="00B4621F">
        <w:rPr>
          <w:w w:val="105"/>
          <w:lang w:val="en-GB"/>
        </w:rPr>
        <w:t xml:space="preserve"> dosage must be reduced. If it exceeds 5%, administration must be stopped. The administration of a reducing agent such as methylene blue should be </w:t>
      </w:r>
      <w:r>
        <w:rPr>
          <w:w w:val="105"/>
          <w:lang w:val="en-GB"/>
        </w:rPr>
        <w:t>considered</w:t>
      </w:r>
      <w:r w:rsidRPr="00B4621F">
        <w:rPr>
          <w:w w:val="105"/>
          <w:lang w:val="en-GB"/>
        </w:rPr>
        <w:t>.</w:t>
      </w:r>
    </w:p>
    <w:p w:rsidR="00590B0A" w:rsidRPr="00B85F7C" w:rsidRDefault="00590B0A" w:rsidP="0013391A">
      <w:pPr>
        <w:pStyle w:val="Heading3"/>
        <w:rPr>
          <w:w w:val="105"/>
          <w:lang w:val="en-GB"/>
        </w:rPr>
      </w:pPr>
      <w:r w:rsidRPr="00B85F7C">
        <w:rPr>
          <w:w w:val="105"/>
          <w:lang w:val="en-GB"/>
        </w:rPr>
        <w:t>Formation of NO</w:t>
      </w:r>
      <w:r w:rsidRPr="00B85F7C">
        <w:rPr>
          <w:w w:val="105"/>
          <w:vertAlign w:val="subscript"/>
          <w:lang w:val="en-GB"/>
        </w:rPr>
        <w:t>2</w:t>
      </w:r>
      <w:r w:rsidRPr="00B85F7C">
        <w:rPr>
          <w:w w:val="105"/>
          <w:lang w:val="en-GB"/>
        </w:rPr>
        <w:t>:</w:t>
      </w:r>
    </w:p>
    <w:p w:rsidR="00590B0A" w:rsidRPr="00B85F7C" w:rsidRDefault="00590B0A" w:rsidP="0013391A">
      <w:pPr>
        <w:rPr>
          <w:w w:val="105"/>
          <w:lang w:val="en-GB"/>
        </w:rPr>
      </w:pPr>
      <w:r w:rsidRPr="00B85F7C">
        <w:rPr>
          <w:w w:val="105"/>
          <w:lang w:val="en-GB"/>
        </w:rPr>
        <w:t>NO</w:t>
      </w:r>
      <w:r w:rsidRPr="00B85F7C">
        <w:rPr>
          <w:w w:val="105"/>
          <w:vertAlign w:val="subscript"/>
          <w:lang w:val="en-GB"/>
        </w:rPr>
        <w:t>2</w:t>
      </w:r>
      <w:r w:rsidRPr="00B85F7C">
        <w:rPr>
          <w:w w:val="105"/>
          <w:lang w:val="en-GB"/>
        </w:rPr>
        <w:t xml:space="preserve"> rapidly forms in gas mixtures containing </w:t>
      </w:r>
      <w:r>
        <w:rPr>
          <w:w w:val="105"/>
          <w:lang w:val="en-GB"/>
        </w:rPr>
        <w:t>NO</w:t>
      </w:r>
      <w:r w:rsidRPr="00B85F7C">
        <w:rPr>
          <w:w w:val="105"/>
          <w:lang w:val="en-GB"/>
        </w:rPr>
        <w:t xml:space="preserve"> and </w:t>
      </w:r>
      <w:proofErr w:type="gramStart"/>
      <w:r w:rsidRPr="00B85F7C">
        <w:rPr>
          <w:w w:val="105"/>
          <w:lang w:val="en-GB"/>
        </w:rPr>
        <w:t>O</w:t>
      </w:r>
      <w:r w:rsidRPr="00B85F7C">
        <w:rPr>
          <w:w w:val="105"/>
          <w:vertAlign w:val="subscript"/>
          <w:lang w:val="en-GB"/>
        </w:rPr>
        <w:t>2</w:t>
      </w:r>
      <w:r w:rsidRPr="00B85F7C">
        <w:rPr>
          <w:w w:val="105"/>
          <w:lang w:val="en-GB"/>
        </w:rPr>
        <w:t>,</w:t>
      </w:r>
      <w:proofErr w:type="gramEnd"/>
      <w:r w:rsidRPr="00B85F7C">
        <w:rPr>
          <w:w w:val="105"/>
          <w:lang w:val="en-GB"/>
        </w:rPr>
        <w:t xml:space="preserve"> and </w:t>
      </w:r>
      <w:r>
        <w:rPr>
          <w:w w:val="105"/>
          <w:lang w:val="en-GB"/>
        </w:rPr>
        <w:t>NO</w:t>
      </w:r>
      <w:r w:rsidRPr="00B85F7C">
        <w:rPr>
          <w:w w:val="105"/>
          <w:lang w:val="en-GB"/>
        </w:rPr>
        <w:t xml:space="preserve"> may in this way cause airway inflammation and damage. The dose of </w:t>
      </w:r>
      <w:r>
        <w:rPr>
          <w:w w:val="105"/>
          <w:lang w:val="en-GB"/>
        </w:rPr>
        <w:t>NO</w:t>
      </w:r>
      <w:r w:rsidRPr="00B85F7C">
        <w:rPr>
          <w:w w:val="105"/>
          <w:lang w:val="en-GB"/>
        </w:rPr>
        <w:t xml:space="preserve"> should be reduced if the concentration of </w:t>
      </w:r>
      <w:r>
        <w:rPr>
          <w:w w:val="105"/>
          <w:lang w:val="en-GB"/>
        </w:rPr>
        <w:t>NO</w:t>
      </w:r>
      <w:r w:rsidRPr="00DC33E3">
        <w:rPr>
          <w:w w:val="105"/>
          <w:vertAlign w:val="subscript"/>
          <w:lang w:val="en-GB"/>
        </w:rPr>
        <w:t>2</w:t>
      </w:r>
      <w:r w:rsidRPr="00B85F7C">
        <w:rPr>
          <w:w w:val="105"/>
          <w:lang w:val="en-GB"/>
        </w:rPr>
        <w:t xml:space="preserve"> exceeds </w:t>
      </w:r>
      <w:r>
        <w:rPr>
          <w:w w:val="105"/>
          <w:lang w:val="en-GB"/>
        </w:rPr>
        <w:t>0.5ppm (see</w:t>
      </w:r>
      <w:r w:rsidRPr="00B85F7C">
        <w:rPr>
          <w:w w:val="105"/>
          <w:lang w:val="en-GB"/>
        </w:rPr>
        <w:t xml:space="preserve"> </w:t>
      </w:r>
      <w:r>
        <w:rPr>
          <w:rFonts w:cs="Calibri"/>
        </w:rPr>
        <w:t>DOSAGE AND ADMINISTRATION)</w:t>
      </w:r>
      <w:r>
        <w:rPr>
          <w:w w:val="105"/>
          <w:lang w:val="en-GB"/>
        </w:rPr>
        <w:t>.</w:t>
      </w:r>
    </w:p>
    <w:p w:rsidR="00FD5EA7" w:rsidRDefault="00B4621F" w:rsidP="0013391A">
      <w:pPr>
        <w:pStyle w:val="Heading3"/>
        <w:rPr>
          <w:w w:val="105"/>
          <w:lang w:val="en-GB"/>
        </w:rPr>
      </w:pPr>
      <w:r w:rsidRPr="00B4621F">
        <w:rPr>
          <w:w w:val="105"/>
          <w:lang w:val="en-GB"/>
        </w:rPr>
        <w:t>Special patient populations</w:t>
      </w:r>
    </w:p>
    <w:p w:rsidR="00590B0A" w:rsidRDefault="00590B0A" w:rsidP="00604FD7">
      <w:pPr>
        <w:pStyle w:val="Heading4"/>
        <w:rPr>
          <w:w w:val="105"/>
          <w:lang w:val="en-GB"/>
        </w:rPr>
      </w:pPr>
      <w:r>
        <w:rPr>
          <w:w w:val="105"/>
          <w:lang w:val="en-GB"/>
        </w:rPr>
        <w:t>-Left ventricular dysfunction</w:t>
      </w:r>
    </w:p>
    <w:p w:rsidR="00B85F7C" w:rsidRDefault="00B85F7C" w:rsidP="0013391A">
      <w:pPr>
        <w:rPr>
          <w:w w:val="105"/>
          <w:lang w:val="en-GB"/>
        </w:rPr>
      </w:pPr>
      <w:r w:rsidRPr="00B85F7C">
        <w:rPr>
          <w:w w:val="105"/>
          <w:lang w:val="en-GB"/>
        </w:rPr>
        <w:t>Inhaled nitric oxide should also be used with caution in patients with compromised left ventricular function and with elevated baseline pulmonary capillary wedge pressure as they may be at an increased risk of developing cardiac failure (e.g. pulmonary oedema).</w:t>
      </w:r>
      <w:r w:rsidR="004A49EF">
        <w:rPr>
          <w:w w:val="105"/>
          <w:lang w:val="en-GB"/>
        </w:rPr>
        <w:t xml:space="preserve">  Severe hypotension, bradycardia and cardiac arrest have been reported in this patient group.</w:t>
      </w:r>
    </w:p>
    <w:p w:rsidR="00590B0A" w:rsidRPr="00B85F7C" w:rsidRDefault="00590B0A" w:rsidP="00604FD7">
      <w:pPr>
        <w:pStyle w:val="Heading4"/>
        <w:rPr>
          <w:w w:val="105"/>
          <w:lang w:val="en-GB"/>
        </w:rPr>
      </w:pPr>
      <w:r>
        <w:rPr>
          <w:w w:val="105"/>
          <w:lang w:val="en-GB"/>
        </w:rPr>
        <w:t>-Cardiac insufficiency</w:t>
      </w:r>
    </w:p>
    <w:p w:rsidR="00B4621F" w:rsidRPr="00B4621F" w:rsidRDefault="00B4621F" w:rsidP="0013391A">
      <w:pPr>
        <w:rPr>
          <w:w w:val="105"/>
          <w:lang w:val="en-GB"/>
        </w:rPr>
      </w:pPr>
      <w:r w:rsidRPr="00B4621F">
        <w:rPr>
          <w:w w:val="105"/>
          <w:lang w:val="en-GB"/>
        </w:rPr>
        <w:t xml:space="preserve">Treatment with </w:t>
      </w:r>
      <w:proofErr w:type="spellStart"/>
      <w:r w:rsidRPr="00B4621F">
        <w:rPr>
          <w:w w:val="105"/>
          <w:lang w:val="en-GB"/>
        </w:rPr>
        <w:t>i</w:t>
      </w:r>
      <w:r w:rsidR="00590B0A">
        <w:rPr>
          <w:w w:val="105"/>
          <w:lang w:val="en-GB"/>
        </w:rPr>
        <w:t>NO</w:t>
      </w:r>
      <w:proofErr w:type="spellEnd"/>
      <w:r w:rsidRPr="00B4621F">
        <w:rPr>
          <w:w w:val="105"/>
          <w:lang w:val="en-GB"/>
        </w:rPr>
        <w:t xml:space="preserve"> might aggravate cardiac insufficiency in a situation with left-to-right shunting.</w:t>
      </w:r>
    </w:p>
    <w:p w:rsidR="00B85F7C" w:rsidRDefault="00B85F7C" w:rsidP="0013391A">
      <w:pPr>
        <w:rPr>
          <w:w w:val="105"/>
          <w:lang w:val="en-GB"/>
        </w:rPr>
      </w:pPr>
      <w:r w:rsidRPr="00B85F7C">
        <w:rPr>
          <w:w w:val="105"/>
          <w:lang w:val="en-GB"/>
        </w:rPr>
        <w:t xml:space="preserve">This is due to unwanted pulmonary vasodilation caused by </w:t>
      </w:r>
      <w:proofErr w:type="spellStart"/>
      <w:r w:rsidR="00375DED">
        <w:rPr>
          <w:w w:val="105"/>
          <w:lang w:val="en-GB"/>
        </w:rPr>
        <w:t>iNO</w:t>
      </w:r>
      <w:proofErr w:type="spellEnd"/>
      <w:r w:rsidRPr="00B85F7C">
        <w:rPr>
          <w:w w:val="105"/>
          <w:lang w:val="en-GB"/>
        </w:rPr>
        <w:t xml:space="preserve">, resulting in a further increase of already existing pulmonary </w:t>
      </w:r>
      <w:proofErr w:type="spellStart"/>
      <w:r w:rsidRPr="00B85F7C">
        <w:rPr>
          <w:w w:val="105"/>
          <w:lang w:val="en-GB"/>
        </w:rPr>
        <w:t>hyperperfusion</w:t>
      </w:r>
      <w:proofErr w:type="spellEnd"/>
      <w:r w:rsidRPr="00B85F7C">
        <w:rPr>
          <w:w w:val="105"/>
          <w:lang w:val="en-GB"/>
        </w:rPr>
        <w:t xml:space="preserve"> thus potentially giving rise to forward or backward failure. It, therefore, is recommended that prior to the administration of </w:t>
      </w:r>
      <w:r w:rsidR="00DC33E3">
        <w:rPr>
          <w:w w:val="105"/>
          <w:lang w:val="en-GB"/>
        </w:rPr>
        <w:t>NO</w:t>
      </w:r>
      <w:r w:rsidRPr="00B85F7C">
        <w:rPr>
          <w:w w:val="105"/>
          <w:lang w:val="en-GB"/>
        </w:rPr>
        <w:t xml:space="preserve">, pulmonary artery catheterisation or echocardiographic examination of central </w:t>
      </w:r>
      <w:proofErr w:type="spellStart"/>
      <w:r w:rsidRPr="00B85F7C">
        <w:rPr>
          <w:w w:val="105"/>
          <w:lang w:val="en-GB"/>
        </w:rPr>
        <w:t>haemodynamics</w:t>
      </w:r>
      <w:proofErr w:type="spellEnd"/>
      <w:r w:rsidRPr="00B85F7C">
        <w:rPr>
          <w:w w:val="105"/>
          <w:lang w:val="en-GB"/>
        </w:rPr>
        <w:t xml:space="preserve"> be performed.</w:t>
      </w:r>
    </w:p>
    <w:p w:rsidR="00590B0A" w:rsidRPr="00B85F7C" w:rsidRDefault="00590B0A" w:rsidP="00604FD7">
      <w:pPr>
        <w:pStyle w:val="Heading4"/>
        <w:rPr>
          <w:w w:val="105"/>
          <w:lang w:val="en-GB"/>
        </w:rPr>
      </w:pPr>
      <w:r>
        <w:rPr>
          <w:w w:val="105"/>
          <w:lang w:val="en-GB"/>
        </w:rPr>
        <w:t>- Complex heart defect</w:t>
      </w:r>
    </w:p>
    <w:p w:rsidR="00B85F7C" w:rsidRDefault="00B85F7C" w:rsidP="0013391A">
      <w:pPr>
        <w:rPr>
          <w:w w:val="105"/>
          <w:lang w:val="en-GB"/>
        </w:rPr>
      </w:pPr>
      <w:r w:rsidRPr="00B85F7C">
        <w:rPr>
          <w:w w:val="105"/>
          <w:lang w:val="en-GB"/>
        </w:rPr>
        <w:t>Inhaled nitric oxide should be used with caution in patients with complex heart defect, where high pressure in the pulmonary artery is of importance for maintaining circulation</w:t>
      </w:r>
      <w:r w:rsidR="00590B0A">
        <w:rPr>
          <w:w w:val="105"/>
          <w:lang w:val="en-GB"/>
        </w:rPr>
        <w:t>.</w:t>
      </w:r>
    </w:p>
    <w:p w:rsidR="00FD5EA7" w:rsidRDefault="00B4621F" w:rsidP="0013391A">
      <w:pPr>
        <w:pStyle w:val="Heading3"/>
        <w:rPr>
          <w:w w:val="105"/>
          <w:lang w:val="en-GB"/>
        </w:rPr>
      </w:pPr>
      <w:r w:rsidRPr="00B4621F">
        <w:rPr>
          <w:w w:val="105"/>
          <w:lang w:val="en-GB"/>
        </w:rPr>
        <w:t>H</w:t>
      </w:r>
      <w:r w:rsidR="00B85F7C">
        <w:rPr>
          <w:w w:val="105"/>
          <w:lang w:val="en-GB"/>
        </w:rPr>
        <w:t>a</w:t>
      </w:r>
      <w:r w:rsidRPr="00B4621F">
        <w:rPr>
          <w:w w:val="105"/>
          <w:lang w:val="en-GB"/>
        </w:rPr>
        <w:t>emostasis monitoring:</w:t>
      </w:r>
    </w:p>
    <w:p w:rsidR="00B4621F" w:rsidRPr="00B4621F" w:rsidRDefault="00B4621F" w:rsidP="0013391A">
      <w:pPr>
        <w:rPr>
          <w:w w:val="105"/>
          <w:lang w:val="en-GB"/>
        </w:rPr>
      </w:pPr>
      <w:r w:rsidRPr="00B4621F">
        <w:rPr>
          <w:w w:val="105"/>
          <w:lang w:val="en-GB"/>
        </w:rPr>
        <w:t>Regular monitoring of h</w:t>
      </w:r>
      <w:r w:rsidR="00B85F7C">
        <w:rPr>
          <w:w w:val="105"/>
          <w:lang w:val="en-GB"/>
        </w:rPr>
        <w:t>a</w:t>
      </w:r>
      <w:r w:rsidRPr="00B4621F">
        <w:rPr>
          <w:w w:val="105"/>
          <w:lang w:val="en-GB"/>
        </w:rPr>
        <w:t xml:space="preserve">emostasis and measurement of bleeding time is recommended during the administration of </w:t>
      </w:r>
      <w:proofErr w:type="spellStart"/>
      <w:r w:rsidR="00E7129E">
        <w:rPr>
          <w:w w:val="105"/>
          <w:lang w:val="en-GB"/>
        </w:rPr>
        <w:t>VasoKINOX</w:t>
      </w:r>
      <w:proofErr w:type="spellEnd"/>
      <w:r w:rsidRPr="00B4621F">
        <w:rPr>
          <w:w w:val="105"/>
          <w:lang w:val="en-GB"/>
        </w:rPr>
        <w:t xml:space="preserve"> for more than 24 hours to patients with functional or quantitative platelet anomalies, a low coagulation factor or receiving anticoagulation treatment. Animal testing has shown that </w:t>
      </w:r>
      <w:proofErr w:type="spellStart"/>
      <w:r w:rsidR="00375DED">
        <w:rPr>
          <w:w w:val="105"/>
          <w:lang w:val="en-GB"/>
        </w:rPr>
        <w:t>iNO</w:t>
      </w:r>
      <w:proofErr w:type="spellEnd"/>
      <w:r w:rsidRPr="00B4621F">
        <w:rPr>
          <w:w w:val="105"/>
          <w:lang w:val="en-GB"/>
        </w:rPr>
        <w:t xml:space="preserve"> is likely to interfere with h</w:t>
      </w:r>
      <w:r w:rsidR="00B85F7C">
        <w:rPr>
          <w:w w:val="105"/>
          <w:lang w:val="en-GB"/>
        </w:rPr>
        <w:t>a</w:t>
      </w:r>
      <w:r w:rsidRPr="00B4621F">
        <w:rPr>
          <w:w w:val="105"/>
          <w:lang w:val="en-GB"/>
        </w:rPr>
        <w:t>emostasis and induce an increase in bleeding time. The available data for adult humans are contradictory and do not allow formal conclusions to be drawn.</w:t>
      </w:r>
    </w:p>
    <w:p w:rsidR="00F4609F" w:rsidRPr="009D376E" w:rsidRDefault="00F4609F" w:rsidP="0013391A">
      <w:pPr>
        <w:pStyle w:val="Heading3"/>
        <w:rPr>
          <w:w w:val="105"/>
          <w:lang w:val="en-GB"/>
        </w:rPr>
      </w:pPr>
      <w:r w:rsidRPr="009D376E">
        <w:rPr>
          <w:w w:val="105"/>
          <w:lang w:val="en-GB"/>
        </w:rPr>
        <w:t>Effects on fertility</w:t>
      </w:r>
    </w:p>
    <w:p w:rsidR="00FD5EA7" w:rsidRDefault="001E3D90" w:rsidP="0013391A">
      <w:pPr>
        <w:rPr>
          <w:w w:val="105"/>
          <w:lang w:val="en-GB"/>
        </w:rPr>
      </w:pPr>
      <w:r w:rsidRPr="001E3D90">
        <w:rPr>
          <w:w w:val="105"/>
          <w:lang w:val="en-GB"/>
        </w:rPr>
        <w:t>No fertility studies have been performed.</w:t>
      </w:r>
    </w:p>
    <w:p w:rsidR="00F4609F" w:rsidRPr="009D376E" w:rsidRDefault="005776DF" w:rsidP="0013391A">
      <w:pPr>
        <w:pStyle w:val="Heading3"/>
      </w:pPr>
      <w:r w:rsidRPr="005776DF">
        <w:t>Use in Pregnancy</w:t>
      </w:r>
      <w:r w:rsidR="001E3D90">
        <w:t xml:space="preserve"> (</w:t>
      </w:r>
      <w:r w:rsidRPr="005776DF">
        <w:t xml:space="preserve">Category </w:t>
      </w:r>
      <w:r w:rsidRPr="005776DF">
        <w:rPr>
          <w:spacing w:val="-2"/>
        </w:rPr>
        <w:t>B</w:t>
      </w:r>
      <w:r w:rsidRPr="005776DF">
        <w:t>2</w:t>
      </w:r>
      <w:r w:rsidR="001E3D90">
        <w:t>)</w:t>
      </w:r>
    </w:p>
    <w:p w:rsidR="00590B0A" w:rsidRDefault="00590B0A" w:rsidP="0013391A">
      <w:pPr>
        <w:rPr>
          <w:w w:val="105"/>
          <w:lang w:val="en-GB"/>
        </w:rPr>
      </w:pPr>
      <w:r>
        <w:rPr>
          <w:w w:val="105"/>
          <w:lang w:val="en-GB"/>
        </w:rPr>
        <w:lastRenderedPageBreak/>
        <w:t>Animal studies are insufficient with respect to reproductive and developmental toxicity.</w:t>
      </w:r>
    </w:p>
    <w:p w:rsidR="0019010D" w:rsidRDefault="00590B0A" w:rsidP="0013391A">
      <w:pPr>
        <w:rPr>
          <w:w w:val="105"/>
          <w:lang w:val="en-GB"/>
        </w:rPr>
      </w:pPr>
      <w:r>
        <w:rPr>
          <w:w w:val="105"/>
          <w:lang w:val="en-GB"/>
        </w:rPr>
        <w:t xml:space="preserve">It is not known if NO can cause foetal harm when administered to pregnant women or affect reproductive capacity because of a </w:t>
      </w:r>
      <w:r w:rsidR="001E3D90" w:rsidRPr="001E3D90">
        <w:rPr>
          <w:w w:val="105"/>
          <w:lang w:val="en-GB"/>
        </w:rPr>
        <w:t xml:space="preserve">limited amount of data </w:t>
      </w:r>
      <w:r>
        <w:rPr>
          <w:w w:val="105"/>
          <w:lang w:val="en-GB"/>
        </w:rPr>
        <w:t xml:space="preserve">of </w:t>
      </w:r>
      <w:r w:rsidR="001E3D90" w:rsidRPr="001E3D90">
        <w:rPr>
          <w:w w:val="105"/>
          <w:lang w:val="en-GB"/>
        </w:rPr>
        <w:t xml:space="preserve">the use of </w:t>
      </w:r>
      <w:r w:rsidR="00375DED">
        <w:rPr>
          <w:w w:val="105"/>
          <w:lang w:val="en-GB"/>
        </w:rPr>
        <w:t>NO</w:t>
      </w:r>
      <w:r w:rsidR="001E3D90" w:rsidRPr="001E3D90">
        <w:rPr>
          <w:w w:val="105"/>
          <w:lang w:val="en-GB"/>
        </w:rPr>
        <w:t xml:space="preserve"> in pregnant-women.</w:t>
      </w:r>
    </w:p>
    <w:p w:rsidR="001E3D90" w:rsidRPr="001E3D90" w:rsidRDefault="00590B0A" w:rsidP="0013391A">
      <w:pPr>
        <w:rPr>
          <w:w w:val="105"/>
          <w:lang w:val="en-GB"/>
        </w:rPr>
      </w:pPr>
      <w:r>
        <w:rPr>
          <w:lang w:val="en-GB"/>
        </w:rPr>
        <w:t>A review summarised the use of</w:t>
      </w:r>
      <w:r w:rsidR="00B85F7C">
        <w:rPr>
          <w:lang w:val="en-GB"/>
        </w:rPr>
        <w:t xml:space="preserve"> </w:t>
      </w:r>
      <w:proofErr w:type="spellStart"/>
      <w:r w:rsidR="00B85F7C">
        <w:rPr>
          <w:lang w:val="en-GB"/>
        </w:rPr>
        <w:t>iNO</w:t>
      </w:r>
      <w:proofErr w:type="spellEnd"/>
      <w:r>
        <w:rPr>
          <w:lang w:val="en-GB"/>
        </w:rPr>
        <w:t xml:space="preserve"> in 10 pregnant women with PHT who received </w:t>
      </w:r>
      <w:proofErr w:type="spellStart"/>
      <w:r>
        <w:rPr>
          <w:lang w:val="en-GB"/>
        </w:rPr>
        <w:t>iNO</w:t>
      </w:r>
      <w:proofErr w:type="spellEnd"/>
      <w:r>
        <w:rPr>
          <w:lang w:val="en-GB"/>
        </w:rPr>
        <w:t xml:space="preserve"> in late pregnancy (dose range from </w:t>
      </w:r>
      <w:r w:rsidR="00B85F7C">
        <w:rPr>
          <w:lang w:val="en-GB"/>
        </w:rPr>
        <w:t>5 to 80 ppm for minutes to hours</w:t>
      </w:r>
      <w:r>
        <w:rPr>
          <w:lang w:val="en-GB"/>
        </w:rPr>
        <w:t xml:space="preserve">). Elevation </w:t>
      </w:r>
      <w:r w:rsidR="00B85F7C">
        <w:rPr>
          <w:lang w:val="en-GB"/>
        </w:rPr>
        <w:t xml:space="preserve">in maternal </w:t>
      </w:r>
      <w:r w:rsidR="0065454D">
        <w:rPr>
          <w:lang w:val="en-GB"/>
        </w:rPr>
        <w:t>methaemoglobin</w:t>
      </w:r>
      <w:r w:rsidR="004D6402">
        <w:rPr>
          <w:lang w:val="en-GB"/>
        </w:rPr>
        <w:t xml:space="preserve"> </w:t>
      </w:r>
      <w:r w:rsidR="00B85F7C">
        <w:rPr>
          <w:lang w:val="en-GB"/>
        </w:rPr>
        <w:t>levels</w:t>
      </w:r>
      <w:r w:rsidR="004D6402">
        <w:rPr>
          <w:lang w:val="en-GB"/>
        </w:rPr>
        <w:t xml:space="preserve"> has not been reported</w:t>
      </w:r>
      <w:r w:rsidR="00B85F7C">
        <w:rPr>
          <w:lang w:val="en-GB"/>
        </w:rPr>
        <w:t xml:space="preserve">.  </w:t>
      </w:r>
      <w:r w:rsidR="004D6402">
        <w:rPr>
          <w:lang w:val="en-GB"/>
        </w:rPr>
        <w:t xml:space="preserve">No data </w:t>
      </w:r>
      <w:r w:rsidR="00385B74">
        <w:rPr>
          <w:lang w:val="en-GB"/>
        </w:rPr>
        <w:t xml:space="preserve">on the effect of </w:t>
      </w:r>
      <w:proofErr w:type="spellStart"/>
      <w:r w:rsidR="00385B74">
        <w:rPr>
          <w:lang w:val="en-GB"/>
        </w:rPr>
        <w:t>iNO</w:t>
      </w:r>
      <w:proofErr w:type="spellEnd"/>
      <w:r w:rsidR="00385B74">
        <w:rPr>
          <w:lang w:val="en-GB"/>
        </w:rPr>
        <w:t xml:space="preserve"> on the</w:t>
      </w:r>
      <w:r w:rsidR="004D6402">
        <w:rPr>
          <w:lang w:val="en-GB"/>
        </w:rPr>
        <w:t xml:space="preserve"> foetus is available.</w:t>
      </w:r>
    </w:p>
    <w:p w:rsidR="001E3D90" w:rsidRPr="001E3D90" w:rsidRDefault="00E7129E" w:rsidP="0013391A">
      <w:pPr>
        <w:rPr>
          <w:w w:val="105"/>
          <w:lang w:val="en-GB"/>
        </w:rPr>
      </w:pPr>
      <w:proofErr w:type="spellStart"/>
      <w:r>
        <w:rPr>
          <w:w w:val="105"/>
          <w:lang w:val="en-GB"/>
        </w:rPr>
        <w:t>VasoKINOX</w:t>
      </w:r>
      <w:proofErr w:type="spellEnd"/>
      <w:r w:rsidR="001E3D90" w:rsidRPr="001E3D90">
        <w:rPr>
          <w:w w:val="105"/>
          <w:lang w:val="en-GB"/>
        </w:rPr>
        <w:t xml:space="preserve"> is not recommended during pregnancy.</w:t>
      </w:r>
    </w:p>
    <w:p w:rsidR="00F4609F" w:rsidRPr="006A1B58" w:rsidRDefault="00F4609F" w:rsidP="0013391A">
      <w:pPr>
        <w:pStyle w:val="Heading4"/>
        <w:rPr>
          <w:i w:val="0"/>
        </w:rPr>
      </w:pPr>
      <w:r w:rsidRPr="006A1B58">
        <w:rPr>
          <w:bCs/>
        </w:rPr>
        <w:t xml:space="preserve">Use in </w:t>
      </w:r>
      <w:r w:rsidRPr="006A1B58">
        <w:rPr>
          <w:bCs/>
          <w:spacing w:val="-2"/>
        </w:rPr>
        <w:t>L</w:t>
      </w:r>
      <w:r w:rsidRPr="006A1B58">
        <w:rPr>
          <w:bCs/>
          <w:spacing w:val="1"/>
        </w:rPr>
        <w:t>a</w:t>
      </w:r>
      <w:r w:rsidRPr="006A1B58">
        <w:rPr>
          <w:bCs/>
        </w:rPr>
        <w:t>ctati</w:t>
      </w:r>
      <w:r w:rsidRPr="006A1B58">
        <w:rPr>
          <w:bCs/>
          <w:spacing w:val="1"/>
        </w:rPr>
        <w:t>o</w:t>
      </w:r>
      <w:r w:rsidRPr="006A1B58">
        <w:rPr>
          <w:bCs/>
        </w:rPr>
        <w:t>n</w:t>
      </w:r>
    </w:p>
    <w:p w:rsidR="00B200CE" w:rsidRPr="00B200CE" w:rsidRDefault="00B200CE" w:rsidP="0013391A">
      <w:pPr>
        <w:rPr>
          <w:w w:val="105"/>
          <w:lang w:val="en-GB"/>
        </w:rPr>
      </w:pPr>
      <w:r w:rsidRPr="00B200CE">
        <w:rPr>
          <w:w w:val="105"/>
          <w:lang w:val="en-GB"/>
        </w:rPr>
        <w:t xml:space="preserve">It is unknown whether </w:t>
      </w:r>
      <w:r w:rsidR="004D6402">
        <w:rPr>
          <w:w w:val="105"/>
          <w:lang w:val="en-GB"/>
        </w:rPr>
        <w:t>NO</w:t>
      </w:r>
      <w:r w:rsidRPr="00B200CE">
        <w:rPr>
          <w:w w:val="105"/>
          <w:lang w:val="en-GB"/>
        </w:rPr>
        <w:t>/metabolites are excreted in human milk.</w:t>
      </w:r>
      <w:r>
        <w:rPr>
          <w:w w:val="105"/>
          <w:lang w:val="en-GB"/>
        </w:rPr>
        <w:t xml:space="preserve"> </w:t>
      </w:r>
      <w:r w:rsidRPr="00B200CE">
        <w:rPr>
          <w:w w:val="105"/>
          <w:lang w:val="en-GB"/>
        </w:rPr>
        <w:t xml:space="preserve">The excretion of </w:t>
      </w:r>
      <w:proofErr w:type="spellStart"/>
      <w:r w:rsidR="00E7129E">
        <w:rPr>
          <w:w w:val="105"/>
          <w:lang w:val="en-GB"/>
        </w:rPr>
        <w:t>VasoKINOX</w:t>
      </w:r>
      <w:proofErr w:type="spellEnd"/>
      <w:r w:rsidRPr="00B200CE">
        <w:rPr>
          <w:w w:val="105"/>
          <w:lang w:val="en-GB"/>
        </w:rPr>
        <w:t xml:space="preserve"> in milk has not been studied in animals.</w:t>
      </w:r>
      <w:r>
        <w:rPr>
          <w:w w:val="105"/>
          <w:lang w:val="en-GB"/>
        </w:rPr>
        <w:t xml:space="preserve"> </w:t>
      </w:r>
      <w:r w:rsidRPr="00B200CE">
        <w:rPr>
          <w:w w:val="105"/>
          <w:lang w:val="en-GB"/>
        </w:rPr>
        <w:t xml:space="preserve">A risk to the </w:t>
      </w:r>
      <w:proofErr w:type="spellStart"/>
      <w:r w:rsidRPr="00B200CE">
        <w:rPr>
          <w:w w:val="105"/>
          <w:lang w:val="en-GB"/>
        </w:rPr>
        <w:t>newborn</w:t>
      </w:r>
      <w:proofErr w:type="spellEnd"/>
      <w:r w:rsidRPr="00B200CE">
        <w:rPr>
          <w:w w:val="105"/>
          <w:lang w:val="en-GB"/>
        </w:rPr>
        <w:t>/infants cannot be excluded.</w:t>
      </w:r>
    </w:p>
    <w:p w:rsidR="00B200CE" w:rsidRPr="00B200CE" w:rsidRDefault="00B200CE" w:rsidP="0013391A">
      <w:pPr>
        <w:rPr>
          <w:w w:val="105"/>
          <w:lang w:val="en-GB"/>
        </w:rPr>
      </w:pPr>
      <w:r w:rsidRPr="00B200CE">
        <w:rPr>
          <w:w w:val="105"/>
          <w:lang w:val="en-GB"/>
        </w:rPr>
        <w:t xml:space="preserve">A decision must be made whether to discontinue breast-feeding or to discontinue </w:t>
      </w:r>
      <w:proofErr w:type="spellStart"/>
      <w:r w:rsidR="00E7129E">
        <w:rPr>
          <w:w w:val="105"/>
          <w:lang w:val="en-GB"/>
        </w:rPr>
        <w:t>VasoKINOX</w:t>
      </w:r>
      <w:proofErr w:type="spellEnd"/>
      <w:r w:rsidRPr="00B200CE">
        <w:rPr>
          <w:w w:val="105"/>
          <w:lang w:val="en-GB"/>
        </w:rPr>
        <w:t xml:space="preserve"> therapy taking into account the benefit of breast feeding for the child and the benefit of therapy for the woman.</w:t>
      </w:r>
    </w:p>
    <w:p w:rsidR="008574C4" w:rsidRPr="0072405A" w:rsidRDefault="008574C4" w:rsidP="0013391A">
      <w:pPr>
        <w:pStyle w:val="Heading4"/>
        <w:rPr>
          <w:bCs/>
          <w:i w:val="0"/>
        </w:rPr>
      </w:pPr>
      <w:r w:rsidRPr="0072405A">
        <w:rPr>
          <w:bCs/>
        </w:rPr>
        <w:t xml:space="preserve">Paediatric </w:t>
      </w:r>
      <w:r w:rsidR="00375DED">
        <w:rPr>
          <w:bCs/>
        </w:rPr>
        <w:t>U</w:t>
      </w:r>
      <w:r w:rsidR="00375DED" w:rsidRPr="0072405A">
        <w:rPr>
          <w:bCs/>
        </w:rPr>
        <w:t>se</w:t>
      </w:r>
    </w:p>
    <w:p w:rsidR="008574C4" w:rsidRDefault="008574C4" w:rsidP="0013391A">
      <w:pPr>
        <w:rPr>
          <w:w w:val="105"/>
          <w:lang w:val="en-GB"/>
        </w:rPr>
      </w:pPr>
      <w:r w:rsidRPr="008574C4">
        <w:rPr>
          <w:w w:val="105"/>
          <w:lang w:val="en-GB"/>
        </w:rPr>
        <w:t xml:space="preserve">The safety and efficacy of </w:t>
      </w:r>
      <w:proofErr w:type="spellStart"/>
      <w:r w:rsidR="00E7129E">
        <w:rPr>
          <w:w w:val="105"/>
          <w:lang w:val="en-GB"/>
        </w:rPr>
        <w:t>VasoKINOX</w:t>
      </w:r>
      <w:proofErr w:type="spellEnd"/>
      <w:r w:rsidRPr="008574C4">
        <w:rPr>
          <w:w w:val="105"/>
          <w:lang w:val="en-GB"/>
        </w:rPr>
        <w:t xml:space="preserve"> in premature infants less than 34 weeks of gestation </w:t>
      </w:r>
      <w:r w:rsidR="00B85F7C" w:rsidRPr="008574C4">
        <w:rPr>
          <w:w w:val="105"/>
          <w:lang w:val="en-GB"/>
        </w:rPr>
        <w:t>ha</w:t>
      </w:r>
      <w:r w:rsidR="00B85F7C">
        <w:rPr>
          <w:w w:val="105"/>
          <w:lang w:val="en-GB"/>
        </w:rPr>
        <w:t>ve</w:t>
      </w:r>
      <w:r w:rsidR="00B85F7C" w:rsidRPr="008574C4">
        <w:rPr>
          <w:w w:val="105"/>
          <w:lang w:val="en-GB"/>
        </w:rPr>
        <w:t xml:space="preserve"> </w:t>
      </w:r>
      <w:r w:rsidRPr="008574C4">
        <w:rPr>
          <w:w w:val="105"/>
          <w:lang w:val="en-GB"/>
        </w:rPr>
        <w:t>not yet been establis</w:t>
      </w:r>
      <w:r>
        <w:rPr>
          <w:w w:val="105"/>
          <w:lang w:val="en-GB"/>
        </w:rPr>
        <w:t>hed.</w:t>
      </w:r>
    </w:p>
    <w:p w:rsidR="00D53C37" w:rsidRDefault="00D53C37" w:rsidP="0013391A">
      <w:pPr>
        <w:rPr>
          <w:w w:val="105"/>
          <w:lang w:val="en-GB"/>
        </w:rPr>
      </w:pPr>
      <w:r>
        <w:rPr>
          <w:w w:val="105"/>
          <w:lang w:val="en-GB"/>
        </w:rPr>
        <w:t>The maximum recommended dose in children is 20 ppm.</w:t>
      </w:r>
    </w:p>
    <w:p w:rsidR="00CE3F7D" w:rsidRPr="004C190E" w:rsidRDefault="00CE3F7D" w:rsidP="0013391A">
      <w:r w:rsidRPr="00AF7995">
        <w:t>Clinical data supporting the suggested dose in the age range of 12-17 years is limited</w:t>
      </w:r>
      <w:r>
        <w:t>.</w:t>
      </w:r>
      <w:r w:rsidR="003C7CFD">
        <w:t xml:space="preserve">  The long term consequences of the use of nitric oxide in children for the approved indication have not been established.</w:t>
      </w:r>
    </w:p>
    <w:p w:rsidR="00260C21" w:rsidRDefault="00260C21" w:rsidP="0013391A">
      <w:pPr>
        <w:rPr>
          <w:w w:val="105"/>
          <w:lang w:val="en-GB"/>
        </w:rPr>
      </w:pPr>
      <w:r>
        <w:t xml:space="preserve">Inhalation exposure of rats (whole body, 6 hours per day) from post-natal days  1-29 (birth to 8 days following weaning) resulted in reduced body weights and reduced body weight gain without compensatory growth over the </w:t>
      </w:r>
      <w:r w:rsidR="004D6402">
        <w:t>post-natal days</w:t>
      </w:r>
      <w:r>
        <w:t xml:space="preserve"> 1-90 period. The clinical relevance of these findings is uncertain.</w:t>
      </w:r>
    </w:p>
    <w:p w:rsidR="00C7203B" w:rsidRDefault="00C7203B" w:rsidP="0013391A">
      <w:pPr>
        <w:pStyle w:val="Heading4"/>
        <w:rPr>
          <w:bCs/>
        </w:rPr>
      </w:pPr>
      <w:r>
        <w:rPr>
          <w:bCs/>
        </w:rPr>
        <w:t>Use in Adults</w:t>
      </w:r>
    </w:p>
    <w:p w:rsidR="00C7203B" w:rsidRPr="004C190E" w:rsidRDefault="00C7203B" w:rsidP="0013391A">
      <w:r w:rsidRPr="00AF7995">
        <w:t xml:space="preserve">Clinical data supporting the </w:t>
      </w:r>
      <w:r>
        <w:t xml:space="preserve">use of </w:t>
      </w:r>
      <w:proofErr w:type="spellStart"/>
      <w:r>
        <w:t>iNO</w:t>
      </w:r>
      <w:proofErr w:type="spellEnd"/>
      <w:r>
        <w:t xml:space="preserve"> in adults </w:t>
      </w:r>
      <w:r w:rsidRPr="00AF7995">
        <w:t>is limited</w:t>
      </w:r>
      <w:r>
        <w:t>.</w:t>
      </w:r>
    </w:p>
    <w:p w:rsidR="00F4609F" w:rsidRPr="00F22CB7" w:rsidRDefault="00D62BFF" w:rsidP="0013391A">
      <w:pPr>
        <w:pStyle w:val="Heading4"/>
      </w:pPr>
      <w:r w:rsidRPr="00F22CB7">
        <w:rPr>
          <w:bCs/>
        </w:rPr>
        <w:t xml:space="preserve">Use in the </w:t>
      </w:r>
      <w:r w:rsidR="00F4609F" w:rsidRPr="00F22CB7">
        <w:rPr>
          <w:bCs/>
        </w:rPr>
        <w:t>Elderly patients</w:t>
      </w:r>
    </w:p>
    <w:p w:rsidR="00F4609F" w:rsidRPr="000E3C97" w:rsidRDefault="00F4609F" w:rsidP="0013391A">
      <w:r w:rsidRPr="000E3C97">
        <w:t>No</w:t>
      </w:r>
      <w:r w:rsidRPr="000E3C97">
        <w:rPr>
          <w:spacing w:val="2"/>
        </w:rPr>
        <w:t xml:space="preserve"> </w:t>
      </w:r>
      <w:r w:rsidRPr="000E3C97">
        <w:t>s</w:t>
      </w:r>
      <w:r w:rsidRPr="000E3C97">
        <w:rPr>
          <w:spacing w:val="1"/>
        </w:rPr>
        <w:t>p</w:t>
      </w:r>
      <w:r w:rsidRPr="000E3C97">
        <w:t>ecific</w:t>
      </w:r>
      <w:r w:rsidRPr="000E3C97">
        <w:rPr>
          <w:spacing w:val="1"/>
        </w:rPr>
        <w:t xml:space="preserve"> </w:t>
      </w:r>
      <w:r w:rsidRPr="000E3C97">
        <w:t>st</w:t>
      </w:r>
      <w:r w:rsidRPr="000E3C97">
        <w:rPr>
          <w:spacing w:val="1"/>
        </w:rPr>
        <w:t>ud</w:t>
      </w:r>
      <w:r w:rsidRPr="000E3C97">
        <w:t>ies</w:t>
      </w:r>
      <w:r w:rsidRPr="000E3C97">
        <w:rPr>
          <w:spacing w:val="1"/>
        </w:rPr>
        <w:t xml:space="preserve"> h</w:t>
      </w:r>
      <w:r w:rsidRPr="000E3C97">
        <w:rPr>
          <w:spacing w:val="-1"/>
        </w:rPr>
        <w:t>a</w:t>
      </w:r>
      <w:r w:rsidRPr="000E3C97">
        <w:rPr>
          <w:spacing w:val="1"/>
        </w:rPr>
        <w:t>v</w:t>
      </w:r>
      <w:r w:rsidRPr="000E3C97">
        <w:t xml:space="preserve">e </w:t>
      </w:r>
      <w:r w:rsidRPr="000E3C97">
        <w:rPr>
          <w:spacing w:val="1"/>
        </w:rPr>
        <w:t>b</w:t>
      </w:r>
      <w:r w:rsidRPr="000E3C97">
        <w:t xml:space="preserve">een carried </w:t>
      </w:r>
      <w:r w:rsidRPr="000E3C97">
        <w:rPr>
          <w:spacing w:val="-1"/>
        </w:rPr>
        <w:t>o</w:t>
      </w:r>
      <w:r w:rsidRPr="000E3C97">
        <w:rPr>
          <w:spacing w:val="1"/>
        </w:rPr>
        <w:t>u</w:t>
      </w:r>
      <w:r w:rsidRPr="000E3C97">
        <w:t xml:space="preserve">t </w:t>
      </w:r>
      <w:r w:rsidRPr="000E3C97">
        <w:rPr>
          <w:spacing w:val="-2"/>
        </w:rPr>
        <w:t>i</w:t>
      </w:r>
      <w:r w:rsidRPr="000E3C97">
        <w:t>n</w:t>
      </w:r>
      <w:r w:rsidRPr="000E3C97">
        <w:rPr>
          <w:spacing w:val="1"/>
        </w:rPr>
        <w:t xml:space="preserve"> </w:t>
      </w:r>
      <w:r w:rsidRPr="000E3C97">
        <w:rPr>
          <w:spacing w:val="-1"/>
        </w:rPr>
        <w:t>e</w:t>
      </w:r>
      <w:r w:rsidRPr="000E3C97">
        <w:t>lderly patient</w:t>
      </w:r>
      <w:r w:rsidRPr="000E3C97">
        <w:rPr>
          <w:spacing w:val="-1"/>
        </w:rPr>
        <w:t>s</w:t>
      </w:r>
      <w:r w:rsidRPr="000E3C97">
        <w:t>.</w:t>
      </w:r>
    </w:p>
    <w:p w:rsidR="00FF31CB" w:rsidRPr="003F5DED" w:rsidRDefault="00FF31CB" w:rsidP="0013391A">
      <w:pPr>
        <w:pStyle w:val="Heading4"/>
        <w:rPr>
          <w:bCs/>
        </w:rPr>
      </w:pPr>
      <w:r w:rsidRPr="003F5DED">
        <w:rPr>
          <w:bCs/>
        </w:rPr>
        <w:t>Genotoxicity</w:t>
      </w:r>
    </w:p>
    <w:p w:rsidR="004D2ECA" w:rsidRPr="00DA7222" w:rsidRDefault="006076EF" w:rsidP="0013391A">
      <w:r w:rsidRPr="006076EF">
        <w:t>Nitric oxide consistently induced base pair mutations in bacterial reverse mutation assays and indications of mutagenicity in mammalian cell (mouse lymphoma) forward mutation assays</w:t>
      </w:r>
      <w:r w:rsidR="004D2ECA">
        <w:rPr>
          <w:rFonts w:asciiTheme="minorHAnsi" w:hAnsiTheme="minorHAnsi" w:cstheme="minorBidi"/>
        </w:rPr>
        <w:t xml:space="preserve">, </w:t>
      </w:r>
      <w:r w:rsidR="004D2ECA" w:rsidRPr="00BE5A2D">
        <w:rPr>
          <w:rFonts w:asciiTheme="minorHAnsi" w:hAnsiTheme="minorHAnsi" w:cstheme="minorBidi"/>
        </w:rPr>
        <w:t xml:space="preserve">most likely due to </w:t>
      </w:r>
      <w:proofErr w:type="spellStart"/>
      <w:r w:rsidR="004D2ECA" w:rsidRPr="00BE5A2D">
        <w:rPr>
          <w:rFonts w:asciiTheme="minorHAnsi" w:hAnsiTheme="minorHAnsi" w:cstheme="minorBidi"/>
        </w:rPr>
        <w:t>peroxynitrites</w:t>
      </w:r>
      <w:proofErr w:type="spellEnd"/>
      <w:r w:rsidR="004D2ECA" w:rsidRPr="00BE5A2D">
        <w:rPr>
          <w:rFonts w:asciiTheme="minorHAnsi" w:hAnsiTheme="minorHAnsi" w:cstheme="minorBidi"/>
        </w:rPr>
        <w:t xml:space="preserve"> and reactive </w:t>
      </w:r>
      <w:r w:rsidR="004D6402">
        <w:rPr>
          <w:rFonts w:asciiTheme="minorHAnsi" w:hAnsiTheme="minorHAnsi" w:cstheme="minorBidi"/>
        </w:rPr>
        <w:t>O</w:t>
      </w:r>
      <w:r w:rsidR="004D6402" w:rsidRPr="004D6402">
        <w:rPr>
          <w:rFonts w:asciiTheme="minorHAnsi" w:hAnsiTheme="minorHAnsi" w:cstheme="minorBidi"/>
          <w:vertAlign w:val="subscript"/>
        </w:rPr>
        <w:t>2</w:t>
      </w:r>
      <w:r w:rsidR="004D6402" w:rsidRPr="00BE5A2D">
        <w:rPr>
          <w:rFonts w:asciiTheme="minorHAnsi" w:hAnsiTheme="minorHAnsi" w:cstheme="minorBidi"/>
        </w:rPr>
        <w:t xml:space="preserve"> </w:t>
      </w:r>
      <w:r w:rsidR="004D2ECA" w:rsidRPr="00BE5A2D">
        <w:rPr>
          <w:rFonts w:asciiTheme="minorHAnsi" w:hAnsiTheme="minorHAnsi" w:cstheme="minorBidi"/>
        </w:rPr>
        <w:t>species generated by oxidation of NO</w:t>
      </w:r>
      <w:r w:rsidR="004D2ECA" w:rsidRPr="00AF7285">
        <w:rPr>
          <w:rFonts w:asciiTheme="minorHAnsi" w:hAnsiTheme="minorHAnsi" w:cstheme="minorBidi"/>
          <w:sz w:val="24"/>
        </w:rPr>
        <w:t xml:space="preserve">. </w:t>
      </w:r>
      <w:r w:rsidR="004D2ECA" w:rsidRPr="00AF7285">
        <w:rPr>
          <w:rFonts w:asciiTheme="minorHAnsi" w:hAnsiTheme="minorHAnsi" w:cstheme="minorBidi"/>
        </w:rPr>
        <w:t xml:space="preserve">Mutagenic activity of NO has been inconsistently reported in literature </w:t>
      </w:r>
      <w:r w:rsidR="004D2ECA" w:rsidRPr="00AF7285">
        <w:rPr>
          <w:rFonts w:asciiTheme="minorHAnsi" w:hAnsiTheme="minorHAnsi" w:cstheme="minorBidi"/>
          <w:sz w:val="24"/>
        </w:rPr>
        <w:t>in other mammalian cells</w:t>
      </w:r>
      <w:r w:rsidR="004D2ECA" w:rsidRPr="00AF7285">
        <w:rPr>
          <w:rFonts w:asciiTheme="minorHAnsi" w:hAnsiTheme="minorHAnsi" w:cstheme="minorBidi"/>
        </w:rPr>
        <w:t xml:space="preserve"> </w:t>
      </w:r>
      <w:r w:rsidR="00BE7129" w:rsidRPr="00374596">
        <w:rPr>
          <w:rFonts w:asciiTheme="minorHAnsi" w:hAnsiTheme="minorHAnsi" w:cstheme="minorBidi"/>
          <w:i/>
        </w:rPr>
        <w:t>in vitro</w:t>
      </w:r>
      <w:r w:rsidR="004D2ECA" w:rsidRPr="00AF7285">
        <w:rPr>
          <w:rFonts w:asciiTheme="minorHAnsi" w:hAnsiTheme="minorHAnsi" w:cstheme="minorBidi"/>
        </w:rPr>
        <w:t>. N</w:t>
      </w:r>
      <w:r w:rsidR="004D6402">
        <w:rPr>
          <w:rFonts w:asciiTheme="minorHAnsi" w:hAnsiTheme="minorHAnsi" w:cstheme="minorBidi"/>
        </w:rPr>
        <w:t>itric oxide</w:t>
      </w:r>
      <w:r w:rsidR="004D2ECA" w:rsidRPr="00AF7285">
        <w:rPr>
          <w:rFonts w:asciiTheme="minorHAnsi" w:hAnsiTheme="minorHAnsi" w:cstheme="minorBidi"/>
        </w:rPr>
        <w:t xml:space="preserve"> induced </w:t>
      </w:r>
      <w:r w:rsidRPr="006076EF">
        <w:t xml:space="preserve">gene mutations in rat lung cells </w:t>
      </w:r>
      <w:r w:rsidRPr="0035169E">
        <w:rPr>
          <w:i/>
        </w:rPr>
        <w:t>in vivo</w:t>
      </w:r>
      <w:r w:rsidRPr="006076EF">
        <w:t xml:space="preserve">.  </w:t>
      </w:r>
      <w:r w:rsidR="00DA7222" w:rsidRPr="00DA7222">
        <w:t>Effects in non-clinical studies were observed only at exposures considered sufficiently in excess of the maximum human exposure indicating little relevance to clinical use.</w:t>
      </w:r>
    </w:p>
    <w:p w:rsidR="00FF31CB" w:rsidRPr="003F5DED" w:rsidRDefault="00FF31CB" w:rsidP="0013391A">
      <w:pPr>
        <w:pStyle w:val="Heading4"/>
        <w:rPr>
          <w:bCs/>
        </w:rPr>
      </w:pPr>
      <w:r w:rsidRPr="003F5DED">
        <w:rPr>
          <w:bCs/>
        </w:rPr>
        <w:t>Carcinogenicity</w:t>
      </w:r>
    </w:p>
    <w:p w:rsidR="00FD68FA" w:rsidRPr="0023388B" w:rsidRDefault="00FD68FA" w:rsidP="0013391A">
      <w:pPr>
        <w:rPr>
          <w:spacing w:val="-4"/>
          <w:w w:val="105"/>
          <w:lang w:val="en-GB"/>
        </w:rPr>
      </w:pPr>
      <w:r w:rsidRPr="00FD68FA">
        <w:t>No carcinogenicity studies have been conducted</w:t>
      </w:r>
      <w:r w:rsidRPr="0023388B">
        <w:rPr>
          <w:spacing w:val="-4"/>
          <w:w w:val="105"/>
          <w:lang w:val="en-GB"/>
        </w:rPr>
        <w:t>.</w:t>
      </w:r>
    </w:p>
    <w:p w:rsidR="00F4609F" w:rsidRPr="000E3C97" w:rsidRDefault="00A75198" w:rsidP="00604FD7">
      <w:pPr>
        <w:pStyle w:val="Heading2"/>
        <w:keepNext/>
        <w:widowControl/>
      </w:pPr>
      <w:r w:rsidRPr="000E3C97">
        <w:rPr>
          <w:bCs/>
        </w:rPr>
        <w:t>INTER</w:t>
      </w:r>
      <w:r w:rsidRPr="000E3C97">
        <w:rPr>
          <w:bCs/>
          <w:spacing w:val="1"/>
        </w:rPr>
        <w:t>A</w:t>
      </w:r>
      <w:r w:rsidRPr="000E3C97">
        <w:rPr>
          <w:bCs/>
        </w:rPr>
        <w:t>CT</w:t>
      </w:r>
      <w:r w:rsidRPr="000E3C97">
        <w:rPr>
          <w:bCs/>
          <w:spacing w:val="-2"/>
        </w:rPr>
        <w:t>I</w:t>
      </w:r>
      <w:r w:rsidRPr="000E3C97">
        <w:rPr>
          <w:bCs/>
          <w:spacing w:val="1"/>
        </w:rPr>
        <w:t>O</w:t>
      </w:r>
      <w:r w:rsidRPr="000E3C97">
        <w:rPr>
          <w:bCs/>
        </w:rPr>
        <w:t xml:space="preserve">NS </w:t>
      </w:r>
      <w:r w:rsidRPr="000E3C97">
        <w:rPr>
          <w:bCs/>
          <w:spacing w:val="-2"/>
        </w:rPr>
        <w:t>W</w:t>
      </w:r>
      <w:r w:rsidRPr="000E3C97">
        <w:rPr>
          <w:bCs/>
        </w:rPr>
        <w:t>ITH OTHER MED</w:t>
      </w:r>
      <w:r w:rsidRPr="000E3C97">
        <w:rPr>
          <w:bCs/>
          <w:spacing w:val="-2"/>
        </w:rPr>
        <w:t>I</w:t>
      </w:r>
      <w:r w:rsidRPr="000E3C97">
        <w:rPr>
          <w:bCs/>
        </w:rPr>
        <w:t>CINES</w:t>
      </w:r>
    </w:p>
    <w:p w:rsidR="001C595D" w:rsidRDefault="001C595D" w:rsidP="0013391A">
      <w:r>
        <w:t>No interaction studies have been performed.</w:t>
      </w:r>
    </w:p>
    <w:p w:rsidR="004D6402" w:rsidRPr="00604FD7" w:rsidRDefault="0065454D" w:rsidP="00604FD7">
      <w:pPr>
        <w:pStyle w:val="Heading3"/>
        <w:rPr>
          <w:b w:val="0"/>
          <w:u w:val="single"/>
        </w:rPr>
      </w:pPr>
      <w:r w:rsidRPr="00604FD7">
        <w:rPr>
          <w:b w:val="0"/>
          <w:u w:val="single"/>
        </w:rPr>
        <w:t>Administration</w:t>
      </w:r>
      <w:r w:rsidR="004D6402" w:rsidRPr="00604FD7">
        <w:rPr>
          <w:b w:val="0"/>
          <w:u w:val="single"/>
        </w:rPr>
        <w:t xml:space="preserve"> with O2 – Formation of NO2</w:t>
      </w:r>
    </w:p>
    <w:p w:rsidR="00417531" w:rsidRDefault="00417531" w:rsidP="0013391A">
      <w:r w:rsidRPr="00417531">
        <w:t xml:space="preserve">In the presence of </w:t>
      </w:r>
      <w:r w:rsidR="004D6402">
        <w:t>O</w:t>
      </w:r>
      <w:r w:rsidR="004D6402" w:rsidRPr="002C7F82">
        <w:rPr>
          <w:vertAlign w:val="subscript"/>
        </w:rPr>
        <w:t>2</w:t>
      </w:r>
      <w:r w:rsidRPr="00417531">
        <w:t xml:space="preserve">, </w:t>
      </w:r>
      <w:r w:rsidR="004D6402">
        <w:t>NO</w:t>
      </w:r>
      <w:r w:rsidRPr="00417531">
        <w:t xml:space="preserve"> is rapidly </w:t>
      </w:r>
      <w:r w:rsidR="00385B74">
        <w:t>oxidised</w:t>
      </w:r>
      <w:r w:rsidR="00385B74" w:rsidRPr="00417531">
        <w:t xml:space="preserve"> </w:t>
      </w:r>
      <w:r w:rsidRPr="00417531">
        <w:t xml:space="preserve">to form derivatives that are toxic for the bronchial epithelium and the </w:t>
      </w:r>
      <w:proofErr w:type="spellStart"/>
      <w:r w:rsidRPr="00417531">
        <w:t>alveolocapillary</w:t>
      </w:r>
      <w:proofErr w:type="spellEnd"/>
      <w:r w:rsidRPr="00417531">
        <w:t xml:space="preserve"> membrane. Nitrogen dioxide is the principal compound formed. The oxidation </w:t>
      </w:r>
      <w:r w:rsidRPr="00417531">
        <w:lastRenderedPageBreak/>
        <w:t>rate is proportional to the initial concentration</w:t>
      </w:r>
      <w:r w:rsidR="0068679A">
        <w:t>s</w:t>
      </w:r>
      <w:r w:rsidRPr="00417531">
        <w:t xml:space="preserve"> of </w:t>
      </w:r>
      <w:r w:rsidR="002C7F82">
        <w:t>NO</w:t>
      </w:r>
      <w:r w:rsidRPr="00417531">
        <w:t xml:space="preserve"> and </w:t>
      </w:r>
      <w:r w:rsidR="002C7F82">
        <w:t>O</w:t>
      </w:r>
      <w:r w:rsidR="002C7F82" w:rsidRPr="002C7F82">
        <w:rPr>
          <w:vertAlign w:val="subscript"/>
        </w:rPr>
        <w:t>2</w:t>
      </w:r>
      <w:r w:rsidRPr="00417531">
        <w:t xml:space="preserve"> in the inhaled air, and to the duration of contact between NO and O</w:t>
      </w:r>
      <w:r w:rsidRPr="00A0604F">
        <w:rPr>
          <w:vertAlign w:val="subscript"/>
        </w:rPr>
        <w:t>2</w:t>
      </w:r>
      <w:r w:rsidRPr="00417531">
        <w:t xml:space="preserve">. Its concentration </w:t>
      </w:r>
      <w:r w:rsidR="003B0E3D">
        <w:t xml:space="preserve">should </w:t>
      </w:r>
      <w:r w:rsidRPr="00417531">
        <w:t xml:space="preserve">remain below 0.5 ppm when </w:t>
      </w:r>
      <w:proofErr w:type="spellStart"/>
      <w:r w:rsidR="00F13497">
        <w:t>iNO</w:t>
      </w:r>
      <w:proofErr w:type="spellEnd"/>
      <w:r w:rsidRPr="00417531">
        <w:t xml:space="preserve"> is administered at doses of less than 20 ppm and if the measures to reduce the contact time between </w:t>
      </w:r>
      <w:r w:rsidR="00F13497">
        <w:t>O</w:t>
      </w:r>
      <w:r w:rsidR="00F13497" w:rsidRPr="00F13497">
        <w:rPr>
          <w:vertAlign w:val="subscript"/>
        </w:rPr>
        <w:t>2</w:t>
      </w:r>
      <w:r w:rsidRPr="00417531">
        <w:t xml:space="preserve"> and </w:t>
      </w:r>
      <w:r w:rsidR="00F13497">
        <w:t>NO</w:t>
      </w:r>
      <w:r w:rsidRPr="00417531">
        <w:t xml:space="preserve"> are correctly applied. If the NO</w:t>
      </w:r>
      <w:r w:rsidRPr="00C64D84">
        <w:rPr>
          <w:vertAlign w:val="subscript"/>
        </w:rPr>
        <w:t>2</w:t>
      </w:r>
      <w:r w:rsidRPr="00417531">
        <w:t xml:space="preserve"> concentration exceeds 1 ppm</w:t>
      </w:r>
      <w:r w:rsidR="001C595D">
        <w:t xml:space="preserve"> during treatment</w:t>
      </w:r>
      <w:r w:rsidRPr="00417531">
        <w:t xml:space="preserve">, the </w:t>
      </w:r>
      <w:r w:rsidR="00375DED">
        <w:t>NO</w:t>
      </w:r>
      <w:r w:rsidRPr="00417531">
        <w:t xml:space="preserve"> dose and/or FiO</w:t>
      </w:r>
      <w:r w:rsidRPr="007105CC">
        <w:rPr>
          <w:vertAlign w:val="subscript"/>
        </w:rPr>
        <w:t>2</w:t>
      </w:r>
      <w:r w:rsidRPr="00417531">
        <w:t xml:space="preserve"> must be </w:t>
      </w:r>
      <w:r w:rsidR="003B0E3D">
        <w:t>immediately</w:t>
      </w:r>
      <w:r w:rsidR="003B0E3D" w:rsidRPr="00417531">
        <w:t xml:space="preserve"> </w:t>
      </w:r>
      <w:r w:rsidRPr="00417531">
        <w:t xml:space="preserve">reduced. See </w:t>
      </w:r>
      <w:r w:rsidR="007105CC">
        <w:t xml:space="preserve">DOSAGE AND ADMINISTRATION </w:t>
      </w:r>
      <w:r w:rsidRPr="00417531">
        <w:t>for recommendations concerning NO</w:t>
      </w:r>
      <w:r w:rsidRPr="007105CC">
        <w:rPr>
          <w:vertAlign w:val="subscript"/>
        </w:rPr>
        <w:t>2</w:t>
      </w:r>
      <w:r w:rsidRPr="00417531">
        <w:t xml:space="preserve"> monitoring.</w:t>
      </w:r>
    </w:p>
    <w:p w:rsidR="00F13497" w:rsidRPr="00604FD7" w:rsidRDefault="00F13497" w:rsidP="00604FD7">
      <w:pPr>
        <w:pStyle w:val="Heading3"/>
        <w:rPr>
          <w:b w:val="0"/>
          <w:u w:val="single"/>
        </w:rPr>
      </w:pPr>
      <w:r w:rsidRPr="00604FD7">
        <w:rPr>
          <w:b w:val="0"/>
          <w:u w:val="single"/>
        </w:rPr>
        <w:t>NO donor compounds</w:t>
      </w:r>
    </w:p>
    <w:p w:rsidR="00FD5EA7" w:rsidRDefault="00417531" w:rsidP="00604FD7">
      <w:r w:rsidRPr="00417531">
        <w:t xml:space="preserve">It is possible that </w:t>
      </w:r>
      <w:r w:rsidR="00F13497">
        <w:t>NO</w:t>
      </w:r>
      <w:r w:rsidRPr="00417531">
        <w:t xml:space="preserve"> donor compounds such as sodium nitroprusside and </w:t>
      </w:r>
      <w:proofErr w:type="spellStart"/>
      <w:r w:rsidRPr="00417531">
        <w:t>nitroglycerin</w:t>
      </w:r>
      <w:proofErr w:type="spellEnd"/>
      <w:r w:rsidRPr="00417531">
        <w:t xml:space="preserve">, potentiates the risk of developing </w:t>
      </w:r>
      <w:proofErr w:type="spellStart"/>
      <w:r w:rsidRPr="00417531">
        <w:t>meth</w:t>
      </w:r>
      <w:r w:rsidR="001C595D">
        <w:t>a</w:t>
      </w:r>
      <w:r w:rsidRPr="00417531">
        <w:t>emoglobin</w:t>
      </w:r>
      <w:r w:rsidR="000E1125">
        <w:t>a</w:t>
      </w:r>
      <w:r w:rsidRPr="00417531">
        <w:t>emia</w:t>
      </w:r>
      <w:proofErr w:type="spellEnd"/>
      <w:r w:rsidRPr="00417531">
        <w:t>.</w:t>
      </w:r>
    </w:p>
    <w:p w:rsidR="00FD5EA7" w:rsidRDefault="00E040DF" w:rsidP="00604FD7">
      <w:r w:rsidRPr="00E040DF">
        <w:t xml:space="preserve">There is an increased risk of methaemoglobin formation if substances with a known tendency to increase methaemoglobin concentrations, or known to produce oxidative damage to the erythrocytes, are administered concomitantly with </w:t>
      </w:r>
      <w:r w:rsidR="00CB47F3">
        <w:t>NO</w:t>
      </w:r>
      <w:r w:rsidRPr="00E040DF">
        <w:t xml:space="preserve"> (e.g. </w:t>
      </w:r>
      <w:proofErr w:type="spellStart"/>
      <w:r w:rsidRPr="00E040DF">
        <w:t>prilocaine</w:t>
      </w:r>
      <w:proofErr w:type="spellEnd"/>
      <w:r w:rsidRPr="00E040DF">
        <w:t xml:space="preserve">, alkyl nitrates and sulphonamides). The effects of these agents with </w:t>
      </w:r>
      <w:proofErr w:type="spellStart"/>
      <w:r w:rsidRPr="00E040DF">
        <w:t>VasoKINOX</w:t>
      </w:r>
      <w:proofErr w:type="spellEnd"/>
      <w:r w:rsidRPr="00E040DF">
        <w:t xml:space="preserve"> on methaemoglobin formation can be expected to be at least </w:t>
      </w:r>
      <w:proofErr w:type="gramStart"/>
      <w:r w:rsidRPr="00E040DF">
        <w:t>additive</w:t>
      </w:r>
      <w:proofErr w:type="gramEnd"/>
      <w:r w:rsidRPr="00E040DF">
        <w:t xml:space="preserve">. Substances known to cause increased methaemoglobin levels, or to produce oxidative damage to the erythrocytes, should be used with caution during therapy with </w:t>
      </w:r>
      <w:proofErr w:type="spellStart"/>
      <w:r w:rsidR="00CB47F3">
        <w:t>iNO</w:t>
      </w:r>
      <w:proofErr w:type="spellEnd"/>
      <w:r w:rsidRPr="00E040DF">
        <w:t xml:space="preserve">. Appropriate guidance should be sought before such agents are used concurrently with </w:t>
      </w:r>
      <w:proofErr w:type="spellStart"/>
      <w:r w:rsidRPr="00E040DF">
        <w:t>VasoKINOX</w:t>
      </w:r>
      <w:proofErr w:type="spellEnd"/>
      <w:r w:rsidRPr="00E040DF">
        <w:t>.</w:t>
      </w:r>
    </w:p>
    <w:p w:rsidR="00D30E29" w:rsidRPr="00604FD7" w:rsidRDefault="00D30E29" w:rsidP="00604FD7">
      <w:pPr>
        <w:pStyle w:val="Heading3"/>
        <w:rPr>
          <w:b w:val="0"/>
          <w:u w:val="single"/>
        </w:rPr>
      </w:pPr>
      <w:r w:rsidRPr="00604FD7">
        <w:rPr>
          <w:b w:val="0"/>
          <w:u w:val="single"/>
        </w:rPr>
        <w:t>Other vasodilators</w:t>
      </w:r>
    </w:p>
    <w:p w:rsidR="00FE6653" w:rsidRDefault="00D30E29" w:rsidP="00604FD7">
      <w:r w:rsidRPr="00417531">
        <w:t xml:space="preserve">Available data suggest additive effects of inhaled </w:t>
      </w:r>
      <w:r>
        <w:t>NO</w:t>
      </w:r>
      <w:r w:rsidRPr="00417531">
        <w:t xml:space="preserve"> and other vasodilators acting by the cGMP or </w:t>
      </w:r>
      <w:proofErr w:type="spellStart"/>
      <w:r w:rsidRPr="00417531">
        <w:t>cAMP</w:t>
      </w:r>
      <w:proofErr w:type="spellEnd"/>
      <w:r w:rsidRPr="00417531">
        <w:t xml:space="preserve"> systems (Phosphodiesterase inhibitors, </w:t>
      </w:r>
      <w:proofErr w:type="spellStart"/>
      <w:r w:rsidRPr="00417531">
        <w:t>Prostacycline</w:t>
      </w:r>
      <w:proofErr w:type="spellEnd"/>
      <w:r w:rsidRPr="00417531">
        <w:t>), on pulmonary vasodilator effects and right ventricular performance.</w:t>
      </w:r>
      <w:r>
        <w:t xml:space="preserve">  </w:t>
      </w:r>
      <w:r w:rsidRPr="00417531">
        <w:t xml:space="preserve">Therefore, administration of </w:t>
      </w:r>
      <w:proofErr w:type="spellStart"/>
      <w:r w:rsidR="00413199">
        <w:t>iNO</w:t>
      </w:r>
      <w:proofErr w:type="spellEnd"/>
      <w:r w:rsidRPr="00417531">
        <w:t xml:space="preserve"> in combination with these drugs should be done with caution.</w:t>
      </w:r>
      <w:r w:rsidR="00CE3F7D">
        <w:t xml:space="preserve">  </w:t>
      </w:r>
      <w:r w:rsidR="00417531" w:rsidRPr="00417531">
        <w:t xml:space="preserve">A possible synergy between the platelet anti aggregation effects of </w:t>
      </w:r>
      <w:r>
        <w:t>NO</w:t>
      </w:r>
      <w:r w:rsidR="00417531" w:rsidRPr="00417531">
        <w:t xml:space="preserve"> and prostacyclin and its analogues is suggested but has not been clinically demonstrated or detected.</w:t>
      </w:r>
    </w:p>
    <w:p w:rsidR="00D30E29" w:rsidRPr="00604FD7" w:rsidRDefault="00D30E29" w:rsidP="00604FD7">
      <w:pPr>
        <w:pStyle w:val="Heading3"/>
        <w:rPr>
          <w:b w:val="0"/>
          <w:u w:val="single"/>
        </w:rPr>
      </w:pPr>
      <w:r w:rsidRPr="00604FD7">
        <w:rPr>
          <w:b w:val="0"/>
          <w:u w:val="single"/>
        </w:rPr>
        <w:t>Others</w:t>
      </w:r>
    </w:p>
    <w:p w:rsidR="00D30E29" w:rsidRDefault="00D30E29" w:rsidP="0013391A">
      <w:r w:rsidRPr="001C595D">
        <w:t>Nitric Oxide h</w:t>
      </w:r>
      <w:r w:rsidRPr="001C595D">
        <w:rPr>
          <w:spacing w:val="-1"/>
        </w:rPr>
        <w:t>a</w:t>
      </w:r>
      <w:r w:rsidRPr="001C595D">
        <w:t>s</w:t>
      </w:r>
      <w:r w:rsidRPr="001C595D">
        <w:rPr>
          <w:spacing w:val="13"/>
        </w:rPr>
        <w:t xml:space="preserve"> </w:t>
      </w:r>
      <w:r w:rsidRPr="001C595D">
        <w:t>been a</w:t>
      </w:r>
      <w:r w:rsidRPr="001C595D">
        <w:rPr>
          <w:spacing w:val="1"/>
        </w:rPr>
        <w:t>d</w:t>
      </w:r>
      <w:r w:rsidRPr="001C595D">
        <w:rPr>
          <w:spacing w:val="-2"/>
        </w:rPr>
        <w:t>m</w:t>
      </w:r>
      <w:r w:rsidRPr="001C595D">
        <w:t>i</w:t>
      </w:r>
      <w:r w:rsidRPr="001C595D">
        <w:rPr>
          <w:spacing w:val="1"/>
        </w:rPr>
        <w:t>n</w:t>
      </w:r>
      <w:r w:rsidRPr="001C595D">
        <w:t>istered</w:t>
      </w:r>
      <w:r w:rsidRPr="001C595D">
        <w:rPr>
          <w:spacing w:val="3"/>
        </w:rPr>
        <w:t xml:space="preserve"> </w:t>
      </w:r>
      <w:r w:rsidRPr="001C595D">
        <w:t>with</w:t>
      </w:r>
      <w:r w:rsidRPr="001C595D">
        <w:rPr>
          <w:spacing w:val="3"/>
        </w:rPr>
        <w:t xml:space="preserve"> </w:t>
      </w:r>
      <w:r w:rsidRPr="001C595D">
        <w:t>d</w:t>
      </w:r>
      <w:r w:rsidRPr="001C595D">
        <w:rPr>
          <w:spacing w:val="1"/>
        </w:rPr>
        <w:t>o</w:t>
      </w:r>
      <w:r w:rsidRPr="001C595D">
        <w:t>pa</w:t>
      </w:r>
      <w:r w:rsidRPr="001C595D">
        <w:rPr>
          <w:spacing w:val="-2"/>
        </w:rPr>
        <w:t>m</w:t>
      </w:r>
      <w:r w:rsidRPr="001C595D">
        <w:t>i</w:t>
      </w:r>
      <w:r w:rsidRPr="001C595D">
        <w:rPr>
          <w:spacing w:val="1"/>
        </w:rPr>
        <w:t>n</w:t>
      </w:r>
      <w:r w:rsidRPr="001C595D">
        <w:t>e,</w:t>
      </w:r>
      <w:r w:rsidRPr="001C595D">
        <w:rPr>
          <w:spacing w:val="2"/>
        </w:rPr>
        <w:t xml:space="preserve"> </w:t>
      </w:r>
      <w:proofErr w:type="spellStart"/>
      <w:r w:rsidRPr="001C595D">
        <w:rPr>
          <w:spacing w:val="1"/>
        </w:rPr>
        <w:t>do</w:t>
      </w:r>
      <w:r w:rsidRPr="001C595D">
        <w:rPr>
          <w:spacing w:val="-1"/>
        </w:rPr>
        <w:t>b</w:t>
      </w:r>
      <w:r w:rsidRPr="001C595D">
        <w:rPr>
          <w:spacing w:val="1"/>
        </w:rPr>
        <w:t>u</w:t>
      </w:r>
      <w:r w:rsidRPr="001C595D">
        <w:t>ta</w:t>
      </w:r>
      <w:r w:rsidRPr="001C595D">
        <w:rPr>
          <w:spacing w:val="-2"/>
        </w:rPr>
        <w:t>m</w:t>
      </w:r>
      <w:r w:rsidRPr="001C595D">
        <w:t>i</w:t>
      </w:r>
      <w:r w:rsidRPr="001C595D">
        <w:rPr>
          <w:spacing w:val="1"/>
        </w:rPr>
        <w:t>n</w:t>
      </w:r>
      <w:r w:rsidRPr="001C595D">
        <w:t>e</w:t>
      </w:r>
      <w:proofErr w:type="spellEnd"/>
      <w:r w:rsidRPr="001C595D">
        <w:t>,</w:t>
      </w:r>
      <w:r w:rsidRPr="001C595D">
        <w:rPr>
          <w:spacing w:val="2"/>
        </w:rPr>
        <w:t xml:space="preserve"> </w:t>
      </w:r>
      <w:r w:rsidRPr="001C595D">
        <w:t>ster</w:t>
      </w:r>
      <w:r w:rsidRPr="001C595D">
        <w:rPr>
          <w:spacing w:val="1"/>
        </w:rPr>
        <w:t>o</w:t>
      </w:r>
      <w:r w:rsidRPr="001C595D">
        <w:rPr>
          <w:spacing w:val="-2"/>
        </w:rPr>
        <w:t>i</w:t>
      </w:r>
      <w:r w:rsidRPr="001C595D">
        <w:rPr>
          <w:spacing w:val="1"/>
        </w:rPr>
        <w:t>d</w:t>
      </w:r>
      <w:r w:rsidRPr="001C595D">
        <w:t>s,</w:t>
      </w:r>
      <w:r w:rsidRPr="001C595D">
        <w:rPr>
          <w:spacing w:val="2"/>
        </w:rPr>
        <w:t xml:space="preserve"> </w:t>
      </w:r>
      <w:r w:rsidRPr="001C595D">
        <w:t>s</w:t>
      </w:r>
      <w:r w:rsidRPr="001C595D">
        <w:rPr>
          <w:spacing w:val="1"/>
        </w:rPr>
        <w:t>u</w:t>
      </w:r>
      <w:r w:rsidRPr="001C595D">
        <w:t>rfacta</w:t>
      </w:r>
      <w:r w:rsidRPr="001C595D">
        <w:rPr>
          <w:spacing w:val="1"/>
        </w:rPr>
        <w:t>n</w:t>
      </w:r>
      <w:r w:rsidRPr="001C595D">
        <w:t>t,</w:t>
      </w:r>
      <w:r w:rsidRPr="001C595D">
        <w:rPr>
          <w:spacing w:val="2"/>
        </w:rPr>
        <w:t xml:space="preserve"> </w:t>
      </w:r>
      <w:r w:rsidRPr="001C595D">
        <w:t>a</w:t>
      </w:r>
      <w:r w:rsidRPr="001C595D">
        <w:rPr>
          <w:spacing w:val="1"/>
        </w:rPr>
        <w:t>n</w:t>
      </w:r>
      <w:r w:rsidRPr="001C595D">
        <w:t>d</w:t>
      </w:r>
      <w:r w:rsidRPr="001C595D">
        <w:rPr>
          <w:spacing w:val="1"/>
        </w:rPr>
        <w:t xml:space="preserve"> h</w:t>
      </w:r>
      <w:r w:rsidRPr="001C595D">
        <w:t>igh-fre</w:t>
      </w:r>
      <w:r w:rsidRPr="001C595D">
        <w:rPr>
          <w:spacing w:val="1"/>
        </w:rPr>
        <w:t>qu</w:t>
      </w:r>
      <w:r w:rsidRPr="001C595D">
        <w:rPr>
          <w:spacing w:val="-1"/>
        </w:rPr>
        <w:t>e</w:t>
      </w:r>
      <w:r w:rsidRPr="001C595D">
        <w:rPr>
          <w:spacing w:val="1"/>
        </w:rPr>
        <w:t>n</w:t>
      </w:r>
      <w:r w:rsidRPr="001C595D">
        <w:t xml:space="preserve">cy </w:t>
      </w:r>
      <w:r w:rsidRPr="001C595D">
        <w:rPr>
          <w:spacing w:val="1"/>
        </w:rPr>
        <w:t>v</w:t>
      </w:r>
      <w:r w:rsidRPr="001C595D">
        <w:t>e</w:t>
      </w:r>
      <w:r w:rsidRPr="001C595D">
        <w:rPr>
          <w:spacing w:val="1"/>
        </w:rPr>
        <w:t>n</w:t>
      </w:r>
      <w:r w:rsidRPr="001C595D">
        <w:t>tilati</w:t>
      </w:r>
      <w:r w:rsidRPr="001C595D">
        <w:rPr>
          <w:spacing w:val="1"/>
        </w:rPr>
        <w:t>on</w:t>
      </w:r>
      <w:r w:rsidRPr="001C595D">
        <w:t>.</w:t>
      </w:r>
    </w:p>
    <w:p w:rsidR="00FD5EA7" w:rsidRDefault="00D30E29" w:rsidP="0013391A">
      <w:r w:rsidRPr="00417531">
        <w:t xml:space="preserve">Experimental results suggest that </w:t>
      </w:r>
      <w:r>
        <w:t>NO</w:t>
      </w:r>
      <w:r w:rsidRPr="00417531">
        <w:t xml:space="preserve"> and </w:t>
      </w:r>
      <w:r>
        <w:t>NO</w:t>
      </w:r>
      <w:r w:rsidRPr="00D30E29">
        <w:rPr>
          <w:vertAlign w:val="subscript"/>
        </w:rPr>
        <w:t>2</w:t>
      </w:r>
      <w:r w:rsidRPr="00417531">
        <w:t xml:space="preserve"> can react chemically with the surfactant and/or the surfactant proteins.</w:t>
      </w:r>
      <w:r w:rsidRPr="00001C82">
        <w:t xml:space="preserve"> </w:t>
      </w:r>
    </w:p>
    <w:p w:rsidR="00FE6653" w:rsidRDefault="00F4609F" w:rsidP="0013391A">
      <w:pPr>
        <w:pStyle w:val="Heading2"/>
      </w:pPr>
      <w:r w:rsidRPr="000E3C97">
        <w:rPr>
          <w:bCs/>
        </w:rPr>
        <w:t xml:space="preserve">ADVERSE </w:t>
      </w:r>
      <w:r w:rsidRPr="000E3C97">
        <w:rPr>
          <w:bCs/>
          <w:spacing w:val="-2"/>
        </w:rPr>
        <w:t>E</w:t>
      </w:r>
      <w:r w:rsidRPr="000E3C97">
        <w:rPr>
          <w:bCs/>
        </w:rPr>
        <w:t>FFECTS</w:t>
      </w:r>
    </w:p>
    <w:p w:rsidR="00FD5EA7" w:rsidRDefault="001C595D" w:rsidP="0013391A">
      <w:r w:rsidRPr="00AF7995">
        <w:t>Summary of safety profile</w:t>
      </w:r>
    </w:p>
    <w:p w:rsidR="00FD5EA7" w:rsidRDefault="00DC49FF" w:rsidP="0013391A">
      <w:r>
        <w:t xml:space="preserve">Approximately 1250 children and over 400 adults received </w:t>
      </w:r>
      <w:proofErr w:type="spellStart"/>
      <w:r>
        <w:t>iNO</w:t>
      </w:r>
      <w:proofErr w:type="spellEnd"/>
      <w:r>
        <w:t xml:space="preserve"> (the exact number cannot be determined) in the included publications and clinical studies conducted by the sponsor.</w:t>
      </w:r>
    </w:p>
    <w:p w:rsidR="006A3108" w:rsidRPr="00AF7995" w:rsidRDefault="006A3108" w:rsidP="0013391A">
      <w:r w:rsidRPr="00AF7995">
        <w:t xml:space="preserve">The most common adverse effects of </w:t>
      </w:r>
      <w:proofErr w:type="spellStart"/>
      <w:r w:rsidR="00413199">
        <w:t>iNO</w:t>
      </w:r>
      <w:proofErr w:type="spellEnd"/>
      <w:r w:rsidRPr="00AF7995">
        <w:t xml:space="preserve"> are as follows</w:t>
      </w:r>
      <w:r w:rsidR="00AF7995">
        <w:t>:</w:t>
      </w:r>
    </w:p>
    <w:p w:rsidR="00807F4D" w:rsidRDefault="003846DB" w:rsidP="0013391A">
      <w:r>
        <w:t>-</w:t>
      </w:r>
      <w:r w:rsidR="00807F4D" w:rsidRPr="00B835A9">
        <w:t xml:space="preserve">Abrupt discontinuation of the administration of </w:t>
      </w:r>
      <w:proofErr w:type="spellStart"/>
      <w:r w:rsidR="00DC49FF">
        <w:t>iNO</w:t>
      </w:r>
      <w:proofErr w:type="spellEnd"/>
      <w:r w:rsidR="00807F4D" w:rsidRPr="00B835A9">
        <w:t xml:space="preserve"> may cause rebound reaction</w:t>
      </w:r>
      <w:r w:rsidR="00DC49FF">
        <w:t xml:space="preserve"> such as increased PAP and hypoxaemia, precipitating cardiovascular collapse</w:t>
      </w:r>
      <w:r w:rsidR="00807F4D" w:rsidRPr="00B835A9">
        <w:t>. The rebound may be seen early as well as late during therapy.</w:t>
      </w:r>
      <w:r w:rsidR="00DC49FF">
        <w:t xml:space="preserve"> (See DOSAGE AND ADMINISTRATION/discontinuation of therapy)</w:t>
      </w:r>
    </w:p>
    <w:p w:rsidR="003846DB" w:rsidRDefault="003846DB" w:rsidP="0013391A">
      <w:r>
        <w:t xml:space="preserve">- </w:t>
      </w:r>
      <w:r w:rsidR="006A3108" w:rsidRPr="0023388B">
        <w:rPr>
          <w:spacing w:val="-1"/>
          <w:w w:val="105"/>
          <w:lang w:val="en-GB"/>
        </w:rPr>
        <w:t xml:space="preserve">After inhalation, </w:t>
      </w:r>
      <w:r w:rsidR="006A3108">
        <w:rPr>
          <w:spacing w:val="-1"/>
          <w:w w:val="105"/>
          <w:lang w:val="en-GB"/>
        </w:rPr>
        <w:t xml:space="preserve">one of </w:t>
      </w:r>
      <w:r w:rsidR="006A3108" w:rsidRPr="0023388B">
        <w:rPr>
          <w:spacing w:val="-1"/>
          <w:w w:val="105"/>
          <w:lang w:val="en-GB"/>
        </w:rPr>
        <w:t xml:space="preserve">the terminal compounds of </w:t>
      </w:r>
      <w:r w:rsidR="004F7916">
        <w:rPr>
          <w:spacing w:val="-1"/>
          <w:w w:val="105"/>
          <w:lang w:val="en-GB"/>
        </w:rPr>
        <w:t>NO</w:t>
      </w:r>
      <w:r w:rsidR="006A3108" w:rsidRPr="0023388B">
        <w:rPr>
          <w:spacing w:val="-1"/>
          <w:w w:val="105"/>
          <w:lang w:val="en-GB"/>
        </w:rPr>
        <w:t xml:space="preserve"> found in the systemic circulation </w:t>
      </w:r>
      <w:r w:rsidR="006A3108">
        <w:rPr>
          <w:spacing w:val="-1"/>
          <w:w w:val="105"/>
          <w:lang w:val="en-GB"/>
        </w:rPr>
        <w:t>is</w:t>
      </w:r>
      <w:r w:rsidR="006A3108" w:rsidRPr="0023388B">
        <w:rPr>
          <w:spacing w:val="-1"/>
          <w:w w:val="105"/>
          <w:lang w:val="en-GB"/>
        </w:rPr>
        <w:t xml:space="preserve"> </w:t>
      </w:r>
      <w:r w:rsidR="006A3108" w:rsidRPr="00B4621F">
        <w:rPr>
          <w:spacing w:val="-1"/>
          <w:w w:val="105"/>
          <w:lang w:val="en-GB"/>
        </w:rPr>
        <w:t>meth</w:t>
      </w:r>
      <w:r w:rsidR="006A3108">
        <w:rPr>
          <w:spacing w:val="-1"/>
          <w:w w:val="105"/>
          <w:lang w:val="en-GB"/>
        </w:rPr>
        <w:t>a</w:t>
      </w:r>
      <w:r w:rsidR="006A3108" w:rsidRPr="00B4621F">
        <w:rPr>
          <w:spacing w:val="-1"/>
          <w:w w:val="105"/>
          <w:lang w:val="en-GB"/>
        </w:rPr>
        <w:t>emoglobin</w:t>
      </w:r>
      <w:r w:rsidR="006A3108">
        <w:rPr>
          <w:spacing w:val="-1"/>
          <w:w w:val="105"/>
          <w:lang w:val="en-GB"/>
        </w:rPr>
        <w:t>, which may cause increased</w:t>
      </w:r>
      <w:r w:rsidR="006A3108" w:rsidRPr="00B4621F">
        <w:rPr>
          <w:spacing w:val="-1"/>
          <w:w w:val="105"/>
          <w:lang w:val="en-GB"/>
        </w:rPr>
        <w:t xml:space="preserve"> </w:t>
      </w:r>
      <w:proofErr w:type="spellStart"/>
      <w:r w:rsidRPr="001C595D">
        <w:t>methaemoglobin</w:t>
      </w:r>
      <w:r w:rsidR="006A3108">
        <w:t>aemia</w:t>
      </w:r>
      <w:proofErr w:type="spellEnd"/>
      <w:r w:rsidR="006A3108">
        <w:t>.</w:t>
      </w:r>
    </w:p>
    <w:p w:rsidR="00183114" w:rsidRDefault="00183114" w:rsidP="0013391A">
      <w:r w:rsidRPr="005E1EE9">
        <w:t xml:space="preserve">No additional adverse effects were identified in studies conducted by the sponsor.  Published data from paediatric and adult studies in cardiac surgery support the known safety profile for </w:t>
      </w:r>
      <w:proofErr w:type="spellStart"/>
      <w:r w:rsidRPr="00183114">
        <w:t>iNO</w:t>
      </w:r>
      <w:proofErr w:type="spellEnd"/>
      <w:r>
        <w:t>.</w:t>
      </w:r>
    </w:p>
    <w:p w:rsidR="00FD5EA7" w:rsidRPr="00604FD7" w:rsidRDefault="003767BD" w:rsidP="00604FD7">
      <w:pPr>
        <w:pStyle w:val="Heading3"/>
        <w:rPr>
          <w:b w:val="0"/>
          <w:u w:val="single"/>
        </w:rPr>
      </w:pPr>
      <w:r w:rsidRPr="00604FD7">
        <w:rPr>
          <w:b w:val="0"/>
          <w:u w:val="single"/>
        </w:rPr>
        <w:t>Tabulated list of adverse reactions</w:t>
      </w:r>
    </w:p>
    <w:p w:rsidR="00A5667C" w:rsidRDefault="00320243" w:rsidP="00A5667C">
      <w:r>
        <w:t xml:space="preserve">Published adverse reactions are listed according to </w:t>
      </w:r>
      <w:proofErr w:type="spellStart"/>
      <w:r>
        <w:t>MedDRA</w:t>
      </w:r>
      <w:proofErr w:type="spellEnd"/>
      <w:r>
        <w:t xml:space="preserve"> frequency convent</w:t>
      </w:r>
      <w:r w:rsidR="003767BD" w:rsidRPr="001C595D">
        <w:t>ion (very common (≥ 1/10), common (≥ 1/100 to &lt;1/10), uncommon (≥ 1/1,000 to &lt;1/100), rare (≥ 1/10,000 to &lt;1/1,000), very rare (&lt;1/10,000), not known (cannot be estimated from the available data)).</w:t>
      </w:r>
      <w:r w:rsidR="00A5667C">
        <w:br w:type="page"/>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 a list of adverse reactions"/>
      </w:tblPr>
      <w:tblGrid>
        <w:gridCol w:w="1984"/>
        <w:gridCol w:w="1560"/>
        <w:gridCol w:w="1417"/>
        <w:gridCol w:w="1559"/>
        <w:gridCol w:w="851"/>
        <w:gridCol w:w="992"/>
        <w:gridCol w:w="1701"/>
      </w:tblGrid>
      <w:tr w:rsidR="001C595D" w:rsidRPr="001C595D" w:rsidTr="001D077E">
        <w:trPr>
          <w:tblHeader/>
        </w:trPr>
        <w:tc>
          <w:tcPr>
            <w:tcW w:w="1984" w:type="dxa"/>
            <w:shd w:val="clear" w:color="auto" w:fill="auto"/>
          </w:tcPr>
          <w:p w:rsidR="001C595D" w:rsidRPr="00CC3F1F" w:rsidRDefault="001C595D" w:rsidP="00D16E03">
            <w:pPr>
              <w:rPr>
                <w:rStyle w:val="Strong"/>
              </w:rPr>
            </w:pPr>
            <w:bookmarkStart w:id="0" w:name="_GoBack" w:colFirst="0" w:colLast="7"/>
            <w:r w:rsidRPr="00CC3F1F">
              <w:rPr>
                <w:rStyle w:val="Strong"/>
              </w:rPr>
              <w:lastRenderedPageBreak/>
              <w:t>System organ class</w:t>
            </w:r>
          </w:p>
        </w:tc>
        <w:tc>
          <w:tcPr>
            <w:tcW w:w="1560" w:type="dxa"/>
            <w:shd w:val="clear" w:color="auto" w:fill="auto"/>
          </w:tcPr>
          <w:p w:rsidR="001C595D" w:rsidRPr="00CC3F1F" w:rsidRDefault="001C595D" w:rsidP="00D16E03">
            <w:pPr>
              <w:jc w:val="both"/>
              <w:rPr>
                <w:rStyle w:val="Strong"/>
              </w:rPr>
            </w:pPr>
            <w:r w:rsidRPr="00CC3F1F">
              <w:rPr>
                <w:rStyle w:val="Strong"/>
              </w:rPr>
              <w:t>Very common</w:t>
            </w:r>
          </w:p>
        </w:tc>
        <w:tc>
          <w:tcPr>
            <w:tcW w:w="1417" w:type="dxa"/>
            <w:shd w:val="clear" w:color="auto" w:fill="auto"/>
          </w:tcPr>
          <w:p w:rsidR="001C595D" w:rsidRPr="00CC3F1F" w:rsidRDefault="001C595D" w:rsidP="00D16E03">
            <w:pPr>
              <w:ind w:left="188"/>
              <w:jc w:val="both"/>
              <w:rPr>
                <w:rStyle w:val="Strong"/>
              </w:rPr>
            </w:pPr>
            <w:r w:rsidRPr="00CC3F1F">
              <w:rPr>
                <w:rStyle w:val="Strong"/>
              </w:rPr>
              <w:t>Common</w:t>
            </w:r>
          </w:p>
        </w:tc>
        <w:tc>
          <w:tcPr>
            <w:tcW w:w="1559" w:type="dxa"/>
          </w:tcPr>
          <w:p w:rsidR="001C595D" w:rsidRPr="00CC3F1F" w:rsidRDefault="001C595D" w:rsidP="00D16E03">
            <w:pPr>
              <w:ind w:left="30"/>
              <w:jc w:val="both"/>
              <w:rPr>
                <w:rStyle w:val="Strong"/>
              </w:rPr>
            </w:pPr>
            <w:r w:rsidRPr="00CC3F1F">
              <w:rPr>
                <w:rStyle w:val="Strong"/>
              </w:rPr>
              <w:t>Uncommon</w:t>
            </w:r>
          </w:p>
        </w:tc>
        <w:tc>
          <w:tcPr>
            <w:tcW w:w="851" w:type="dxa"/>
          </w:tcPr>
          <w:p w:rsidR="001C595D" w:rsidRPr="00CC3F1F" w:rsidRDefault="001C595D" w:rsidP="00D16E03">
            <w:pPr>
              <w:ind w:left="30"/>
              <w:jc w:val="both"/>
              <w:rPr>
                <w:rStyle w:val="Strong"/>
              </w:rPr>
            </w:pPr>
            <w:r w:rsidRPr="00CC3F1F">
              <w:rPr>
                <w:rStyle w:val="Strong"/>
              </w:rPr>
              <w:t>Rare</w:t>
            </w:r>
          </w:p>
        </w:tc>
        <w:tc>
          <w:tcPr>
            <w:tcW w:w="992" w:type="dxa"/>
          </w:tcPr>
          <w:p w:rsidR="001C595D" w:rsidRPr="00CC3F1F" w:rsidRDefault="001C595D" w:rsidP="001C595D">
            <w:pPr>
              <w:spacing w:after="0"/>
              <w:ind w:left="30"/>
              <w:jc w:val="both"/>
              <w:rPr>
                <w:rStyle w:val="Strong"/>
              </w:rPr>
            </w:pPr>
            <w:r w:rsidRPr="00CC3F1F">
              <w:rPr>
                <w:rStyle w:val="Strong"/>
              </w:rPr>
              <w:t>Very</w:t>
            </w:r>
          </w:p>
          <w:p w:rsidR="001C595D" w:rsidRPr="00CC3F1F" w:rsidRDefault="001C595D" w:rsidP="001C595D">
            <w:pPr>
              <w:jc w:val="both"/>
              <w:rPr>
                <w:rStyle w:val="Strong"/>
              </w:rPr>
            </w:pPr>
            <w:r w:rsidRPr="00CC3F1F">
              <w:rPr>
                <w:rStyle w:val="Strong"/>
              </w:rPr>
              <w:t>rare</w:t>
            </w:r>
          </w:p>
        </w:tc>
        <w:tc>
          <w:tcPr>
            <w:tcW w:w="1701" w:type="dxa"/>
            <w:shd w:val="clear" w:color="auto" w:fill="auto"/>
          </w:tcPr>
          <w:p w:rsidR="001C595D" w:rsidRPr="00CC3F1F" w:rsidRDefault="001C595D" w:rsidP="00D16E03">
            <w:pPr>
              <w:ind w:left="30"/>
              <w:jc w:val="both"/>
              <w:rPr>
                <w:rStyle w:val="Strong"/>
              </w:rPr>
            </w:pPr>
            <w:r w:rsidRPr="00CC3F1F">
              <w:rPr>
                <w:rStyle w:val="Strong"/>
              </w:rPr>
              <w:t>Not known</w:t>
            </w:r>
          </w:p>
        </w:tc>
      </w:tr>
      <w:tr w:rsidR="001C595D" w:rsidRPr="001C595D" w:rsidTr="001D077E">
        <w:tc>
          <w:tcPr>
            <w:tcW w:w="1984" w:type="dxa"/>
            <w:shd w:val="clear" w:color="auto" w:fill="auto"/>
          </w:tcPr>
          <w:p w:rsidR="001C595D" w:rsidRPr="001C595D" w:rsidRDefault="001C595D" w:rsidP="00D16E03">
            <w:r w:rsidRPr="001C595D">
              <w:t>Blood and lymphatic system disorders</w:t>
            </w:r>
          </w:p>
        </w:tc>
        <w:tc>
          <w:tcPr>
            <w:tcW w:w="1560" w:type="dxa"/>
            <w:shd w:val="clear" w:color="auto" w:fill="auto"/>
          </w:tcPr>
          <w:p w:rsidR="001C595D" w:rsidRPr="001C595D" w:rsidRDefault="001C595D" w:rsidP="001C595D">
            <w:pPr>
              <w:spacing w:after="0"/>
              <w:jc w:val="both"/>
            </w:pPr>
            <w:proofErr w:type="spellStart"/>
            <w:r w:rsidRPr="001C595D">
              <w:t>Thrombo</w:t>
            </w:r>
            <w:proofErr w:type="spellEnd"/>
            <w:r w:rsidRPr="001C595D">
              <w:t>-</w:t>
            </w:r>
          </w:p>
          <w:p w:rsidR="001C595D" w:rsidRPr="001C595D" w:rsidRDefault="001C595D" w:rsidP="00D16E03">
            <w:pPr>
              <w:jc w:val="both"/>
            </w:pPr>
            <w:proofErr w:type="spellStart"/>
            <w:r w:rsidRPr="001C595D">
              <w:t>cytopenia</w:t>
            </w:r>
            <w:r w:rsidRPr="001C595D">
              <w:rPr>
                <w:vertAlign w:val="superscript"/>
              </w:rPr>
              <w:t>a</w:t>
            </w:r>
            <w:proofErr w:type="spellEnd"/>
          </w:p>
        </w:tc>
        <w:tc>
          <w:tcPr>
            <w:tcW w:w="1417" w:type="dxa"/>
            <w:shd w:val="clear" w:color="auto" w:fill="auto"/>
          </w:tcPr>
          <w:p w:rsidR="001C595D" w:rsidRPr="001C595D" w:rsidRDefault="001C595D" w:rsidP="00D16E03">
            <w:pPr>
              <w:ind w:left="188"/>
              <w:jc w:val="both"/>
            </w:pPr>
            <w:r w:rsidRPr="001C595D">
              <w:t>-</w:t>
            </w:r>
          </w:p>
        </w:tc>
        <w:tc>
          <w:tcPr>
            <w:tcW w:w="1559" w:type="dxa"/>
          </w:tcPr>
          <w:p w:rsidR="001C595D" w:rsidRPr="001C595D" w:rsidRDefault="001C595D" w:rsidP="00783EF3">
            <w:pPr>
              <w:ind w:left="30"/>
            </w:pPr>
            <w:proofErr w:type="spellStart"/>
            <w:r w:rsidRPr="001C595D">
              <w:t>Methaemoglobinaemia</w:t>
            </w:r>
            <w:proofErr w:type="spellEnd"/>
            <w:r w:rsidR="00E846E5">
              <w:t xml:space="preserve"> </w:t>
            </w:r>
            <w:r w:rsidR="006527B4">
              <w:rPr>
                <w:vertAlign w:val="superscript"/>
              </w:rPr>
              <w:t>a</w:t>
            </w:r>
          </w:p>
        </w:tc>
        <w:tc>
          <w:tcPr>
            <w:tcW w:w="851" w:type="dxa"/>
          </w:tcPr>
          <w:p w:rsidR="001C595D" w:rsidRPr="001C595D" w:rsidRDefault="001C595D" w:rsidP="00D16E03">
            <w:pPr>
              <w:ind w:left="30"/>
            </w:pPr>
            <w:r w:rsidRPr="001C595D">
              <w:t>-</w:t>
            </w:r>
          </w:p>
        </w:tc>
        <w:tc>
          <w:tcPr>
            <w:tcW w:w="992" w:type="dxa"/>
          </w:tcPr>
          <w:p w:rsidR="001C595D" w:rsidRPr="001C595D" w:rsidRDefault="001C595D" w:rsidP="00D16E03">
            <w:pPr>
              <w:ind w:left="30"/>
            </w:pPr>
            <w:r w:rsidRPr="001C595D">
              <w:t>-</w:t>
            </w:r>
          </w:p>
        </w:tc>
        <w:tc>
          <w:tcPr>
            <w:tcW w:w="1701" w:type="dxa"/>
            <w:shd w:val="clear" w:color="auto" w:fill="auto"/>
          </w:tcPr>
          <w:p w:rsidR="001C595D" w:rsidRPr="001C595D" w:rsidRDefault="001C595D" w:rsidP="00D16E03">
            <w:pPr>
              <w:ind w:left="30"/>
            </w:pPr>
            <w:r w:rsidRPr="001C595D">
              <w:t>-</w:t>
            </w:r>
          </w:p>
        </w:tc>
      </w:tr>
      <w:tr w:rsidR="001C595D" w:rsidRPr="001C595D" w:rsidTr="001D077E">
        <w:tc>
          <w:tcPr>
            <w:tcW w:w="1984" w:type="dxa"/>
            <w:shd w:val="clear" w:color="auto" w:fill="auto"/>
          </w:tcPr>
          <w:p w:rsidR="001C595D" w:rsidRPr="001C595D" w:rsidRDefault="001C595D" w:rsidP="001C595D">
            <w:r w:rsidRPr="001C595D">
              <w:t>Metabolism and nutrition disorders</w:t>
            </w:r>
          </w:p>
        </w:tc>
        <w:tc>
          <w:tcPr>
            <w:tcW w:w="1560" w:type="dxa"/>
            <w:shd w:val="clear" w:color="auto" w:fill="auto"/>
          </w:tcPr>
          <w:p w:rsidR="001C595D" w:rsidRPr="001C595D" w:rsidRDefault="001C595D" w:rsidP="00D16E03">
            <w:pPr>
              <w:jc w:val="both"/>
            </w:pPr>
          </w:p>
        </w:tc>
        <w:tc>
          <w:tcPr>
            <w:tcW w:w="1417" w:type="dxa"/>
            <w:shd w:val="clear" w:color="auto" w:fill="auto"/>
          </w:tcPr>
          <w:p w:rsidR="001C595D" w:rsidRPr="001C595D" w:rsidRDefault="001C595D" w:rsidP="00D16E03">
            <w:pPr>
              <w:ind w:left="188"/>
              <w:jc w:val="both"/>
            </w:pPr>
            <w:r w:rsidRPr="001C595D">
              <w:t>-</w:t>
            </w:r>
          </w:p>
        </w:tc>
        <w:tc>
          <w:tcPr>
            <w:tcW w:w="1559" w:type="dxa"/>
          </w:tcPr>
          <w:p w:rsidR="001C595D" w:rsidRPr="001C595D" w:rsidRDefault="001C595D" w:rsidP="00D16E03">
            <w:pPr>
              <w:ind w:left="30"/>
              <w:jc w:val="both"/>
            </w:pPr>
          </w:p>
        </w:tc>
        <w:tc>
          <w:tcPr>
            <w:tcW w:w="851" w:type="dxa"/>
          </w:tcPr>
          <w:p w:rsidR="001C595D" w:rsidRPr="001C595D" w:rsidRDefault="001C595D" w:rsidP="00D16E03">
            <w:pPr>
              <w:ind w:left="30"/>
              <w:jc w:val="both"/>
            </w:pPr>
          </w:p>
        </w:tc>
        <w:tc>
          <w:tcPr>
            <w:tcW w:w="992" w:type="dxa"/>
          </w:tcPr>
          <w:p w:rsidR="001C595D" w:rsidRPr="001C595D" w:rsidRDefault="001C595D" w:rsidP="00D16E03">
            <w:pPr>
              <w:ind w:left="30"/>
              <w:jc w:val="both"/>
            </w:pPr>
          </w:p>
        </w:tc>
        <w:tc>
          <w:tcPr>
            <w:tcW w:w="1701" w:type="dxa"/>
            <w:shd w:val="clear" w:color="auto" w:fill="auto"/>
          </w:tcPr>
          <w:p w:rsidR="001C595D" w:rsidRPr="001C595D" w:rsidRDefault="001C595D" w:rsidP="00D16E03">
            <w:pPr>
              <w:ind w:left="30"/>
              <w:jc w:val="both"/>
            </w:pPr>
            <w:r w:rsidRPr="001C595D">
              <w:t>-</w:t>
            </w:r>
          </w:p>
        </w:tc>
      </w:tr>
      <w:tr w:rsidR="001C595D" w:rsidRPr="001C595D" w:rsidTr="001D077E">
        <w:tc>
          <w:tcPr>
            <w:tcW w:w="1984" w:type="dxa"/>
            <w:shd w:val="clear" w:color="auto" w:fill="auto"/>
          </w:tcPr>
          <w:p w:rsidR="001C595D" w:rsidRPr="001C595D" w:rsidRDefault="001C595D" w:rsidP="00D16E03">
            <w:pPr>
              <w:jc w:val="both"/>
            </w:pPr>
            <w:r w:rsidRPr="001C595D">
              <w:t>Nervous system disorders</w:t>
            </w:r>
          </w:p>
        </w:tc>
        <w:tc>
          <w:tcPr>
            <w:tcW w:w="1560" w:type="dxa"/>
            <w:shd w:val="clear" w:color="auto" w:fill="auto"/>
          </w:tcPr>
          <w:p w:rsidR="001C595D" w:rsidRPr="001C595D" w:rsidRDefault="001C595D" w:rsidP="00D16E03">
            <w:pPr>
              <w:jc w:val="both"/>
            </w:pPr>
            <w:r w:rsidRPr="001C595D">
              <w:t>-</w:t>
            </w:r>
          </w:p>
        </w:tc>
        <w:tc>
          <w:tcPr>
            <w:tcW w:w="1417" w:type="dxa"/>
            <w:shd w:val="clear" w:color="auto" w:fill="auto"/>
          </w:tcPr>
          <w:p w:rsidR="001C595D" w:rsidRPr="001C595D" w:rsidRDefault="001C595D" w:rsidP="00D16E03">
            <w:pPr>
              <w:ind w:left="188"/>
              <w:jc w:val="both"/>
            </w:pPr>
            <w:r w:rsidRPr="001C595D">
              <w:t>-</w:t>
            </w:r>
          </w:p>
        </w:tc>
        <w:tc>
          <w:tcPr>
            <w:tcW w:w="1559" w:type="dxa"/>
          </w:tcPr>
          <w:p w:rsidR="001C595D" w:rsidRPr="001C595D" w:rsidRDefault="001C595D" w:rsidP="00D16E03">
            <w:pPr>
              <w:ind w:left="30"/>
              <w:jc w:val="both"/>
            </w:pPr>
            <w:r w:rsidRPr="001C595D">
              <w:t>-</w:t>
            </w:r>
          </w:p>
        </w:tc>
        <w:tc>
          <w:tcPr>
            <w:tcW w:w="851" w:type="dxa"/>
          </w:tcPr>
          <w:p w:rsidR="001C595D" w:rsidRPr="001C595D" w:rsidRDefault="001C595D" w:rsidP="00D16E03">
            <w:pPr>
              <w:ind w:left="30"/>
              <w:jc w:val="both"/>
            </w:pPr>
            <w:r w:rsidRPr="001C595D">
              <w:t>-</w:t>
            </w:r>
          </w:p>
        </w:tc>
        <w:tc>
          <w:tcPr>
            <w:tcW w:w="992" w:type="dxa"/>
          </w:tcPr>
          <w:p w:rsidR="001C595D" w:rsidRPr="001C595D" w:rsidRDefault="001C595D" w:rsidP="00D16E03">
            <w:pPr>
              <w:ind w:left="30"/>
              <w:jc w:val="both"/>
            </w:pPr>
            <w:r w:rsidRPr="001C595D">
              <w:t>-</w:t>
            </w:r>
          </w:p>
        </w:tc>
        <w:tc>
          <w:tcPr>
            <w:tcW w:w="1701" w:type="dxa"/>
            <w:shd w:val="clear" w:color="auto" w:fill="auto"/>
          </w:tcPr>
          <w:p w:rsidR="001C595D" w:rsidRPr="001C595D" w:rsidRDefault="001C595D" w:rsidP="001C595D">
            <w:pPr>
              <w:spacing w:after="0"/>
              <w:ind w:left="30"/>
              <w:jc w:val="both"/>
            </w:pPr>
            <w:proofErr w:type="spellStart"/>
            <w:r w:rsidRPr="001C595D">
              <w:t>Headache</w:t>
            </w:r>
            <w:r w:rsidRPr="001C595D">
              <w:rPr>
                <w:vertAlign w:val="superscript"/>
              </w:rPr>
              <w:t>c</w:t>
            </w:r>
            <w:proofErr w:type="spellEnd"/>
          </w:p>
          <w:p w:rsidR="001C595D" w:rsidRPr="001C595D" w:rsidRDefault="001C595D" w:rsidP="001C595D">
            <w:pPr>
              <w:ind w:left="30"/>
              <w:jc w:val="both"/>
            </w:pPr>
            <w:proofErr w:type="spellStart"/>
            <w:r w:rsidRPr="001C595D">
              <w:t>Dizziness</w:t>
            </w:r>
            <w:r w:rsidRPr="001C595D">
              <w:rPr>
                <w:vertAlign w:val="superscript"/>
              </w:rPr>
              <w:t>c</w:t>
            </w:r>
            <w:proofErr w:type="spellEnd"/>
          </w:p>
        </w:tc>
      </w:tr>
      <w:tr w:rsidR="001C595D" w:rsidRPr="001C595D" w:rsidTr="001D077E">
        <w:tc>
          <w:tcPr>
            <w:tcW w:w="1984" w:type="dxa"/>
            <w:shd w:val="clear" w:color="auto" w:fill="auto"/>
          </w:tcPr>
          <w:p w:rsidR="001C595D" w:rsidRPr="001C595D" w:rsidRDefault="001C595D" w:rsidP="00D16E03">
            <w:pPr>
              <w:jc w:val="both"/>
            </w:pPr>
            <w:r w:rsidRPr="001C595D">
              <w:t>Vascular disorders</w:t>
            </w:r>
          </w:p>
        </w:tc>
        <w:tc>
          <w:tcPr>
            <w:tcW w:w="1560" w:type="dxa"/>
            <w:shd w:val="clear" w:color="auto" w:fill="auto"/>
          </w:tcPr>
          <w:p w:rsidR="001C595D" w:rsidRPr="001C595D" w:rsidRDefault="001C595D" w:rsidP="00D16E03">
            <w:pPr>
              <w:jc w:val="both"/>
            </w:pPr>
            <w:r w:rsidRPr="001C595D">
              <w:t>-</w:t>
            </w:r>
          </w:p>
        </w:tc>
        <w:tc>
          <w:tcPr>
            <w:tcW w:w="1417" w:type="dxa"/>
            <w:shd w:val="clear" w:color="auto" w:fill="auto"/>
          </w:tcPr>
          <w:p w:rsidR="001C595D" w:rsidRPr="001C595D" w:rsidRDefault="001C595D" w:rsidP="001C595D">
            <w:pPr>
              <w:ind w:left="33" w:hanging="33"/>
              <w:jc w:val="both"/>
            </w:pPr>
            <w:proofErr w:type="spellStart"/>
            <w:r w:rsidRPr="001C595D">
              <w:t>Hypotension</w:t>
            </w:r>
            <w:r w:rsidRPr="001C595D">
              <w:rPr>
                <w:vertAlign w:val="superscript"/>
              </w:rPr>
              <w:t>a,b,d</w:t>
            </w:r>
            <w:proofErr w:type="spellEnd"/>
            <w:r w:rsidRPr="001C595D">
              <w:t xml:space="preserve"> </w:t>
            </w:r>
          </w:p>
        </w:tc>
        <w:tc>
          <w:tcPr>
            <w:tcW w:w="1559" w:type="dxa"/>
          </w:tcPr>
          <w:p w:rsidR="001C595D" w:rsidRPr="001C595D" w:rsidRDefault="001C595D" w:rsidP="00D16E03">
            <w:pPr>
              <w:ind w:left="30"/>
              <w:jc w:val="both"/>
            </w:pPr>
            <w:r w:rsidRPr="001C595D">
              <w:t>-</w:t>
            </w:r>
          </w:p>
        </w:tc>
        <w:tc>
          <w:tcPr>
            <w:tcW w:w="851" w:type="dxa"/>
          </w:tcPr>
          <w:p w:rsidR="001C595D" w:rsidRPr="001C595D" w:rsidRDefault="001C595D" w:rsidP="00D16E03">
            <w:pPr>
              <w:ind w:left="30"/>
              <w:jc w:val="both"/>
            </w:pPr>
            <w:r w:rsidRPr="001C595D">
              <w:t>-</w:t>
            </w:r>
          </w:p>
        </w:tc>
        <w:tc>
          <w:tcPr>
            <w:tcW w:w="992" w:type="dxa"/>
          </w:tcPr>
          <w:p w:rsidR="001C595D" w:rsidRPr="001C595D" w:rsidRDefault="001C595D" w:rsidP="00D16E03">
            <w:pPr>
              <w:ind w:left="30"/>
              <w:jc w:val="both"/>
            </w:pPr>
            <w:r w:rsidRPr="001C595D">
              <w:t>-</w:t>
            </w:r>
          </w:p>
        </w:tc>
        <w:tc>
          <w:tcPr>
            <w:tcW w:w="1701" w:type="dxa"/>
            <w:shd w:val="clear" w:color="auto" w:fill="auto"/>
          </w:tcPr>
          <w:p w:rsidR="001C595D" w:rsidRPr="001C595D" w:rsidRDefault="001C595D" w:rsidP="00D16E03">
            <w:pPr>
              <w:ind w:left="30"/>
              <w:jc w:val="both"/>
            </w:pPr>
            <w:r w:rsidRPr="001C595D">
              <w:t>-</w:t>
            </w:r>
          </w:p>
        </w:tc>
      </w:tr>
      <w:tr w:rsidR="001C595D" w:rsidRPr="001C595D" w:rsidTr="001D077E">
        <w:trPr>
          <w:trHeight w:val="1297"/>
        </w:trPr>
        <w:tc>
          <w:tcPr>
            <w:tcW w:w="1984" w:type="dxa"/>
            <w:shd w:val="clear" w:color="auto" w:fill="auto"/>
          </w:tcPr>
          <w:p w:rsidR="001C595D" w:rsidRPr="001C595D" w:rsidRDefault="001C595D" w:rsidP="008C0006">
            <w:pPr>
              <w:spacing w:after="0"/>
            </w:pPr>
            <w:r w:rsidRPr="001C595D">
              <w:t>Cardiac disorders</w:t>
            </w:r>
          </w:p>
        </w:tc>
        <w:tc>
          <w:tcPr>
            <w:tcW w:w="1560" w:type="dxa"/>
            <w:shd w:val="clear" w:color="auto" w:fill="auto"/>
          </w:tcPr>
          <w:p w:rsidR="001C595D" w:rsidRPr="001C595D" w:rsidRDefault="001C595D" w:rsidP="00D16E03">
            <w:pPr>
              <w:jc w:val="both"/>
            </w:pPr>
            <w:r w:rsidRPr="001C595D">
              <w:t>-</w:t>
            </w:r>
          </w:p>
        </w:tc>
        <w:tc>
          <w:tcPr>
            <w:tcW w:w="1417" w:type="dxa"/>
            <w:shd w:val="clear" w:color="auto" w:fill="auto"/>
          </w:tcPr>
          <w:p w:rsidR="001C595D" w:rsidRPr="001C595D" w:rsidRDefault="001C595D" w:rsidP="00AE46A0">
            <w:pPr>
              <w:jc w:val="both"/>
            </w:pPr>
            <w:r w:rsidRPr="001C595D">
              <w:t>-</w:t>
            </w:r>
          </w:p>
        </w:tc>
        <w:tc>
          <w:tcPr>
            <w:tcW w:w="1559" w:type="dxa"/>
          </w:tcPr>
          <w:p w:rsidR="001C595D" w:rsidRPr="001C595D" w:rsidRDefault="001C595D" w:rsidP="00D16E03">
            <w:pPr>
              <w:ind w:left="30"/>
              <w:jc w:val="both"/>
            </w:pPr>
            <w:r w:rsidRPr="001C595D">
              <w:t>-</w:t>
            </w:r>
          </w:p>
        </w:tc>
        <w:tc>
          <w:tcPr>
            <w:tcW w:w="851" w:type="dxa"/>
          </w:tcPr>
          <w:p w:rsidR="001C595D" w:rsidRPr="001C595D" w:rsidRDefault="001C595D" w:rsidP="00D16E03">
            <w:pPr>
              <w:ind w:left="30"/>
              <w:jc w:val="both"/>
            </w:pPr>
            <w:r w:rsidRPr="001C595D">
              <w:t>-</w:t>
            </w:r>
          </w:p>
        </w:tc>
        <w:tc>
          <w:tcPr>
            <w:tcW w:w="992" w:type="dxa"/>
          </w:tcPr>
          <w:p w:rsidR="001C595D" w:rsidRPr="001C595D" w:rsidRDefault="001C595D" w:rsidP="00D16E03">
            <w:pPr>
              <w:ind w:left="30"/>
              <w:jc w:val="both"/>
            </w:pPr>
            <w:r w:rsidRPr="001C595D">
              <w:t>-</w:t>
            </w:r>
          </w:p>
        </w:tc>
        <w:tc>
          <w:tcPr>
            <w:tcW w:w="1701" w:type="dxa"/>
            <w:shd w:val="clear" w:color="auto" w:fill="auto"/>
          </w:tcPr>
          <w:p w:rsidR="001C595D" w:rsidRPr="001C595D" w:rsidRDefault="001C595D" w:rsidP="001C595D">
            <w:pPr>
              <w:spacing w:after="0"/>
              <w:ind w:left="30"/>
              <w:jc w:val="both"/>
            </w:pPr>
            <w:r w:rsidRPr="001C595D">
              <w:t xml:space="preserve">Bradycardia </w:t>
            </w:r>
            <w:r w:rsidRPr="001C595D">
              <w:rPr>
                <w:vertAlign w:val="superscript"/>
              </w:rPr>
              <w:t>b</w:t>
            </w:r>
          </w:p>
          <w:p w:rsidR="001C595D" w:rsidRPr="001C595D" w:rsidRDefault="001C595D" w:rsidP="001C595D">
            <w:pPr>
              <w:spacing w:after="0"/>
              <w:ind w:left="30"/>
            </w:pPr>
            <w:r w:rsidRPr="001C595D">
              <w:t>(following abrupt discontinuation of therapy)</w:t>
            </w:r>
          </w:p>
        </w:tc>
      </w:tr>
      <w:tr w:rsidR="001C595D" w:rsidRPr="001C595D" w:rsidTr="001D077E">
        <w:trPr>
          <w:trHeight w:val="1297"/>
        </w:trPr>
        <w:tc>
          <w:tcPr>
            <w:tcW w:w="1984" w:type="dxa"/>
            <w:shd w:val="clear" w:color="auto" w:fill="auto"/>
          </w:tcPr>
          <w:p w:rsidR="001C595D" w:rsidRPr="001C595D" w:rsidRDefault="001C595D" w:rsidP="008C0006">
            <w:pPr>
              <w:spacing w:after="0"/>
            </w:pPr>
            <w:r w:rsidRPr="001C595D">
              <w:t>Respiratory, thoracic and mediastinal disorders</w:t>
            </w:r>
          </w:p>
        </w:tc>
        <w:tc>
          <w:tcPr>
            <w:tcW w:w="1560" w:type="dxa"/>
            <w:shd w:val="clear" w:color="auto" w:fill="auto"/>
          </w:tcPr>
          <w:p w:rsidR="001C595D" w:rsidRPr="001C595D" w:rsidRDefault="001C595D" w:rsidP="00D16E03">
            <w:pPr>
              <w:jc w:val="both"/>
            </w:pPr>
            <w:r w:rsidRPr="001C595D">
              <w:t>-</w:t>
            </w:r>
          </w:p>
        </w:tc>
        <w:tc>
          <w:tcPr>
            <w:tcW w:w="1417" w:type="dxa"/>
            <w:shd w:val="clear" w:color="auto" w:fill="auto"/>
          </w:tcPr>
          <w:p w:rsidR="001C595D" w:rsidRPr="001C595D" w:rsidRDefault="001C595D" w:rsidP="00AE46A0">
            <w:pPr>
              <w:jc w:val="both"/>
            </w:pPr>
            <w:proofErr w:type="spellStart"/>
            <w:r w:rsidRPr="001C595D">
              <w:t>Atelectasis</w:t>
            </w:r>
            <w:r w:rsidRPr="001C595D">
              <w:rPr>
                <w:vertAlign w:val="superscript"/>
              </w:rPr>
              <w:t>a</w:t>
            </w:r>
            <w:proofErr w:type="spellEnd"/>
          </w:p>
          <w:p w:rsidR="001C595D" w:rsidRPr="001C595D" w:rsidRDefault="001C595D" w:rsidP="00D16E03">
            <w:pPr>
              <w:ind w:left="188"/>
              <w:jc w:val="both"/>
            </w:pPr>
          </w:p>
        </w:tc>
        <w:tc>
          <w:tcPr>
            <w:tcW w:w="1559" w:type="dxa"/>
          </w:tcPr>
          <w:p w:rsidR="001C595D" w:rsidRPr="001C595D" w:rsidRDefault="001C595D" w:rsidP="00D16E03">
            <w:pPr>
              <w:ind w:left="30"/>
              <w:jc w:val="both"/>
            </w:pPr>
          </w:p>
        </w:tc>
        <w:tc>
          <w:tcPr>
            <w:tcW w:w="851" w:type="dxa"/>
          </w:tcPr>
          <w:p w:rsidR="001C595D" w:rsidRPr="001C595D" w:rsidRDefault="001C595D" w:rsidP="00D16E03">
            <w:pPr>
              <w:ind w:left="30"/>
              <w:jc w:val="both"/>
            </w:pPr>
          </w:p>
        </w:tc>
        <w:tc>
          <w:tcPr>
            <w:tcW w:w="992" w:type="dxa"/>
          </w:tcPr>
          <w:p w:rsidR="001C595D" w:rsidRPr="001C595D" w:rsidRDefault="001C595D" w:rsidP="00D16E03">
            <w:pPr>
              <w:ind w:left="30"/>
              <w:jc w:val="both"/>
            </w:pPr>
          </w:p>
        </w:tc>
        <w:tc>
          <w:tcPr>
            <w:tcW w:w="1701" w:type="dxa"/>
            <w:shd w:val="clear" w:color="auto" w:fill="auto"/>
          </w:tcPr>
          <w:p w:rsidR="001C595D" w:rsidRPr="001C595D" w:rsidRDefault="001C595D" w:rsidP="001C595D">
            <w:pPr>
              <w:spacing w:after="0"/>
              <w:ind w:left="30"/>
              <w:jc w:val="both"/>
            </w:pPr>
            <w:proofErr w:type="spellStart"/>
            <w:r w:rsidRPr="001C595D">
              <w:t>Hypoxia</w:t>
            </w:r>
            <w:r w:rsidRPr="001C595D">
              <w:rPr>
                <w:vertAlign w:val="superscript"/>
              </w:rPr>
              <w:t>b,d</w:t>
            </w:r>
            <w:proofErr w:type="spellEnd"/>
          </w:p>
          <w:p w:rsidR="001C595D" w:rsidRPr="001C595D" w:rsidRDefault="001C595D" w:rsidP="001C595D">
            <w:pPr>
              <w:spacing w:after="0"/>
              <w:ind w:left="30"/>
              <w:jc w:val="both"/>
            </w:pPr>
            <w:proofErr w:type="spellStart"/>
            <w:r w:rsidRPr="001C595D">
              <w:t>Dyspnea</w:t>
            </w:r>
            <w:r w:rsidRPr="001C595D">
              <w:rPr>
                <w:vertAlign w:val="superscript"/>
              </w:rPr>
              <w:t>c</w:t>
            </w:r>
            <w:proofErr w:type="spellEnd"/>
          </w:p>
          <w:p w:rsidR="001C595D" w:rsidRPr="001C595D" w:rsidRDefault="001C595D" w:rsidP="001C595D">
            <w:pPr>
              <w:spacing w:after="0"/>
              <w:ind w:left="30"/>
              <w:jc w:val="both"/>
            </w:pPr>
            <w:r w:rsidRPr="001C595D">
              <w:t xml:space="preserve">Chest </w:t>
            </w:r>
            <w:proofErr w:type="spellStart"/>
            <w:r w:rsidRPr="001C595D">
              <w:t>discomfort</w:t>
            </w:r>
            <w:r w:rsidRPr="001C595D">
              <w:rPr>
                <w:vertAlign w:val="superscript"/>
              </w:rPr>
              <w:t>c</w:t>
            </w:r>
            <w:proofErr w:type="spellEnd"/>
          </w:p>
          <w:p w:rsidR="001C595D" w:rsidRPr="001C595D" w:rsidRDefault="001C595D" w:rsidP="001C595D">
            <w:pPr>
              <w:spacing w:after="0"/>
              <w:ind w:left="30"/>
              <w:jc w:val="both"/>
            </w:pPr>
            <w:r w:rsidRPr="001C595D">
              <w:t xml:space="preserve">Dry </w:t>
            </w:r>
            <w:proofErr w:type="spellStart"/>
            <w:r w:rsidRPr="001C595D">
              <w:t>throat</w:t>
            </w:r>
            <w:r w:rsidRPr="001C595D">
              <w:rPr>
                <w:vertAlign w:val="superscript"/>
              </w:rPr>
              <w:t>c</w:t>
            </w:r>
            <w:proofErr w:type="spellEnd"/>
          </w:p>
        </w:tc>
      </w:tr>
    </w:tbl>
    <w:bookmarkEnd w:id="0"/>
    <w:p w:rsidR="001C595D" w:rsidRPr="001C595D" w:rsidRDefault="001C595D" w:rsidP="001C595D">
      <w:pPr>
        <w:spacing w:after="0"/>
        <w:ind w:left="284"/>
        <w:jc w:val="both"/>
        <w:rPr>
          <w:sz w:val="18"/>
          <w:szCs w:val="18"/>
        </w:rPr>
      </w:pPr>
      <w:proofErr w:type="gramStart"/>
      <w:r w:rsidRPr="001C595D">
        <w:rPr>
          <w:sz w:val="18"/>
          <w:szCs w:val="18"/>
        </w:rPr>
        <w:t>a</w:t>
      </w:r>
      <w:proofErr w:type="gramEnd"/>
      <w:r w:rsidRPr="001C595D">
        <w:rPr>
          <w:sz w:val="18"/>
          <w:szCs w:val="18"/>
        </w:rPr>
        <w:t>: Identified from clinical trial</w:t>
      </w:r>
      <w:r w:rsidR="00413199">
        <w:rPr>
          <w:sz w:val="18"/>
          <w:szCs w:val="18"/>
        </w:rPr>
        <w:t>s studying patients with persistent pulmonary hypertension of the newborn</w:t>
      </w:r>
    </w:p>
    <w:p w:rsidR="00FD5EA7" w:rsidRDefault="001C595D" w:rsidP="001C595D">
      <w:pPr>
        <w:spacing w:after="0"/>
        <w:ind w:left="284"/>
        <w:jc w:val="both"/>
        <w:rPr>
          <w:sz w:val="18"/>
          <w:szCs w:val="18"/>
        </w:rPr>
      </w:pPr>
      <w:proofErr w:type="gramStart"/>
      <w:r w:rsidRPr="001C595D">
        <w:rPr>
          <w:sz w:val="18"/>
          <w:szCs w:val="18"/>
        </w:rPr>
        <w:t>b</w:t>
      </w:r>
      <w:proofErr w:type="gramEnd"/>
      <w:r w:rsidRPr="001C595D">
        <w:rPr>
          <w:sz w:val="18"/>
          <w:szCs w:val="18"/>
        </w:rPr>
        <w:t>: Identified from Post-Marketing experience</w:t>
      </w:r>
    </w:p>
    <w:p w:rsidR="00FD5EA7" w:rsidRDefault="001C595D" w:rsidP="001C595D">
      <w:pPr>
        <w:spacing w:after="0"/>
        <w:ind w:left="284"/>
        <w:jc w:val="both"/>
        <w:rPr>
          <w:sz w:val="18"/>
          <w:szCs w:val="18"/>
        </w:rPr>
      </w:pPr>
      <w:proofErr w:type="gramStart"/>
      <w:r w:rsidRPr="001C595D">
        <w:rPr>
          <w:sz w:val="18"/>
          <w:szCs w:val="18"/>
        </w:rPr>
        <w:t>c</w:t>
      </w:r>
      <w:proofErr w:type="gramEnd"/>
      <w:r w:rsidRPr="001C595D">
        <w:rPr>
          <w:sz w:val="18"/>
          <w:szCs w:val="18"/>
        </w:rPr>
        <w:t>: Identified from Post-Marketing experience, experienced by healthcare personnel following accidental exposure</w:t>
      </w:r>
    </w:p>
    <w:p w:rsidR="001C595D" w:rsidRPr="001C595D" w:rsidRDefault="001C595D" w:rsidP="001C595D">
      <w:pPr>
        <w:spacing w:after="0"/>
        <w:ind w:left="284"/>
        <w:jc w:val="both"/>
        <w:rPr>
          <w:sz w:val="18"/>
          <w:szCs w:val="18"/>
        </w:rPr>
      </w:pPr>
      <w:proofErr w:type="gramStart"/>
      <w:r w:rsidRPr="001C595D">
        <w:rPr>
          <w:sz w:val="18"/>
          <w:szCs w:val="18"/>
        </w:rPr>
        <w:t>d</w:t>
      </w:r>
      <w:proofErr w:type="gramEnd"/>
      <w:r w:rsidRPr="001C595D">
        <w:rPr>
          <w:sz w:val="18"/>
          <w:szCs w:val="18"/>
        </w:rPr>
        <w:t>: Post Marketing Safety Surveillance (PMSS) data, effects associated with acute withdrawal of the medicinal product, and /or delivery system failures. Rapid rebound reactions such as intensified pulmonary vasoconstriction and hypoxia after sudden withdrawal of inhaled nitric oxide therapy has been described, precipitating cardiovascular collapse.</w:t>
      </w:r>
    </w:p>
    <w:p w:rsidR="00FD5EA7" w:rsidRDefault="004F7916" w:rsidP="00CC3F1F">
      <w:r>
        <w:t>Most of t</w:t>
      </w:r>
      <w:r w:rsidR="00AF4983" w:rsidRPr="00AF4983">
        <w:t>he  A</w:t>
      </w:r>
      <w:r>
        <w:t xml:space="preserve">dverse </w:t>
      </w:r>
      <w:r w:rsidR="00AF4983" w:rsidRPr="00AF4983">
        <w:t>E</w:t>
      </w:r>
      <w:r>
        <w:t>ffect</w:t>
      </w:r>
      <w:r w:rsidR="00AF4983" w:rsidRPr="00AF4983">
        <w:t>s</w:t>
      </w:r>
      <w:r>
        <w:t xml:space="preserve"> reported are from publications, the reporting of Adverse effects </w:t>
      </w:r>
      <w:r w:rsidR="00AF4983" w:rsidRPr="00AF4983">
        <w:t>was not standardised in publications</w:t>
      </w:r>
      <w:r>
        <w:t xml:space="preserve"> and may be limited</w:t>
      </w:r>
      <w:r w:rsidR="00AF4983" w:rsidRPr="00AF4983">
        <w:t xml:space="preserve">; </w:t>
      </w:r>
      <w:r>
        <w:t xml:space="preserve">adverse effects </w:t>
      </w:r>
      <w:r w:rsidR="00AF4983" w:rsidRPr="00AF4983">
        <w:t>and figures are sourced from studies (for which not all safety data w</w:t>
      </w:r>
      <w:r w:rsidR="00BE62AA">
        <w:t>as</w:t>
      </w:r>
      <w:r w:rsidR="00AF4983" w:rsidRPr="00AF4983">
        <w:t xml:space="preserve"> published in detail) and post-marketing surveillance </w:t>
      </w:r>
      <w:r>
        <w:t>(</w:t>
      </w:r>
      <w:r w:rsidR="00016D12">
        <w:t>which w</w:t>
      </w:r>
      <w:r w:rsidR="00BE62AA">
        <w:t>as</w:t>
      </w:r>
      <w:r w:rsidR="00016D12">
        <w:t xml:space="preserve"> not conducted by the sponsor or available to the sponsor</w:t>
      </w:r>
      <w:r>
        <w:t>)</w:t>
      </w:r>
      <w:r w:rsidR="00AF4983" w:rsidRPr="00AF4983">
        <w:t xml:space="preserve">. The </w:t>
      </w:r>
      <w:proofErr w:type="gramStart"/>
      <w:r w:rsidR="00AF4983" w:rsidRPr="00AF4983">
        <w:t xml:space="preserve">incidence of </w:t>
      </w:r>
      <w:r>
        <w:t xml:space="preserve">adverse effects </w:t>
      </w:r>
      <w:r w:rsidR="00AF4983" w:rsidRPr="00AF4983">
        <w:t>are</w:t>
      </w:r>
      <w:proofErr w:type="gramEnd"/>
      <w:r w:rsidR="00AF4983" w:rsidRPr="00AF4983">
        <w:t xml:space="preserve"> only approximations.</w:t>
      </w:r>
      <w:r>
        <w:t xml:space="preserve">  Not all listed adverse effects have been observed with the use of </w:t>
      </w:r>
      <w:proofErr w:type="spellStart"/>
      <w:r>
        <w:t>VasoKINOX</w:t>
      </w:r>
      <w:proofErr w:type="spellEnd"/>
      <w:r>
        <w:t xml:space="preserve"> by the sponsor.</w:t>
      </w:r>
    </w:p>
    <w:p w:rsidR="00125724" w:rsidRPr="003846DB" w:rsidRDefault="00BE7129" w:rsidP="00CC3F1F">
      <w:pPr>
        <w:pStyle w:val="Heading3"/>
      </w:pPr>
      <w:r w:rsidRPr="00E7352A">
        <w:t>Post-marketing experience</w:t>
      </w:r>
    </w:p>
    <w:p w:rsidR="00DE72EF" w:rsidRDefault="00AF4983" w:rsidP="00CC3F1F">
      <w:r w:rsidRPr="00AF4983">
        <w:t xml:space="preserve">Based on post-marketing experience, accidental; exposure to </w:t>
      </w:r>
      <w:proofErr w:type="spellStart"/>
      <w:r w:rsidR="00413199">
        <w:t>i</w:t>
      </w:r>
      <w:r w:rsidR="006A39BA">
        <w:t>NO</w:t>
      </w:r>
      <w:proofErr w:type="spellEnd"/>
      <w:r w:rsidRPr="00AF4983">
        <w:t xml:space="preserve"> in hospital staff has been associated with chest discomfort, dizziness, dry throat, dyspnoea and headache.</w:t>
      </w:r>
    </w:p>
    <w:p w:rsidR="00965373" w:rsidRDefault="00320243" w:rsidP="00CC3F1F">
      <w:r>
        <w:t>The post-marketing surveillance d</w:t>
      </w:r>
      <w:r w:rsidR="006527B4">
        <w:t>id</w:t>
      </w:r>
      <w:r>
        <w:t xml:space="preserve"> not identify other adverse effects than thos</w:t>
      </w:r>
      <w:r w:rsidR="003846DB">
        <w:t>e</w:t>
      </w:r>
      <w:r>
        <w:t xml:space="preserve"> already listed</w:t>
      </w:r>
      <w:r w:rsidR="006527B4">
        <w:t>.</w:t>
      </w:r>
    </w:p>
    <w:p w:rsidR="00F4609F" w:rsidRPr="000E3C97" w:rsidRDefault="00F4609F" w:rsidP="00604FD7">
      <w:pPr>
        <w:pStyle w:val="Heading2"/>
        <w:keepNext/>
        <w:widowControl/>
      </w:pPr>
      <w:r w:rsidRPr="000E3C97">
        <w:rPr>
          <w:bCs/>
        </w:rPr>
        <w:t>DOSAGE AND ADMINIS</w:t>
      </w:r>
      <w:r w:rsidRPr="000E3C97">
        <w:rPr>
          <w:bCs/>
          <w:spacing w:val="-2"/>
        </w:rPr>
        <w:t>T</w:t>
      </w:r>
      <w:r w:rsidRPr="000E3C97">
        <w:rPr>
          <w:bCs/>
        </w:rPr>
        <w:t>RATION</w:t>
      </w:r>
    </w:p>
    <w:p w:rsidR="00E56620" w:rsidRDefault="00E56620" w:rsidP="00604FD7">
      <w:pPr>
        <w:pStyle w:val="Heading3"/>
        <w:keepNext/>
        <w:widowControl/>
      </w:pPr>
      <w:r w:rsidRPr="000E3C97">
        <w:t>Dosage</w:t>
      </w:r>
    </w:p>
    <w:p w:rsidR="006A39BA" w:rsidRDefault="006A39BA" w:rsidP="00CC3F1F">
      <w:pPr>
        <w:rPr>
          <w:spacing w:val="-4"/>
          <w:w w:val="105"/>
          <w:lang w:val="en-GB"/>
        </w:rPr>
      </w:pPr>
      <w:r w:rsidRPr="0023388B">
        <w:rPr>
          <w:w w:val="105"/>
          <w:lang w:val="en-GB"/>
        </w:rPr>
        <w:t xml:space="preserve">Prescription of </w:t>
      </w:r>
      <w:r>
        <w:rPr>
          <w:w w:val="105"/>
          <w:lang w:val="en-GB"/>
        </w:rPr>
        <w:t>NO</w:t>
      </w:r>
      <w:r w:rsidRPr="0023388B">
        <w:rPr>
          <w:w w:val="105"/>
          <w:lang w:val="en-GB"/>
        </w:rPr>
        <w:t xml:space="preserve"> should be supervised by a physician experienced in cardiothoracic anaesthesia &amp; </w:t>
      </w:r>
      <w:r w:rsidRPr="0023388B">
        <w:rPr>
          <w:spacing w:val="-3"/>
          <w:w w:val="105"/>
          <w:lang w:val="en-GB"/>
        </w:rPr>
        <w:t xml:space="preserve">intensive care. Prescription should be limited to those cardio-thoracic units that have received adequate </w:t>
      </w:r>
      <w:r w:rsidRPr="0023388B">
        <w:rPr>
          <w:w w:val="105"/>
          <w:lang w:val="en-GB"/>
        </w:rPr>
        <w:t xml:space="preserve">training in the use of a </w:t>
      </w:r>
      <w:r>
        <w:rPr>
          <w:w w:val="105"/>
          <w:lang w:val="en-GB"/>
        </w:rPr>
        <w:t>NO</w:t>
      </w:r>
      <w:r w:rsidRPr="0023388B">
        <w:rPr>
          <w:w w:val="105"/>
          <w:lang w:val="en-GB"/>
        </w:rPr>
        <w:t xml:space="preserve"> delivery system. </w:t>
      </w:r>
      <w:proofErr w:type="spellStart"/>
      <w:r>
        <w:rPr>
          <w:w w:val="105"/>
          <w:lang w:val="en-GB"/>
        </w:rPr>
        <w:t>VasoKINOX</w:t>
      </w:r>
      <w:proofErr w:type="spellEnd"/>
      <w:r w:rsidRPr="0023388B">
        <w:rPr>
          <w:w w:val="105"/>
          <w:lang w:val="en-GB"/>
        </w:rPr>
        <w:t xml:space="preserve"> should only be delivered according to an </w:t>
      </w:r>
      <w:r w:rsidRPr="0023388B">
        <w:rPr>
          <w:spacing w:val="-4"/>
          <w:w w:val="105"/>
          <w:lang w:val="en-GB"/>
        </w:rPr>
        <w:t>anaesthetist’s or intensive care physician’s prescription.</w:t>
      </w:r>
    </w:p>
    <w:p w:rsidR="003B0E3D" w:rsidRPr="004C190E" w:rsidRDefault="003B0E3D" w:rsidP="00CC3F1F">
      <w:proofErr w:type="spellStart"/>
      <w:r>
        <w:t>VasoKINOX</w:t>
      </w:r>
      <w:proofErr w:type="spellEnd"/>
      <w:r w:rsidRPr="004C190E">
        <w:t xml:space="preserve"> should be used only after </w:t>
      </w:r>
      <w:r>
        <w:t>respiratory</w:t>
      </w:r>
      <w:r w:rsidRPr="004C190E">
        <w:t xml:space="preserve"> support has been optimised, </w:t>
      </w:r>
      <w:r>
        <w:t xml:space="preserve">according to the current clinical practices. </w:t>
      </w:r>
      <w:r w:rsidRPr="004C190E">
        <w:t xml:space="preserve"> Inhaled NO is usually given in addition to other standard treatment regimes in the peri-</w:t>
      </w:r>
      <w:r w:rsidRPr="004C190E">
        <w:lastRenderedPageBreak/>
        <w:t xml:space="preserve">operative setting, including inotropic and vasoactive medicinal products. </w:t>
      </w:r>
      <w:proofErr w:type="spellStart"/>
      <w:r>
        <w:t>VasoKINOX</w:t>
      </w:r>
      <w:proofErr w:type="spellEnd"/>
      <w:r w:rsidRPr="004C190E">
        <w:t xml:space="preserve"> should be administered under close monitoring of </w:t>
      </w:r>
      <w:proofErr w:type="spellStart"/>
      <w:r>
        <w:t>haem</w:t>
      </w:r>
      <w:r w:rsidRPr="004C190E">
        <w:t>odynamic</w:t>
      </w:r>
      <w:r>
        <w:t>s</w:t>
      </w:r>
      <w:proofErr w:type="spellEnd"/>
      <w:r w:rsidRPr="004C190E">
        <w:t xml:space="preserve"> and oxygenation.</w:t>
      </w:r>
    </w:p>
    <w:p w:rsidR="00FD5EA7" w:rsidRDefault="00E56620" w:rsidP="00CC3F1F">
      <w:pPr>
        <w:rPr>
          <w:spacing w:val="-7"/>
          <w:w w:val="105"/>
          <w:lang w:val="en-GB"/>
        </w:rPr>
      </w:pPr>
      <w:r w:rsidRPr="00E56620">
        <w:rPr>
          <w:spacing w:val="-7"/>
          <w:w w:val="105"/>
          <w:lang w:val="en-GB"/>
        </w:rPr>
        <w:t xml:space="preserve">Dosage is determined by the patient’s clinical condition (severity of </w:t>
      </w:r>
      <w:r w:rsidR="00B42398">
        <w:rPr>
          <w:spacing w:val="-7"/>
          <w:w w:val="105"/>
          <w:lang w:val="en-GB"/>
        </w:rPr>
        <w:t>pulmonary arterial hypertension)</w:t>
      </w:r>
      <w:r w:rsidRPr="00E56620">
        <w:rPr>
          <w:spacing w:val="-7"/>
          <w:w w:val="105"/>
          <w:lang w:val="en-GB"/>
        </w:rPr>
        <w:t xml:space="preserve"> and patient’s age.</w:t>
      </w:r>
    </w:p>
    <w:p w:rsidR="008D20EE" w:rsidRDefault="00A74863" w:rsidP="00CC3F1F">
      <w:r>
        <w:t>In children and adults, t</w:t>
      </w:r>
      <w:r w:rsidR="00E21244" w:rsidRPr="004C190E">
        <w:t xml:space="preserve">he recommended </w:t>
      </w:r>
      <w:r>
        <w:t xml:space="preserve">starting dose of </w:t>
      </w:r>
      <w:proofErr w:type="spellStart"/>
      <w:r>
        <w:t>iNO</w:t>
      </w:r>
      <w:proofErr w:type="spellEnd"/>
      <w:r>
        <w:t xml:space="preserve"> is 10 ppm of inhaled gas.  The lowest effectiv</w:t>
      </w:r>
      <w:r w:rsidR="009A6F24">
        <w:t>e dose should be administered.</w:t>
      </w:r>
      <w:r w:rsidR="00E56620">
        <w:t xml:space="preserve"> </w:t>
      </w:r>
      <w:r w:rsidR="00474D43" w:rsidRPr="00E56620">
        <w:t xml:space="preserve">The effects of </w:t>
      </w:r>
      <w:proofErr w:type="spellStart"/>
      <w:r w:rsidR="00474D43">
        <w:t>iNO</w:t>
      </w:r>
      <w:proofErr w:type="spellEnd"/>
      <w:r w:rsidR="00474D43" w:rsidRPr="00E56620">
        <w:t xml:space="preserve"> are rapid</w:t>
      </w:r>
      <w:r w:rsidR="00183114">
        <w:t xml:space="preserve"> </w:t>
      </w:r>
      <w:r w:rsidR="00474D43">
        <w:t>usually</w:t>
      </w:r>
      <w:r w:rsidR="00474D43" w:rsidRPr="00E56620">
        <w:t xml:space="preserve"> observed within 5-20 minutes. In case of insufficient response the dose may be titrated after a minimum of 10 minutes</w:t>
      </w:r>
      <w:r w:rsidR="00474D43">
        <w:t xml:space="preserve">. </w:t>
      </w:r>
      <w:r w:rsidR="00E56620">
        <w:t xml:space="preserve">The </w:t>
      </w:r>
      <w:r w:rsidR="00072076">
        <w:t xml:space="preserve">maximum </w:t>
      </w:r>
      <w:r w:rsidR="00E56620">
        <w:t>recommended is</w:t>
      </w:r>
      <w:r w:rsidR="00072076">
        <w:t xml:space="preserve"> 20 ppm</w:t>
      </w:r>
      <w:r w:rsidR="00E21244" w:rsidRPr="004C190E">
        <w:t>.</w:t>
      </w:r>
    </w:p>
    <w:p w:rsidR="00474D43" w:rsidRPr="00E56620" w:rsidRDefault="00474D43" w:rsidP="00CC3F1F">
      <w:r w:rsidRPr="00E56620">
        <w:t>Consideration should be given to discontinuation of treatment if no beneficial physiological effects are apparent after a 30-minute trial of therapy.</w:t>
      </w:r>
    </w:p>
    <w:p w:rsidR="008D20EE" w:rsidRDefault="00E56620" w:rsidP="00CC3F1F">
      <w:pPr>
        <w:rPr>
          <w:u w:val="single"/>
        </w:rPr>
      </w:pPr>
      <w:r w:rsidRPr="00E56620">
        <w:t>Treatment may be initiated at any time point in the peri-operative course to lower pulmonary pressure. In clinical studies treatment was often initiated before separation from Cardio Pulmonary</w:t>
      </w:r>
      <w:r w:rsidRPr="007E6FC2">
        <w:t xml:space="preserve"> Bypass. </w:t>
      </w:r>
      <w:r w:rsidR="00474D43" w:rsidRPr="004C190E">
        <w:t>The duration of treatment in this situation is variable according to the pathology, the population treated and pulmonary circulation remodelling.</w:t>
      </w:r>
      <w:r w:rsidR="00C609A2">
        <w:t xml:space="preserve">  </w:t>
      </w:r>
      <w:r w:rsidRPr="007E6FC2">
        <w:t>Inhaled NO has been given for time periods up to 7 days in the perioperative setting, but common treatment times are 24 -48 hours.</w:t>
      </w:r>
    </w:p>
    <w:p w:rsidR="00474D43" w:rsidRPr="004C190E" w:rsidRDefault="00474D43" w:rsidP="00CC3F1F">
      <w:r w:rsidRPr="00AF7995">
        <w:t>Clinical data supporting the suggested dose in the age range of 12-17 years is limited</w:t>
      </w:r>
    </w:p>
    <w:p w:rsidR="00072076" w:rsidRPr="000E3C97" w:rsidRDefault="00072076" w:rsidP="00CC3F1F">
      <w:pPr>
        <w:pStyle w:val="Heading3"/>
      </w:pPr>
      <w:r w:rsidRPr="000E3C97">
        <w:t>Discontinuat</w:t>
      </w:r>
      <w:r w:rsidRPr="000E3C97">
        <w:rPr>
          <w:spacing w:val="-2"/>
        </w:rPr>
        <w:t>i</w:t>
      </w:r>
      <w:r w:rsidRPr="000E3C97">
        <w:rPr>
          <w:spacing w:val="1"/>
        </w:rPr>
        <w:t>o</w:t>
      </w:r>
      <w:r w:rsidRPr="000E3C97">
        <w:t>n of therapy</w:t>
      </w:r>
    </w:p>
    <w:p w:rsidR="00FD5EA7" w:rsidRDefault="00072076" w:rsidP="00CC3F1F">
      <w:r w:rsidRPr="009E7D18">
        <w:t xml:space="preserve">The administration of </w:t>
      </w:r>
      <w:proofErr w:type="spellStart"/>
      <w:r w:rsidR="00E7129E">
        <w:t>VasoKINOX</w:t>
      </w:r>
      <w:proofErr w:type="spellEnd"/>
      <w:r w:rsidRPr="009E7D18">
        <w:t xml:space="preserve"> must not be stopped abruptly due to the risk of rebound (see PRECAUTIONS).</w:t>
      </w:r>
    </w:p>
    <w:p w:rsidR="00A838D7" w:rsidRPr="00A838D7" w:rsidRDefault="00A838D7" w:rsidP="00CC3F1F">
      <w:pPr>
        <w:pStyle w:val="Heading4"/>
      </w:pPr>
      <w:r w:rsidRPr="00A838D7">
        <w:t>Weaning</w:t>
      </w:r>
    </w:p>
    <w:p w:rsidR="00FD5EA7" w:rsidRDefault="000B0FC2" w:rsidP="00CC3F1F">
      <w:r w:rsidRPr="000B0FC2">
        <w:t xml:space="preserve">Attempts to wean </w:t>
      </w:r>
      <w:proofErr w:type="spellStart"/>
      <w:r w:rsidR="00565976">
        <w:t>i</w:t>
      </w:r>
      <w:r w:rsidRPr="000B0FC2">
        <w:t>NO</w:t>
      </w:r>
      <w:proofErr w:type="spellEnd"/>
      <w:r w:rsidRPr="000B0FC2">
        <w:t xml:space="preserve"> should be started as soon as the </w:t>
      </w:r>
      <w:proofErr w:type="spellStart"/>
      <w:r w:rsidR="00EC4C02">
        <w:t>haem</w:t>
      </w:r>
      <w:r w:rsidRPr="000B0FC2">
        <w:t>odynamics</w:t>
      </w:r>
      <w:proofErr w:type="spellEnd"/>
      <w:r w:rsidRPr="000B0FC2">
        <w:t xml:space="preserve"> have stabilised in conjunction to weaning from ventilator and inotropic support.</w:t>
      </w:r>
      <w:r w:rsidR="00474D43" w:rsidRPr="00474D43">
        <w:t xml:space="preserve"> </w:t>
      </w:r>
      <w:r w:rsidR="00474D43" w:rsidRPr="000B0FC2">
        <w:t xml:space="preserve">The withdrawal of </w:t>
      </w:r>
      <w:proofErr w:type="spellStart"/>
      <w:r w:rsidR="00474D43">
        <w:t>iNO</w:t>
      </w:r>
      <w:proofErr w:type="spellEnd"/>
      <w:r w:rsidR="00474D43" w:rsidRPr="000B0FC2">
        <w:t xml:space="preserve"> treatment should be performed in a stepwise manner and under close </w:t>
      </w:r>
      <w:r w:rsidR="00474D43">
        <w:t>monitoring</w:t>
      </w:r>
      <w:r w:rsidR="00474D43" w:rsidRPr="000B0FC2">
        <w:t xml:space="preserve"> of </w:t>
      </w:r>
      <w:r w:rsidR="00474D43">
        <w:t>PAP</w:t>
      </w:r>
      <w:r w:rsidR="00474D43" w:rsidRPr="000B0FC2">
        <w:t>.</w:t>
      </w:r>
      <w:r w:rsidR="00474D43" w:rsidRPr="00474D43">
        <w:t xml:space="preserve"> </w:t>
      </w:r>
      <w:r w:rsidR="00474D43" w:rsidRPr="000B0FC2">
        <w:t xml:space="preserve">Weaning should be attempted at least every 12 hours when the patient is stable on a low dose of </w:t>
      </w:r>
      <w:proofErr w:type="spellStart"/>
      <w:r w:rsidR="00474D43">
        <w:t>VasoKINOX</w:t>
      </w:r>
      <w:proofErr w:type="spellEnd"/>
      <w:r w:rsidR="00474D43" w:rsidRPr="000B0FC2">
        <w:t>.</w:t>
      </w:r>
    </w:p>
    <w:p w:rsidR="00FD5EA7" w:rsidRDefault="00072076" w:rsidP="00CC3F1F">
      <w:r w:rsidRPr="009E7D18">
        <w:t xml:space="preserve">The following withdrawal technique can be proposed. The dosage </w:t>
      </w:r>
      <w:r w:rsidR="00474D43">
        <w:t xml:space="preserve">should </w:t>
      </w:r>
      <w:r w:rsidRPr="009E7D18">
        <w:t xml:space="preserve">be </w:t>
      </w:r>
      <w:r w:rsidR="00A838D7">
        <w:t>incrementally</w:t>
      </w:r>
      <w:r w:rsidR="00A838D7" w:rsidRPr="009E7D18">
        <w:t xml:space="preserve"> </w:t>
      </w:r>
      <w:r w:rsidRPr="009E7D18">
        <w:t xml:space="preserve">reduced </w:t>
      </w:r>
      <w:r w:rsidR="00E846E5">
        <w:t>to</w:t>
      </w:r>
      <w:r w:rsidR="00E846E5" w:rsidRPr="009E7D18">
        <w:t xml:space="preserve"> </w:t>
      </w:r>
      <w:r w:rsidRPr="009E7D18">
        <w:t xml:space="preserve">1 ppm </w:t>
      </w:r>
      <w:r w:rsidR="000B0FC2">
        <w:t>at least</w:t>
      </w:r>
      <w:r w:rsidRPr="009E7D18">
        <w:t xml:space="preserve"> 30 minutes, with </w:t>
      </w:r>
      <w:r w:rsidR="00474D43">
        <w:t>close monitoring</w:t>
      </w:r>
      <w:r w:rsidRPr="009E7D18">
        <w:t xml:space="preserve"> of </w:t>
      </w:r>
      <w:r w:rsidR="001D048F">
        <w:t xml:space="preserve">systemic and </w:t>
      </w:r>
      <w:r w:rsidRPr="009E7D18">
        <w:t>pulmonary arterial pressure</w:t>
      </w:r>
      <w:r w:rsidR="006228B5">
        <w:t>s</w:t>
      </w:r>
      <w:r w:rsidR="000B0FC2">
        <w:t xml:space="preserve"> and oxygenation, and then turned off</w:t>
      </w:r>
      <w:r w:rsidRPr="009E7D18">
        <w:t>.</w:t>
      </w:r>
      <w:r w:rsidR="00474D43" w:rsidRPr="00474D43">
        <w:t xml:space="preserve"> </w:t>
      </w:r>
      <w:r w:rsidR="00474D43" w:rsidRPr="009E7D18">
        <w:t xml:space="preserve">If, following withdrawal, a rise in </w:t>
      </w:r>
      <w:r w:rsidR="00183114">
        <w:t>PAP</w:t>
      </w:r>
      <w:r w:rsidR="00474D43" w:rsidRPr="009E7D18">
        <w:t xml:space="preserve"> occurs, </w:t>
      </w:r>
      <w:proofErr w:type="spellStart"/>
      <w:r w:rsidR="00474D43">
        <w:t>iNO</w:t>
      </w:r>
      <w:proofErr w:type="spellEnd"/>
      <w:r w:rsidR="00474D43" w:rsidRPr="009E7D18">
        <w:t xml:space="preserve"> </w:t>
      </w:r>
      <w:r w:rsidR="00474D43">
        <w:t>can be recommenced</w:t>
      </w:r>
      <w:r w:rsidR="00474D43" w:rsidRPr="009E7D18">
        <w:t xml:space="preserve"> at </w:t>
      </w:r>
      <w:r w:rsidR="00474D43">
        <w:t>the lowest effective dose</w:t>
      </w:r>
      <w:r w:rsidR="00474D43" w:rsidRPr="009E7D18">
        <w:t>.</w:t>
      </w:r>
    </w:p>
    <w:p w:rsidR="000B0FC2" w:rsidRPr="000B0FC2" w:rsidRDefault="000B0FC2" w:rsidP="00CC3F1F">
      <w:r w:rsidRPr="000B0FC2">
        <w:t xml:space="preserve">Too rapid weaning from </w:t>
      </w:r>
      <w:proofErr w:type="spellStart"/>
      <w:r w:rsidR="00413199">
        <w:t>iNO</w:t>
      </w:r>
      <w:proofErr w:type="spellEnd"/>
      <w:r w:rsidRPr="000B0FC2">
        <w:t xml:space="preserve"> treatment carries the risk of an increase in pulmonary artery pressure with subsequent </w:t>
      </w:r>
      <w:r w:rsidR="00EC4C02">
        <w:t>haem</w:t>
      </w:r>
      <w:r w:rsidRPr="000B0FC2">
        <w:t>odynamic instability (re-bound effect).</w:t>
      </w:r>
    </w:p>
    <w:p w:rsidR="00F4609F" w:rsidRPr="000E3C97" w:rsidRDefault="00F4609F" w:rsidP="00CC3F1F">
      <w:pPr>
        <w:pStyle w:val="Heading3"/>
      </w:pPr>
      <w:r w:rsidRPr="000E3C97">
        <w:t>Administration</w:t>
      </w:r>
    </w:p>
    <w:p w:rsidR="00F4609F" w:rsidRDefault="00F4609F" w:rsidP="00CC3F1F">
      <w:pPr>
        <w:pStyle w:val="Heading4"/>
        <w:rPr>
          <w:bCs/>
        </w:rPr>
      </w:pPr>
      <w:r w:rsidRPr="000E3C97">
        <w:rPr>
          <w:bCs/>
        </w:rPr>
        <w:t>Method</w:t>
      </w:r>
    </w:p>
    <w:p w:rsidR="000B0FC2" w:rsidRPr="000B0FC2" w:rsidRDefault="000B0FC2" w:rsidP="00CC3F1F">
      <w:proofErr w:type="spellStart"/>
      <w:r w:rsidRPr="000B0FC2">
        <w:t>Endotracheopulmonary</w:t>
      </w:r>
      <w:proofErr w:type="spellEnd"/>
      <w:r w:rsidRPr="000B0FC2">
        <w:t xml:space="preserve"> use</w:t>
      </w:r>
    </w:p>
    <w:p w:rsidR="005B25A9" w:rsidRDefault="005B25A9" w:rsidP="00CC3F1F">
      <w:pPr>
        <w:pStyle w:val="Heading4"/>
        <w:rPr>
          <w:bCs/>
        </w:rPr>
      </w:pPr>
      <w:r>
        <w:rPr>
          <w:bCs/>
        </w:rPr>
        <w:t xml:space="preserve">Do not use </w:t>
      </w:r>
      <w:proofErr w:type="spellStart"/>
      <w:r>
        <w:rPr>
          <w:bCs/>
        </w:rPr>
        <w:t>Vaso</w:t>
      </w:r>
      <w:r w:rsidR="007E636A">
        <w:rPr>
          <w:bCs/>
        </w:rPr>
        <w:t>K</w:t>
      </w:r>
      <w:r>
        <w:rPr>
          <w:bCs/>
        </w:rPr>
        <w:t>INOX</w:t>
      </w:r>
      <w:proofErr w:type="spellEnd"/>
      <w:r>
        <w:rPr>
          <w:bCs/>
        </w:rPr>
        <w:t xml:space="preserve"> undiluted.</w:t>
      </w:r>
    </w:p>
    <w:p w:rsidR="0060106A" w:rsidRPr="00C609A2" w:rsidRDefault="0060106A" w:rsidP="00CC3F1F">
      <w:pPr>
        <w:rPr>
          <w:w w:val="105"/>
          <w:lang w:val="en-GB"/>
        </w:rPr>
      </w:pPr>
      <w:r w:rsidRPr="00C609A2">
        <w:rPr>
          <w:w w:val="105"/>
          <w:lang w:val="en-GB"/>
        </w:rPr>
        <w:t>Nitric oxide is administered by ventilation after dilution in an air/</w:t>
      </w:r>
      <w:r w:rsidR="00225340" w:rsidRPr="00C609A2">
        <w:rPr>
          <w:w w:val="105"/>
          <w:lang w:val="en-GB"/>
        </w:rPr>
        <w:t>O</w:t>
      </w:r>
      <w:r w:rsidR="00225340" w:rsidRPr="00C609A2">
        <w:rPr>
          <w:w w:val="105"/>
          <w:vertAlign w:val="subscript"/>
          <w:lang w:val="en-GB"/>
        </w:rPr>
        <w:t>2</w:t>
      </w:r>
      <w:r w:rsidR="00225340" w:rsidRPr="00C609A2">
        <w:rPr>
          <w:w w:val="105"/>
          <w:lang w:val="en-GB"/>
        </w:rPr>
        <w:t xml:space="preserve"> </w:t>
      </w:r>
      <w:r w:rsidRPr="00C609A2">
        <w:rPr>
          <w:w w:val="105"/>
          <w:lang w:val="en-GB"/>
        </w:rPr>
        <w:t xml:space="preserve">mixture. </w:t>
      </w:r>
      <w:proofErr w:type="spellStart"/>
      <w:r w:rsidR="005B25A9" w:rsidRPr="00C609A2">
        <w:rPr>
          <w:w w:val="105"/>
          <w:lang w:val="en-GB"/>
        </w:rPr>
        <w:t>VasoKINOX</w:t>
      </w:r>
      <w:proofErr w:type="spellEnd"/>
      <w:r w:rsidR="005B25A9" w:rsidRPr="00C609A2">
        <w:rPr>
          <w:w w:val="105"/>
          <w:lang w:val="en-GB"/>
        </w:rPr>
        <w:t xml:space="preserve"> should be administered in the inspiratory limb of the ventilator, and in any case as close as possible to the patient.</w:t>
      </w:r>
      <w:r w:rsidR="00C14009" w:rsidRPr="00C609A2">
        <w:rPr>
          <w:w w:val="105"/>
          <w:lang w:val="en-GB"/>
        </w:rPr>
        <w:t xml:space="preserve"> </w:t>
      </w:r>
      <w:r w:rsidRPr="00C609A2">
        <w:rPr>
          <w:w w:val="105"/>
          <w:lang w:val="en-GB"/>
        </w:rPr>
        <w:t xml:space="preserve">Direct </w:t>
      </w:r>
      <w:proofErr w:type="spellStart"/>
      <w:r w:rsidRPr="00C609A2">
        <w:rPr>
          <w:w w:val="105"/>
          <w:lang w:val="en-GB"/>
        </w:rPr>
        <w:t>intratracheal</w:t>
      </w:r>
      <w:proofErr w:type="spellEnd"/>
      <w:r w:rsidRPr="00C609A2">
        <w:rPr>
          <w:w w:val="105"/>
          <w:lang w:val="en-GB"/>
        </w:rPr>
        <w:t xml:space="preserve"> administration must be avoided due to the risk of local lesions occurring on contact with the mucous membrane.</w:t>
      </w:r>
    </w:p>
    <w:p w:rsidR="0060106A" w:rsidRPr="00C609A2" w:rsidRDefault="0060106A" w:rsidP="00604FD7">
      <w:pPr>
        <w:rPr>
          <w:w w:val="105"/>
          <w:lang w:val="en-GB"/>
        </w:rPr>
      </w:pPr>
      <w:r w:rsidRPr="00C609A2">
        <w:rPr>
          <w:w w:val="105"/>
          <w:lang w:val="en-GB"/>
        </w:rPr>
        <w:t xml:space="preserve">Before </w:t>
      </w:r>
      <w:proofErr w:type="gramStart"/>
      <w:r w:rsidRPr="00C609A2">
        <w:rPr>
          <w:w w:val="105"/>
          <w:lang w:val="en-GB"/>
        </w:rPr>
        <w:t xml:space="preserve">initiation of therapy, </w:t>
      </w:r>
      <w:r w:rsidR="005776DF" w:rsidRPr="00C609A2">
        <w:rPr>
          <w:w w:val="105"/>
          <w:lang w:val="en-GB"/>
        </w:rPr>
        <w:t xml:space="preserve">during set-up, </w:t>
      </w:r>
      <w:r w:rsidR="009C3F83" w:rsidRPr="00C609A2">
        <w:rPr>
          <w:w w:val="105"/>
          <w:lang w:val="en-GB"/>
        </w:rPr>
        <w:t>ensure</w:t>
      </w:r>
      <w:proofErr w:type="gramEnd"/>
      <w:r w:rsidR="009C3F83" w:rsidRPr="00C609A2">
        <w:rPr>
          <w:w w:val="105"/>
          <w:lang w:val="en-GB"/>
        </w:rPr>
        <w:t xml:space="preserve"> </w:t>
      </w:r>
      <w:r w:rsidR="005776DF" w:rsidRPr="00C609A2">
        <w:rPr>
          <w:w w:val="105"/>
          <w:lang w:val="en-GB"/>
        </w:rPr>
        <w:t>that the device setting is in agreement with the cylinder gas concentration.</w:t>
      </w:r>
    </w:p>
    <w:p w:rsidR="0060106A" w:rsidRPr="0060106A" w:rsidRDefault="005776DF" w:rsidP="00CC3F1F">
      <w:pPr>
        <w:rPr>
          <w:spacing w:val="-4"/>
          <w:w w:val="105"/>
          <w:lang w:val="en-GB"/>
        </w:rPr>
      </w:pPr>
      <w:r w:rsidRPr="00C609A2">
        <w:rPr>
          <w:spacing w:val="-1"/>
          <w:w w:val="105"/>
          <w:lang w:val="en-GB"/>
        </w:rPr>
        <w:t xml:space="preserve">The system used to administer </w:t>
      </w:r>
      <w:proofErr w:type="spellStart"/>
      <w:r w:rsidR="00E7129E" w:rsidRPr="00C609A2">
        <w:rPr>
          <w:spacing w:val="-1"/>
          <w:w w:val="105"/>
          <w:lang w:val="en-GB"/>
        </w:rPr>
        <w:t>VasoKINOX</w:t>
      </w:r>
      <w:proofErr w:type="spellEnd"/>
      <w:r w:rsidRPr="00C609A2">
        <w:rPr>
          <w:spacing w:val="-1"/>
          <w:w w:val="105"/>
          <w:lang w:val="en-GB"/>
        </w:rPr>
        <w:t xml:space="preserve"> must allow for inhalation of a stable concentration of </w:t>
      </w:r>
      <w:r w:rsidR="004419B2" w:rsidRPr="00C609A2">
        <w:rPr>
          <w:spacing w:val="-1"/>
          <w:w w:val="105"/>
          <w:lang w:val="en-GB"/>
        </w:rPr>
        <w:t>NO</w:t>
      </w:r>
      <w:r w:rsidRPr="00C609A2">
        <w:rPr>
          <w:spacing w:val="-7"/>
          <w:w w:val="105"/>
          <w:lang w:val="en-GB"/>
        </w:rPr>
        <w:t xml:space="preserve">, regardless of the ventilator used. Furthermore, the contact time between </w:t>
      </w:r>
      <w:r w:rsidR="004419B2" w:rsidRPr="00C609A2">
        <w:rPr>
          <w:spacing w:val="-7"/>
          <w:w w:val="105"/>
          <w:lang w:val="en-GB"/>
        </w:rPr>
        <w:t>NO</w:t>
      </w:r>
      <w:r w:rsidRPr="00C609A2">
        <w:rPr>
          <w:spacing w:val="-7"/>
          <w:w w:val="105"/>
          <w:lang w:val="en-GB"/>
        </w:rPr>
        <w:t xml:space="preserve"> and </w:t>
      </w:r>
      <w:r w:rsidR="004419B2" w:rsidRPr="00C609A2">
        <w:rPr>
          <w:spacing w:val="-7"/>
          <w:w w:val="105"/>
          <w:lang w:val="en-GB"/>
        </w:rPr>
        <w:t>O</w:t>
      </w:r>
      <w:r w:rsidR="004419B2" w:rsidRPr="00C609A2">
        <w:rPr>
          <w:spacing w:val="-7"/>
          <w:w w:val="105"/>
          <w:vertAlign w:val="subscript"/>
          <w:lang w:val="en-GB"/>
        </w:rPr>
        <w:t>2</w:t>
      </w:r>
      <w:r w:rsidRPr="00C609A2">
        <w:rPr>
          <w:spacing w:val="-7"/>
          <w:w w:val="105"/>
          <w:lang w:val="en-GB"/>
        </w:rPr>
        <w:t xml:space="preserve"> in the </w:t>
      </w:r>
      <w:r w:rsidRPr="00C609A2">
        <w:rPr>
          <w:spacing w:val="-5"/>
          <w:w w:val="105"/>
          <w:lang w:val="en-GB"/>
        </w:rPr>
        <w:t>inspiration</w:t>
      </w:r>
      <w:r w:rsidRPr="005776DF">
        <w:rPr>
          <w:spacing w:val="-5"/>
          <w:w w:val="105"/>
          <w:lang w:val="en-GB"/>
        </w:rPr>
        <w:t xml:space="preserve"> circuit should be kept to a minimum to limit the risk toxic oxidation by-product production in the </w:t>
      </w:r>
      <w:r w:rsidRPr="005776DF">
        <w:rPr>
          <w:spacing w:val="2"/>
          <w:w w:val="105"/>
          <w:lang w:val="en-GB"/>
        </w:rPr>
        <w:t>inhaled gas (see PRECAUTIONS)</w:t>
      </w:r>
      <w:r w:rsidR="004419B2">
        <w:rPr>
          <w:spacing w:val="2"/>
          <w:w w:val="105"/>
          <w:lang w:val="en-GB"/>
        </w:rPr>
        <w:t>.</w:t>
      </w:r>
      <w:r w:rsidRPr="005776DF">
        <w:rPr>
          <w:spacing w:val="2"/>
          <w:w w:val="105"/>
          <w:lang w:val="en-GB"/>
        </w:rPr>
        <w:t xml:space="preserve"> With ventilators in </w:t>
      </w:r>
      <w:r w:rsidRPr="005776DF">
        <w:rPr>
          <w:spacing w:val="3"/>
          <w:w w:val="105"/>
          <w:lang w:val="en-GB"/>
        </w:rPr>
        <w:t>“continuous flow” mode (conventional or high frequency oscillatory)</w:t>
      </w:r>
      <w:r w:rsidR="004419B2">
        <w:rPr>
          <w:spacing w:val="3"/>
          <w:w w:val="105"/>
          <w:lang w:val="en-GB"/>
        </w:rPr>
        <w:t>,</w:t>
      </w:r>
      <w:r w:rsidRPr="005776DF">
        <w:rPr>
          <w:spacing w:val="3"/>
          <w:w w:val="105"/>
          <w:lang w:val="en-GB"/>
        </w:rPr>
        <w:t xml:space="preserve"> </w:t>
      </w:r>
      <w:proofErr w:type="spellStart"/>
      <w:r w:rsidR="00E7129E">
        <w:rPr>
          <w:w w:val="105"/>
          <w:lang w:val="en-GB"/>
        </w:rPr>
        <w:t>VasoKINOX</w:t>
      </w:r>
      <w:proofErr w:type="spellEnd"/>
      <w:r w:rsidRPr="005776DF">
        <w:rPr>
          <w:w w:val="105"/>
          <w:lang w:val="en-GB"/>
        </w:rPr>
        <w:t xml:space="preserve"> can be administered in continuous flow mode on the inspiratory </w:t>
      </w:r>
      <w:r w:rsidR="004419B2">
        <w:rPr>
          <w:w w:val="105"/>
          <w:lang w:val="en-GB"/>
        </w:rPr>
        <w:t>limb</w:t>
      </w:r>
      <w:r w:rsidRPr="005776DF">
        <w:rPr>
          <w:spacing w:val="-4"/>
          <w:w w:val="105"/>
          <w:lang w:val="en-GB"/>
        </w:rPr>
        <w:t>.</w:t>
      </w:r>
    </w:p>
    <w:p w:rsidR="0060106A" w:rsidRPr="0060106A" w:rsidRDefault="005776DF" w:rsidP="00CC3F1F">
      <w:pPr>
        <w:rPr>
          <w:spacing w:val="-4"/>
          <w:w w:val="105"/>
          <w:lang w:val="en-GB"/>
        </w:rPr>
      </w:pPr>
      <w:r w:rsidRPr="005776DF">
        <w:rPr>
          <w:spacing w:val="-1"/>
          <w:w w:val="105"/>
          <w:lang w:val="en-GB"/>
        </w:rPr>
        <w:lastRenderedPageBreak/>
        <w:t xml:space="preserve">With ventilators in sequential discontinuous flow mode, the </w:t>
      </w:r>
      <w:r w:rsidR="001D3A34">
        <w:rPr>
          <w:spacing w:val="-1"/>
          <w:w w:val="105"/>
          <w:lang w:val="en-GB"/>
        </w:rPr>
        <w:t>NO</w:t>
      </w:r>
      <w:r w:rsidRPr="005776DF">
        <w:rPr>
          <w:spacing w:val="-1"/>
          <w:w w:val="105"/>
          <w:lang w:val="en-GB"/>
        </w:rPr>
        <w:t xml:space="preserve"> administration system must be </w:t>
      </w:r>
      <w:r w:rsidRPr="005776DF">
        <w:rPr>
          <w:w w:val="105"/>
          <w:lang w:val="en-GB"/>
        </w:rPr>
        <w:t>capable of managing ga</w:t>
      </w:r>
      <w:r w:rsidR="00B42398">
        <w:rPr>
          <w:w w:val="105"/>
          <w:lang w:val="en-GB"/>
        </w:rPr>
        <w:t xml:space="preserve">s peak concentration. </w:t>
      </w:r>
      <w:r w:rsidR="00982ADA">
        <w:rPr>
          <w:w w:val="105"/>
          <w:lang w:val="en-GB"/>
        </w:rPr>
        <w:t>Synchronis</w:t>
      </w:r>
      <w:r w:rsidR="00982ADA" w:rsidRPr="005776DF">
        <w:rPr>
          <w:w w:val="105"/>
          <w:lang w:val="en-GB"/>
        </w:rPr>
        <w:t xml:space="preserve">ed </w:t>
      </w:r>
      <w:r w:rsidRPr="005776DF">
        <w:rPr>
          <w:w w:val="105"/>
          <w:lang w:val="en-GB"/>
        </w:rPr>
        <w:t xml:space="preserve">sequential administration at the inspiratory phase </w:t>
      </w:r>
      <w:r w:rsidRPr="005776DF">
        <w:rPr>
          <w:spacing w:val="2"/>
          <w:w w:val="105"/>
          <w:lang w:val="en-GB"/>
        </w:rPr>
        <w:t xml:space="preserve">is recommended to avoid </w:t>
      </w:r>
      <w:r w:rsidR="001D3A34">
        <w:rPr>
          <w:spacing w:val="2"/>
          <w:w w:val="105"/>
          <w:lang w:val="en-GB"/>
        </w:rPr>
        <w:t>NO</w:t>
      </w:r>
      <w:r w:rsidRPr="005776DF">
        <w:rPr>
          <w:spacing w:val="2"/>
          <w:w w:val="105"/>
          <w:lang w:val="en-GB"/>
        </w:rPr>
        <w:t xml:space="preserve"> concentration peaks and bolus effect induced by continuous </w:t>
      </w:r>
      <w:r w:rsidRPr="005776DF">
        <w:rPr>
          <w:spacing w:val="-4"/>
          <w:w w:val="105"/>
          <w:lang w:val="en-GB"/>
        </w:rPr>
        <w:t>administration of the gas.</w:t>
      </w:r>
    </w:p>
    <w:p w:rsidR="00231388" w:rsidRDefault="00231388" w:rsidP="00CC3F1F">
      <w:pPr>
        <w:rPr>
          <w:spacing w:val="-4"/>
          <w:w w:val="105"/>
          <w:lang w:val="en-GB"/>
        </w:rPr>
      </w:pPr>
      <w:r w:rsidRPr="005E1EE9">
        <w:rPr>
          <w:spacing w:val="-4"/>
          <w:w w:val="105"/>
          <w:lang w:val="en-GB"/>
        </w:rPr>
        <w:t>Nitric oxide is usually administered through</w:t>
      </w:r>
      <w:r w:rsidR="00C609A2">
        <w:rPr>
          <w:spacing w:val="-4"/>
          <w:w w:val="105"/>
          <w:lang w:val="en-GB"/>
        </w:rPr>
        <w:t xml:space="preserve"> a</w:t>
      </w:r>
      <w:r w:rsidRPr="005E1EE9">
        <w:rPr>
          <w:spacing w:val="-4"/>
          <w:w w:val="105"/>
          <w:lang w:val="en-GB"/>
        </w:rPr>
        <w:t xml:space="preserve"> tracheal tube or with face mask and/or nasal </w:t>
      </w:r>
      <w:proofErr w:type="spellStart"/>
      <w:r w:rsidR="00343180">
        <w:rPr>
          <w:spacing w:val="-4"/>
          <w:w w:val="105"/>
          <w:lang w:val="en-GB"/>
        </w:rPr>
        <w:t>cannulae</w:t>
      </w:r>
      <w:proofErr w:type="spellEnd"/>
      <w:r w:rsidRPr="005E1EE9">
        <w:rPr>
          <w:spacing w:val="-4"/>
          <w:w w:val="105"/>
          <w:lang w:val="en-GB"/>
        </w:rPr>
        <w:t>, with all ventilation modes.</w:t>
      </w:r>
      <w:r w:rsidR="00C609A2">
        <w:rPr>
          <w:spacing w:val="-4"/>
          <w:w w:val="105"/>
          <w:lang w:val="en-GB"/>
        </w:rPr>
        <w:t xml:space="preserve">  </w:t>
      </w:r>
      <w:proofErr w:type="spellStart"/>
      <w:r w:rsidRPr="005E1EE9">
        <w:rPr>
          <w:w w:val="105"/>
          <w:lang w:val="en-GB"/>
        </w:rPr>
        <w:t>VasoKINOX</w:t>
      </w:r>
      <w:proofErr w:type="spellEnd"/>
      <w:r w:rsidRPr="00231388">
        <w:rPr>
          <w:w w:val="105"/>
          <w:lang w:val="en-GB"/>
        </w:rPr>
        <w:t xml:space="preserve"> </w:t>
      </w:r>
      <w:r w:rsidRPr="005E1EE9">
        <w:rPr>
          <w:lang w:val="en-GB"/>
        </w:rPr>
        <w:t>can be delivered by manual ventilation under certain clinical circumstances (</w:t>
      </w:r>
      <w:r w:rsidRPr="005E1EE9">
        <w:rPr>
          <w:w w:val="105"/>
          <w:lang w:val="en-GB"/>
        </w:rPr>
        <w:t xml:space="preserve">e.g. </w:t>
      </w:r>
      <w:r w:rsidRPr="005E1EE9">
        <w:t xml:space="preserve">suction, patient transport, resuscitation) </w:t>
      </w:r>
      <w:r w:rsidRPr="005E1EE9">
        <w:rPr>
          <w:w w:val="105"/>
          <w:lang w:val="en-GB"/>
        </w:rPr>
        <w:t xml:space="preserve">with interruption of mechanical ventilation. </w:t>
      </w:r>
      <w:r w:rsidRPr="00E46DB8">
        <w:rPr>
          <w:spacing w:val="-5"/>
          <w:w w:val="105"/>
          <w:lang w:val="en-GB"/>
        </w:rPr>
        <w:t xml:space="preserve">The </w:t>
      </w:r>
      <w:r w:rsidR="00E46DB8">
        <w:rPr>
          <w:spacing w:val="-5"/>
          <w:w w:val="105"/>
          <w:lang w:val="en-GB"/>
        </w:rPr>
        <w:t>eff</w:t>
      </w:r>
      <w:r w:rsidR="00937596">
        <w:rPr>
          <w:spacing w:val="-5"/>
          <w:w w:val="105"/>
          <w:lang w:val="en-GB"/>
        </w:rPr>
        <w:t>ective</w:t>
      </w:r>
      <w:r w:rsidR="00E46DB8">
        <w:rPr>
          <w:spacing w:val="-5"/>
          <w:w w:val="105"/>
          <w:lang w:val="en-GB"/>
        </w:rPr>
        <w:t xml:space="preserve"> dos</w:t>
      </w:r>
      <w:r w:rsidR="00937596">
        <w:rPr>
          <w:spacing w:val="-5"/>
          <w:w w:val="105"/>
          <w:lang w:val="en-GB"/>
        </w:rPr>
        <w:t>e</w:t>
      </w:r>
      <w:r w:rsidR="00E46DB8">
        <w:rPr>
          <w:spacing w:val="-5"/>
          <w:w w:val="105"/>
          <w:lang w:val="en-GB"/>
        </w:rPr>
        <w:t xml:space="preserve"> is not related to the type of ventilation (manual or mechanical)</w:t>
      </w:r>
      <w:r w:rsidRPr="00E46DB8">
        <w:rPr>
          <w:spacing w:val="-4"/>
          <w:w w:val="105"/>
          <w:lang w:val="en-GB"/>
        </w:rPr>
        <w:t>.</w:t>
      </w:r>
    </w:p>
    <w:p w:rsidR="00FD3981" w:rsidRPr="00AB7DB5" w:rsidRDefault="00694B52" w:rsidP="00CC3F1F">
      <w:pPr>
        <w:rPr>
          <w:w w:val="105"/>
          <w:lang w:val="en-GB"/>
        </w:rPr>
      </w:pPr>
      <w:r w:rsidRPr="00AB7DB5">
        <w:rPr>
          <w:w w:val="105"/>
          <w:lang w:val="en-GB"/>
        </w:rPr>
        <w:t>Backup gas cylinders must be available to provide timely replacement.</w:t>
      </w:r>
    </w:p>
    <w:p w:rsidR="00B4246E" w:rsidRPr="00B4246E" w:rsidRDefault="00B4246E" w:rsidP="00CC3F1F">
      <w:pPr>
        <w:rPr>
          <w:spacing w:val="-5"/>
          <w:w w:val="105"/>
          <w:lang w:val="en-GB"/>
        </w:rPr>
      </w:pPr>
      <w:r w:rsidRPr="00B4246E">
        <w:rPr>
          <w:spacing w:val="-5"/>
          <w:w w:val="105"/>
          <w:lang w:val="en-GB"/>
        </w:rPr>
        <w:t xml:space="preserve">In case of transport of patient treated by </w:t>
      </w:r>
      <w:proofErr w:type="spellStart"/>
      <w:r w:rsidR="00291B56">
        <w:rPr>
          <w:spacing w:val="-5"/>
          <w:w w:val="105"/>
          <w:lang w:val="en-GB"/>
        </w:rPr>
        <w:t>i</w:t>
      </w:r>
      <w:r w:rsidR="001D3A34">
        <w:rPr>
          <w:spacing w:val="-5"/>
          <w:w w:val="105"/>
          <w:lang w:val="en-GB"/>
        </w:rPr>
        <w:t>NO</w:t>
      </w:r>
      <w:proofErr w:type="spellEnd"/>
      <w:r w:rsidRPr="00B4246E">
        <w:rPr>
          <w:spacing w:val="-5"/>
          <w:w w:val="105"/>
          <w:lang w:val="en-GB"/>
        </w:rPr>
        <w:t xml:space="preserve">, it will be advisable to make sure of the preservation of a continuous administration of the </w:t>
      </w:r>
      <w:proofErr w:type="spellStart"/>
      <w:r w:rsidR="001D3A34">
        <w:rPr>
          <w:spacing w:val="-5"/>
          <w:w w:val="105"/>
          <w:lang w:val="en-GB"/>
        </w:rPr>
        <w:t>iNO</w:t>
      </w:r>
      <w:proofErr w:type="spellEnd"/>
      <w:r w:rsidR="001D3A34">
        <w:rPr>
          <w:spacing w:val="-5"/>
          <w:w w:val="105"/>
          <w:lang w:val="en-GB"/>
        </w:rPr>
        <w:t xml:space="preserve"> </w:t>
      </w:r>
      <w:r w:rsidRPr="00B4246E">
        <w:rPr>
          <w:spacing w:val="-5"/>
          <w:w w:val="105"/>
          <w:lang w:val="en-GB"/>
        </w:rPr>
        <w:t>during the transport.</w:t>
      </w:r>
    </w:p>
    <w:p w:rsidR="00F4609F" w:rsidRPr="000E3C97" w:rsidRDefault="00F4609F" w:rsidP="00CC3F1F">
      <w:pPr>
        <w:pStyle w:val="Heading3"/>
      </w:pPr>
      <w:r w:rsidRPr="000E3C97">
        <w:t>Training</w:t>
      </w:r>
    </w:p>
    <w:p w:rsidR="00FD5EA7" w:rsidRDefault="00DD2E84" w:rsidP="00CC3F1F">
      <w:r w:rsidRPr="0023388B">
        <w:rPr>
          <w:w w:val="105"/>
          <w:lang w:val="en-GB"/>
        </w:rPr>
        <w:t xml:space="preserve">Hospital personnel have to be trained before using </w:t>
      </w:r>
      <w:proofErr w:type="spellStart"/>
      <w:r w:rsidR="00E7129E">
        <w:rPr>
          <w:w w:val="105"/>
          <w:lang w:val="en-GB"/>
        </w:rPr>
        <w:t>VasoKINOX</w:t>
      </w:r>
      <w:proofErr w:type="spellEnd"/>
      <w:r w:rsidRPr="0023388B">
        <w:rPr>
          <w:w w:val="105"/>
          <w:lang w:val="en-GB"/>
        </w:rPr>
        <w:t xml:space="preserve"> with respect to delivery system and </w:t>
      </w:r>
      <w:r w:rsidRPr="0023388B">
        <w:rPr>
          <w:spacing w:val="-4"/>
          <w:w w:val="105"/>
          <w:lang w:val="en-GB"/>
        </w:rPr>
        <w:t>treatment monitoring.</w:t>
      </w:r>
      <w:r w:rsidR="001D077E" w:rsidRPr="00D17BC3">
        <w:t>The</w:t>
      </w:r>
      <w:r w:rsidR="001D077E" w:rsidRPr="00D17BC3">
        <w:rPr>
          <w:spacing w:val="2"/>
        </w:rPr>
        <w:t xml:space="preserve"> </w:t>
      </w:r>
      <w:r w:rsidR="008725AB">
        <w:rPr>
          <w:spacing w:val="2"/>
        </w:rPr>
        <w:t xml:space="preserve">supplier </w:t>
      </w:r>
      <w:r w:rsidR="001D077E" w:rsidRPr="00D17BC3">
        <w:t>p</w:t>
      </w:r>
      <w:r w:rsidR="001D077E" w:rsidRPr="00D17BC3">
        <w:rPr>
          <w:spacing w:val="-1"/>
        </w:rPr>
        <w:t>r</w:t>
      </w:r>
      <w:r w:rsidR="001D077E" w:rsidRPr="00D17BC3">
        <w:t>ov</w:t>
      </w:r>
      <w:r w:rsidR="001D077E" w:rsidRPr="00D17BC3">
        <w:rPr>
          <w:spacing w:val="-2"/>
        </w:rPr>
        <w:t>i</w:t>
      </w:r>
      <w:r w:rsidR="001D077E" w:rsidRPr="00D17BC3">
        <w:t>des</w:t>
      </w:r>
      <w:r w:rsidR="001D077E" w:rsidRPr="00D17BC3">
        <w:rPr>
          <w:spacing w:val="2"/>
        </w:rPr>
        <w:t xml:space="preserve"> </w:t>
      </w:r>
      <w:r w:rsidR="001D077E" w:rsidRPr="00D17BC3">
        <w:rPr>
          <w:spacing w:val="-2"/>
        </w:rPr>
        <w:t>t</w:t>
      </w:r>
      <w:r w:rsidR="001D077E" w:rsidRPr="00D17BC3">
        <w:t>raini</w:t>
      </w:r>
      <w:r w:rsidR="001D077E" w:rsidRPr="00D17BC3">
        <w:rPr>
          <w:spacing w:val="-1"/>
        </w:rPr>
        <w:t>n</w:t>
      </w:r>
      <w:r w:rsidR="001D077E" w:rsidRPr="00D17BC3">
        <w:t>g</w:t>
      </w:r>
      <w:r w:rsidR="001D077E" w:rsidRPr="00D17BC3">
        <w:rPr>
          <w:spacing w:val="1"/>
        </w:rPr>
        <w:t xml:space="preserve"> </w:t>
      </w:r>
      <w:r w:rsidR="001D077E" w:rsidRPr="00D17BC3">
        <w:t>to</w:t>
      </w:r>
      <w:r w:rsidR="001D077E" w:rsidRPr="00D17BC3">
        <w:rPr>
          <w:spacing w:val="1"/>
        </w:rPr>
        <w:t xml:space="preserve"> </w:t>
      </w:r>
      <w:r w:rsidR="001D077E" w:rsidRPr="00D17BC3">
        <w:t>relev</w:t>
      </w:r>
      <w:r w:rsidR="001D077E" w:rsidRPr="00D17BC3">
        <w:rPr>
          <w:spacing w:val="-1"/>
        </w:rPr>
        <w:t>a</w:t>
      </w:r>
      <w:r w:rsidR="001D077E" w:rsidRPr="00D17BC3">
        <w:t>nt h</w:t>
      </w:r>
      <w:r w:rsidR="001D077E" w:rsidRPr="00D17BC3">
        <w:rPr>
          <w:spacing w:val="-1"/>
        </w:rPr>
        <w:t>o</w:t>
      </w:r>
      <w:r w:rsidR="001D077E" w:rsidRPr="00D17BC3">
        <w:t>spital</w:t>
      </w:r>
      <w:r w:rsidR="001D077E" w:rsidRPr="00D17BC3">
        <w:rPr>
          <w:spacing w:val="1"/>
        </w:rPr>
        <w:t xml:space="preserve"> </w:t>
      </w:r>
      <w:r w:rsidR="001D077E" w:rsidRPr="00D17BC3">
        <w:t>p</w:t>
      </w:r>
      <w:r w:rsidR="001D077E" w:rsidRPr="00D17BC3">
        <w:rPr>
          <w:spacing w:val="-1"/>
        </w:rPr>
        <w:t>e</w:t>
      </w:r>
      <w:r w:rsidR="001D077E" w:rsidRPr="00D17BC3">
        <w:t>rs</w:t>
      </w:r>
      <w:r w:rsidR="001D077E" w:rsidRPr="00D17BC3">
        <w:rPr>
          <w:spacing w:val="-1"/>
        </w:rPr>
        <w:t>on</w:t>
      </w:r>
      <w:r w:rsidR="001D077E" w:rsidRPr="00D17BC3">
        <w:rPr>
          <w:spacing w:val="1"/>
        </w:rPr>
        <w:t>n</w:t>
      </w:r>
      <w:r w:rsidR="001D077E" w:rsidRPr="00D17BC3">
        <w:rPr>
          <w:spacing w:val="-1"/>
        </w:rPr>
        <w:t>e</w:t>
      </w:r>
      <w:r w:rsidR="001D077E" w:rsidRPr="00D17BC3">
        <w:t>l,</w:t>
      </w:r>
      <w:r w:rsidR="001D077E" w:rsidRPr="00D17BC3">
        <w:rPr>
          <w:spacing w:val="2"/>
        </w:rPr>
        <w:t xml:space="preserve"> </w:t>
      </w:r>
      <w:r w:rsidR="001D077E" w:rsidRPr="00D17BC3">
        <w:t>a</w:t>
      </w:r>
      <w:r w:rsidR="001D077E" w:rsidRPr="00D17BC3">
        <w:rPr>
          <w:spacing w:val="-1"/>
        </w:rPr>
        <w:t>n</w:t>
      </w:r>
      <w:r w:rsidR="001D077E" w:rsidRPr="00D17BC3">
        <w:t>d</w:t>
      </w:r>
      <w:r w:rsidR="001D077E" w:rsidRPr="00D17BC3">
        <w:rPr>
          <w:spacing w:val="1"/>
        </w:rPr>
        <w:t xml:space="preserve"> </w:t>
      </w:r>
      <w:r w:rsidR="001D077E" w:rsidRPr="00D17BC3">
        <w:rPr>
          <w:spacing w:val="-1"/>
        </w:rPr>
        <w:t>o</w:t>
      </w:r>
      <w:r w:rsidR="001D077E" w:rsidRPr="00D17BC3">
        <w:rPr>
          <w:spacing w:val="1"/>
        </w:rPr>
        <w:t>n</w:t>
      </w:r>
      <w:r w:rsidR="001D077E" w:rsidRPr="00D17BC3">
        <w:rPr>
          <w:spacing w:val="-1"/>
        </w:rPr>
        <w:t>g</w:t>
      </w:r>
      <w:r w:rsidR="001D077E" w:rsidRPr="00D17BC3">
        <w:rPr>
          <w:spacing w:val="1"/>
        </w:rPr>
        <w:t>o</w:t>
      </w:r>
      <w:r w:rsidR="001D077E" w:rsidRPr="00D17BC3">
        <w:t>i</w:t>
      </w:r>
      <w:r w:rsidR="001D077E" w:rsidRPr="00D17BC3">
        <w:rPr>
          <w:spacing w:val="-1"/>
        </w:rPr>
        <w:t>n</w:t>
      </w:r>
      <w:r w:rsidR="001D077E" w:rsidRPr="00D17BC3">
        <w:t>g</w:t>
      </w:r>
      <w:r w:rsidR="001D077E" w:rsidRPr="00D17BC3">
        <w:rPr>
          <w:spacing w:val="1"/>
        </w:rPr>
        <w:t xml:space="preserve"> </w:t>
      </w:r>
      <w:r w:rsidR="001D077E" w:rsidRPr="00D17BC3">
        <w:t>2</w:t>
      </w:r>
      <w:r w:rsidR="001D077E" w:rsidRPr="00D17BC3">
        <w:rPr>
          <w:spacing w:val="-1"/>
        </w:rPr>
        <w:t>4-</w:t>
      </w:r>
      <w:r w:rsidR="001D077E" w:rsidRPr="00D17BC3">
        <w:rPr>
          <w:spacing w:val="1"/>
        </w:rPr>
        <w:t>h</w:t>
      </w:r>
      <w:r w:rsidR="001D077E" w:rsidRPr="00D17BC3">
        <w:rPr>
          <w:spacing w:val="-1"/>
        </w:rPr>
        <w:t>o</w:t>
      </w:r>
      <w:r w:rsidR="001D077E" w:rsidRPr="00D17BC3">
        <w:rPr>
          <w:spacing w:val="1"/>
        </w:rPr>
        <w:t>u</w:t>
      </w:r>
      <w:r w:rsidR="001D077E" w:rsidRPr="00D17BC3">
        <w:rPr>
          <w:spacing w:val="-1"/>
        </w:rPr>
        <w:t>r</w:t>
      </w:r>
      <w:r w:rsidR="001D077E" w:rsidRPr="00D17BC3">
        <w:t>,</w:t>
      </w:r>
      <w:r w:rsidR="001D077E" w:rsidRPr="00D17BC3">
        <w:rPr>
          <w:spacing w:val="1"/>
        </w:rPr>
        <w:t xml:space="preserve"> </w:t>
      </w:r>
      <w:r w:rsidR="001D077E" w:rsidRPr="00D17BC3">
        <w:t>7</w:t>
      </w:r>
      <w:r w:rsidR="001D077E" w:rsidRPr="00D17BC3">
        <w:rPr>
          <w:spacing w:val="1"/>
        </w:rPr>
        <w:t xml:space="preserve"> </w:t>
      </w:r>
      <w:r w:rsidR="001D077E" w:rsidRPr="00D17BC3">
        <w:t>da</w:t>
      </w:r>
      <w:r w:rsidR="001D077E" w:rsidRPr="00D17BC3">
        <w:rPr>
          <w:spacing w:val="-2"/>
        </w:rPr>
        <w:t>y</w:t>
      </w:r>
      <w:r w:rsidR="001D077E" w:rsidRPr="00D17BC3">
        <w:t>s</w:t>
      </w:r>
      <w:r w:rsidR="001D077E" w:rsidRPr="00D17BC3">
        <w:rPr>
          <w:spacing w:val="2"/>
        </w:rPr>
        <w:t xml:space="preserve"> </w:t>
      </w:r>
      <w:r w:rsidR="001D077E" w:rsidRPr="00D17BC3">
        <w:t>a</w:t>
      </w:r>
      <w:r w:rsidR="001D077E" w:rsidRPr="00D17BC3">
        <w:rPr>
          <w:spacing w:val="1"/>
        </w:rPr>
        <w:t xml:space="preserve"> </w:t>
      </w:r>
      <w:r w:rsidR="001D077E" w:rsidRPr="00D17BC3">
        <w:t>week</w:t>
      </w:r>
      <w:r w:rsidR="001D077E" w:rsidRPr="00D17BC3">
        <w:rPr>
          <w:spacing w:val="1"/>
        </w:rPr>
        <w:t xml:space="preserve"> </w:t>
      </w:r>
      <w:r w:rsidR="001D077E" w:rsidRPr="00D17BC3">
        <w:t>tec</w:t>
      </w:r>
      <w:r w:rsidR="001D077E" w:rsidRPr="00D17BC3">
        <w:rPr>
          <w:spacing w:val="-1"/>
        </w:rPr>
        <w:t>hn</w:t>
      </w:r>
      <w:r w:rsidR="001D077E" w:rsidRPr="00D17BC3">
        <w:t>ical s</w:t>
      </w:r>
      <w:r w:rsidR="001D077E" w:rsidRPr="00D17BC3">
        <w:rPr>
          <w:spacing w:val="1"/>
        </w:rPr>
        <w:t>u</w:t>
      </w:r>
      <w:r w:rsidR="001D077E" w:rsidRPr="00D17BC3">
        <w:t>pp</w:t>
      </w:r>
      <w:r w:rsidR="001D077E" w:rsidRPr="00D17BC3">
        <w:rPr>
          <w:spacing w:val="1"/>
        </w:rPr>
        <w:t>o</w:t>
      </w:r>
      <w:r w:rsidR="001D077E" w:rsidRPr="00D17BC3">
        <w:t>rt</w:t>
      </w:r>
      <w:r w:rsidR="001D077E" w:rsidRPr="00D17BC3">
        <w:rPr>
          <w:spacing w:val="23"/>
        </w:rPr>
        <w:t xml:space="preserve"> </w:t>
      </w:r>
      <w:r w:rsidR="001D077E" w:rsidRPr="00D17BC3">
        <w:t>ser</w:t>
      </w:r>
      <w:r w:rsidR="001D077E" w:rsidRPr="00D17BC3">
        <w:rPr>
          <w:spacing w:val="1"/>
        </w:rPr>
        <w:t>v</w:t>
      </w:r>
      <w:r w:rsidR="001D077E" w:rsidRPr="00D17BC3">
        <w:t>ice,</w:t>
      </w:r>
      <w:r w:rsidR="001D077E" w:rsidRPr="00D17BC3">
        <w:rPr>
          <w:spacing w:val="23"/>
        </w:rPr>
        <w:t xml:space="preserve"> </w:t>
      </w:r>
      <w:r w:rsidR="001D077E" w:rsidRPr="00D17BC3">
        <w:rPr>
          <w:spacing w:val="1"/>
        </w:rPr>
        <w:t>o</w:t>
      </w:r>
      <w:r w:rsidR="001D077E" w:rsidRPr="00D17BC3">
        <w:t>n</w:t>
      </w:r>
      <w:r w:rsidR="001D077E" w:rsidRPr="00D17BC3">
        <w:rPr>
          <w:spacing w:val="24"/>
        </w:rPr>
        <w:t xml:space="preserve"> </w:t>
      </w:r>
      <w:r w:rsidR="001D077E" w:rsidRPr="00D17BC3">
        <w:rPr>
          <w:spacing w:val="-2"/>
        </w:rPr>
        <w:t>t</w:t>
      </w:r>
      <w:r w:rsidR="001D077E" w:rsidRPr="00D17BC3">
        <w:rPr>
          <w:spacing w:val="1"/>
        </w:rPr>
        <w:t>h</w:t>
      </w:r>
      <w:r w:rsidR="001D077E" w:rsidRPr="00D17BC3">
        <w:t>e</w:t>
      </w:r>
      <w:r w:rsidR="001D077E" w:rsidRPr="00D17BC3">
        <w:rPr>
          <w:spacing w:val="23"/>
        </w:rPr>
        <w:t xml:space="preserve"> </w:t>
      </w:r>
      <w:r w:rsidR="001D077E" w:rsidRPr="00D17BC3">
        <w:t>proper</w:t>
      </w:r>
      <w:r w:rsidR="001D077E" w:rsidRPr="00D17BC3">
        <w:rPr>
          <w:spacing w:val="24"/>
        </w:rPr>
        <w:t xml:space="preserve"> </w:t>
      </w:r>
      <w:r w:rsidR="001D077E" w:rsidRPr="00D17BC3">
        <w:rPr>
          <w:spacing w:val="1"/>
        </w:rPr>
        <w:t>u</w:t>
      </w:r>
      <w:r w:rsidR="001D077E" w:rsidRPr="00D17BC3">
        <w:t>se</w:t>
      </w:r>
      <w:r w:rsidR="001D077E" w:rsidRPr="00D17BC3">
        <w:rPr>
          <w:spacing w:val="22"/>
        </w:rPr>
        <w:t xml:space="preserve"> </w:t>
      </w:r>
      <w:r w:rsidR="001D077E" w:rsidRPr="00D17BC3">
        <w:rPr>
          <w:spacing w:val="1"/>
        </w:rPr>
        <w:t>o</w:t>
      </w:r>
      <w:r w:rsidR="001D077E" w:rsidRPr="00D17BC3">
        <w:t>f</w:t>
      </w:r>
      <w:r w:rsidR="001D077E" w:rsidRPr="00D17BC3">
        <w:rPr>
          <w:spacing w:val="23"/>
        </w:rPr>
        <w:t xml:space="preserve"> </w:t>
      </w:r>
      <w:proofErr w:type="spellStart"/>
      <w:r w:rsidR="00E7129E">
        <w:rPr>
          <w:spacing w:val="-4"/>
          <w:w w:val="105"/>
          <w:lang w:val="en-GB"/>
        </w:rPr>
        <w:t>VasoKINOX</w:t>
      </w:r>
      <w:proofErr w:type="spellEnd"/>
      <w:r w:rsidR="001D077E" w:rsidRPr="00D17BC3">
        <w:rPr>
          <w:spacing w:val="23"/>
        </w:rPr>
        <w:t xml:space="preserve"> </w:t>
      </w:r>
      <w:r w:rsidR="001D077E" w:rsidRPr="00D17BC3">
        <w:t>in</w:t>
      </w:r>
      <w:r w:rsidR="001D077E" w:rsidRPr="00D17BC3">
        <w:rPr>
          <w:spacing w:val="24"/>
        </w:rPr>
        <w:t xml:space="preserve"> </w:t>
      </w:r>
      <w:r w:rsidR="001D077E" w:rsidRPr="00D17BC3">
        <w:t>co</w:t>
      </w:r>
      <w:r w:rsidR="001D077E" w:rsidRPr="00D17BC3">
        <w:rPr>
          <w:spacing w:val="1"/>
        </w:rPr>
        <w:t>n</w:t>
      </w:r>
      <w:r w:rsidR="001D077E" w:rsidRPr="00D17BC3">
        <w:t>j</w:t>
      </w:r>
      <w:r w:rsidR="001D077E" w:rsidRPr="00D17BC3">
        <w:rPr>
          <w:spacing w:val="1"/>
        </w:rPr>
        <w:t>un</w:t>
      </w:r>
      <w:r w:rsidR="001D077E" w:rsidRPr="00D17BC3">
        <w:t>ction</w:t>
      </w:r>
      <w:r w:rsidR="001D077E" w:rsidRPr="00D17BC3">
        <w:rPr>
          <w:spacing w:val="23"/>
        </w:rPr>
        <w:t xml:space="preserve"> </w:t>
      </w:r>
      <w:r w:rsidR="001D077E" w:rsidRPr="00D17BC3">
        <w:t>with</w:t>
      </w:r>
      <w:r w:rsidR="001D077E" w:rsidRPr="00D17BC3">
        <w:rPr>
          <w:spacing w:val="24"/>
        </w:rPr>
        <w:t xml:space="preserve"> </w:t>
      </w:r>
      <w:r w:rsidR="001D077E" w:rsidRPr="00D17BC3">
        <w:t>t</w:t>
      </w:r>
      <w:r w:rsidR="001D077E" w:rsidRPr="00D17BC3">
        <w:rPr>
          <w:spacing w:val="1"/>
        </w:rPr>
        <w:t>h</w:t>
      </w:r>
      <w:r w:rsidR="001D077E" w:rsidRPr="00D17BC3">
        <w:t>e</w:t>
      </w:r>
      <w:r w:rsidR="001D077E" w:rsidRPr="00D17BC3">
        <w:rPr>
          <w:spacing w:val="23"/>
        </w:rPr>
        <w:t xml:space="preserve"> </w:t>
      </w:r>
      <w:r w:rsidR="001D077E" w:rsidRPr="00D17BC3">
        <w:rPr>
          <w:spacing w:val="1"/>
        </w:rPr>
        <w:t>n</w:t>
      </w:r>
      <w:r w:rsidR="001D077E" w:rsidRPr="00D17BC3">
        <w:t>itric</w:t>
      </w:r>
      <w:r w:rsidR="001D077E" w:rsidRPr="00D17BC3">
        <w:rPr>
          <w:spacing w:val="23"/>
        </w:rPr>
        <w:t xml:space="preserve"> </w:t>
      </w:r>
      <w:r w:rsidR="001D077E" w:rsidRPr="00D17BC3">
        <w:t>o</w:t>
      </w:r>
      <w:r w:rsidR="001D077E" w:rsidRPr="00D17BC3">
        <w:rPr>
          <w:spacing w:val="1"/>
        </w:rPr>
        <w:t>x</w:t>
      </w:r>
      <w:r w:rsidR="001D077E" w:rsidRPr="00D17BC3">
        <w:t>i</w:t>
      </w:r>
      <w:r w:rsidR="001D077E" w:rsidRPr="00D17BC3">
        <w:rPr>
          <w:spacing w:val="1"/>
        </w:rPr>
        <w:t>d</w:t>
      </w:r>
      <w:r w:rsidR="001D077E" w:rsidRPr="00D17BC3">
        <w:t>e</w:t>
      </w:r>
      <w:r w:rsidR="001D077E" w:rsidRPr="00D17BC3">
        <w:rPr>
          <w:spacing w:val="23"/>
        </w:rPr>
        <w:t xml:space="preserve"> </w:t>
      </w:r>
      <w:r w:rsidR="001D077E" w:rsidRPr="00D17BC3">
        <w:rPr>
          <w:spacing w:val="1"/>
        </w:rPr>
        <w:t>g</w:t>
      </w:r>
      <w:r w:rsidR="001D077E" w:rsidRPr="00D17BC3">
        <w:t>as</w:t>
      </w:r>
      <w:r w:rsidR="001D077E" w:rsidRPr="00D17BC3">
        <w:rPr>
          <w:spacing w:val="23"/>
        </w:rPr>
        <w:t xml:space="preserve"> </w:t>
      </w:r>
      <w:r w:rsidR="001D077E" w:rsidRPr="00D17BC3">
        <w:rPr>
          <w:spacing w:val="1"/>
        </w:rPr>
        <w:t>d</w:t>
      </w:r>
      <w:r w:rsidR="001D077E" w:rsidRPr="00D17BC3">
        <w:t>eli</w:t>
      </w:r>
      <w:r w:rsidR="001D077E" w:rsidRPr="00D17BC3">
        <w:rPr>
          <w:spacing w:val="1"/>
        </w:rPr>
        <w:t>v</w:t>
      </w:r>
      <w:r w:rsidR="001D077E" w:rsidRPr="00D17BC3">
        <w:t>ery</w:t>
      </w:r>
      <w:r w:rsidR="001D077E" w:rsidRPr="00D17BC3">
        <w:rPr>
          <w:spacing w:val="23"/>
        </w:rPr>
        <w:t xml:space="preserve"> </w:t>
      </w:r>
      <w:r w:rsidR="001D077E" w:rsidRPr="00D17BC3">
        <w:t>syst</w:t>
      </w:r>
      <w:r w:rsidR="001D077E" w:rsidRPr="00D17BC3">
        <w:rPr>
          <w:spacing w:val="1"/>
        </w:rPr>
        <w:t>e</w:t>
      </w:r>
      <w:r w:rsidR="001D077E" w:rsidRPr="00D17BC3">
        <w:t>m</w:t>
      </w:r>
      <w:r w:rsidR="008725AB">
        <w:t>.</w:t>
      </w:r>
    </w:p>
    <w:p w:rsidR="00AE46A0" w:rsidRPr="002111C3" w:rsidRDefault="004A2483" w:rsidP="00CC3F1F">
      <w:pPr>
        <w:pStyle w:val="Heading3"/>
        <w:rPr>
          <w:w w:val="105"/>
          <w:lang w:val="en-GB"/>
        </w:rPr>
      </w:pPr>
      <w:r w:rsidRPr="002111C3">
        <w:rPr>
          <w:w w:val="105"/>
          <w:lang w:val="en-GB"/>
        </w:rPr>
        <w:t>Administration and instruction for use</w:t>
      </w:r>
    </w:p>
    <w:p w:rsidR="00DB6118" w:rsidRPr="00DB6118" w:rsidRDefault="00DB6118" w:rsidP="00CC3F1F">
      <w:pPr>
        <w:rPr>
          <w:w w:val="105"/>
          <w:lang w:val="en-GB"/>
        </w:rPr>
      </w:pPr>
      <w:r w:rsidRPr="00DB6118">
        <w:rPr>
          <w:w w:val="105"/>
          <w:lang w:val="en-GB"/>
        </w:rPr>
        <w:t>To avoid any incidents, the following instructions must be strictly adhered to:</w:t>
      </w:r>
    </w:p>
    <w:p w:rsidR="008D20EE" w:rsidRPr="005E1EE9" w:rsidRDefault="002F7F46" w:rsidP="005E1EE9">
      <w:pPr>
        <w:pStyle w:val="ListParagraph"/>
        <w:numPr>
          <w:ilvl w:val="0"/>
          <w:numId w:val="19"/>
        </w:numPr>
        <w:spacing w:after="0"/>
        <w:jc w:val="both"/>
        <w:rPr>
          <w:spacing w:val="-4"/>
          <w:w w:val="105"/>
          <w:lang w:val="en-GB"/>
        </w:rPr>
      </w:pPr>
      <w:r w:rsidRPr="005E1EE9">
        <w:rPr>
          <w:spacing w:val="-4"/>
          <w:w w:val="105"/>
          <w:lang w:val="en-GB"/>
        </w:rPr>
        <w:t>check that the equipment is in working order before use</w:t>
      </w:r>
    </w:p>
    <w:p w:rsidR="008D20EE" w:rsidRPr="005E1EE9" w:rsidRDefault="002F7F46" w:rsidP="005E1EE9">
      <w:pPr>
        <w:pStyle w:val="ListParagraph"/>
        <w:numPr>
          <w:ilvl w:val="0"/>
          <w:numId w:val="19"/>
        </w:numPr>
        <w:spacing w:after="0"/>
        <w:jc w:val="both"/>
        <w:rPr>
          <w:spacing w:val="-4"/>
          <w:w w:val="105"/>
          <w:lang w:val="en-GB"/>
        </w:rPr>
      </w:pPr>
      <w:r w:rsidRPr="005E1EE9">
        <w:rPr>
          <w:spacing w:val="-4"/>
          <w:w w:val="105"/>
          <w:lang w:val="en-GB"/>
        </w:rPr>
        <w:t>firmly secure the cylinders using chains or other suitable restraining methods to avoid any accidental falls</w:t>
      </w:r>
    </w:p>
    <w:p w:rsidR="008D20EE" w:rsidRPr="005E1EE9" w:rsidRDefault="002F7F46" w:rsidP="005E1EE9">
      <w:pPr>
        <w:pStyle w:val="ListParagraph"/>
        <w:numPr>
          <w:ilvl w:val="0"/>
          <w:numId w:val="19"/>
        </w:numPr>
        <w:spacing w:after="0"/>
        <w:jc w:val="both"/>
        <w:rPr>
          <w:spacing w:val="-4"/>
          <w:w w:val="105"/>
          <w:lang w:val="en-GB"/>
        </w:rPr>
      </w:pPr>
      <w:r w:rsidRPr="005E1EE9">
        <w:rPr>
          <w:spacing w:val="-4"/>
          <w:w w:val="105"/>
          <w:lang w:val="en-GB"/>
        </w:rPr>
        <w:t>never open a valve abruptly: open it counter clockwise, slowly and completely, then turn the valve back a quarter of turn</w:t>
      </w:r>
    </w:p>
    <w:p w:rsidR="008D20EE" w:rsidRPr="005E1EE9" w:rsidRDefault="002F7F46" w:rsidP="005E1EE9">
      <w:pPr>
        <w:pStyle w:val="ListParagraph"/>
        <w:numPr>
          <w:ilvl w:val="0"/>
          <w:numId w:val="19"/>
        </w:numPr>
        <w:spacing w:after="0"/>
        <w:jc w:val="both"/>
        <w:rPr>
          <w:spacing w:val="-4"/>
          <w:w w:val="105"/>
          <w:lang w:val="en-GB"/>
        </w:rPr>
      </w:pPr>
      <w:r w:rsidRPr="005E1EE9">
        <w:rPr>
          <w:spacing w:val="-4"/>
          <w:w w:val="105"/>
          <w:lang w:val="en-GB"/>
        </w:rPr>
        <w:t>do not handle a cylinder on which the valve is not protected by a shroud and a protective guard</w:t>
      </w:r>
    </w:p>
    <w:p w:rsidR="008D20EE" w:rsidRPr="005E1EE9" w:rsidRDefault="002F7F46" w:rsidP="005E1EE9">
      <w:pPr>
        <w:pStyle w:val="ListParagraph"/>
        <w:numPr>
          <w:ilvl w:val="0"/>
          <w:numId w:val="19"/>
        </w:numPr>
        <w:spacing w:after="0"/>
        <w:ind w:right="148"/>
        <w:jc w:val="both"/>
        <w:rPr>
          <w:spacing w:val="-4"/>
          <w:w w:val="105"/>
          <w:lang w:val="en-GB"/>
        </w:rPr>
      </w:pPr>
      <w:r w:rsidRPr="005E1EE9">
        <w:rPr>
          <w:spacing w:val="-4"/>
          <w:w w:val="105"/>
          <w:lang w:val="en-GB"/>
        </w:rPr>
        <w:t>use a gas specific pressure regulator to connect to the cylinder valve: n°29 NO/N</w:t>
      </w:r>
      <w:r w:rsidRPr="005E1EE9">
        <w:rPr>
          <w:spacing w:val="-4"/>
          <w:w w:val="105"/>
          <w:vertAlign w:val="subscript"/>
          <w:lang w:val="en-GB"/>
        </w:rPr>
        <w:t xml:space="preserve">2 </w:t>
      </w:r>
      <w:r w:rsidRPr="005E1EE9">
        <w:rPr>
          <w:spacing w:val="-4"/>
          <w:w w:val="105"/>
          <w:lang w:val="en-GB"/>
        </w:rPr>
        <w:t>(100 ppm &lt; NO &lt; 1000 ppm) W30x2 15.2-20.8 DR (ISO 5145)</w:t>
      </w:r>
    </w:p>
    <w:p w:rsidR="00FD5EA7" w:rsidRDefault="002F7F46" w:rsidP="005E1EE9">
      <w:pPr>
        <w:pStyle w:val="ListParagraph"/>
        <w:numPr>
          <w:ilvl w:val="0"/>
          <w:numId w:val="19"/>
        </w:numPr>
        <w:spacing w:after="0"/>
        <w:jc w:val="both"/>
        <w:rPr>
          <w:spacing w:val="-4"/>
          <w:w w:val="105"/>
          <w:lang w:val="en-GB"/>
        </w:rPr>
      </w:pPr>
      <w:r w:rsidRPr="005E1EE9">
        <w:rPr>
          <w:spacing w:val="-4"/>
          <w:w w:val="105"/>
          <w:lang w:val="en-GB"/>
        </w:rPr>
        <w:t>use a  pressure regulator that  admits a pressure at least equal to 1.5 the maximum operating pressure (200 bar) of the gas cylinder</w:t>
      </w:r>
    </w:p>
    <w:p w:rsidR="008D20EE" w:rsidRPr="005E1EE9" w:rsidRDefault="002F7F46" w:rsidP="005E1EE9">
      <w:pPr>
        <w:pStyle w:val="ListParagraph"/>
        <w:numPr>
          <w:ilvl w:val="0"/>
          <w:numId w:val="19"/>
        </w:numPr>
        <w:spacing w:after="0"/>
        <w:jc w:val="both"/>
        <w:rPr>
          <w:spacing w:val="-4"/>
          <w:w w:val="105"/>
          <w:lang w:val="en-GB"/>
        </w:rPr>
      </w:pPr>
      <w:r w:rsidRPr="005E1EE9">
        <w:rPr>
          <w:spacing w:val="-4"/>
          <w:w w:val="105"/>
          <w:lang w:val="en-GB"/>
        </w:rPr>
        <w:t xml:space="preserve">at each new use, purge the pressure regulator / flowmeter using </w:t>
      </w:r>
      <w:proofErr w:type="spellStart"/>
      <w:r w:rsidRPr="005E1EE9">
        <w:rPr>
          <w:rFonts w:cs="Calibri"/>
          <w:spacing w:val="-4"/>
          <w:w w:val="105"/>
          <w:lang w:val="en-GB"/>
        </w:rPr>
        <w:t>VasoKINOX</w:t>
      </w:r>
      <w:proofErr w:type="spellEnd"/>
    </w:p>
    <w:p w:rsidR="008D20EE" w:rsidRPr="005E1EE9" w:rsidRDefault="002F7F46" w:rsidP="005E1EE9">
      <w:pPr>
        <w:pStyle w:val="ListParagraph"/>
        <w:numPr>
          <w:ilvl w:val="0"/>
          <w:numId w:val="19"/>
        </w:numPr>
        <w:spacing w:after="0"/>
        <w:jc w:val="both"/>
        <w:rPr>
          <w:spacing w:val="-4"/>
          <w:w w:val="105"/>
          <w:lang w:val="en-GB"/>
        </w:rPr>
      </w:pPr>
      <w:r w:rsidRPr="005E1EE9">
        <w:rPr>
          <w:spacing w:val="-4"/>
          <w:w w:val="105"/>
          <w:lang w:val="en-GB"/>
        </w:rPr>
        <w:t>do not attempt to repair a defective valve or pressure regulator</w:t>
      </w:r>
    </w:p>
    <w:p w:rsidR="008D20EE" w:rsidRPr="005E1EE9" w:rsidRDefault="002F7F46" w:rsidP="005E1EE9">
      <w:pPr>
        <w:pStyle w:val="ListParagraph"/>
        <w:numPr>
          <w:ilvl w:val="0"/>
          <w:numId w:val="19"/>
        </w:numPr>
        <w:spacing w:after="0"/>
        <w:jc w:val="both"/>
        <w:rPr>
          <w:spacing w:val="-4"/>
          <w:w w:val="105"/>
          <w:lang w:val="en-GB"/>
        </w:rPr>
      </w:pPr>
      <w:proofErr w:type="gramStart"/>
      <w:r w:rsidRPr="005E1EE9">
        <w:rPr>
          <w:spacing w:val="-4"/>
          <w:w w:val="105"/>
          <w:lang w:val="en-GB"/>
        </w:rPr>
        <w:t>do</w:t>
      </w:r>
      <w:proofErr w:type="gramEnd"/>
      <w:r w:rsidRPr="005E1EE9">
        <w:rPr>
          <w:spacing w:val="-4"/>
          <w:w w:val="105"/>
          <w:lang w:val="en-GB"/>
        </w:rPr>
        <w:t xml:space="preserve"> not use tools to tighten the pressure regulator/ flowmeter. This may damage the regulator seal.</w:t>
      </w:r>
    </w:p>
    <w:p w:rsidR="00FD5EA7" w:rsidRDefault="002F7F46" w:rsidP="005E1EE9">
      <w:pPr>
        <w:pStyle w:val="ListParagraph"/>
        <w:numPr>
          <w:ilvl w:val="0"/>
          <w:numId w:val="19"/>
        </w:numPr>
        <w:spacing w:after="0"/>
        <w:jc w:val="both"/>
        <w:rPr>
          <w:spacing w:val="-4"/>
          <w:w w:val="105"/>
          <w:lang w:val="en-GB"/>
        </w:rPr>
      </w:pPr>
      <w:proofErr w:type="gramStart"/>
      <w:r w:rsidRPr="005E1EE9">
        <w:rPr>
          <w:spacing w:val="-4"/>
          <w:w w:val="105"/>
          <w:lang w:val="en-GB"/>
        </w:rPr>
        <w:t>evacuate</w:t>
      </w:r>
      <w:proofErr w:type="gramEnd"/>
      <w:r w:rsidRPr="005E1EE9">
        <w:rPr>
          <w:spacing w:val="-4"/>
          <w:w w:val="105"/>
          <w:lang w:val="en-GB"/>
        </w:rPr>
        <w:t xml:space="preserve"> exhaled gases outside (avoiding areas in which they may accumulate). Before use, it should be ensured that the room has the appropriate ventilation system for evacuating gases in the event of an accident or accidental leaks</w:t>
      </w:r>
    </w:p>
    <w:p w:rsidR="00FD5EA7" w:rsidRDefault="002F7F46" w:rsidP="005E1EE9">
      <w:pPr>
        <w:pStyle w:val="ListParagraph"/>
        <w:numPr>
          <w:ilvl w:val="0"/>
          <w:numId w:val="19"/>
        </w:numPr>
        <w:spacing w:after="0"/>
        <w:jc w:val="both"/>
        <w:rPr>
          <w:spacing w:val="-4"/>
          <w:w w:val="105"/>
          <w:lang w:val="en-GB"/>
        </w:rPr>
      </w:pPr>
      <w:r w:rsidRPr="005E1EE9">
        <w:rPr>
          <w:spacing w:val="-4"/>
          <w:w w:val="105"/>
          <w:lang w:val="en-GB"/>
        </w:rPr>
        <w:t>as nitric oxide is colourless and odourless, it is recommended using a gas detection system  in all rooms in which it is to be used or stored to monitor for excessive ambient concentrations</w:t>
      </w:r>
    </w:p>
    <w:p w:rsidR="008D20EE" w:rsidRDefault="00870F63" w:rsidP="005E1EE9">
      <w:pPr>
        <w:pStyle w:val="ListParagraph"/>
        <w:numPr>
          <w:ilvl w:val="0"/>
          <w:numId w:val="19"/>
        </w:numPr>
        <w:tabs>
          <w:tab w:val="left" w:pos="120"/>
        </w:tabs>
        <w:spacing w:after="0" w:line="260" w:lineRule="exact"/>
        <w:jc w:val="both"/>
      </w:pPr>
      <w:r>
        <w:t>p</w:t>
      </w:r>
      <w:r w:rsidR="00136E58">
        <w:t xml:space="preserve">ersonnel exposure limits </w:t>
      </w:r>
      <w:r>
        <w:t xml:space="preserve">should not be exceeded </w:t>
      </w:r>
      <w:r w:rsidR="00136E58">
        <w:t xml:space="preserve">(see section </w:t>
      </w:r>
      <w:r w:rsidR="0095722B">
        <w:t>Exposure limit for medical personnel</w:t>
      </w:r>
      <w:r w:rsidR="00136E58">
        <w:t>)</w:t>
      </w:r>
    </w:p>
    <w:p w:rsidR="00FE6653" w:rsidRPr="002111C3" w:rsidRDefault="00162D21" w:rsidP="00CC3F1F">
      <w:pPr>
        <w:pStyle w:val="Heading3"/>
      </w:pPr>
      <w:r>
        <w:t>I</w:t>
      </w:r>
      <w:r w:rsidR="004A2483" w:rsidRPr="002111C3">
        <w:t>ncompatibilities</w:t>
      </w:r>
    </w:p>
    <w:p w:rsidR="00FD5EA7" w:rsidRDefault="001E3D90" w:rsidP="00CC3F1F">
      <w:pPr>
        <w:rPr>
          <w:w w:val="105"/>
          <w:lang w:val="en-GB"/>
        </w:rPr>
      </w:pPr>
      <w:r w:rsidRPr="001E3D90">
        <w:rPr>
          <w:w w:val="105"/>
          <w:lang w:val="en-GB"/>
        </w:rPr>
        <w:t xml:space="preserve">All equipment, including </w:t>
      </w:r>
      <w:r w:rsidR="0064462B">
        <w:rPr>
          <w:w w:val="105"/>
          <w:lang w:val="en-GB"/>
        </w:rPr>
        <w:t>connectors</w:t>
      </w:r>
      <w:r w:rsidRPr="001E3D90">
        <w:rPr>
          <w:w w:val="105"/>
          <w:lang w:val="en-GB"/>
        </w:rPr>
        <w:t xml:space="preserve">, tubing and </w:t>
      </w:r>
      <w:r w:rsidR="00E53DD6">
        <w:rPr>
          <w:w w:val="105"/>
          <w:lang w:val="en-GB"/>
        </w:rPr>
        <w:t xml:space="preserve">breathing </w:t>
      </w:r>
      <w:r w:rsidRPr="001E3D90">
        <w:rPr>
          <w:w w:val="105"/>
          <w:lang w:val="en-GB"/>
        </w:rPr>
        <w:t xml:space="preserve">circuits, used in the delivery of </w:t>
      </w:r>
      <w:proofErr w:type="spellStart"/>
      <w:r w:rsidR="00291B56">
        <w:rPr>
          <w:w w:val="105"/>
          <w:lang w:val="en-GB"/>
        </w:rPr>
        <w:t>i</w:t>
      </w:r>
      <w:r w:rsidR="00765F7A">
        <w:rPr>
          <w:w w:val="105"/>
          <w:lang w:val="en-GB"/>
        </w:rPr>
        <w:t>NO</w:t>
      </w:r>
      <w:proofErr w:type="spellEnd"/>
      <w:r w:rsidRPr="001E3D90">
        <w:rPr>
          <w:w w:val="105"/>
          <w:lang w:val="en-GB"/>
        </w:rPr>
        <w:t xml:space="preserve"> must be made of materials compatible with the gas. </w:t>
      </w:r>
      <w:r w:rsidR="00D37B39">
        <w:rPr>
          <w:w w:val="105"/>
          <w:lang w:val="en-GB"/>
        </w:rPr>
        <w:t>The only recommended metal is stainless steel and the only tested polymers are</w:t>
      </w:r>
      <w:r w:rsidR="00D37B39" w:rsidRPr="00D37B39">
        <w:rPr>
          <w:w w:val="105"/>
          <w:lang w:val="en-GB"/>
        </w:rPr>
        <w:t xml:space="preserve"> </w:t>
      </w:r>
      <w:r w:rsidR="00D37B39">
        <w:rPr>
          <w:w w:val="105"/>
          <w:lang w:val="en-GB"/>
        </w:rPr>
        <w:t>p</w:t>
      </w:r>
      <w:r w:rsidR="00D37B39" w:rsidRPr="001E3D90">
        <w:rPr>
          <w:w w:val="105"/>
          <w:lang w:val="en-GB"/>
        </w:rPr>
        <w:t>olyethylene (PE) and polypropylene (PP</w:t>
      </w:r>
      <w:r w:rsidR="00D37B39">
        <w:rPr>
          <w:w w:val="105"/>
          <w:lang w:val="en-GB"/>
        </w:rPr>
        <w:t>)</w:t>
      </w:r>
      <w:r w:rsidR="00E600A6">
        <w:rPr>
          <w:w w:val="105"/>
          <w:lang w:val="en-GB"/>
        </w:rPr>
        <w:t>.</w:t>
      </w:r>
      <w:r w:rsidR="00D37B39" w:rsidRPr="001E3D90" w:rsidDel="00D37B39">
        <w:rPr>
          <w:w w:val="105"/>
          <w:lang w:val="en-GB"/>
        </w:rPr>
        <w:t xml:space="preserve"> </w:t>
      </w:r>
    </w:p>
    <w:p w:rsidR="009E7D18" w:rsidRPr="009E7D18" w:rsidRDefault="009E7D18" w:rsidP="00CC3F1F">
      <w:pPr>
        <w:pStyle w:val="Heading3"/>
      </w:pPr>
      <w:r w:rsidRPr="009E7D18">
        <w:t>Monitoring of treatment</w:t>
      </w:r>
    </w:p>
    <w:p w:rsidR="005B25A9" w:rsidRPr="00B4246E" w:rsidRDefault="005B25A9" w:rsidP="00CC3F1F">
      <w:pPr>
        <w:pStyle w:val="Heading4"/>
      </w:pPr>
      <w:r w:rsidRPr="00B4246E">
        <w:t>Monitoring formation of nitrogen dioxide (NO</w:t>
      </w:r>
      <w:r w:rsidRPr="00B4246E">
        <w:rPr>
          <w:vertAlign w:val="subscript"/>
        </w:rPr>
        <w:t>2</w:t>
      </w:r>
      <w:r w:rsidRPr="00B4246E">
        <w:t>):</w:t>
      </w:r>
    </w:p>
    <w:p w:rsidR="009E7D18" w:rsidRPr="009E7D18" w:rsidRDefault="009E7D18" w:rsidP="00CC3F1F">
      <w:r w:rsidRPr="009E7D18">
        <w:lastRenderedPageBreak/>
        <w:t xml:space="preserve">Nitrogen dioxide can form rapidly in gaseous mixtures containing </w:t>
      </w:r>
      <w:r w:rsidR="006B50C6">
        <w:t>NO</w:t>
      </w:r>
      <w:r w:rsidRPr="009E7D18">
        <w:t xml:space="preserve"> and O</w:t>
      </w:r>
      <w:r w:rsidRPr="00232DD7">
        <w:rPr>
          <w:vertAlign w:val="subscript"/>
        </w:rPr>
        <w:t>2</w:t>
      </w:r>
      <w:r w:rsidRPr="009E7D18">
        <w:t xml:space="preserve">, which may cause an inflammatory reaction and airway lesions. The concentrations of </w:t>
      </w:r>
      <w:proofErr w:type="spellStart"/>
      <w:r w:rsidR="00291B56">
        <w:t>i</w:t>
      </w:r>
      <w:r w:rsidR="006B50C6">
        <w:t>NO</w:t>
      </w:r>
      <w:proofErr w:type="spellEnd"/>
      <w:r w:rsidR="001D048F">
        <w:t xml:space="preserve">, </w:t>
      </w:r>
      <w:r w:rsidR="006B50C6">
        <w:t>NO</w:t>
      </w:r>
      <w:r w:rsidR="006B50C6" w:rsidRPr="006B50C6">
        <w:rPr>
          <w:vertAlign w:val="subscript"/>
        </w:rPr>
        <w:t>2</w:t>
      </w:r>
      <w:r w:rsidRPr="009E7D18">
        <w:t xml:space="preserve"> </w:t>
      </w:r>
      <w:r w:rsidR="001D048F">
        <w:t>and FiO</w:t>
      </w:r>
      <w:r w:rsidR="004A2483" w:rsidRPr="002111C3">
        <w:rPr>
          <w:vertAlign w:val="subscript"/>
        </w:rPr>
        <w:t>2</w:t>
      </w:r>
      <w:r w:rsidR="001D048F">
        <w:t xml:space="preserve"> </w:t>
      </w:r>
      <w:r w:rsidRPr="009E7D18">
        <w:t>must be measured continuously in the inspiratory circuit near to the patient using the appropriate certified equipment (</w:t>
      </w:r>
      <w:r w:rsidR="006B50C6">
        <w:t xml:space="preserve">Australian approved </w:t>
      </w:r>
      <w:r w:rsidRPr="009E7D18">
        <w:t>medical device)</w:t>
      </w:r>
      <w:r w:rsidR="007610DF">
        <w:t>.</w:t>
      </w:r>
    </w:p>
    <w:p w:rsidR="009E7D18" w:rsidRPr="009E7D18" w:rsidRDefault="009E7D18" w:rsidP="00CC3F1F">
      <w:r w:rsidRPr="009E7D18">
        <w:t>The concentration of NO</w:t>
      </w:r>
      <w:r w:rsidRPr="00232DD7">
        <w:rPr>
          <w:vertAlign w:val="subscript"/>
        </w:rPr>
        <w:t>2</w:t>
      </w:r>
      <w:r w:rsidRPr="009E7D18">
        <w:t xml:space="preserve"> in the</w:t>
      </w:r>
      <w:r w:rsidR="00B545D4">
        <w:t xml:space="preserve"> inhaled air</w:t>
      </w:r>
      <w:r w:rsidRPr="009E7D18">
        <w:t xml:space="preserve"> must remain as low as possible.</w:t>
      </w:r>
    </w:p>
    <w:p w:rsidR="00B4246E" w:rsidRPr="00B4246E" w:rsidRDefault="00B4246E" w:rsidP="00CC3F1F">
      <w:r w:rsidRPr="00B4246E">
        <w:t>Immediately prior to each patient initiation, proper procedure must be applied to purge the system of NO</w:t>
      </w:r>
      <w:r w:rsidRPr="00B4246E">
        <w:rPr>
          <w:vertAlign w:val="subscript"/>
        </w:rPr>
        <w:t>2</w:t>
      </w:r>
      <w:r w:rsidRPr="00B4246E">
        <w:t>. The NO</w:t>
      </w:r>
      <w:r w:rsidRPr="00B4246E">
        <w:rPr>
          <w:vertAlign w:val="subscript"/>
        </w:rPr>
        <w:t>2</w:t>
      </w:r>
      <w:r w:rsidRPr="00B4246E">
        <w:t xml:space="preserve"> concentration should be maintained as low as possible and always &lt; 0.5 ppm. If the NO</w:t>
      </w:r>
      <w:r w:rsidRPr="00B4246E">
        <w:rPr>
          <w:vertAlign w:val="subscript"/>
        </w:rPr>
        <w:t>2</w:t>
      </w:r>
      <w:r w:rsidRPr="00B4246E">
        <w:t xml:space="preserve"> is &gt; 0.5 ppm, the delivery system should be assessed for malfunction, the NO</w:t>
      </w:r>
      <w:r w:rsidRPr="00B4246E">
        <w:rPr>
          <w:vertAlign w:val="subscript"/>
        </w:rPr>
        <w:t>2</w:t>
      </w:r>
      <w:r w:rsidRPr="00B4246E">
        <w:t xml:space="preserve"> analyser should be recalibrated, and the </w:t>
      </w:r>
      <w:proofErr w:type="spellStart"/>
      <w:r w:rsidR="00E7129E">
        <w:t>VasoKINOX</w:t>
      </w:r>
      <w:proofErr w:type="spellEnd"/>
      <w:r w:rsidRPr="00B4246E">
        <w:t xml:space="preserve"> dose and/or FiO</w:t>
      </w:r>
      <w:r w:rsidRPr="00B4246E">
        <w:rPr>
          <w:vertAlign w:val="subscript"/>
        </w:rPr>
        <w:t>2</w:t>
      </w:r>
      <w:r w:rsidRPr="00B4246E">
        <w:t xml:space="preserve"> should be reduced if possible</w:t>
      </w:r>
      <w:r w:rsidR="00291B56">
        <w:t xml:space="preserve"> (see PRECAUTIONS/formation of NO</w:t>
      </w:r>
      <w:r w:rsidR="00291B56" w:rsidRPr="00291B56">
        <w:rPr>
          <w:vertAlign w:val="subscript"/>
        </w:rPr>
        <w:t>2</w:t>
      </w:r>
      <w:r w:rsidR="00291B56">
        <w:t>)</w:t>
      </w:r>
      <w:r w:rsidRPr="00B4246E">
        <w:t xml:space="preserve">. If there is an unexpected change in </w:t>
      </w:r>
      <w:proofErr w:type="spellStart"/>
      <w:r w:rsidR="00E7129E">
        <w:t>VasoKINOX</w:t>
      </w:r>
      <w:proofErr w:type="spellEnd"/>
      <w:r w:rsidRPr="00B4246E">
        <w:t xml:space="preserve"> concentration, the delivery system should be assessed for malfunction and the analyser should be recalibrated.</w:t>
      </w:r>
    </w:p>
    <w:p w:rsidR="00FD5EA7" w:rsidRDefault="002F7F46" w:rsidP="00CC3F1F">
      <w:pPr>
        <w:rPr>
          <w:bCs/>
        </w:rPr>
      </w:pPr>
      <w:r w:rsidRPr="005E1EE9">
        <w:rPr>
          <w:bCs/>
        </w:rPr>
        <w:t>During treatment:</w:t>
      </w:r>
    </w:p>
    <w:p w:rsidR="00FD5EA7" w:rsidRDefault="00232DD7" w:rsidP="00CC3F1F">
      <w:r w:rsidRPr="00232DD7">
        <w:t>For the safety of the patient, alert thresholds must be set:</w:t>
      </w:r>
    </w:p>
    <w:p w:rsidR="00FD5EA7" w:rsidRDefault="006B50C6" w:rsidP="00CC3F1F">
      <w:pPr>
        <w:pStyle w:val="ListParagraph"/>
        <w:numPr>
          <w:ilvl w:val="0"/>
          <w:numId w:val="21"/>
        </w:numPr>
      </w:pPr>
      <w:r>
        <w:t>NO</w:t>
      </w:r>
      <w:r w:rsidR="00232DD7" w:rsidRPr="000E19BE">
        <w:t xml:space="preserve"> ± 2 ppm of the prescribed dosage,</w:t>
      </w:r>
    </w:p>
    <w:p w:rsidR="00FE6653" w:rsidRPr="0066187F" w:rsidRDefault="00232DD7" w:rsidP="00CC3F1F">
      <w:pPr>
        <w:pStyle w:val="ListParagraph"/>
        <w:numPr>
          <w:ilvl w:val="0"/>
          <w:numId w:val="21"/>
        </w:numPr>
      </w:pPr>
      <w:r w:rsidRPr="0066187F">
        <w:t>NO</w:t>
      </w:r>
      <w:r w:rsidRPr="00CC3F1F">
        <w:rPr>
          <w:vertAlign w:val="subscript"/>
        </w:rPr>
        <w:t>2</w:t>
      </w:r>
      <w:r w:rsidRPr="0066187F">
        <w:t xml:space="preserve">: </w:t>
      </w:r>
      <w:r w:rsidR="0021343D">
        <w:t>0.5</w:t>
      </w:r>
      <w:r w:rsidR="0021343D" w:rsidRPr="0066187F">
        <w:t xml:space="preserve"> </w:t>
      </w:r>
      <w:r w:rsidRPr="0066187F">
        <w:t>ppm</w:t>
      </w:r>
    </w:p>
    <w:p w:rsidR="00FE6653" w:rsidRPr="0066187F" w:rsidRDefault="001D048F" w:rsidP="00CC3F1F">
      <w:pPr>
        <w:pStyle w:val="ListParagraph"/>
        <w:numPr>
          <w:ilvl w:val="0"/>
          <w:numId w:val="21"/>
        </w:numPr>
      </w:pPr>
      <w:r w:rsidRPr="0066187F">
        <w:t>FiO</w:t>
      </w:r>
      <w:r w:rsidR="004A2483" w:rsidRPr="00CC3F1F">
        <w:rPr>
          <w:vertAlign w:val="subscript"/>
        </w:rPr>
        <w:t>2</w:t>
      </w:r>
      <w:r w:rsidRPr="0066187F">
        <w:t xml:space="preserve"> ± 0.05</w:t>
      </w:r>
    </w:p>
    <w:p w:rsidR="00232DD7" w:rsidRDefault="00232DD7" w:rsidP="00CC3F1F">
      <w:r w:rsidRPr="00232DD7">
        <w:t>If at any time the NO</w:t>
      </w:r>
      <w:r w:rsidRPr="00232DD7">
        <w:rPr>
          <w:vertAlign w:val="subscript"/>
        </w:rPr>
        <w:t xml:space="preserve">2 </w:t>
      </w:r>
      <w:r w:rsidRPr="00232DD7">
        <w:t xml:space="preserve">concentration exceeds </w:t>
      </w:r>
      <w:r w:rsidR="00CA17C8">
        <w:t>0.5</w:t>
      </w:r>
      <w:r w:rsidR="00CA17C8" w:rsidRPr="00232DD7">
        <w:t xml:space="preserve"> </w:t>
      </w:r>
      <w:r w:rsidRPr="00232DD7">
        <w:t xml:space="preserve">ppm, the </w:t>
      </w:r>
      <w:r w:rsidR="006B50C6">
        <w:t>NO</w:t>
      </w:r>
      <w:r w:rsidRPr="00232DD7">
        <w:t xml:space="preserve"> dose should immediately be reduced.</w:t>
      </w:r>
    </w:p>
    <w:p w:rsidR="00232DD7" w:rsidRPr="00232DD7" w:rsidRDefault="00232DD7" w:rsidP="00CC3F1F">
      <w:r w:rsidRPr="00232DD7">
        <w:t xml:space="preserve">For discontinuous-flow volumetric ventilators, spirometry monitoring can detect an increase in </w:t>
      </w:r>
      <w:proofErr w:type="spellStart"/>
      <w:r w:rsidR="00E7129E">
        <w:t>VasoKINOX</w:t>
      </w:r>
      <w:proofErr w:type="spellEnd"/>
      <w:r w:rsidRPr="00232DD7">
        <w:t xml:space="preserve"> flow if a difference is observed between the inspired volume and expired volume.</w:t>
      </w:r>
    </w:p>
    <w:p w:rsidR="00232DD7" w:rsidRDefault="00232DD7" w:rsidP="00CC3F1F">
      <w:r w:rsidRPr="00232DD7">
        <w:t xml:space="preserve">The pressure in the </w:t>
      </w:r>
      <w:proofErr w:type="spellStart"/>
      <w:r w:rsidR="00E7129E">
        <w:t>VasoKINOX</w:t>
      </w:r>
      <w:proofErr w:type="spellEnd"/>
      <w:r w:rsidRPr="00232DD7">
        <w:t xml:space="preserve"> cylinder must be displayed to allow for rapid replacement of an empty cylinder so as not to abruptly interrupt treatment. Replacement cylinders must be kept available nearby.</w:t>
      </w:r>
    </w:p>
    <w:p w:rsidR="00B4246E" w:rsidRPr="00B4246E" w:rsidRDefault="00B4246E" w:rsidP="00CC3F1F">
      <w:pPr>
        <w:pStyle w:val="Heading4"/>
      </w:pPr>
      <w:r w:rsidRPr="00B4246E">
        <w:t>Monitoring formation of methaemoglobin:</w:t>
      </w:r>
    </w:p>
    <w:p w:rsidR="00B4246E" w:rsidRPr="00B4246E" w:rsidRDefault="00B4246E" w:rsidP="00CC3F1F">
      <w:r w:rsidRPr="00B4246E">
        <w:t>Neonates and infants are known to have diminished methaemoglobin reductase activity compared to adults</w:t>
      </w:r>
      <w:r w:rsidR="006D4C68">
        <w:t>, and therefore</w:t>
      </w:r>
      <w:r w:rsidR="006D4C68" w:rsidRPr="00B4246E">
        <w:t xml:space="preserve"> </w:t>
      </w:r>
      <w:r w:rsidR="006D4C68">
        <w:t xml:space="preserve">a </w:t>
      </w:r>
      <w:r w:rsidR="006D4C68" w:rsidRPr="00B37095">
        <w:t xml:space="preserve">more rapid rise in </w:t>
      </w:r>
      <w:r w:rsidR="006D4C68" w:rsidRPr="00B4246E">
        <w:t xml:space="preserve">methaemoglobin </w:t>
      </w:r>
      <w:r w:rsidR="006D4C68" w:rsidRPr="00B37095">
        <w:t>can occur</w:t>
      </w:r>
      <w:r w:rsidR="006D4C68">
        <w:t xml:space="preserve"> </w:t>
      </w:r>
      <w:r w:rsidR="006D4C68" w:rsidRPr="00B37095">
        <w:t>in infants</w:t>
      </w:r>
      <w:r w:rsidR="006D4C68">
        <w:t xml:space="preserve"> </w:t>
      </w:r>
      <w:r w:rsidR="006D4C68" w:rsidRPr="00B37095">
        <w:t>than in adults</w:t>
      </w:r>
      <w:r w:rsidRPr="00B4246E">
        <w:t xml:space="preserve">. Methaemoglobin level should be measured within one hour after initiation of </w:t>
      </w:r>
      <w:proofErr w:type="spellStart"/>
      <w:r w:rsidR="00E7129E">
        <w:t>VasoKINOX</w:t>
      </w:r>
      <w:proofErr w:type="spellEnd"/>
      <w:r w:rsidRPr="00B4246E">
        <w:t xml:space="preserve"> therapy, using an analyser which can reliably distinguish between foetal haemoglobin and methaemoglobin. If </w:t>
      </w:r>
      <w:r w:rsidR="006D4C68" w:rsidRPr="00B4246E">
        <w:t>methaemoglobin</w:t>
      </w:r>
      <w:r w:rsidR="006D4C68">
        <w:t xml:space="preserve"> level</w:t>
      </w:r>
      <w:r w:rsidR="006D4C68" w:rsidRPr="00B4246E" w:rsidDel="00700597">
        <w:t xml:space="preserve"> </w:t>
      </w:r>
      <w:r w:rsidRPr="00B4246E">
        <w:t xml:space="preserve">is &gt;2.5 %, the </w:t>
      </w:r>
      <w:proofErr w:type="spellStart"/>
      <w:r w:rsidR="00E7129E">
        <w:t>VasoKINOX</w:t>
      </w:r>
      <w:proofErr w:type="spellEnd"/>
      <w:r w:rsidRPr="00B4246E">
        <w:t xml:space="preserve"> dose should be decreased and the administration of reducing medicinal products such as methylene blue may be considered. Although it is unusual for the methaemoglobin level to increase significantly if the first level is low, it is prudent to repeat methaemoglobin measurements every one to two days.</w:t>
      </w:r>
    </w:p>
    <w:p w:rsidR="00B4246E" w:rsidRPr="00B4246E" w:rsidRDefault="00B4246E" w:rsidP="00CC3F1F">
      <w:r w:rsidRPr="00B4246E">
        <w:t xml:space="preserve">In adults, methaemoglobin level should be measured within one hour of the initiation of </w:t>
      </w:r>
      <w:proofErr w:type="spellStart"/>
      <w:r w:rsidR="00E7129E">
        <w:t>VasoKINOX</w:t>
      </w:r>
      <w:proofErr w:type="spellEnd"/>
      <w:r w:rsidRPr="00B4246E">
        <w:t xml:space="preserve"> therapy. If </w:t>
      </w:r>
      <w:r w:rsidR="006D4C68" w:rsidRPr="00B4246E">
        <w:t>methaemoglobin</w:t>
      </w:r>
      <w:r w:rsidR="006D4C68">
        <w:t xml:space="preserve"> level</w:t>
      </w:r>
      <w:r w:rsidR="006D4C68" w:rsidRPr="00B4246E" w:rsidDel="00700597">
        <w:t xml:space="preserve"> </w:t>
      </w:r>
      <w:r w:rsidR="006D4C68" w:rsidRPr="00B4246E">
        <w:t>is &gt;2.5 %,</w:t>
      </w:r>
      <w:r w:rsidRPr="00B4246E">
        <w:t xml:space="preserve"> the </w:t>
      </w:r>
      <w:proofErr w:type="spellStart"/>
      <w:r w:rsidR="00E7129E">
        <w:t>VasoKINOX</w:t>
      </w:r>
      <w:proofErr w:type="spellEnd"/>
      <w:r w:rsidRPr="00B4246E">
        <w:t xml:space="preserve"> dose should be decreased and the administration of reducing medicinal products such as methylene blue may be considered.</w:t>
      </w:r>
    </w:p>
    <w:p w:rsidR="00FD5EA7" w:rsidRDefault="00232DD7" w:rsidP="00CC3F1F">
      <w:pPr>
        <w:pStyle w:val="Heading3"/>
      </w:pPr>
      <w:r w:rsidRPr="00232DD7">
        <w:t>Exposure limit for medical personnel:</w:t>
      </w:r>
    </w:p>
    <w:p w:rsidR="00232DD7" w:rsidRPr="00232DD7" w:rsidRDefault="008B7E5E" w:rsidP="00CC3F1F">
      <w:r>
        <w:t xml:space="preserve">The Australian </w:t>
      </w:r>
      <w:r w:rsidR="00C75310">
        <w:t xml:space="preserve">National Occupational Health and Safety Commission’s </w:t>
      </w:r>
      <w:r>
        <w:t>adapted national exposure standards for atmospheric contaminants in the occupational environment (NOHSC</w:t>
      </w:r>
      <w:proofErr w:type="gramStart"/>
      <w:r>
        <w:t>:1003</w:t>
      </w:r>
      <w:proofErr w:type="gramEnd"/>
      <w:r w:rsidR="003A38A3">
        <w:t xml:space="preserve"> </w:t>
      </w:r>
      <w:r>
        <w:t xml:space="preserve">(1995) </w:t>
      </w:r>
      <w:r w:rsidR="00232DD7" w:rsidRPr="00232DD7">
        <w:t>recommend the following exposure limits:</w:t>
      </w:r>
    </w:p>
    <w:p w:rsidR="00232DD7" w:rsidRPr="0023388B" w:rsidRDefault="00232DD7" w:rsidP="00CC3F1F">
      <w:pPr>
        <w:rPr>
          <w:spacing w:val="2"/>
          <w:w w:val="105"/>
          <w:lang w:val="en-GB"/>
        </w:rPr>
      </w:pPr>
      <w:r w:rsidRPr="0023388B">
        <w:rPr>
          <w:spacing w:val="2"/>
          <w:w w:val="105"/>
          <w:lang w:val="en-GB"/>
        </w:rPr>
        <w:t xml:space="preserve">- NO: </w:t>
      </w:r>
      <w:r w:rsidR="00CB6338">
        <w:rPr>
          <w:spacing w:val="2"/>
          <w:w w:val="105"/>
          <w:lang w:val="en-GB"/>
        </w:rPr>
        <w:t>(</w:t>
      </w:r>
      <w:r w:rsidR="00C75310">
        <w:rPr>
          <w:spacing w:val="2"/>
          <w:w w:val="105"/>
          <w:lang w:val="en-GB"/>
        </w:rPr>
        <w:t>TWA</w:t>
      </w:r>
      <w:r w:rsidR="000E19BE">
        <w:rPr>
          <w:spacing w:val="2"/>
          <w:w w:val="105"/>
          <w:lang w:val="en-GB"/>
        </w:rPr>
        <w:t>*</w:t>
      </w:r>
      <w:r w:rsidR="00CB6338">
        <w:rPr>
          <w:spacing w:val="2"/>
          <w:w w:val="105"/>
          <w:lang w:val="en-GB"/>
        </w:rPr>
        <w:t>)</w:t>
      </w:r>
      <w:r w:rsidR="00C75310">
        <w:rPr>
          <w:spacing w:val="2"/>
          <w:w w:val="105"/>
          <w:lang w:val="en-GB"/>
        </w:rPr>
        <w:t xml:space="preserve">: </w:t>
      </w:r>
      <w:r w:rsidRPr="0023388B">
        <w:rPr>
          <w:spacing w:val="2"/>
          <w:w w:val="105"/>
          <w:lang w:val="en-GB"/>
        </w:rPr>
        <w:t xml:space="preserve">25 ppm </w:t>
      </w:r>
      <w:proofErr w:type="gramStart"/>
      <w:r w:rsidR="00F94450">
        <w:rPr>
          <w:spacing w:val="2"/>
          <w:w w:val="105"/>
          <w:lang w:val="en-GB"/>
        </w:rPr>
        <w:t>(3</w:t>
      </w:r>
      <w:r w:rsidR="00626803">
        <w:rPr>
          <w:spacing w:val="2"/>
          <w:w w:val="105"/>
          <w:lang w:val="en-GB"/>
        </w:rPr>
        <w:t>1</w:t>
      </w:r>
      <w:r w:rsidR="00F94450">
        <w:rPr>
          <w:spacing w:val="2"/>
          <w:w w:val="105"/>
          <w:lang w:val="en-GB"/>
        </w:rPr>
        <w:t xml:space="preserve"> mg/m</w:t>
      </w:r>
      <w:r w:rsidR="00F94450" w:rsidRPr="00F94450">
        <w:rPr>
          <w:spacing w:val="2"/>
          <w:w w:val="105"/>
          <w:vertAlign w:val="superscript"/>
          <w:lang w:val="en-GB"/>
        </w:rPr>
        <w:t>3</w:t>
      </w:r>
      <w:r w:rsidR="00F94450">
        <w:rPr>
          <w:spacing w:val="2"/>
          <w:w w:val="105"/>
          <w:lang w:val="en-GB"/>
        </w:rPr>
        <w:t>)</w:t>
      </w:r>
      <w:proofErr w:type="gramEnd"/>
    </w:p>
    <w:p w:rsidR="00232DD7" w:rsidRPr="0023388B" w:rsidRDefault="00232DD7" w:rsidP="00CC3F1F">
      <w:pPr>
        <w:rPr>
          <w:spacing w:val="12"/>
          <w:w w:val="105"/>
          <w:lang w:val="en-GB"/>
        </w:rPr>
      </w:pPr>
      <w:r w:rsidRPr="0023388B">
        <w:rPr>
          <w:spacing w:val="12"/>
          <w:w w:val="105"/>
          <w:lang w:val="en-GB"/>
        </w:rPr>
        <w:t>- NO</w:t>
      </w:r>
      <w:r w:rsidRPr="0023388B">
        <w:rPr>
          <w:spacing w:val="12"/>
          <w:w w:val="105"/>
          <w:sz w:val="14"/>
          <w:szCs w:val="14"/>
          <w:lang w:val="en-GB"/>
        </w:rPr>
        <w:t>2</w:t>
      </w:r>
      <w:r w:rsidRPr="0023388B">
        <w:rPr>
          <w:spacing w:val="12"/>
          <w:w w:val="105"/>
          <w:lang w:val="en-GB"/>
        </w:rPr>
        <w:t xml:space="preserve">: </w:t>
      </w:r>
      <w:r w:rsidR="00C75310">
        <w:rPr>
          <w:spacing w:val="12"/>
          <w:w w:val="105"/>
          <w:lang w:val="en-GB"/>
        </w:rPr>
        <w:t xml:space="preserve"> TWA </w:t>
      </w:r>
      <w:r w:rsidR="00626803">
        <w:rPr>
          <w:spacing w:val="12"/>
          <w:w w:val="105"/>
          <w:lang w:val="en-GB"/>
        </w:rPr>
        <w:t>3</w:t>
      </w:r>
      <w:r w:rsidRPr="0023388B">
        <w:rPr>
          <w:spacing w:val="12"/>
          <w:w w:val="105"/>
          <w:lang w:val="en-GB"/>
        </w:rPr>
        <w:t xml:space="preserve"> ppm</w:t>
      </w:r>
      <w:r w:rsidR="00F94450">
        <w:rPr>
          <w:spacing w:val="12"/>
          <w:w w:val="105"/>
          <w:lang w:val="en-GB"/>
        </w:rPr>
        <w:t xml:space="preserve"> </w:t>
      </w:r>
      <w:proofErr w:type="gramStart"/>
      <w:r w:rsidR="00F94450">
        <w:rPr>
          <w:spacing w:val="12"/>
          <w:w w:val="105"/>
          <w:lang w:val="en-GB"/>
        </w:rPr>
        <w:t>(</w:t>
      </w:r>
      <w:r w:rsidR="00626803">
        <w:rPr>
          <w:spacing w:val="12"/>
          <w:w w:val="105"/>
          <w:lang w:val="en-GB"/>
        </w:rPr>
        <w:t>5.6</w:t>
      </w:r>
      <w:r w:rsidR="00F94450">
        <w:rPr>
          <w:spacing w:val="12"/>
          <w:w w:val="105"/>
          <w:lang w:val="en-GB"/>
        </w:rPr>
        <w:t>mg/m</w:t>
      </w:r>
      <w:r w:rsidR="00F94450" w:rsidRPr="00F94450">
        <w:rPr>
          <w:spacing w:val="12"/>
          <w:w w:val="105"/>
          <w:vertAlign w:val="superscript"/>
          <w:lang w:val="en-GB"/>
        </w:rPr>
        <w:t>3</w:t>
      </w:r>
      <w:r w:rsidR="00F94450">
        <w:rPr>
          <w:spacing w:val="12"/>
          <w:w w:val="105"/>
          <w:lang w:val="en-GB"/>
        </w:rPr>
        <w:t>)</w:t>
      </w:r>
      <w:proofErr w:type="gramEnd"/>
      <w:r w:rsidR="00C75310">
        <w:rPr>
          <w:spacing w:val="12"/>
          <w:w w:val="105"/>
          <w:lang w:val="en-GB"/>
        </w:rPr>
        <w:t>; S</w:t>
      </w:r>
      <w:r w:rsidR="00CB6338">
        <w:rPr>
          <w:spacing w:val="12"/>
          <w:w w:val="105"/>
          <w:lang w:val="en-GB"/>
        </w:rPr>
        <w:t>hort term exposure limit (S</w:t>
      </w:r>
      <w:r w:rsidR="00C75310">
        <w:rPr>
          <w:spacing w:val="12"/>
          <w:w w:val="105"/>
          <w:lang w:val="en-GB"/>
        </w:rPr>
        <w:t>TEL</w:t>
      </w:r>
      <w:r w:rsidR="000E19BE">
        <w:rPr>
          <w:spacing w:val="12"/>
          <w:w w:val="105"/>
          <w:lang w:val="en-GB"/>
        </w:rPr>
        <w:t>*</w:t>
      </w:r>
      <w:r w:rsidR="00CB6338">
        <w:rPr>
          <w:spacing w:val="12"/>
          <w:w w:val="105"/>
          <w:lang w:val="en-GB"/>
        </w:rPr>
        <w:t>)</w:t>
      </w:r>
      <w:r w:rsidR="00C75310">
        <w:rPr>
          <w:spacing w:val="12"/>
          <w:w w:val="105"/>
          <w:lang w:val="en-GB"/>
        </w:rPr>
        <w:t xml:space="preserve">: 5 ppm (9.4 </w:t>
      </w:r>
      <w:r w:rsidR="00C75310">
        <w:rPr>
          <w:spacing w:val="2"/>
          <w:w w:val="105"/>
          <w:lang w:val="en-GB"/>
        </w:rPr>
        <w:t>mg/m</w:t>
      </w:r>
      <w:r w:rsidR="00C75310" w:rsidRPr="00F94450">
        <w:rPr>
          <w:spacing w:val="2"/>
          <w:w w:val="105"/>
          <w:vertAlign w:val="superscript"/>
          <w:lang w:val="en-GB"/>
        </w:rPr>
        <w:t>3</w:t>
      </w:r>
      <w:r w:rsidR="00C75310">
        <w:rPr>
          <w:spacing w:val="12"/>
          <w:w w:val="105"/>
          <w:lang w:val="en-GB"/>
        </w:rPr>
        <w:t>)</w:t>
      </w:r>
    </w:p>
    <w:p w:rsidR="00232DD7" w:rsidRPr="00232DD7" w:rsidRDefault="00232DD7" w:rsidP="00CC3F1F">
      <w:proofErr w:type="gramStart"/>
      <w:r w:rsidRPr="00232DD7">
        <w:t xml:space="preserve">For the </w:t>
      </w:r>
      <w:r w:rsidR="00F94450">
        <w:t>above r</w:t>
      </w:r>
      <w:r w:rsidRPr="00232DD7">
        <w:t>ecommendations to be met, a</w:t>
      </w:r>
      <w:r w:rsidR="00626803">
        <w:t xml:space="preserve"> monitoring program</w:t>
      </w:r>
      <w:r w:rsidRPr="00232DD7">
        <w:t xml:space="preserve"> </w:t>
      </w:r>
      <w:r w:rsidR="00626803">
        <w:t xml:space="preserve">for </w:t>
      </w:r>
      <w:r w:rsidR="00B42220">
        <w:t>NO</w:t>
      </w:r>
      <w:r w:rsidRPr="00232DD7">
        <w:t xml:space="preserve"> and </w:t>
      </w:r>
      <w:r w:rsidR="00B42220">
        <w:t>NO</w:t>
      </w:r>
      <w:r w:rsidR="00B42220" w:rsidRPr="00B42220">
        <w:rPr>
          <w:vertAlign w:val="subscript"/>
        </w:rPr>
        <w:t>2</w:t>
      </w:r>
      <w:r w:rsidRPr="00232DD7">
        <w:t xml:space="preserve"> content in the atmosphere must be </w:t>
      </w:r>
      <w:r w:rsidR="00626803">
        <w:t>in place</w:t>
      </w:r>
      <w:r w:rsidRPr="00232DD7">
        <w:t>.</w:t>
      </w:r>
      <w:proofErr w:type="gramEnd"/>
    </w:p>
    <w:p w:rsidR="00F4609F" w:rsidRDefault="000E19BE" w:rsidP="00CC3F1F">
      <w:pPr>
        <w:rPr>
          <w:spacing w:val="2"/>
          <w:w w:val="105"/>
          <w:lang w:val="en-GB"/>
        </w:rPr>
      </w:pPr>
      <w:r>
        <w:t xml:space="preserve">* </w:t>
      </w:r>
      <w:proofErr w:type="gramStart"/>
      <w:r>
        <w:t>TWA :</w:t>
      </w:r>
      <w:r>
        <w:rPr>
          <w:spacing w:val="2"/>
          <w:w w:val="105"/>
          <w:lang w:val="en-GB"/>
        </w:rPr>
        <w:t>Time</w:t>
      </w:r>
      <w:proofErr w:type="gramEnd"/>
      <w:r>
        <w:rPr>
          <w:spacing w:val="2"/>
          <w:w w:val="105"/>
          <w:lang w:val="en-GB"/>
        </w:rPr>
        <w:t>-weighted Average, STEL: Short term exposure limit</w:t>
      </w:r>
    </w:p>
    <w:p w:rsidR="00F4609F" w:rsidRPr="000E3C97" w:rsidRDefault="00F4609F" w:rsidP="00CC3F1F">
      <w:pPr>
        <w:pStyle w:val="Heading2"/>
      </w:pPr>
      <w:r w:rsidRPr="000E3C97">
        <w:rPr>
          <w:bCs/>
        </w:rPr>
        <w:t>OVERDOSAGE</w:t>
      </w:r>
    </w:p>
    <w:p w:rsidR="00D05E44" w:rsidRPr="00D05E44" w:rsidRDefault="00D05E44" w:rsidP="00CC3F1F">
      <w:r w:rsidRPr="00D05E44">
        <w:t xml:space="preserve">A </w:t>
      </w:r>
      <w:proofErr w:type="spellStart"/>
      <w:r w:rsidR="00E7129E">
        <w:t>VasoKINOX</w:t>
      </w:r>
      <w:proofErr w:type="spellEnd"/>
      <w:r w:rsidR="00BE59B8">
        <w:t xml:space="preserve"> </w:t>
      </w:r>
      <w:r w:rsidRPr="00D05E44">
        <w:t>overdose causes an increase in meth</w:t>
      </w:r>
      <w:r w:rsidR="00E56620">
        <w:t>a</w:t>
      </w:r>
      <w:r w:rsidRPr="00D05E44">
        <w:t>emoglobin and NO</w:t>
      </w:r>
      <w:r w:rsidRPr="00C033BD">
        <w:rPr>
          <w:vertAlign w:val="subscript"/>
        </w:rPr>
        <w:t>2</w:t>
      </w:r>
      <w:r w:rsidRPr="00D05E44">
        <w:t xml:space="preserve"> levels. A high concentration of NO</w:t>
      </w:r>
      <w:r w:rsidRPr="00EA0E32">
        <w:rPr>
          <w:vertAlign w:val="subscript"/>
        </w:rPr>
        <w:t xml:space="preserve">2 </w:t>
      </w:r>
      <w:r w:rsidRPr="00D05E44">
        <w:t xml:space="preserve">can provoke acute pulmonary lesions and cases of pulmonary </w:t>
      </w:r>
      <w:r w:rsidR="00F866D3">
        <w:t>o</w:t>
      </w:r>
      <w:r w:rsidRPr="00D05E44">
        <w:t xml:space="preserve">edema have been reported after administration of high concentrations of </w:t>
      </w:r>
      <w:proofErr w:type="spellStart"/>
      <w:r w:rsidR="00B42220">
        <w:t>iNO</w:t>
      </w:r>
      <w:proofErr w:type="spellEnd"/>
      <w:r w:rsidRPr="00D05E44">
        <w:t>.</w:t>
      </w:r>
    </w:p>
    <w:p w:rsidR="00D05E44" w:rsidRPr="00D05E44" w:rsidRDefault="00D05E44" w:rsidP="00CC3F1F">
      <w:r w:rsidRPr="00D05E44">
        <w:lastRenderedPageBreak/>
        <w:t>Course of action in the event of accidental patient overdose:</w:t>
      </w:r>
    </w:p>
    <w:p w:rsidR="00D05E44" w:rsidRPr="00D05E44" w:rsidRDefault="00D05E44" w:rsidP="001B09A9">
      <w:pPr>
        <w:numPr>
          <w:ilvl w:val="0"/>
          <w:numId w:val="11"/>
        </w:numPr>
        <w:spacing w:before="36" w:after="120"/>
        <w:ind w:right="72"/>
        <w:jc w:val="both"/>
        <w:rPr>
          <w:rFonts w:cs="Calibri"/>
        </w:rPr>
      </w:pPr>
      <w:r w:rsidRPr="00D05E44">
        <w:rPr>
          <w:rFonts w:cs="Calibri"/>
        </w:rPr>
        <w:t>symptomatic treatment of respiratory disorders,</w:t>
      </w:r>
    </w:p>
    <w:p w:rsidR="00D05E44" w:rsidRPr="00D05E44" w:rsidRDefault="00D05E44" w:rsidP="001B09A9">
      <w:pPr>
        <w:numPr>
          <w:ilvl w:val="0"/>
          <w:numId w:val="11"/>
        </w:numPr>
        <w:spacing w:before="36" w:after="120"/>
        <w:ind w:right="72"/>
        <w:jc w:val="both"/>
        <w:rPr>
          <w:rFonts w:cs="Calibri"/>
        </w:rPr>
      </w:pPr>
      <w:proofErr w:type="gramStart"/>
      <w:r w:rsidRPr="00D05E44">
        <w:rPr>
          <w:rFonts w:cs="Calibri"/>
        </w:rPr>
        <w:t>in</w:t>
      </w:r>
      <w:proofErr w:type="gramEnd"/>
      <w:r w:rsidRPr="00D05E44">
        <w:rPr>
          <w:rFonts w:cs="Calibri"/>
        </w:rPr>
        <w:t xml:space="preserve"> the event of persistent </w:t>
      </w:r>
      <w:proofErr w:type="spellStart"/>
      <w:r w:rsidRPr="00D05E44">
        <w:rPr>
          <w:rFonts w:cs="Calibri"/>
        </w:rPr>
        <w:t>met</w:t>
      </w:r>
      <w:r w:rsidR="00EC4C02">
        <w:rPr>
          <w:rFonts w:cs="Calibri"/>
        </w:rPr>
        <w:t>haem</w:t>
      </w:r>
      <w:r w:rsidRPr="00D05E44">
        <w:rPr>
          <w:rFonts w:cs="Calibri"/>
        </w:rPr>
        <w:t>oglobin</w:t>
      </w:r>
      <w:r w:rsidR="00F866D3">
        <w:rPr>
          <w:rFonts w:cs="Calibri"/>
        </w:rPr>
        <w:t>a</w:t>
      </w:r>
      <w:r w:rsidRPr="00D05E44">
        <w:rPr>
          <w:rFonts w:cs="Calibri"/>
        </w:rPr>
        <w:t>emia</w:t>
      </w:r>
      <w:proofErr w:type="spellEnd"/>
      <w:r w:rsidRPr="00D05E44">
        <w:rPr>
          <w:rFonts w:cs="Calibri"/>
        </w:rPr>
        <w:t xml:space="preserve"> despite the reduction or interruption of the treatment, an intravenous injection of vitamin C or methylene blue, or blood transfusion should be </w:t>
      </w:r>
      <w:r w:rsidR="00637912">
        <w:rPr>
          <w:rFonts w:cs="Calibri"/>
        </w:rPr>
        <w:t xml:space="preserve">considered </w:t>
      </w:r>
      <w:r w:rsidRPr="00D05E44">
        <w:rPr>
          <w:rFonts w:cs="Calibri"/>
        </w:rPr>
        <w:t>depending on the patient’s clinical condition.</w:t>
      </w:r>
    </w:p>
    <w:p w:rsidR="00D05E44" w:rsidRPr="00D05E44" w:rsidRDefault="00D05E44" w:rsidP="00CC3F1F">
      <w:r w:rsidRPr="00D05E44">
        <w:t>Course of action in the event of massive inhalation due to accidental leaks:</w:t>
      </w:r>
    </w:p>
    <w:p w:rsidR="00D05E44" w:rsidRPr="00D05E44" w:rsidRDefault="00D05E44" w:rsidP="001B09A9">
      <w:pPr>
        <w:numPr>
          <w:ilvl w:val="0"/>
          <w:numId w:val="11"/>
        </w:numPr>
        <w:spacing w:before="36" w:after="120"/>
        <w:ind w:right="72"/>
        <w:jc w:val="both"/>
        <w:rPr>
          <w:rFonts w:cs="Calibri"/>
        </w:rPr>
      </w:pPr>
      <w:r w:rsidRPr="00D05E44">
        <w:rPr>
          <w:rFonts w:cs="Calibri"/>
        </w:rPr>
        <w:t>medical observation for at least 24 hours</w:t>
      </w:r>
    </w:p>
    <w:p w:rsidR="00D05E44" w:rsidRPr="00D05E44" w:rsidRDefault="00D05E44" w:rsidP="001B09A9">
      <w:pPr>
        <w:numPr>
          <w:ilvl w:val="0"/>
          <w:numId w:val="11"/>
        </w:numPr>
        <w:spacing w:before="36" w:after="120"/>
        <w:ind w:right="72"/>
        <w:jc w:val="both"/>
        <w:rPr>
          <w:rFonts w:cs="Calibri"/>
        </w:rPr>
      </w:pPr>
      <w:r w:rsidRPr="00D05E44">
        <w:rPr>
          <w:rFonts w:cs="Calibri"/>
        </w:rPr>
        <w:t>in the event of respiratory disorders, symptomatic treatment should be administered</w:t>
      </w:r>
    </w:p>
    <w:p w:rsidR="001B09A9" w:rsidRPr="00B45F51" w:rsidRDefault="001B09A9" w:rsidP="00CC3F1F">
      <w:r w:rsidRPr="000E3C97">
        <w:t xml:space="preserve">For </w:t>
      </w:r>
      <w:r>
        <w:t xml:space="preserve">further </w:t>
      </w:r>
      <w:r w:rsidRPr="000E3C97">
        <w:rPr>
          <w:spacing w:val="-1"/>
        </w:rPr>
        <w:t>a</w:t>
      </w:r>
      <w:r w:rsidRPr="000E3C97">
        <w:t>dvice</w:t>
      </w:r>
      <w:r w:rsidRPr="000E3C97">
        <w:rPr>
          <w:spacing w:val="-1"/>
        </w:rPr>
        <w:t xml:space="preserve"> o</w:t>
      </w:r>
      <w:r w:rsidRPr="000E3C97">
        <w:t xml:space="preserve">n </w:t>
      </w:r>
      <w:proofErr w:type="spellStart"/>
      <w:r w:rsidRPr="000E3C97">
        <w:t>ov</w:t>
      </w:r>
      <w:r w:rsidRPr="000E3C97">
        <w:rPr>
          <w:spacing w:val="-1"/>
        </w:rPr>
        <w:t>er</w:t>
      </w:r>
      <w:r w:rsidRPr="000E3C97">
        <w:t>dos</w:t>
      </w:r>
      <w:r w:rsidRPr="000E3C97">
        <w:rPr>
          <w:spacing w:val="-1"/>
        </w:rPr>
        <w:t>a</w:t>
      </w:r>
      <w:r w:rsidRPr="000E3C97">
        <w:rPr>
          <w:spacing w:val="1"/>
        </w:rPr>
        <w:t>g</w:t>
      </w:r>
      <w:r w:rsidRPr="000E3C97">
        <w:t>e</w:t>
      </w:r>
      <w:proofErr w:type="spellEnd"/>
      <w:r w:rsidRPr="000E3C97">
        <w:t>,</w:t>
      </w:r>
      <w:r w:rsidRPr="000E3C97">
        <w:rPr>
          <w:spacing w:val="-1"/>
        </w:rPr>
        <w:t xml:space="preserve"> </w:t>
      </w:r>
      <w:r w:rsidRPr="000E3C97">
        <w:t>c</w:t>
      </w:r>
      <w:r w:rsidRPr="000E3C97">
        <w:rPr>
          <w:spacing w:val="-1"/>
        </w:rPr>
        <w:t>o</w:t>
      </w:r>
      <w:r w:rsidRPr="000E3C97">
        <w:t>ntact t</w:t>
      </w:r>
      <w:r w:rsidRPr="000E3C97">
        <w:rPr>
          <w:spacing w:val="1"/>
        </w:rPr>
        <w:t>h</w:t>
      </w:r>
      <w:r w:rsidRPr="000E3C97">
        <w:t>e</w:t>
      </w:r>
      <w:r w:rsidRPr="000E3C97">
        <w:rPr>
          <w:spacing w:val="1"/>
        </w:rPr>
        <w:t xml:space="preserve"> </w:t>
      </w:r>
      <w:r w:rsidRPr="000E3C97">
        <w:rPr>
          <w:spacing w:val="-1"/>
        </w:rPr>
        <w:t>P</w:t>
      </w:r>
      <w:r w:rsidRPr="000E3C97">
        <w:rPr>
          <w:spacing w:val="1"/>
        </w:rPr>
        <w:t>o</w:t>
      </w:r>
      <w:r w:rsidRPr="000E3C97">
        <w:t>i</w:t>
      </w:r>
      <w:r w:rsidRPr="000E3C97">
        <w:rPr>
          <w:spacing w:val="-1"/>
        </w:rPr>
        <w:t>so</w:t>
      </w:r>
      <w:r w:rsidRPr="000E3C97">
        <w:rPr>
          <w:spacing w:val="1"/>
        </w:rPr>
        <w:t>n</w:t>
      </w:r>
      <w:r w:rsidRPr="000E3C97">
        <w:t>s</w:t>
      </w:r>
      <w:r w:rsidRPr="000E3C97">
        <w:rPr>
          <w:spacing w:val="-1"/>
        </w:rPr>
        <w:t xml:space="preserve"> </w:t>
      </w:r>
      <w:r w:rsidRPr="000E3C97">
        <w:t>I</w:t>
      </w:r>
      <w:r w:rsidRPr="000E3C97">
        <w:rPr>
          <w:spacing w:val="-1"/>
        </w:rPr>
        <w:t>n</w:t>
      </w:r>
      <w:r w:rsidRPr="000E3C97">
        <w:t>f</w:t>
      </w:r>
      <w:r w:rsidRPr="000E3C97">
        <w:rPr>
          <w:spacing w:val="-1"/>
        </w:rPr>
        <w:t>o</w:t>
      </w:r>
      <w:r w:rsidRPr="000E3C97">
        <w:t>r</w:t>
      </w:r>
      <w:r w:rsidRPr="000E3C97">
        <w:rPr>
          <w:spacing w:val="-2"/>
        </w:rPr>
        <w:t>m</w:t>
      </w:r>
      <w:r w:rsidRPr="000E3C97">
        <w:t>ation</w:t>
      </w:r>
      <w:r w:rsidRPr="000E3C97">
        <w:rPr>
          <w:spacing w:val="1"/>
        </w:rPr>
        <w:t xml:space="preserve"> </w:t>
      </w:r>
      <w:r>
        <w:t xml:space="preserve">Centre </w:t>
      </w:r>
      <w:r>
        <w:rPr>
          <w:noProof/>
        </w:rPr>
        <w:t>on 131126 (Australia)</w:t>
      </w:r>
    </w:p>
    <w:p w:rsidR="00F4609F" w:rsidRPr="000E3C97" w:rsidRDefault="00F4609F" w:rsidP="00CC3F1F">
      <w:pPr>
        <w:pStyle w:val="Heading2"/>
      </w:pPr>
      <w:r w:rsidRPr="000E3C97">
        <w:rPr>
          <w:bCs/>
        </w:rPr>
        <w:t>PRESEN</w:t>
      </w:r>
      <w:r w:rsidRPr="000E3C97">
        <w:rPr>
          <w:bCs/>
          <w:spacing w:val="-2"/>
        </w:rPr>
        <w:t>T</w:t>
      </w:r>
      <w:r w:rsidRPr="000E3C97">
        <w:rPr>
          <w:bCs/>
        </w:rPr>
        <w:t>A</w:t>
      </w:r>
      <w:r w:rsidRPr="000E3C97">
        <w:rPr>
          <w:bCs/>
          <w:spacing w:val="-2"/>
        </w:rPr>
        <w:t>T</w:t>
      </w:r>
      <w:r w:rsidRPr="000E3C97">
        <w:rPr>
          <w:bCs/>
        </w:rPr>
        <w:t>ION</w:t>
      </w:r>
      <w:r w:rsidR="00CC3F1F">
        <w:t xml:space="preserve"> AND STORAGE </w:t>
      </w:r>
      <w:r w:rsidR="008156BB">
        <w:rPr>
          <w:bCs/>
        </w:rPr>
        <w:t>CONDITIONS</w:t>
      </w:r>
    </w:p>
    <w:p w:rsidR="007C7FC8" w:rsidRDefault="005776DF" w:rsidP="00CC3F1F">
      <w:pPr>
        <w:pStyle w:val="Heading3"/>
      </w:pPr>
      <w:r w:rsidRPr="005776DF">
        <w:t>Presentation</w:t>
      </w:r>
    </w:p>
    <w:p w:rsidR="00F4609F" w:rsidRPr="000E3C97" w:rsidRDefault="00E7129E" w:rsidP="0066187F">
      <w:pPr>
        <w:widowControl w:val="0"/>
        <w:autoSpaceDE w:val="0"/>
        <w:autoSpaceDN w:val="0"/>
        <w:adjustRightInd w:val="0"/>
        <w:spacing w:after="0"/>
        <w:ind w:right="2841"/>
        <w:jc w:val="both"/>
        <w:rPr>
          <w:rFonts w:cs="Calibri"/>
        </w:rPr>
      </w:pPr>
      <w:proofErr w:type="spellStart"/>
      <w:r>
        <w:rPr>
          <w:rFonts w:cs="Calibri"/>
        </w:rPr>
        <w:t>VasoKINOX</w:t>
      </w:r>
      <w:proofErr w:type="spellEnd"/>
      <w:r w:rsidR="006B5B7C">
        <w:rPr>
          <w:rFonts w:cs="Calibri"/>
        </w:rPr>
        <w:t xml:space="preserve"> </w:t>
      </w:r>
      <w:r w:rsidR="00F4609F" w:rsidRPr="00C033BD">
        <w:rPr>
          <w:rFonts w:cs="Calibri"/>
        </w:rPr>
        <w:t>is availa</w:t>
      </w:r>
      <w:r w:rsidR="00F4609F" w:rsidRPr="00C033BD">
        <w:rPr>
          <w:rFonts w:cs="Calibri"/>
          <w:spacing w:val="1"/>
        </w:rPr>
        <w:t>b</w:t>
      </w:r>
      <w:r w:rsidR="00F4609F" w:rsidRPr="00C033BD">
        <w:rPr>
          <w:rFonts w:cs="Calibri"/>
        </w:rPr>
        <w:t>le in</w:t>
      </w:r>
      <w:r w:rsidR="00F4609F" w:rsidRPr="00C033BD">
        <w:rPr>
          <w:rFonts w:cs="Calibri"/>
          <w:spacing w:val="1"/>
        </w:rPr>
        <w:t xml:space="preserve"> </w:t>
      </w:r>
      <w:r w:rsidR="00F4609F" w:rsidRPr="00C033BD">
        <w:rPr>
          <w:rFonts w:cs="Calibri"/>
        </w:rPr>
        <w:t>t</w:t>
      </w:r>
      <w:r w:rsidR="00F4609F" w:rsidRPr="00C033BD">
        <w:rPr>
          <w:rFonts w:cs="Calibri"/>
          <w:spacing w:val="1"/>
        </w:rPr>
        <w:t>h</w:t>
      </w:r>
      <w:r w:rsidR="00F4609F" w:rsidRPr="00C033BD">
        <w:rPr>
          <w:rFonts w:cs="Calibri"/>
        </w:rPr>
        <w:t>e</w:t>
      </w:r>
      <w:r w:rsidR="00F4609F" w:rsidRPr="000E3C97">
        <w:rPr>
          <w:rFonts w:cs="Calibri"/>
        </w:rPr>
        <w:t xml:space="preserve"> f</w:t>
      </w:r>
      <w:r w:rsidR="00F4609F" w:rsidRPr="000E3C97">
        <w:rPr>
          <w:rFonts w:cs="Calibri"/>
          <w:spacing w:val="1"/>
        </w:rPr>
        <w:t>o</w:t>
      </w:r>
      <w:r w:rsidR="00F4609F" w:rsidRPr="000E3C97">
        <w:rPr>
          <w:rFonts w:cs="Calibri"/>
        </w:rPr>
        <w:t>ll</w:t>
      </w:r>
      <w:r w:rsidR="00F4609F" w:rsidRPr="000E3C97">
        <w:rPr>
          <w:rFonts w:cs="Calibri"/>
          <w:spacing w:val="1"/>
        </w:rPr>
        <w:t>o</w:t>
      </w:r>
      <w:r w:rsidR="00F4609F" w:rsidRPr="000E3C97">
        <w:rPr>
          <w:rFonts w:cs="Calibri"/>
        </w:rPr>
        <w:t>w</w:t>
      </w:r>
      <w:r w:rsidR="00F4609F" w:rsidRPr="000E3C97">
        <w:rPr>
          <w:rFonts w:cs="Calibri"/>
          <w:spacing w:val="-2"/>
        </w:rPr>
        <w:t>i</w:t>
      </w:r>
      <w:r w:rsidR="00F4609F" w:rsidRPr="000E3C97">
        <w:rPr>
          <w:rFonts w:cs="Calibri"/>
          <w:spacing w:val="1"/>
        </w:rPr>
        <w:t>n</w:t>
      </w:r>
      <w:r w:rsidR="00F4609F" w:rsidRPr="000E3C97">
        <w:rPr>
          <w:rFonts w:cs="Calibri"/>
        </w:rPr>
        <w:t>g sizes:</w:t>
      </w:r>
    </w:p>
    <w:p w:rsidR="007C7FC8" w:rsidRDefault="00E74610" w:rsidP="00CC3F1F">
      <w:pPr>
        <w:rPr>
          <w:w w:val="105"/>
          <w:lang w:val="en-GB"/>
        </w:rPr>
      </w:pPr>
      <w:r>
        <w:rPr>
          <w:rFonts w:cs="Calibri"/>
        </w:rPr>
        <w:t>5 L</w:t>
      </w:r>
      <w:r w:rsidR="00C033BD">
        <w:rPr>
          <w:rFonts w:cs="Calibri"/>
        </w:rPr>
        <w:t>:</w:t>
      </w:r>
      <w:r>
        <w:rPr>
          <w:rFonts w:cs="Calibri"/>
        </w:rPr>
        <w:tab/>
      </w:r>
      <w:r w:rsidR="00A33E3A" w:rsidRPr="0023388B">
        <w:rPr>
          <w:spacing w:val="-4"/>
          <w:w w:val="105"/>
          <w:lang w:val="en-GB"/>
        </w:rPr>
        <w:t>aluminium alloy cylinder (</w:t>
      </w:r>
      <w:r w:rsidR="00C033BD">
        <w:rPr>
          <w:spacing w:val="-4"/>
          <w:w w:val="105"/>
          <w:lang w:val="en-GB"/>
        </w:rPr>
        <w:t>white painted body</w:t>
      </w:r>
      <w:r w:rsidR="00A33E3A" w:rsidRPr="0023388B">
        <w:rPr>
          <w:spacing w:val="-4"/>
          <w:w w:val="105"/>
          <w:lang w:val="en-GB"/>
        </w:rPr>
        <w:t xml:space="preserve">, </w:t>
      </w:r>
      <w:proofErr w:type="spellStart"/>
      <w:proofErr w:type="gramStart"/>
      <w:r w:rsidR="00DF30A2">
        <w:rPr>
          <w:spacing w:val="-4"/>
          <w:w w:val="105"/>
          <w:lang w:val="en-GB"/>
        </w:rPr>
        <w:t>turkish</w:t>
      </w:r>
      <w:proofErr w:type="spellEnd"/>
      <w:proofErr w:type="gramEnd"/>
      <w:r w:rsidR="00DF30A2">
        <w:rPr>
          <w:spacing w:val="-4"/>
          <w:w w:val="105"/>
          <w:lang w:val="en-GB"/>
        </w:rPr>
        <w:t xml:space="preserve"> blue </w:t>
      </w:r>
      <w:r w:rsidR="00C033BD">
        <w:rPr>
          <w:spacing w:val="-4"/>
          <w:w w:val="105"/>
          <w:lang w:val="en-GB"/>
        </w:rPr>
        <w:t xml:space="preserve">painted </w:t>
      </w:r>
      <w:r w:rsidR="00A33E3A" w:rsidRPr="0023388B">
        <w:rPr>
          <w:spacing w:val="-4"/>
          <w:w w:val="105"/>
          <w:lang w:val="en-GB"/>
        </w:rPr>
        <w:t>shoulder</w:t>
      </w:r>
      <w:r w:rsidR="00A33E3A" w:rsidRPr="0023388B">
        <w:rPr>
          <w:w w:val="105"/>
          <w:lang w:val="en-GB"/>
        </w:rPr>
        <w:t>), equipped with a stainless steel residual pressure valve with a specific outlet connector</w:t>
      </w:r>
      <w:r w:rsidR="00C033BD">
        <w:rPr>
          <w:w w:val="105"/>
          <w:lang w:val="en-GB"/>
        </w:rPr>
        <w:t>.</w:t>
      </w:r>
    </w:p>
    <w:p w:rsidR="00DF30A2" w:rsidRDefault="00DF30A2" w:rsidP="00CC3F1F">
      <w:pPr>
        <w:rPr>
          <w:w w:val="105"/>
          <w:lang w:val="en-GB"/>
        </w:rPr>
      </w:pPr>
      <w:r>
        <w:rPr>
          <w:spacing w:val="-5"/>
          <w:w w:val="105"/>
          <w:lang w:val="en-GB"/>
        </w:rPr>
        <w:t>11L:</w:t>
      </w:r>
      <w:r>
        <w:rPr>
          <w:spacing w:val="-5"/>
          <w:w w:val="105"/>
          <w:lang w:val="en-GB"/>
        </w:rPr>
        <w:tab/>
        <w:t>aluminium alloy cylinder (</w:t>
      </w:r>
      <w:r>
        <w:rPr>
          <w:spacing w:val="-4"/>
          <w:w w:val="105"/>
          <w:lang w:val="en-GB"/>
        </w:rPr>
        <w:t>white painted body</w:t>
      </w:r>
      <w:r w:rsidRPr="0023388B">
        <w:rPr>
          <w:spacing w:val="-4"/>
          <w:w w:val="105"/>
          <w:lang w:val="en-GB"/>
        </w:rPr>
        <w:t xml:space="preserve">, </w:t>
      </w:r>
      <w:proofErr w:type="spellStart"/>
      <w:proofErr w:type="gramStart"/>
      <w:r>
        <w:rPr>
          <w:spacing w:val="-4"/>
          <w:w w:val="105"/>
          <w:lang w:val="en-GB"/>
        </w:rPr>
        <w:t>turkish</w:t>
      </w:r>
      <w:proofErr w:type="spellEnd"/>
      <w:proofErr w:type="gramEnd"/>
      <w:r>
        <w:rPr>
          <w:spacing w:val="-4"/>
          <w:w w:val="105"/>
          <w:lang w:val="en-GB"/>
        </w:rPr>
        <w:t xml:space="preserve"> blue painted </w:t>
      </w:r>
      <w:r w:rsidRPr="0023388B">
        <w:rPr>
          <w:spacing w:val="-4"/>
          <w:w w:val="105"/>
          <w:lang w:val="en-GB"/>
        </w:rPr>
        <w:t>shoulder</w:t>
      </w:r>
      <w:r w:rsidRPr="0023388B">
        <w:rPr>
          <w:w w:val="105"/>
          <w:lang w:val="en-GB"/>
        </w:rPr>
        <w:t>), equipped with a stainless steel residual pressure valve with a specific outlet connector</w:t>
      </w:r>
      <w:r>
        <w:rPr>
          <w:w w:val="105"/>
          <w:lang w:val="en-GB"/>
        </w:rPr>
        <w:t>.</w:t>
      </w:r>
    </w:p>
    <w:p w:rsidR="00C033BD" w:rsidRDefault="00A33E3A" w:rsidP="00CC3F1F">
      <w:pPr>
        <w:rPr>
          <w:w w:val="105"/>
          <w:lang w:val="en-GB"/>
        </w:rPr>
      </w:pPr>
      <w:r w:rsidRPr="0023388B">
        <w:rPr>
          <w:spacing w:val="-5"/>
          <w:w w:val="105"/>
          <w:lang w:val="en-GB"/>
        </w:rPr>
        <w:t>20</w:t>
      </w:r>
      <w:r>
        <w:rPr>
          <w:spacing w:val="-5"/>
          <w:w w:val="105"/>
          <w:lang w:val="en-GB"/>
        </w:rPr>
        <w:t xml:space="preserve"> L</w:t>
      </w:r>
      <w:r w:rsidR="00C033BD">
        <w:rPr>
          <w:spacing w:val="-5"/>
          <w:w w:val="105"/>
          <w:lang w:val="en-GB"/>
        </w:rPr>
        <w:t>:</w:t>
      </w:r>
      <w:r>
        <w:rPr>
          <w:spacing w:val="-5"/>
          <w:w w:val="105"/>
          <w:lang w:val="en-GB"/>
        </w:rPr>
        <w:tab/>
      </w:r>
      <w:r w:rsidRPr="0023388B">
        <w:rPr>
          <w:spacing w:val="-5"/>
          <w:w w:val="105"/>
          <w:lang w:val="en-GB"/>
        </w:rPr>
        <w:t xml:space="preserve"> </w:t>
      </w:r>
      <w:r w:rsidR="00C033BD" w:rsidRPr="0023388B">
        <w:rPr>
          <w:spacing w:val="-4"/>
          <w:w w:val="105"/>
          <w:lang w:val="en-GB"/>
        </w:rPr>
        <w:t>aluminium alloy cylinder (</w:t>
      </w:r>
      <w:r w:rsidR="00C033BD">
        <w:rPr>
          <w:spacing w:val="-4"/>
          <w:w w:val="105"/>
          <w:lang w:val="en-GB"/>
        </w:rPr>
        <w:t>white painted body</w:t>
      </w:r>
      <w:r w:rsidR="00C033BD" w:rsidRPr="0023388B">
        <w:rPr>
          <w:spacing w:val="-4"/>
          <w:w w:val="105"/>
          <w:lang w:val="en-GB"/>
        </w:rPr>
        <w:t xml:space="preserve">, </w:t>
      </w:r>
      <w:proofErr w:type="spellStart"/>
      <w:proofErr w:type="gramStart"/>
      <w:r w:rsidR="00DF30A2">
        <w:rPr>
          <w:spacing w:val="-4"/>
          <w:w w:val="105"/>
          <w:lang w:val="en-GB"/>
        </w:rPr>
        <w:t>turkish</w:t>
      </w:r>
      <w:proofErr w:type="spellEnd"/>
      <w:proofErr w:type="gramEnd"/>
      <w:r w:rsidR="00DF30A2">
        <w:rPr>
          <w:spacing w:val="-4"/>
          <w:w w:val="105"/>
          <w:lang w:val="en-GB"/>
        </w:rPr>
        <w:t xml:space="preserve"> blue</w:t>
      </w:r>
      <w:r w:rsidR="00C033BD">
        <w:rPr>
          <w:spacing w:val="-4"/>
          <w:w w:val="105"/>
          <w:lang w:val="en-GB"/>
        </w:rPr>
        <w:t xml:space="preserve"> painted </w:t>
      </w:r>
      <w:r w:rsidR="00C033BD" w:rsidRPr="0023388B">
        <w:rPr>
          <w:spacing w:val="-4"/>
          <w:w w:val="105"/>
          <w:lang w:val="en-GB"/>
        </w:rPr>
        <w:t>shoulder</w:t>
      </w:r>
      <w:r w:rsidR="00C033BD" w:rsidRPr="0023388B">
        <w:rPr>
          <w:w w:val="105"/>
          <w:lang w:val="en-GB"/>
        </w:rPr>
        <w:t>), equipped with a stainless steel residual pressure valve with a specific outlet connector</w:t>
      </w:r>
      <w:r w:rsidR="00C033BD">
        <w:rPr>
          <w:w w:val="105"/>
          <w:lang w:val="en-GB"/>
        </w:rPr>
        <w:t>.</w:t>
      </w:r>
    </w:p>
    <w:p w:rsidR="00FD5EA7" w:rsidRDefault="00604FD7" w:rsidP="00CC3F1F">
      <w:pPr>
        <w:rPr>
          <w:rFonts w:cs="Calibri"/>
          <w:b/>
        </w:rPr>
      </w:pPr>
      <w:r>
        <w:rPr>
          <w:rFonts w:cs="Calibri"/>
          <w:b/>
        </w:rPr>
        <w:t>Storage</w:t>
      </w:r>
    </w:p>
    <w:p w:rsidR="00C033BD" w:rsidRDefault="008D43C7" w:rsidP="00CC3F1F">
      <w:pPr>
        <w:rPr>
          <w:spacing w:val="-4"/>
          <w:w w:val="105"/>
          <w:lang w:val="en-GB"/>
        </w:rPr>
      </w:pPr>
      <w:r w:rsidRPr="0023388B">
        <w:rPr>
          <w:spacing w:val="-4"/>
          <w:w w:val="105"/>
          <w:lang w:val="en-GB"/>
        </w:rPr>
        <w:t>The cylinders must be stored at a temperature of between -10 and + 50°C</w:t>
      </w:r>
      <w:r w:rsidR="00C033BD">
        <w:rPr>
          <w:spacing w:val="-4"/>
          <w:w w:val="105"/>
          <w:lang w:val="en-GB"/>
        </w:rPr>
        <w:t>.</w:t>
      </w:r>
    </w:p>
    <w:p w:rsidR="00DB6118" w:rsidRDefault="00DB6118" w:rsidP="00CC3F1F">
      <w:pPr>
        <w:rPr>
          <w:rFonts w:cs="Calibri"/>
        </w:rPr>
      </w:pPr>
      <w:r w:rsidRPr="00DB6118">
        <w:rPr>
          <w:rFonts w:cs="Calibri"/>
        </w:rPr>
        <w:t xml:space="preserve">The installation of a </w:t>
      </w:r>
      <w:r w:rsidR="00EC781D">
        <w:rPr>
          <w:rFonts w:cs="Calibri"/>
        </w:rPr>
        <w:t>NO</w:t>
      </w:r>
      <w:r w:rsidRPr="00DB6118">
        <w:rPr>
          <w:rFonts w:cs="Calibri"/>
        </w:rPr>
        <w:t xml:space="preserve"> pipeline system with supply station of gas cylinders, fixed network and terminal units is forbidden.</w:t>
      </w:r>
    </w:p>
    <w:p w:rsidR="007C7FC8" w:rsidRPr="00604FD7" w:rsidRDefault="008D43C7" w:rsidP="00604FD7">
      <w:pPr>
        <w:pStyle w:val="Heading4"/>
        <w:rPr>
          <w:b w:val="0"/>
          <w:i w:val="0"/>
          <w:w w:val="105"/>
          <w:u w:val="single"/>
          <w:lang w:val="en-GB"/>
        </w:rPr>
      </w:pPr>
      <w:r w:rsidRPr="00604FD7">
        <w:rPr>
          <w:b w:val="0"/>
          <w:i w:val="0"/>
          <w:w w:val="105"/>
          <w:u w:val="single"/>
          <w:lang w:val="en-GB"/>
        </w:rPr>
        <w:t>Storage in the pharmacy department</w:t>
      </w:r>
    </w:p>
    <w:p w:rsidR="007C7FC8" w:rsidRDefault="008D43C7" w:rsidP="00CC3F1F">
      <w:pPr>
        <w:rPr>
          <w:spacing w:val="-4"/>
          <w:w w:val="105"/>
          <w:lang w:val="en-GB"/>
        </w:rPr>
      </w:pPr>
      <w:r w:rsidRPr="0023388B">
        <w:rPr>
          <w:w w:val="105"/>
          <w:lang w:val="en-GB"/>
        </w:rPr>
        <w:t>Cylinders must be stored in a clean, well-ventilated, locked room reserved for the storage of gases for medic</w:t>
      </w:r>
      <w:r w:rsidR="00154459">
        <w:rPr>
          <w:w w:val="105"/>
          <w:lang w:val="en-GB"/>
        </w:rPr>
        <w:t>inal</w:t>
      </w:r>
      <w:r w:rsidRPr="0023388B">
        <w:rPr>
          <w:w w:val="105"/>
          <w:lang w:val="en-GB"/>
        </w:rPr>
        <w:t xml:space="preserve"> use. A specific area inside this room will be reserved for storing </w:t>
      </w:r>
      <w:proofErr w:type="spellStart"/>
      <w:r w:rsidR="00E7129E">
        <w:rPr>
          <w:w w:val="105"/>
          <w:lang w:val="en-GB"/>
        </w:rPr>
        <w:t>VasoKINOX</w:t>
      </w:r>
      <w:proofErr w:type="spellEnd"/>
      <w:r w:rsidRPr="0023388B">
        <w:rPr>
          <w:w w:val="105"/>
          <w:lang w:val="en-GB"/>
        </w:rPr>
        <w:t xml:space="preserve"> cylinders. These </w:t>
      </w:r>
      <w:r w:rsidRPr="0023388B">
        <w:rPr>
          <w:spacing w:val="-4"/>
          <w:w w:val="105"/>
          <w:lang w:val="en-GB"/>
        </w:rPr>
        <w:t>should be protected so as to avoid breakage and falling. They should also be kept away from any oxidizing and combustible materials and humidity.</w:t>
      </w:r>
    </w:p>
    <w:p w:rsidR="007C7FC8" w:rsidRPr="00604FD7" w:rsidRDefault="008D43C7" w:rsidP="00604FD7">
      <w:pPr>
        <w:pStyle w:val="Heading4"/>
        <w:rPr>
          <w:b w:val="0"/>
          <w:i w:val="0"/>
          <w:w w:val="105"/>
          <w:u w:val="single"/>
          <w:lang w:val="en-GB"/>
        </w:rPr>
      </w:pPr>
      <w:r w:rsidRPr="00604FD7">
        <w:rPr>
          <w:b w:val="0"/>
          <w:i w:val="0"/>
          <w:w w:val="105"/>
          <w:u w:val="single"/>
          <w:lang w:val="en-GB"/>
        </w:rPr>
        <w:t>Storage in the user department</w:t>
      </w:r>
    </w:p>
    <w:p w:rsidR="007C7FC8" w:rsidRDefault="00154459" w:rsidP="00CC3F1F">
      <w:pPr>
        <w:rPr>
          <w:w w:val="105"/>
          <w:lang w:val="en-GB"/>
        </w:rPr>
      </w:pPr>
      <w:r>
        <w:rPr>
          <w:w w:val="105"/>
          <w:lang w:val="en-GB"/>
        </w:rPr>
        <w:t>Cylinders</w:t>
      </w:r>
      <w:r w:rsidR="008D43C7" w:rsidRPr="0023388B">
        <w:rPr>
          <w:w w:val="105"/>
          <w:lang w:val="en-GB"/>
        </w:rPr>
        <w:t xml:space="preserve"> must be installed in an equipped area with appropriate equipment to maintain </w:t>
      </w:r>
      <w:r>
        <w:rPr>
          <w:w w:val="105"/>
          <w:lang w:val="en-GB"/>
        </w:rPr>
        <w:t>them</w:t>
      </w:r>
      <w:r w:rsidR="008D43C7" w:rsidRPr="0023388B">
        <w:rPr>
          <w:w w:val="105"/>
          <w:lang w:val="en-GB"/>
        </w:rPr>
        <w:t xml:space="preserve"> in a vertical position</w:t>
      </w:r>
      <w:r>
        <w:rPr>
          <w:w w:val="105"/>
          <w:lang w:val="en-GB"/>
        </w:rPr>
        <w:t xml:space="preserve"> at all times</w:t>
      </w:r>
      <w:r w:rsidR="008D43C7" w:rsidRPr="0023388B">
        <w:rPr>
          <w:w w:val="105"/>
          <w:lang w:val="en-GB"/>
        </w:rPr>
        <w:t xml:space="preserve">. </w:t>
      </w:r>
      <w:r>
        <w:rPr>
          <w:w w:val="105"/>
          <w:lang w:val="en-GB"/>
        </w:rPr>
        <w:t>Cylinders</w:t>
      </w:r>
      <w:r w:rsidR="008D43C7" w:rsidRPr="0023388B">
        <w:rPr>
          <w:w w:val="105"/>
          <w:lang w:val="en-GB"/>
        </w:rPr>
        <w:t xml:space="preserve"> must be protected to avoid breakage or falling and be kept away from any sources of heat or ignition, oxidizing and combustible materials and humidity.</w:t>
      </w:r>
    </w:p>
    <w:p w:rsidR="00FD5EA7" w:rsidRPr="00604FD7" w:rsidRDefault="008D43C7" w:rsidP="00604FD7">
      <w:pPr>
        <w:pStyle w:val="Heading4"/>
        <w:rPr>
          <w:b w:val="0"/>
          <w:i w:val="0"/>
          <w:w w:val="105"/>
          <w:u w:val="single"/>
          <w:lang w:val="en-GB"/>
        </w:rPr>
      </w:pPr>
      <w:r w:rsidRPr="00604FD7">
        <w:rPr>
          <w:b w:val="0"/>
          <w:i w:val="0"/>
          <w:w w:val="105"/>
          <w:u w:val="single"/>
          <w:lang w:val="en-GB"/>
        </w:rPr>
        <w:t>Cylinder Transportation</w:t>
      </w:r>
    </w:p>
    <w:p w:rsidR="007C7FC8" w:rsidRDefault="008D43C7" w:rsidP="00CC3F1F">
      <w:pPr>
        <w:rPr>
          <w:rFonts w:cs="Calibri"/>
          <w:b/>
        </w:rPr>
      </w:pPr>
      <w:r w:rsidRPr="0023388B">
        <w:rPr>
          <w:spacing w:val="-4"/>
          <w:w w:val="105"/>
          <w:lang w:val="en-GB"/>
        </w:rPr>
        <w:t>Cylinders must be transported using the appropriate equipment (</w:t>
      </w:r>
      <w:r w:rsidR="00154459">
        <w:rPr>
          <w:spacing w:val="-4"/>
          <w:w w:val="105"/>
          <w:lang w:val="en-GB"/>
        </w:rPr>
        <w:t>trolley</w:t>
      </w:r>
      <w:r w:rsidRPr="0023388B">
        <w:rPr>
          <w:spacing w:val="-4"/>
          <w:w w:val="105"/>
          <w:lang w:val="en-GB"/>
        </w:rPr>
        <w:t xml:space="preserve"> equipped with chains, barriers or rings) </w:t>
      </w:r>
      <w:r w:rsidRPr="0023388B">
        <w:rPr>
          <w:w w:val="105"/>
          <w:lang w:val="en-GB"/>
        </w:rPr>
        <w:t xml:space="preserve">to protect them from breakage or falls. During inter- or intra-hospital transfer of patients receiving </w:t>
      </w:r>
      <w:r w:rsidR="00291B56">
        <w:rPr>
          <w:w w:val="105"/>
          <w:lang w:val="en-GB"/>
        </w:rPr>
        <w:t>NO</w:t>
      </w:r>
      <w:r w:rsidRPr="0023388B">
        <w:rPr>
          <w:w w:val="105"/>
          <w:lang w:val="en-GB"/>
        </w:rPr>
        <w:t xml:space="preserve"> treatment, the cylinders must be firmly secured to hold them in the vertical position and to avoid the </w:t>
      </w:r>
      <w:r w:rsidRPr="0023388B">
        <w:rPr>
          <w:spacing w:val="-3"/>
          <w:w w:val="105"/>
          <w:lang w:val="en-GB"/>
        </w:rPr>
        <w:t xml:space="preserve">risk of falling. Special attention must also be paid to the securing of the pressure regulator to avoid </w:t>
      </w:r>
      <w:r w:rsidRPr="0023388B">
        <w:rPr>
          <w:spacing w:val="-4"/>
          <w:w w:val="105"/>
          <w:lang w:val="en-GB"/>
        </w:rPr>
        <w:t>the risk of accidental breakage.</w:t>
      </w:r>
    </w:p>
    <w:p w:rsidR="00DB6118" w:rsidRPr="00604FD7" w:rsidRDefault="00DB6118" w:rsidP="00604FD7">
      <w:pPr>
        <w:pStyle w:val="Heading4"/>
        <w:rPr>
          <w:b w:val="0"/>
          <w:i w:val="0"/>
          <w:w w:val="105"/>
          <w:u w:val="single"/>
          <w:lang w:val="en-GB"/>
        </w:rPr>
      </w:pPr>
      <w:r w:rsidRPr="00604FD7">
        <w:rPr>
          <w:b w:val="0"/>
          <w:i w:val="0"/>
          <w:w w:val="105"/>
          <w:u w:val="single"/>
          <w:lang w:val="en-GB"/>
        </w:rPr>
        <w:t>Instruction for cylinder disposal</w:t>
      </w:r>
    </w:p>
    <w:p w:rsidR="00DB6118" w:rsidRPr="00DB6118" w:rsidRDefault="00DB6118" w:rsidP="00CC3F1F">
      <w:pPr>
        <w:rPr>
          <w:w w:val="105"/>
          <w:lang w:val="en-GB"/>
        </w:rPr>
      </w:pPr>
      <w:r w:rsidRPr="00DB6118">
        <w:rPr>
          <w:w w:val="105"/>
          <w:lang w:val="en-GB"/>
        </w:rPr>
        <w:t>When the cylinder is empty, do not dispose of it. Empty cylinders will be collected by the supplier.</w:t>
      </w:r>
    </w:p>
    <w:p w:rsidR="00F4609F" w:rsidRPr="000E3C97" w:rsidRDefault="00F4609F" w:rsidP="00CC3F1F">
      <w:pPr>
        <w:pStyle w:val="Heading2"/>
      </w:pPr>
      <w:r w:rsidRPr="000E3C97">
        <w:rPr>
          <w:bCs/>
        </w:rPr>
        <w:t>POISON SCHEDULE</w:t>
      </w:r>
      <w:r w:rsidR="00A04B1E">
        <w:rPr>
          <w:bCs/>
        </w:rPr>
        <w:t xml:space="preserve"> OF THE MEDICINE</w:t>
      </w:r>
    </w:p>
    <w:p w:rsidR="00F4609F" w:rsidRPr="000E3C97" w:rsidRDefault="00F4609F" w:rsidP="00CC3F1F">
      <w:r w:rsidRPr="000E3C97">
        <w:t>S4</w:t>
      </w:r>
    </w:p>
    <w:p w:rsidR="00F4609F" w:rsidRPr="000E3C97" w:rsidRDefault="00F4609F" w:rsidP="00CC3F1F">
      <w:pPr>
        <w:pStyle w:val="Heading2"/>
      </w:pPr>
      <w:r w:rsidRPr="000E3C97">
        <w:rPr>
          <w:bCs/>
        </w:rPr>
        <w:lastRenderedPageBreak/>
        <w:t>DISPOSAL</w:t>
      </w:r>
    </w:p>
    <w:p w:rsidR="00F4609F" w:rsidRPr="000E3C97" w:rsidRDefault="00F4609F" w:rsidP="00CC3F1F">
      <w:r w:rsidRPr="000E3C97">
        <w:t xml:space="preserve">Do </w:t>
      </w:r>
      <w:r w:rsidRPr="000E3C97">
        <w:rPr>
          <w:spacing w:val="-1"/>
        </w:rPr>
        <w:t>n</w:t>
      </w:r>
      <w:r w:rsidRPr="000E3C97">
        <w:rPr>
          <w:spacing w:val="1"/>
        </w:rPr>
        <w:t>o</w:t>
      </w:r>
      <w:r w:rsidRPr="000E3C97">
        <w:t>t</w:t>
      </w:r>
      <w:r w:rsidRPr="000E3C97">
        <w:rPr>
          <w:spacing w:val="-1"/>
        </w:rPr>
        <w:t xml:space="preserve"> </w:t>
      </w:r>
      <w:r w:rsidRPr="000E3C97">
        <w:t>disca</w:t>
      </w:r>
      <w:r w:rsidRPr="000E3C97">
        <w:rPr>
          <w:spacing w:val="-1"/>
        </w:rPr>
        <w:t>r</w:t>
      </w:r>
      <w:r w:rsidRPr="000E3C97">
        <w:t>d e</w:t>
      </w:r>
      <w:r w:rsidRPr="000E3C97">
        <w:rPr>
          <w:spacing w:val="-2"/>
        </w:rPr>
        <w:t>m</w:t>
      </w:r>
      <w:r w:rsidRPr="000E3C97">
        <w:t>pty or da</w:t>
      </w:r>
      <w:r w:rsidRPr="000E3C97">
        <w:rPr>
          <w:spacing w:val="-2"/>
        </w:rPr>
        <w:t>m</w:t>
      </w:r>
      <w:r w:rsidRPr="000E3C97">
        <w:rPr>
          <w:spacing w:val="1"/>
        </w:rPr>
        <w:t>a</w:t>
      </w:r>
      <w:r w:rsidRPr="000E3C97">
        <w:t>ged c</w:t>
      </w:r>
      <w:r w:rsidRPr="000E3C97">
        <w:rPr>
          <w:spacing w:val="-1"/>
        </w:rPr>
        <w:t>y</w:t>
      </w:r>
      <w:r w:rsidRPr="000E3C97">
        <w:t>lind</w:t>
      </w:r>
      <w:r w:rsidRPr="000E3C97">
        <w:rPr>
          <w:spacing w:val="-1"/>
        </w:rPr>
        <w:t>e</w:t>
      </w:r>
      <w:r w:rsidRPr="000E3C97">
        <w:t>rs.</w:t>
      </w:r>
      <w:r w:rsidRPr="000E3C97">
        <w:rPr>
          <w:spacing w:val="49"/>
        </w:rPr>
        <w:t xml:space="preserve"> </w:t>
      </w:r>
      <w:r w:rsidRPr="000E3C97">
        <w:t>These</w:t>
      </w:r>
      <w:r w:rsidRPr="000E3C97">
        <w:rPr>
          <w:spacing w:val="1"/>
        </w:rPr>
        <w:t xml:space="preserve"> </w:t>
      </w:r>
      <w:r w:rsidRPr="000E3C97">
        <w:rPr>
          <w:spacing w:val="-2"/>
        </w:rPr>
        <w:t>m</w:t>
      </w:r>
      <w:r w:rsidRPr="000E3C97">
        <w:rPr>
          <w:spacing w:val="1"/>
        </w:rPr>
        <w:t>u</w:t>
      </w:r>
      <w:r w:rsidRPr="000E3C97">
        <w:t>st be</w:t>
      </w:r>
      <w:r w:rsidRPr="000E3C97">
        <w:rPr>
          <w:spacing w:val="-2"/>
        </w:rPr>
        <w:t xml:space="preserve"> </w:t>
      </w:r>
      <w:r w:rsidRPr="000E3C97">
        <w:t>ret</w:t>
      </w:r>
      <w:r w:rsidRPr="000E3C97">
        <w:rPr>
          <w:spacing w:val="1"/>
        </w:rPr>
        <w:t>u</w:t>
      </w:r>
      <w:r w:rsidRPr="000E3C97">
        <w:rPr>
          <w:spacing w:val="-1"/>
        </w:rPr>
        <w:t>r</w:t>
      </w:r>
      <w:r w:rsidRPr="000E3C97">
        <w:rPr>
          <w:spacing w:val="1"/>
        </w:rPr>
        <w:t>n</w:t>
      </w:r>
      <w:r w:rsidRPr="000E3C97">
        <w:rPr>
          <w:spacing w:val="-1"/>
        </w:rPr>
        <w:t>e</w:t>
      </w:r>
      <w:r w:rsidRPr="000E3C97">
        <w:t>d</w:t>
      </w:r>
      <w:r w:rsidRPr="000E3C97">
        <w:rPr>
          <w:spacing w:val="1"/>
        </w:rPr>
        <w:t xml:space="preserve"> </w:t>
      </w:r>
      <w:r w:rsidRPr="000E3C97">
        <w:t>to t</w:t>
      </w:r>
      <w:r w:rsidRPr="000E3C97">
        <w:rPr>
          <w:spacing w:val="1"/>
        </w:rPr>
        <w:t>h</w:t>
      </w:r>
      <w:r w:rsidRPr="000E3C97">
        <w:t>e</w:t>
      </w:r>
      <w:r w:rsidR="00993383">
        <w:t xml:space="preserve"> supplier</w:t>
      </w:r>
      <w:r w:rsidRPr="000E3C97">
        <w:t>.</w:t>
      </w:r>
    </w:p>
    <w:p w:rsidR="00C033BD" w:rsidRDefault="00C033BD" w:rsidP="00CC3F1F">
      <w:pPr>
        <w:pStyle w:val="Heading2"/>
        <w:rPr>
          <w:bCs/>
        </w:rPr>
      </w:pPr>
      <w:r w:rsidRPr="000E3C97">
        <w:rPr>
          <w:bCs/>
        </w:rPr>
        <w:t>NAME AND ADDRESS OF SPONSOR</w:t>
      </w:r>
    </w:p>
    <w:p w:rsidR="00993383" w:rsidRPr="00947F91" w:rsidRDefault="00993383" w:rsidP="00CC3F1F">
      <w:r w:rsidRPr="00947F91">
        <w:t>AIR LIQUIDE AUSTRALIA Limited</w:t>
      </w:r>
    </w:p>
    <w:p w:rsidR="0053699B" w:rsidRDefault="0053699B" w:rsidP="00CC3F1F">
      <w:r>
        <w:t>Level 9, 380 St. Kilda Road,</w:t>
      </w:r>
    </w:p>
    <w:p w:rsidR="0053699B" w:rsidRDefault="0053699B" w:rsidP="00CC3F1F">
      <w:r>
        <w:t>Melbourne, VIC,</w:t>
      </w:r>
    </w:p>
    <w:p w:rsidR="0053699B" w:rsidRDefault="0053699B" w:rsidP="00CC3F1F">
      <w:r>
        <w:t>AUSTRALIA, 3004</w:t>
      </w:r>
    </w:p>
    <w:p w:rsidR="00993383" w:rsidRPr="000E3C97" w:rsidRDefault="00993383" w:rsidP="00CC3F1F">
      <w:pPr>
        <w:pStyle w:val="Heading2"/>
      </w:pPr>
      <w:r>
        <w:rPr>
          <w:bCs/>
        </w:rPr>
        <w:t>NAME AND ADDRESS OF SUPPLIER</w:t>
      </w:r>
    </w:p>
    <w:p w:rsidR="00C033BD" w:rsidRDefault="00C033BD" w:rsidP="00CC3F1F">
      <w:r w:rsidRPr="005776DF">
        <w:t xml:space="preserve">AIR LIQUIDE Healthcare </w:t>
      </w:r>
      <w:r w:rsidR="0053699B">
        <w:t xml:space="preserve">Australia </w:t>
      </w:r>
      <w:r w:rsidRPr="005776DF">
        <w:t>Pty. Ltd.</w:t>
      </w:r>
    </w:p>
    <w:p w:rsidR="00FD5EA7" w:rsidRDefault="00C033BD" w:rsidP="00CC3F1F">
      <w:r w:rsidRPr="005776DF">
        <w:t>Unit 5/476 Gardeners Road,</w:t>
      </w:r>
    </w:p>
    <w:p w:rsidR="00C033BD" w:rsidRDefault="00C033BD" w:rsidP="00CC3F1F">
      <w:r w:rsidRPr="005776DF">
        <w:t>Alexandria, NSW, AUSTRALIA, 2015</w:t>
      </w:r>
    </w:p>
    <w:p w:rsidR="00FD5EA7" w:rsidRDefault="00A04B1E" w:rsidP="00CC3F1F">
      <w:pPr>
        <w:pStyle w:val="Heading2"/>
      </w:pPr>
      <w:r>
        <w:rPr>
          <w:bCs/>
        </w:rPr>
        <w:t>DATE OF FIRST INCLUSION IN THE AUSTRALIAN REGISTER OF THERAPEUTIC GOODS</w:t>
      </w:r>
      <w:r w:rsidR="006B1D52">
        <w:rPr>
          <w:bCs/>
        </w:rPr>
        <w:t>:</w:t>
      </w:r>
    </w:p>
    <w:p w:rsidR="00BE59B8" w:rsidRPr="006214BF" w:rsidRDefault="006214BF" w:rsidP="00CC3F1F">
      <w:r w:rsidRPr="006214BF">
        <w:t>16 January 2017</w:t>
      </w:r>
    </w:p>
    <w:p w:rsidR="00BE59B8" w:rsidRPr="000E3C97" w:rsidRDefault="00BE59B8" w:rsidP="00F80BCA">
      <w:pPr>
        <w:widowControl w:val="0"/>
        <w:autoSpaceDE w:val="0"/>
        <w:autoSpaceDN w:val="0"/>
        <w:adjustRightInd w:val="0"/>
        <w:spacing w:before="11" w:after="0" w:line="220" w:lineRule="exact"/>
        <w:rPr>
          <w:rFonts w:cs="Calibri"/>
        </w:rPr>
      </w:pPr>
      <w:proofErr w:type="spellStart"/>
      <w:r>
        <w:rPr>
          <w:rFonts w:cs="Calibri"/>
        </w:rPr>
        <w:t>VasoKINOX</w:t>
      </w:r>
      <w:proofErr w:type="spellEnd"/>
      <w:r w:rsidR="000B1E17">
        <w:rPr>
          <w:rFonts w:cs="Calibri"/>
        </w:rPr>
        <w:t>®</w:t>
      </w:r>
      <w:r>
        <w:rPr>
          <w:rFonts w:cs="Calibri"/>
        </w:rPr>
        <w:t xml:space="preserve"> is a registered trademark of Air Liquide</w:t>
      </w:r>
      <w:r w:rsidR="003B66AB">
        <w:rPr>
          <w:rFonts w:cs="Calibri"/>
        </w:rPr>
        <w:t xml:space="preserve"> </w:t>
      </w:r>
      <w:proofErr w:type="spellStart"/>
      <w:r w:rsidR="003B66AB">
        <w:rPr>
          <w:rFonts w:cs="Calibri"/>
        </w:rPr>
        <w:t>Sante</w:t>
      </w:r>
      <w:proofErr w:type="spellEnd"/>
      <w:r w:rsidR="003B66AB">
        <w:rPr>
          <w:rFonts w:cs="Calibri"/>
        </w:rPr>
        <w:t xml:space="preserve"> International</w:t>
      </w:r>
    </w:p>
    <w:sectPr w:rsidR="00BE59B8" w:rsidRPr="000E3C97" w:rsidSect="007A2607">
      <w:headerReference w:type="default" r:id="rId10"/>
      <w:footerReference w:type="default" r:id="rId11"/>
      <w:pgSz w:w="11900" w:h="16840"/>
      <w:pgMar w:top="1702" w:right="1268" w:bottom="280" w:left="1134" w:header="603" w:footer="52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A0" w:rsidRDefault="00D05AA0">
      <w:pPr>
        <w:spacing w:after="0"/>
      </w:pPr>
      <w:r>
        <w:separator/>
      </w:r>
    </w:p>
  </w:endnote>
  <w:endnote w:type="continuationSeparator" w:id="0">
    <w:p w:rsidR="00D05AA0" w:rsidRDefault="00D05A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A0" w:rsidRPr="00D06816" w:rsidRDefault="00D05AA0" w:rsidP="00D06816">
    <w:pPr>
      <w:widowControl w:val="0"/>
      <w:pBdr>
        <w:top w:val="single" w:sz="4" w:space="1" w:color="auto"/>
      </w:pBdr>
      <w:tabs>
        <w:tab w:val="left" w:pos="8647"/>
      </w:tabs>
      <w:autoSpaceDE w:val="0"/>
      <w:autoSpaceDN w:val="0"/>
      <w:adjustRightInd w:val="0"/>
      <w:spacing w:after="0" w:line="204" w:lineRule="exact"/>
      <w:ind w:left="20" w:right="-27"/>
      <w:rPr>
        <w:rFonts w:ascii="Trebuchet MS" w:hAnsi="Trebuchet MS"/>
        <w:sz w:val="18"/>
        <w:szCs w:val="18"/>
      </w:rPr>
    </w:pPr>
    <w:proofErr w:type="spellStart"/>
    <w:r w:rsidRPr="00C71F06">
      <w:rPr>
        <w:rFonts w:ascii="Trebuchet MS" w:hAnsi="Trebuchet MS"/>
        <w:sz w:val="18"/>
        <w:szCs w:val="18"/>
      </w:rPr>
      <w:t>VasoKINOX</w:t>
    </w:r>
    <w:proofErr w:type="spellEnd"/>
    <w:r w:rsidRPr="00C71F06">
      <w:rPr>
        <w:rFonts w:ascii="Trebuchet MS" w:hAnsi="Trebuchet MS"/>
        <w:sz w:val="18"/>
        <w:szCs w:val="18"/>
      </w:rPr>
      <w:t xml:space="preserve"> </w:t>
    </w:r>
    <w:r w:rsidR="006214BF">
      <w:rPr>
        <w:rFonts w:ascii="Trebuchet MS" w:hAnsi="Trebuchet MS"/>
        <w:sz w:val="18"/>
        <w:szCs w:val="18"/>
      </w:rPr>
      <w:t>–AUST R 235184</w:t>
    </w:r>
    <w:r w:rsidR="006214BF">
      <w:rPr>
        <w:rFonts w:ascii="Trebuchet MS" w:hAnsi="Trebuchet MS"/>
        <w:sz w:val="18"/>
        <w:szCs w:val="18"/>
      </w:rPr>
      <w:tab/>
    </w:r>
    <w:r w:rsidR="00694B52" w:rsidRPr="00C71F06">
      <w:rPr>
        <w:rFonts w:ascii="Trebuchet MS" w:hAnsi="Trebuchet MS" w:cs="Arial"/>
        <w:sz w:val="18"/>
        <w:szCs w:val="18"/>
      </w:rPr>
      <w:fldChar w:fldCharType="begin"/>
    </w:r>
    <w:r w:rsidRPr="00C71F06">
      <w:rPr>
        <w:rFonts w:ascii="Trebuchet MS" w:hAnsi="Trebuchet MS" w:cs="Arial"/>
        <w:sz w:val="18"/>
        <w:szCs w:val="18"/>
      </w:rPr>
      <w:instrText xml:space="preserve"> PAGE </w:instrText>
    </w:r>
    <w:r w:rsidR="00694B52" w:rsidRPr="00C71F06">
      <w:rPr>
        <w:rFonts w:ascii="Trebuchet MS" w:hAnsi="Trebuchet MS" w:cs="Arial"/>
        <w:sz w:val="18"/>
        <w:szCs w:val="18"/>
      </w:rPr>
      <w:fldChar w:fldCharType="separate"/>
    </w:r>
    <w:r w:rsidR="00B935CE">
      <w:rPr>
        <w:rFonts w:ascii="Trebuchet MS" w:hAnsi="Trebuchet MS" w:cs="Arial"/>
        <w:noProof/>
        <w:sz w:val="18"/>
        <w:szCs w:val="18"/>
      </w:rPr>
      <w:t>8</w:t>
    </w:r>
    <w:r w:rsidR="00694B52" w:rsidRPr="00C71F06">
      <w:rPr>
        <w:rFonts w:ascii="Trebuchet MS" w:hAnsi="Trebuchet MS" w:cs="Arial"/>
        <w:sz w:val="18"/>
        <w:szCs w:val="18"/>
      </w:rPr>
      <w:fldChar w:fldCharType="end"/>
    </w:r>
    <w:r w:rsidRPr="00C71F06">
      <w:rPr>
        <w:rFonts w:ascii="Trebuchet MS" w:hAnsi="Trebuchet MS" w:cs="Arial"/>
        <w:sz w:val="18"/>
        <w:szCs w:val="18"/>
      </w:rPr>
      <w:t xml:space="preserve"> /</w:t>
    </w:r>
    <w:r>
      <w:rPr>
        <w:rFonts w:ascii="Trebuchet MS" w:hAnsi="Trebuchet MS" w:cs="Arial"/>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A0" w:rsidRDefault="00D05AA0">
      <w:pPr>
        <w:spacing w:after="0"/>
      </w:pPr>
      <w:r>
        <w:separator/>
      </w:r>
    </w:p>
  </w:footnote>
  <w:footnote w:type="continuationSeparator" w:id="0">
    <w:p w:rsidR="00D05AA0" w:rsidRDefault="00D05A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9C" w:rsidRPr="00F4579C" w:rsidRDefault="00F4579C" w:rsidP="00F4579C">
    <w:pPr>
      <w:pBdr>
        <w:top w:val="single" w:sz="4" w:space="1" w:color="auto"/>
        <w:left w:val="single" w:sz="4" w:space="4" w:color="auto"/>
        <w:bottom w:val="single" w:sz="4" w:space="1" w:color="auto"/>
        <w:right w:val="single" w:sz="4" w:space="4" w:color="auto"/>
      </w:pBdr>
      <w:shd w:val="clear" w:color="auto" w:fill="E4F2E0"/>
      <w:spacing w:before="40" w:after="40"/>
      <w:rPr>
        <w:b/>
        <w:sz w:val="20"/>
        <w:szCs w:val="20"/>
      </w:rPr>
    </w:pPr>
    <w:r w:rsidRPr="00D361CA">
      <w:rPr>
        <w:b/>
        <w:sz w:val="20"/>
        <w:szCs w:val="20"/>
      </w:rPr>
      <w:t xml:space="preserve">Attachment 1: Product information for </w:t>
    </w:r>
    <w:proofErr w:type="spellStart"/>
    <w:r w:rsidR="007A2607" w:rsidRPr="007A2607">
      <w:rPr>
        <w:b/>
        <w:sz w:val="20"/>
        <w:szCs w:val="20"/>
      </w:rPr>
      <w:t>AusPAR</w:t>
    </w:r>
    <w:proofErr w:type="spellEnd"/>
    <w:r w:rsidR="007A2607" w:rsidRPr="007A2607">
      <w:rPr>
        <w:b/>
        <w:sz w:val="20"/>
        <w:szCs w:val="20"/>
      </w:rPr>
      <w:t xml:space="preserve"> Attachment 1: Product Information for </w:t>
    </w:r>
    <w:proofErr w:type="spellStart"/>
    <w:r w:rsidR="007A2607" w:rsidRPr="007A2607">
      <w:rPr>
        <w:b/>
        <w:sz w:val="20"/>
        <w:szCs w:val="20"/>
      </w:rPr>
      <w:t>Vasokinox</w:t>
    </w:r>
    <w:proofErr w:type="spellEnd"/>
    <w:r w:rsidR="007A2607" w:rsidRPr="007A2607">
      <w:rPr>
        <w:b/>
        <w:sz w:val="20"/>
        <w:szCs w:val="20"/>
      </w:rPr>
      <w:t xml:space="preserve"> nitric oxide Air Liquide Healthcare Pty Ltd PM-2014-04327-1-3 FINAL 15 January 2018</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477"/>
    <w:multiLevelType w:val="hybridMultilevel"/>
    <w:tmpl w:val="545CE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64C02D"/>
    <w:multiLevelType w:val="singleLevel"/>
    <w:tmpl w:val="6FD39C28"/>
    <w:lvl w:ilvl="0">
      <w:numFmt w:val="bullet"/>
      <w:lvlText w:val="·"/>
      <w:lvlJc w:val="left"/>
      <w:pPr>
        <w:tabs>
          <w:tab w:val="num" w:pos="432"/>
        </w:tabs>
        <w:ind w:left="105"/>
      </w:pPr>
      <w:rPr>
        <w:rFonts w:ascii="Symbol" w:hAnsi="Symbol"/>
        <w:snapToGrid/>
        <w:spacing w:val="1"/>
        <w:sz w:val="20"/>
      </w:rPr>
    </w:lvl>
  </w:abstractNum>
  <w:abstractNum w:abstractNumId="2">
    <w:nsid w:val="06632397"/>
    <w:multiLevelType w:val="hybridMultilevel"/>
    <w:tmpl w:val="BCBAD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E1668"/>
    <w:multiLevelType w:val="hybridMultilevel"/>
    <w:tmpl w:val="B636DEF6"/>
    <w:lvl w:ilvl="0" w:tplc="0C090019">
      <w:start w:val="1"/>
      <w:numFmt w:val="lowerLetter"/>
      <w:lvlText w:val="%1."/>
      <w:lvlJc w:val="left"/>
      <w:pPr>
        <w:ind w:left="1436" w:hanging="360"/>
      </w:pPr>
    </w:lvl>
    <w:lvl w:ilvl="1" w:tplc="0C090019">
      <w:start w:val="1"/>
      <w:numFmt w:val="lowerLetter"/>
      <w:lvlText w:val="%2."/>
      <w:lvlJc w:val="left"/>
      <w:pPr>
        <w:ind w:left="2156" w:hanging="360"/>
      </w:pPr>
    </w:lvl>
    <w:lvl w:ilvl="2" w:tplc="0C09001B" w:tentative="1">
      <w:start w:val="1"/>
      <w:numFmt w:val="lowerRoman"/>
      <w:lvlText w:val="%3."/>
      <w:lvlJc w:val="right"/>
      <w:pPr>
        <w:ind w:left="2876" w:hanging="180"/>
      </w:pPr>
    </w:lvl>
    <w:lvl w:ilvl="3" w:tplc="0C09000F" w:tentative="1">
      <w:start w:val="1"/>
      <w:numFmt w:val="decimal"/>
      <w:lvlText w:val="%4."/>
      <w:lvlJc w:val="left"/>
      <w:pPr>
        <w:ind w:left="3596" w:hanging="360"/>
      </w:pPr>
    </w:lvl>
    <w:lvl w:ilvl="4" w:tplc="0C090019" w:tentative="1">
      <w:start w:val="1"/>
      <w:numFmt w:val="lowerLetter"/>
      <w:lvlText w:val="%5."/>
      <w:lvlJc w:val="left"/>
      <w:pPr>
        <w:ind w:left="4316" w:hanging="360"/>
      </w:pPr>
    </w:lvl>
    <w:lvl w:ilvl="5" w:tplc="0C09001B" w:tentative="1">
      <w:start w:val="1"/>
      <w:numFmt w:val="lowerRoman"/>
      <w:lvlText w:val="%6."/>
      <w:lvlJc w:val="right"/>
      <w:pPr>
        <w:ind w:left="5036" w:hanging="180"/>
      </w:pPr>
    </w:lvl>
    <w:lvl w:ilvl="6" w:tplc="0C09000F" w:tentative="1">
      <w:start w:val="1"/>
      <w:numFmt w:val="decimal"/>
      <w:lvlText w:val="%7."/>
      <w:lvlJc w:val="left"/>
      <w:pPr>
        <w:ind w:left="5756" w:hanging="360"/>
      </w:pPr>
    </w:lvl>
    <w:lvl w:ilvl="7" w:tplc="0C090019" w:tentative="1">
      <w:start w:val="1"/>
      <w:numFmt w:val="lowerLetter"/>
      <w:lvlText w:val="%8."/>
      <w:lvlJc w:val="left"/>
      <w:pPr>
        <w:ind w:left="6476" w:hanging="360"/>
      </w:pPr>
    </w:lvl>
    <w:lvl w:ilvl="8" w:tplc="0C09001B" w:tentative="1">
      <w:start w:val="1"/>
      <w:numFmt w:val="lowerRoman"/>
      <w:lvlText w:val="%9."/>
      <w:lvlJc w:val="right"/>
      <w:pPr>
        <w:ind w:left="7196" w:hanging="180"/>
      </w:pPr>
    </w:lvl>
  </w:abstractNum>
  <w:abstractNum w:abstractNumId="4">
    <w:nsid w:val="16CC445A"/>
    <w:multiLevelType w:val="hybridMultilevel"/>
    <w:tmpl w:val="EA4E4CDC"/>
    <w:lvl w:ilvl="0" w:tplc="9DBE0C7A">
      <w:start w:val="4"/>
      <w:numFmt w:val="bullet"/>
      <w:lvlText w:val="-"/>
      <w:lvlJc w:val="left"/>
      <w:pPr>
        <w:tabs>
          <w:tab w:val="num" w:pos="349"/>
        </w:tabs>
        <w:ind w:left="349" w:hanging="360"/>
      </w:pPr>
      <w:rPr>
        <w:rFonts w:ascii="Times New Roman" w:eastAsia="Times New Roman" w:hAnsi="Times New Roman" w:hint="default"/>
      </w:rPr>
    </w:lvl>
    <w:lvl w:ilvl="1" w:tplc="04090003" w:tentative="1">
      <w:start w:val="1"/>
      <w:numFmt w:val="bullet"/>
      <w:lvlText w:val="o"/>
      <w:lvlJc w:val="left"/>
      <w:pPr>
        <w:tabs>
          <w:tab w:val="num" w:pos="1069"/>
        </w:tabs>
        <w:ind w:left="1069" w:hanging="360"/>
      </w:pPr>
      <w:rPr>
        <w:rFonts w:ascii="Courier New" w:hAnsi="Courier New" w:hint="default"/>
      </w:rPr>
    </w:lvl>
    <w:lvl w:ilvl="2" w:tplc="04090005" w:tentative="1">
      <w:start w:val="1"/>
      <w:numFmt w:val="bullet"/>
      <w:lvlText w:val=""/>
      <w:lvlJc w:val="left"/>
      <w:pPr>
        <w:tabs>
          <w:tab w:val="num" w:pos="1789"/>
        </w:tabs>
        <w:ind w:left="1789" w:hanging="360"/>
      </w:pPr>
      <w:rPr>
        <w:rFonts w:ascii="Wingdings" w:hAnsi="Wingdings" w:hint="default"/>
      </w:rPr>
    </w:lvl>
    <w:lvl w:ilvl="3" w:tplc="04090001" w:tentative="1">
      <w:start w:val="1"/>
      <w:numFmt w:val="bullet"/>
      <w:lvlText w:val=""/>
      <w:lvlJc w:val="left"/>
      <w:pPr>
        <w:tabs>
          <w:tab w:val="num" w:pos="2509"/>
        </w:tabs>
        <w:ind w:left="2509" w:hanging="360"/>
      </w:pPr>
      <w:rPr>
        <w:rFonts w:ascii="Symbol" w:hAnsi="Symbol" w:hint="default"/>
      </w:rPr>
    </w:lvl>
    <w:lvl w:ilvl="4" w:tplc="04090003" w:tentative="1">
      <w:start w:val="1"/>
      <w:numFmt w:val="bullet"/>
      <w:lvlText w:val="o"/>
      <w:lvlJc w:val="left"/>
      <w:pPr>
        <w:tabs>
          <w:tab w:val="num" w:pos="3229"/>
        </w:tabs>
        <w:ind w:left="3229" w:hanging="360"/>
      </w:pPr>
      <w:rPr>
        <w:rFonts w:ascii="Courier New" w:hAnsi="Courier New" w:hint="default"/>
      </w:rPr>
    </w:lvl>
    <w:lvl w:ilvl="5" w:tplc="04090005" w:tentative="1">
      <w:start w:val="1"/>
      <w:numFmt w:val="bullet"/>
      <w:lvlText w:val=""/>
      <w:lvlJc w:val="left"/>
      <w:pPr>
        <w:tabs>
          <w:tab w:val="num" w:pos="3949"/>
        </w:tabs>
        <w:ind w:left="3949" w:hanging="360"/>
      </w:pPr>
      <w:rPr>
        <w:rFonts w:ascii="Wingdings" w:hAnsi="Wingdings" w:hint="default"/>
      </w:rPr>
    </w:lvl>
    <w:lvl w:ilvl="6" w:tplc="04090001" w:tentative="1">
      <w:start w:val="1"/>
      <w:numFmt w:val="bullet"/>
      <w:lvlText w:val=""/>
      <w:lvlJc w:val="left"/>
      <w:pPr>
        <w:tabs>
          <w:tab w:val="num" w:pos="4669"/>
        </w:tabs>
        <w:ind w:left="4669" w:hanging="360"/>
      </w:pPr>
      <w:rPr>
        <w:rFonts w:ascii="Symbol" w:hAnsi="Symbol" w:hint="default"/>
      </w:rPr>
    </w:lvl>
    <w:lvl w:ilvl="7" w:tplc="04090003" w:tentative="1">
      <w:start w:val="1"/>
      <w:numFmt w:val="bullet"/>
      <w:lvlText w:val="o"/>
      <w:lvlJc w:val="left"/>
      <w:pPr>
        <w:tabs>
          <w:tab w:val="num" w:pos="5389"/>
        </w:tabs>
        <w:ind w:left="5389" w:hanging="360"/>
      </w:pPr>
      <w:rPr>
        <w:rFonts w:ascii="Courier New" w:hAnsi="Courier New" w:hint="default"/>
      </w:rPr>
    </w:lvl>
    <w:lvl w:ilvl="8" w:tplc="04090005" w:tentative="1">
      <w:start w:val="1"/>
      <w:numFmt w:val="bullet"/>
      <w:lvlText w:val=""/>
      <w:lvlJc w:val="left"/>
      <w:pPr>
        <w:tabs>
          <w:tab w:val="num" w:pos="6109"/>
        </w:tabs>
        <w:ind w:left="6109" w:hanging="360"/>
      </w:pPr>
      <w:rPr>
        <w:rFonts w:ascii="Wingdings" w:hAnsi="Wingdings" w:hint="default"/>
      </w:rPr>
    </w:lvl>
  </w:abstractNum>
  <w:abstractNum w:abstractNumId="5">
    <w:nsid w:val="1E805E55"/>
    <w:multiLevelType w:val="hybridMultilevel"/>
    <w:tmpl w:val="4960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BE578E"/>
    <w:multiLevelType w:val="hybridMultilevel"/>
    <w:tmpl w:val="4B2AEE66"/>
    <w:lvl w:ilvl="0" w:tplc="4EF6BE66">
      <w:numFmt w:val="bullet"/>
      <w:lvlText w:val=""/>
      <w:lvlJc w:val="left"/>
      <w:pPr>
        <w:ind w:left="960" w:hanging="360"/>
      </w:pPr>
      <w:rPr>
        <w:rFonts w:ascii="Calibri" w:eastAsia="Times New Roman" w:hAnsi="Calibri" w:cs="Calibri"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7">
    <w:nsid w:val="234A154C"/>
    <w:multiLevelType w:val="hybridMultilevel"/>
    <w:tmpl w:val="EF10B6AA"/>
    <w:lvl w:ilvl="0" w:tplc="4EF6BE66">
      <w:numFmt w:val="bullet"/>
      <w:lvlText w:val=""/>
      <w:lvlJc w:val="left"/>
      <w:pPr>
        <w:ind w:left="840" w:hanging="360"/>
      </w:pPr>
      <w:rPr>
        <w:rFonts w:ascii="Calibri" w:eastAsia="Times New Roman" w:hAnsi="Calibri" w:cs="Calibri"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8">
    <w:nsid w:val="279C4EDC"/>
    <w:multiLevelType w:val="hybridMultilevel"/>
    <w:tmpl w:val="9DB81FDA"/>
    <w:lvl w:ilvl="0" w:tplc="55029604">
      <w:numFmt w:val="bullet"/>
      <w:lvlText w:val="-"/>
      <w:lvlJc w:val="left"/>
      <w:pPr>
        <w:ind w:left="480" w:hanging="360"/>
      </w:pPr>
      <w:rPr>
        <w:rFonts w:ascii="Calibri" w:eastAsia="Times New Roman" w:hAnsi="Calibri" w:cs="Calibr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9">
    <w:nsid w:val="2D9F6360"/>
    <w:multiLevelType w:val="hybridMultilevel"/>
    <w:tmpl w:val="3214B4E8"/>
    <w:lvl w:ilvl="0" w:tplc="6FD39C28">
      <w:numFmt w:val="bullet"/>
      <w:lvlText w:val="·"/>
      <w:lvlJc w:val="left"/>
      <w:pPr>
        <w:tabs>
          <w:tab w:val="num" w:pos="624"/>
        </w:tabs>
        <w:ind w:left="408"/>
      </w:pPr>
      <w:rPr>
        <w:rFonts w:ascii="Symbol" w:hAnsi="Symbol"/>
        <w:snapToGrid/>
        <w:spacing w:val="8"/>
        <w:w w:val="105"/>
        <w:sz w:val="22"/>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0">
    <w:nsid w:val="37F31B32"/>
    <w:multiLevelType w:val="hybridMultilevel"/>
    <w:tmpl w:val="0ECC1CAA"/>
    <w:lvl w:ilvl="0" w:tplc="6FD39C28">
      <w:numFmt w:val="bullet"/>
      <w:lvlText w:val="·"/>
      <w:lvlJc w:val="left"/>
      <w:pPr>
        <w:ind w:left="720" w:hanging="360"/>
      </w:pPr>
      <w:rPr>
        <w:rFonts w:ascii="Symbol" w:hAnsi="Symbol"/>
        <w:snapToGrid/>
        <w:spacing w:val="8"/>
        <w:w w:val="105"/>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B87238"/>
    <w:multiLevelType w:val="hybridMultilevel"/>
    <w:tmpl w:val="035A1088"/>
    <w:lvl w:ilvl="0" w:tplc="AC12D08C">
      <w:numFmt w:val="bullet"/>
      <w:lvlText w:val="-"/>
      <w:lvlJc w:val="left"/>
      <w:pPr>
        <w:ind w:left="480" w:hanging="360"/>
      </w:pPr>
      <w:rPr>
        <w:rFonts w:ascii="Calibri" w:eastAsia="Times New Roman" w:hAnsi="Calibri" w:cs="Calibr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2">
    <w:nsid w:val="4787586E"/>
    <w:multiLevelType w:val="hybridMultilevel"/>
    <w:tmpl w:val="D7961978"/>
    <w:lvl w:ilvl="0" w:tplc="0C09000F">
      <w:start w:val="1"/>
      <w:numFmt w:val="decimal"/>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3">
    <w:nsid w:val="4ED92F39"/>
    <w:multiLevelType w:val="hybridMultilevel"/>
    <w:tmpl w:val="9EACC7E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5D31E6"/>
    <w:multiLevelType w:val="hybridMultilevel"/>
    <w:tmpl w:val="2320D3A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5">
    <w:nsid w:val="691F1C52"/>
    <w:multiLevelType w:val="hybridMultilevel"/>
    <w:tmpl w:val="3962C702"/>
    <w:lvl w:ilvl="0" w:tplc="54B4DA2C">
      <w:start w:val="1"/>
      <w:numFmt w:val="bullet"/>
      <w:lvlText w:val=""/>
      <w:lvlJc w:val="left"/>
      <w:pPr>
        <w:ind w:left="1128" w:hanging="360"/>
      </w:pPr>
      <w:rPr>
        <w:rFonts w:ascii="Symbol" w:hAnsi="Symbol" w:hint="default"/>
        <w:strike w:val="0"/>
      </w:rPr>
    </w:lvl>
    <w:lvl w:ilvl="1" w:tplc="0C090003">
      <w:start w:val="1"/>
      <w:numFmt w:val="bullet"/>
      <w:lvlText w:val="o"/>
      <w:lvlJc w:val="left"/>
      <w:pPr>
        <w:ind w:left="1848" w:hanging="360"/>
      </w:pPr>
      <w:rPr>
        <w:rFonts w:ascii="Courier New" w:hAnsi="Courier New" w:cs="Courier New" w:hint="default"/>
      </w:rPr>
    </w:lvl>
    <w:lvl w:ilvl="2" w:tplc="0C090005">
      <w:start w:val="1"/>
      <w:numFmt w:val="bullet"/>
      <w:lvlText w:val=""/>
      <w:lvlJc w:val="left"/>
      <w:pPr>
        <w:ind w:left="2568" w:hanging="360"/>
      </w:pPr>
      <w:rPr>
        <w:rFonts w:ascii="Wingdings" w:hAnsi="Wingdings" w:hint="default"/>
      </w:rPr>
    </w:lvl>
    <w:lvl w:ilvl="3" w:tplc="0C09000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16">
    <w:nsid w:val="6EF46754"/>
    <w:multiLevelType w:val="hybridMultilevel"/>
    <w:tmpl w:val="0D060DF4"/>
    <w:lvl w:ilvl="0" w:tplc="C6121E48">
      <w:numFmt w:val="bullet"/>
      <w:lvlText w:val="-"/>
      <w:lvlJc w:val="left"/>
      <w:pPr>
        <w:ind w:left="502" w:hanging="36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nsid w:val="7A3A66CC"/>
    <w:multiLevelType w:val="hybridMultilevel"/>
    <w:tmpl w:val="F758B66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1"/>
    <w:lvlOverride w:ilvl="0">
      <w:lvl w:ilvl="0">
        <w:numFmt w:val="bullet"/>
        <w:lvlText w:val="·"/>
        <w:lvlJc w:val="left"/>
        <w:pPr>
          <w:tabs>
            <w:tab w:val="num" w:pos="504"/>
          </w:tabs>
          <w:ind w:left="288"/>
        </w:pPr>
        <w:rPr>
          <w:rFonts w:ascii="Symbol" w:hAnsi="Symbol"/>
          <w:snapToGrid/>
          <w:spacing w:val="8"/>
          <w:w w:val="105"/>
          <w:sz w:val="22"/>
        </w:rPr>
      </w:lvl>
    </w:lvlOverride>
  </w:num>
  <w:num w:numId="2">
    <w:abstractNumId w:val="1"/>
    <w:lvlOverride w:ilvl="0">
      <w:lvl w:ilvl="0">
        <w:numFmt w:val="bullet"/>
        <w:lvlText w:val="·"/>
        <w:lvlJc w:val="left"/>
        <w:pPr>
          <w:tabs>
            <w:tab w:val="num" w:pos="504"/>
          </w:tabs>
          <w:ind w:left="288"/>
        </w:pPr>
        <w:rPr>
          <w:rFonts w:ascii="Symbol" w:hAnsi="Symbol"/>
          <w:snapToGrid/>
          <w:spacing w:val="8"/>
          <w:w w:val="105"/>
          <w:sz w:val="22"/>
        </w:rPr>
      </w:lvl>
    </w:lvlOverride>
  </w:num>
  <w:num w:numId="3">
    <w:abstractNumId w:val="9"/>
  </w:num>
  <w:num w:numId="4">
    <w:abstractNumId w:val="1"/>
    <w:lvlOverride w:ilvl="0">
      <w:lvl w:ilvl="0">
        <w:numFmt w:val="bullet"/>
        <w:lvlText w:val="·"/>
        <w:lvlJc w:val="left"/>
        <w:pPr>
          <w:tabs>
            <w:tab w:val="num" w:pos="432"/>
          </w:tabs>
          <w:ind w:left="360"/>
        </w:pPr>
        <w:rPr>
          <w:rFonts w:ascii="Symbol" w:hAnsi="Symbol"/>
          <w:b/>
          <w:snapToGrid/>
          <w:spacing w:val="2"/>
          <w:w w:val="105"/>
          <w:sz w:val="22"/>
        </w:rPr>
      </w:lvl>
    </w:lvlOverride>
  </w:num>
  <w:num w:numId="5">
    <w:abstractNumId w:val="1"/>
    <w:lvlOverride w:ilvl="0">
      <w:lvl w:ilvl="0">
        <w:numFmt w:val="bullet"/>
        <w:lvlText w:val="·"/>
        <w:lvlJc w:val="left"/>
        <w:pPr>
          <w:tabs>
            <w:tab w:val="num" w:pos="288"/>
          </w:tabs>
          <w:ind w:left="360"/>
        </w:pPr>
        <w:rPr>
          <w:rFonts w:ascii="Symbol" w:hAnsi="Symbol"/>
          <w:b/>
          <w:snapToGrid/>
          <w:spacing w:val="-2"/>
          <w:w w:val="105"/>
          <w:sz w:val="22"/>
        </w:rPr>
      </w:lvl>
    </w:lvlOverride>
  </w:num>
  <w:num w:numId="6">
    <w:abstractNumId w:val="12"/>
  </w:num>
  <w:num w:numId="7">
    <w:abstractNumId w:val="3"/>
  </w:num>
  <w:num w:numId="8">
    <w:abstractNumId w:val="7"/>
  </w:num>
  <w:num w:numId="9">
    <w:abstractNumId w:val="6"/>
  </w:num>
  <w:num w:numId="10">
    <w:abstractNumId w:val="8"/>
  </w:num>
  <w:num w:numId="11">
    <w:abstractNumId w:val="10"/>
  </w:num>
  <w:num w:numId="12">
    <w:abstractNumId w:val="15"/>
  </w:num>
  <w:num w:numId="13">
    <w:abstractNumId w:val="4"/>
  </w:num>
  <w:num w:numId="14">
    <w:abstractNumId w:val="14"/>
  </w:num>
  <w:num w:numId="15">
    <w:abstractNumId w:val="2"/>
  </w:num>
  <w:num w:numId="16">
    <w:abstractNumId w:val="17"/>
  </w:num>
  <w:num w:numId="17">
    <w:abstractNumId w:val="13"/>
  </w:num>
  <w:num w:numId="18">
    <w:abstractNumId w:val="16"/>
  </w:num>
  <w:num w:numId="19">
    <w:abstractNumId w:val="5"/>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98"/>
    <w:rsid w:val="00001C82"/>
    <w:rsid w:val="0000317B"/>
    <w:rsid w:val="000163F3"/>
    <w:rsid w:val="00016D12"/>
    <w:rsid w:val="00020E38"/>
    <w:rsid w:val="0002390D"/>
    <w:rsid w:val="00024026"/>
    <w:rsid w:val="00024E68"/>
    <w:rsid w:val="00027926"/>
    <w:rsid w:val="000311D9"/>
    <w:rsid w:val="00043C1F"/>
    <w:rsid w:val="00044E74"/>
    <w:rsid w:val="00046642"/>
    <w:rsid w:val="0005588E"/>
    <w:rsid w:val="00057453"/>
    <w:rsid w:val="000604C1"/>
    <w:rsid w:val="00064AC2"/>
    <w:rsid w:val="000658A9"/>
    <w:rsid w:val="00070468"/>
    <w:rsid w:val="00072076"/>
    <w:rsid w:val="00072C2E"/>
    <w:rsid w:val="00073AA2"/>
    <w:rsid w:val="00073D06"/>
    <w:rsid w:val="00080596"/>
    <w:rsid w:val="00083599"/>
    <w:rsid w:val="00083DA1"/>
    <w:rsid w:val="00086DDD"/>
    <w:rsid w:val="00093527"/>
    <w:rsid w:val="00094D3A"/>
    <w:rsid w:val="000A2479"/>
    <w:rsid w:val="000A5E39"/>
    <w:rsid w:val="000B0FC2"/>
    <w:rsid w:val="000B1E17"/>
    <w:rsid w:val="000B690B"/>
    <w:rsid w:val="000C41BE"/>
    <w:rsid w:val="000C5BB5"/>
    <w:rsid w:val="000D2767"/>
    <w:rsid w:val="000D3648"/>
    <w:rsid w:val="000D6B01"/>
    <w:rsid w:val="000E02EA"/>
    <w:rsid w:val="000E108C"/>
    <w:rsid w:val="000E1125"/>
    <w:rsid w:val="000E19BE"/>
    <w:rsid w:val="000E25D3"/>
    <w:rsid w:val="000E3BD8"/>
    <w:rsid w:val="000E3C97"/>
    <w:rsid w:val="000E4CB3"/>
    <w:rsid w:val="000F4EA2"/>
    <w:rsid w:val="001053B6"/>
    <w:rsid w:val="001056F9"/>
    <w:rsid w:val="00106F7B"/>
    <w:rsid w:val="00112066"/>
    <w:rsid w:val="001130C8"/>
    <w:rsid w:val="001134BE"/>
    <w:rsid w:val="00113830"/>
    <w:rsid w:val="00117762"/>
    <w:rsid w:val="00121874"/>
    <w:rsid w:val="00125724"/>
    <w:rsid w:val="00126893"/>
    <w:rsid w:val="00132B90"/>
    <w:rsid w:val="001330D8"/>
    <w:rsid w:val="0013391A"/>
    <w:rsid w:val="00134A73"/>
    <w:rsid w:val="00136E58"/>
    <w:rsid w:val="001375FE"/>
    <w:rsid w:val="00154459"/>
    <w:rsid w:val="00162D21"/>
    <w:rsid w:val="0016300C"/>
    <w:rsid w:val="0016526A"/>
    <w:rsid w:val="00165F60"/>
    <w:rsid w:val="00175D11"/>
    <w:rsid w:val="00183114"/>
    <w:rsid w:val="00184612"/>
    <w:rsid w:val="0019006D"/>
    <w:rsid w:val="0019010D"/>
    <w:rsid w:val="00193281"/>
    <w:rsid w:val="00194669"/>
    <w:rsid w:val="00195259"/>
    <w:rsid w:val="00195423"/>
    <w:rsid w:val="00196253"/>
    <w:rsid w:val="001A1533"/>
    <w:rsid w:val="001B09A9"/>
    <w:rsid w:val="001B29FA"/>
    <w:rsid w:val="001B6D50"/>
    <w:rsid w:val="001C0231"/>
    <w:rsid w:val="001C3B6F"/>
    <w:rsid w:val="001C595D"/>
    <w:rsid w:val="001D048F"/>
    <w:rsid w:val="001D077E"/>
    <w:rsid w:val="001D39E0"/>
    <w:rsid w:val="001D3A34"/>
    <w:rsid w:val="001E3D90"/>
    <w:rsid w:val="001F1109"/>
    <w:rsid w:val="001F1644"/>
    <w:rsid w:val="00203405"/>
    <w:rsid w:val="00205765"/>
    <w:rsid w:val="002111C3"/>
    <w:rsid w:val="002124A3"/>
    <w:rsid w:val="00213146"/>
    <w:rsid w:val="0021343D"/>
    <w:rsid w:val="00216D9C"/>
    <w:rsid w:val="00222EFB"/>
    <w:rsid w:val="002245C6"/>
    <w:rsid w:val="00225340"/>
    <w:rsid w:val="00231388"/>
    <w:rsid w:val="00232C19"/>
    <w:rsid w:val="00232DD7"/>
    <w:rsid w:val="002363E8"/>
    <w:rsid w:val="00236FA1"/>
    <w:rsid w:val="00241460"/>
    <w:rsid w:val="002443DB"/>
    <w:rsid w:val="00246838"/>
    <w:rsid w:val="00254B04"/>
    <w:rsid w:val="00255DF1"/>
    <w:rsid w:val="002561C3"/>
    <w:rsid w:val="00260C21"/>
    <w:rsid w:val="002622A4"/>
    <w:rsid w:val="00267157"/>
    <w:rsid w:val="00270347"/>
    <w:rsid w:val="00273153"/>
    <w:rsid w:val="002735B2"/>
    <w:rsid w:val="00273A6B"/>
    <w:rsid w:val="0028042D"/>
    <w:rsid w:val="00291B56"/>
    <w:rsid w:val="00294413"/>
    <w:rsid w:val="002A2395"/>
    <w:rsid w:val="002A2D6F"/>
    <w:rsid w:val="002A65A4"/>
    <w:rsid w:val="002A66E2"/>
    <w:rsid w:val="002A7EDF"/>
    <w:rsid w:val="002C088D"/>
    <w:rsid w:val="002C1B43"/>
    <w:rsid w:val="002C56C1"/>
    <w:rsid w:val="002C721D"/>
    <w:rsid w:val="002C7F82"/>
    <w:rsid w:val="002D3349"/>
    <w:rsid w:val="002D6450"/>
    <w:rsid w:val="002D6C34"/>
    <w:rsid w:val="002D76B6"/>
    <w:rsid w:val="002E2414"/>
    <w:rsid w:val="002E44A7"/>
    <w:rsid w:val="002E634B"/>
    <w:rsid w:val="002F7EB3"/>
    <w:rsid w:val="002F7F46"/>
    <w:rsid w:val="00301CFC"/>
    <w:rsid w:val="003050D0"/>
    <w:rsid w:val="00305B1A"/>
    <w:rsid w:val="00310B4E"/>
    <w:rsid w:val="00315B4D"/>
    <w:rsid w:val="00320243"/>
    <w:rsid w:val="00322C61"/>
    <w:rsid w:val="0032522C"/>
    <w:rsid w:val="00331037"/>
    <w:rsid w:val="0034168F"/>
    <w:rsid w:val="00343180"/>
    <w:rsid w:val="0034492D"/>
    <w:rsid w:val="0035169E"/>
    <w:rsid w:val="003562D4"/>
    <w:rsid w:val="003568F6"/>
    <w:rsid w:val="00357236"/>
    <w:rsid w:val="00362C22"/>
    <w:rsid w:val="00365481"/>
    <w:rsid w:val="00370259"/>
    <w:rsid w:val="00371007"/>
    <w:rsid w:val="00374596"/>
    <w:rsid w:val="0037493E"/>
    <w:rsid w:val="00375DED"/>
    <w:rsid w:val="00376743"/>
    <w:rsid w:val="003767BD"/>
    <w:rsid w:val="00383F48"/>
    <w:rsid w:val="003846DB"/>
    <w:rsid w:val="00385B74"/>
    <w:rsid w:val="003878AA"/>
    <w:rsid w:val="00390570"/>
    <w:rsid w:val="00391E6D"/>
    <w:rsid w:val="00392076"/>
    <w:rsid w:val="003949D3"/>
    <w:rsid w:val="003A225D"/>
    <w:rsid w:val="003A38A3"/>
    <w:rsid w:val="003A40CF"/>
    <w:rsid w:val="003A6150"/>
    <w:rsid w:val="003A7D31"/>
    <w:rsid w:val="003B0E3D"/>
    <w:rsid w:val="003B3CBD"/>
    <w:rsid w:val="003B66AB"/>
    <w:rsid w:val="003C1092"/>
    <w:rsid w:val="003C479D"/>
    <w:rsid w:val="003C7CFD"/>
    <w:rsid w:val="003D5CA0"/>
    <w:rsid w:val="003D639E"/>
    <w:rsid w:val="003E439A"/>
    <w:rsid w:val="003E6003"/>
    <w:rsid w:val="003E605C"/>
    <w:rsid w:val="003F1A32"/>
    <w:rsid w:val="003F5DED"/>
    <w:rsid w:val="003F7170"/>
    <w:rsid w:val="00402537"/>
    <w:rsid w:val="00412674"/>
    <w:rsid w:val="00413199"/>
    <w:rsid w:val="00414C74"/>
    <w:rsid w:val="00417531"/>
    <w:rsid w:val="00421536"/>
    <w:rsid w:val="00422EDE"/>
    <w:rsid w:val="00425612"/>
    <w:rsid w:val="00440869"/>
    <w:rsid w:val="004419B2"/>
    <w:rsid w:val="00442401"/>
    <w:rsid w:val="00446354"/>
    <w:rsid w:val="00461619"/>
    <w:rsid w:val="00465745"/>
    <w:rsid w:val="00471801"/>
    <w:rsid w:val="00474D43"/>
    <w:rsid w:val="00482328"/>
    <w:rsid w:val="004829EA"/>
    <w:rsid w:val="00484149"/>
    <w:rsid w:val="00486244"/>
    <w:rsid w:val="004863C2"/>
    <w:rsid w:val="0048714F"/>
    <w:rsid w:val="004915DF"/>
    <w:rsid w:val="00495677"/>
    <w:rsid w:val="004A2483"/>
    <w:rsid w:val="004A2DD1"/>
    <w:rsid w:val="004A3983"/>
    <w:rsid w:val="004A49EF"/>
    <w:rsid w:val="004B02BC"/>
    <w:rsid w:val="004C190E"/>
    <w:rsid w:val="004C3DF8"/>
    <w:rsid w:val="004C4A18"/>
    <w:rsid w:val="004D01E9"/>
    <w:rsid w:val="004D2B0D"/>
    <w:rsid w:val="004D2ECA"/>
    <w:rsid w:val="004D31BE"/>
    <w:rsid w:val="004D3D43"/>
    <w:rsid w:val="004D485B"/>
    <w:rsid w:val="004D6402"/>
    <w:rsid w:val="004E105D"/>
    <w:rsid w:val="004F2EDA"/>
    <w:rsid w:val="004F700E"/>
    <w:rsid w:val="004F7916"/>
    <w:rsid w:val="00511CE5"/>
    <w:rsid w:val="00522DBF"/>
    <w:rsid w:val="00531B2B"/>
    <w:rsid w:val="00531E61"/>
    <w:rsid w:val="0053699B"/>
    <w:rsid w:val="005408CB"/>
    <w:rsid w:val="005428AA"/>
    <w:rsid w:val="00553645"/>
    <w:rsid w:val="00555474"/>
    <w:rsid w:val="00560246"/>
    <w:rsid w:val="00565976"/>
    <w:rsid w:val="00567A7A"/>
    <w:rsid w:val="00570B84"/>
    <w:rsid w:val="005719AE"/>
    <w:rsid w:val="00573370"/>
    <w:rsid w:val="005776DF"/>
    <w:rsid w:val="005817F6"/>
    <w:rsid w:val="0058590D"/>
    <w:rsid w:val="00590B0A"/>
    <w:rsid w:val="00591B8B"/>
    <w:rsid w:val="00593F4B"/>
    <w:rsid w:val="005A49A3"/>
    <w:rsid w:val="005A51B7"/>
    <w:rsid w:val="005A6CB3"/>
    <w:rsid w:val="005B25A9"/>
    <w:rsid w:val="005C2191"/>
    <w:rsid w:val="005C6797"/>
    <w:rsid w:val="005D1FE3"/>
    <w:rsid w:val="005D5FED"/>
    <w:rsid w:val="005D7B4A"/>
    <w:rsid w:val="005E1A02"/>
    <w:rsid w:val="005E1EE9"/>
    <w:rsid w:val="005E7DE8"/>
    <w:rsid w:val="005F10B0"/>
    <w:rsid w:val="005F48FB"/>
    <w:rsid w:val="00600605"/>
    <w:rsid w:val="006008C1"/>
    <w:rsid w:val="0060106A"/>
    <w:rsid w:val="006014A2"/>
    <w:rsid w:val="00604DB7"/>
    <w:rsid w:val="00604FD7"/>
    <w:rsid w:val="006075E9"/>
    <w:rsid w:val="006076EF"/>
    <w:rsid w:val="00614ABC"/>
    <w:rsid w:val="006214BF"/>
    <w:rsid w:val="006228B5"/>
    <w:rsid w:val="00624941"/>
    <w:rsid w:val="006254DC"/>
    <w:rsid w:val="00625C25"/>
    <w:rsid w:val="00626803"/>
    <w:rsid w:val="00632321"/>
    <w:rsid w:val="00633DF5"/>
    <w:rsid w:val="00637912"/>
    <w:rsid w:val="0064462B"/>
    <w:rsid w:val="006527B4"/>
    <w:rsid w:val="0065454D"/>
    <w:rsid w:val="006545C5"/>
    <w:rsid w:val="00661828"/>
    <w:rsid w:val="0066187F"/>
    <w:rsid w:val="006666B5"/>
    <w:rsid w:val="006723F2"/>
    <w:rsid w:val="00672765"/>
    <w:rsid w:val="00673E53"/>
    <w:rsid w:val="00674051"/>
    <w:rsid w:val="00686002"/>
    <w:rsid w:val="0068679A"/>
    <w:rsid w:val="00691461"/>
    <w:rsid w:val="00691B0C"/>
    <w:rsid w:val="00694B52"/>
    <w:rsid w:val="00694CA2"/>
    <w:rsid w:val="006A1B58"/>
    <w:rsid w:val="006A3108"/>
    <w:rsid w:val="006A39BA"/>
    <w:rsid w:val="006B1D52"/>
    <w:rsid w:val="006B1E65"/>
    <w:rsid w:val="006B31B2"/>
    <w:rsid w:val="006B50C6"/>
    <w:rsid w:val="006B5B7C"/>
    <w:rsid w:val="006B7120"/>
    <w:rsid w:val="006B7E31"/>
    <w:rsid w:val="006D17E6"/>
    <w:rsid w:val="006D2F27"/>
    <w:rsid w:val="006D3589"/>
    <w:rsid w:val="006D4C68"/>
    <w:rsid w:val="006D66A5"/>
    <w:rsid w:val="006E4CBF"/>
    <w:rsid w:val="006F0BB3"/>
    <w:rsid w:val="006F7D95"/>
    <w:rsid w:val="00703099"/>
    <w:rsid w:val="007037BD"/>
    <w:rsid w:val="007053F1"/>
    <w:rsid w:val="00706A53"/>
    <w:rsid w:val="007105CC"/>
    <w:rsid w:val="0072405A"/>
    <w:rsid w:val="00725B10"/>
    <w:rsid w:val="00725DB9"/>
    <w:rsid w:val="00732B35"/>
    <w:rsid w:val="007349D4"/>
    <w:rsid w:val="0073692D"/>
    <w:rsid w:val="00740487"/>
    <w:rsid w:val="00740EE4"/>
    <w:rsid w:val="00742710"/>
    <w:rsid w:val="00743426"/>
    <w:rsid w:val="00753147"/>
    <w:rsid w:val="00756486"/>
    <w:rsid w:val="00757E2B"/>
    <w:rsid w:val="00760BF8"/>
    <w:rsid w:val="007610DF"/>
    <w:rsid w:val="00765F7A"/>
    <w:rsid w:val="0077791B"/>
    <w:rsid w:val="00780824"/>
    <w:rsid w:val="00781527"/>
    <w:rsid w:val="00782637"/>
    <w:rsid w:val="00783EF3"/>
    <w:rsid w:val="00784110"/>
    <w:rsid w:val="007867A0"/>
    <w:rsid w:val="007A2607"/>
    <w:rsid w:val="007B276F"/>
    <w:rsid w:val="007B31B0"/>
    <w:rsid w:val="007B44DD"/>
    <w:rsid w:val="007B4E84"/>
    <w:rsid w:val="007B6698"/>
    <w:rsid w:val="007B7C55"/>
    <w:rsid w:val="007C38D1"/>
    <w:rsid w:val="007C7FC8"/>
    <w:rsid w:val="007D0C91"/>
    <w:rsid w:val="007D0FC7"/>
    <w:rsid w:val="007D2D77"/>
    <w:rsid w:val="007E38DE"/>
    <w:rsid w:val="007E401D"/>
    <w:rsid w:val="007E505F"/>
    <w:rsid w:val="007E636A"/>
    <w:rsid w:val="007F152B"/>
    <w:rsid w:val="007F2121"/>
    <w:rsid w:val="007F3BA9"/>
    <w:rsid w:val="007F5708"/>
    <w:rsid w:val="00800E6B"/>
    <w:rsid w:val="00807F4D"/>
    <w:rsid w:val="008156BB"/>
    <w:rsid w:val="008165D2"/>
    <w:rsid w:val="008236D8"/>
    <w:rsid w:val="00823A2A"/>
    <w:rsid w:val="008252F5"/>
    <w:rsid w:val="00830418"/>
    <w:rsid w:val="00835B99"/>
    <w:rsid w:val="008369DF"/>
    <w:rsid w:val="00840335"/>
    <w:rsid w:val="00845245"/>
    <w:rsid w:val="008525B6"/>
    <w:rsid w:val="0085373C"/>
    <w:rsid w:val="00855886"/>
    <w:rsid w:val="008574C4"/>
    <w:rsid w:val="00864046"/>
    <w:rsid w:val="00870F63"/>
    <w:rsid w:val="008712AA"/>
    <w:rsid w:val="008716CD"/>
    <w:rsid w:val="00871DF8"/>
    <w:rsid w:val="008725AB"/>
    <w:rsid w:val="0087625F"/>
    <w:rsid w:val="0088317E"/>
    <w:rsid w:val="00887A2A"/>
    <w:rsid w:val="008A4BC9"/>
    <w:rsid w:val="008B17EB"/>
    <w:rsid w:val="008B5849"/>
    <w:rsid w:val="008B7E5E"/>
    <w:rsid w:val="008C0006"/>
    <w:rsid w:val="008C7AF4"/>
    <w:rsid w:val="008D20EE"/>
    <w:rsid w:val="008D43C7"/>
    <w:rsid w:val="008D5FBB"/>
    <w:rsid w:val="008D69E2"/>
    <w:rsid w:val="008E1B28"/>
    <w:rsid w:val="008E4BD9"/>
    <w:rsid w:val="008E7752"/>
    <w:rsid w:val="008F6390"/>
    <w:rsid w:val="00900802"/>
    <w:rsid w:val="009015D0"/>
    <w:rsid w:val="00907ED0"/>
    <w:rsid w:val="00911F66"/>
    <w:rsid w:val="0091301E"/>
    <w:rsid w:val="00930AE7"/>
    <w:rsid w:val="00933FC4"/>
    <w:rsid w:val="00937596"/>
    <w:rsid w:val="00940791"/>
    <w:rsid w:val="00941316"/>
    <w:rsid w:val="009565B1"/>
    <w:rsid w:val="0095722B"/>
    <w:rsid w:val="00962D58"/>
    <w:rsid w:val="00965373"/>
    <w:rsid w:val="00965807"/>
    <w:rsid w:val="00967472"/>
    <w:rsid w:val="00971496"/>
    <w:rsid w:val="009739A8"/>
    <w:rsid w:val="009739E2"/>
    <w:rsid w:val="00975E44"/>
    <w:rsid w:val="00977034"/>
    <w:rsid w:val="00977D12"/>
    <w:rsid w:val="00981B07"/>
    <w:rsid w:val="00982ADA"/>
    <w:rsid w:val="00984523"/>
    <w:rsid w:val="00993383"/>
    <w:rsid w:val="00996C11"/>
    <w:rsid w:val="00997528"/>
    <w:rsid w:val="009A149E"/>
    <w:rsid w:val="009A5994"/>
    <w:rsid w:val="009A65EF"/>
    <w:rsid w:val="009A6F24"/>
    <w:rsid w:val="009C1E6C"/>
    <w:rsid w:val="009C3F83"/>
    <w:rsid w:val="009D0637"/>
    <w:rsid w:val="009D203A"/>
    <w:rsid w:val="009D376E"/>
    <w:rsid w:val="009D75D0"/>
    <w:rsid w:val="009E7D18"/>
    <w:rsid w:val="009F1057"/>
    <w:rsid w:val="009F2FDF"/>
    <w:rsid w:val="009F3BA5"/>
    <w:rsid w:val="009F692F"/>
    <w:rsid w:val="00A00150"/>
    <w:rsid w:val="00A01DFA"/>
    <w:rsid w:val="00A01EAF"/>
    <w:rsid w:val="00A04B1E"/>
    <w:rsid w:val="00A0604F"/>
    <w:rsid w:val="00A07879"/>
    <w:rsid w:val="00A10FEA"/>
    <w:rsid w:val="00A16196"/>
    <w:rsid w:val="00A24FB4"/>
    <w:rsid w:val="00A31767"/>
    <w:rsid w:val="00A33E3A"/>
    <w:rsid w:val="00A35760"/>
    <w:rsid w:val="00A528EC"/>
    <w:rsid w:val="00A5667C"/>
    <w:rsid w:val="00A61DE9"/>
    <w:rsid w:val="00A675EF"/>
    <w:rsid w:val="00A708E2"/>
    <w:rsid w:val="00A74863"/>
    <w:rsid w:val="00A75198"/>
    <w:rsid w:val="00A835AD"/>
    <w:rsid w:val="00A838D7"/>
    <w:rsid w:val="00A9211A"/>
    <w:rsid w:val="00AA1CA3"/>
    <w:rsid w:val="00AA61F1"/>
    <w:rsid w:val="00AB7D0D"/>
    <w:rsid w:val="00AB7DB5"/>
    <w:rsid w:val="00AC2422"/>
    <w:rsid w:val="00AD010C"/>
    <w:rsid w:val="00AD4615"/>
    <w:rsid w:val="00AD4766"/>
    <w:rsid w:val="00AD721D"/>
    <w:rsid w:val="00AE2093"/>
    <w:rsid w:val="00AE2896"/>
    <w:rsid w:val="00AE41B0"/>
    <w:rsid w:val="00AE466D"/>
    <w:rsid w:val="00AE46A0"/>
    <w:rsid w:val="00AE4DA7"/>
    <w:rsid w:val="00AE5DA9"/>
    <w:rsid w:val="00AE6164"/>
    <w:rsid w:val="00AF4983"/>
    <w:rsid w:val="00AF7995"/>
    <w:rsid w:val="00B00529"/>
    <w:rsid w:val="00B023ED"/>
    <w:rsid w:val="00B03503"/>
    <w:rsid w:val="00B0662B"/>
    <w:rsid w:val="00B13C72"/>
    <w:rsid w:val="00B148FB"/>
    <w:rsid w:val="00B200CE"/>
    <w:rsid w:val="00B22F1C"/>
    <w:rsid w:val="00B264FA"/>
    <w:rsid w:val="00B42220"/>
    <w:rsid w:val="00B42398"/>
    <w:rsid w:val="00B4246E"/>
    <w:rsid w:val="00B45F51"/>
    <w:rsid w:val="00B4621F"/>
    <w:rsid w:val="00B518AC"/>
    <w:rsid w:val="00B545D4"/>
    <w:rsid w:val="00B71A2A"/>
    <w:rsid w:val="00B72988"/>
    <w:rsid w:val="00B72BF4"/>
    <w:rsid w:val="00B74123"/>
    <w:rsid w:val="00B8185B"/>
    <w:rsid w:val="00B8237A"/>
    <w:rsid w:val="00B85F7C"/>
    <w:rsid w:val="00B86DFF"/>
    <w:rsid w:val="00B878B8"/>
    <w:rsid w:val="00B91B53"/>
    <w:rsid w:val="00B935CE"/>
    <w:rsid w:val="00B952A7"/>
    <w:rsid w:val="00BA0B29"/>
    <w:rsid w:val="00BA1A96"/>
    <w:rsid w:val="00BB08FA"/>
    <w:rsid w:val="00BB17B9"/>
    <w:rsid w:val="00BC1C1C"/>
    <w:rsid w:val="00BC3895"/>
    <w:rsid w:val="00BC7923"/>
    <w:rsid w:val="00BC7EEB"/>
    <w:rsid w:val="00BD40A2"/>
    <w:rsid w:val="00BD5389"/>
    <w:rsid w:val="00BE1268"/>
    <w:rsid w:val="00BE12E7"/>
    <w:rsid w:val="00BE59B8"/>
    <w:rsid w:val="00BE62AA"/>
    <w:rsid w:val="00BE7129"/>
    <w:rsid w:val="00C033BD"/>
    <w:rsid w:val="00C14009"/>
    <w:rsid w:val="00C32B4B"/>
    <w:rsid w:val="00C343E3"/>
    <w:rsid w:val="00C372A2"/>
    <w:rsid w:val="00C43BA7"/>
    <w:rsid w:val="00C44442"/>
    <w:rsid w:val="00C4610B"/>
    <w:rsid w:val="00C476F7"/>
    <w:rsid w:val="00C51591"/>
    <w:rsid w:val="00C516CC"/>
    <w:rsid w:val="00C52B5C"/>
    <w:rsid w:val="00C609A2"/>
    <w:rsid w:val="00C64D84"/>
    <w:rsid w:val="00C718D0"/>
    <w:rsid w:val="00C71F06"/>
    <w:rsid w:val="00C7203B"/>
    <w:rsid w:val="00C75310"/>
    <w:rsid w:val="00C80DEA"/>
    <w:rsid w:val="00C85BA0"/>
    <w:rsid w:val="00C91B72"/>
    <w:rsid w:val="00C94D80"/>
    <w:rsid w:val="00C970A2"/>
    <w:rsid w:val="00CA17C8"/>
    <w:rsid w:val="00CA45DA"/>
    <w:rsid w:val="00CA67C5"/>
    <w:rsid w:val="00CB2CD4"/>
    <w:rsid w:val="00CB475C"/>
    <w:rsid w:val="00CB47F3"/>
    <w:rsid w:val="00CB5D09"/>
    <w:rsid w:val="00CB6338"/>
    <w:rsid w:val="00CC3608"/>
    <w:rsid w:val="00CC3F1F"/>
    <w:rsid w:val="00CC5B42"/>
    <w:rsid w:val="00CC796B"/>
    <w:rsid w:val="00CE1B03"/>
    <w:rsid w:val="00CE1EDD"/>
    <w:rsid w:val="00CE3F7D"/>
    <w:rsid w:val="00CE3F93"/>
    <w:rsid w:val="00CE6E88"/>
    <w:rsid w:val="00CF0096"/>
    <w:rsid w:val="00CF4AB2"/>
    <w:rsid w:val="00D040FE"/>
    <w:rsid w:val="00D05AA0"/>
    <w:rsid w:val="00D05E44"/>
    <w:rsid w:val="00D06816"/>
    <w:rsid w:val="00D16E03"/>
    <w:rsid w:val="00D22037"/>
    <w:rsid w:val="00D23B9B"/>
    <w:rsid w:val="00D30E29"/>
    <w:rsid w:val="00D30FA9"/>
    <w:rsid w:val="00D341D3"/>
    <w:rsid w:val="00D37B39"/>
    <w:rsid w:val="00D518F0"/>
    <w:rsid w:val="00D53C37"/>
    <w:rsid w:val="00D56334"/>
    <w:rsid w:val="00D5697E"/>
    <w:rsid w:val="00D57118"/>
    <w:rsid w:val="00D57CEB"/>
    <w:rsid w:val="00D57FE0"/>
    <w:rsid w:val="00D62BFF"/>
    <w:rsid w:val="00D63318"/>
    <w:rsid w:val="00D642DB"/>
    <w:rsid w:val="00D67287"/>
    <w:rsid w:val="00D6735D"/>
    <w:rsid w:val="00D67AC0"/>
    <w:rsid w:val="00D81B24"/>
    <w:rsid w:val="00D84BE9"/>
    <w:rsid w:val="00D94FF0"/>
    <w:rsid w:val="00DA344C"/>
    <w:rsid w:val="00DA55F7"/>
    <w:rsid w:val="00DA7222"/>
    <w:rsid w:val="00DA76DE"/>
    <w:rsid w:val="00DB6118"/>
    <w:rsid w:val="00DC33E3"/>
    <w:rsid w:val="00DC3A63"/>
    <w:rsid w:val="00DC49FF"/>
    <w:rsid w:val="00DD1078"/>
    <w:rsid w:val="00DD2E84"/>
    <w:rsid w:val="00DD4408"/>
    <w:rsid w:val="00DE0BE4"/>
    <w:rsid w:val="00DE188E"/>
    <w:rsid w:val="00DE72EF"/>
    <w:rsid w:val="00DF14EF"/>
    <w:rsid w:val="00DF30A2"/>
    <w:rsid w:val="00DF52C8"/>
    <w:rsid w:val="00DF7F27"/>
    <w:rsid w:val="00E000C2"/>
    <w:rsid w:val="00E03DEE"/>
    <w:rsid w:val="00E040DF"/>
    <w:rsid w:val="00E04D44"/>
    <w:rsid w:val="00E125C8"/>
    <w:rsid w:val="00E12FCA"/>
    <w:rsid w:val="00E14A7D"/>
    <w:rsid w:val="00E2114A"/>
    <w:rsid w:val="00E21244"/>
    <w:rsid w:val="00E23CCC"/>
    <w:rsid w:val="00E24DFA"/>
    <w:rsid w:val="00E256F0"/>
    <w:rsid w:val="00E31F18"/>
    <w:rsid w:val="00E337A6"/>
    <w:rsid w:val="00E357BB"/>
    <w:rsid w:val="00E35993"/>
    <w:rsid w:val="00E43EB5"/>
    <w:rsid w:val="00E467D8"/>
    <w:rsid w:val="00E46DB8"/>
    <w:rsid w:val="00E53DD6"/>
    <w:rsid w:val="00E56151"/>
    <w:rsid w:val="00E56620"/>
    <w:rsid w:val="00E600A6"/>
    <w:rsid w:val="00E62059"/>
    <w:rsid w:val="00E65DC1"/>
    <w:rsid w:val="00E67628"/>
    <w:rsid w:val="00E7129E"/>
    <w:rsid w:val="00E73051"/>
    <w:rsid w:val="00E7352A"/>
    <w:rsid w:val="00E74610"/>
    <w:rsid w:val="00E752F8"/>
    <w:rsid w:val="00E80137"/>
    <w:rsid w:val="00E846E5"/>
    <w:rsid w:val="00E9754A"/>
    <w:rsid w:val="00E97982"/>
    <w:rsid w:val="00EA0E32"/>
    <w:rsid w:val="00EA24CA"/>
    <w:rsid w:val="00EA5423"/>
    <w:rsid w:val="00EB3339"/>
    <w:rsid w:val="00EB4F86"/>
    <w:rsid w:val="00EC2B43"/>
    <w:rsid w:val="00EC34E6"/>
    <w:rsid w:val="00EC4C02"/>
    <w:rsid w:val="00EC781D"/>
    <w:rsid w:val="00ED028A"/>
    <w:rsid w:val="00ED3839"/>
    <w:rsid w:val="00ED6410"/>
    <w:rsid w:val="00ED719D"/>
    <w:rsid w:val="00EE08E4"/>
    <w:rsid w:val="00EE08EE"/>
    <w:rsid w:val="00EE5588"/>
    <w:rsid w:val="00EE6C57"/>
    <w:rsid w:val="00EF2EA4"/>
    <w:rsid w:val="00EF3138"/>
    <w:rsid w:val="00F035C1"/>
    <w:rsid w:val="00F05D02"/>
    <w:rsid w:val="00F0737D"/>
    <w:rsid w:val="00F13497"/>
    <w:rsid w:val="00F1499F"/>
    <w:rsid w:val="00F17D19"/>
    <w:rsid w:val="00F22CB3"/>
    <w:rsid w:val="00F22CB7"/>
    <w:rsid w:val="00F24A6A"/>
    <w:rsid w:val="00F30D45"/>
    <w:rsid w:val="00F344DB"/>
    <w:rsid w:val="00F34528"/>
    <w:rsid w:val="00F4579C"/>
    <w:rsid w:val="00F4609F"/>
    <w:rsid w:val="00F52FC0"/>
    <w:rsid w:val="00F570B8"/>
    <w:rsid w:val="00F57CC2"/>
    <w:rsid w:val="00F64746"/>
    <w:rsid w:val="00F65BD5"/>
    <w:rsid w:val="00F7582D"/>
    <w:rsid w:val="00F77008"/>
    <w:rsid w:val="00F80BCA"/>
    <w:rsid w:val="00F84FB8"/>
    <w:rsid w:val="00F85E57"/>
    <w:rsid w:val="00F866D3"/>
    <w:rsid w:val="00F92120"/>
    <w:rsid w:val="00F94450"/>
    <w:rsid w:val="00F95A05"/>
    <w:rsid w:val="00FA0B5A"/>
    <w:rsid w:val="00FA22A4"/>
    <w:rsid w:val="00FA3693"/>
    <w:rsid w:val="00FB2B15"/>
    <w:rsid w:val="00FB387E"/>
    <w:rsid w:val="00FB5795"/>
    <w:rsid w:val="00FC0177"/>
    <w:rsid w:val="00FC0900"/>
    <w:rsid w:val="00FC10FC"/>
    <w:rsid w:val="00FC5B8C"/>
    <w:rsid w:val="00FD3981"/>
    <w:rsid w:val="00FD5EA7"/>
    <w:rsid w:val="00FD67F9"/>
    <w:rsid w:val="00FD68FA"/>
    <w:rsid w:val="00FE5A82"/>
    <w:rsid w:val="00FE6653"/>
    <w:rsid w:val="00FE6E5D"/>
    <w:rsid w:val="00FF1A57"/>
    <w:rsid w:val="00FF23BC"/>
    <w:rsid w:val="00FF31CB"/>
    <w:rsid w:val="00FF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A7"/>
    <w:pPr>
      <w:spacing w:before="60" w:after="60"/>
    </w:pPr>
    <w:rPr>
      <w:sz w:val="22"/>
      <w:szCs w:val="22"/>
      <w:lang w:val="en-AU" w:eastAsia="en-AU"/>
    </w:rPr>
  </w:style>
  <w:style w:type="paragraph" w:styleId="Heading1">
    <w:name w:val="heading 1"/>
    <w:basedOn w:val="Normal"/>
    <w:next w:val="Normal"/>
    <w:link w:val="Heading1Char"/>
    <w:uiPriority w:val="9"/>
    <w:qFormat/>
    <w:rsid w:val="001A1533"/>
    <w:pPr>
      <w:widowControl w:val="0"/>
      <w:autoSpaceDE w:val="0"/>
      <w:autoSpaceDN w:val="0"/>
      <w:adjustRightInd w:val="0"/>
      <w:spacing w:before="34" w:after="0" w:line="480" w:lineRule="auto"/>
      <w:ind w:right="624"/>
      <w:outlineLvl w:val="0"/>
    </w:pPr>
    <w:rPr>
      <w:rFonts w:cs="Calibri"/>
      <w:b/>
      <w:bCs/>
      <w:spacing w:val="-1"/>
      <w:sz w:val="28"/>
      <w:szCs w:val="28"/>
    </w:rPr>
  </w:style>
  <w:style w:type="paragraph" w:styleId="Heading2">
    <w:name w:val="heading 2"/>
    <w:basedOn w:val="Heading1"/>
    <w:next w:val="Normal"/>
    <w:link w:val="Heading2Char"/>
    <w:uiPriority w:val="9"/>
    <w:unhideWhenUsed/>
    <w:qFormat/>
    <w:rsid w:val="00604FD7"/>
    <w:pPr>
      <w:spacing w:before="240" w:after="60" w:line="240" w:lineRule="auto"/>
      <w:outlineLvl w:val="1"/>
    </w:pPr>
    <w:rPr>
      <w:bCs w:val="0"/>
      <w:sz w:val="22"/>
    </w:rPr>
  </w:style>
  <w:style w:type="paragraph" w:styleId="Heading3">
    <w:name w:val="heading 3"/>
    <w:basedOn w:val="Heading2"/>
    <w:next w:val="Normal"/>
    <w:link w:val="Heading3Char"/>
    <w:uiPriority w:val="9"/>
    <w:unhideWhenUsed/>
    <w:qFormat/>
    <w:rsid w:val="001A1533"/>
    <w:pPr>
      <w:outlineLvl w:val="2"/>
    </w:pPr>
    <w:rPr>
      <w:bCs/>
    </w:rPr>
  </w:style>
  <w:style w:type="paragraph" w:styleId="Heading4">
    <w:name w:val="heading 4"/>
    <w:basedOn w:val="Heading3"/>
    <w:next w:val="Normal"/>
    <w:link w:val="Heading4Char"/>
    <w:uiPriority w:val="9"/>
    <w:unhideWhenUsed/>
    <w:qFormat/>
    <w:rsid w:val="001A1533"/>
    <w:pPr>
      <w:jc w:val="both"/>
      <w:outlineLvl w:val="3"/>
    </w:pPr>
    <w:rPr>
      <w:bCs w:val="0"/>
      <w:i/>
    </w:rPr>
  </w:style>
  <w:style w:type="paragraph" w:styleId="Heading5">
    <w:name w:val="heading 5"/>
    <w:basedOn w:val="Normal"/>
    <w:next w:val="Normal"/>
    <w:link w:val="Heading5Char"/>
    <w:uiPriority w:val="9"/>
    <w:unhideWhenUsed/>
    <w:qFormat/>
    <w:rsid w:val="0013391A"/>
    <w:pPr>
      <w:outlineLvl w:val="4"/>
    </w:pPr>
    <w:rPr>
      <w:u w:val="single"/>
    </w:rPr>
  </w:style>
  <w:style w:type="paragraph" w:styleId="Heading8">
    <w:name w:val="heading 8"/>
    <w:basedOn w:val="Normal"/>
    <w:next w:val="Normal"/>
    <w:link w:val="Heading8Char"/>
    <w:uiPriority w:val="99"/>
    <w:qFormat/>
    <w:rsid w:val="00DB6118"/>
    <w:pPr>
      <w:keepNext/>
      <w:tabs>
        <w:tab w:val="left" w:pos="567"/>
      </w:tabs>
      <w:spacing w:after="0" w:line="260" w:lineRule="exact"/>
      <w:ind w:left="567" w:hanging="567"/>
      <w:jc w:val="both"/>
      <w:outlineLvl w:val="7"/>
    </w:pPr>
    <w:rPr>
      <w:rFonts w:ascii="Times New Roman" w:eastAsia="SimSun" w:hAnsi="Times New Roman"/>
      <w:b/>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BB5"/>
    <w:pPr>
      <w:tabs>
        <w:tab w:val="center" w:pos="4513"/>
        <w:tab w:val="right" w:pos="9026"/>
      </w:tabs>
    </w:pPr>
  </w:style>
  <w:style w:type="character" w:customStyle="1" w:styleId="HeaderChar">
    <w:name w:val="Header Char"/>
    <w:basedOn w:val="DefaultParagraphFont"/>
    <w:link w:val="Header"/>
    <w:uiPriority w:val="99"/>
    <w:rsid w:val="000C5BB5"/>
    <w:rPr>
      <w:sz w:val="22"/>
      <w:szCs w:val="22"/>
    </w:rPr>
  </w:style>
  <w:style w:type="paragraph" w:styleId="Footer">
    <w:name w:val="footer"/>
    <w:basedOn w:val="Normal"/>
    <w:link w:val="FooterChar"/>
    <w:uiPriority w:val="99"/>
    <w:unhideWhenUsed/>
    <w:rsid w:val="000C5BB5"/>
    <w:pPr>
      <w:tabs>
        <w:tab w:val="center" w:pos="4513"/>
        <w:tab w:val="right" w:pos="9026"/>
      </w:tabs>
    </w:pPr>
  </w:style>
  <w:style w:type="character" w:customStyle="1" w:styleId="FooterChar">
    <w:name w:val="Footer Char"/>
    <w:basedOn w:val="DefaultParagraphFont"/>
    <w:link w:val="Footer"/>
    <w:uiPriority w:val="99"/>
    <w:rsid w:val="000C5BB5"/>
    <w:rPr>
      <w:sz w:val="22"/>
      <w:szCs w:val="22"/>
    </w:rPr>
  </w:style>
  <w:style w:type="paragraph" w:styleId="BalloonText">
    <w:name w:val="Balloon Text"/>
    <w:basedOn w:val="Normal"/>
    <w:link w:val="BalloonTextChar"/>
    <w:uiPriority w:val="99"/>
    <w:semiHidden/>
    <w:unhideWhenUsed/>
    <w:rsid w:val="00996C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11"/>
    <w:rPr>
      <w:rFonts w:ascii="Tahoma" w:hAnsi="Tahoma" w:cs="Tahoma"/>
      <w:sz w:val="16"/>
      <w:szCs w:val="16"/>
    </w:rPr>
  </w:style>
  <w:style w:type="character" w:styleId="CommentReference">
    <w:name w:val="annotation reference"/>
    <w:basedOn w:val="DefaultParagraphFont"/>
    <w:uiPriority w:val="99"/>
    <w:unhideWhenUsed/>
    <w:rsid w:val="00632321"/>
    <w:rPr>
      <w:sz w:val="16"/>
      <w:szCs w:val="16"/>
    </w:rPr>
  </w:style>
  <w:style w:type="paragraph" w:styleId="CommentText">
    <w:name w:val="annotation text"/>
    <w:basedOn w:val="Normal"/>
    <w:link w:val="CommentTextChar"/>
    <w:uiPriority w:val="99"/>
    <w:unhideWhenUsed/>
    <w:rsid w:val="00632321"/>
    <w:rPr>
      <w:sz w:val="20"/>
      <w:szCs w:val="20"/>
    </w:rPr>
  </w:style>
  <w:style w:type="character" w:customStyle="1" w:styleId="CommentTextChar">
    <w:name w:val="Comment Text Char"/>
    <w:basedOn w:val="DefaultParagraphFont"/>
    <w:link w:val="CommentText"/>
    <w:uiPriority w:val="99"/>
    <w:rsid w:val="00632321"/>
  </w:style>
  <w:style w:type="paragraph" w:styleId="CommentSubject">
    <w:name w:val="annotation subject"/>
    <w:basedOn w:val="CommentText"/>
    <w:next w:val="CommentText"/>
    <w:link w:val="CommentSubjectChar"/>
    <w:uiPriority w:val="99"/>
    <w:semiHidden/>
    <w:unhideWhenUsed/>
    <w:rsid w:val="00632321"/>
    <w:rPr>
      <w:b/>
      <w:bCs/>
    </w:rPr>
  </w:style>
  <w:style w:type="character" w:customStyle="1" w:styleId="CommentSubjectChar">
    <w:name w:val="Comment Subject Char"/>
    <w:basedOn w:val="CommentTextChar"/>
    <w:link w:val="CommentSubject"/>
    <w:uiPriority w:val="99"/>
    <w:semiHidden/>
    <w:rsid w:val="00632321"/>
    <w:rPr>
      <w:b/>
      <w:bCs/>
    </w:rPr>
  </w:style>
  <w:style w:type="paragraph" w:customStyle="1" w:styleId="PIHeading1">
    <w:name w:val="PI Heading 1"/>
    <w:basedOn w:val="Normal"/>
    <w:link w:val="PIHeading1Char"/>
    <w:qFormat/>
    <w:rsid w:val="00A01DFA"/>
    <w:pPr>
      <w:widowControl w:val="0"/>
      <w:suppressLineNumbers/>
      <w:tabs>
        <w:tab w:val="left" w:pos="567"/>
      </w:tabs>
      <w:spacing w:after="0" w:line="260" w:lineRule="exact"/>
    </w:pPr>
    <w:rPr>
      <w:rFonts w:ascii="Times New Roman" w:hAnsi="Times New Roman"/>
      <w:b/>
      <w:caps/>
      <w:noProof/>
      <w:lang w:val="en-GB" w:eastAsia="en-US"/>
    </w:rPr>
  </w:style>
  <w:style w:type="character" w:customStyle="1" w:styleId="PIHeading1Char">
    <w:name w:val="PI Heading 1 Char"/>
    <w:basedOn w:val="DefaultParagraphFont"/>
    <w:link w:val="PIHeading1"/>
    <w:rsid w:val="00A01DFA"/>
    <w:rPr>
      <w:rFonts w:ascii="Times New Roman" w:hAnsi="Times New Roman"/>
      <w:b/>
      <w:caps/>
      <w:noProof/>
      <w:sz w:val="22"/>
      <w:szCs w:val="22"/>
      <w:lang w:val="en-GB" w:eastAsia="en-US"/>
    </w:rPr>
  </w:style>
  <w:style w:type="paragraph" w:customStyle="1" w:styleId="DocText">
    <w:name w:val="Doc Text"/>
    <w:basedOn w:val="Normal"/>
    <w:uiPriority w:val="99"/>
    <w:rsid w:val="00A01DFA"/>
    <w:pPr>
      <w:spacing w:after="240" w:line="288" w:lineRule="auto"/>
    </w:pPr>
    <w:rPr>
      <w:rFonts w:ascii="Times New Roman" w:eastAsia="Batang" w:hAnsi="Times New Roman"/>
      <w:sz w:val="24"/>
      <w:szCs w:val="24"/>
      <w:lang w:val="en-US" w:eastAsia="en-US"/>
    </w:rPr>
  </w:style>
  <w:style w:type="character" w:customStyle="1" w:styleId="hps">
    <w:name w:val="hps"/>
    <w:basedOn w:val="DefaultParagraphFont"/>
    <w:uiPriority w:val="99"/>
    <w:rsid w:val="003767BD"/>
    <w:rPr>
      <w:rFonts w:cs="Times New Roman"/>
    </w:rPr>
  </w:style>
  <w:style w:type="character" w:customStyle="1" w:styleId="Heading8Char">
    <w:name w:val="Heading 8 Char"/>
    <w:basedOn w:val="DefaultParagraphFont"/>
    <w:link w:val="Heading8"/>
    <w:uiPriority w:val="99"/>
    <w:rsid w:val="00DB6118"/>
    <w:rPr>
      <w:rFonts w:ascii="Times New Roman" w:eastAsia="SimSun" w:hAnsi="Times New Roman"/>
      <w:b/>
      <w:i/>
      <w:sz w:val="22"/>
      <w:lang w:val="en-GB"/>
    </w:rPr>
  </w:style>
  <w:style w:type="paragraph" w:styleId="BodyText2">
    <w:name w:val="Body Text 2"/>
    <w:basedOn w:val="Normal"/>
    <w:link w:val="BodyText2Char"/>
    <w:uiPriority w:val="99"/>
    <w:rsid w:val="001E3D90"/>
    <w:pPr>
      <w:tabs>
        <w:tab w:val="left" w:pos="567"/>
      </w:tabs>
      <w:spacing w:after="120" w:line="480" w:lineRule="auto"/>
    </w:pPr>
    <w:rPr>
      <w:rFonts w:ascii="Times New Roman" w:eastAsia="SimSun" w:hAnsi="Times New Roman"/>
      <w:szCs w:val="20"/>
      <w:lang w:val="en-GB" w:eastAsia="en-US"/>
    </w:rPr>
  </w:style>
  <w:style w:type="character" w:customStyle="1" w:styleId="BodyText2Char">
    <w:name w:val="Body Text 2 Char"/>
    <w:basedOn w:val="DefaultParagraphFont"/>
    <w:link w:val="BodyText2"/>
    <w:uiPriority w:val="99"/>
    <w:rsid w:val="001E3D90"/>
    <w:rPr>
      <w:rFonts w:ascii="Times New Roman" w:eastAsia="SimSun" w:hAnsi="Times New Roman"/>
      <w:sz w:val="22"/>
      <w:lang w:val="en-GB"/>
    </w:rPr>
  </w:style>
  <w:style w:type="paragraph" w:styleId="NormalWeb">
    <w:name w:val="Normal (Web)"/>
    <w:basedOn w:val="Normal"/>
    <w:uiPriority w:val="99"/>
    <w:unhideWhenUsed/>
    <w:rsid w:val="001E3D90"/>
    <w:pPr>
      <w:spacing w:before="100" w:beforeAutospacing="1" w:after="100" w:afterAutospacing="1"/>
    </w:pPr>
    <w:rPr>
      <w:rFonts w:ascii="Times New Roman" w:hAnsi="Times New Roman"/>
      <w:sz w:val="24"/>
      <w:szCs w:val="24"/>
    </w:rPr>
  </w:style>
  <w:style w:type="paragraph" w:customStyle="1" w:styleId="Default">
    <w:name w:val="Default"/>
    <w:rsid w:val="001C595D"/>
    <w:pPr>
      <w:autoSpaceDE w:val="0"/>
      <w:autoSpaceDN w:val="0"/>
      <w:adjustRightInd w:val="0"/>
    </w:pPr>
    <w:rPr>
      <w:rFonts w:ascii="Times New Roman" w:eastAsia="PMingLiU" w:hAnsi="Times New Roman"/>
      <w:color w:val="000000"/>
      <w:sz w:val="24"/>
      <w:szCs w:val="24"/>
      <w:lang w:val="fr-FR" w:eastAsia="zh-TW"/>
    </w:rPr>
  </w:style>
  <w:style w:type="paragraph" w:customStyle="1" w:styleId="AmmCorpsTexte">
    <w:name w:val="AmmCorpsTexte"/>
    <w:basedOn w:val="Normal"/>
    <w:rsid w:val="00B4246E"/>
    <w:pPr>
      <w:spacing w:after="120"/>
      <w:jc w:val="both"/>
    </w:pPr>
    <w:rPr>
      <w:rFonts w:ascii="Arial" w:eastAsia="SimSun" w:hAnsi="Arial"/>
      <w:sz w:val="20"/>
      <w:szCs w:val="20"/>
      <w:lang w:val="fr-FR" w:eastAsia="fr-FR"/>
    </w:rPr>
  </w:style>
  <w:style w:type="paragraph" w:styleId="Revision">
    <w:name w:val="Revision"/>
    <w:hidden/>
    <w:uiPriority w:val="99"/>
    <w:semiHidden/>
    <w:rsid w:val="006B1D52"/>
    <w:rPr>
      <w:sz w:val="22"/>
      <w:szCs w:val="22"/>
      <w:lang w:val="en-AU" w:eastAsia="en-AU"/>
    </w:rPr>
  </w:style>
  <w:style w:type="paragraph" w:styleId="ListParagraph">
    <w:name w:val="List Paragraph"/>
    <w:basedOn w:val="Normal"/>
    <w:uiPriority w:val="34"/>
    <w:qFormat/>
    <w:rsid w:val="000E19BE"/>
    <w:pPr>
      <w:ind w:left="720"/>
      <w:contextualSpacing/>
    </w:pPr>
  </w:style>
  <w:style w:type="character" w:customStyle="1" w:styleId="Heading4Char">
    <w:name w:val="Heading 4 Char"/>
    <w:basedOn w:val="DefaultParagraphFont"/>
    <w:link w:val="Heading4"/>
    <w:uiPriority w:val="9"/>
    <w:rsid w:val="001A1533"/>
    <w:rPr>
      <w:rFonts w:cs="Calibri"/>
      <w:b/>
      <w:i/>
      <w:spacing w:val="-1"/>
      <w:sz w:val="22"/>
      <w:szCs w:val="28"/>
      <w:lang w:val="en-AU" w:eastAsia="en-AU"/>
    </w:rPr>
  </w:style>
  <w:style w:type="character" w:customStyle="1" w:styleId="apple-converted-space">
    <w:name w:val="apple-converted-space"/>
    <w:basedOn w:val="DefaultParagraphFont"/>
    <w:rsid w:val="008D20EE"/>
  </w:style>
  <w:style w:type="character" w:customStyle="1" w:styleId="Heading1Char">
    <w:name w:val="Heading 1 Char"/>
    <w:basedOn w:val="DefaultParagraphFont"/>
    <w:link w:val="Heading1"/>
    <w:uiPriority w:val="9"/>
    <w:rsid w:val="001A1533"/>
    <w:rPr>
      <w:rFonts w:cs="Calibri"/>
      <w:b/>
      <w:bCs/>
      <w:spacing w:val="-1"/>
      <w:sz w:val="28"/>
      <w:szCs w:val="28"/>
      <w:lang w:val="en-AU" w:eastAsia="en-AU"/>
    </w:rPr>
  </w:style>
  <w:style w:type="character" w:customStyle="1" w:styleId="Heading2Char">
    <w:name w:val="Heading 2 Char"/>
    <w:basedOn w:val="DefaultParagraphFont"/>
    <w:link w:val="Heading2"/>
    <w:uiPriority w:val="9"/>
    <w:rsid w:val="00604FD7"/>
    <w:rPr>
      <w:rFonts w:cs="Calibri"/>
      <w:b/>
      <w:spacing w:val="-1"/>
      <w:sz w:val="22"/>
      <w:szCs w:val="28"/>
      <w:lang w:val="en-AU" w:eastAsia="en-AU"/>
    </w:rPr>
  </w:style>
  <w:style w:type="character" w:customStyle="1" w:styleId="Heading3Char">
    <w:name w:val="Heading 3 Char"/>
    <w:basedOn w:val="DefaultParagraphFont"/>
    <w:link w:val="Heading3"/>
    <w:uiPriority w:val="9"/>
    <w:rsid w:val="001A1533"/>
    <w:rPr>
      <w:rFonts w:cs="Calibri"/>
      <w:b/>
      <w:bCs/>
      <w:spacing w:val="-1"/>
      <w:sz w:val="22"/>
      <w:szCs w:val="28"/>
      <w:lang w:val="en-AU" w:eastAsia="en-AU"/>
    </w:rPr>
  </w:style>
  <w:style w:type="character" w:customStyle="1" w:styleId="Heading5Char">
    <w:name w:val="Heading 5 Char"/>
    <w:basedOn w:val="DefaultParagraphFont"/>
    <w:link w:val="Heading5"/>
    <w:uiPriority w:val="9"/>
    <w:rsid w:val="0013391A"/>
    <w:rPr>
      <w:sz w:val="22"/>
      <w:szCs w:val="22"/>
      <w:u w:val="single"/>
      <w:lang w:val="en-AU" w:eastAsia="en-AU"/>
    </w:rPr>
  </w:style>
  <w:style w:type="character" w:styleId="Strong">
    <w:name w:val="Strong"/>
    <w:basedOn w:val="DefaultParagraphFont"/>
    <w:uiPriority w:val="22"/>
    <w:qFormat/>
    <w:rsid w:val="00CC3F1F"/>
    <w:rPr>
      <w:b/>
      <w:bCs/>
    </w:rPr>
  </w:style>
  <w:style w:type="table" w:styleId="TableGrid">
    <w:name w:val="Table Grid"/>
    <w:basedOn w:val="TableNormal"/>
    <w:uiPriority w:val="59"/>
    <w:rsid w:val="00F4579C"/>
    <w:rPr>
      <w:rFonts w:asciiTheme="minorHAnsi" w:eastAsia="Cambria" w:hAnsiTheme="minorHAnsi" w:cstheme="minorBidi"/>
      <w:sz w:val="22"/>
      <w:szCs w:val="22"/>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A7"/>
    <w:pPr>
      <w:spacing w:before="60" w:after="60"/>
    </w:pPr>
    <w:rPr>
      <w:sz w:val="22"/>
      <w:szCs w:val="22"/>
      <w:lang w:val="en-AU" w:eastAsia="en-AU"/>
    </w:rPr>
  </w:style>
  <w:style w:type="paragraph" w:styleId="Heading1">
    <w:name w:val="heading 1"/>
    <w:basedOn w:val="Normal"/>
    <w:next w:val="Normal"/>
    <w:link w:val="Heading1Char"/>
    <w:uiPriority w:val="9"/>
    <w:qFormat/>
    <w:rsid w:val="001A1533"/>
    <w:pPr>
      <w:widowControl w:val="0"/>
      <w:autoSpaceDE w:val="0"/>
      <w:autoSpaceDN w:val="0"/>
      <w:adjustRightInd w:val="0"/>
      <w:spacing w:before="34" w:after="0" w:line="480" w:lineRule="auto"/>
      <w:ind w:right="624"/>
      <w:outlineLvl w:val="0"/>
    </w:pPr>
    <w:rPr>
      <w:rFonts w:cs="Calibri"/>
      <w:b/>
      <w:bCs/>
      <w:spacing w:val="-1"/>
      <w:sz w:val="28"/>
      <w:szCs w:val="28"/>
    </w:rPr>
  </w:style>
  <w:style w:type="paragraph" w:styleId="Heading2">
    <w:name w:val="heading 2"/>
    <w:basedOn w:val="Heading1"/>
    <w:next w:val="Normal"/>
    <w:link w:val="Heading2Char"/>
    <w:uiPriority w:val="9"/>
    <w:unhideWhenUsed/>
    <w:qFormat/>
    <w:rsid w:val="00604FD7"/>
    <w:pPr>
      <w:spacing w:before="240" w:after="60" w:line="240" w:lineRule="auto"/>
      <w:outlineLvl w:val="1"/>
    </w:pPr>
    <w:rPr>
      <w:bCs w:val="0"/>
      <w:sz w:val="22"/>
    </w:rPr>
  </w:style>
  <w:style w:type="paragraph" w:styleId="Heading3">
    <w:name w:val="heading 3"/>
    <w:basedOn w:val="Heading2"/>
    <w:next w:val="Normal"/>
    <w:link w:val="Heading3Char"/>
    <w:uiPriority w:val="9"/>
    <w:unhideWhenUsed/>
    <w:qFormat/>
    <w:rsid w:val="001A1533"/>
    <w:pPr>
      <w:outlineLvl w:val="2"/>
    </w:pPr>
    <w:rPr>
      <w:bCs/>
    </w:rPr>
  </w:style>
  <w:style w:type="paragraph" w:styleId="Heading4">
    <w:name w:val="heading 4"/>
    <w:basedOn w:val="Heading3"/>
    <w:next w:val="Normal"/>
    <w:link w:val="Heading4Char"/>
    <w:uiPriority w:val="9"/>
    <w:unhideWhenUsed/>
    <w:qFormat/>
    <w:rsid w:val="001A1533"/>
    <w:pPr>
      <w:jc w:val="both"/>
      <w:outlineLvl w:val="3"/>
    </w:pPr>
    <w:rPr>
      <w:bCs w:val="0"/>
      <w:i/>
    </w:rPr>
  </w:style>
  <w:style w:type="paragraph" w:styleId="Heading5">
    <w:name w:val="heading 5"/>
    <w:basedOn w:val="Normal"/>
    <w:next w:val="Normal"/>
    <w:link w:val="Heading5Char"/>
    <w:uiPriority w:val="9"/>
    <w:unhideWhenUsed/>
    <w:qFormat/>
    <w:rsid w:val="0013391A"/>
    <w:pPr>
      <w:outlineLvl w:val="4"/>
    </w:pPr>
    <w:rPr>
      <w:u w:val="single"/>
    </w:rPr>
  </w:style>
  <w:style w:type="paragraph" w:styleId="Heading8">
    <w:name w:val="heading 8"/>
    <w:basedOn w:val="Normal"/>
    <w:next w:val="Normal"/>
    <w:link w:val="Heading8Char"/>
    <w:uiPriority w:val="99"/>
    <w:qFormat/>
    <w:rsid w:val="00DB6118"/>
    <w:pPr>
      <w:keepNext/>
      <w:tabs>
        <w:tab w:val="left" w:pos="567"/>
      </w:tabs>
      <w:spacing w:after="0" w:line="260" w:lineRule="exact"/>
      <w:ind w:left="567" w:hanging="567"/>
      <w:jc w:val="both"/>
      <w:outlineLvl w:val="7"/>
    </w:pPr>
    <w:rPr>
      <w:rFonts w:ascii="Times New Roman" w:eastAsia="SimSun" w:hAnsi="Times New Roman"/>
      <w:b/>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BB5"/>
    <w:pPr>
      <w:tabs>
        <w:tab w:val="center" w:pos="4513"/>
        <w:tab w:val="right" w:pos="9026"/>
      </w:tabs>
    </w:pPr>
  </w:style>
  <w:style w:type="character" w:customStyle="1" w:styleId="HeaderChar">
    <w:name w:val="Header Char"/>
    <w:basedOn w:val="DefaultParagraphFont"/>
    <w:link w:val="Header"/>
    <w:uiPriority w:val="99"/>
    <w:rsid w:val="000C5BB5"/>
    <w:rPr>
      <w:sz w:val="22"/>
      <w:szCs w:val="22"/>
    </w:rPr>
  </w:style>
  <w:style w:type="paragraph" w:styleId="Footer">
    <w:name w:val="footer"/>
    <w:basedOn w:val="Normal"/>
    <w:link w:val="FooterChar"/>
    <w:uiPriority w:val="99"/>
    <w:unhideWhenUsed/>
    <w:rsid w:val="000C5BB5"/>
    <w:pPr>
      <w:tabs>
        <w:tab w:val="center" w:pos="4513"/>
        <w:tab w:val="right" w:pos="9026"/>
      </w:tabs>
    </w:pPr>
  </w:style>
  <w:style w:type="character" w:customStyle="1" w:styleId="FooterChar">
    <w:name w:val="Footer Char"/>
    <w:basedOn w:val="DefaultParagraphFont"/>
    <w:link w:val="Footer"/>
    <w:uiPriority w:val="99"/>
    <w:rsid w:val="000C5BB5"/>
    <w:rPr>
      <w:sz w:val="22"/>
      <w:szCs w:val="22"/>
    </w:rPr>
  </w:style>
  <w:style w:type="paragraph" w:styleId="BalloonText">
    <w:name w:val="Balloon Text"/>
    <w:basedOn w:val="Normal"/>
    <w:link w:val="BalloonTextChar"/>
    <w:uiPriority w:val="99"/>
    <w:semiHidden/>
    <w:unhideWhenUsed/>
    <w:rsid w:val="00996C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11"/>
    <w:rPr>
      <w:rFonts w:ascii="Tahoma" w:hAnsi="Tahoma" w:cs="Tahoma"/>
      <w:sz w:val="16"/>
      <w:szCs w:val="16"/>
    </w:rPr>
  </w:style>
  <w:style w:type="character" w:styleId="CommentReference">
    <w:name w:val="annotation reference"/>
    <w:basedOn w:val="DefaultParagraphFont"/>
    <w:uiPriority w:val="99"/>
    <w:unhideWhenUsed/>
    <w:rsid w:val="00632321"/>
    <w:rPr>
      <w:sz w:val="16"/>
      <w:szCs w:val="16"/>
    </w:rPr>
  </w:style>
  <w:style w:type="paragraph" w:styleId="CommentText">
    <w:name w:val="annotation text"/>
    <w:basedOn w:val="Normal"/>
    <w:link w:val="CommentTextChar"/>
    <w:uiPriority w:val="99"/>
    <w:unhideWhenUsed/>
    <w:rsid w:val="00632321"/>
    <w:rPr>
      <w:sz w:val="20"/>
      <w:szCs w:val="20"/>
    </w:rPr>
  </w:style>
  <w:style w:type="character" w:customStyle="1" w:styleId="CommentTextChar">
    <w:name w:val="Comment Text Char"/>
    <w:basedOn w:val="DefaultParagraphFont"/>
    <w:link w:val="CommentText"/>
    <w:uiPriority w:val="99"/>
    <w:rsid w:val="00632321"/>
  </w:style>
  <w:style w:type="paragraph" w:styleId="CommentSubject">
    <w:name w:val="annotation subject"/>
    <w:basedOn w:val="CommentText"/>
    <w:next w:val="CommentText"/>
    <w:link w:val="CommentSubjectChar"/>
    <w:uiPriority w:val="99"/>
    <w:semiHidden/>
    <w:unhideWhenUsed/>
    <w:rsid w:val="00632321"/>
    <w:rPr>
      <w:b/>
      <w:bCs/>
    </w:rPr>
  </w:style>
  <w:style w:type="character" w:customStyle="1" w:styleId="CommentSubjectChar">
    <w:name w:val="Comment Subject Char"/>
    <w:basedOn w:val="CommentTextChar"/>
    <w:link w:val="CommentSubject"/>
    <w:uiPriority w:val="99"/>
    <w:semiHidden/>
    <w:rsid w:val="00632321"/>
    <w:rPr>
      <w:b/>
      <w:bCs/>
    </w:rPr>
  </w:style>
  <w:style w:type="paragraph" w:customStyle="1" w:styleId="PIHeading1">
    <w:name w:val="PI Heading 1"/>
    <w:basedOn w:val="Normal"/>
    <w:link w:val="PIHeading1Char"/>
    <w:qFormat/>
    <w:rsid w:val="00A01DFA"/>
    <w:pPr>
      <w:widowControl w:val="0"/>
      <w:suppressLineNumbers/>
      <w:tabs>
        <w:tab w:val="left" w:pos="567"/>
      </w:tabs>
      <w:spacing w:after="0" w:line="260" w:lineRule="exact"/>
    </w:pPr>
    <w:rPr>
      <w:rFonts w:ascii="Times New Roman" w:hAnsi="Times New Roman"/>
      <w:b/>
      <w:caps/>
      <w:noProof/>
      <w:lang w:val="en-GB" w:eastAsia="en-US"/>
    </w:rPr>
  </w:style>
  <w:style w:type="character" w:customStyle="1" w:styleId="PIHeading1Char">
    <w:name w:val="PI Heading 1 Char"/>
    <w:basedOn w:val="DefaultParagraphFont"/>
    <w:link w:val="PIHeading1"/>
    <w:rsid w:val="00A01DFA"/>
    <w:rPr>
      <w:rFonts w:ascii="Times New Roman" w:hAnsi="Times New Roman"/>
      <w:b/>
      <w:caps/>
      <w:noProof/>
      <w:sz w:val="22"/>
      <w:szCs w:val="22"/>
      <w:lang w:val="en-GB" w:eastAsia="en-US"/>
    </w:rPr>
  </w:style>
  <w:style w:type="paragraph" w:customStyle="1" w:styleId="DocText">
    <w:name w:val="Doc Text"/>
    <w:basedOn w:val="Normal"/>
    <w:uiPriority w:val="99"/>
    <w:rsid w:val="00A01DFA"/>
    <w:pPr>
      <w:spacing w:after="240" w:line="288" w:lineRule="auto"/>
    </w:pPr>
    <w:rPr>
      <w:rFonts w:ascii="Times New Roman" w:eastAsia="Batang" w:hAnsi="Times New Roman"/>
      <w:sz w:val="24"/>
      <w:szCs w:val="24"/>
      <w:lang w:val="en-US" w:eastAsia="en-US"/>
    </w:rPr>
  </w:style>
  <w:style w:type="character" w:customStyle="1" w:styleId="hps">
    <w:name w:val="hps"/>
    <w:basedOn w:val="DefaultParagraphFont"/>
    <w:uiPriority w:val="99"/>
    <w:rsid w:val="003767BD"/>
    <w:rPr>
      <w:rFonts w:cs="Times New Roman"/>
    </w:rPr>
  </w:style>
  <w:style w:type="character" w:customStyle="1" w:styleId="Heading8Char">
    <w:name w:val="Heading 8 Char"/>
    <w:basedOn w:val="DefaultParagraphFont"/>
    <w:link w:val="Heading8"/>
    <w:uiPriority w:val="99"/>
    <w:rsid w:val="00DB6118"/>
    <w:rPr>
      <w:rFonts w:ascii="Times New Roman" w:eastAsia="SimSun" w:hAnsi="Times New Roman"/>
      <w:b/>
      <w:i/>
      <w:sz w:val="22"/>
      <w:lang w:val="en-GB"/>
    </w:rPr>
  </w:style>
  <w:style w:type="paragraph" w:styleId="BodyText2">
    <w:name w:val="Body Text 2"/>
    <w:basedOn w:val="Normal"/>
    <w:link w:val="BodyText2Char"/>
    <w:uiPriority w:val="99"/>
    <w:rsid w:val="001E3D90"/>
    <w:pPr>
      <w:tabs>
        <w:tab w:val="left" w:pos="567"/>
      </w:tabs>
      <w:spacing w:after="120" w:line="480" w:lineRule="auto"/>
    </w:pPr>
    <w:rPr>
      <w:rFonts w:ascii="Times New Roman" w:eastAsia="SimSun" w:hAnsi="Times New Roman"/>
      <w:szCs w:val="20"/>
      <w:lang w:val="en-GB" w:eastAsia="en-US"/>
    </w:rPr>
  </w:style>
  <w:style w:type="character" w:customStyle="1" w:styleId="BodyText2Char">
    <w:name w:val="Body Text 2 Char"/>
    <w:basedOn w:val="DefaultParagraphFont"/>
    <w:link w:val="BodyText2"/>
    <w:uiPriority w:val="99"/>
    <w:rsid w:val="001E3D90"/>
    <w:rPr>
      <w:rFonts w:ascii="Times New Roman" w:eastAsia="SimSun" w:hAnsi="Times New Roman"/>
      <w:sz w:val="22"/>
      <w:lang w:val="en-GB"/>
    </w:rPr>
  </w:style>
  <w:style w:type="paragraph" w:styleId="NormalWeb">
    <w:name w:val="Normal (Web)"/>
    <w:basedOn w:val="Normal"/>
    <w:uiPriority w:val="99"/>
    <w:unhideWhenUsed/>
    <w:rsid w:val="001E3D90"/>
    <w:pPr>
      <w:spacing w:before="100" w:beforeAutospacing="1" w:after="100" w:afterAutospacing="1"/>
    </w:pPr>
    <w:rPr>
      <w:rFonts w:ascii="Times New Roman" w:hAnsi="Times New Roman"/>
      <w:sz w:val="24"/>
      <w:szCs w:val="24"/>
    </w:rPr>
  </w:style>
  <w:style w:type="paragraph" w:customStyle="1" w:styleId="Default">
    <w:name w:val="Default"/>
    <w:rsid w:val="001C595D"/>
    <w:pPr>
      <w:autoSpaceDE w:val="0"/>
      <w:autoSpaceDN w:val="0"/>
      <w:adjustRightInd w:val="0"/>
    </w:pPr>
    <w:rPr>
      <w:rFonts w:ascii="Times New Roman" w:eastAsia="PMingLiU" w:hAnsi="Times New Roman"/>
      <w:color w:val="000000"/>
      <w:sz w:val="24"/>
      <w:szCs w:val="24"/>
      <w:lang w:val="fr-FR" w:eastAsia="zh-TW"/>
    </w:rPr>
  </w:style>
  <w:style w:type="paragraph" w:customStyle="1" w:styleId="AmmCorpsTexte">
    <w:name w:val="AmmCorpsTexte"/>
    <w:basedOn w:val="Normal"/>
    <w:rsid w:val="00B4246E"/>
    <w:pPr>
      <w:spacing w:after="120"/>
      <w:jc w:val="both"/>
    </w:pPr>
    <w:rPr>
      <w:rFonts w:ascii="Arial" w:eastAsia="SimSun" w:hAnsi="Arial"/>
      <w:sz w:val="20"/>
      <w:szCs w:val="20"/>
      <w:lang w:val="fr-FR" w:eastAsia="fr-FR"/>
    </w:rPr>
  </w:style>
  <w:style w:type="paragraph" w:styleId="Revision">
    <w:name w:val="Revision"/>
    <w:hidden/>
    <w:uiPriority w:val="99"/>
    <w:semiHidden/>
    <w:rsid w:val="006B1D52"/>
    <w:rPr>
      <w:sz w:val="22"/>
      <w:szCs w:val="22"/>
      <w:lang w:val="en-AU" w:eastAsia="en-AU"/>
    </w:rPr>
  </w:style>
  <w:style w:type="paragraph" w:styleId="ListParagraph">
    <w:name w:val="List Paragraph"/>
    <w:basedOn w:val="Normal"/>
    <w:uiPriority w:val="34"/>
    <w:qFormat/>
    <w:rsid w:val="000E19BE"/>
    <w:pPr>
      <w:ind w:left="720"/>
      <w:contextualSpacing/>
    </w:pPr>
  </w:style>
  <w:style w:type="character" w:customStyle="1" w:styleId="Heading4Char">
    <w:name w:val="Heading 4 Char"/>
    <w:basedOn w:val="DefaultParagraphFont"/>
    <w:link w:val="Heading4"/>
    <w:uiPriority w:val="9"/>
    <w:rsid w:val="001A1533"/>
    <w:rPr>
      <w:rFonts w:cs="Calibri"/>
      <w:b/>
      <w:i/>
      <w:spacing w:val="-1"/>
      <w:sz w:val="22"/>
      <w:szCs w:val="28"/>
      <w:lang w:val="en-AU" w:eastAsia="en-AU"/>
    </w:rPr>
  </w:style>
  <w:style w:type="character" w:customStyle="1" w:styleId="apple-converted-space">
    <w:name w:val="apple-converted-space"/>
    <w:basedOn w:val="DefaultParagraphFont"/>
    <w:rsid w:val="008D20EE"/>
  </w:style>
  <w:style w:type="character" w:customStyle="1" w:styleId="Heading1Char">
    <w:name w:val="Heading 1 Char"/>
    <w:basedOn w:val="DefaultParagraphFont"/>
    <w:link w:val="Heading1"/>
    <w:uiPriority w:val="9"/>
    <w:rsid w:val="001A1533"/>
    <w:rPr>
      <w:rFonts w:cs="Calibri"/>
      <w:b/>
      <w:bCs/>
      <w:spacing w:val="-1"/>
      <w:sz w:val="28"/>
      <w:szCs w:val="28"/>
      <w:lang w:val="en-AU" w:eastAsia="en-AU"/>
    </w:rPr>
  </w:style>
  <w:style w:type="character" w:customStyle="1" w:styleId="Heading2Char">
    <w:name w:val="Heading 2 Char"/>
    <w:basedOn w:val="DefaultParagraphFont"/>
    <w:link w:val="Heading2"/>
    <w:uiPriority w:val="9"/>
    <w:rsid w:val="00604FD7"/>
    <w:rPr>
      <w:rFonts w:cs="Calibri"/>
      <w:b/>
      <w:spacing w:val="-1"/>
      <w:sz w:val="22"/>
      <w:szCs w:val="28"/>
      <w:lang w:val="en-AU" w:eastAsia="en-AU"/>
    </w:rPr>
  </w:style>
  <w:style w:type="character" w:customStyle="1" w:styleId="Heading3Char">
    <w:name w:val="Heading 3 Char"/>
    <w:basedOn w:val="DefaultParagraphFont"/>
    <w:link w:val="Heading3"/>
    <w:uiPriority w:val="9"/>
    <w:rsid w:val="001A1533"/>
    <w:rPr>
      <w:rFonts w:cs="Calibri"/>
      <w:b/>
      <w:bCs/>
      <w:spacing w:val="-1"/>
      <w:sz w:val="22"/>
      <w:szCs w:val="28"/>
      <w:lang w:val="en-AU" w:eastAsia="en-AU"/>
    </w:rPr>
  </w:style>
  <w:style w:type="character" w:customStyle="1" w:styleId="Heading5Char">
    <w:name w:val="Heading 5 Char"/>
    <w:basedOn w:val="DefaultParagraphFont"/>
    <w:link w:val="Heading5"/>
    <w:uiPriority w:val="9"/>
    <w:rsid w:val="0013391A"/>
    <w:rPr>
      <w:sz w:val="22"/>
      <w:szCs w:val="22"/>
      <w:u w:val="single"/>
      <w:lang w:val="en-AU" w:eastAsia="en-AU"/>
    </w:rPr>
  </w:style>
  <w:style w:type="character" w:styleId="Strong">
    <w:name w:val="Strong"/>
    <w:basedOn w:val="DefaultParagraphFont"/>
    <w:uiPriority w:val="22"/>
    <w:qFormat/>
    <w:rsid w:val="00CC3F1F"/>
    <w:rPr>
      <w:b/>
      <w:bCs/>
    </w:rPr>
  </w:style>
  <w:style w:type="table" w:styleId="TableGrid">
    <w:name w:val="Table Grid"/>
    <w:basedOn w:val="TableNormal"/>
    <w:uiPriority w:val="59"/>
    <w:rsid w:val="00F4579C"/>
    <w:rPr>
      <w:rFonts w:asciiTheme="minorHAnsi" w:eastAsia="Cambria" w:hAnsiTheme="minorHAnsi" w:cstheme="minorBidi"/>
      <w:sz w:val="22"/>
      <w:szCs w:val="22"/>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11957">
      <w:bodyDiv w:val="1"/>
      <w:marLeft w:val="0"/>
      <w:marRight w:val="0"/>
      <w:marTop w:val="0"/>
      <w:marBottom w:val="0"/>
      <w:divBdr>
        <w:top w:val="none" w:sz="0" w:space="0" w:color="auto"/>
        <w:left w:val="none" w:sz="0" w:space="0" w:color="auto"/>
        <w:bottom w:val="none" w:sz="0" w:space="0" w:color="auto"/>
        <w:right w:val="none" w:sz="0" w:space="0" w:color="auto"/>
      </w:divBdr>
    </w:div>
    <w:div w:id="1105538769">
      <w:bodyDiv w:val="1"/>
      <w:marLeft w:val="0"/>
      <w:marRight w:val="0"/>
      <w:marTop w:val="0"/>
      <w:marBottom w:val="0"/>
      <w:divBdr>
        <w:top w:val="none" w:sz="0" w:space="0" w:color="auto"/>
        <w:left w:val="none" w:sz="0" w:space="0" w:color="auto"/>
        <w:bottom w:val="none" w:sz="0" w:space="0" w:color="auto"/>
        <w:right w:val="none" w:sz="0" w:space="0" w:color="auto"/>
      </w:divBdr>
    </w:div>
    <w:div w:id="1688750157">
      <w:bodyDiv w:val="1"/>
      <w:marLeft w:val="0"/>
      <w:marRight w:val="0"/>
      <w:marTop w:val="0"/>
      <w:marBottom w:val="0"/>
      <w:divBdr>
        <w:top w:val="none" w:sz="0" w:space="0" w:color="auto"/>
        <w:left w:val="none" w:sz="0" w:space="0" w:color="auto"/>
        <w:bottom w:val="none" w:sz="0" w:space="0" w:color="auto"/>
        <w:right w:val="none" w:sz="0" w:space="0" w:color="auto"/>
      </w:divBdr>
      <w:divsChild>
        <w:div w:id="2075079886">
          <w:marLeft w:val="0"/>
          <w:marRight w:val="0"/>
          <w:marTop w:val="0"/>
          <w:marBottom w:val="0"/>
          <w:divBdr>
            <w:top w:val="none" w:sz="0" w:space="0" w:color="auto"/>
            <w:left w:val="none" w:sz="0" w:space="0" w:color="auto"/>
            <w:bottom w:val="none" w:sz="0" w:space="0" w:color="auto"/>
            <w:right w:val="none" w:sz="0" w:space="0" w:color="auto"/>
          </w:divBdr>
          <w:divsChild>
            <w:div w:id="1600673310">
              <w:marLeft w:val="0"/>
              <w:marRight w:val="0"/>
              <w:marTop w:val="0"/>
              <w:marBottom w:val="0"/>
              <w:divBdr>
                <w:top w:val="none" w:sz="0" w:space="0" w:color="auto"/>
                <w:left w:val="none" w:sz="0" w:space="0" w:color="auto"/>
                <w:bottom w:val="none" w:sz="0" w:space="0" w:color="auto"/>
                <w:right w:val="none" w:sz="0" w:space="0" w:color="auto"/>
              </w:divBdr>
            </w:div>
            <w:div w:id="1314872538">
              <w:marLeft w:val="0"/>
              <w:marRight w:val="0"/>
              <w:marTop w:val="0"/>
              <w:marBottom w:val="0"/>
              <w:divBdr>
                <w:top w:val="none" w:sz="0" w:space="0" w:color="auto"/>
                <w:left w:val="none" w:sz="0" w:space="0" w:color="auto"/>
                <w:bottom w:val="none" w:sz="0" w:space="0" w:color="auto"/>
                <w:right w:val="none" w:sz="0" w:space="0" w:color="auto"/>
              </w:divBdr>
            </w:div>
            <w:div w:id="1165242054">
              <w:marLeft w:val="0"/>
              <w:marRight w:val="0"/>
              <w:marTop w:val="0"/>
              <w:marBottom w:val="0"/>
              <w:divBdr>
                <w:top w:val="none" w:sz="0" w:space="0" w:color="auto"/>
                <w:left w:val="none" w:sz="0" w:space="0" w:color="auto"/>
                <w:bottom w:val="none" w:sz="0" w:space="0" w:color="auto"/>
                <w:right w:val="none" w:sz="0" w:space="0" w:color="auto"/>
              </w:divBdr>
            </w:div>
            <w:div w:id="2130857395">
              <w:marLeft w:val="0"/>
              <w:marRight w:val="0"/>
              <w:marTop w:val="0"/>
              <w:marBottom w:val="0"/>
              <w:divBdr>
                <w:top w:val="none" w:sz="0" w:space="0" w:color="auto"/>
                <w:left w:val="none" w:sz="0" w:space="0" w:color="auto"/>
                <w:bottom w:val="none" w:sz="0" w:space="0" w:color="auto"/>
                <w:right w:val="none" w:sz="0" w:space="0" w:color="auto"/>
              </w:divBdr>
            </w:div>
            <w:div w:id="1848666736">
              <w:marLeft w:val="0"/>
              <w:marRight w:val="0"/>
              <w:marTop w:val="0"/>
              <w:marBottom w:val="0"/>
              <w:divBdr>
                <w:top w:val="none" w:sz="0" w:space="0" w:color="auto"/>
                <w:left w:val="none" w:sz="0" w:space="0" w:color="auto"/>
                <w:bottom w:val="none" w:sz="0" w:space="0" w:color="auto"/>
                <w:right w:val="none" w:sz="0" w:space="0" w:color="auto"/>
              </w:divBdr>
            </w:div>
            <w:div w:id="2031180330">
              <w:marLeft w:val="0"/>
              <w:marRight w:val="0"/>
              <w:marTop w:val="0"/>
              <w:marBottom w:val="0"/>
              <w:divBdr>
                <w:top w:val="none" w:sz="0" w:space="0" w:color="auto"/>
                <w:left w:val="none" w:sz="0" w:space="0" w:color="auto"/>
                <w:bottom w:val="none" w:sz="0" w:space="0" w:color="auto"/>
                <w:right w:val="none" w:sz="0" w:space="0" w:color="auto"/>
              </w:divBdr>
            </w:div>
            <w:div w:id="473068172">
              <w:marLeft w:val="0"/>
              <w:marRight w:val="0"/>
              <w:marTop w:val="0"/>
              <w:marBottom w:val="0"/>
              <w:divBdr>
                <w:top w:val="none" w:sz="0" w:space="0" w:color="auto"/>
                <w:left w:val="none" w:sz="0" w:space="0" w:color="auto"/>
                <w:bottom w:val="none" w:sz="0" w:space="0" w:color="auto"/>
                <w:right w:val="none" w:sz="0" w:space="0" w:color="auto"/>
              </w:divBdr>
            </w:div>
            <w:div w:id="946815611">
              <w:marLeft w:val="0"/>
              <w:marRight w:val="0"/>
              <w:marTop w:val="0"/>
              <w:marBottom w:val="0"/>
              <w:divBdr>
                <w:top w:val="none" w:sz="0" w:space="0" w:color="auto"/>
                <w:left w:val="none" w:sz="0" w:space="0" w:color="auto"/>
                <w:bottom w:val="none" w:sz="0" w:space="0" w:color="auto"/>
                <w:right w:val="none" w:sz="0" w:space="0" w:color="auto"/>
              </w:divBdr>
              <w:divsChild>
                <w:div w:id="132334975">
                  <w:marLeft w:val="0"/>
                  <w:marRight w:val="0"/>
                  <w:marTop w:val="0"/>
                  <w:marBottom w:val="0"/>
                  <w:divBdr>
                    <w:top w:val="none" w:sz="0" w:space="0" w:color="auto"/>
                    <w:left w:val="none" w:sz="0" w:space="0" w:color="auto"/>
                    <w:bottom w:val="none" w:sz="0" w:space="0" w:color="auto"/>
                    <w:right w:val="none" w:sz="0" w:space="0" w:color="auto"/>
                  </w:divBdr>
                </w:div>
                <w:div w:id="661127614">
                  <w:marLeft w:val="0"/>
                  <w:marRight w:val="0"/>
                  <w:marTop w:val="0"/>
                  <w:marBottom w:val="0"/>
                  <w:divBdr>
                    <w:top w:val="none" w:sz="0" w:space="0" w:color="auto"/>
                    <w:left w:val="none" w:sz="0" w:space="0" w:color="auto"/>
                    <w:bottom w:val="none" w:sz="0" w:space="0" w:color="auto"/>
                    <w:right w:val="none" w:sz="0" w:space="0" w:color="auto"/>
                  </w:divBdr>
                </w:div>
                <w:div w:id="1407264151">
                  <w:marLeft w:val="0"/>
                  <w:marRight w:val="0"/>
                  <w:marTop w:val="0"/>
                  <w:marBottom w:val="0"/>
                  <w:divBdr>
                    <w:top w:val="none" w:sz="0" w:space="0" w:color="auto"/>
                    <w:left w:val="none" w:sz="0" w:space="0" w:color="auto"/>
                    <w:bottom w:val="none" w:sz="0" w:space="0" w:color="auto"/>
                    <w:right w:val="none" w:sz="0" w:space="0" w:color="auto"/>
                  </w:divBdr>
                </w:div>
                <w:div w:id="3390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8255F-2E35-4EE6-89DF-83A8D088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5871</Words>
  <Characters>33137</Characters>
  <Application>Microsoft Office Word</Application>
  <DocSecurity>0</DocSecurity>
  <Lines>561</Lines>
  <Paragraphs>240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AusPAR Attachment 1: Product Information for Vasokinox nitric oxide Air Liquide Healthcare Pty Ltd PM-2014-04327-1-3 FINAL 15 January 2018</vt:lpstr>
      <vt:lpstr>VasoKINOX</vt:lpstr>
    </vt:vector>
  </TitlesOfParts>
  <Company/>
  <LinksUpToDate>false</LinksUpToDate>
  <CharactersWithSpaces>38768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nitric oxide </dc:title>
  <dc:subject>Prescription medicines</dc:subject>
  <dc:creator>Therapeutic Goods Administration</dc:creator>
  <cp:keywords>AusPARs;</cp:keywords>
  <cp:lastModifiedBy>Therapeutic Goods Administration (TGA) </cp:lastModifiedBy>
  <cp:revision>8</cp:revision>
  <cp:lastPrinted>2016-06-16T07:26:00Z</cp:lastPrinted>
  <dcterms:created xsi:type="dcterms:W3CDTF">2018-01-22T04:19:00Z</dcterms:created>
  <dcterms:modified xsi:type="dcterms:W3CDTF">2018-01-22T06:10:00Z</dcterms:modified>
</cp:coreProperties>
</file>